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953" w:rsidRPr="00E967EA" w:rsidRDefault="00E270F8">
      <w:pPr>
        <w:rPr>
          <w:lang w:val="en-US"/>
        </w:rPr>
      </w:pPr>
      <w:r>
        <w:rPr>
          <w:noProof/>
        </w:rPr>
        <mc:AlternateContent>
          <mc:Choice Requires="wps">
            <w:drawing>
              <wp:anchor distT="0" distB="0" distL="114935" distR="114935" simplePos="0" relativeHeight="251655680" behindDoc="0" locked="0" layoutInCell="1" allowOverlap="1">
                <wp:simplePos x="0" y="0"/>
                <wp:positionH relativeFrom="column">
                  <wp:posOffset>5008245</wp:posOffset>
                </wp:positionH>
                <wp:positionV relativeFrom="paragraph">
                  <wp:posOffset>159385</wp:posOffset>
                </wp:positionV>
                <wp:extent cx="1711960" cy="454660"/>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6953" w:rsidRPr="0015586B" w:rsidRDefault="00B22B7B" w:rsidP="00B56953">
                            <w:pPr>
                              <w:pStyle w:val="Heading3"/>
                              <w:rPr>
                                <w:color w:val="FFFFFF"/>
                                <w:sz w:val="22"/>
                                <w:szCs w:val="22"/>
                                <w:lang w:val="tr-TR"/>
                              </w:rPr>
                            </w:pPr>
                            <w:r>
                              <w:rPr>
                                <w:color w:val="FFFFFF"/>
                                <w:sz w:val="22"/>
                                <w:szCs w:val="22"/>
                                <w:lang w:val="tr-TR"/>
                              </w:rPr>
                              <w:t xml:space="preserve">22 </w:t>
                            </w:r>
                            <w:r w:rsidRPr="00554B88">
                              <w:rPr>
                                <w:color w:val="FFFFFF"/>
                                <w:sz w:val="22"/>
                                <w:szCs w:val="22"/>
                                <w:lang w:val="en-US"/>
                              </w:rPr>
                              <w:t>January 2014</w:t>
                            </w:r>
                          </w:p>
                          <w:p w:rsidR="00B56953" w:rsidRDefault="00B56953" w:rsidP="00B5695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4.35pt;margin-top:12.55pt;width:134.8pt;height:35.8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" stroked="f">
                <v:fill opacity="0"/>
                <v:textbox inset="0,0,0,0">
                  <w:txbxContent>
                    <w:p w:rsidR="00B56953" w:rsidRPr="0015586B" w:rsidRDefault="00B22B7B" w:rsidP="00B56953">
                      <w:pPr>
                        <w:pStyle w:val="Heading3"/>
                        <w:rPr>
                          <w:color w:val="FFFFFF"/>
                          <w:sz w:val="22"/>
                          <w:szCs w:val="22"/>
                          <w:lang w:val="tr-TR"/>
                        </w:rPr>
                      </w:pPr>
                      <w:r>
                        <w:rPr>
                          <w:color w:val="FFFFFF"/>
                          <w:sz w:val="22"/>
                          <w:szCs w:val="22"/>
                          <w:lang w:val="tr-TR"/>
                        </w:rPr>
                        <w:t xml:space="preserve">22 </w:t>
                      </w:r>
                      <w:r w:rsidRPr="00554B88">
                        <w:rPr>
                          <w:color w:val="FFFFFF"/>
                          <w:sz w:val="22"/>
                          <w:szCs w:val="22"/>
                          <w:lang w:val="en-US"/>
                        </w:rPr>
                        <w:t>January 2014</w:t>
                      </w:r>
                    </w:p>
                    <w:p w:rsidR="00B56953" w:rsidRDefault="00B56953" w:rsidP="00B56953"/>
                  </w:txbxContent>
                </v:textbox>
              </v:shape>
            </w:pict>
          </mc:Fallback>
        </mc:AlternateContent>
      </w:r>
      <w:r>
        <w:rPr>
          <w:noProof/>
        </w:rPr>
        <mc:AlternateContent>
          <mc:Choice Requires="wps">
            <w:drawing>
              <wp:anchor distT="0" distB="0" distL="114935" distR="114935" simplePos="0" relativeHeight="251654656" behindDoc="0" locked="0" layoutInCell="1" allowOverlap="1">
                <wp:simplePos x="0" y="0"/>
                <wp:positionH relativeFrom="column">
                  <wp:posOffset>1461135</wp:posOffset>
                </wp:positionH>
                <wp:positionV relativeFrom="paragraph">
                  <wp:posOffset>-575945</wp:posOffset>
                </wp:positionV>
                <wp:extent cx="3963670" cy="568960"/>
                <wp:effectExtent l="0" t="0" r="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568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6953" w:rsidRPr="00D8255B" w:rsidRDefault="00E05937" w:rsidP="00B56953">
                            <w:pPr>
                              <w:pStyle w:val="Heading1"/>
                              <w:rPr>
                                <w:rFonts w:ascii="Times New Roman" w:hAnsi="Times New Roman"/>
                                <w:sz w:val="52"/>
                                <w:lang w:val="en-US"/>
                              </w:rPr>
                            </w:pPr>
                            <w:r w:rsidRPr="00D8255B">
                              <w:rPr>
                                <w:rFonts w:ascii="Times New Roman" w:hAnsi="Times New Roman"/>
                                <w:sz w:val="52"/>
                                <w:lang w:val="en-US"/>
                              </w:rPr>
                              <w:t>Research Brief</w:t>
                            </w:r>
                            <w:r w:rsidR="00EF1C11">
                              <w:rPr>
                                <w:rFonts w:ascii="Times New Roman" w:hAnsi="Times New Roman"/>
                                <w:sz w:val="52"/>
                                <w:lang w:val="en-US"/>
                              </w:rPr>
                              <w:t xml:space="preserve"> </w:t>
                            </w:r>
                            <w:r w:rsidR="00077CF1">
                              <w:rPr>
                                <w:rFonts w:ascii="Times New Roman" w:hAnsi="Times New Roman"/>
                                <w:sz w:val="52"/>
                                <w:lang w:val="en-US"/>
                              </w:rPr>
                              <w:t>14/161</w:t>
                            </w:r>
                          </w:p>
                          <w:p w:rsidR="00B56953" w:rsidRPr="00E05937" w:rsidRDefault="00B56953" w:rsidP="00B56953">
                            <w:pPr>
                              <w:pStyle w:val="Heading2"/>
                              <w:rPr>
                                <w:b w:val="0"/>
                                <w:i w:val="0"/>
                                <w:lang w:val="tr-T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15.05pt;margin-top:-45.35pt;width:312.1pt;height:44.8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" stroked="f">
                <v:fill opacity="0"/>
                <v:textbox inset="0,0,0,0">
                  <w:txbxContent>
                    <w:p w:rsidR="00B56953" w:rsidRPr="00D8255B" w:rsidRDefault="00E05937" w:rsidP="00B56953">
                      <w:pPr>
                        <w:pStyle w:val="Heading1"/>
                        <w:rPr>
                          <w:rFonts w:ascii="Times New Roman" w:hAnsi="Times New Roman"/>
                          <w:sz w:val="52"/>
                          <w:lang w:val="en-US"/>
                        </w:rPr>
                      </w:pPr>
                      <w:r w:rsidRPr="00D8255B">
                        <w:rPr>
                          <w:rFonts w:ascii="Times New Roman" w:hAnsi="Times New Roman"/>
                          <w:sz w:val="52"/>
                          <w:lang w:val="en-US"/>
                        </w:rPr>
                        <w:t>Research Brief</w:t>
                      </w:r>
                      <w:r w:rsidR="00EF1C11">
                        <w:rPr>
                          <w:rFonts w:ascii="Times New Roman" w:hAnsi="Times New Roman"/>
                          <w:sz w:val="52"/>
                          <w:lang w:val="en-US"/>
                        </w:rPr>
                        <w:t xml:space="preserve"> </w:t>
                      </w:r>
                      <w:r w:rsidR="00077CF1">
                        <w:rPr>
                          <w:rFonts w:ascii="Times New Roman" w:hAnsi="Times New Roman"/>
                          <w:sz w:val="52"/>
                          <w:lang w:val="en-US"/>
                        </w:rPr>
                        <w:t>14/161</w:t>
                      </w:r>
                    </w:p>
                    <w:p w:rsidR="00B56953" w:rsidRPr="00E05937" w:rsidRDefault="00B56953" w:rsidP="00B56953">
                      <w:pPr>
                        <w:pStyle w:val="Heading2"/>
                        <w:rPr>
                          <w:b w:val="0"/>
                          <w:i w:val="0"/>
                          <w:lang w:val="tr-TR"/>
                        </w:rPr>
                      </w:pPr>
                    </w:p>
                  </w:txbxContent>
                </v:textbox>
              </v:shape>
            </w:pict>
          </mc:Fallback>
        </mc:AlternateContent>
      </w:r>
      <w:r w:rsidR="00B56953" w:rsidRPr="00E967EA">
        <w:rPr>
          <w:noProof/>
        </w:rPr>
        <w:drawing>
          <wp:anchor distT="0" distB="0" distL="114300" distR="114300" simplePos="0" relativeHeight="251646464" behindDoc="1" locked="0" layoutInCell="1" allowOverlap="1">
            <wp:simplePos x="0" y="0"/>
            <wp:positionH relativeFrom="column">
              <wp:posOffset>-833120</wp:posOffset>
            </wp:positionH>
            <wp:positionV relativeFrom="paragraph">
              <wp:posOffset>-747395</wp:posOffset>
            </wp:positionV>
            <wp:extent cx="7315200" cy="1333500"/>
            <wp:effectExtent l="19050" t="0" r="0" b="0"/>
            <wp:wrapNone/>
            <wp:docPr id="2"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cstate="print"/>
                    <a:srcRect/>
                    <a:stretch>
                      <a:fillRect/>
                    </a:stretch>
                  </pic:blipFill>
                  <pic:spPr bwMode="auto">
                    <a:xfrm>
                      <a:off x="0" y="0"/>
                      <a:ext cx="7315200" cy="1333500"/>
                    </a:xfrm>
                    <a:prstGeom prst="rect">
                      <a:avLst/>
                    </a:prstGeom>
                    <a:noFill/>
                    <a:ln w="9525">
                      <a:noFill/>
                      <a:miter lim="800000"/>
                      <a:headEnd/>
                      <a:tailEnd/>
                    </a:ln>
                  </pic:spPr>
                </pic:pic>
              </a:graphicData>
            </a:graphic>
          </wp:anchor>
        </w:drawing>
      </w:r>
    </w:p>
    <w:p w:rsidR="00B56953" w:rsidRPr="00E967EA" w:rsidRDefault="00B56953">
      <w:pPr>
        <w:rPr>
          <w:lang w:val="en-US"/>
        </w:rPr>
      </w:pPr>
    </w:p>
    <w:p w:rsidR="000F784E" w:rsidRPr="00E967EA" w:rsidRDefault="000F784E" w:rsidP="00ED7BB6">
      <w:pPr>
        <w:jc w:val="center"/>
        <w:rPr>
          <w:b/>
          <w:sz w:val="28"/>
          <w:szCs w:val="28"/>
          <w:lang w:val="en-US"/>
        </w:rPr>
      </w:pPr>
    </w:p>
    <w:p w:rsidR="000F784E" w:rsidRPr="00397026" w:rsidRDefault="000F784E" w:rsidP="00ED7BB6">
      <w:pPr>
        <w:jc w:val="center"/>
        <w:rPr>
          <w:rFonts w:ascii="Arial" w:hAnsi="Arial" w:cs="Arial"/>
          <w:b/>
          <w:sz w:val="28"/>
          <w:szCs w:val="28"/>
          <w:lang w:val="en-US"/>
        </w:rPr>
      </w:pPr>
      <w:r w:rsidRPr="00397026">
        <w:rPr>
          <w:rFonts w:ascii="Arial" w:hAnsi="Arial" w:cs="Arial"/>
          <w:b/>
          <w:sz w:val="28"/>
          <w:szCs w:val="28"/>
          <w:lang w:val="en-US"/>
        </w:rPr>
        <w:t xml:space="preserve">LARGE </w:t>
      </w:r>
      <w:r w:rsidR="00784005" w:rsidRPr="00397026">
        <w:rPr>
          <w:rFonts w:ascii="Arial" w:hAnsi="Arial" w:cs="Arial"/>
          <w:b/>
          <w:sz w:val="28"/>
          <w:szCs w:val="28"/>
          <w:lang w:val="en-US"/>
        </w:rPr>
        <w:t>BUT</w:t>
      </w:r>
      <w:r w:rsidR="00E81190" w:rsidRPr="00397026">
        <w:rPr>
          <w:rFonts w:ascii="Arial" w:hAnsi="Arial" w:cs="Arial"/>
          <w:b/>
          <w:sz w:val="28"/>
          <w:szCs w:val="28"/>
          <w:lang w:val="en-US"/>
        </w:rPr>
        <w:t xml:space="preserve"> </w:t>
      </w:r>
      <w:r w:rsidRPr="00397026">
        <w:rPr>
          <w:rFonts w:ascii="Arial" w:hAnsi="Arial" w:cs="Arial"/>
          <w:b/>
          <w:sz w:val="28"/>
          <w:szCs w:val="28"/>
          <w:lang w:val="en-US"/>
        </w:rPr>
        <w:t>INS</w:t>
      </w:r>
      <w:r w:rsidR="00E81190" w:rsidRPr="00397026">
        <w:rPr>
          <w:rFonts w:ascii="Arial" w:hAnsi="Arial" w:cs="Arial"/>
          <w:b/>
          <w:sz w:val="28"/>
          <w:szCs w:val="28"/>
          <w:lang w:val="en-US"/>
        </w:rPr>
        <w:t>UFFICIENT INCREASE IN QUALITY OF</w:t>
      </w:r>
      <w:r w:rsidRPr="00397026">
        <w:rPr>
          <w:rFonts w:ascii="Arial" w:hAnsi="Arial" w:cs="Arial"/>
          <w:b/>
          <w:sz w:val="28"/>
          <w:szCs w:val="28"/>
          <w:lang w:val="en-US"/>
        </w:rPr>
        <w:t xml:space="preserve"> EDUCATION </w:t>
      </w:r>
    </w:p>
    <w:p w:rsidR="00ED7BB6" w:rsidRPr="00E967EA" w:rsidRDefault="00ED7BB6" w:rsidP="00ED7BB6">
      <w:pPr>
        <w:jc w:val="center"/>
        <w:rPr>
          <w:rFonts w:ascii="Arial" w:hAnsi="Arial" w:cs="Arial"/>
          <w:sz w:val="20"/>
          <w:szCs w:val="20"/>
          <w:lang w:val="en-US"/>
        </w:rPr>
      </w:pPr>
      <w:proofErr w:type="spellStart"/>
      <w:r w:rsidRPr="00E967EA">
        <w:rPr>
          <w:rFonts w:ascii="Arial" w:hAnsi="Arial" w:cs="Arial"/>
          <w:sz w:val="20"/>
          <w:szCs w:val="20"/>
          <w:lang w:val="en-US"/>
        </w:rPr>
        <w:t>Seyfettin</w:t>
      </w:r>
      <w:proofErr w:type="spellEnd"/>
      <w:r w:rsidRPr="00E967EA">
        <w:rPr>
          <w:rFonts w:ascii="Arial" w:hAnsi="Arial" w:cs="Arial"/>
          <w:sz w:val="20"/>
          <w:szCs w:val="20"/>
          <w:lang w:val="en-US"/>
        </w:rPr>
        <w:t xml:space="preserve"> </w:t>
      </w:r>
      <w:proofErr w:type="spellStart"/>
      <w:r w:rsidRPr="00E967EA">
        <w:rPr>
          <w:rFonts w:ascii="Arial" w:hAnsi="Arial" w:cs="Arial"/>
          <w:sz w:val="20"/>
          <w:szCs w:val="20"/>
          <w:lang w:val="en-US"/>
        </w:rPr>
        <w:t>Gürsel</w:t>
      </w:r>
      <w:proofErr w:type="spellEnd"/>
      <w:r w:rsidRPr="00E967EA">
        <w:rPr>
          <w:rStyle w:val="FootnoteReference"/>
          <w:rFonts w:ascii="Arial" w:hAnsi="Arial" w:cs="Arial"/>
          <w:sz w:val="20"/>
          <w:szCs w:val="20"/>
          <w:lang w:val="en-US"/>
        </w:rPr>
        <w:footnoteReference w:customMarkFollows="1" w:id="1"/>
        <w:t>*</w:t>
      </w:r>
      <w:r w:rsidR="00E81190" w:rsidRPr="00E967EA">
        <w:rPr>
          <w:rFonts w:ascii="Arial" w:hAnsi="Arial" w:cs="Arial"/>
          <w:sz w:val="20"/>
          <w:szCs w:val="20"/>
          <w:lang w:val="en-US"/>
        </w:rPr>
        <w:t xml:space="preserve"> and</w:t>
      </w:r>
      <w:r w:rsidRPr="00E967EA">
        <w:rPr>
          <w:rFonts w:ascii="Arial" w:hAnsi="Arial" w:cs="Arial"/>
          <w:sz w:val="20"/>
          <w:szCs w:val="20"/>
          <w:lang w:val="en-US"/>
        </w:rPr>
        <w:t xml:space="preserve"> Mine </w:t>
      </w:r>
      <w:proofErr w:type="spellStart"/>
      <w:r w:rsidRPr="00E967EA">
        <w:rPr>
          <w:rFonts w:ascii="Arial" w:hAnsi="Arial" w:cs="Arial"/>
          <w:sz w:val="20"/>
          <w:szCs w:val="20"/>
          <w:lang w:val="en-US"/>
        </w:rPr>
        <w:t>Durmaz</w:t>
      </w:r>
      <w:proofErr w:type="spellEnd"/>
      <w:r w:rsidRPr="00E967EA">
        <w:rPr>
          <w:rFonts w:ascii="Arial" w:hAnsi="Arial" w:cs="Arial"/>
          <w:sz w:val="20"/>
          <w:szCs w:val="20"/>
          <w:lang w:val="en-US"/>
        </w:rPr>
        <w:t xml:space="preserve"> </w:t>
      </w:r>
      <w:r w:rsidRPr="00E967EA">
        <w:rPr>
          <w:rStyle w:val="FootnoteReference"/>
          <w:rFonts w:ascii="Arial" w:hAnsi="Arial" w:cs="Arial"/>
          <w:sz w:val="20"/>
          <w:szCs w:val="20"/>
          <w:lang w:val="en-US"/>
        </w:rPr>
        <w:footnoteReference w:customMarkFollows="1" w:id="2"/>
        <w:t>**</w:t>
      </w:r>
    </w:p>
    <w:p w:rsidR="00FF11F0" w:rsidRPr="00E967EA" w:rsidRDefault="00E81190" w:rsidP="00ED7BB6">
      <w:pPr>
        <w:jc w:val="center"/>
        <w:rPr>
          <w:rFonts w:ascii="Arial" w:hAnsi="Arial" w:cs="Arial"/>
          <w:b/>
          <w:sz w:val="20"/>
          <w:szCs w:val="20"/>
          <w:lang w:val="en-US"/>
        </w:rPr>
      </w:pPr>
      <w:r w:rsidRPr="00E967EA">
        <w:rPr>
          <w:rFonts w:ascii="Arial" w:hAnsi="Arial" w:cs="Arial"/>
          <w:b/>
          <w:sz w:val="20"/>
          <w:szCs w:val="20"/>
          <w:lang w:val="en-US"/>
        </w:rPr>
        <w:t>Executive Summary</w:t>
      </w:r>
    </w:p>
    <w:p w:rsidR="00DC20FB" w:rsidRPr="00E967EA" w:rsidRDefault="00592908" w:rsidP="00FF11F0">
      <w:pPr>
        <w:jc w:val="both"/>
        <w:rPr>
          <w:rFonts w:ascii="Arial" w:hAnsi="Arial" w:cs="Arial"/>
          <w:sz w:val="20"/>
          <w:szCs w:val="20"/>
          <w:lang w:val="en-US"/>
        </w:rPr>
      </w:pPr>
      <w:r w:rsidRPr="00E967EA">
        <w:rPr>
          <w:rFonts w:ascii="Arial" w:hAnsi="Arial" w:cs="Arial"/>
          <w:sz w:val="20"/>
          <w:szCs w:val="20"/>
          <w:lang w:val="en-US"/>
        </w:rPr>
        <w:t>2012 R</w:t>
      </w:r>
      <w:r w:rsidR="004B41CB" w:rsidRPr="00E967EA">
        <w:rPr>
          <w:rFonts w:ascii="Arial" w:hAnsi="Arial" w:cs="Arial"/>
          <w:sz w:val="20"/>
          <w:szCs w:val="20"/>
          <w:lang w:val="en-US"/>
        </w:rPr>
        <w:t xml:space="preserve">eport of </w:t>
      </w:r>
      <w:proofErr w:type="spellStart"/>
      <w:r w:rsidR="004B41CB" w:rsidRPr="00E967EA">
        <w:rPr>
          <w:rFonts w:ascii="Arial" w:hAnsi="Arial" w:cs="Arial"/>
          <w:sz w:val="20"/>
          <w:szCs w:val="20"/>
          <w:lang w:val="en-US"/>
        </w:rPr>
        <w:t>Programme</w:t>
      </w:r>
      <w:proofErr w:type="spellEnd"/>
      <w:r w:rsidR="004B41CB" w:rsidRPr="00E967EA">
        <w:rPr>
          <w:rFonts w:ascii="Arial" w:hAnsi="Arial" w:cs="Arial"/>
          <w:sz w:val="20"/>
          <w:szCs w:val="20"/>
          <w:lang w:val="en-US"/>
        </w:rPr>
        <w:t xml:space="preserve"> for International Student Assessment (PISA) </w:t>
      </w:r>
      <w:r w:rsidR="006168AA" w:rsidRPr="00E967EA">
        <w:rPr>
          <w:rFonts w:ascii="Arial" w:hAnsi="Arial" w:cs="Arial"/>
          <w:sz w:val="20"/>
          <w:szCs w:val="20"/>
          <w:lang w:val="en-US"/>
        </w:rPr>
        <w:t>has been</w:t>
      </w:r>
      <w:r w:rsidR="00537581" w:rsidRPr="00E967EA">
        <w:rPr>
          <w:rFonts w:ascii="Arial" w:hAnsi="Arial" w:cs="Arial"/>
          <w:sz w:val="20"/>
          <w:szCs w:val="20"/>
          <w:lang w:val="en-US"/>
        </w:rPr>
        <w:t xml:space="preserve"> published </w:t>
      </w:r>
      <w:r w:rsidR="001B7CF8" w:rsidRPr="00E967EA">
        <w:rPr>
          <w:rFonts w:ascii="Arial" w:hAnsi="Arial" w:cs="Arial"/>
          <w:sz w:val="20"/>
          <w:szCs w:val="20"/>
          <w:lang w:val="en-US"/>
        </w:rPr>
        <w:t>in December, 2013. Results reveal</w:t>
      </w:r>
      <w:r w:rsidR="004B41CB" w:rsidRPr="00E967EA">
        <w:rPr>
          <w:rFonts w:ascii="Arial" w:hAnsi="Arial" w:cs="Arial"/>
          <w:sz w:val="20"/>
          <w:szCs w:val="20"/>
          <w:lang w:val="en-US"/>
        </w:rPr>
        <w:t xml:space="preserve"> that there is a </w:t>
      </w:r>
      <w:r w:rsidR="001B7CF8" w:rsidRPr="00E967EA">
        <w:rPr>
          <w:rFonts w:ascii="Arial" w:hAnsi="Arial" w:cs="Arial"/>
          <w:sz w:val="20"/>
          <w:szCs w:val="20"/>
          <w:lang w:val="en-US"/>
        </w:rPr>
        <w:t xml:space="preserve">large </w:t>
      </w:r>
      <w:r w:rsidR="009804B4" w:rsidRPr="00E967EA">
        <w:rPr>
          <w:rFonts w:ascii="Arial" w:hAnsi="Arial" w:cs="Arial"/>
          <w:sz w:val="20"/>
          <w:szCs w:val="20"/>
          <w:lang w:val="en-US"/>
        </w:rPr>
        <w:t>but insufficien</w:t>
      </w:r>
      <w:r w:rsidRPr="00E967EA">
        <w:rPr>
          <w:rFonts w:ascii="Arial" w:hAnsi="Arial" w:cs="Arial"/>
          <w:sz w:val="20"/>
          <w:szCs w:val="20"/>
          <w:lang w:val="en-US"/>
        </w:rPr>
        <w:t>t improvement in Turkey's performance</w:t>
      </w:r>
      <w:r w:rsidR="009804B4" w:rsidRPr="00E967EA">
        <w:rPr>
          <w:rFonts w:ascii="Arial" w:hAnsi="Arial" w:cs="Arial"/>
          <w:sz w:val="20"/>
          <w:szCs w:val="20"/>
          <w:lang w:val="en-US"/>
        </w:rPr>
        <w:t xml:space="preserve">. From 2006 to 2012 </w:t>
      </w:r>
      <w:r w:rsidR="007D7DB8" w:rsidRPr="00E967EA">
        <w:rPr>
          <w:rFonts w:ascii="Arial" w:hAnsi="Arial" w:cs="Arial"/>
          <w:sz w:val="20"/>
          <w:szCs w:val="20"/>
          <w:lang w:val="en-US"/>
        </w:rPr>
        <w:t>Turkey increased its</w:t>
      </w:r>
      <w:r w:rsidR="00DC20FB" w:rsidRPr="00E967EA">
        <w:rPr>
          <w:rFonts w:ascii="Arial" w:hAnsi="Arial" w:cs="Arial"/>
          <w:sz w:val="20"/>
          <w:szCs w:val="20"/>
          <w:lang w:val="en-US"/>
        </w:rPr>
        <w:t xml:space="preserve"> average score</w:t>
      </w:r>
      <w:r w:rsidR="006F1BA2">
        <w:rPr>
          <w:rFonts w:ascii="Arial" w:hAnsi="Arial" w:cs="Arial"/>
          <w:sz w:val="20"/>
          <w:szCs w:val="20"/>
          <w:lang w:val="en-US"/>
        </w:rPr>
        <w:t xml:space="preserve"> in</w:t>
      </w:r>
      <w:r w:rsidR="00C02EB3" w:rsidRPr="00E967EA">
        <w:rPr>
          <w:rFonts w:ascii="Arial" w:hAnsi="Arial" w:cs="Arial"/>
          <w:sz w:val="20"/>
          <w:szCs w:val="20"/>
          <w:lang w:val="en-US"/>
        </w:rPr>
        <w:t xml:space="preserve"> </w:t>
      </w:r>
      <w:r w:rsidR="001B7CF8" w:rsidRPr="00E967EA">
        <w:rPr>
          <w:rFonts w:ascii="Arial" w:hAnsi="Arial" w:cs="Arial"/>
          <w:sz w:val="20"/>
          <w:szCs w:val="20"/>
          <w:lang w:val="en-US"/>
        </w:rPr>
        <w:t>all fields (</w:t>
      </w:r>
      <w:r w:rsidR="009804B4" w:rsidRPr="00E967EA">
        <w:rPr>
          <w:rFonts w:ascii="Arial" w:hAnsi="Arial" w:cs="Arial"/>
          <w:sz w:val="20"/>
          <w:szCs w:val="20"/>
          <w:lang w:val="en-US"/>
        </w:rPr>
        <w:t>mathematics, science and reading</w:t>
      </w:r>
      <w:r w:rsidR="001B7CF8" w:rsidRPr="00E967EA">
        <w:rPr>
          <w:rFonts w:ascii="Arial" w:hAnsi="Arial" w:cs="Arial"/>
          <w:sz w:val="20"/>
          <w:szCs w:val="20"/>
          <w:lang w:val="en-US"/>
        </w:rPr>
        <w:t>)</w:t>
      </w:r>
      <w:r w:rsidR="00837491" w:rsidRPr="00E967EA">
        <w:rPr>
          <w:rFonts w:ascii="Arial" w:hAnsi="Arial" w:cs="Arial"/>
          <w:sz w:val="20"/>
          <w:szCs w:val="20"/>
          <w:lang w:val="en-US"/>
        </w:rPr>
        <w:t xml:space="preserve"> </w:t>
      </w:r>
      <w:r w:rsidR="00DC20FB" w:rsidRPr="00E967EA">
        <w:rPr>
          <w:rFonts w:ascii="Arial" w:hAnsi="Arial" w:cs="Arial"/>
          <w:sz w:val="20"/>
          <w:szCs w:val="20"/>
          <w:lang w:val="en-US"/>
        </w:rPr>
        <w:t>from 432 to 462</w:t>
      </w:r>
      <w:r w:rsidR="004F6BA5" w:rsidRPr="00E967EA">
        <w:rPr>
          <w:rFonts w:ascii="Arial" w:hAnsi="Arial" w:cs="Arial"/>
          <w:sz w:val="20"/>
          <w:szCs w:val="20"/>
          <w:lang w:val="en-US"/>
        </w:rPr>
        <w:t xml:space="preserve"> points</w:t>
      </w:r>
      <w:r w:rsidR="00DC20FB" w:rsidRPr="00E967EA">
        <w:rPr>
          <w:rFonts w:ascii="Arial" w:hAnsi="Arial" w:cs="Arial"/>
          <w:sz w:val="20"/>
          <w:szCs w:val="20"/>
          <w:lang w:val="en-US"/>
        </w:rPr>
        <w:t xml:space="preserve">. However, </w:t>
      </w:r>
      <w:r w:rsidR="009A2642" w:rsidRPr="00E967EA">
        <w:rPr>
          <w:rFonts w:ascii="Arial" w:hAnsi="Arial" w:cs="Arial"/>
          <w:sz w:val="20"/>
          <w:szCs w:val="20"/>
          <w:lang w:val="en-US"/>
        </w:rPr>
        <w:t>this large increase has not been</w:t>
      </w:r>
      <w:r w:rsidR="0012021E" w:rsidRPr="00E967EA">
        <w:rPr>
          <w:rFonts w:ascii="Arial" w:hAnsi="Arial" w:cs="Arial"/>
          <w:sz w:val="20"/>
          <w:szCs w:val="20"/>
          <w:lang w:val="en-US"/>
        </w:rPr>
        <w:t xml:space="preserve"> enough to change Turkey's ranking</w:t>
      </w:r>
      <w:r w:rsidR="009A2642" w:rsidRPr="00E967EA">
        <w:rPr>
          <w:rFonts w:ascii="Arial" w:hAnsi="Arial" w:cs="Arial"/>
          <w:sz w:val="20"/>
          <w:szCs w:val="20"/>
          <w:lang w:val="en-US"/>
        </w:rPr>
        <w:t xml:space="preserve"> (third </w:t>
      </w:r>
      <w:r w:rsidR="00993708">
        <w:rPr>
          <w:rFonts w:ascii="Arial" w:hAnsi="Arial" w:cs="Arial"/>
          <w:sz w:val="20"/>
          <w:szCs w:val="20"/>
          <w:lang w:val="en-US"/>
        </w:rPr>
        <w:t xml:space="preserve">to </w:t>
      </w:r>
      <w:r w:rsidR="009A2642" w:rsidRPr="00E967EA">
        <w:rPr>
          <w:rFonts w:ascii="Arial" w:hAnsi="Arial" w:cs="Arial"/>
          <w:sz w:val="20"/>
          <w:szCs w:val="20"/>
          <w:lang w:val="en-US"/>
        </w:rPr>
        <w:t>last)</w:t>
      </w:r>
      <w:r w:rsidR="0012021E" w:rsidRPr="00E967EA">
        <w:rPr>
          <w:rFonts w:ascii="Arial" w:hAnsi="Arial" w:cs="Arial"/>
          <w:sz w:val="20"/>
          <w:szCs w:val="20"/>
          <w:lang w:val="en-US"/>
        </w:rPr>
        <w:t xml:space="preserve"> among </w:t>
      </w:r>
      <w:r w:rsidR="009A2642" w:rsidRPr="00E967EA">
        <w:rPr>
          <w:rFonts w:ascii="Arial" w:hAnsi="Arial" w:cs="Arial"/>
          <w:sz w:val="20"/>
          <w:szCs w:val="20"/>
          <w:lang w:val="en-US"/>
        </w:rPr>
        <w:t xml:space="preserve">34 </w:t>
      </w:r>
      <w:r w:rsidR="0012021E" w:rsidRPr="00E967EA">
        <w:rPr>
          <w:rFonts w:ascii="Arial" w:hAnsi="Arial" w:cs="Arial"/>
          <w:sz w:val="20"/>
          <w:szCs w:val="20"/>
          <w:lang w:val="en-US"/>
        </w:rPr>
        <w:t>OECD member countries.</w:t>
      </w:r>
      <w:r w:rsidR="00F4529F">
        <w:rPr>
          <w:rFonts w:ascii="Arial" w:hAnsi="Arial" w:cs="Arial"/>
          <w:sz w:val="20"/>
          <w:szCs w:val="20"/>
          <w:lang w:val="en-US"/>
        </w:rPr>
        <w:t xml:space="preserve"> The</w:t>
      </w:r>
      <w:r w:rsidR="007B38AC" w:rsidRPr="00E967EA">
        <w:rPr>
          <w:rFonts w:ascii="Arial" w:hAnsi="Arial" w:cs="Arial"/>
          <w:sz w:val="20"/>
          <w:szCs w:val="20"/>
          <w:lang w:val="en-US"/>
        </w:rPr>
        <w:t xml:space="preserve"> gap between Turkey </w:t>
      </w:r>
      <w:r w:rsidR="00837491" w:rsidRPr="00E967EA">
        <w:rPr>
          <w:rFonts w:ascii="Arial" w:hAnsi="Arial" w:cs="Arial"/>
          <w:sz w:val="20"/>
          <w:szCs w:val="20"/>
          <w:lang w:val="en-US"/>
        </w:rPr>
        <w:t>and OECD average</w:t>
      </w:r>
      <w:r w:rsidR="009A2642" w:rsidRPr="00E967EA">
        <w:rPr>
          <w:rFonts w:ascii="Arial" w:hAnsi="Arial" w:cs="Arial"/>
          <w:sz w:val="20"/>
          <w:szCs w:val="20"/>
          <w:lang w:val="en-US"/>
        </w:rPr>
        <w:t xml:space="preserve"> has been diminished gradually</w:t>
      </w:r>
      <w:r w:rsidR="00F4529F">
        <w:rPr>
          <w:rFonts w:ascii="Arial" w:hAnsi="Arial" w:cs="Arial"/>
          <w:sz w:val="20"/>
          <w:szCs w:val="20"/>
          <w:lang w:val="en-US"/>
        </w:rPr>
        <w:t xml:space="preserve"> in each field</w:t>
      </w:r>
      <w:r w:rsidR="00D94363" w:rsidRPr="00E967EA">
        <w:rPr>
          <w:rFonts w:ascii="Arial" w:hAnsi="Arial" w:cs="Arial"/>
          <w:sz w:val="20"/>
          <w:szCs w:val="20"/>
          <w:lang w:val="en-US"/>
        </w:rPr>
        <w:t xml:space="preserve">, yet </w:t>
      </w:r>
      <w:r w:rsidR="00FF6E6C">
        <w:rPr>
          <w:rFonts w:ascii="Arial" w:hAnsi="Arial" w:cs="Arial"/>
          <w:sz w:val="20"/>
          <w:szCs w:val="20"/>
          <w:lang w:val="en-US"/>
        </w:rPr>
        <w:t>student performances</w:t>
      </w:r>
      <w:r w:rsidR="00D94363" w:rsidRPr="00E967EA">
        <w:rPr>
          <w:rFonts w:ascii="Arial" w:hAnsi="Arial" w:cs="Arial"/>
          <w:sz w:val="20"/>
          <w:szCs w:val="20"/>
          <w:lang w:val="en-US"/>
        </w:rPr>
        <w:t xml:space="preserve"> are still </w:t>
      </w:r>
      <w:r w:rsidR="007C4A39" w:rsidRPr="00E967EA">
        <w:rPr>
          <w:rFonts w:ascii="Arial" w:hAnsi="Arial" w:cs="Arial"/>
          <w:sz w:val="20"/>
          <w:szCs w:val="20"/>
          <w:lang w:val="en-US"/>
        </w:rPr>
        <w:t>poor</w:t>
      </w:r>
      <w:r w:rsidR="00D94363" w:rsidRPr="00E967EA">
        <w:rPr>
          <w:rFonts w:ascii="Arial" w:hAnsi="Arial" w:cs="Arial"/>
          <w:sz w:val="20"/>
          <w:szCs w:val="20"/>
          <w:lang w:val="en-US"/>
        </w:rPr>
        <w:t xml:space="preserve"> compared to OECD averages.</w:t>
      </w:r>
    </w:p>
    <w:p w:rsidR="002448B9" w:rsidRPr="00E967EA" w:rsidRDefault="0058213B" w:rsidP="00D93C49">
      <w:pPr>
        <w:jc w:val="both"/>
        <w:rPr>
          <w:rFonts w:ascii="Arial" w:hAnsi="Arial" w:cs="Arial"/>
          <w:b/>
          <w:lang w:val="en-US"/>
        </w:rPr>
      </w:pPr>
      <w:r w:rsidRPr="00E967EA">
        <w:rPr>
          <w:rFonts w:ascii="Arial" w:hAnsi="Arial" w:cs="Arial"/>
          <w:sz w:val="20"/>
          <w:szCs w:val="20"/>
          <w:lang w:val="en-US"/>
        </w:rPr>
        <w:t>On the other hand, during</w:t>
      </w:r>
      <w:r w:rsidR="00CF55DF" w:rsidRPr="00E967EA">
        <w:rPr>
          <w:rFonts w:ascii="Arial" w:hAnsi="Arial" w:cs="Arial"/>
          <w:sz w:val="20"/>
          <w:szCs w:val="20"/>
          <w:lang w:val="en-US"/>
        </w:rPr>
        <w:t xml:space="preserve"> the period of 2006-2012</w:t>
      </w:r>
      <w:r w:rsidR="00E93D47">
        <w:rPr>
          <w:rFonts w:ascii="Arial" w:hAnsi="Arial" w:cs="Arial"/>
          <w:sz w:val="20"/>
          <w:szCs w:val="20"/>
          <w:lang w:val="en-US"/>
        </w:rPr>
        <w:t>,</w:t>
      </w:r>
      <w:r w:rsidR="00CF55DF" w:rsidRPr="00E967EA">
        <w:rPr>
          <w:rFonts w:ascii="Arial" w:hAnsi="Arial" w:cs="Arial"/>
          <w:sz w:val="20"/>
          <w:szCs w:val="20"/>
          <w:lang w:val="en-US"/>
        </w:rPr>
        <w:t xml:space="preserve"> </w:t>
      </w:r>
      <w:r w:rsidR="00592908" w:rsidRPr="00E967EA">
        <w:rPr>
          <w:rFonts w:ascii="Arial" w:hAnsi="Arial" w:cs="Arial"/>
          <w:sz w:val="20"/>
          <w:szCs w:val="20"/>
          <w:lang w:val="en-US"/>
        </w:rPr>
        <w:t xml:space="preserve">Turkey increased the share of top performers and simultaneously reduced the share of low performers. </w:t>
      </w:r>
      <w:r w:rsidR="007D3DF9">
        <w:rPr>
          <w:rFonts w:ascii="Arial" w:hAnsi="Arial" w:cs="Arial"/>
          <w:sz w:val="20"/>
          <w:szCs w:val="20"/>
          <w:lang w:val="en-US"/>
        </w:rPr>
        <w:t>In</w:t>
      </w:r>
      <w:r w:rsidR="00CE1DDD" w:rsidRPr="00E967EA">
        <w:rPr>
          <w:rFonts w:ascii="Arial" w:hAnsi="Arial" w:cs="Arial"/>
          <w:sz w:val="20"/>
          <w:szCs w:val="20"/>
          <w:lang w:val="en-US"/>
        </w:rPr>
        <w:t xml:space="preserve"> </w:t>
      </w:r>
      <w:r w:rsidR="007F4F7A" w:rsidRPr="00E967EA">
        <w:rPr>
          <w:rFonts w:ascii="Arial" w:hAnsi="Arial" w:cs="Arial"/>
          <w:sz w:val="20"/>
          <w:szCs w:val="20"/>
          <w:lang w:val="en-US"/>
        </w:rPr>
        <w:t>parallel</w:t>
      </w:r>
      <w:r w:rsidR="00CE1DDD" w:rsidRPr="00E967EA">
        <w:rPr>
          <w:rFonts w:ascii="Arial" w:hAnsi="Arial" w:cs="Arial"/>
          <w:sz w:val="20"/>
          <w:szCs w:val="20"/>
          <w:lang w:val="en-US"/>
        </w:rPr>
        <w:t xml:space="preserve">, </w:t>
      </w:r>
      <w:r w:rsidR="00DD4D5A" w:rsidRPr="00E967EA">
        <w:rPr>
          <w:rFonts w:ascii="Arial" w:hAnsi="Arial" w:cs="Arial"/>
          <w:sz w:val="20"/>
          <w:szCs w:val="20"/>
          <w:lang w:val="en-US"/>
        </w:rPr>
        <w:t>the sha</w:t>
      </w:r>
      <w:r w:rsidR="00877685">
        <w:rPr>
          <w:rFonts w:ascii="Arial" w:hAnsi="Arial" w:cs="Arial"/>
          <w:sz w:val="20"/>
          <w:szCs w:val="20"/>
          <w:lang w:val="en-US"/>
        </w:rPr>
        <w:t>re of medium performers, who constitute</w:t>
      </w:r>
      <w:r w:rsidR="00DD4D5A" w:rsidRPr="00E967EA">
        <w:rPr>
          <w:rFonts w:ascii="Arial" w:hAnsi="Arial" w:cs="Arial"/>
          <w:sz w:val="20"/>
          <w:szCs w:val="20"/>
          <w:lang w:val="en-US"/>
        </w:rPr>
        <w:t xml:space="preserve"> the main </w:t>
      </w:r>
      <w:r w:rsidR="006168AA" w:rsidRPr="00E967EA">
        <w:rPr>
          <w:rFonts w:ascii="Arial" w:hAnsi="Arial" w:cs="Arial"/>
          <w:sz w:val="20"/>
          <w:szCs w:val="20"/>
          <w:lang w:val="en-US"/>
        </w:rPr>
        <w:t xml:space="preserve">part </w:t>
      </w:r>
      <w:r w:rsidR="00DD4D5A" w:rsidRPr="00E967EA">
        <w:rPr>
          <w:rFonts w:ascii="Arial" w:hAnsi="Arial" w:cs="Arial"/>
          <w:sz w:val="20"/>
          <w:szCs w:val="20"/>
          <w:lang w:val="en-US"/>
        </w:rPr>
        <w:t xml:space="preserve">of </w:t>
      </w:r>
      <w:r w:rsidR="00773BAB">
        <w:rPr>
          <w:rFonts w:ascii="Arial" w:hAnsi="Arial" w:cs="Arial"/>
          <w:sz w:val="20"/>
          <w:szCs w:val="20"/>
          <w:lang w:val="en-US"/>
        </w:rPr>
        <w:t xml:space="preserve">the </w:t>
      </w:r>
      <w:r w:rsidR="00DD4D5A" w:rsidRPr="00E967EA">
        <w:rPr>
          <w:rFonts w:ascii="Arial" w:hAnsi="Arial" w:cs="Arial"/>
          <w:sz w:val="20"/>
          <w:szCs w:val="20"/>
          <w:lang w:val="en-US"/>
        </w:rPr>
        <w:t xml:space="preserve">future labor force, also </w:t>
      </w:r>
      <w:proofErr w:type="gramStart"/>
      <w:r w:rsidR="00DD4D5A" w:rsidRPr="00E967EA">
        <w:rPr>
          <w:rFonts w:ascii="Arial" w:hAnsi="Arial" w:cs="Arial"/>
          <w:sz w:val="20"/>
          <w:szCs w:val="20"/>
          <w:lang w:val="en-US"/>
        </w:rPr>
        <w:t>increa</w:t>
      </w:r>
      <w:bookmarkStart w:id="0" w:name="_GoBack"/>
      <w:bookmarkEnd w:id="0"/>
      <w:r w:rsidR="00DD4D5A" w:rsidRPr="00E967EA">
        <w:rPr>
          <w:rFonts w:ascii="Arial" w:hAnsi="Arial" w:cs="Arial"/>
          <w:sz w:val="20"/>
          <w:szCs w:val="20"/>
          <w:lang w:val="en-US"/>
        </w:rPr>
        <w:t>sed.</w:t>
      </w:r>
      <w:proofErr w:type="gramEnd"/>
      <w:r w:rsidR="00DD4D5A" w:rsidRPr="00E967EA">
        <w:rPr>
          <w:rFonts w:ascii="Arial" w:hAnsi="Arial" w:cs="Arial"/>
          <w:sz w:val="20"/>
          <w:szCs w:val="20"/>
          <w:lang w:val="en-US"/>
        </w:rPr>
        <w:t xml:space="preserve"> Turkey's</w:t>
      </w:r>
      <w:r w:rsidR="00837491" w:rsidRPr="00E967EA">
        <w:rPr>
          <w:rFonts w:ascii="Arial" w:hAnsi="Arial" w:cs="Arial"/>
          <w:sz w:val="20"/>
          <w:szCs w:val="20"/>
          <w:lang w:val="en-US"/>
        </w:rPr>
        <w:t xml:space="preserve"> </w:t>
      </w:r>
      <w:r w:rsidRPr="00E967EA">
        <w:rPr>
          <w:rFonts w:ascii="Arial" w:hAnsi="Arial" w:cs="Arial"/>
          <w:sz w:val="20"/>
          <w:szCs w:val="20"/>
          <w:lang w:val="en-US"/>
        </w:rPr>
        <w:t>large performance</w:t>
      </w:r>
      <w:r w:rsidR="00837491" w:rsidRPr="00E967EA">
        <w:rPr>
          <w:rFonts w:ascii="Arial" w:hAnsi="Arial" w:cs="Arial"/>
          <w:sz w:val="20"/>
          <w:szCs w:val="20"/>
          <w:lang w:val="en-US"/>
        </w:rPr>
        <w:t xml:space="preserve"> </w:t>
      </w:r>
      <w:r w:rsidR="006168AA" w:rsidRPr="00E967EA">
        <w:rPr>
          <w:rFonts w:ascii="Arial" w:hAnsi="Arial" w:cs="Arial"/>
          <w:sz w:val="20"/>
          <w:szCs w:val="20"/>
          <w:lang w:val="en-US"/>
        </w:rPr>
        <w:t xml:space="preserve">increase </w:t>
      </w:r>
      <w:r w:rsidR="00F57278">
        <w:rPr>
          <w:rFonts w:ascii="Arial" w:hAnsi="Arial" w:cs="Arial"/>
          <w:sz w:val="20"/>
          <w:szCs w:val="20"/>
          <w:lang w:val="en-US"/>
        </w:rPr>
        <w:t>results</w:t>
      </w:r>
      <w:r w:rsidRPr="00E967EA">
        <w:rPr>
          <w:rFonts w:ascii="Arial" w:hAnsi="Arial" w:cs="Arial"/>
          <w:sz w:val="20"/>
          <w:szCs w:val="20"/>
          <w:lang w:val="en-US"/>
        </w:rPr>
        <w:t xml:space="preserve"> from </w:t>
      </w:r>
      <w:r w:rsidR="00C537C4" w:rsidRPr="00E967EA">
        <w:rPr>
          <w:rFonts w:ascii="Arial" w:hAnsi="Arial" w:cs="Arial"/>
          <w:sz w:val="20"/>
          <w:szCs w:val="20"/>
          <w:lang w:val="en-US"/>
        </w:rPr>
        <w:t>the success of village schools and the success of</w:t>
      </w:r>
      <w:r w:rsidR="00126332" w:rsidRPr="00E967EA">
        <w:rPr>
          <w:rFonts w:ascii="Arial" w:hAnsi="Arial" w:cs="Arial"/>
          <w:sz w:val="20"/>
          <w:szCs w:val="20"/>
          <w:lang w:val="en-US"/>
        </w:rPr>
        <w:t xml:space="preserve"> relatively</w:t>
      </w:r>
      <w:r w:rsidR="00450F1C" w:rsidRPr="00E967EA">
        <w:rPr>
          <w:rFonts w:ascii="Arial" w:hAnsi="Arial" w:cs="Arial"/>
          <w:sz w:val="20"/>
          <w:szCs w:val="20"/>
          <w:lang w:val="en-US"/>
        </w:rPr>
        <w:t xml:space="preserve"> poor students.</w:t>
      </w:r>
      <w:r w:rsidR="00893626" w:rsidRPr="00E967EA">
        <w:rPr>
          <w:rFonts w:ascii="Arial" w:hAnsi="Arial" w:cs="Arial"/>
          <w:sz w:val="20"/>
          <w:szCs w:val="20"/>
          <w:lang w:val="en-US"/>
        </w:rPr>
        <w:t xml:space="preserve"> In this</w:t>
      </w:r>
      <w:r w:rsidR="002448B9" w:rsidRPr="00E967EA">
        <w:rPr>
          <w:rFonts w:ascii="Arial" w:hAnsi="Arial" w:cs="Arial"/>
          <w:sz w:val="20"/>
          <w:szCs w:val="20"/>
          <w:lang w:val="en-US"/>
        </w:rPr>
        <w:t xml:space="preserve"> sense, results show </w:t>
      </w:r>
      <w:r w:rsidR="00893626" w:rsidRPr="00E967EA">
        <w:rPr>
          <w:rFonts w:ascii="Arial" w:hAnsi="Arial" w:cs="Arial"/>
          <w:sz w:val="20"/>
          <w:szCs w:val="20"/>
          <w:lang w:val="en-US"/>
        </w:rPr>
        <w:t xml:space="preserve">that inequality in education has </w:t>
      </w:r>
      <w:r w:rsidR="00CB6A30">
        <w:rPr>
          <w:rFonts w:ascii="Arial" w:hAnsi="Arial" w:cs="Arial"/>
          <w:sz w:val="20"/>
          <w:szCs w:val="20"/>
          <w:lang w:val="en-US"/>
        </w:rPr>
        <w:t>decreased</w:t>
      </w:r>
      <w:r w:rsidR="00893626" w:rsidRPr="00E967EA">
        <w:rPr>
          <w:rFonts w:ascii="Arial" w:hAnsi="Arial" w:cs="Arial"/>
          <w:sz w:val="20"/>
          <w:szCs w:val="20"/>
          <w:lang w:val="en-US"/>
        </w:rPr>
        <w:t xml:space="preserve"> in Turkey</w:t>
      </w:r>
      <w:r w:rsidR="00034B92" w:rsidRPr="00E967EA">
        <w:rPr>
          <w:rFonts w:ascii="Arial" w:hAnsi="Arial" w:cs="Arial"/>
          <w:sz w:val="20"/>
          <w:szCs w:val="20"/>
          <w:lang w:val="en-US"/>
        </w:rPr>
        <w:t xml:space="preserve"> but </w:t>
      </w:r>
      <w:r w:rsidR="00CB6A30">
        <w:rPr>
          <w:rFonts w:ascii="Arial" w:hAnsi="Arial" w:cs="Arial"/>
          <w:sz w:val="20"/>
          <w:szCs w:val="20"/>
          <w:lang w:val="en-US"/>
        </w:rPr>
        <w:t xml:space="preserve">the </w:t>
      </w:r>
      <w:r w:rsidR="006168AA" w:rsidRPr="00E967EA">
        <w:rPr>
          <w:rFonts w:ascii="Arial" w:hAnsi="Arial" w:cs="Arial"/>
          <w:sz w:val="20"/>
          <w:szCs w:val="20"/>
          <w:lang w:val="en-US"/>
        </w:rPr>
        <w:t xml:space="preserve">level of inequality </w:t>
      </w:r>
      <w:r w:rsidR="00034B92" w:rsidRPr="00E967EA">
        <w:rPr>
          <w:rFonts w:ascii="Arial" w:hAnsi="Arial" w:cs="Arial"/>
          <w:sz w:val="20"/>
          <w:szCs w:val="20"/>
          <w:lang w:val="en-US"/>
        </w:rPr>
        <w:t>is sti</w:t>
      </w:r>
      <w:r w:rsidR="00126332" w:rsidRPr="00E967EA">
        <w:rPr>
          <w:rFonts w:ascii="Arial" w:hAnsi="Arial" w:cs="Arial"/>
          <w:sz w:val="20"/>
          <w:szCs w:val="20"/>
          <w:lang w:val="en-US"/>
        </w:rPr>
        <w:t>ll quite</w:t>
      </w:r>
      <w:r w:rsidR="00034B92" w:rsidRPr="00E967EA">
        <w:rPr>
          <w:rFonts w:ascii="Arial" w:hAnsi="Arial" w:cs="Arial"/>
          <w:sz w:val="20"/>
          <w:szCs w:val="20"/>
          <w:lang w:val="en-US"/>
        </w:rPr>
        <w:t xml:space="preserve"> higher than </w:t>
      </w:r>
      <w:r w:rsidR="006168AA" w:rsidRPr="00E967EA">
        <w:rPr>
          <w:rFonts w:ascii="Arial" w:hAnsi="Arial" w:cs="Arial"/>
          <w:sz w:val="20"/>
          <w:szCs w:val="20"/>
          <w:lang w:val="en-US"/>
        </w:rPr>
        <w:t xml:space="preserve">that of </w:t>
      </w:r>
      <w:r w:rsidR="00034B92" w:rsidRPr="00E967EA">
        <w:rPr>
          <w:rFonts w:ascii="Arial" w:hAnsi="Arial" w:cs="Arial"/>
          <w:sz w:val="20"/>
          <w:szCs w:val="20"/>
          <w:lang w:val="en-US"/>
        </w:rPr>
        <w:t xml:space="preserve">OECD average. </w:t>
      </w:r>
    </w:p>
    <w:p w:rsidR="005A551F" w:rsidRPr="00E967EA" w:rsidRDefault="005A551F" w:rsidP="005A551F">
      <w:pPr>
        <w:rPr>
          <w:rFonts w:ascii="Arial" w:hAnsi="Arial" w:cs="Arial"/>
          <w:b/>
          <w:lang w:val="en-US"/>
        </w:rPr>
      </w:pPr>
      <w:r w:rsidRPr="00E967EA">
        <w:rPr>
          <w:rFonts w:ascii="Arial" w:hAnsi="Arial" w:cs="Arial"/>
          <w:b/>
          <w:lang w:val="en-US"/>
        </w:rPr>
        <w:t>Tur</w:t>
      </w:r>
      <w:r w:rsidR="00765D53" w:rsidRPr="00E967EA">
        <w:rPr>
          <w:rFonts w:ascii="Arial" w:hAnsi="Arial" w:cs="Arial"/>
          <w:b/>
          <w:lang w:val="en-US"/>
        </w:rPr>
        <w:t xml:space="preserve">key is the country with </w:t>
      </w:r>
      <w:r w:rsidR="00837491" w:rsidRPr="00E967EA">
        <w:rPr>
          <w:rFonts w:ascii="Arial" w:hAnsi="Arial" w:cs="Arial"/>
          <w:b/>
          <w:lang w:val="en-US"/>
        </w:rPr>
        <w:t xml:space="preserve">the </w:t>
      </w:r>
      <w:r w:rsidR="00765D53" w:rsidRPr="00E967EA">
        <w:rPr>
          <w:rFonts w:ascii="Arial" w:hAnsi="Arial" w:cs="Arial"/>
          <w:b/>
          <w:lang w:val="en-US"/>
        </w:rPr>
        <w:t>fastest increasing performance</w:t>
      </w:r>
    </w:p>
    <w:p w:rsidR="002448B9" w:rsidRPr="00E967EA" w:rsidRDefault="005A551F" w:rsidP="005A551F">
      <w:pPr>
        <w:jc w:val="both"/>
        <w:rPr>
          <w:rFonts w:ascii="Arial" w:hAnsi="Arial" w:cs="Arial"/>
          <w:sz w:val="20"/>
          <w:szCs w:val="20"/>
          <w:lang w:val="en-US"/>
        </w:rPr>
      </w:pPr>
      <w:r w:rsidRPr="00E967EA">
        <w:rPr>
          <w:rFonts w:ascii="Arial" w:hAnsi="Arial" w:cs="Arial"/>
          <w:sz w:val="20"/>
          <w:szCs w:val="20"/>
          <w:lang w:val="en-US"/>
        </w:rPr>
        <w:t xml:space="preserve">Organization for Economic Co-operation and </w:t>
      </w:r>
      <w:proofErr w:type="gramStart"/>
      <w:r w:rsidR="00837491" w:rsidRPr="00E967EA">
        <w:rPr>
          <w:rFonts w:ascii="Arial" w:hAnsi="Arial" w:cs="Arial"/>
          <w:sz w:val="20"/>
          <w:szCs w:val="20"/>
          <w:lang w:val="en-US"/>
        </w:rPr>
        <w:t>Development</w:t>
      </w:r>
      <w:r w:rsidRPr="00E967EA">
        <w:rPr>
          <w:rFonts w:ascii="Arial" w:hAnsi="Arial" w:cs="Arial"/>
          <w:sz w:val="20"/>
          <w:szCs w:val="20"/>
          <w:lang w:val="en-US"/>
        </w:rPr>
        <w:t>(</w:t>
      </w:r>
      <w:proofErr w:type="gramEnd"/>
      <w:r w:rsidRPr="00E967EA">
        <w:rPr>
          <w:rFonts w:ascii="Arial" w:hAnsi="Arial" w:cs="Arial"/>
          <w:sz w:val="20"/>
          <w:szCs w:val="20"/>
          <w:lang w:val="en-US"/>
        </w:rPr>
        <w:t>OECD)</w:t>
      </w:r>
      <w:r w:rsidR="00837491" w:rsidRPr="00E967EA">
        <w:rPr>
          <w:rFonts w:ascii="Arial" w:hAnsi="Arial" w:cs="Arial"/>
          <w:sz w:val="20"/>
          <w:szCs w:val="20"/>
          <w:lang w:val="en-US"/>
        </w:rPr>
        <w:t xml:space="preserve"> </w:t>
      </w:r>
      <w:r w:rsidR="00EE0121" w:rsidRPr="00E967EA">
        <w:rPr>
          <w:rFonts w:ascii="Arial" w:hAnsi="Arial" w:cs="Arial"/>
          <w:sz w:val="20"/>
          <w:szCs w:val="20"/>
          <w:lang w:val="en-US"/>
        </w:rPr>
        <w:t xml:space="preserve">coordinates </w:t>
      </w:r>
      <w:r w:rsidR="00AD1853" w:rsidRPr="00E967EA">
        <w:rPr>
          <w:rFonts w:ascii="Arial" w:hAnsi="Arial" w:cs="Arial"/>
          <w:sz w:val="20"/>
          <w:szCs w:val="20"/>
          <w:lang w:val="en-US"/>
        </w:rPr>
        <w:t xml:space="preserve">a triennial education survey called </w:t>
      </w:r>
      <w:proofErr w:type="spellStart"/>
      <w:r w:rsidR="00AD1853" w:rsidRPr="00E967EA">
        <w:rPr>
          <w:rFonts w:ascii="Arial" w:hAnsi="Arial" w:cs="Arial"/>
          <w:sz w:val="20"/>
          <w:szCs w:val="20"/>
          <w:lang w:val="en-US"/>
        </w:rPr>
        <w:t>Programme</w:t>
      </w:r>
      <w:proofErr w:type="spellEnd"/>
      <w:r w:rsidR="00AD1853" w:rsidRPr="00E967EA">
        <w:rPr>
          <w:rFonts w:ascii="Arial" w:hAnsi="Arial" w:cs="Arial"/>
          <w:sz w:val="20"/>
          <w:szCs w:val="20"/>
          <w:lang w:val="en-US"/>
        </w:rPr>
        <w:t xml:space="preserve"> for International Student Assessment</w:t>
      </w:r>
      <w:r w:rsidR="0072225F">
        <w:rPr>
          <w:rFonts w:ascii="Arial" w:hAnsi="Arial" w:cs="Arial"/>
          <w:sz w:val="20"/>
          <w:szCs w:val="20"/>
          <w:lang w:val="en-US"/>
        </w:rPr>
        <w:t xml:space="preserve"> </w:t>
      </w:r>
      <w:r w:rsidR="00AD1853" w:rsidRPr="00E967EA">
        <w:rPr>
          <w:rFonts w:ascii="Arial" w:hAnsi="Arial" w:cs="Arial"/>
          <w:sz w:val="20"/>
          <w:szCs w:val="20"/>
          <w:lang w:val="en-US"/>
        </w:rPr>
        <w:t>(PISA) since the year of 2000. PISA surveys aim to evaluate the 15-year-old</w:t>
      </w:r>
      <w:r w:rsidR="00F87332" w:rsidRPr="00E967EA">
        <w:rPr>
          <w:rFonts w:ascii="Arial" w:hAnsi="Arial" w:cs="Arial"/>
          <w:sz w:val="20"/>
          <w:szCs w:val="20"/>
          <w:lang w:val="en-US"/>
        </w:rPr>
        <w:t xml:space="preserve"> </w:t>
      </w:r>
      <w:r w:rsidR="00AD1853" w:rsidRPr="00E967EA">
        <w:rPr>
          <w:rFonts w:ascii="Arial" w:hAnsi="Arial" w:cs="Arial"/>
          <w:sz w:val="20"/>
          <w:szCs w:val="20"/>
          <w:lang w:val="en-US"/>
        </w:rPr>
        <w:t>students' skills and knowledge in science, mathematics and reading</w:t>
      </w:r>
      <w:r w:rsidR="00837491" w:rsidRPr="00E967EA">
        <w:rPr>
          <w:rFonts w:ascii="Arial" w:hAnsi="Arial" w:cs="Arial"/>
          <w:sz w:val="20"/>
          <w:szCs w:val="20"/>
          <w:lang w:val="en-US"/>
        </w:rPr>
        <w:t xml:space="preserve">, </w:t>
      </w:r>
      <w:r w:rsidR="00CC4878" w:rsidRPr="00E967EA">
        <w:rPr>
          <w:rFonts w:ascii="Arial" w:hAnsi="Arial" w:cs="Arial"/>
          <w:sz w:val="20"/>
          <w:szCs w:val="20"/>
          <w:lang w:val="en-US"/>
        </w:rPr>
        <w:t xml:space="preserve">and simultaneously </w:t>
      </w:r>
      <w:r w:rsidR="00EE446D">
        <w:rPr>
          <w:rFonts w:ascii="Arial" w:hAnsi="Arial" w:cs="Arial"/>
          <w:sz w:val="20"/>
          <w:szCs w:val="20"/>
          <w:lang w:val="en-US"/>
        </w:rPr>
        <w:t>provide</w:t>
      </w:r>
      <w:r w:rsidR="00AD1853" w:rsidRPr="00E967EA">
        <w:rPr>
          <w:rFonts w:ascii="Arial" w:hAnsi="Arial" w:cs="Arial"/>
          <w:sz w:val="20"/>
          <w:szCs w:val="20"/>
          <w:lang w:val="en-US"/>
        </w:rPr>
        <w:t xml:space="preserve"> detailed information about family background and school environment.</w:t>
      </w:r>
      <w:r w:rsidR="00CC4878" w:rsidRPr="00E967EA">
        <w:rPr>
          <w:rStyle w:val="FootnoteReference"/>
          <w:rFonts w:ascii="Arial" w:hAnsi="Arial" w:cs="Arial"/>
          <w:sz w:val="20"/>
          <w:szCs w:val="20"/>
          <w:lang w:val="en-US"/>
        </w:rPr>
        <w:footnoteReference w:id="3"/>
      </w:r>
      <w:r w:rsidR="00AD1853" w:rsidRPr="00E967EA">
        <w:rPr>
          <w:rFonts w:ascii="Arial" w:hAnsi="Arial" w:cs="Arial"/>
          <w:sz w:val="20"/>
          <w:szCs w:val="20"/>
          <w:lang w:val="en-US"/>
        </w:rPr>
        <w:t xml:space="preserve"> In th</w:t>
      </w:r>
      <w:r w:rsidR="00AA60A9">
        <w:rPr>
          <w:rFonts w:ascii="Arial" w:hAnsi="Arial" w:cs="Arial"/>
          <w:sz w:val="20"/>
          <w:szCs w:val="20"/>
          <w:lang w:val="en-US"/>
        </w:rPr>
        <w:t>is sense, PISA surveys let researchers</w:t>
      </w:r>
      <w:r w:rsidR="00AD1853" w:rsidRPr="00E967EA">
        <w:rPr>
          <w:rFonts w:ascii="Arial" w:hAnsi="Arial" w:cs="Arial"/>
          <w:sz w:val="20"/>
          <w:szCs w:val="20"/>
          <w:lang w:val="en-US"/>
        </w:rPr>
        <w:t xml:space="preserve"> compare student performances at </w:t>
      </w:r>
      <w:r w:rsidR="00AA60A9">
        <w:rPr>
          <w:rFonts w:ascii="Arial" w:hAnsi="Arial" w:cs="Arial"/>
          <w:sz w:val="20"/>
          <w:szCs w:val="20"/>
          <w:lang w:val="en-US"/>
        </w:rPr>
        <w:t xml:space="preserve">the </w:t>
      </w:r>
      <w:r w:rsidR="00AD1853" w:rsidRPr="00E967EA">
        <w:rPr>
          <w:rFonts w:ascii="Arial" w:hAnsi="Arial" w:cs="Arial"/>
          <w:sz w:val="20"/>
          <w:szCs w:val="20"/>
          <w:lang w:val="en-US"/>
        </w:rPr>
        <w:t xml:space="preserve">international level and assess outcomes of </w:t>
      </w:r>
      <w:r w:rsidR="00BA3459" w:rsidRPr="00E967EA">
        <w:rPr>
          <w:rFonts w:ascii="Arial" w:hAnsi="Arial" w:cs="Arial"/>
          <w:sz w:val="20"/>
          <w:szCs w:val="20"/>
          <w:lang w:val="en-US"/>
        </w:rPr>
        <w:t>worldwide</w:t>
      </w:r>
      <w:r w:rsidR="00837491" w:rsidRPr="00E967EA">
        <w:rPr>
          <w:rFonts w:ascii="Arial" w:hAnsi="Arial" w:cs="Arial"/>
          <w:sz w:val="20"/>
          <w:szCs w:val="20"/>
          <w:lang w:val="en-US"/>
        </w:rPr>
        <w:t xml:space="preserve"> </w:t>
      </w:r>
      <w:r w:rsidR="007F0C5C" w:rsidRPr="00E967EA">
        <w:rPr>
          <w:rFonts w:ascii="Arial" w:hAnsi="Arial" w:cs="Arial"/>
          <w:sz w:val="20"/>
          <w:szCs w:val="20"/>
          <w:lang w:val="en-US"/>
        </w:rPr>
        <w:t xml:space="preserve">education systems. Also, these surveys provide </w:t>
      </w:r>
      <w:proofErr w:type="gramStart"/>
      <w:r w:rsidR="007F0C5C" w:rsidRPr="00E967EA">
        <w:rPr>
          <w:rFonts w:ascii="Arial" w:hAnsi="Arial" w:cs="Arial"/>
          <w:sz w:val="20"/>
          <w:szCs w:val="20"/>
          <w:lang w:val="en-US"/>
        </w:rPr>
        <w:t>data</w:t>
      </w:r>
      <w:proofErr w:type="gramEnd"/>
      <w:r w:rsidR="007F0C5C" w:rsidRPr="00E967EA">
        <w:rPr>
          <w:rFonts w:ascii="Arial" w:hAnsi="Arial" w:cs="Arial"/>
          <w:sz w:val="20"/>
          <w:szCs w:val="20"/>
          <w:lang w:val="en-US"/>
        </w:rPr>
        <w:t xml:space="preserve"> </w:t>
      </w:r>
      <w:r w:rsidR="00E93510" w:rsidRPr="00E967EA">
        <w:rPr>
          <w:rFonts w:ascii="Arial" w:hAnsi="Arial" w:cs="Arial"/>
          <w:sz w:val="20"/>
          <w:szCs w:val="20"/>
          <w:lang w:val="en-US"/>
        </w:rPr>
        <w:t xml:space="preserve">required </w:t>
      </w:r>
      <w:r w:rsidR="007F0C5C" w:rsidRPr="00E967EA">
        <w:rPr>
          <w:rFonts w:ascii="Arial" w:hAnsi="Arial" w:cs="Arial"/>
          <w:sz w:val="20"/>
          <w:szCs w:val="20"/>
          <w:lang w:val="en-US"/>
        </w:rPr>
        <w:t>to evaluate strengt</w:t>
      </w:r>
      <w:r w:rsidR="00BA3459" w:rsidRPr="00E967EA">
        <w:rPr>
          <w:rFonts w:ascii="Arial" w:hAnsi="Arial" w:cs="Arial"/>
          <w:sz w:val="20"/>
          <w:szCs w:val="20"/>
          <w:lang w:val="en-US"/>
        </w:rPr>
        <w:t>hs and weaknesses of education</w:t>
      </w:r>
      <w:r w:rsidR="007F0C5C" w:rsidRPr="00E967EA">
        <w:rPr>
          <w:rFonts w:ascii="Arial" w:hAnsi="Arial" w:cs="Arial"/>
          <w:sz w:val="20"/>
          <w:szCs w:val="20"/>
          <w:lang w:val="en-US"/>
        </w:rPr>
        <w:t xml:space="preserve"> systems.</w:t>
      </w:r>
    </w:p>
    <w:p w:rsidR="00F04A23" w:rsidRPr="00E967EA" w:rsidRDefault="00E734F4" w:rsidP="00F04A23">
      <w:pPr>
        <w:jc w:val="both"/>
        <w:rPr>
          <w:noProof/>
          <w:lang w:val="en-US"/>
        </w:rPr>
      </w:pPr>
      <w:r w:rsidRPr="00E967EA">
        <w:rPr>
          <w:rFonts w:ascii="Arial" w:hAnsi="Arial" w:cs="Arial"/>
          <w:sz w:val="20"/>
          <w:szCs w:val="20"/>
          <w:lang w:val="en-US"/>
        </w:rPr>
        <w:t xml:space="preserve">The latest report of PISA (2012) </w:t>
      </w:r>
      <w:r w:rsidR="006168AA" w:rsidRPr="00E967EA">
        <w:rPr>
          <w:rFonts w:ascii="Arial" w:hAnsi="Arial" w:cs="Arial"/>
          <w:sz w:val="20"/>
          <w:szCs w:val="20"/>
          <w:lang w:val="en-US"/>
        </w:rPr>
        <w:t xml:space="preserve">has been </w:t>
      </w:r>
      <w:r w:rsidRPr="00E967EA">
        <w:rPr>
          <w:rFonts w:ascii="Arial" w:hAnsi="Arial" w:cs="Arial"/>
          <w:sz w:val="20"/>
          <w:szCs w:val="20"/>
          <w:lang w:val="en-US"/>
        </w:rPr>
        <w:t>published in Decem</w:t>
      </w:r>
      <w:r w:rsidR="00FD7BF1" w:rsidRPr="00E967EA">
        <w:rPr>
          <w:rFonts w:ascii="Arial" w:hAnsi="Arial" w:cs="Arial"/>
          <w:sz w:val="20"/>
          <w:szCs w:val="20"/>
          <w:lang w:val="en-US"/>
        </w:rPr>
        <w:t xml:space="preserve">ber, 2013. </w:t>
      </w:r>
      <w:r w:rsidR="00AF756C" w:rsidRPr="00E967EA">
        <w:rPr>
          <w:rFonts w:ascii="Arial" w:hAnsi="Arial" w:cs="Arial"/>
          <w:sz w:val="20"/>
          <w:szCs w:val="20"/>
          <w:lang w:val="en-US"/>
        </w:rPr>
        <w:t xml:space="preserve">More than </w:t>
      </w:r>
      <w:r w:rsidR="00126332" w:rsidRPr="00E967EA">
        <w:rPr>
          <w:rFonts w:ascii="Arial" w:hAnsi="Arial" w:cs="Arial"/>
          <w:sz w:val="20"/>
          <w:szCs w:val="20"/>
          <w:lang w:val="en-US"/>
        </w:rPr>
        <w:t xml:space="preserve">510 thousand students, </w:t>
      </w:r>
      <w:r w:rsidR="00FD7BF1" w:rsidRPr="00E967EA">
        <w:rPr>
          <w:rFonts w:ascii="Arial" w:hAnsi="Arial" w:cs="Arial"/>
          <w:sz w:val="20"/>
          <w:szCs w:val="20"/>
          <w:lang w:val="en-US"/>
        </w:rPr>
        <w:t xml:space="preserve">representing 28 million </w:t>
      </w:r>
      <w:r w:rsidR="00AF756C" w:rsidRPr="00E967EA">
        <w:rPr>
          <w:rFonts w:ascii="Arial" w:hAnsi="Arial" w:cs="Arial"/>
          <w:sz w:val="20"/>
          <w:szCs w:val="20"/>
          <w:lang w:val="en-US"/>
        </w:rPr>
        <w:t>students globally took part in PISA 2012 survey</w:t>
      </w:r>
      <w:r w:rsidR="006C017F">
        <w:rPr>
          <w:rFonts w:ascii="Arial" w:hAnsi="Arial" w:cs="Arial"/>
          <w:sz w:val="20"/>
          <w:szCs w:val="20"/>
          <w:lang w:val="en-US"/>
        </w:rPr>
        <w:t>s</w:t>
      </w:r>
      <w:r w:rsidR="008518A0" w:rsidRPr="00E967EA">
        <w:rPr>
          <w:rFonts w:ascii="Arial" w:hAnsi="Arial" w:cs="Arial"/>
          <w:sz w:val="20"/>
          <w:szCs w:val="20"/>
          <w:lang w:val="en-US"/>
        </w:rPr>
        <w:t xml:space="preserve"> and </w:t>
      </w:r>
      <w:r w:rsidR="006C017F">
        <w:rPr>
          <w:rFonts w:ascii="Arial" w:hAnsi="Arial" w:cs="Arial"/>
          <w:sz w:val="20"/>
          <w:szCs w:val="20"/>
          <w:lang w:val="en-US"/>
        </w:rPr>
        <w:t>they cover</w:t>
      </w:r>
      <w:r w:rsidR="008518A0" w:rsidRPr="00E967EA">
        <w:rPr>
          <w:rFonts w:ascii="Arial" w:hAnsi="Arial" w:cs="Arial"/>
          <w:sz w:val="20"/>
          <w:szCs w:val="20"/>
          <w:lang w:val="en-US"/>
        </w:rPr>
        <w:t xml:space="preserve"> </w:t>
      </w:r>
      <w:r w:rsidR="00126332" w:rsidRPr="00E967EA">
        <w:rPr>
          <w:rFonts w:ascii="Arial" w:hAnsi="Arial" w:cs="Arial"/>
          <w:sz w:val="20"/>
          <w:szCs w:val="20"/>
          <w:lang w:val="en-US"/>
        </w:rPr>
        <w:t xml:space="preserve">65 countries including </w:t>
      </w:r>
      <w:r w:rsidR="00E52537" w:rsidRPr="00E967EA">
        <w:rPr>
          <w:rFonts w:ascii="Arial" w:hAnsi="Arial" w:cs="Arial"/>
          <w:sz w:val="20"/>
          <w:szCs w:val="20"/>
          <w:lang w:val="en-US"/>
        </w:rPr>
        <w:t xml:space="preserve">34 OECD </w:t>
      </w:r>
      <w:r w:rsidR="00837491" w:rsidRPr="00E967EA">
        <w:rPr>
          <w:rFonts w:ascii="Arial" w:hAnsi="Arial" w:cs="Arial"/>
          <w:sz w:val="20"/>
          <w:szCs w:val="20"/>
          <w:lang w:val="en-US"/>
        </w:rPr>
        <w:t xml:space="preserve">member </w:t>
      </w:r>
      <w:r w:rsidR="00E52537" w:rsidRPr="00E967EA">
        <w:rPr>
          <w:rFonts w:ascii="Arial" w:hAnsi="Arial" w:cs="Arial"/>
          <w:sz w:val="20"/>
          <w:szCs w:val="20"/>
          <w:lang w:val="en-US"/>
        </w:rPr>
        <w:t>countries. In Turk</w:t>
      </w:r>
      <w:r w:rsidR="008473CF">
        <w:rPr>
          <w:rFonts w:ascii="Arial" w:hAnsi="Arial" w:cs="Arial"/>
          <w:sz w:val="20"/>
          <w:szCs w:val="20"/>
          <w:lang w:val="en-US"/>
        </w:rPr>
        <w:t>ey 4848 students participated in the</w:t>
      </w:r>
      <w:r w:rsidR="00E52537" w:rsidRPr="00E967EA">
        <w:rPr>
          <w:rFonts w:ascii="Arial" w:hAnsi="Arial" w:cs="Arial"/>
          <w:sz w:val="20"/>
          <w:szCs w:val="20"/>
          <w:lang w:val="en-US"/>
        </w:rPr>
        <w:t xml:space="preserve"> 2012 survey. On the other hand, </w:t>
      </w:r>
      <w:r w:rsidR="00126332" w:rsidRPr="00E967EA">
        <w:rPr>
          <w:rFonts w:ascii="Arial" w:hAnsi="Arial" w:cs="Arial"/>
          <w:sz w:val="20"/>
          <w:szCs w:val="20"/>
          <w:lang w:val="en-US"/>
        </w:rPr>
        <w:t xml:space="preserve">Turkey </w:t>
      </w:r>
      <w:r w:rsidR="00450F1C" w:rsidRPr="00E967EA">
        <w:rPr>
          <w:rFonts w:ascii="Arial" w:hAnsi="Arial" w:cs="Arial"/>
          <w:sz w:val="20"/>
          <w:szCs w:val="20"/>
          <w:lang w:val="en-US"/>
        </w:rPr>
        <w:t xml:space="preserve">takes part </w:t>
      </w:r>
      <w:r w:rsidR="00837491" w:rsidRPr="00E967EA">
        <w:rPr>
          <w:rFonts w:ascii="Arial" w:hAnsi="Arial" w:cs="Arial"/>
          <w:sz w:val="20"/>
          <w:szCs w:val="20"/>
          <w:lang w:val="en-US"/>
        </w:rPr>
        <w:t xml:space="preserve">regularly </w:t>
      </w:r>
      <w:r w:rsidR="00817362" w:rsidRPr="00E967EA">
        <w:rPr>
          <w:rFonts w:ascii="Arial" w:hAnsi="Arial" w:cs="Arial"/>
          <w:sz w:val="20"/>
          <w:szCs w:val="20"/>
          <w:lang w:val="en-US"/>
        </w:rPr>
        <w:t xml:space="preserve">in PISA studies </w:t>
      </w:r>
      <w:r w:rsidR="00837491" w:rsidRPr="00E967EA">
        <w:rPr>
          <w:rFonts w:ascii="Arial" w:hAnsi="Arial" w:cs="Arial"/>
          <w:sz w:val="20"/>
          <w:szCs w:val="20"/>
          <w:lang w:val="en-US"/>
        </w:rPr>
        <w:t>since 2003.</w:t>
      </w:r>
      <w:r w:rsidR="00E52537" w:rsidRPr="00E967EA">
        <w:rPr>
          <w:rFonts w:ascii="Arial" w:hAnsi="Arial" w:cs="Arial"/>
          <w:sz w:val="20"/>
          <w:szCs w:val="20"/>
          <w:lang w:val="en-US"/>
        </w:rPr>
        <w:t xml:space="preserve"> According</w:t>
      </w:r>
      <w:r w:rsidR="000663C0" w:rsidRPr="00E967EA">
        <w:rPr>
          <w:rFonts w:ascii="Arial" w:hAnsi="Arial" w:cs="Arial"/>
          <w:sz w:val="20"/>
          <w:szCs w:val="20"/>
          <w:lang w:val="en-US"/>
        </w:rPr>
        <w:t xml:space="preserve"> to reported PISA 2012 results, </w:t>
      </w:r>
      <w:r w:rsidR="00E52537" w:rsidRPr="00E967EA">
        <w:rPr>
          <w:rFonts w:ascii="Arial" w:hAnsi="Arial" w:cs="Arial"/>
          <w:sz w:val="20"/>
          <w:szCs w:val="20"/>
          <w:lang w:val="en-US"/>
        </w:rPr>
        <w:t>Turkey improved average P</w:t>
      </w:r>
      <w:r w:rsidR="006168AA" w:rsidRPr="00E967EA">
        <w:rPr>
          <w:rFonts w:ascii="Arial" w:hAnsi="Arial" w:cs="Arial"/>
          <w:sz w:val="20"/>
          <w:szCs w:val="20"/>
          <w:lang w:val="en-US"/>
        </w:rPr>
        <w:t>ISA scores drastically compared</w:t>
      </w:r>
      <w:r w:rsidR="00E52537" w:rsidRPr="00E967EA">
        <w:rPr>
          <w:rFonts w:ascii="Arial" w:hAnsi="Arial" w:cs="Arial"/>
          <w:sz w:val="20"/>
          <w:szCs w:val="20"/>
          <w:lang w:val="en-US"/>
        </w:rPr>
        <w:t xml:space="preserve"> to previous </w:t>
      </w:r>
      <w:r w:rsidR="000663C0" w:rsidRPr="00E967EA">
        <w:rPr>
          <w:rFonts w:ascii="Arial" w:hAnsi="Arial" w:cs="Arial"/>
          <w:sz w:val="20"/>
          <w:szCs w:val="20"/>
          <w:lang w:val="en-US"/>
        </w:rPr>
        <w:t xml:space="preserve">PISA </w:t>
      </w:r>
      <w:r w:rsidR="00E52537" w:rsidRPr="00E967EA">
        <w:rPr>
          <w:rFonts w:ascii="Arial" w:hAnsi="Arial" w:cs="Arial"/>
          <w:sz w:val="20"/>
          <w:szCs w:val="20"/>
          <w:lang w:val="en-US"/>
        </w:rPr>
        <w:t>studies. Despite</w:t>
      </w:r>
      <w:r w:rsidR="00837491" w:rsidRPr="00E967EA">
        <w:rPr>
          <w:rFonts w:ascii="Arial" w:hAnsi="Arial" w:cs="Arial"/>
          <w:sz w:val="20"/>
          <w:szCs w:val="20"/>
          <w:lang w:val="en-US"/>
        </w:rPr>
        <w:t xml:space="preserve"> </w:t>
      </w:r>
      <w:r w:rsidR="00274DBE" w:rsidRPr="00E967EA">
        <w:rPr>
          <w:rFonts w:ascii="Arial" w:hAnsi="Arial" w:cs="Arial"/>
          <w:sz w:val="20"/>
          <w:szCs w:val="20"/>
          <w:lang w:val="en-US"/>
        </w:rPr>
        <w:t>large increases in PISA scores</w:t>
      </w:r>
      <w:r w:rsidR="00BA3459" w:rsidRPr="00E967EA">
        <w:rPr>
          <w:rFonts w:ascii="Arial" w:hAnsi="Arial" w:cs="Arial"/>
          <w:sz w:val="20"/>
          <w:szCs w:val="20"/>
          <w:lang w:val="en-US"/>
        </w:rPr>
        <w:t xml:space="preserve">, </w:t>
      </w:r>
      <w:r w:rsidR="00E52537" w:rsidRPr="00E967EA">
        <w:rPr>
          <w:rFonts w:ascii="Arial" w:hAnsi="Arial" w:cs="Arial"/>
          <w:sz w:val="20"/>
          <w:szCs w:val="20"/>
          <w:lang w:val="en-US"/>
        </w:rPr>
        <w:t xml:space="preserve">ranking of Turkey among OECD countries has not changed. Still Turkey is third </w:t>
      </w:r>
      <w:r w:rsidR="00AB2377">
        <w:rPr>
          <w:rFonts w:ascii="Arial" w:hAnsi="Arial" w:cs="Arial"/>
          <w:sz w:val="20"/>
          <w:szCs w:val="20"/>
          <w:lang w:val="en-US"/>
        </w:rPr>
        <w:t xml:space="preserve">to </w:t>
      </w:r>
      <w:r w:rsidR="00E52537" w:rsidRPr="00E967EA">
        <w:rPr>
          <w:rFonts w:ascii="Arial" w:hAnsi="Arial" w:cs="Arial"/>
          <w:sz w:val="20"/>
          <w:szCs w:val="20"/>
          <w:lang w:val="en-US"/>
        </w:rPr>
        <w:t>last among</w:t>
      </w:r>
      <w:r w:rsidR="002E361B" w:rsidRPr="00E967EA">
        <w:rPr>
          <w:rFonts w:ascii="Arial" w:hAnsi="Arial" w:cs="Arial"/>
          <w:sz w:val="20"/>
          <w:szCs w:val="20"/>
          <w:lang w:val="en-US"/>
        </w:rPr>
        <w:t xml:space="preserve"> them</w:t>
      </w:r>
      <w:r w:rsidR="00E52537" w:rsidRPr="00E967EA">
        <w:rPr>
          <w:rFonts w:ascii="Arial" w:hAnsi="Arial" w:cs="Arial"/>
          <w:sz w:val="20"/>
          <w:szCs w:val="20"/>
          <w:lang w:val="en-US"/>
        </w:rPr>
        <w:t>.</w:t>
      </w:r>
      <w:r w:rsidR="00274DBE" w:rsidRPr="00E967EA">
        <w:rPr>
          <w:rFonts w:ascii="Arial" w:hAnsi="Arial" w:cs="Arial"/>
          <w:sz w:val="20"/>
          <w:szCs w:val="20"/>
          <w:lang w:val="en-US"/>
        </w:rPr>
        <w:t xml:space="preserve"> </w:t>
      </w:r>
      <w:r w:rsidR="00AB2377">
        <w:rPr>
          <w:rFonts w:ascii="Arial" w:hAnsi="Arial" w:cs="Arial"/>
          <w:sz w:val="20"/>
          <w:szCs w:val="20"/>
          <w:lang w:val="en-US"/>
        </w:rPr>
        <w:t>However,</w:t>
      </w:r>
      <w:r w:rsidR="007E63D7" w:rsidRPr="00E967EA">
        <w:rPr>
          <w:rFonts w:ascii="Arial" w:hAnsi="Arial" w:cs="Arial"/>
          <w:sz w:val="20"/>
          <w:szCs w:val="20"/>
          <w:lang w:val="en-US"/>
        </w:rPr>
        <w:t xml:space="preserve"> </w:t>
      </w:r>
      <w:r w:rsidR="00646594" w:rsidRPr="00E967EA">
        <w:rPr>
          <w:rFonts w:ascii="Arial" w:hAnsi="Arial" w:cs="Arial"/>
          <w:sz w:val="20"/>
          <w:szCs w:val="20"/>
          <w:lang w:val="en-US"/>
        </w:rPr>
        <w:t xml:space="preserve">the </w:t>
      </w:r>
      <w:r w:rsidR="00040B9C" w:rsidRPr="00E967EA">
        <w:rPr>
          <w:rFonts w:ascii="Arial" w:hAnsi="Arial" w:cs="Arial"/>
          <w:sz w:val="20"/>
          <w:szCs w:val="20"/>
          <w:lang w:val="en-US"/>
        </w:rPr>
        <w:t>gap between</w:t>
      </w:r>
      <w:r w:rsidR="00AB2377">
        <w:rPr>
          <w:rFonts w:ascii="Arial" w:hAnsi="Arial" w:cs="Arial"/>
          <w:sz w:val="20"/>
          <w:szCs w:val="20"/>
          <w:lang w:val="en-US"/>
        </w:rPr>
        <w:t xml:space="preserve"> Turkey and</w:t>
      </w:r>
      <w:r w:rsidR="00040B9C" w:rsidRPr="00E967EA">
        <w:rPr>
          <w:rFonts w:ascii="Arial" w:hAnsi="Arial" w:cs="Arial"/>
          <w:sz w:val="20"/>
          <w:szCs w:val="20"/>
          <w:lang w:val="en-US"/>
        </w:rPr>
        <w:t xml:space="preserve"> countries </w:t>
      </w:r>
      <w:r w:rsidR="00274DBE" w:rsidRPr="00E967EA">
        <w:rPr>
          <w:rFonts w:ascii="Arial" w:hAnsi="Arial" w:cs="Arial"/>
          <w:sz w:val="20"/>
          <w:szCs w:val="20"/>
          <w:lang w:val="en-US"/>
        </w:rPr>
        <w:t xml:space="preserve">ranked </w:t>
      </w:r>
      <w:r w:rsidR="00040B9C" w:rsidRPr="00E967EA">
        <w:rPr>
          <w:rFonts w:ascii="Arial" w:hAnsi="Arial" w:cs="Arial"/>
          <w:sz w:val="20"/>
          <w:szCs w:val="20"/>
          <w:lang w:val="en-US"/>
        </w:rPr>
        <w:t>above</w:t>
      </w:r>
      <w:r w:rsidR="00B22B7B" w:rsidRPr="00E967EA">
        <w:rPr>
          <w:rFonts w:ascii="Arial" w:hAnsi="Arial" w:cs="Arial"/>
          <w:sz w:val="20"/>
          <w:szCs w:val="20"/>
          <w:lang w:val="en-US"/>
        </w:rPr>
        <w:t xml:space="preserve"> Turkey</w:t>
      </w:r>
      <w:r w:rsidR="00AB2377">
        <w:rPr>
          <w:rFonts w:ascii="Arial" w:hAnsi="Arial" w:cs="Arial"/>
          <w:sz w:val="20"/>
          <w:szCs w:val="20"/>
          <w:lang w:val="en-US"/>
        </w:rPr>
        <w:t xml:space="preserve"> has significantly decreased</w:t>
      </w:r>
      <w:r w:rsidR="00040B9C" w:rsidRPr="00E967EA">
        <w:rPr>
          <w:rFonts w:ascii="Arial" w:hAnsi="Arial" w:cs="Arial"/>
          <w:sz w:val="20"/>
          <w:szCs w:val="20"/>
          <w:lang w:val="en-US"/>
        </w:rPr>
        <w:t xml:space="preserve">. </w:t>
      </w:r>
    </w:p>
    <w:p w:rsidR="000826BC" w:rsidRDefault="000826BC" w:rsidP="00F04A23">
      <w:pPr>
        <w:jc w:val="both"/>
        <w:rPr>
          <w:rFonts w:ascii="Arial" w:hAnsi="Arial" w:cs="Arial"/>
          <w:sz w:val="20"/>
          <w:szCs w:val="20"/>
          <w:lang w:val="en-US"/>
        </w:rPr>
      </w:pPr>
    </w:p>
    <w:p w:rsidR="009B57F0" w:rsidRPr="00E967EA" w:rsidRDefault="00B07ACA" w:rsidP="00F04A23">
      <w:pPr>
        <w:jc w:val="both"/>
        <w:rPr>
          <w:rFonts w:ascii="Arial" w:hAnsi="Arial" w:cs="Arial"/>
          <w:sz w:val="20"/>
          <w:szCs w:val="20"/>
          <w:lang w:val="en-US"/>
        </w:rPr>
      </w:pPr>
      <w:r w:rsidRPr="00E967EA">
        <w:rPr>
          <w:noProof/>
        </w:rPr>
        <w:lastRenderedPageBreak/>
        <w:drawing>
          <wp:anchor distT="0" distB="0" distL="114300" distR="114300" simplePos="0" relativeHeight="251655168" behindDoc="0" locked="0" layoutInCell="1" allowOverlap="1">
            <wp:simplePos x="0" y="0"/>
            <wp:positionH relativeFrom="column">
              <wp:posOffset>2291080</wp:posOffset>
            </wp:positionH>
            <wp:positionV relativeFrom="paragraph">
              <wp:posOffset>462280</wp:posOffset>
            </wp:positionV>
            <wp:extent cx="3648075" cy="2219325"/>
            <wp:effectExtent l="0" t="0" r="0" b="0"/>
            <wp:wrapSquare wrapText="bothSides"/>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E270F8">
        <w:rPr>
          <w:noProof/>
        </w:rPr>
        <mc:AlternateContent>
          <mc:Choice Requires="wps">
            <w:drawing>
              <wp:anchor distT="0" distB="0" distL="114300" distR="114300" simplePos="0" relativeHeight="251656704" behindDoc="0" locked="0" layoutInCell="1" allowOverlap="1">
                <wp:simplePos x="0" y="0"/>
                <wp:positionH relativeFrom="column">
                  <wp:posOffset>2272030</wp:posOffset>
                </wp:positionH>
                <wp:positionV relativeFrom="paragraph">
                  <wp:posOffset>109855</wp:posOffset>
                </wp:positionV>
                <wp:extent cx="3648075" cy="273050"/>
                <wp:effectExtent l="0" t="0" r="0" b="3175"/>
                <wp:wrapSquare wrapText="bothSides"/>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01B" w:rsidRPr="0021501B" w:rsidRDefault="00274DBE" w:rsidP="00072B5C">
                            <w:pPr>
                              <w:pStyle w:val="Caption"/>
                              <w:jc w:val="center"/>
                              <w:rPr>
                                <w:rFonts w:ascii="Arial" w:hAnsi="Arial" w:cs="Arial"/>
                                <w:color w:val="auto"/>
                                <w:sz w:val="20"/>
                                <w:szCs w:val="20"/>
                                <w:lang w:val="en-US"/>
                              </w:rPr>
                            </w:pPr>
                            <w:r>
                              <w:rPr>
                                <w:rFonts w:ascii="Arial" w:hAnsi="Arial" w:cs="Arial"/>
                                <w:color w:val="auto"/>
                                <w:sz w:val="20"/>
                                <w:szCs w:val="20"/>
                                <w:lang w:val="en-US"/>
                              </w:rPr>
                              <w:t>Figure</w:t>
                            </w:r>
                            <w:r w:rsidR="00397026">
                              <w:rPr>
                                <w:rFonts w:ascii="Arial" w:hAnsi="Arial" w:cs="Arial"/>
                                <w:color w:val="auto"/>
                                <w:sz w:val="20"/>
                                <w:szCs w:val="20"/>
                                <w:lang w:val="en-US"/>
                              </w:rPr>
                              <w:t xml:space="preserve"> </w:t>
                            </w:r>
                            <w:r w:rsidR="008504A7">
                              <w:rPr>
                                <w:rFonts w:ascii="Arial" w:hAnsi="Arial" w:cs="Arial"/>
                                <w:color w:val="auto"/>
                                <w:sz w:val="20"/>
                                <w:szCs w:val="20"/>
                                <w:lang w:val="en-US"/>
                              </w:rPr>
                              <w:fldChar w:fldCharType="begin"/>
                            </w:r>
                            <w:r w:rsidR="004752FE">
                              <w:rPr>
                                <w:rFonts w:ascii="Arial" w:hAnsi="Arial" w:cs="Arial"/>
                                <w:color w:val="auto"/>
                                <w:sz w:val="20"/>
                                <w:szCs w:val="20"/>
                                <w:lang w:val="en-US"/>
                              </w:rPr>
                              <w:instrText xml:space="preserve"> SEQ Figure_ \* ARABIC </w:instrText>
                            </w:r>
                            <w:r w:rsidR="008504A7">
                              <w:rPr>
                                <w:rFonts w:ascii="Arial" w:hAnsi="Arial" w:cs="Arial"/>
                                <w:color w:val="auto"/>
                                <w:sz w:val="20"/>
                                <w:szCs w:val="20"/>
                                <w:lang w:val="en-US"/>
                              </w:rPr>
                              <w:fldChar w:fldCharType="separate"/>
                            </w:r>
                            <w:r w:rsidR="001E20CD">
                              <w:rPr>
                                <w:rFonts w:ascii="Arial" w:hAnsi="Arial" w:cs="Arial"/>
                                <w:noProof/>
                                <w:color w:val="auto"/>
                                <w:sz w:val="20"/>
                                <w:szCs w:val="20"/>
                                <w:lang w:val="en-US"/>
                              </w:rPr>
                              <w:t>1</w:t>
                            </w:r>
                            <w:r w:rsidR="008504A7">
                              <w:rPr>
                                <w:rFonts w:ascii="Arial" w:hAnsi="Arial" w:cs="Arial"/>
                                <w:color w:val="auto"/>
                                <w:sz w:val="20"/>
                                <w:szCs w:val="20"/>
                                <w:lang w:val="en-US"/>
                              </w:rPr>
                              <w:fldChar w:fldCharType="end"/>
                            </w:r>
                            <w:r w:rsidR="0021501B" w:rsidRPr="0021501B">
                              <w:rPr>
                                <w:rFonts w:ascii="Arial" w:hAnsi="Arial" w:cs="Arial"/>
                                <w:color w:val="auto"/>
                                <w:sz w:val="20"/>
                                <w:szCs w:val="20"/>
                                <w:lang w:val="en-US"/>
                              </w:rPr>
                              <w:t>: 2003-2012 Average PISA scores</w:t>
                            </w:r>
                            <w:r w:rsidR="004752FE">
                              <w:rPr>
                                <w:rFonts w:ascii="Arial" w:hAnsi="Arial" w:cs="Arial"/>
                                <w:color w:val="auto"/>
                                <w:sz w:val="20"/>
                                <w:szCs w:val="20"/>
                                <w:lang w:val="en-US"/>
                              </w:rPr>
                              <w:t xml:space="preserve"> of Turkey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78.9pt;margin-top:8.65pt;width:287.25pt;height: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" stroked="f">
                <v:textbox style="mso-fit-shape-to-text:t" inset="0,0,0,0">
                  <w:txbxContent>
                    <w:p w:rsidR="0021501B" w:rsidRPr="0021501B" w:rsidRDefault="00274DBE" w:rsidP="00072B5C">
                      <w:pPr>
                        <w:pStyle w:val="Caption"/>
                        <w:jc w:val="center"/>
                        <w:rPr>
                          <w:rFonts w:ascii="Arial" w:hAnsi="Arial" w:cs="Arial"/>
                          <w:color w:val="auto"/>
                          <w:sz w:val="20"/>
                          <w:szCs w:val="20"/>
                          <w:lang w:val="en-US"/>
                        </w:rPr>
                      </w:pPr>
                      <w:r>
                        <w:rPr>
                          <w:rFonts w:ascii="Arial" w:hAnsi="Arial" w:cs="Arial"/>
                          <w:color w:val="auto"/>
                          <w:sz w:val="20"/>
                          <w:szCs w:val="20"/>
                          <w:lang w:val="en-US"/>
                        </w:rPr>
                        <w:t>Figure</w:t>
                      </w:r>
                      <w:r w:rsidR="00397026">
                        <w:rPr>
                          <w:rFonts w:ascii="Arial" w:hAnsi="Arial" w:cs="Arial"/>
                          <w:color w:val="auto"/>
                          <w:sz w:val="20"/>
                          <w:szCs w:val="20"/>
                          <w:lang w:val="en-US"/>
                        </w:rPr>
                        <w:t xml:space="preserve"> </w:t>
                      </w:r>
                      <w:r w:rsidR="008504A7">
                        <w:rPr>
                          <w:rFonts w:ascii="Arial" w:hAnsi="Arial" w:cs="Arial"/>
                          <w:color w:val="auto"/>
                          <w:sz w:val="20"/>
                          <w:szCs w:val="20"/>
                          <w:lang w:val="en-US"/>
                        </w:rPr>
                        <w:fldChar w:fldCharType="begin"/>
                      </w:r>
                      <w:r w:rsidR="004752FE">
                        <w:rPr>
                          <w:rFonts w:ascii="Arial" w:hAnsi="Arial" w:cs="Arial"/>
                          <w:color w:val="auto"/>
                          <w:sz w:val="20"/>
                          <w:szCs w:val="20"/>
                          <w:lang w:val="en-US"/>
                        </w:rPr>
                        <w:instrText xml:space="preserve"> SEQ Figure_ \* ARABIC </w:instrText>
                      </w:r>
                      <w:r w:rsidR="008504A7">
                        <w:rPr>
                          <w:rFonts w:ascii="Arial" w:hAnsi="Arial" w:cs="Arial"/>
                          <w:color w:val="auto"/>
                          <w:sz w:val="20"/>
                          <w:szCs w:val="20"/>
                          <w:lang w:val="en-US"/>
                        </w:rPr>
                        <w:fldChar w:fldCharType="separate"/>
                      </w:r>
                      <w:r w:rsidR="001E20CD">
                        <w:rPr>
                          <w:rFonts w:ascii="Arial" w:hAnsi="Arial" w:cs="Arial"/>
                          <w:noProof/>
                          <w:color w:val="auto"/>
                          <w:sz w:val="20"/>
                          <w:szCs w:val="20"/>
                          <w:lang w:val="en-US"/>
                        </w:rPr>
                        <w:t>1</w:t>
                      </w:r>
                      <w:r w:rsidR="008504A7">
                        <w:rPr>
                          <w:rFonts w:ascii="Arial" w:hAnsi="Arial" w:cs="Arial"/>
                          <w:color w:val="auto"/>
                          <w:sz w:val="20"/>
                          <w:szCs w:val="20"/>
                          <w:lang w:val="en-US"/>
                        </w:rPr>
                        <w:fldChar w:fldCharType="end"/>
                      </w:r>
                      <w:r w:rsidR="0021501B" w:rsidRPr="0021501B">
                        <w:rPr>
                          <w:rFonts w:ascii="Arial" w:hAnsi="Arial" w:cs="Arial"/>
                          <w:color w:val="auto"/>
                          <w:sz w:val="20"/>
                          <w:szCs w:val="20"/>
                          <w:lang w:val="en-US"/>
                        </w:rPr>
                        <w:t>: 2003-2012 Average PISA scores</w:t>
                      </w:r>
                      <w:r w:rsidR="004752FE">
                        <w:rPr>
                          <w:rFonts w:ascii="Arial" w:hAnsi="Arial" w:cs="Arial"/>
                          <w:color w:val="auto"/>
                          <w:sz w:val="20"/>
                          <w:szCs w:val="20"/>
                          <w:lang w:val="en-US"/>
                        </w:rPr>
                        <w:t xml:space="preserve"> of Turkey</w:t>
                      </w:r>
                    </w:p>
                  </w:txbxContent>
                </v:textbox>
                <w10:wrap type="square"/>
              </v:shape>
            </w:pict>
          </mc:Fallback>
        </mc:AlternateContent>
      </w:r>
      <w:r w:rsidR="009B57F0" w:rsidRPr="00E967EA">
        <w:rPr>
          <w:rFonts w:ascii="Arial" w:hAnsi="Arial" w:cs="Arial"/>
          <w:sz w:val="20"/>
          <w:szCs w:val="20"/>
          <w:lang w:val="en-US"/>
        </w:rPr>
        <w:t>According to PISA results, in Turkey</w:t>
      </w:r>
      <w:r w:rsidR="00260FEC" w:rsidRPr="00E967EA">
        <w:rPr>
          <w:rFonts w:ascii="Arial" w:hAnsi="Arial" w:cs="Arial"/>
          <w:sz w:val="20"/>
          <w:szCs w:val="20"/>
          <w:lang w:val="en-US"/>
        </w:rPr>
        <w:t xml:space="preserve"> students</w:t>
      </w:r>
      <w:r w:rsidR="009B57F0" w:rsidRPr="00E967EA">
        <w:rPr>
          <w:rFonts w:ascii="Arial" w:hAnsi="Arial" w:cs="Arial"/>
          <w:sz w:val="20"/>
          <w:szCs w:val="20"/>
          <w:lang w:val="en-US"/>
        </w:rPr>
        <w:t xml:space="preserve"> are </w:t>
      </w:r>
      <w:r w:rsidR="00260FEC" w:rsidRPr="00E967EA">
        <w:rPr>
          <w:rFonts w:ascii="Arial" w:hAnsi="Arial" w:cs="Arial"/>
          <w:sz w:val="20"/>
          <w:szCs w:val="20"/>
          <w:lang w:val="en-US"/>
        </w:rPr>
        <w:t xml:space="preserve">more successful in reading than </w:t>
      </w:r>
      <w:r w:rsidR="00501A8A">
        <w:rPr>
          <w:rFonts w:ascii="Arial" w:hAnsi="Arial" w:cs="Arial"/>
          <w:sz w:val="20"/>
          <w:szCs w:val="20"/>
          <w:lang w:val="en-US"/>
        </w:rPr>
        <w:t>in</w:t>
      </w:r>
      <w:r w:rsidR="00442E54" w:rsidRPr="00E967EA">
        <w:rPr>
          <w:rFonts w:ascii="Arial" w:hAnsi="Arial" w:cs="Arial"/>
          <w:sz w:val="20"/>
          <w:szCs w:val="20"/>
          <w:lang w:val="en-US"/>
        </w:rPr>
        <w:t xml:space="preserve"> </w:t>
      </w:r>
      <w:r w:rsidR="009B57F0" w:rsidRPr="00E967EA">
        <w:rPr>
          <w:rFonts w:ascii="Arial" w:hAnsi="Arial" w:cs="Arial"/>
          <w:sz w:val="20"/>
          <w:szCs w:val="20"/>
          <w:lang w:val="en-US"/>
        </w:rPr>
        <w:t>fields of science and mathe</w:t>
      </w:r>
      <w:r w:rsidR="00260FEC" w:rsidRPr="00E967EA">
        <w:rPr>
          <w:rFonts w:ascii="Arial" w:hAnsi="Arial" w:cs="Arial"/>
          <w:sz w:val="20"/>
          <w:szCs w:val="20"/>
          <w:lang w:val="en-US"/>
        </w:rPr>
        <w:t xml:space="preserve">matics. Furthermore, Turkey has experienced fast increase in </w:t>
      </w:r>
      <w:r w:rsidR="009B57F0" w:rsidRPr="00E967EA">
        <w:rPr>
          <w:rFonts w:ascii="Arial" w:hAnsi="Arial" w:cs="Arial"/>
          <w:sz w:val="20"/>
          <w:szCs w:val="20"/>
          <w:lang w:val="en-US"/>
        </w:rPr>
        <w:t xml:space="preserve">average </w:t>
      </w:r>
      <w:r w:rsidR="0015755F" w:rsidRPr="00E967EA">
        <w:rPr>
          <w:rFonts w:ascii="Arial" w:hAnsi="Arial" w:cs="Arial"/>
          <w:sz w:val="20"/>
          <w:szCs w:val="20"/>
          <w:lang w:val="en-US"/>
        </w:rPr>
        <w:t>scores</w:t>
      </w:r>
      <w:r w:rsidR="00B75844">
        <w:rPr>
          <w:rFonts w:ascii="Arial" w:hAnsi="Arial" w:cs="Arial"/>
          <w:sz w:val="20"/>
          <w:szCs w:val="20"/>
          <w:lang w:val="en-US"/>
        </w:rPr>
        <w:t xml:space="preserve"> in all fields</w:t>
      </w:r>
      <w:r w:rsidR="0015755F" w:rsidRPr="00E967EA">
        <w:rPr>
          <w:rFonts w:ascii="Arial" w:hAnsi="Arial" w:cs="Arial"/>
          <w:sz w:val="20"/>
          <w:szCs w:val="20"/>
          <w:lang w:val="en-US"/>
        </w:rPr>
        <w:t xml:space="preserve"> since 2006 (Figure 1)</w:t>
      </w:r>
      <w:r w:rsidRPr="00E967EA">
        <w:rPr>
          <w:rFonts w:ascii="Arial" w:hAnsi="Arial" w:cs="Arial"/>
          <w:sz w:val="20"/>
          <w:szCs w:val="20"/>
          <w:lang w:val="en-US"/>
        </w:rPr>
        <w:t>.</w:t>
      </w:r>
      <w:r w:rsidR="0040163B" w:rsidRPr="00E967EA">
        <w:rPr>
          <w:rStyle w:val="FootnoteReference"/>
          <w:rFonts w:ascii="Arial" w:hAnsi="Arial" w:cs="Arial"/>
          <w:sz w:val="20"/>
          <w:szCs w:val="20"/>
          <w:lang w:val="en-US"/>
        </w:rPr>
        <w:footnoteReference w:id="4"/>
      </w:r>
    </w:p>
    <w:p w:rsidR="007E63D7" w:rsidRPr="00E967EA" w:rsidRDefault="00676FA3" w:rsidP="005A551F">
      <w:pPr>
        <w:jc w:val="both"/>
        <w:rPr>
          <w:rFonts w:ascii="Arial" w:hAnsi="Arial" w:cs="Arial"/>
          <w:sz w:val="20"/>
          <w:szCs w:val="20"/>
          <w:lang w:val="en-US"/>
        </w:rPr>
      </w:pPr>
      <w:r w:rsidRPr="00E967EA">
        <w:rPr>
          <w:rFonts w:ascii="Arial" w:hAnsi="Arial" w:cs="Arial"/>
          <w:noProof/>
          <w:sz w:val="20"/>
          <w:szCs w:val="20"/>
        </w:rPr>
        <w:drawing>
          <wp:anchor distT="0" distB="0" distL="114300" distR="114300" simplePos="0" relativeHeight="251659264" behindDoc="0" locked="0" layoutInCell="1" allowOverlap="1">
            <wp:simplePos x="0" y="0"/>
            <wp:positionH relativeFrom="column">
              <wp:posOffset>2346224</wp:posOffset>
            </wp:positionH>
            <wp:positionV relativeFrom="paragraph">
              <wp:posOffset>2198904</wp:posOffset>
            </wp:positionV>
            <wp:extent cx="3415665" cy="2207895"/>
            <wp:effectExtent l="0" t="0" r="0" b="0"/>
            <wp:wrapSquare wrapText="bothSides"/>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E270F8">
        <w:rPr>
          <w:noProof/>
        </w:rPr>
        <mc:AlternateContent>
          <mc:Choice Requires="wps">
            <w:drawing>
              <wp:anchor distT="0" distB="0" distL="114300" distR="114300" simplePos="0" relativeHeight="251659776" behindDoc="0" locked="0" layoutInCell="1" allowOverlap="1">
                <wp:simplePos x="0" y="0"/>
                <wp:positionH relativeFrom="column">
                  <wp:posOffset>2363470</wp:posOffset>
                </wp:positionH>
                <wp:positionV relativeFrom="paragraph">
                  <wp:posOffset>1793875</wp:posOffset>
                </wp:positionV>
                <wp:extent cx="3419475" cy="300990"/>
                <wp:effectExtent l="0" t="4445" r="3810" b="0"/>
                <wp:wrapSquare wrapText="bothSides"/>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2FE" w:rsidRPr="004752FE" w:rsidRDefault="004752FE" w:rsidP="004752FE">
                            <w:pPr>
                              <w:pStyle w:val="Caption"/>
                              <w:jc w:val="center"/>
                              <w:rPr>
                                <w:rFonts w:ascii="Arial" w:hAnsi="Arial" w:cs="Arial"/>
                                <w:color w:val="auto"/>
                                <w:sz w:val="20"/>
                                <w:szCs w:val="20"/>
                                <w:lang w:val="en-US"/>
                              </w:rPr>
                            </w:pPr>
                            <w:r w:rsidRPr="00E967EA">
                              <w:rPr>
                                <w:rFonts w:ascii="Arial" w:hAnsi="Arial" w:cs="Arial"/>
                                <w:color w:val="auto"/>
                                <w:sz w:val="20"/>
                                <w:szCs w:val="20"/>
                                <w:lang w:val="en-US"/>
                              </w:rPr>
                              <w:t>Figure</w:t>
                            </w:r>
                            <w:r w:rsidR="00397026">
                              <w:rPr>
                                <w:rFonts w:ascii="Arial" w:hAnsi="Arial" w:cs="Arial"/>
                                <w:color w:val="auto"/>
                                <w:sz w:val="20"/>
                                <w:szCs w:val="20"/>
                                <w:lang w:val="en-US"/>
                              </w:rPr>
                              <w:t xml:space="preserve"> </w:t>
                            </w:r>
                            <w:r w:rsidR="008504A7" w:rsidRPr="00E967EA">
                              <w:rPr>
                                <w:rFonts w:ascii="Arial" w:hAnsi="Arial" w:cs="Arial"/>
                                <w:color w:val="auto"/>
                                <w:sz w:val="20"/>
                                <w:szCs w:val="20"/>
                                <w:lang w:val="en-US"/>
                              </w:rPr>
                              <w:fldChar w:fldCharType="begin"/>
                            </w:r>
                            <w:r w:rsidRPr="00E967EA">
                              <w:rPr>
                                <w:rFonts w:ascii="Arial" w:hAnsi="Arial" w:cs="Arial"/>
                                <w:color w:val="auto"/>
                                <w:sz w:val="20"/>
                                <w:szCs w:val="20"/>
                                <w:lang w:val="en-US"/>
                              </w:rPr>
                              <w:instrText xml:space="preserve"> SEQ Figure_ \* ARABIC </w:instrText>
                            </w:r>
                            <w:r w:rsidR="008504A7" w:rsidRPr="00E967EA">
                              <w:rPr>
                                <w:rFonts w:ascii="Arial" w:hAnsi="Arial" w:cs="Arial"/>
                                <w:color w:val="auto"/>
                                <w:sz w:val="20"/>
                                <w:szCs w:val="20"/>
                                <w:lang w:val="en-US"/>
                              </w:rPr>
                              <w:fldChar w:fldCharType="separate"/>
                            </w:r>
                            <w:r w:rsidR="001E20CD">
                              <w:rPr>
                                <w:rFonts w:ascii="Arial" w:hAnsi="Arial" w:cs="Arial"/>
                                <w:noProof/>
                                <w:color w:val="auto"/>
                                <w:sz w:val="20"/>
                                <w:szCs w:val="20"/>
                                <w:lang w:val="en-US"/>
                              </w:rPr>
                              <w:t>2</w:t>
                            </w:r>
                            <w:r w:rsidR="008504A7" w:rsidRPr="00E967EA">
                              <w:rPr>
                                <w:rFonts w:ascii="Arial" w:hAnsi="Arial" w:cs="Arial"/>
                                <w:color w:val="auto"/>
                                <w:sz w:val="20"/>
                                <w:szCs w:val="20"/>
                                <w:lang w:val="en-US"/>
                              </w:rPr>
                              <w:fldChar w:fldCharType="end"/>
                            </w:r>
                            <w:r w:rsidRPr="00E967EA">
                              <w:rPr>
                                <w:rFonts w:ascii="Arial" w:hAnsi="Arial" w:cs="Arial"/>
                                <w:color w:val="auto"/>
                                <w:sz w:val="20"/>
                                <w:szCs w:val="20"/>
                                <w:lang w:val="en-US"/>
                              </w:rPr>
                              <w:t xml:space="preserve"> : 2003-2012 Gap in PISA scores between OECD average and Turkey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186.1pt;margin-top:141.25pt;width:269.25pt;height:23.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" stroked="f">
                <v:textbox inset="0,0,0,0">
                  <w:txbxContent>
                    <w:p w:rsidR="004752FE" w:rsidRPr="004752FE" w:rsidRDefault="004752FE" w:rsidP="004752FE">
                      <w:pPr>
                        <w:pStyle w:val="Caption"/>
                        <w:jc w:val="center"/>
                        <w:rPr>
                          <w:rFonts w:ascii="Arial" w:hAnsi="Arial" w:cs="Arial"/>
                          <w:color w:val="auto"/>
                          <w:sz w:val="20"/>
                          <w:szCs w:val="20"/>
                          <w:lang w:val="en-US"/>
                        </w:rPr>
                      </w:pPr>
                      <w:r w:rsidRPr="00E967EA">
                        <w:rPr>
                          <w:rFonts w:ascii="Arial" w:hAnsi="Arial" w:cs="Arial"/>
                          <w:color w:val="auto"/>
                          <w:sz w:val="20"/>
                          <w:szCs w:val="20"/>
                          <w:lang w:val="en-US"/>
                        </w:rPr>
                        <w:t>Figure</w:t>
                      </w:r>
                      <w:r w:rsidR="00397026">
                        <w:rPr>
                          <w:rFonts w:ascii="Arial" w:hAnsi="Arial" w:cs="Arial"/>
                          <w:color w:val="auto"/>
                          <w:sz w:val="20"/>
                          <w:szCs w:val="20"/>
                          <w:lang w:val="en-US"/>
                        </w:rPr>
                        <w:t xml:space="preserve"> </w:t>
                      </w:r>
                      <w:r w:rsidR="008504A7" w:rsidRPr="00E967EA">
                        <w:rPr>
                          <w:rFonts w:ascii="Arial" w:hAnsi="Arial" w:cs="Arial"/>
                          <w:color w:val="auto"/>
                          <w:sz w:val="20"/>
                          <w:szCs w:val="20"/>
                          <w:lang w:val="en-US"/>
                        </w:rPr>
                        <w:fldChar w:fldCharType="begin"/>
                      </w:r>
                      <w:r w:rsidRPr="00E967EA">
                        <w:rPr>
                          <w:rFonts w:ascii="Arial" w:hAnsi="Arial" w:cs="Arial"/>
                          <w:color w:val="auto"/>
                          <w:sz w:val="20"/>
                          <w:szCs w:val="20"/>
                          <w:lang w:val="en-US"/>
                        </w:rPr>
                        <w:instrText xml:space="preserve"> SEQ Figure_ \* ARABIC </w:instrText>
                      </w:r>
                      <w:r w:rsidR="008504A7" w:rsidRPr="00E967EA">
                        <w:rPr>
                          <w:rFonts w:ascii="Arial" w:hAnsi="Arial" w:cs="Arial"/>
                          <w:color w:val="auto"/>
                          <w:sz w:val="20"/>
                          <w:szCs w:val="20"/>
                          <w:lang w:val="en-US"/>
                        </w:rPr>
                        <w:fldChar w:fldCharType="separate"/>
                      </w:r>
                      <w:r w:rsidR="001E20CD">
                        <w:rPr>
                          <w:rFonts w:ascii="Arial" w:hAnsi="Arial" w:cs="Arial"/>
                          <w:noProof/>
                          <w:color w:val="auto"/>
                          <w:sz w:val="20"/>
                          <w:szCs w:val="20"/>
                          <w:lang w:val="en-US"/>
                        </w:rPr>
                        <w:t>2</w:t>
                      </w:r>
                      <w:r w:rsidR="008504A7" w:rsidRPr="00E967EA">
                        <w:rPr>
                          <w:rFonts w:ascii="Arial" w:hAnsi="Arial" w:cs="Arial"/>
                          <w:color w:val="auto"/>
                          <w:sz w:val="20"/>
                          <w:szCs w:val="20"/>
                          <w:lang w:val="en-US"/>
                        </w:rPr>
                        <w:fldChar w:fldCharType="end"/>
                      </w:r>
                      <w:r w:rsidRPr="00E967EA">
                        <w:rPr>
                          <w:rFonts w:ascii="Arial" w:hAnsi="Arial" w:cs="Arial"/>
                          <w:color w:val="auto"/>
                          <w:sz w:val="20"/>
                          <w:szCs w:val="20"/>
                          <w:lang w:val="en-US"/>
                        </w:rPr>
                        <w:t xml:space="preserve"> : 2003-2012 Gap in PISA scores between OECD average and Turkey</w:t>
                      </w:r>
                    </w:p>
                  </w:txbxContent>
                </v:textbox>
                <w10:wrap type="square"/>
              </v:shape>
            </w:pict>
          </mc:Fallback>
        </mc:AlternateContent>
      </w:r>
      <w:r w:rsidR="00E270F8">
        <w:rPr>
          <w:noProof/>
        </w:rPr>
        <mc:AlternateContent>
          <mc:Choice Requires="wps">
            <w:drawing>
              <wp:anchor distT="0" distB="0" distL="114300" distR="114300" simplePos="0" relativeHeight="251657728" behindDoc="0" locked="0" layoutInCell="1" allowOverlap="1">
                <wp:simplePos x="0" y="0"/>
                <wp:positionH relativeFrom="column">
                  <wp:posOffset>2426970</wp:posOffset>
                </wp:positionH>
                <wp:positionV relativeFrom="paragraph">
                  <wp:posOffset>1087755</wp:posOffset>
                </wp:positionV>
                <wp:extent cx="3648075" cy="243840"/>
                <wp:effectExtent l="2540" t="3175" r="0" b="635"/>
                <wp:wrapSquare wrapText="bothSides"/>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B5C" w:rsidRPr="002E361B" w:rsidRDefault="00274DBE" w:rsidP="00072B5C">
                            <w:pPr>
                              <w:pStyle w:val="Caption"/>
                              <w:rPr>
                                <w:rFonts w:ascii="Arial" w:hAnsi="Arial" w:cs="Arial"/>
                                <w:b w:val="0"/>
                                <w:color w:val="auto"/>
                                <w:sz w:val="16"/>
                                <w:szCs w:val="16"/>
                                <w:lang w:val="en-US"/>
                              </w:rPr>
                            </w:pPr>
                            <w:r>
                              <w:rPr>
                                <w:rFonts w:ascii="Arial" w:hAnsi="Arial" w:cs="Arial"/>
                                <w:b w:val="0"/>
                                <w:color w:val="auto"/>
                                <w:sz w:val="16"/>
                                <w:szCs w:val="16"/>
                                <w:lang w:val="en-US"/>
                              </w:rPr>
                              <w:t>Source</w:t>
                            </w:r>
                            <w:r w:rsidR="00072B5C" w:rsidRPr="002E361B">
                              <w:rPr>
                                <w:rFonts w:ascii="Arial" w:hAnsi="Arial" w:cs="Arial"/>
                                <w:b w:val="0"/>
                                <w:color w:val="auto"/>
                                <w:sz w:val="16"/>
                                <w:szCs w:val="16"/>
                                <w:lang w:val="en-US"/>
                              </w:rPr>
                              <w:t>: OECD; PISA 2012 Results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91.1pt;margin-top:85.65pt;width:287.25pt;height:1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" stroked="f">
                <v:textbox style="mso-fit-shape-to-text:t" inset="0,0,0,0">
                  <w:txbxContent>
                    <w:p w:rsidR="00072B5C" w:rsidRPr="002E361B" w:rsidRDefault="00274DBE" w:rsidP="00072B5C">
                      <w:pPr>
                        <w:pStyle w:val="Caption"/>
                        <w:rPr>
                          <w:rFonts w:ascii="Arial" w:hAnsi="Arial" w:cs="Arial"/>
                          <w:b w:val="0"/>
                          <w:color w:val="auto"/>
                          <w:sz w:val="16"/>
                          <w:szCs w:val="16"/>
                          <w:lang w:val="en-US"/>
                        </w:rPr>
                      </w:pPr>
                      <w:r>
                        <w:rPr>
                          <w:rFonts w:ascii="Arial" w:hAnsi="Arial" w:cs="Arial"/>
                          <w:b w:val="0"/>
                          <w:color w:val="auto"/>
                          <w:sz w:val="16"/>
                          <w:szCs w:val="16"/>
                          <w:lang w:val="en-US"/>
                        </w:rPr>
                        <w:t>Source</w:t>
                      </w:r>
                      <w:r w:rsidR="00072B5C" w:rsidRPr="002E361B">
                        <w:rPr>
                          <w:rFonts w:ascii="Arial" w:hAnsi="Arial" w:cs="Arial"/>
                          <w:b w:val="0"/>
                          <w:color w:val="auto"/>
                          <w:sz w:val="16"/>
                          <w:szCs w:val="16"/>
                          <w:lang w:val="en-US"/>
                        </w:rPr>
                        <w:t>: OECD; PISA 2012 Results</w:t>
                      </w:r>
                    </w:p>
                  </w:txbxContent>
                </v:textbox>
                <w10:wrap type="square"/>
              </v:shape>
            </w:pict>
          </mc:Fallback>
        </mc:AlternateContent>
      </w:r>
      <w:r w:rsidR="00B07ACA" w:rsidRPr="00E967EA">
        <w:rPr>
          <w:rFonts w:ascii="Arial" w:hAnsi="Arial" w:cs="Arial"/>
          <w:sz w:val="20"/>
          <w:szCs w:val="20"/>
          <w:lang w:val="en-US"/>
        </w:rPr>
        <w:t xml:space="preserve">The largest increase (39 score points) </w:t>
      </w:r>
      <w:r w:rsidR="0079279D">
        <w:rPr>
          <w:rFonts w:ascii="Arial" w:hAnsi="Arial" w:cs="Arial"/>
          <w:sz w:val="20"/>
          <w:szCs w:val="20"/>
          <w:lang w:val="en-US"/>
        </w:rPr>
        <w:t>was recorded</w:t>
      </w:r>
      <w:r w:rsidR="00BA3354" w:rsidRPr="00E967EA">
        <w:rPr>
          <w:rFonts w:ascii="Arial" w:hAnsi="Arial" w:cs="Arial"/>
          <w:sz w:val="20"/>
          <w:szCs w:val="20"/>
          <w:lang w:val="en-US"/>
        </w:rPr>
        <w:t xml:space="preserve"> in the field of science. </w:t>
      </w:r>
      <w:r w:rsidR="007A0429">
        <w:rPr>
          <w:rFonts w:ascii="Arial" w:hAnsi="Arial" w:cs="Arial"/>
          <w:sz w:val="20"/>
          <w:szCs w:val="20"/>
          <w:lang w:val="en-US"/>
        </w:rPr>
        <w:t>However, p</w:t>
      </w:r>
      <w:r w:rsidR="00BA3354" w:rsidRPr="00E967EA">
        <w:rPr>
          <w:rFonts w:ascii="Arial" w:hAnsi="Arial" w:cs="Arial"/>
          <w:sz w:val="20"/>
          <w:szCs w:val="20"/>
          <w:lang w:val="en-US"/>
        </w:rPr>
        <w:t xml:space="preserve">erformance improvement at </w:t>
      </w:r>
      <w:r w:rsidR="000B31AF">
        <w:rPr>
          <w:rFonts w:ascii="Arial" w:hAnsi="Arial" w:cs="Arial"/>
          <w:sz w:val="20"/>
          <w:szCs w:val="20"/>
          <w:lang w:val="en-US"/>
        </w:rPr>
        <w:t xml:space="preserve">the </w:t>
      </w:r>
      <w:r w:rsidR="00BA3354" w:rsidRPr="00E967EA">
        <w:rPr>
          <w:rFonts w:ascii="Arial" w:hAnsi="Arial" w:cs="Arial"/>
          <w:sz w:val="20"/>
          <w:szCs w:val="20"/>
          <w:lang w:val="en-US"/>
        </w:rPr>
        <w:t xml:space="preserve">national level </w:t>
      </w:r>
      <w:r w:rsidR="00BA3459" w:rsidRPr="00E967EA">
        <w:rPr>
          <w:rFonts w:ascii="Arial" w:hAnsi="Arial" w:cs="Arial"/>
          <w:sz w:val="20"/>
          <w:szCs w:val="20"/>
          <w:lang w:val="en-US"/>
        </w:rPr>
        <w:t xml:space="preserve">did not </w:t>
      </w:r>
      <w:r w:rsidR="00BA3354" w:rsidRPr="00E967EA">
        <w:rPr>
          <w:rFonts w:ascii="Arial" w:hAnsi="Arial" w:cs="Arial"/>
          <w:sz w:val="20"/>
          <w:szCs w:val="20"/>
          <w:lang w:val="en-US"/>
        </w:rPr>
        <w:t>avoid</w:t>
      </w:r>
      <w:r w:rsidR="00A91B67" w:rsidRPr="00E967EA">
        <w:rPr>
          <w:rFonts w:ascii="Arial" w:hAnsi="Arial" w:cs="Arial"/>
          <w:sz w:val="20"/>
          <w:szCs w:val="20"/>
          <w:lang w:val="en-US"/>
        </w:rPr>
        <w:t xml:space="preserve"> </w:t>
      </w:r>
      <w:r w:rsidR="007A0429">
        <w:rPr>
          <w:rFonts w:ascii="Arial" w:hAnsi="Arial" w:cs="Arial"/>
          <w:sz w:val="20"/>
          <w:szCs w:val="20"/>
          <w:lang w:val="en-US"/>
        </w:rPr>
        <w:t>falling</w:t>
      </w:r>
      <w:r w:rsidR="00CD7BF0" w:rsidRPr="00E967EA">
        <w:rPr>
          <w:rFonts w:ascii="Arial" w:hAnsi="Arial" w:cs="Arial"/>
          <w:sz w:val="20"/>
          <w:szCs w:val="20"/>
          <w:lang w:val="en-US"/>
        </w:rPr>
        <w:t xml:space="preserve"> behind </w:t>
      </w:r>
      <w:r w:rsidR="008D64DA">
        <w:rPr>
          <w:rFonts w:ascii="Arial" w:hAnsi="Arial" w:cs="Arial"/>
          <w:sz w:val="20"/>
          <w:szCs w:val="20"/>
          <w:lang w:val="en-US"/>
        </w:rPr>
        <w:t xml:space="preserve">the </w:t>
      </w:r>
      <w:r w:rsidR="007E0CC0">
        <w:rPr>
          <w:rFonts w:ascii="Arial" w:hAnsi="Arial" w:cs="Arial"/>
          <w:sz w:val="20"/>
          <w:szCs w:val="20"/>
          <w:lang w:val="en-US"/>
        </w:rPr>
        <w:t>OECD average. As</w:t>
      </w:r>
      <w:r w:rsidR="00CD7BF0" w:rsidRPr="00E967EA">
        <w:rPr>
          <w:rFonts w:ascii="Arial" w:hAnsi="Arial" w:cs="Arial"/>
          <w:sz w:val="20"/>
          <w:szCs w:val="20"/>
          <w:lang w:val="en-US"/>
        </w:rPr>
        <w:t xml:space="preserve"> can be observed in Figure 2, 2012 PISA scores are 46, 38 and 21 points below OECD averages in the fields of mathematics, science and reading respectively. Moreover, </w:t>
      </w:r>
      <w:r w:rsidR="00476E31" w:rsidRPr="00E967EA">
        <w:rPr>
          <w:rFonts w:ascii="Arial" w:hAnsi="Arial" w:cs="Arial"/>
          <w:sz w:val="20"/>
          <w:szCs w:val="20"/>
          <w:lang w:val="en-US"/>
        </w:rPr>
        <w:t xml:space="preserve">we </w:t>
      </w:r>
      <w:r w:rsidR="00A436E7" w:rsidRPr="00E967EA">
        <w:rPr>
          <w:rFonts w:ascii="Arial" w:hAnsi="Arial" w:cs="Arial"/>
          <w:sz w:val="20"/>
          <w:szCs w:val="20"/>
          <w:lang w:val="en-US"/>
        </w:rPr>
        <w:t xml:space="preserve">observe that gap between Turkey’s performance and </w:t>
      </w:r>
      <w:r w:rsidR="00B669CC">
        <w:rPr>
          <w:rFonts w:ascii="Arial" w:hAnsi="Arial" w:cs="Arial"/>
          <w:sz w:val="20"/>
          <w:szCs w:val="20"/>
          <w:lang w:val="en-US"/>
        </w:rPr>
        <w:t xml:space="preserve">the </w:t>
      </w:r>
      <w:r w:rsidR="00A436E7" w:rsidRPr="00E967EA">
        <w:rPr>
          <w:rFonts w:ascii="Arial" w:hAnsi="Arial" w:cs="Arial"/>
          <w:sz w:val="20"/>
          <w:szCs w:val="20"/>
          <w:lang w:val="en-US"/>
        </w:rPr>
        <w:t xml:space="preserve">OECD average diminished gradually during the period 2003-2012 (Figure 2). </w:t>
      </w:r>
      <w:r w:rsidR="00503BDD" w:rsidRPr="00E967EA">
        <w:rPr>
          <w:rFonts w:ascii="Arial" w:hAnsi="Arial" w:cs="Arial"/>
          <w:sz w:val="20"/>
          <w:szCs w:val="20"/>
          <w:lang w:val="en-US"/>
        </w:rPr>
        <w:t>Since</w:t>
      </w:r>
      <w:r w:rsidR="00931965">
        <w:rPr>
          <w:rFonts w:ascii="Arial" w:hAnsi="Arial" w:cs="Arial"/>
          <w:sz w:val="20"/>
          <w:szCs w:val="20"/>
          <w:lang w:val="en-US"/>
        </w:rPr>
        <w:t>,</w:t>
      </w:r>
      <w:r w:rsidR="00503BDD" w:rsidRPr="00E967EA">
        <w:rPr>
          <w:rFonts w:ascii="Arial" w:hAnsi="Arial" w:cs="Arial"/>
          <w:sz w:val="20"/>
          <w:szCs w:val="20"/>
          <w:lang w:val="en-US"/>
        </w:rPr>
        <w:t xml:space="preserve"> according</w:t>
      </w:r>
      <w:r w:rsidR="00476E31" w:rsidRPr="00E967EA">
        <w:rPr>
          <w:rFonts w:ascii="Arial" w:hAnsi="Arial" w:cs="Arial"/>
          <w:sz w:val="20"/>
          <w:szCs w:val="20"/>
          <w:lang w:val="en-US"/>
        </w:rPr>
        <w:t xml:space="preserve"> to </w:t>
      </w:r>
      <w:r w:rsidR="00C42F3C">
        <w:rPr>
          <w:rFonts w:ascii="Arial" w:hAnsi="Arial" w:cs="Arial"/>
          <w:sz w:val="20"/>
          <w:szCs w:val="20"/>
          <w:lang w:val="en-US"/>
        </w:rPr>
        <w:t xml:space="preserve">the </w:t>
      </w:r>
      <w:r w:rsidR="00476E31" w:rsidRPr="00E967EA">
        <w:rPr>
          <w:rFonts w:ascii="Arial" w:hAnsi="Arial" w:cs="Arial"/>
          <w:sz w:val="20"/>
          <w:szCs w:val="20"/>
          <w:lang w:val="en-US"/>
        </w:rPr>
        <w:t>OECD</w:t>
      </w:r>
      <w:r w:rsidR="00C42F3C">
        <w:rPr>
          <w:rFonts w:ascii="Arial" w:hAnsi="Arial" w:cs="Arial"/>
          <w:sz w:val="20"/>
          <w:szCs w:val="20"/>
          <w:lang w:val="en-US"/>
        </w:rPr>
        <w:t>,</w:t>
      </w:r>
      <w:r w:rsidR="00476E31" w:rsidRPr="00E967EA">
        <w:rPr>
          <w:rFonts w:ascii="Arial" w:hAnsi="Arial" w:cs="Arial"/>
          <w:sz w:val="20"/>
          <w:szCs w:val="20"/>
          <w:lang w:val="en-US"/>
        </w:rPr>
        <w:t xml:space="preserve"> 40 PISA points are equivalent</w:t>
      </w:r>
      <w:r w:rsidR="00503BDD" w:rsidRPr="00E967EA">
        <w:rPr>
          <w:rFonts w:ascii="Arial" w:hAnsi="Arial" w:cs="Arial"/>
          <w:sz w:val="20"/>
          <w:szCs w:val="20"/>
          <w:lang w:val="en-US"/>
        </w:rPr>
        <w:t xml:space="preserve"> to one year of schooling, the result can </w:t>
      </w:r>
      <w:r w:rsidR="00CC4159">
        <w:rPr>
          <w:rFonts w:ascii="Arial" w:hAnsi="Arial" w:cs="Arial"/>
          <w:sz w:val="20"/>
          <w:szCs w:val="20"/>
          <w:lang w:val="en-US"/>
        </w:rPr>
        <w:t>interpreted</w:t>
      </w:r>
      <w:r w:rsidR="00503BDD" w:rsidRPr="00E967EA">
        <w:rPr>
          <w:rFonts w:ascii="Arial" w:hAnsi="Arial" w:cs="Arial"/>
          <w:sz w:val="20"/>
          <w:szCs w:val="20"/>
          <w:lang w:val="en-US"/>
        </w:rPr>
        <w:t xml:space="preserve"> that</w:t>
      </w:r>
      <w:r w:rsidR="007E63D7" w:rsidRPr="00E967EA">
        <w:rPr>
          <w:rFonts w:ascii="Arial" w:hAnsi="Arial" w:cs="Arial"/>
          <w:sz w:val="20"/>
          <w:szCs w:val="20"/>
          <w:lang w:val="en-US"/>
        </w:rPr>
        <w:t xml:space="preserve"> </w:t>
      </w:r>
      <w:r w:rsidR="006A7634" w:rsidRPr="00E967EA">
        <w:rPr>
          <w:rFonts w:ascii="Arial" w:hAnsi="Arial" w:cs="Arial"/>
          <w:sz w:val="20"/>
          <w:szCs w:val="20"/>
          <w:lang w:val="en-US"/>
        </w:rPr>
        <w:t>in 2012</w:t>
      </w:r>
      <w:r w:rsidR="00CC4159">
        <w:rPr>
          <w:rFonts w:ascii="Arial" w:hAnsi="Arial" w:cs="Arial"/>
          <w:sz w:val="20"/>
          <w:szCs w:val="20"/>
          <w:lang w:val="en-US"/>
        </w:rPr>
        <w:t>,</w:t>
      </w:r>
      <w:r w:rsidR="006A7634" w:rsidRPr="00E967EA">
        <w:rPr>
          <w:rFonts w:ascii="Arial" w:hAnsi="Arial" w:cs="Arial"/>
          <w:sz w:val="20"/>
          <w:szCs w:val="20"/>
          <w:lang w:val="en-US"/>
        </w:rPr>
        <w:t xml:space="preserve"> </w:t>
      </w:r>
      <w:r w:rsidR="007E63D7" w:rsidRPr="00E967EA">
        <w:rPr>
          <w:rFonts w:ascii="Arial" w:hAnsi="Arial" w:cs="Arial"/>
          <w:sz w:val="20"/>
          <w:szCs w:val="20"/>
          <w:lang w:val="en-US"/>
        </w:rPr>
        <w:t xml:space="preserve">students in Turkey are still one year of schooling behind their </w:t>
      </w:r>
      <w:r w:rsidR="00476E31" w:rsidRPr="00E967EA">
        <w:rPr>
          <w:rFonts w:ascii="Arial" w:hAnsi="Arial" w:cs="Arial"/>
          <w:sz w:val="20"/>
          <w:szCs w:val="20"/>
          <w:lang w:val="en-US"/>
        </w:rPr>
        <w:t xml:space="preserve">international </w:t>
      </w:r>
      <w:r w:rsidR="007E63D7" w:rsidRPr="00E967EA">
        <w:rPr>
          <w:rFonts w:ascii="Arial" w:hAnsi="Arial" w:cs="Arial"/>
          <w:sz w:val="20"/>
          <w:szCs w:val="20"/>
          <w:lang w:val="en-US"/>
        </w:rPr>
        <w:t xml:space="preserve">peers in OECD countries. </w:t>
      </w:r>
    </w:p>
    <w:p w:rsidR="00F72284" w:rsidRPr="00E967EA" w:rsidRDefault="00E270F8" w:rsidP="005A551F">
      <w:pPr>
        <w:jc w:val="both"/>
        <w:rPr>
          <w:rFonts w:ascii="Arial" w:hAnsi="Arial" w:cs="Arial"/>
          <w:sz w:val="20"/>
          <w:szCs w:val="20"/>
          <w:lang w:val="en-US"/>
        </w:rPr>
      </w:pPr>
      <w:r>
        <w:rPr>
          <w:noProof/>
        </w:rPr>
        <mc:AlternateContent>
          <mc:Choice Requires="wps">
            <w:drawing>
              <wp:anchor distT="0" distB="0" distL="114300" distR="114300" simplePos="0" relativeHeight="251658752" behindDoc="0" locked="0" layoutInCell="1" allowOverlap="1">
                <wp:simplePos x="0" y="0"/>
                <wp:positionH relativeFrom="column">
                  <wp:posOffset>2338705</wp:posOffset>
                </wp:positionH>
                <wp:positionV relativeFrom="paragraph">
                  <wp:posOffset>1606550</wp:posOffset>
                </wp:positionV>
                <wp:extent cx="3581400" cy="339090"/>
                <wp:effectExtent l="0" t="2540" r="0" b="1270"/>
                <wp:wrapSquare wrapText="bothSides"/>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2FE" w:rsidRPr="004752FE" w:rsidRDefault="004752FE" w:rsidP="004752FE">
                            <w:pPr>
                              <w:pStyle w:val="Caption"/>
                              <w:spacing w:after="0"/>
                              <w:rPr>
                                <w:rFonts w:ascii="Arial" w:hAnsi="Arial" w:cs="Arial"/>
                                <w:b w:val="0"/>
                                <w:color w:val="auto"/>
                                <w:sz w:val="16"/>
                                <w:szCs w:val="16"/>
                                <w:lang w:val="en-US"/>
                              </w:rPr>
                            </w:pPr>
                            <w:r w:rsidRPr="004752FE">
                              <w:rPr>
                                <w:rFonts w:ascii="Arial" w:hAnsi="Arial" w:cs="Arial"/>
                                <w:b w:val="0"/>
                                <w:color w:val="auto"/>
                                <w:sz w:val="16"/>
                                <w:szCs w:val="16"/>
                                <w:lang w:val="en-US"/>
                              </w:rPr>
                              <w:t>Source: OECD; PISA 2012 Results</w:t>
                            </w:r>
                          </w:p>
                          <w:p w:rsidR="004752FE" w:rsidRPr="004752FE" w:rsidRDefault="004752FE" w:rsidP="004752FE">
                            <w:pPr>
                              <w:spacing w:after="0" w:line="240" w:lineRule="auto"/>
                              <w:rPr>
                                <w:lang w:val="en-US"/>
                              </w:rPr>
                            </w:pPr>
                            <w:r w:rsidRPr="004752FE">
                              <w:rPr>
                                <w:rFonts w:ascii="Arial" w:hAnsi="Arial" w:cs="Arial"/>
                                <w:sz w:val="16"/>
                                <w:szCs w:val="16"/>
                                <w:lang w:val="en-US"/>
                              </w:rPr>
                              <w:t xml:space="preserve">Note: Positive values imply that Turkey scores are less than OECD </w:t>
                            </w:r>
                            <w:r>
                              <w:rPr>
                                <w:rFonts w:ascii="Arial" w:hAnsi="Arial" w:cs="Arial"/>
                                <w:sz w:val="16"/>
                                <w:szCs w:val="16"/>
                                <w:lang w:val="en-US"/>
                              </w:rPr>
                              <w:t>averages</w:t>
                            </w:r>
                            <w:r>
                              <w:rPr>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184.15pt;margin-top:126.5pt;width:282pt;height:2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" stroked="f">
                <v:textbox inset="0,0,0,0">
                  <w:txbxContent>
                    <w:p w:rsidR="004752FE" w:rsidRPr="004752FE" w:rsidRDefault="004752FE" w:rsidP="004752FE">
                      <w:pPr>
                        <w:pStyle w:val="Caption"/>
                        <w:spacing w:after="0"/>
                        <w:rPr>
                          <w:rFonts w:ascii="Arial" w:hAnsi="Arial" w:cs="Arial"/>
                          <w:b w:val="0"/>
                          <w:color w:val="auto"/>
                          <w:sz w:val="16"/>
                          <w:szCs w:val="16"/>
                          <w:lang w:val="en-US"/>
                        </w:rPr>
                      </w:pPr>
                      <w:r w:rsidRPr="004752FE">
                        <w:rPr>
                          <w:rFonts w:ascii="Arial" w:hAnsi="Arial" w:cs="Arial"/>
                          <w:b w:val="0"/>
                          <w:color w:val="auto"/>
                          <w:sz w:val="16"/>
                          <w:szCs w:val="16"/>
                          <w:lang w:val="en-US"/>
                        </w:rPr>
                        <w:t>Source: OECD; PISA 2012 Results</w:t>
                      </w:r>
                    </w:p>
                    <w:p w:rsidR="004752FE" w:rsidRPr="004752FE" w:rsidRDefault="004752FE" w:rsidP="004752FE">
                      <w:pPr>
                        <w:spacing w:after="0" w:line="240" w:lineRule="auto"/>
                        <w:rPr>
                          <w:lang w:val="en-US"/>
                        </w:rPr>
                      </w:pPr>
                      <w:r w:rsidRPr="004752FE">
                        <w:rPr>
                          <w:rFonts w:ascii="Arial" w:hAnsi="Arial" w:cs="Arial"/>
                          <w:sz w:val="16"/>
                          <w:szCs w:val="16"/>
                          <w:lang w:val="en-US"/>
                        </w:rPr>
                        <w:t xml:space="preserve">Note: Positive values imply that Turkey scores are less than OECD </w:t>
                      </w:r>
                      <w:r>
                        <w:rPr>
                          <w:rFonts w:ascii="Arial" w:hAnsi="Arial" w:cs="Arial"/>
                          <w:sz w:val="16"/>
                          <w:szCs w:val="16"/>
                          <w:lang w:val="en-US"/>
                        </w:rPr>
                        <w:t>averages</w:t>
                      </w:r>
                      <w:r>
                        <w:rPr>
                          <w:lang w:val="en-US"/>
                        </w:rPr>
                        <w:t>.</w:t>
                      </w:r>
                    </w:p>
                  </w:txbxContent>
                </v:textbox>
                <w10:wrap type="square"/>
              </v:shape>
            </w:pict>
          </mc:Fallback>
        </mc:AlternateContent>
      </w:r>
      <w:r w:rsidR="00676FA3" w:rsidRPr="00E967EA">
        <w:rPr>
          <w:rFonts w:ascii="Arial" w:hAnsi="Arial" w:cs="Arial"/>
          <w:sz w:val="20"/>
          <w:szCs w:val="20"/>
          <w:lang w:val="en-US"/>
        </w:rPr>
        <w:t>During the period 2006-2012 Turkey is the fastest improv</w:t>
      </w:r>
      <w:r w:rsidR="00F72284" w:rsidRPr="00E967EA">
        <w:rPr>
          <w:rFonts w:ascii="Arial" w:hAnsi="Arial" w:cs="Arial"/>
          <w:sz w:val="20"/>
          <w:szCs w:val="20"/>
          <w:lang w:val="en-US"/>
        </w:rPr>
        <w:t>ing</w:t>
      </w:r>
      <w:r w:rsidR="00676FA3" w:rsidRPr="00E967EA">
        <w:rPr>
          <w:rFonts w:ascii="Arial" w:hAnsi="Arial" w:cs="Arial"/>
          <w:sz w:val="20"/>
          <w:szCs w:val="20"/>
          <w:lang w:val="en-US"/>
        </w:rPr>
        <w:t xml:space="preserve"> country amon</w:t>
      </w:r>
      <w:r w:rsidR="00F72284" w:rsidRPr="00E967EA">
        <w:rPr>
          <w:rFonts w:ascii="Arial" w:hAnsi="Arial" w:cs="Arial"/>
          <w:sz w:val="20"/>
          <w:szCs w:val="20"/>
          <w:lang w:val="en-US"/>
        </w:rPr>
        <w:t>g 34 OECD countries (Figure 3</w:t>
      </w:r>
      <w:r w:rsidR="0001013A" w:rsidRPr="00E967EA">
        <w:rPr>
          <w:rStyle w:val="FootnoteReference"/>
          <w:rFonts w:ascii="Arial" w:hAnsi="Arial" w:cs="Arial"/>
          <w:sz w:val="20"/>
          <w:szCs w:val="20"/>
          <w:lang w:val="en-US"/>
        </w:rPr>
        <w:footnoteReference w:id="5"/>
      </w:r>
      <w:r w:rsidR="00F72284" w:rsidRPr="00E967EA">
        <w:rPr>
          <w:rFonts w:ascii="Arial" w:hAnsi="Arial" w:cs="Arial"/>
          <w:sz w:val="20"/>
          <w:szCs w:val="20"/>
          <w:lang w:val="en-US"/>
        </w:rPr>
        <w:t xml:space="preserve">) and </w:t>
      </w:r>
      <w:r w:rsidR="004813BD">
        <w:rPr>
          <w:rFonts w:ascii="Arial" w:hAnsi="Arial" w:cs="Arial"/>
          <w:sz w:val="20"/>
          <w:szCs w:val="20"/>
          <w:lang w:val="en-US"/>
        </w:rPr>
        <w:t>the</w:t>
      </w:r>
      <w:r w:rsidR="00F72284" w:rsidRPr="00E967EA">
        <w:rPr>
          <w:rFonts w:ascii="Arial" w:hAnsi="Arial" w:cs="Arial"/>
          <w:sz w:val="20"/>
          <w:szCs w:val="20"/>
          <w:lang w:val="en-US"/>
        </w:rPr>
        <w:t xml:space="preserve"> annual increase</w:t>
      </w:r>
      <w:r w:rsidR="00711997" w:rsidRPr="00E967EA">
        <w:rPr>
          <w:rFonts w:ascii="Arial" w:hAnsi="Arial" w:cs="Arial"/>
          <w:sz w:val="20"/>
          <w:szCs w:val="20"/>
          <w:lang w:val="en-US"/>
        </w:rPr>
        <w:t xml:space="preserve"> in Turkey's PISA score is </w:t>
      </w:r>
      <w:r w:rsidR="00D203F4">
        <w:rPr>
          <w:rFonts w:ascii="Arial" w:hAnsi="Arial" w:cs="Arial"/>
          <w:sz w:val="20"/>
          <w:szCs w:val="20"/>
          <w:lang w:val="en-US"/>
        </w:rPr>
        <w:t>approximately</w:t>
      </w:r>
      <w:r w:rsidR="00F72284" w:rsidRPr="00E967EA">
        <w:rPr>
          <w:rFonts w:ascii="Arial" w:hAnsi="Arial" w:cs="Arial"/>
          <w:sz w:val="20"/>
          <w:szCs w:val="20"/>
          <w:lang w:val="en-US"/>
        </w:rPr>
        <w:t xml:space="preserve"> 5 points.</w:t>
      </w:r>
      <w:r w:rsidR="00711997" w:rsidRPr="00E967EA">
        <w:rPr>
          <w:rFonts w:ascii="Arial" w:hAnsi="Arial" w:cs="Arial"/>
          <w:sz w:val="20"/>
          <w:szCs w:val="20"/>
          <w:lang w:val="en-US"/>
        </w:rPr>
        <w:t xml:space="preserve"> With respect to </w:t>
      </w:r>
      <w:r w:rsidR="00CD4F0A">
        <w:rPr>
          <w:rFonts w:ascii="Arial" w:hAnsi="Arial" w:cs="Arial"/>
          <w:sz w:val="20"/>
          <w:szCs w:val="20"/>
          <w:lang w:val="en-US"/>
        </w:rPr>
        <w:t xml:space="preserve">the </w:t>
      </w:r>
      <w:r w:rsidR="00711997" w:rsidRPr="00E967EA">
        <w:rPr>
          <w:rFonts w:ascii="Arial" w:hAnsi="Arial" w:cs="Arial"/>
          <w:sz w:val="20"/>
          <w:szCs w:val="20"/>
          <w:lang w:val="en-US"/>
        </w:rPr>
        <w:t>2006 PISA average scores</w:t>
      </w:r>
      <w:r w:rsidR="00CD4F0A">
        <w:rPr>
          <w:rFonts w:ascii="Arial" w:hAnsi="Arial" w:cs="Arial"/>
          <w:sz w:val="20"/>
          <w:szCs w:val="20"/>
          <w:lang w:val="en-US"/>
        </w:rPr>
        <w:t>,</w:t>
      </w:r>
      <w:r w:rsidR="00711997" w:rsidRPr="00E967EA">
        <w:rPr>
          <w:rFonts w:ascii="Arial" w:hAnsi="Arial" w:cs="Arial"/>
          <w:sz w:val="20"/>
          <w:szCs w:val="20"/>
          <w:lang w:val="en-US"/>
        </w:rPr>
        <w:t xml:space="preserve"> Turkey, Chile, Israel and Mexico are low performers compared to rest of OECD countries. </w:t>
      </w:r>
      <w:r w:rsidR="00900FF0">
        <w:rPr>
          <w:rFonts w:ascii="Arial" w:hAnsi="Arial" w:cs="Arial"/>
          <w:sz w:val="20"/>
          <w:szCs w:val="20"/>
          <w:lang w:val="en-US"/>
        </w:rPr>
        <w:t>Even though the</w:t>
      </w:r>
      <w:r w:rsidR="00711997" w:rsidRPr="00E967EA">
        <w:rPr>
          <w:rFonts w:ascii="Arial" w:hAnsi="Arial" w:cs="Arial"/>
          <w:sz w:val="20"/>
          <w:szCs w:val="20"/>
          <w:lang w:val="en-US"/>
        </w:rPr>
        <w:t xml:space="preserve"> 2006 PISA scores of Chile, Mexico and Turkey are close to each other, Turkey's annual increase in average performance is quite large compared to </w:t>
      </w:r>
      <w:r w:rsidR="00BA3459" w:rsidRPr="00E967EA">
        <w:rPr>
          <w:rFonts w:ascii="Arial" w:hAnsi="Arial" w:cs="Arial"/>
          <w:sz w:val="20"/>
          <w:szCs w:val="20"/>
          <w:lang w:val="en-US"/>
        </w:rPr>
        <w:t>that</w:t>
      </w:r>
      <w:r w:rsidR="003D7738" w:rsidRPr="00E967EA">
        <w:rPr>
          <w:rFonts w:ascii="Arial" w:hAnsi="Arial" w:cs="Arial"/>
          <w:sz w:val="20"/>
          <w:szCs w:val="20"/>
          <w:lang w:val="en-US"/>
        </w:rPr>
        <w:t xml:space="preserve"> of </w:t>
      </w:r>
      <w:r w:rsidR="00711997" w:rsidRPr="00E967EA">
        <w:rPr>
          <w:rFonts w:ascii="Arial" w:hAnsi="Arial" w:cs="Arial"/>
          <w:sz w:val="20"/>
          <w:szCs w:val="20"/>
          <w:lang w:val="en-US"/>
        </w:rPr>
        <w:t>Mexico and Chile.</w:t>
      </w:r>
      <w:r w:rsidR="003D7738" w:rsidRPr="00E967EA">
        <w:rPr>
          <w:rFonts w:ascii="Arial" w:hAnsi="Arial" w:cs="Arial"/>
          <w:sz w:val="20"/>
          <w:szCs w:val="20"/>
          <w:lang w:val="en-US"/>
        </w:rPr>
        <w:t xml:space="preserve"> On the other hand, 12 OECD countries have experienced decline in average PISA scores, especially Sweden has the largest decrease in PISA scores. </w:t>
      </w:r>
    </w:p>
    <w:p w:rsidR="004526AE" w:rsidRPr="00E967EA" w:rsidRDefault="003D7738" w:rsidP="00676FA3">
      <w:pPr>
        <w:jc w:val="both"/>
        <w:rPr>
          <w:rFonts w:ascii="Arial" w:hAnsi="Arial" w:cs="Arial"/>
          <w:sz w:val="20"/>
          <w:szCs w:val="20"/>
          <w:lang w:val="en-US"/>
        </w:rPr>
      </w:pPr>
      <w:r w:rsidRPr="00E967EA">
        <w:rPr>
          <w:rFonts w:ascii="Arial" w:hAnsi="Arial" w:cs="Arial"/>
          <w:sz w:val="20"/>
          <w:szCs w:val="20"/>
          <w:lang w:val="en-US"/>
        </w:rPr>
        <w:t xml:space="preserve">As mentioned </w:t>
      </w:r>
      <w:r w:rsidR="008B1346">
        <w:rPr>
          <w:rFonts w:ascii="Arial" w:hAnsi="Arial" w:cs="Arial"/>
          <w:sz w:val="20"/>
          <w:szCs w:val="20"/>
          <w:lang w:val="en-US"/>
        </w:rPr>
        <w:t>above</w:t>
      </w:r>
      <w:r w:rsidRPr="00E967EA">
        <w:rPr>
          <w:rFonts w:ascii="Arial" w:hAnsi="Arial" w:cs="Arial"/>
          <w:sz w:val="20"/>
          <w:szCs w:val="20"/>
          <w:lang w:val="en-US"/>
        </w:rPr>
        <w:t xml:space="preserve">, Turkey's improvement in performance </w:t>
      </w:r>
      <w:r w:rsidR="00616212" w:rsidRPr="00E967EA">
        <w:rPr>
          <w:rFonts w:ascii="Arial" w:hAnsi="Arial" w:cs="Arial"/>
          <w:sz w:val="20"/>
          <w:szCs w:val="20"/>
          <w:lang w:val="en-US"/>
        </w:rPr>
        <w:t xml:space="preserve">in the last six years </w:t>
      </w:r>
      <w:r w:rsidRPr="00E967EA">
        <w:rPr>
          <w:rFonts w:ascii="Arial" w:hAnsi="Arial" w:cs="Arial"/>
          <w:sz w:val="20"/>
          <w:szCs w:val="20"/>
          <w:lang w:val="en-US"/>
        </w:rPr>
        <w:t xml:space="preserve">and </w:t>
      </w:r>
      <w:r w:rsidR="004526AE" w:rsidRPr="00E967EA">
        <w:rPr>
          <w:rFonts w:ascii="Arial" w:hAnsi="Arial" w:cs="Arial"/>
          <w:sz w:val="20"/>
          <w:szCs w:val="20"/>
          <w:lang w:val="en-US"/>
        </w:rPr>
        <w:t xml:space="preserve">also </w:t>
      </w:r>
      <w:r w:rsidR="00616212">
        <w:rPr>
          <w:rFonts w:ascii="Arial" w:hAnsi="Arial" w:cs="Arial"/>
          <w:sz w:val="20"/>
          <w:szCs w:val="20"/>
          <w:lang w:val="en-US"/>
        </w:rPr>
        <w:t>gradually diminishing</w:t>
      </w:r>
      <w:r w:rsidRPr="00E967EA">
        <w:rPr>
          <w:rFonts w:ascii="Arial" w:hAnsi="Arial" w:cs="Arial"/>
          <w:sz w:val="20"/>
          <w:szCs w:val="20"/>
          <w:lang w:val="en-US"/>
        </w:rPr>
        <w:t xml:space="preserve"> gap </w:t>
      </w:r>
      <w:r w:rsidR="004526AE" w:rsidRPr="00E967EA">
        <w:rPr>
          <w:rFonts w:ascii="Arial" w:hAnsi="Arial" w:cs="Arial"/>
          <w:sz w:val="20"/>
          <w:szCs w:val="20"/>
          <w:lang w:val="en-US"/>
        </w:rPr>
        <w:t xml:space="preserve">with </w:t>
      </w:r>
      <w:r w:rsidRPr="00E967EA">
        <w:rPr>
          <w:rFonts w:ascii="Arial" w:hAnsi="Arial" w:cs="Arial"/>
          <w:sz w:val="20"/>
          <w:szCs w:val="20"/>
          <w:lang w:val="en-US"/>
        </w:rPr>
        <w:t>OECD average are not enough to change Turkey's ranking among OE</w:t>
      </w:r>
      <w:r w:rsidR="004526AE" w:rsidRPr="00E967EA">
        <w:rPr>
          <w:rFonts w:ascii="Arial" w:hAnsi="Arial" w:cs="Arial"/>
          <w:sz w:val="20"/>
          <w:szCs w:val="20"/>
          <w:lang w:val="en-US"/>
        </w:rPr>
        <w:t>CD c</w:t>
      </w:r>
      <w:r w:rsidR="00476E31" w:rsidRPr="00E967EA">
        <w:rPr>
          <w:rFonts w:ascii="Arial" w:hAnsi="Arial" w:cs="Arial"/>
          <w:sz w:val="20"/>
          <w:szCs w:val="20"/>
          <w:lang w:val="en-US"/>
        </w:rPr>
        <w:t xml:space="preserve">ountries. </w:t>
      </w:r>
      <w:r w:rsidR="00677285" w:rsidRPr="00E967EA">
        <w:rPr>
          <w:rFonts w:ascii="Arial" w:hAnsi="Arial" w:cs="Arial"/>
          <w:sz w:val="20"/>
          <w:szCs w:val="20"/>
          <w:lang w:val="en-US"/>
        </w:rPr>
        <w:t xml:space="preserve">Turkey needs to do more </w:t>
      </w:r>
      <w:r w:rsidR="00476E31" w:rsidRPr="00E967EA">
        <w:rPr>
          <w:rFonts w:ascii="Arial" w:hAnsi="Arial" w:cs="Arial"/>
          <w:sz w:val="20"/>
          <w:szCs w:val="20"/>
          <w:lang w:val="en-US"/>
        </w:rPr>
        <w:t>to narrow education quality gap</w:t>
      </w:r>
      <w:r w:rsidR="004526AE" w:rsidRPr="00E967EA">
        <w:rPr>
          <w:rFonts w:ascii="Arial" w:hAnsi="Arial" w:cs="Arial"/>
          <w:sz w:val="20"/>
          <w:szCs w:val="20"/>
          <w:lang w:val="en-US"/>
        </w:rPr>
        <w:t xml:space="preserve"> with developed OECD countries. </w:t>
      </w:r>
    </w:p>
    <w:p w:rsidR="00D74ED4" w:rsidRPr="00E967EA" w:rsidRDefault="00E270F8" w:rsidP="005A551F">
      <w:pPr>
        <w:jc w:val="both"/>
        <w:rPr>
          <w:rFonts w:ascii="Arial" w:hAnsi="Arial" w:cs="Arial"/>
          <w:sz w:val="20"/>
          <w:szCs w:val="20"/>
          <w:lang w:val="en-US"/>
        </w:rPr>
      </w:pPr>
      <w:r>
        <w:rPr>
          <w:noProof/>
        </w:rPr>
        <w:lastRenderedPageBreak/>
        <mc:AlternateContent>
          <mc:Choice Requires="wps">
            <w:drawing>
              <wp:anchor distT="0" distB="0" distL="114300" distR="114300" simplePos="0" relativeHeight="251660800" behindDoc="0" locked="0" layoutInCell="1" allowOverlap="1">
                <wp:simplePos x="0" y="0"/>
                <wp:positionH relativeFrom="column">
                  <wp:posOffset>14605</wp:posOffset>
                </wp:positionH>
                <wp:positionV relativeFrom="paragraph">
                  <wp:posOffset>-261620</wp:posOffset>
                </wp:positionV>
                <wp:extent cx="5124450" cy="247650"/>
                <wp:effectExtent l="0" t="0" r="0" b="0"/>
                <wp:wrapTopAndBottom/>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4ED4" w:rsidRPr="00D74ED4" w:rsidRDefault="00274DBE" w:rsidP="00D74ED4">
                            <w:pPr>
                              <w:pStyle w:val="Caption"/>
                              <w:rPr>
                                <w:rFonts w:ascii="Arial" w:hAnsi="Arial" w:cs="Arial"/>
                                <w:color w:val="auto"/>
                                <w:sz w:val="20"/>
                                <w:szCs w:val="20"/>
                                <w:lang w:val="en-US"/>
                              </w:rPr>
                            </w:pPr>
                            <w:r w:rsidRPr="00E967EA">
                              <w:rPr>
                                <w:rFonts w:ascii="Arial" w:hAnsi="Arial" w:cs="Arial"/>
                                <w:color w:val="auto"/>
                                <w:sz w:val="20"/>
                                <w:szCs w:val="20"/>
                                <w:lang w:val="en-US"/>
                              </w:rPr>
                              <w:t>Figure</w:t>
                            </w:r>
                            <w:r w:rsidR="00E270F8">
                              <w:rPr>
                                <w:rFonts w:ascii="Arial" w:hAnsi="Arial" w:cs="Arial"/>
                                <w:color w:val="auto"/>
                                <w:sz w:val="20"/>
                                <w:szCs w:val="20"/>
                                <w:lang w:val="en-US"/>
                              </w:rPr>
                              <w:t xml:space="preserve"> </w:t>
                            </w:r>
                            <w:r w:rsidR="008504A7" w:rsidRPr="00E967EA">
                              <w:rPr>
                                <w:rFonts w:ascii="Arial" w:hAnsi="Arial" w:cs="Arial"/>
                                <w:color w:val="auto"/>
                                <w:sz w:val="20"/>
                                <w:szCs w:val="20"/>
                                <w:lang w:val="en-US"/>
                              </w:rPr>
                              <w:fldChar w:fldCharType="begin"/>
                            </w:r>
                            <w:r w:rsidR="00D74ED4" w:rsidRPr="00E967EA">
                              <w:rPr>
                                <w:rFonts w:ascii="Arial" w:hAnsi="Arial" w:cs="Arial"/>
                                <w:color w:val="auto"/>
                                <w:sz w:val="20"/>
                                <w:szCs w:val="20"/>
                                <w:lang w:val="en-US"/>
                              </w:rPr>
                              <w:instrText xml:space="preserve"> SEQ Figure_ \* ARABIC </w:instrText>
                            </w:r>
                            <w:r w:rsidR="008504A7" w:rsidRPr="00E967EA">
                              <w:rPr>
                                <w:rFonts w:ascii="Arial" w:hAnsi="Arial" w:cs="Arial"/>
                                <w:color w:val="auto"/>
                                <w:sz w:val="20"/>
                                <w:szCs w:val="20"/>
                                <w:lang w:val="en-US"/>
                              </w:rPr>
                              <w:fldChar w:fldCharType="separate"/>
                            </w:r>
                            <w:r w:rsidR="001E20CD">
                              <w:rPr>
                                <w:rFonts w:ascii="Arial" w:hAnsi="Arial" w:cs="Arial"/>
                                <w:noProof/>
                                <w:color w:val="auto"/>
                                <w:sz w:val="20"/>
                                <w:szCs w:val="20"/>
                                <w:lang w:val="en-US"/>
                              </w:rPr>
                              <w:t>3</w:t>
                            </w:r>
                            <w:r w:rsidR="008504A7" w:rsidRPr="00E967EA">
                              <w:rPr>
                                <w:rFonts w:ascii="Arial" w:hAnsi="Arial" w:cs="Arial"/>
                                <w:color w:val="auto"/>
                                <w:sz w:val="20"/>
                                <w:szCs w:val="20"/>
                                <w:lang w:val="en-US"/>
                              </w:rPr>
                              <w:fldChar w:fldCharType="end"/>
                            </w:r>
                            <w:r w:rsidR="00D74ED4" w:rsidRPr="00E967EA">
                              <w:rPr>
                                <w:rFonts w:ascii="Arial" w:hAnsi="Arial" w:cs="Arial"/>
                                <w:color w:val="auto"/>
                                <w:sz w:val="20"/>
                                <w:szCs w:val="20"/>
                                <w:lang w:val="en-US"/>
                              </w:rPr>
                              <w:t xml:space="preserve"> : 2006-2012 Annual Changes in PISA scores (OECD Countries)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1.15pt;margin-top:-20.6pt;width:403.5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" stroked="f">
                <v:textbox inset="0,0,0,0">
                  <w:txbxContent>
                    <w:p w:rsidR="00D74ED4" w:rsidRPr="00D74ED4" w:rsidRDefault="00274DBE" w:rsidP="00D74ED4">
                      <w:pPr>
                        <w:pStyle w:val="Caption"/>
                        <w:rPr>
                          <w:rFonts w:ascii="Arial" w:hAnsi="Arial" w:cs="Arial"/>
                          <w:color w:val="auto"/>
                          <w:sz w:val="20"/>
                          <w:szCs w:val="20"/>
                          <w:lang w:val="en-US"/>
                        </w:rPr>
                      </w:pPr>
                      <w:r w:rsidRPr="00E967EA">
                        <w:rPr>
                          <w:rFonts w:ascii="Arial" w:hAnsi="Arial" w:cs="Arial"/>
                          <w:color w:val="auto"/>
                          <w:sz w:val="20"/>
                          <w:szCs w:val="20"/>
                          <w:lang w:val="en-US"/>
                        </w:rPr>
                        <w:t>Figure</w:t>
                      </w:r>
                      <w:r w:rsidR="00E270F8">
                        <w:rPr>
                          <w:rFonts w:ascii="Arial" w:hAnsi="Arial" w:cs="Arial"/>
                          <w:color w:val="auto"/>
                          <w:sz w:val="20"/>
                          <w:szCs w:val="20"/>
                          <w:lang w:val="en-US"/>
                        </w:rPr>
                        <w:t xml:space="preserve"> </w:t>
                      </w:r>
                      <w:r w:rsidR="008504A7" w:rsidRPr="00E967EA">
                        <w:rPr>
                          <w:rFonts w:ascii="Arial" w:hAnsi="Arial" w:cs="Arial"/>
                          <w:color w:val="auto"/>
                          <w:sz w:val="20"/>
                          <w:szCs w:val="20"/>
                          <w:lang w:val="en-US"/>
                        </w:rPr>
                        <w:fldChar w:fldCharType="begin"/>
                      </w:r>
                      <w:r w:rsidR="00D74ED4" w:rsidRPr="00E967EA">
                        <w:rPr>
                          <w:rFonts w:ascii="Arial" w:hAnsi="Arial" w:cs="Arial"/>
                          <w:color w:val="auto"/>
                          <w:sz w:val="20"/>
                          <w:szCs w:val="20"/>
                          <w:lang w:val="en-US"/>
                        </w:rPr>
                        <w:instrText xml:space="preserve"> SEQ Figure_ \* ARABIC </w:instrText>
                      </w:r>
                      <w:r w:rsidR="008504A7" w:rsidRPr="00E967EA">
                        <w:rPr>
                          <w:rFonts w:ascii="Arial" w:hAnsi="Arial" w:cs="Arial"/>
                          <w:color w:val="auto"/>
                          <w:sz w:val="20"/>
                          <w:szCs w:val="20"/>
                          <w:lang w:val="en-US"/>
                        </w:rPr>
                        <w:fldChar w:fldCharType="separate"/>
                      </w:r>
                      <w:r w:rsidR="001E20CD">
                        <w:rPr>
                          <w:rFonts w:ascii="Arial" w:hAnsi="Arial" w:cs="Arial"/>
                          <w:noProof/>
                          <w:color w:val="auto"/>
                          <w:sz w:val="20"/>
                          <w:szCs w:val="20"/>
                          <w:lang w:val="en-US"/>
                        </w:rPr>
                        <w:t>3</w:t>
                      </w:r>
                      <w:r w:rsidR="008504A7" w:rsidRPr="00E967EA">
                        <w:rPr>
                          <w:rFonts w:ascii="Arial" w:hAnsi="Arial" w:cs="Arial"/>
                          <w:color w:val="auto"/>
                          <w:sz w:val="20"/>
                          <w:szCs w:val="20"/>
                          <w:lang w:val="en-US"/>
                        </w:rPr>
                        <w:fldChar w:fldCharType="end"/>
                      </w:r>
                      <w:r w:rsidR="00D74ED4" w:rsidRPr="00E967EA">
                        <w:rPr>
                          <w:rFonts w:ascii="Arial" w:hAnsi="Arial" w:cs="Arial"/>
                          <w:color w:val="auto"/>
                          <w:sz w:val="20"/>
                          <w:szCs w:val="20"/>
                          <w:lang w:val="en-US"/>
                        </w:rPr>
                        <w:t xml:space="preserve"> : 2006-2012 Annual Changes in PISA scores (OECD Countries)</w:t>
                      </w:r>
                    </w:p>
                  </w:txbxContent>
                </v:textbox>
                <w10:wrap type="topAndBottom"/>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14605</wp:posOffset>
                </wp:positionH>
                <wp:positionV relativeFrom="paragraph">
                  <wp:posOffset>4100830</wp:posOffset>
                </wp:positionV>
                <wp:extent cx="5124450" cy="243840"/>
                <wp:effectExtent l="0" t="0" r="0" b="3810"/>
                <wp:wrapTopAndBottom/>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BDB" w:rsidRPr="002A0BDB" w:rsidRDefault="002A0BDB" w:rsidP="002A0BDB">
                            <w:pPr>
                              <w:pStyle w:val="Caption"/>
                              <w:rPr>
                                <w:rFonts w:ascii="Arial" w:hAnsi="Arial" w:cs="Arial"/>
                                <w:b w:val="0"/>
                                <w:noProof/>
                                <w:color w:val="auto"/>
                                <w:sz w:val="16"/>
                                <w:szCs w:val="16"/>
                                <w:lang w:val="en-US"/>
                              </w:rPr>
                            </w:pPr>
                            <w:r w:rsidRPr="00E967EA">
                              <w:rPr>
                                <w:rFonts w:ascii="Arial" w:hAnsi="Arial" w:cs="Arial"/>
                                <w:b w:val="0"/>
                                <w:color w:val="auto"/>
                                <w:sz w:val="16"/>
                                <w:szCs w:val="16"/>
                                <w:lang w:val="en-US"/>
                              </w:rPr>
                              <w:t>Source: OECD; PISA 2012 Results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1.15pt;margin-top:322.9pt;width:403.5pt;height:1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" stroked="f">
                <v:textbox style="mso-fit-shape-to-text:t" inset="0,0,0,0">
                  <w:txbxContent>
                    <w:p w:rsidR="002A0BDB" w:rsidRPr="002A0BDB" w:rsidRDefault="002A0BDB" w:rsidP="002A0BDB">
                      <w:pPr>
                        <w:pStyle w:val="Caption"/>
                        <w:rPr>
                          <w:rFonts w:ascii="Arial" w:hAnsi="Arial" w:cs="Arial"/>
                          <w:b w:val="0"/>
                          <w:noProof/>
                          <w:color w:val="auto"/>
                          <w:sz w:val="16"/>
                          <w:szCs w:val="16"/>
                          <w:lang w:val="en-US"/>
                        </w:rPr>
                      </w:pPr>
                      <w:r w:rsidRPr="00E967EA">
                        <w:rPr>
                          <w:rFonts w:ascii="Arial" w:hAnsi="Arial" w:cs="Arial"/>
                          <w:b w:val="0"/>
                          <w:color w:val="auto"/>
                          <w:sz w:val="16"/>
                          <w:szCs w:val="16"/>
                          <w:lang w:val="en-US"/>
                        </w:rPr>
                        <w:t>Source: OECD; PISA 2012 Results</w:t>
                      </w:r>
                    </w:p>
                  </w:txbxContent>
                </v:textbox>
                <w10:wrap type="topAndBottom"/>
              </v:shape>
            </w:pict>
          </mc:Fallback>
        </mc:AlternateContent>
      </w:r>
      <w:r w:rsidR="00D74ED4" w:rsidRPr="00E967EA">
        <w:rPr>
          <w:rFonts w:ascii="Arial" w:hAnsi="Arial" w:cs="Arial"/>
          <w:noProof/>
          <w:sz w:val="20"/>
          <w:szCs w:val="20"/>
        </w:rPr>
        <w:drawing>
          <wp:anchor distT="0" distB="0" distL="114300" distR="114300" simplePos="0" relativeHeight="251648512" behindDoc="0" locked="0" layoutInCell="1" allowOverlap="1">
            <wp:simplePos x="0" y="0"/>
            <wp:positionH relativeFrom="column">
              <wp:posOffset>14605</wp:posOffset>
            </wp:positionH>
            <wp:positionV relativeFrom="paragraph">
              <wp:posOffset>-4445</wp:posOffset>
            </wp:positionV>
            <wp:extent cx="5124450" cy="4048125"/>
            <wp:effectExtent l="0" t="0" r="0" b="0"/>
            <wp:wrapTopAndBottom/>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F765F5" w:rsidRPr="00E967EA" w:rsidRDefault="00D912AA" w:rsidP="005A551F">
      <w:pPr>
        <w:jc w:val="both"/>
        <w:rPr>
          <w:rFonts w:ascii="Arial" w:hAnsi="Arial" w:cs="Arial"/>
          <w:b/>
          <w:lang w:val="en-US"/>
        </w:rPr>
      </w:pPr>
      <w:r w:rsidRPr="00E967EA">
        <w:rPr>
          <w:rFonts w:ascii="Arial" w:hAnsi="Arial" w:cs="Arial"/>
          <w:b/>
          <w:lang w:val="en-US"/>
        </w:rPr>
        <w:t xml:space="preserve">Inequality in education is still high compared to OECD average </w:t>
      </w:r>
    </w:p>
    <w:p w:rsidR="00C2151F" w:rsidRPr="00E967EA" w:rsidRDefault="00D912AA" w:rsidP="000C31EF">
      <w:pPr>
        <w:jc w:val="both"/>
        <w:rPr>
          <w:rFonts w:ascii="Arial" w:hAnsi="Arial" w:cs="Arial"/>
          <w:sz w:val="20"/>
          <w:szCs w:val="20"/>
          <w:lang w:val="en-US"/>
        </w:rPr>
      </w:pPr>
      <w:r w:rsidRPr="00E967EA">
        <w:rPr>
          <w:rFonts w:ascii="Arial" w:hAnsi="Arial" w:cs="Arial"/>
          <w:sz w:val="20"/>
          <w:szCs w:val="20"/>
          <w:lang w:val="en-US"/>
        </w:rPr>
        <w:t>Students are categorized into six proficiency level</w:t>
      </w:r>
      <w:r w:rsidR="00A938CA" w:rsidRPr="00E967EA">
        <w:rPr>
          <w:rFonts w:ascii="Arial" w:hAnsi="Arial" w:cs="Arial"/>
          <w:sz w:val="20"/>
          <w:szCs w:val="20"/>
          <w:lang w:val="en-US"/>
        </w:rPr>
        <w:t>s</w:t>
      </w:r>
      <w:r w:rsidRPr="00E967EA">
        <w:rPr>
          <w:rFonts w:ascii="Arial" w:hAnsi="Arial" w:cs="Arial"/>
          <w:sz w:val="20"/>
          <w:szCs w:val="20"/>
          <w:lang w:val="en-US"/>
        </w:rPr>
        <w:t xml:space="preserve"> with respect to </w:t>
      </w:r>
      <w:r w:rsidR="00E53080">
        <w:rPr>
          <w:rFonts w:ascii="Arial" w:hAnsi="Arial" w:cs="Arial"/>
          <w:sz w:val="20"/>
          <w:szCs w:val="20"/>
          <w:lang w:val="en-US"/>
        </w:rPr>
        <w:t xml:space="preserve">PISA </w:t>
      </w:r>
      <w:r w:rsidRPr="00E967EA">
        <w:rPr>
          <w:rFonts w:ascii="Arial" w:hAnsi="Arial" w:cs="Arial"/>
          <w:sz w:val="20"/>
          <w:szCs w:val="20"/>
          <w:lang w:val="en-US"/>
        </w:rPr>
        <w:t>score</w:t>
      </w:r>
      <w:r w:rsidR="00592908" w:rsidRPr="00E967EA">
        <w:rPr>
          <w:rFonts w:ascii="Arial" w:hAnsi="Arial" w:cs="Arial"/>
          <w:sz w:val="20"/>
          <w:szCs w:val="20"/>
          <w:lang w:val="en-US"/>
        </w:rPr>
        <w:t>s</w:t>
      </w:r>
      <w:r w:rsidR="00BA3459" w:rsidRPr="00E967EA">
        <w:rPr>
          <w:rFonts w:ascii="Arial" w:hAnsi="Arial" w:cs="Arial"/>
          <w:sz w:val="20"/>
          <w:szCs w:val="20"/>
          <w:lang w:val="en-US"/>
        </w:rPr>
        <w:t>. Moreover</w:t>
      </w:r>
      <w:r w:rsidR="00566D04" w:rsidRPr="00E967EA">
        <w:rPr>
          <w:rFonts w:ascii="Arial" w:hAnsi="Arial" w:cs="Arial"/>
          <w:sz w:val="20"/>
          <w:szCs w:val="20"/>
          <w:lang w:val="en-US"/>
        </w:rPr>
        <w:t xml:space="preserve">, </w:t>
      </w:r>
      <w:r w:rsidR="00BE37F9">
        <w:rPr>
          <w:rFonts w:ascii="Arial" w:hAnsi="Arial" w:cs="Arial"/>
          <w:sz w:val="20"/>
          <w:szCs w:val="20"/>
          <w:lang w:val="en-US"/>
        </w:rPr>
        <w:t>students who scored lower</w:t>
      </w:r>
      <w:r w:rsidR="00A938CA" w:rsidRPr="00E967EA">
        <w:rPr>
          <w:rFonts w:ascii="Arial" w:hAnsi="Arial" w:cs="Arial"/>
          <w:sz w:val="20"/>
          <w:szCs w:val="20"/>
          <w:lang w:val="en-US"/>
        </w:rPr>
        <w:t xml:space="preserve"> than the upper limit of second proficiency level are co</w:t>
      </w:r>
      <w:r w:rsidR="008A0BB8" w:rsidRPr="00E967EA">
        <w:rPr>
          <w:rFonts w:ascii="Arial" w:hAnsi="Arial" w:cs="Arial"/>
          <w:sz w:val="20"/>
          <w:szCs w:val="20"/>
          <w:lang w:val="en-US"/>
        </w:rPr>
        <w:t xml:space="preserve">nsidered as low performers </w:t>
      </w:r>
      <w:r w:rsidR="00BA3459" w:rsidRPr="00E967EA">
        <w:rPr>
          <w:rFonts w:ascii="Arial" w:hAnsi="Arial" w:cs="Arial"/>
          <w:sz w:val="20"/>
          <w:szCs w:val="20"/>
          <w:lang w:val="en-US"/>
        </w:rPr>
        <w:t xml:space="preserve">and students </w:t>
      </w:r>
      <w:r w:rsidR="00BE37F9">
        <w:rPr>
          <w:rFonts w:ascii="Arial" w:hAnsi="Arial" w:cs="Arial"/>
          <w:sz w:val="20"/>
          <w:szCs w:val="20"/>
          <w:lang w:val="en-US"/>
        </w:rPr>
        <w:t xml:space="preserve">who scored higher than the lower limit of </w:t>
      </w:r>
      <w:r w:rsidR="00566D04" w:rsidRPr="00E967EA">
        <w:rPr>
          <w:rFonts w:ascii="Arial" w:hAnsi="Arial" w:cs="Arial"/>
          <w:sz w:val="20"/>
          <w:szCs w:val="20"/>
          <w:lang w:val="en-US"/>
        </w:rPr>
        <w:t xml:space="preserve">Level 5 are considered as top performers in PISA surveys. As stressed by </w:t>
      </w:r>
      <w:r w:rsidR="004D3EBD">
        <w:rPr>
          <w:rFonts w:ascii="Arial" w:hAnsi="Arial" w:cs="Arial"/>
          <w:sz w:val="20"/>
          <w:szCs w:val="20"/>
          <w:lang w:val="en-US"/>
        </w:rPr>
        <w:t xml:space="preserve">the </w:t>
      </w:r>
      <w:r w:rsidR="00566D04" w:rsidRPr="00E967EA">
        <w:rPr>
          <w:rFonts w:ascii="Arial" w:hAnsi="Arial" w:cs="Arial"/>
          <w:sz w:val="20"/>
          <w:szCs w:val="20"/>
          <w:lang w:val="en-US"/>
        </w:rPr>
        <w:t xml:space="preserve">OECD, the </w:t>
      </w:r>
      <w:r w:rsidR="00476E31" w:rsidRPr="00E967EA">
        <w:rPr>
          <w:rFonts w:ascii="Arial" w:hAnsi="Arial" w:cs="Arial"/>
          <w:sz w:val="20"/>
          <w:szCs w:val="20"/>
          <w:lang w:val="en-US"/>
        </w:rPr>
        <w:t xml:space="preserve">proportion </w:t>
      </w:r>
      <w:r w:rsidR="00566D04" w:rsidRPr="00E967EA">
        <w:rPr>
          <w:rFonts w:ascii="Arial" w:hAnsi="Arial" w:cs="Arial"/>
          <w:sz w:val="20"/>
          <w:szCs w:val="20"/>
          <w:lang w:val="en-US"/>
        </w:rPr>
        <w:t xml:space="preserve">of top performers </w:t>
      </w:r>
      <w:r w:rsidR="006D23E3" w:rsidRPr="00E967EA">
        <w:rPr>
          <w:rFonts w:ascii="Arial" w:hAnsi="Arial" w:cs="Arial"/>
          <w:sz w:val="20"/>
          <w:szCs w:val="20"/>
          <w:lang w:val="en-US"/>
        </w:rPr>
        <w:t>in total s</w:t>
      </w:r>
      <w:r w:rsidR="002F1F23">
        <w:rPr>
          <w:rFonts w:ascii="Arial" w:hAnsi="Arial" w:cs="Arial"/>
          <w:sz w:val="20"/>
          <w:szCs w:val="20"/>
          <w:lang w:val="en-US"/>
        </w:rPr>
        <w:t>tudents is important because the</w:t>
      </w:r>
      <w:r w:rsidR="006D23E3" w:rsidRPr="00E967EA">
        <w:rPr>
          <w:rFonts w:ascii="Arial" w:hAnsi="Arial" w:cs="Arial"/>
          <w:sz w:val="20"/>
          <w:szCs w:val="20"/>
          <w:lang w:val="en-US"/>
        </w:rPr>
        <w:t>se students provide top level human capital required for economic development. In Turkey the share of top performe</w:t>
      </w:r>
      <w:r w:rsidR="008A0BB8" w:rsidRPr="00E967EA">
        <w:rPr>
          <w:rFonts w:ascii="Arial" w:hAnsi="Arial" w:cs="Arial"/>
          <w:sz w:val="20"/>
          <w:szCs w:val="20"/>
          <w:lang w:val="en-US"/>
        </w:rPr>
        <w:t>rs expanded from 2.4 percent</w:t>
      </w:r>
      <w:r w:rsidR="006D23E3" w:rsidRPr="00E967EA">
        <w:rPr>
          <w:rFonts w:ascii="Arial" w:hAnsi="Arial" w:cs="Arial"/>
          <w:sz w:val="20"/>
          <w:szCs w:val="20"/>
          <w:lang w:val="en-US"/>
        </w:rPr>
        <w:t xml:space="preserve"> (2006) to 4 percent (2012). These ratios are quite low compared to</w:t>
      </w:r>
      <w:r w:rsidR="002F1F23">
        <w:rPr>
          <w:rFonts w:ascii="Arial" w:hAnsi="Arial" w:cs="Arial"/>
          <w:sz w:val="20"/>
          <w:szCs w:val="20"/>
          <w:lang w:val="en-US"/>
        </w:rPr>
        <w:t xml:space="preserve"> the</w:t>
      </w:r>
      <w:r w:rsidR="006D23E3" w:rsidRPr="00E967EA">
        <w:rPr>
          <w:rFonts w:ascii="Arial" w:hAnsi="Arial" w:cs="Arial"/>
          <w:sz w:val="20"/>
          <w:szCs w:val="20"/>
          <w:lang w:val="en-US"/>
        </w:rPr>
        <w:t xml:space="preserve"> OECD average (9.8 percent). On the other hand, the share of low performers in total students </w:t>
      </w:r>
      <w:r w:rsidR="002F1F23">
        <w:rPr>
          <w:rFonts w:ascii="Arial" w:hAnsi="Arial" w:cs="Arial"/>
          <w:sz w:val="20"/>
          <w:szCs w:val="20"/>
          <w:lang w:val="en-US"/>
        </w:rPr>
        <w:t>decreased</w:t>
      </w:r>
      <w:r w:rsidR="008A0BB8" w:rsidRPr="00E967EA">
        <w:rPr>
          <w:rFonts w:ascii="Arial" w:hAnsi="Arial" w:cs="Arial"/>
          <w:sz w:val="20"/>
          <w:szCs w:val="20"/>
          <w:lang w:val="en-US"/>
        </w:rPr>
        <w:t xml:space="preserve"> from 43.6 </w:t>
      </w:r>
      <w:r w:rsidR="006D23E3" w:rsidRPr="00E967EA">
        <w:rPr>
          <w:rFonts w:ascii="Arial" w:hAnsi="Arial" w:cs="Arial"/>
          <w:sz w:val="20"/>
          <w:szCs w:val="20"/>
          <w:lang w:val="en-US"/>
        </w:rPr>
        <w:t xml:space="preserve">to </w:t>
      </w:r>
      <w:r w:rsidR="00476E31" w:rsidRPr="00E967EA">
        <w:rPr>
          <w:rFonts w:ascii="Arial" w:hAnsi="Arial" w:cs="Arial"/>
          <w:sz w:val="20"/>
          <w:szCs w:val="20"/>
          <w:lang w:val="en-US"/>
        </w:rPr>
        <w:t>30 percent.</w:t>
      </w:r>
      <w:r w:rsidR="005F433A" w:rsidRPr="00E967EA">
        <w:rPr>
          <w:rFonts w:ascii="Arial" w:hAnsi="Arial" w:cs="Arial"/>
          <w:sz w:val="20"/>
          <w:szCs w:val="20"/>
          <w:lang w:val="en-US"/>
        </w:rPr>
        <w:t xml:space="preserve"> However, it is still above </w:t>
      </w:r>
      <w:r w:rsidR="000C31EF" w:rsidRPr="00E967EA">
        <w:rPr>
          <w:rFonts w:ascii="Arial" w:hAnsi="Arial" w:cs="Arial"/>
          <w:sz w:val="20"/>
          <w:szCs w:val="20"/>
          <w:lang w:val="en-US"/>
        </w:rPr>
        <w:t xml:space="preserve">the ratio of </w:t>
      </w:r>
      <w:r w:rsidR="005F433A" w:rsidRPr="00E967EA">
        <w:rPr>
          <w:rFonts w:ascii="Arial" w:hAnsi="Arial" w:cs="Arial"/>
          <w:sz w:val="20"/>
          <w:szCs w:val="20"/>
          <w:lang w:val="en-US"/>
        </w:rPr>
        <w:t xml:space="preserve">OECD average </w:t>
      </w:r>
      <w:r w:rsidR="00103652">
        <w:rPr>
          <w:rFonts w:ascii="Arial" w:hAnsi="Arial" w:cs="Arial"/>
          <w:sz w:val="20"/>
          <w:szCs w:val="20"/>
          <w:lang w:val="en-US"/>
        </w:rPr>
        <w:t>at</w:t>
      </w:r>
      <w:r w:rsidR="008A0BB8" w:rsidRPr="00E967EA">
        <w:rPr>
          <w:rFonts w:ascii="Arial" w:hAnsi="Arial" w:cs="Arial"/>
          <w:sz w:val="20"/>
          <w:szCs w:val="20"/>
          <w:lang w:val="en-US"/>
        </w:rPr>
        <w:t xml:space="preserve"> 19</w:t>
      </w:r>
      <w:r w:rsidR="00BA3459" w:rsidRPr="00E967EA">
        <w:rPr>
          <w:rFonts w:ascii="Arial" w:hAnsi="Arial" w:cs="Arial"/>
          <w:sz w:val="20"/>
          <w:szCs w:val="20"/>
          <w:lang w:val="en-US"/>
        </w:rPr>
        <w:t>.</w:t>
      </w:r>
      <w:r w:rsidR="008A0BB8" w:rsidRPr="00E967EA">
        <w:rPr>
          <w:rFonts w:ascii="Arial" w:hAnsi="Arial" w:cs="Arial"/>
          <w:sz w:val="20"/>
          <w:szCs w:val="20"/>
          <w:lang w:val="en-US"/>
        </w:rPr>
        <w:t xml:space="preserve">6 percent </w:t>
      </w:r>
      <w:r w:rsidR="005F433A" w:rsidRPr="00E967EA">
        <w:rPr>
          <w:rFonts w:ascii="Arial" w:hAnsi="Arial" w:cs="Arial"/>
          <w:sz w:val="20"/>
          <w:szCs w:val="20"/>
          <w:lang w:val="en-US"/>
        </w:rPr>
        <w:t xml:space="preserve">(Figure 4). </w:t>
      </w:r>
    </w:p>
    <w:p w:rsidR="00566D04" w:rsidRPr="00E967EA" w:rsidRDefault="000C31EF" w:rsidP="000C31EF">
      <w:pPr>
        <w:jc w:val="both"/>
        <w:rPr>
          <w:rFonts w:ascii="Arial" w:hAnsi="Arial" w:cs="Arial"/>
          <w:sz w:val="20"/>
          <w:szCs w:val="20"/>
          <w:lang w:val="en-US"/>
        </w:rPr>
      </w:pPr>
      <w:r w:rsidRPr="00E967EA">
        <w:rPr>
          <w:rFonts w:ascii="Arial" w:hAnsi="Arial" w:cs="Arial"/>
          <w:sz w:val="20"/>
          <w:szCs w:val="20"/>
          <w:lang w:val="en-US"/>
        </w:rPr>
        <w:t xml:space="preserve">The expansion in the </w:t>
      </w:r>
      <w:r w:rsidR="00476E31" w:rsidRPr="00E967EA">
        <w:rPr>
          <w:rFonts w:ascii="Arial" w:hAnsi="Arial" w:cs="Arial"/>
          <w:sz w:val="20"/>
          <w:szCs w:val="20"/>
          <w:lang w:val="en-US"/>
        </w:rPr>
        <w:t xml:space="preserve">proportion </w:t>
      </w:r>
      <w:r w:rsidRPr="00E967EA">
        <w:rPr>
          <w:rFonts w:ascii="Arial" w:hAnsi="Arial" w:cs="Arial"/>
          <w:sz w:val="20"/>
          <w:szCs w:val="20"/>
          <w:lang w:val="en-US"/>
        </w:rPr>
        <w:t xml:space="preserve">of medium performers (at second, third and fourth level), which </w:t>
      </w:r>
      <w:r w:rsidR="00476E31" w:rsidRPr="00E967EA">
        <w:rPr>
          <w:rFonts w:ascii="Arial" w:hAnsi="Arial" w:cs="Arial"/>
          <w:sz w:val="20"/>
          <w:szCs w:val="20"/>
          <w:lang w:val="en-US"/>
        </w:rPr>
        <w:t xml:space="preserve">are </w:t>
      </w:r>
      <w:r w:rsidRPr="00E967EA">
        <w:rPr>
          <w:rFonts w:ascii="Arial" w:hAnsi="Arial" w:cs="Arial"/>
          <w:sz w:val="20"/>
          <w:szCs w:val="20"/>
          <w:lang w:val="en-US"/>
        </w:rPr>
        <w:t xml:space="preserve">going to be the main part of future labor force, is striking. </w:t>
      </w:r>
      <w:r w:rsidR="00B07E33">
        <w:rPr>
          <w:rFonts w:ascii="Arial" w:hAnsi="Arial" w:cs="Arial"/>
          <w:sz w:val="20"/>
          <w:szCs w:val="20"/>
          <w:lang w:val="en-US"/>
        </w:rPr>
        <w:t>T</w:t>
      </w:r>
      <w:r w:rsidR="009A41A3" w:rsidRPr="00E967EA">
        <w:rPr>
          <w:rFonts w:ascii="Arial" w:hAnsi="Arial" w:cs="Arial"/>
          <w:sz w:val="20"/>
          <w:szCs w:val="20"/>
          <w:lang w:val="en-US"/>
        </w:rPr>
        <w:t xml:space="preserve">he share of medium performers </w:t>
      </w:r>
      <w:r w:rsidR="00B237E6" w:rsidRPr="00E967EA">
        <w:rPr>
          <w:rFonts w:ascii="Arial" w:hAnsi="Arial" w:cs="Arial"/>
          <w:sz w:val="20"/>
          <w:szCs w:val="20"/>
          <w:lang w:val="en-US"/>
        </w:rPr>
        <w:t>increase</w:t>
      </w:r>
      <w:r w:rsidR="009A41A3" w:rsidRPr="00E967EA">
        <w:rPr>
          <w:rFonts w:ascii="Arial" w:hAnsi="Arial" w:cs="Arial"/>
          <w:sz w:val="20"/>
          <w:szCs w:val="20"/>
          <w:lang w:val="en-US"/>
        </w:rPr>
        <w:t>d</w:t>
      </w:r>
      <w:r w:rsidR="00C2151F" w:rsidRPr="00E967EA">
        <w:rPr>
          <w:rFonts w:ascii="Arial" w:hAnsi="Arial" w:cs="Arial"/>
          <w:sz w:val="20"/>
          <w:szCs w:val="20"/>
          <w:lang w:val="en-US"/>
        </w:rPr>
        <w:t xml:space="preserve"> from 54 percent</w:t>
      </w:r>
      <w:r w:rsidR="00476E31" w:rsidRPr="00E967EA">
        <w:rPr>
          <w:rFonts w:ascii="Arial" w:hAnsi="Arial" w:cs="Arial"/>
          <w:sz w:val="20"/>
          <w:szCs w:val="20"/>
          <w:lang w:val="en-US"/>
        </w:rPr>
        <w:t xml:space="preserve"> </w:t>
      </w:r>
      <w:r w:rsidR="003B61A9" w:rsidRPr="00E967EA">
        <w:rPr>
          <w:rFonts w:ascii="Arial" w:hAnsi="Arial" w:cs="Arial"/>
          <w:sz w:val="20"/>
          <w:szCs w:val="20"/>
          <w:lang w:val="en-US"/>
        </w:rPr>
        <w:t xml:space="preserve">(2006) </w:t>
      </w:r>
      <w:r w:rsidR="009A41A3" w:rsidRPr="00E967EA">
        <w:rPr>
          <w:rFonts w:ascii="Arial" w:hAnsi="Arial" w:cs="Arial"/>
          <w:sz w:val="20"/>
          <w:szCs w:val="20"/>
          <w:lang w:val="en-US"/>
        </w:rPr>
        <w:t>to 66 percent</w:t>
      </w:r>
      <w:r w:rsidR="00476E31" w:rsidRPr="00E967EA">
        <w:rPr>
          <w:rFonts w:ascii="Arial" w:hAnsi="Arial" w:cs="Arial"/>
          <w:sz w:val="20"/>
          <w:szCs w:val="20"/>
          <w:lang w:val="en-US"/>
        </w:rPr>
        <w:t xml:space="preserve"> </w:t>
      </w:r>
      <w:r w:rsidR="009A41A3" w:rsidRPr="00E967EA">
        <w:rPr>
          <w:rFonts w:ascii="Arial" w:hAnsi="Arial" w:cs="Arial"/>
          <w:sz w:val="20"/>
          <w:szCs w:val="20"/>
          <w:lang w:val="en-US"/>
        </w:rPr>
        <w:t>(2012)</w:t>
      </w:r>
      <w:r w:rsidR="009957BA" w:rsidRPr="00E967EA">
        <w:rPr>
          <w:rFonts w:ascii="Arial" w:hAnsi="Arial" w:cs="Arial"/>
          <w:sz w:val="20"/>
          <w:szCs w:val="20"/>
          <w:lang w:val="en-US"/>
        </w:rPr>
        <w:t xml:space="preserve">, </w:t>
      </w:r>
      <w:r w:rsidR="00B07E33">
        <w:rPr>
          <w:rFonts w:ascii="Arial" w:hAnsi="Arial" w:cs="Arial"/>
          <w:sz w:val="20"/>
          <w:szCs w:val="20"/>
          <w:lang w:val="en-US"/>
        </w:rPr>
        <w:t>almost catching up with</w:t>
      </w:r>
      <w:r w:rsidR="009957BA" w:rsidRPr="00E967EA">
        <w:rPr>
          <w:rFonts w:ascii="Arial" w:hAnsi="Arial" w:cs="Arial"/>
          <w:sz w:val="20"/>
          <w:szCs w:val="20"/>
          <w:lang w:val="en-US"/>
        </w:rPr>
        <w:t xml:space="preserve"> the</w:t>
      </w:r>
      <w:r w:rsidR="00B07E33">
        <w:rPr>
          <w:rFonts w:ascii="Arial" w:hAnsi="Arial" w:cs="Arial"/>
          <w:sz w:val="20"/>
          <w:szCs w:val="20"/>
          <w:lang w:val="en-US"/>
        </w:rPr>
        <w:t xml:space="preserve"> average</w:t>
      </w:r>
      <w:r w:rsidR="009957BA" w:rsidRPr="00E967EA">
        <w:rPr>
          <w:rFonts w:ascii="Arial" w:hAnsi="Arial" w:cs="Arial"/>
          <w:sz w:val="20"/>
          <w:szCs w:val="20"/>
          <w:lang w:val="en-US"/>
        </w:rPr>
        <w:t xml:space="preserve"> share of medium </w:t>
      </w:r>
      <w:r w:rsidR="00B07E33">
        <w:rPr>
          <w:rFonts w:ascii="Arial" w:hAnsi="Arial" w:cs="Arial"/>
          <w:sz w:val="20"/>
          <w:szCs w:val="20"/>
          <w:lang w:val="en-US"/>
        </w:rPr>
        <w:t>of the OECD</w:t>
      </w:r>
      <w:r w:rsidRPr="00E967EA">
        <w:rPr>
          <w:rFonts w:ascii="Arial" w:hAnsi="Arial" w:cs="Arial"/>
          <w:sz w:val="20"/>
          <w:szCs w:val="20"/>
          <w:lang w:val="en-US"/>
        </w:rPr>
        <w:t xml:space="preserve"> (70.6 percent)</w:t>
      </w:r>
      <w:r w:rsidR="00B237E6" w:rsidRPr="00E967EA">
        <w:rPr>
          <w:rFonts w:ascii="Arial" w:hAnsi="Arial" w:cs="Arial"/>
          <w:sz w:val="20"/>
          <w:szCs w:val="20"/>
          <w:lang w:val="en-US"/>
        </w:rPr>
        <w:t xml:space="preserve">. </w:t>
      </w:r>
    </w:p>
    <w:p w:rsidR="00C2151F" w:rsidRPr="00E967EA" w:rsidRDefault="00C2151F" w:rsidP="00C2151F">
      <w:pPr>
        <w:jc w:val="both"/>
        <w:rPr>
          <w:rFonts w:ascii="Arial" w:hAnsi="Arial" w:cs="Arial"/>
          <w:sz w:val="20"/>
          <w:szCs w:val="20"/>
          <w:lang w:val="en-US"/>
        </w:rPr>
      </w:pPr>
      <w:r w:rsidRPr="00E967EA">
        <w:rPr>
          <w:rFonts w:ascii="Arial" w:hAnsi="Arial" w:cs="Arial"/>
          <w:sz w:val="20"/>
          <w:szCs w:val="20"/>
          <w:lang w:val="en-US"/>
        </w:rPr>
        <w:t xml:space="preserve">According to </w:t>
      </w:r>
      <w:r w:rsidR="000444AB">
        <w:rPr>
          <w:rFonts w:ascii="Arial" w:hAnsi="Arial" w:cs="Arial"/>
          <w:sz w:val="20"/>
          <w:szCs w:val="20"/>
          <w:lang w:val="en-US"/>
        </w:rPr>
        <w:t xml:space="preserve">the </w:t>
      </w:r>
      <w:r w:rsidRPr="00E967EA">
        <w:rPr>
          <w:rFonts w:ascii="Arial" w:hAnsi="Arial" w:cs="Arial"/>
          <w:sz w:val="20"/>
          <w:szCs w:val="20"/>
          <w:lang w:val="en-US"/>
        </w:rPr>
        <w:t xml:space="preserve">results of PISA, female students are better at reading and science than male students. Particularly, gender difference in reading performance is almost equal to one year of schooling. On the other hand, male students are performing better in mathematics than their female peers (Figure 5). </w:t>
      </w:r>
    </w:p>
    <w:p w:rsidR="00A239E0" w:rsidRDefault="00A239E0" w:rsidP="00E530C2">
      <w:pPr>
        <w:jc w:val="both"/>
        <w:rPr>
          <w:rFonts w:ascii="Arial" w:hAnsi="Arial" w:cs="Arial"/>
          <w:b/>
          <w:lang w:val="en-US"/>
        </w:rPr>
      </w:pPr>
    </w:p>
    <w:p w:rsidR="00A239E0" w:rsidRDefault="00A239E0" w:rsidP="00E530C2">
      <w:pPr>
        <w:jc w:val="both"/>
        <w:rPr>
          <w:rFonts w:ascii="Arial" w:hAnsi="Arial" w:cs="Arial"/>
          <w:b/>
          <w:lang w:val="en-US"/>
        </w:rPr>
      </w:pPr>
    </w:p>
    <w:p w:rsidR="00E530C2" w:rsidRPr="00E967EA" w:rsidRDefault="00E270F8" w:rsidP="00E530C2">
      <w:pPr>
        <w:jc w:val="both"/>
        <w:rPr>
          <w:rFonts w:ascii="Arial" w:hAnsi="Arial" w:cs="Arial"/>
          <w:b/>
          <w:lang w:val="en-US"/>
        </w:rPr>
      </w:pPr>
      <w:r>
        <w:rPr>
          <w:noProof/>
        </w:rPr>
        <w:lastRenderedPageBreak/>
        <mc:AlternateContent>
          <mc:Choice Requires="wps">
            <w:drawing>
              <wp:anchor distT="0" distB="0" distL="114300" distR="114300" simplePos="0" relativeHeight="251663872" behindDoc="0" locked="0" layoutInCell="1" allowOverlap="1">
                <wp:simplePos x="0" y="0"/>
                <wp:positionH relativeFrom="column">
                  <wp:posOffset>-823595</wp:posOffset>
                </wp:positionH>
                <wp:positionV relativeFrom="paragraph">
                  <wp:posOffset>2795905</wp:posOffset>
                </wp:positionV>
                <wp:extent cx="3676650" cy="175895"/>
                <wp:effectExtent l="0" t="0" r="0" b="0"/>
                <wp:wrapSquare wrapText="bothSides"/>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7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298" w:rsidRPr="00BE73D0" w:rsidRDefault="008A0BB8" w:rsidP="009A2298">
                            <w:pPr>
                              <w:pStyle w:val="Caption"/>
                              <w:rPr>
                                <w:rFonts w:ascii="Arial" w:hAnsi="Arial" w:cs="Arial"/>
                                <w:b w:val="0"/>
                                <w:noProof/>
                                <w:color w:val="auto"/>
                                <w:sz w:val="16"/>
                                <w:szCs w:val="16"/>
                                <w:lang w:val="en-US"/>
                              </w:rPr>
                            </w:pPr>
                            <w:r>
                              <w:rPr>
                                <w:rFonts w:ascii="Arial" w:hAnsi="Arial" w:cs="Arial"/>
                                <w:b w:val="0"/>
                                <w:color w:val="auto"/>
                                <w:sz w:val="16"/>
                                <w:szCs w:val="16"/>
                                <w:lang w:val="en-US"/>
                              </w:rPr>
                              <w:t xml:space="preserve">          </w:t>
                            </w:r>
                            <w:r w:rsidR="009A2298" w:rsidRPr="00E967EA">
                              <w:rPr>
                                <w:rFonts w:ascii="Arial" w:hAnsi="Arial" w:cs="Arial"/>
                                <w:b w:val="0"/>
                                <w:color w:val="auto"/>
                                <w:sz w:val="16"/>
                                <w:szCs w:val="16"/>
                                <w:lang w:val="en-US"/>
                              </w:rPr>
                              <w:t>Source: OECD; PISA 2012 Results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left:0;text-align:left;margin-left:-64.85pt;margin-top:220.15pt;width:289.5pt;height:13.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" stroked="f">
                <v:textbox inset="0,0,0,0">
                  <w:txbxContent>
                    <w:p w:rsidR="009A2298" w:rsidRPr="00BE73D0" w:rsidRDefault="008A0BB8" w:rsidP="009A2298">
                      <w:pPr>
                        <w:pStyle w:val="Caption"/>
                        <w:rPr>
                          <w:rFonts w:ascii="Arial" w:hAnsi="Arial" w:cs="Arial"/>
                          <w:b w:val="0"/>
                          <w:noProof/>
                          <w:color w:val="auto"/>
                          <w:sz w:val="16"/>
                          <w:szCs w:val="16"/>
                          <w:lang w:val="en-US"/>
                        </w:rPr>
                      </w:pPr>
                      <w:r>
                        <w:rPr>
                          <w:rFonts w:ascii="Arial" w:hAnsi="Arial" w:cs="Arial"/>
                          <w:b w:val="0"/>
                          <w:color w:val="auto"/>
                          <w:sz w:val="16"/>
                          <w:szCs w:val="16"/>
                          <w:lang w:val="en-US"/>
                        </w:rPr>
                        <w:t xml:space="preserve">          </w:t>
                      </w:r>
                      <w:r w:rsidR="009A2298" w:rsidRPr="00E967EA">
                        <w:rPr>
                          <w:rFonts w:ascii="Arial" w:hAnsi="Arial" w:cs="Arial"/>
                          <w:b w:val="0"/>
                          <w:color w:val="auto"/>
                          <w:sz w:val="16"/>
                          <w:szCs w:val="16"/>
                          <w:lang w:val="en-US"/>
                        </w:rPr>
                        <w:t>Source: OECD; PISA 2012 Results</w:t>
                      </w:r>
                    </w:p>
                  </w:txbxContent>
                </v:textbox>
                <w10:wrap type="square"/>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3081655</wp:posOffset>
                </wp:positionH>
                <wp:positionV relativeFrom="paragraph">
                  <wp:posOffset>2586355</wp:posOffset>
                </wp:positionV>
                <wp:extent cx="3429000" cy="385445"/>
                <wp:effectExtent l="0" t="0" r="0" b="0"/>
                <wp:wrapSquare wrapText="bothSides"/>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CB3" w:rsidRPr="00E967EA" w:rsidRDefault="00CA6CB3" w:rsidP="00CA6CB3">
                            <w:pPr>
                              <w:pStyle w:val="Caption"/>
                              <w:spacing w:after="0"/>
                              <w:rPr>
                                <w:rFonts w:ascii="Arial" w:hAnsi="Arial" w:cs="Arial"/>
                                <w:b w:val="0"/>
                                <w:color w:val="auto"/>
                                <w:sz w:val="16"/>
                                <w:szCs w:val="16"/>
                                <w:lang w:val="en-US"/>
                              </w:rPr>
                            </w:pPr>
                            <w:r w:rsidRPr="00E967EA">
                              <w:rPr>
                                <w:rFonts w:ascii="Arial" w:hAnsi="Arial" w:cs="Arial"/>
                                <w:b w:val="0"/>
                                <w:color w:val="auto"/>
                                <w:sz w:val="16"/>
                                <w:szCs w:val="16"/>
                                <w:lang w:val="en-US"/>
                              </w:rPr>
                              <w:t xml:space="preserve">Source: OECD; PISA 2012 results </w:t>
                            </w:r>
                          </w:p>
                          <w:p w:rsidR="00CA6CB3" w:rsidRPr="00CA6CB3" w:rsidRDefault="00CA6CB3" w:rsidP="00CA6CB3">
                            <w:pPr>
                              <w:spacing w:after="0"/>
                              <w:rPr>
                                <w:rFonts w:ascii="Arial" w:hAnsi="Arial" w:cs="Arial"/>
                                <w:sz w:val="16"/>
                                <w:szCs w:val="16"/>
                                <w:lang w:val="en-US"/>
                              </w:rPr>
                            </w:pPr>
                            <w:r w:rsidRPr="00E967EA">
                              <w:rPr>
                                <w:rFonts w:ascii="Arial" w:hAnsi="Arial" w:cs="Arial"/>
                                <w:sz w:val="16"/>
                                <w:szCs w:val="16"/>
                                <w:lang w:val="en-US"/>
                              </w:rPr>
                              <w:t>Note: Positive values implies that girls have better performance than that of boys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left:0;text-align:left;margin-left:242.65pt;margin-top:203.65pt;width:270pt;height:30.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" stroked="f">
                <v:textbox style="mso-fit-shape-to-text:t" inset="0,0,0,0">
                  <w:txbxContent>
                    <w:p w:rsidR="00CA6CB3" w:rsidRPr="00E967EA" w:rsidRDefault="00CA6CB3" w:rsidP="00CA6CB3">
                      <w:pPr>
                        <w:pStyle w:val="Caption"/>
                        <w:spacing w:after="0"/>
                        <w:rPr>
                          <w:rFonts w:ascii="Arial" w:hAnsi="Arial" w:cs="Arial"/>
                          <w:b w:val="0"/>
                          <w:color w:val="auto"/>
                          <w:sz w:val="16"/>
                          <w:szCs w:val="16"/>
                          <w:lang w:val="en-US"/>
                        </w:rPr>
                      </w:pPr>
                      <w:r w:rsidRPr="00E967EA">
                        <w:rPr>
                          <w:rFonts w:ascii="Arial" w:hAnsi="Arial" w:cs="Arial"/>
                          <w:b w:val="0"/>
                          <w:color w:val="auto"/>
                          <w:sz w:val="16"/>
                          <w:szCs w:val="16"/>
                          <w:lang w:val="en-US"/>
                        </w:rPr>
                        <w:t xml:space="preserve">Source: OECD; PISA 2012 results </w:t>
                      </w:r>
                    </w:p>
                    <w:p w:rsidR="00CA6CB3" w:rsidRPr="00CA6CB3" w:rsidRDefault="00CA6CB3" w:rsidP="00CA6CB3">
                      <w:pPr>
                        <w:spacing w:after="0"/>
                        <w:rPr>
                          <w:rFonts w:ascii="Arial" w:hAnsi="Arial" w:cs="Arial"/>
                          <w:sz w:val="16"/>
                          <w:szCs w:val="16"/>
                          <w:lang w:val="en-US"/>
                        </w:rPr>
                      </w:pPr>
                      <w:r w:rsidRPr="00E967EA">
                        <w:rPr>
                          <w:rFonts w:ascii="Arial" w:hAnsi="Arial" w:cs="Arial"/>
                          <w:sz w:val="16"/>
                          <w:szCs w:val="16"/>
                          <w:lang w:val="en-US"/>
                        </w:rPr>
                        <w:t>Note: Positive values implies that girls have better performance than that of boys</w:t>
                      </w:r>
                    </w:p>
                  </w:txbxContent>
                </v:textbox>
                <w10:wrap type="square"/>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3053080</wp:posOffset>
                </wp:positionH>
                <wp:positionV relativeFrom="paragraph">
                  <wp:posOffset>-147320</wp:posOffset>
                </wp:positionV>
                <wp:extent cx="3457575" cy="457200"/>
                <wp:effectExtent l="0" t="0" r="0" b="0"/>
                <wp:wrapSquare wrapText="bothSides"/>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5540" w:rsidRPr="00E967EA" w:rsidRDefault="00274DBE" w:rsidP="00805540">
                            <w:pPr>
                              <w:pStyle w:val="Caption"/>
                              <w:spacing w:after="0"/>
                              <w:jc w:val="center"/>
                              <w:rPr>
                                <w:rFonts w:ascii="Arial" w:hAnsi="Arial" w:cs="Arial"/>
                                <w:color w:val="auto"/>
                                <w:sz w:val="20"/>
                                <w:szCs w:val="20"/>
                                <w:lang w:val="en-US"/>
                              </w:rPr>
                            </w:pPr>
                            <w:r w:rsidRPr="00E967EA">
                              <w:rPr>
                                <w:rFonts w:ascii="Arial" w:hAnsi="Arial" w:cs="Arial"/>
                                <w:color w:val="auto"/>
                                <w:sz w:val="20"/>
                                <w:szCs w:val="20"/>
                                <w:lang w:val="en-US"/>
                              </w:rPr>
                              <w:t>Figure</w:t>
                            </w:r>
                            <w:r w:rsidR="00805540" w:rsidRPr="00E967EA">
                              <w:rPr>
                                <w:rFonts w:ascii="Arial" w:hAnsi="Arial" w:cs="Arial"/>
                                <w:color w:val="auto"/>
                                <w:sz w:val="20"/>
                                <w:szCs w:val="20"/>
                                <w:lang w:val="en-US"/>
                              </w:rPr>
                              <w:t xml:space="preserve"> 5: Turkey gender gap in PISA Scores </w:t>
                            </w:r>
                          </w:p>
                          <w:p w:rsidR="00805540" w:rsidRPr="00805540" w:rsidRDefault="00805540" w:rsidP="00805540">
                            <w:pPr>
                              <w:pStyle w:val="Caption"/>
                              <w:spacing w:after="0"/>
                              <w:jc w:val="center"/>
                              <w:rPr>
                                <w:rFonts w:ascii="Arial" w:hAnsi="Arial" w:cs="Arial"/>
                                <w:color w:val="auto"/>
                                <w:sz w:val="20"/>
                                <w:szCs w:val="20"/>
                                <w:lang w:val="en-US"/>
                              </w:rPr>
                            </w:pPr>
                            <w:r w:rsidRPr="00E967EA">
                              <w:rPr>
                                <w:rFonts w:ascii="Arial" w:hAnsi="Arial" w:cs="Arial"/>
                                <w:color w:val="auto"/>
                                <w:sz w:val="20"/>
                                <w:szCs w:val="20"/>
                                <w:lang w:val="en-US"/>
                              </w:rPr>
                              <w:t>(2006</w:t>
                            </w:r>
                            <w:proofErr w:type="gramStart"/>
                            <w:r w:rsidRPr="00E967EA">
                              <w:rPr>
                                <w:rFonts w:ascii="Arial" w:hAnsi="Arial" w:cs="Arial"/>
                                <w:color w:val="auto"/>
                                <w:sz w:val="20"/>
                                <w:szCs w:val="20"/>
                                <w:lang w:val="en-US"/>
                              </w:rPr>
                              <w:t>,2009</w:t>
                            </w:r>
                            <w:proofErr w:type="gramEnd"/>
                            <w:r w:rsidRPr="00E967EA">
                              <w:rPr>
                                <w:rFonts w:ascii="Arial" w:hAnsi="Arial" w:cs="Arial"/>
                                <w:color w:val="auto"/>
                                <w:sz w:val="20"/>
                                <w:szCs w:val="20"/>
                                <w:lang w:val="en-US"/>
                              </w:rPr>
                              <w:t xml:space="preserve"> and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left:0;text-align:left;margin-left:240.4pt;margin-top:-11.6pt;width:272.25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" stroked="f">
                <v:textbox inset="0,0,0,0">
                  <w:txbxContent>
                    <w:p w:rsidR="00805540" w:rsidRPr="00E967EA" w:rsidRDefault="00274DBE" w:rsidP="00805540">
                      <w:pPr>
                        <w:pStyle w:val="Caption"/>
                        <w:spacing w:after="0"/>
                        <w:jc w:val="center"/>
                        <w:rPr>
                          <w:rFonts w:ascii="Arial" w:hAnsi="Arial" w:cs="Arial"/>
                          <w:color w:val="auto"/>
                          <w:sz w:val="20"/>
                          <w:szCs w:val="20"/>
                          <w:lang w:val="en-US"/>
                        </w:rPr>
                      </w:pPr>
                      <w:r w:rsidRPr="00E967EA">
                        <w:rPr>
                          <w:rFonts w:ascii="Arial" w:hAnsi="Arial" w:cs="Arial"/>
                          <w:color w:val="auto"/>
                          <w:sz w:val="20"/>
                          <w:szCs w:val="20"/>
                          <w:lang w:val="en-US"/>
                        </w:rPr>
                        <w:t>Figure</w:t>
                      </w:r>
                      <w:r w:rsidR="00805540" w:rsidRPr="00E967EA">
                        <w:rPr>
                          <w:rFonts w:ascii="Arial" w:hAnsi="Arial" w:cs="Arial"/>
                          <w:color w:val="auto"/>
                          <w:sz w:val="20"/>
                          <w:szCs w:val="20"/>
                          <w:lang w:val="en-US"/>
                        </w:rPr>
                        <w:t xml:space="preserve"> 5: Turkey gender gap in PISA Scores </w:t>
                      </w:r>
                    </w:p>
                    <w:p w:rsidR="00805540" w:rsidRPr="00805540" w:rsidRDefault="00805540" w:rsidP="00805540">
                      <w:pPr>
                        <w:pStyle w:val="Caption"/>
                        <w:spacing w:after="0"/>
                        <w:jc w:val="center"/>
                        <w:rPr>
                          <w:rFonts w:ascii="Arial" w:hAnsi="Arial" w:cs="Arial"/>
                          <w:color w:val="auto"/>
                          <w:sz w:val="20"/>
                          <w:szCs w:val="20"/>
                          <w:lang w:val="en-US"/>
                        </w:rPr>
                      </w:pPr>
                      <w:r w:rsidRPr="00E967EA">
                        <w:rPr>
                          <w:rFonts w:ascii="Arial" w:hAnsi="Arial" w:cs="Arial"/>
                          <w:color w:val="auto"/>
                          <w:sz w:val="20"/>
                          <w:szCs w:val="20"/>
                          <w:lang w:val="en-US"/>
                        </w:rPr>
                        <w:t>(2006</w:t>
                      </w:r>
                      <w:proofErr w:type="gramStart"/>
                      <w:r w:rsidRPr="00E967EA">
                        <w:rPr>
                          <w:rFonts w:ascii="Arial" w:hAnsi="Arial" w:cs="Arial"/>
                          <w:color w:val="auto"/>
                          <w:sz w:val="20"/>
                          <w:szCs w:val="20"/>
                          <w:lang w:val="en-US"/>
                        </w:rPr>
                        <w:t>,2009</w:t>
                      </w:r>
                      <w:proofErr w:type="gramEnd"/>
                      <w:r w:rsidRPr="00E967EA">
                        <w:rPr>
                          <w:rFonts w:ascii="Arial" w:hAnsi="Arial" w:cs="Arial"/>
                          <w:color w:val="auto"/>
                          <w:sz w:val="20"/>
                          <w:szCs w:val="20"/>
                          <w:lang w:val="en-US"/>
                        </w:rPr>
                        <w:t xml:space="preserve"> and 2012)</w:t>
                      </w:r>
                    </w:p>
                  </w:txbxContent>
                </v:textbox>
                <w10:wrap type="square"/>
              </v:shape>
            </w:pict>
          </mc:Fallback>
        </mc:AlternateContent>
      </w:r>
      <w:r w:rsidR="00805540" w:rsidRPr="00E967EA">
        <w:rPr>
          <w:noProof/>
        </w:rPr>
        <w:drawing>
          <wp:anchor distT="0" distB="0" distL="114300" distR="114300" simplePos="0" relativeHeight="251649536" behindDoc="0" locked="0" layoutInCell="1" allowOverlap="1">
            <wp:simplePos x="0" y="0"/>
            <wp:positionH relativeFrom="column">
              <wp:posOffset>3053080</wp:posOffset>
            </wp:positionH>
            <wp:positionV relativeFrom="paragraph">
              <wp:posOffset>309880</wp:posOffset>
            </wp:positionV>
            <wp:extent cx="3457575" cy="2200275"/>
            <wp:effectExtent l="0" t="0" r="0" b="0"/>
            <wp:wrapSquare wrapText="bothSides"/>
            <wp:docPr id="1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noProof/>
        </w:rPr>
        <mc:AlternateContent>
          <mc:Choice Requires="wps">
            <w:drawing>
              <wp:anchor distT="0" distB="0" distL="114300" distR="114300" simplePos="0" relativeHeight="251664896" behindDoc="0" locked="0" layoutInCell="1" allowOverlap="1">
                <wp:simplePos x="0" y="0"/>
                <wp:positionH relativeFrom="column">
                  <wp:posOffset>-680720</wp:posOffset>
                </wp:positionH>
                <wp:positionV relativeFrom="paragraph">
                  <wp:posOffset>5080</wp:posOffset>
                </wp:positionV>
                <wp:extent cx="3676650" cy="457200"/>
                <wp:effectExtent l="0" t="0" r="0" b="0"/>
                <wp:wrapSquare wrapText="bothSides"/>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E31" w:rsidRPr="00E967EA" w:rsidRDefault="00274DBE" w:rsidP="00476E31">
                            <w:pPr>
                              <w:pStyle w:val="Caption"/>
                              <w:spacing w:after="0"/>
                              <w:rPr>
                                <w:rFonts w:ascii="Arial" w:hAnsi="Arial" w:cs="Arial"/>
                                <w:color w:val="auto"/>
                                <w:sz w:val="20"/>
                                <w:szCs w:val="20"/>
                                <w:lang w:val="en-US"/>
                              </w:rPr>
                            </w:pPr>
                            <w:r w:rsidRPr="00E967EA">
                              <w:rPr>
                                <w:rFonts w:ascii="Arial" w:hAnsi="Arial" w:cs="Arial"/>
                                <w:color w:val="auto"/>
                                <w:sz w:val="20"/>
                                <w:szCs w:val="20"/>
                                <w:lang w:val="en-US"/>
                              </w:rPr>
                              <w:t>Figure</w:t>
                            </w:r>
                            <w:r w:rsidR="00837491" w:rsidRPr="00E967EA">
                              <w:rPr>
                                <w:rFonts w:ascii="Arial" w:hAnsi="Arial" w:cs="Arial"/>
                                <w:color w:val="auto"/>
                                <w:sz w:val="20"/>
                                <w:szCs w:val="20"/>
                                <w:lang w:val="en-US"/>
                              </w:rPr>
                              <w:t xml:space="preserve"> </w:t>
                            </w:r>
                            <w:r w:rsidR="00805540" w:rsidRPr="00E967EA">
                              <w:rPr>
                                <w:rFonts w:ascii="Arial" w:hAnsi="Arial" w:cs="Arial"/>
                                <w:color w:val="auto"/>
                                <w:sz w:val="20"/>
                                <w:szCs w:val="20"/>
                                <w:lang w:val="en-US"/>
                              </w:rPr>
                              <w:t>4</w:t>
                            </w:r>
                            <w:r w:rsidR="009A2298" w:rsidRPr="00E967EA">
                              <w:rPr>
                                <w:rFonts w:ascii="Arial" w:hAnsi="Arial" w:cs="Arial"/>
                                <w:color w:val="auto"/>
                                <w:sz w:val="20"/>
                                <w:szCs w:val="20"/>
                                <w:lang w:val="en-US"/>
                              </w:rPr>
                              <w:t>:</w:t>
                            </w:r>
                            <w:r w:rsidR="00397026">
                              <w:rPr>
                                <w:rFonts w:ascii="Arial" w:hAnsi="Arial" w:cs="Arial"/>
                                <w:color w:val="auto"/>
                                <w:sz w:val="20"/>
                                <w:szCs w:val="20"/>
                                <w:lang w:val="en-US"/>
                              </w:rPr>
                              <w:t xml:space="preserve"> </w:t>
                            </w:r>
                            <w:r w:rsidR="00805540" w:rsidRPr="00E967EA">
                              <w:rPr>
                                <w:rFonts w:ascii="Arial" w:hAnsi="Arial" w:cs="Arial"/>
                                <w:color w:val="auto"/>
                                <w:sz w:val="20"/>
                                <w:szCs w:val="20"/>
                                <w:lang w:val="en-US"/>
                              </w:rPr>
                              <w:t>Distribution of students by proficiency levels</w:t>
                            </w:r>
                            <w:r w:rsidR="00476E31" w:rsidRPr="00E967EA">
                              <w:rPr>
                                <w:rFonts w:ascii="Arial" w:hAnsi="Arial" w:cs="Arial"/>
                                <w:color w:val="auto"/>
                                <w:sz w:val="20"/>
                                <w:szCs w:val="20"/>
                                <w:lang w:val="en-US"/>
                              </w:rPr>
                              <w:t xml:space="preserve"> </w:t>
                            </w:r>
                          </w:p>
                          <w:p w:rsidR="009A2298" w:rsidRPr="00BE73D0" w:rsidRDefault="00476E31" w:rsidP="00476E31">
                            <w:pPr>
                              <w:pStyle w:val="Caption"/>
                              <w:spacing w:after="0"/>
                              <w:jc w:val="center"/>
                              <w:rPr>
                                <w:rFonts w:ascii="Arial" w:hAnsi="Arial" w:cs="Arial"/>
                                <w:color w:val="auto"/>
                                <w:sz w:val="20"/>
                                <w:szCs w:val="20"/>
                                <w:lang w:val="en-US"/>
                              </w:rPr>
                            </w:pPr>
                            <w:r w:rsidRPr="00E967EA">
                              <w:rPr>
                                <w:rFonts w:ascii="Arial" w:hAnsi="Arial" w:cs="Arial"/>
                                <w:color w:val="auto"/>
                                <w:sz w:val="20"/>
                                <w:szCs w:val="20"/>
                                <w:lang w:val="en-US"/>
                              </w:rPr>
                              <w:t>(2006 and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left:0;text-align:left;margin-left:-53.6pt;margin-top:.4pt;width:289.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" stroked="f">
                <v:textbox inset="0,0,0,0">
                  <w:txbxContent>
                    <w:p w:rsidR="00476E31" w:rsidRPr="00E967EA" w:rsidRDefault="00274DBE" w:rsidP="00476E31">
                      <w:pPr>
                        <w:pStyle w:val="Caption"/>
                        <w:spacing w:after="0"/>
                        <w:rPr>
                          <w:rFonts w:ascii="Arial" w:hAnsi="Arial" w:cs="Arial"/>
                          <w:color w:val="auto"/>
                          <w:sz w:val="20"/>
                          <w:szCs w:val="20"/>
                          <w:lang w:val="en-US"/>
                        </w:rPr>
                      </w:pPr>
                      <w:r w:rsidRPr="00E967EA">
                        <w:rPr>
                          <w:rFonts w:ascii="Arial" w:hAnsi="Arial" w:cs="Arial"/>
                          <w:color w:val="auto"/>
                          <w:sz w:val="20"/>
                          <w:szCs w:val="20"/>
                          <w:lang w:val="en-US"/>
                        </w:rPr>
                        <w:t>Figure</w:t>
                      </w:r>
                      <w:r w:rsidR="00837491" w:rsidRPr="00E967EA">
                        <w:rPr>
                          <w:rFonts w:ascii="Arial" w:hAnsi="Arial" w:cs="Arial"/>
                          <w:color w:val="auto"/>
                          <w:sz w:val="20"/>
                          <w:szCs w:val="20"/>
                          <w:lang w:val="en-US"/>
                        </w:rPr>
                        <w:t xml:space="preserve"> </w:t>
                      </w:r>
                      <w:r w:rsidR="00805540" w:rsidRPr="00E967EA">
                        <w:rPr>
                          <w:rFonts w:ascii="Arial" w:hAnsi="Arial" w:cs="Arial"/>
                          <w:color w:val="auto"/>
                          <w:sz w:val="20"/>
                          <w:szCs w:val="20"/>
                          <w:lang w:val="en-US"/>
                        </w:rPr>
                        <w:t>4</w:t>
                      </w:r>
                      <w:r w:rsidR="009A2298" w:rsidRPr="00E967EA">
                        <w:rPr>
                          <w:rFonts w:ascii="Arial" w:hAnsi="Arial" w:cs="Arial"/>
                          <w:color w:val="auto"/>
                          <w:sz w:val="20"/>
                          <w:szCs w:val="20"/>
                          <w:lang w:val="en-US"/>
                        </w:rPr>
                        <w:t>:</w:t>
                      </w:r>
                      <w:r w:rsidR="00397026">
                        <w:rPr>
                          <w:rFonts w:ascii="Arial" w:hAnsi="Arial" w:cs="Arial"/>
                          <w:color w:val="auto"/>
                          <w:sz w:val="20"/>
                          <w:szCs w:val="20"/>
                          <w:lang w:val="en-US"/>
                        </w:rPr>
                        <w:t xml:space="preserve"> </w:t>
                      </w:r>
                      <w:r w:rsidR="00805540" w:rsidRPr="00E967EA">
                        <w:rPr>
                          <w:rFonts w:ascii="Arial" w:hAnsi="Arial" w:cs="Arial"/>
                          <w:color w:val="auto"/>
                          <w:sz w:val="20"/>
                          <w:szCs w:val="20"/>
                          <w:lang w:val="en-US"/>
                        </w:rPr>
                        <w:t>Distribution of students by proficiency levels</w:t>
                      </w:r>
                      <w:r w:rsidR="00476E31" w:rsidRPr="00E967EA">
                        <w:rPr>
                          <w:rFonts w:ascii="Arial" w:hAnsi="Arial" w:cs="Arial"/>
                          <w:color w:val="auto"/>
                          <w:sz w:val="20"/>
                          <w:szCs w:val="20"/>
                          <w:lang w:val="en-US"/>
                        </w:rPr>
                        <w:t xml:space="preserve"> </w:t>
                      </w:r>
                    </w:p>
                    <w:p w:rsidR="009A2298" w:rsidRPr="00BE73D0" w:rsidRDefault="00476E31" w:rsidP="00476E31">
                      <w:pPr>
                        <w:pStyle w:val="Caption"/>
                        <w:spacing w:after="0"/>
                        <w:jc w:val="center"/>
                        <w:rPr>
                          <w:rFonts w:ascii="Arial" w:hAnsi="Arial" w:cs="Arial"/>
                          <w:color w:val="auto"/>
                          <w:sz w:val="20"/>
                          <w:szCs w:val="20"/>
                          <w:lang w:val="en-US"/>
                        </w:rPr>
                      </w:pPr>
                      <w:r w:rsidRPr="00E967EA">
                        <w:rPr>
                          <w:rFonts w:ascii="Arial" w:hAnsi="Arial" w:cs="Arial"/>
                          <w:color w:val="auto"/>
                          <w:sz w:val="20"/>
                          <w:szCs w:val="20"/>
                          <w:lang w:val="en-US"/>
                        </w:rPr>
                        <w:t>(2006 and 2012)</w:t>
                      </w:r>
                    </w:p>
                  </w:txbxContent>
                </v:textbox>
                <w10:wrap type="square"/>
              </v:shape>
            </w:pict>
          </mc:Fallback>
        </mc:AlternateContent>
      </w:r>
      <w:r w:rsidR="009A2298" w:rsidRPr="00E967EA">
        <w:rPr>
          <w:rFonts w:ascii="Arial" w:hAnsi="Arial" w:cs="Arial"/>
          <w:noProof/>
          <w:sz w:val="20"/>
          <w:szCs w:val="20"/>
        </w:rPr>
        <w:drawing>
          <wp:anchor distT="0" distB="0" distL="114300" distR="114300" simplePos="0" relativeHeight="251650560" behindDoc="0" locked="0" layoutInCell="1" allowOverlap="1">
            <wp:simplePos x="0" y="0"/>
            <wp:positionH relativeFrom="column">
              <wp:posOffset>-680720</wp:posOffset>
            </wp:positionH>
            <wp:positionV relativeFrom="paragraph">
              <wp:posOffset>462280</wp:posOffset>
            </wp:positionV>
            <wp:extent cx="3676650" cy="2305050"/>
            <wp:effectExtent l="0" t="0" r="0" b="0"/>
            <wp:wrapSquare wrapText="bothSides"/>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274DBE" w:rsidRPr="00E967EA">
        <w:rPr>
          <w:rFonts w:ascii="Arial" w:hAnsi="Arial" w:cs="Arial"/>
          <w:b/>
          <w:lang w:val="en-US"/>
        </w:rPr>
        <w:t>Large</w:t>
      </w:r>
      <w:r w:rsidR="00E530C2" w:rsidRPr="00E967EA">
        <w:rPr>
          <w:rFonts w:ascii="Arial" w:hAnsi="Arial" w:cs="Arial"/>
          <w:b/>
          <w:lang w:val="en-US"/>
        </w:rPr>
        <w:t xml:space="preserve"> increase in performance of poor</w:t>
      </w:r>
      <w:r w:rsidR="0001013A" w:rsidRPr="00E967EA">
        <w:rPr>
          <w:rFonts w:ascii="Arial" w:hAnsi="Arial" w:cs="Arial"/>
          <w:b/>
          <w:lang w:val="en-US"/>
        </w:rPr>
        <w:t>er</w:t>
      </w:r>
      <w:r w:rsidR="00E530C2" w:rsidRPr="00E967EA">
        <w:rPr>
          <w:rFonts w:ascii="Arial" w:hAnsi="Arial" w:cs="Arial"/>
          <w:b/>
          <w:lang w:val="en-US"/>
        </w:rPr>
        <w:t xml:space="preserve"> students </w:t>
      </w:r>
    </w:p>
    <w:p w:rsidR="00E530C2" w:rsidRPr="00E967EA" w:rsidRDefault="0075296B" w:rsidP="00E530C2">
      <w:pPr>
        <w:jc w:val="both"/>
        <w:rPr>
          <w:rFonts w:ascii="Arial" w:hAnsi="Arial" w:cs="Arial"/>
          <w:sz w:val="20"/>
          <w:szCs w:val="20"/>
          <w:lang w:val="en-US"/>
        </w:rPr>
      </w:pPr>
      <w:r>
        <w:rPr>
          <w:rFonts w:ascii="Arial" w:hAnsi="Arial" w:cs="Arial"/>
          <w:sz w:val="20"/>
          <w:szCs w:val="20"/>
          <w:lang w:val="en-US"/>
        </w:rPr>
        <w:t xml:space="preserve">The average student performance by socioeconomic status in Turkey shows that </w:t>
      </w:r>
      <w:r w:rsidR="00A9765D" w:rsidRPr="00E967EA">
        <w:rPr>
          <w:rFonts w:ascii="Arial" w:hAnsi="Arial" w:cs="Arial"/>
          <w:sz w:val="20"/>
          <w:szCs w:val="20"/>
          <w:lang w:val="en-US"/>
        </w:rPr>
        <w:t>average performance</w:t>
      </w:r>
      <w:r w:rsidR="004526AE" w:rsidRPr="00E967EA">
        <w:rPr>
          <w:rFonts w:ascii="Arial" w:hAnsi="Arial" w:cs="Arial"/>
          <w:sz w:val="20"/>
          <w:szCs w:val="20"/>
          <w:lang w:val="en-US"/>
        </w:rPr>
        <w:t>s</w:t>
      </w:r>
      <w:r w:rsidR="00A9765D" w:rsidRPr="00E967EA">
        <w:rPr>
          <w:rFonts w:ascii="Arial" w:hAnsi="Arial" w:cs="Arial"/>
          <w:sz w:val="20"/>
          <w:szCs w:val="20"/>
          <w:lang w:val="en-US"/>
        </w:rPr>
        <w:t xml:space="preserve"> in all </w:t>
      </w:r>
      <w:r w:rsidR="008A0BB8" w:rsidRPr="00E967EA">
        <w:rPr>
          <w:rFonts w:ascii="Arial" w:hAnsi="Arial" w:cs="Arial"/>
          <w:sz w:val="20"/>
          <w:szCs w:val="20"/>
          <w:lang w:val="en-US"/>
        </w:rPr>
        <w:t xml:space="preserve">socioeconomic groups </w:t>
      </w:r>
      <w:r w:rsidR="00A9765D" w:rsidRPr="00E967EA">
        <w:rPr>
          <w:rFonts w:ascii="Arial" w:hAnsi="Arial" w:cs="Arial"/>
          <w:sz w:val="20"/>
          <w:szCs w:val="20"/>
          <w:lang w:val="en-US"/>
        </w:rPr>
        <w:t xml:space="preserve">increased </w:t>
      </w:r>
      <w:r>
        <w:rPr>
          <w:rFonts w:ascii="Arial" w:hAnsi="Arial" w:cs="Arial"/>
          <w:sz w:val="20"/>
          <w:szCs w:val="20"/>
          <w:lang w:val="en-US"/>
        </w:rPr>
        <w:t>compared to</w:t>
      </w:r>
      <w:r w:rsidR="00A9765D" w:rsidRPr="00E967EA">
        <w:rPr>
          <w:rFonts w:ascii="Arial" w:hAnsi="Arial" w:cs="Arial"/>
          <w:sz w:val="20"/>
          <w:szCs w:val="20"/>
          <w:lang w:val="en-US"/>
        </w:rPr>
        <w:t xml:space="preserve"> the</w:t>
      </w:r>
      <w:r w:rsidR="00FF5F14" w:rsidRPr="00E967EA">
        <w:rPr>
          <w:rFonts w:ascii="Arial" w:hAnsi="Arial" w:cs="Arial"/>
          <w:sz w:val="20"/>
          <w:szCs w:val="20"/>
          <w:lang w:val="en-US"/>
        </w:rPr>
        <w:t xml:space="preserve"> average</w:t>
      </w:r>
      <w:r w:rsidR="00A9765D" w:rsidRPr="00E967EA">
        <w:rPr>
          <w:rFonts w:ascii="Arial" w:hAnsi="Arial" w:cs="Arial"/>
          <w:sz w:val="20"/>
          <w:szCs w:val="20"/>
          <w:lang w:val="en-US"/>
        </w:rPr>
        <w:t xml:space="preserve"> performances in 2003.</w:t>
      </w:r>
      <w:r w:rsidR="00A9765D" w:rsidRPr="00E967EA">
        <w:rPr>
          <w:rStyle w:val="FootnoteReference"/>
          <w:rFonts w:ascii="Arial" w:hAnsi="Arial" w:cs="Arial"/>
          <w:sz w:val="20"/>
          <w:szCs w:val="20"/>
          <w:lang w:val="en-US"/>
        </w:rPr>
        <w:footnoteReference w:id="6"/>
      </w:r>
      <w:r w:rsidR="00A9765D" w:rsidRPr="00E967EA">
        <w:rPr>
          <w:rFonts w:ascii="Arial" w:hAnsi="Arial" w:cs="Arial"/>
          <w:sz w:val="20"/>
          <w:szCs w:val="20"/>
          <w:lang w:val="en-US"/>
        </w:rPr>
        <w:t xml:space="preserve"> The largest increase (86 score points) has occurred in </w:t>
      </w:r>
      <w:r w:rsidR="00043C63" w:rsidRPr="00E967EA">
        <w:rPr>
          <w:rFonts w:ascii="Arial" w:hAnsi="Arial" w:cs="Arial"/>
          <w:sz w:val="20"/>
          <w:szCs w:val="20"/>
          <w:lang w:val="en-US"/>
        </w:rPr>
        <w:t xml:space="preserve">the poorest quintile </w:t>
      </w:r>
      <w:r w:rsidR="00A9765D" w:rsidRPr="00E967EA">
        <w:rPr>
          <w:rFonts w:ascii="Arial" w:hAnsi="Arial" w:cs="Arial"/>
          <w:sz w:val="20"/>
          <w:szCs w:val="20"/>
          <w:lang w:val="en-US"/>
        </w:rPr>
        <w:t xml:space="preserve">(Figure 6). </w:t>
      </w:r>
      <w:r w:rsidR="00A9765D" w:rsidRPr="00E967EA">
        <w:rPr>
          <w:rStyle w:val="FootnoteReference"/>
          <w:rFonts w:ascii="Arial" w:hAnsi="Arial" w:cs="Arial"/>
          <w:b/>
          <w:sz w:val="20"/>
          <w:szCs w:val="20"/>
          <w:lang w:val="en-US"/>
        </w:rPr>
        <w:footnoteReference w:id="7"/>
      </w:r>
      <w:r w:rsidR="00A9765D" w:rsidRPr="00E967EA">
        <w:rPr>
          <w:rFonts w:ascii="Arial" w:hAnsi="Arial" w:cs="Arial"/>
          <w:sz w:val="20"/>
          <w:szCs w:val="20"/>
          <w:lang w:val="en-US"/>
        </w:rPr>
        <w:t xml:space="preserve"> However, the expansion in </w:t>
      </w:r>
      <w:r w:rsidR="00043C63" w:rsidRPr="00E967EA">
        <w:rPr>
          <w:rFonts w:ascii="Arial" w:hAnsi="Arial" w:cs="Arial"/>
          <w:sz w:val="20"/>
          <w:szCs w:val="20"/>
          <w:lang w:val="en-US"/>
        </w:rPr>
        <w:t xml:space="preserve">the </w:t>
      </w:r>
      <w:r w:rsidR="00A9765D" w:rsidRPr="00E967EA">
        <w:rPr>
          <w:rFonts w:ascii="Arial" w:hAnsi="Arial" w:cs="Arial"/>
          <w:sz w:val="20"/>
          <w:szCs w:val="20"/>
          <w:lang w:val="en-US"/>
        </w:rPr>
        <w:t xml:space="preserve">highest socioeconomic group is limited to 25 PISA points. </w:t>
      </w:r>
    </w:p>
    <w:p w:rsidR="00670599" w:rsidRPr="00E967EA" w:rsidRDefault="00274DBE" w:rsidP="00670599">
      <w:pPr>
        <w:pStyle w:val="Caption"/>
        <w:keepNext/>
        <w:rPr>
          <w:rFonts w:ascii="Arial" w:hAnsi="Arial" w:cs="Arial"/>
          <w:color w:val="auto"/>
          <w:sz w:val="20"/>
          <w:szCs w:val="20"/>
          <w:lang w:val="en-US"/>
        </w:rPr>
      </w:pPr>
      <w:r w:rsidRPr="00E967EA">
        <w:rPr>
          <w:rFonts w:ascii="Arial" w:hAnsi="Arial" w:cs="Arial"/>
          <w:color w:val="auto"/>
          <w:sz w:val="20"/>
          <w:szCs w:val="20"/>
          <w:lang w:val="en-US"/>
        </w:rPr>
        <w:t>Figure</w:t>
      </w:r>
      <w:r w:rsidR="00670599" w:rsidRPr="00E967EA">
        <w:rPr>
          <w:rFonts w:ascii="Arial" w:hAnsi="Arial" w:cs="Arial"/>
          <w:color w:val="auto"/>
          <w:sz w:val="20"/>
          <w:szCs w:val="20"/>
          <w:lang w:val="en-US"/>
        </w:rPr>
        <w:t xml:space="preserve"> 6: Turkey Socioeconomic Status and Average Student Performance</w:t>
      </w:r>
    </w:p>
    <w:p w:rsidR="00670599" w:rsidRPr="00E967EA" w:rsidRDefault="00670599" w:rsidP="00670599">
      <w:pPr>
        <w:keepNext/>
        <w:rPr>
          <w:lang w:val="en-US"/>
        </w:rPr>
      </w:pPr>
      <w:r w:rsidRPr="00E967EA">
        <w:rPr>
          <w:rFonts w:ascii="Arial" w:hAnsi="Arial" w:cs="Arial"/>
          <w:noProof/>
          <w:sz w:val="16"/>
          <w:szCs w:val="16"/>
        </w:rPr>
        <w:drawing>
          <wp:inline distT="0" distB="0" distL="0" distR="0">
            <wp:extent cx="3912042" cy="2258171"/>
            <wp:effectExtent l="0" t="0" r="0"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0599" w:rsidRPr="00E967EA" w:rsidRDefault="00274DBE" w:rsidP="00670599">
      <w:pPr>
        <w:pStyle w:val="Caption"/>
        <w:rPr>
          <w:rFonts w:ascii="Arial" w:hAnsi="Arial" w:cs="Arial"/>
          <w:b w:val="0"/>
          <w:color w:val="auto"/>
          <w:sz w:val="16"/>
          <w:szCs w:val="16"/>
          <w:lang w:val="en-US"/>
        </w:rPr>
      </w:pPr>
      <w:proofErr w:type="gramStart"/>
      <w:r w:rsidRPr="00E967EA">
        <w:rPr>
          <w:rFonts w:ascii="Arial" w:hAnsi="Arial" w:cs="Arial"/>
          <w:b w:val="0"/>
          <w:color w:val="auto"/>
          <w:sz w:val="16"/>
          <w:szCs w:val="16"/>
          <w:lang w:val="en-US"/>
        </w:rPr>
        <w:t>Source</w:t>
      </w:r>
      <w:r w:rsidR="00670599" w:rsidRPr="00E967EA">
        <w:rPr>
          <w:rFonts w:ascii="Arial" w:hAnsi="Arial" w:cs="Arial"/>
          <w:b w:val="0"/>
          <w:color w:val="auto"/>
          <w:sz w:val="16"/>
          <w:szCs w:val="16"/>
          <w:lang w:val="en-US"/>
        </w:rPr>
        <w:t xml:space="preserve"> :</w:t>
      </w:r>
      <w:r w:rsidRPr="00E967EA">
        <w:rPr>
          <w:rFonts w:ascii="Arial" w:hAnsi="Arial" w:cs="Arial"/>
          <w:b w:val="0"/>
          <w:color w:val="auto"/>
          <w:sz w:val="16"/>
          <w:szCs w:val="16"/>
          <w:lang w:val="en-US"/>
        </w:rPr>
        <w:t>The</w:t>
      </w:r>
      <w:proofErr w:type="gramEnd"/>
      <w:r w:rsidRPr="00E967EA">
        <w:rPr>
          <w:rFonts w:ascii="Arial" w:hAnsi="Arial" w:cs="Arial"/>
          <w:b w:val="0"/>
          <w:color w:val="auto"/>
          <w:sz w:val="16"/>
          <w:szCs w:val="16"/>
          <w:lang w:val="en-US"/>
        </w:rPr>
        <w:t xml:space="preserve"> </w:t>
      </w:r>
      <w:r w:rsidR="00670599" w:rsidRPr="00E967EA">
        <w:rPr>
          <w:rFonts w:ascii="Arial" w:hAnsi="Arial" w:cs="Arial"/>
          <w:b w:val="0"/>
          <w:color w:val="auto"/>
          <w:sz w:val="16"/>
          <w:szCs w:val="16"/>
          <w:lang w:val="en-US"/>
        </w:rPr>
        <w:t>World</w:t>
      </w:r>
      <w:r w:rsidRPr="00E967EA">
        <w:rPr>
          <w:rFonts w:ascii="Arial" w:hAnsi="Arial" w:cs="Arial"/>
          <w:b w:val="0"/>
          <w:color w:val="auto"/>
          <w:sz w:val="16"/>
          <w:szCs w:val="16"/>
          <w:lang w:val="en-US"/>
        </w:rPr>
        <w:t xml:space="preserve"> B</w:t>
      </w:r>
      <w:r w:rsidR="00670599" w:rsidRPr="00E967EA">
        <w:rPr>
          <w:rFonts w:ascii="Arial" w:hAnsi="Arial" w:cs="Arial"/>
          <w:b w:val="0"/>
          <w:color w:val="auto"/>
          <w:sz w:val="16"/>
          <w:szCs w:val="16"/>
          <w:lang w:val="en-US"/>
        </w:rPr>
        <w:t>ank</w:t>
      </w:r>
    </w:p>
    <w:p w:rsidR="00B00447" w:rsidRPr="00E967EA" w:rsidRDefault="001945CD" w:rsidP="001D24A7">
      <w:pPr>
        <w:jc w:val="both"/>
        <w:rPr>
          <w:rFonts w:ascii="Arial" w:hAnsi="Arial" w:cs="Arial"/>
          <w:sz w:val="20"/>
          <w:szCs w:val="20"/>
          <w:lang w:val="en-US"/>
        </w:rPr>
      </w:pPr>
      <w:proofErr w:type="gramStart"/>
      <w:r>
        <w:rPr>
          <w:rFonts w:ascii="Arial" w:hAnsi="Arial" w:cs="Arial"/>
          <w:sz w:val="20"/>
          <w:szCs w:val="20"/>
          <w:lang w:val="en-US"/>
        </w:rPr>
        <w:t>The performance increase of students in Turkey since</w:t>
      </w:r>
      <w:r w:rsidR="007F3885" w:rsidRPr="00E967EA">
        <w:rPr>
          <w:rFonts w:ascii="Arial" w:hAnsi="Arial" w:cs="Arial"/>
          <w:sz w:val="20"/>
          <w:szCs w:val="20"/>
          <w:lang w:val="en-US"/>
        </w:rPr>
        <w:t xml:space="preserve"> 2003 </w:t>
      </w:r>
      <w:r w:rsidR="009D6830">
        <w:rPr>
          <w:rFonts w:ascii="Arial" w:hAnsi="Arial" w:cs="Arial"/>
          <w:sz w:val="20"/>
          <w:szCs w:val="20"/>
          <w:lang w:val="en-US"/>
        </w:rPr>
        <w:t>stems</w:t>
      </w:r>
      <w:r w:rsidR="007F3885" w:rsidRPr="00E967EA">
        <w:rPr>
          <w:rFonts w:ascii="Arial" w:hAnsi="Arial" w:cs="Arial"/>
          <w:sz w:val="20"/>
          <w:szCs w:val="20"/>
          <w:lang w:val="en-US"/>
        </w:rPr>
        <w:t xml:space="preserve"> from mainly success of students in lower socioeconomic groups.</w:t>
      </w:r>
      <w:proofErr w:type="gramEnd"/>
      <w:r w:rsidR="007F3885" w:rsidRPr="00E967EA">
        <w:rPr>
          <w:rFonts w:ascii="Arial" w:hAnsi="Arial" w:cs="Arial"/>
          <w:sz w:val="20"/>
          <w:szCs w:val="20"/>
          <w:lang w:val="en-US"/>
        </w:rPr>
        <w:t xml:space="preserve"> </w:t>
      </w:r>
      <w:r w:rsidR="00B00447" w:rsidRPr="00E967EA">
        <w:rPr>
          <w:rFonts w:ascii="Arial" w:hAnsi="Arial" w:cs="Arial"/>
          <w:sz w:val="20"/>
          <w:szCs w:val="20"/>
          <w:lang w:val="en-US"/>
        </w:rPr>
        <w:t xml:space="preserve">Even though this progress narrowed the inequality between socioeconomic groups, the level of inequality is still </w:t>
      </w:r>
      <w:r w:rsidR="001D24A7" w:rsidRPr="00E967EA">
        <w:rPr>
          <w:rFonts w:ascii="Arial" w:hAnsi="Arial" w:cs="Arial"/>
          <w:sz w:val="20"/>
          <w:szCs w:val="20"/>
          <w:lang w:val="en-US"/>
        </w:rPr>
        <w:t xml:space="preserve">large. </w:t>
      </w:r>
      <w:r w:rsidR="00B00447" w:rsidRPr="00E967EA">
        <w:rPr>
          <w:rFonts w:ascii="Arial" w:hAnsi="Arial" w:cs="Arial"/>
          <w:sz w:val="20"/>
          <w:szCs w:val="20"/>
          <w:lang w:val="en-US"/>
        </w:rPr>
        <w:t>The difference in scores between the poorest and richest quintile, whi</w:t>
      </w:r>
      <w:r w:rsidR="00EE62EA">
        <w:rPr>
          <w:rFonts w:ascii="Arial" w:hAnsi="Arial" w:cs="Arial"/>
          <w:sz w:val="20"/>
          <w:szCs w:val="20"/>
          <w:lang w:val="en-US"/>
        </w:rPr>
        <w:t>ch was 124 PISA points in 2003, decreased</w:t>
      </w:r>
      <w:r w:rsidR="00B00447" w:rsidRPr="00E967EA">
        <w:rPr>
          <w:rFonts w:ascii="Arial" w:hAnsi="Arial" w:cs="Arial"/>
          <w:sz w:val="20"/>
          <w:szCs w:val="20"/>
          <w:lang w:val="en-US"/>
        </w:rPr>
        <w:t xml:space="preserve"> to 91 points</w:t>
      </w:r>
      <w:r w:rsidR="001D24A7" w:rsidRPr="00E967EA">
        <w:rPr>
          <w:rFonts w:ascii="Arial" w:hAnsi="Arial" w:cs="Arial"/>
          <w:sz w:val="20"/>
          <w:szCs w:val="20"/>
          <w:lang w:val="en-US"/>
        </w:rPr>
        <w:t xml:space="preserve"> in 2012</w:t>
      </w:r>
      <w:r w:rsidR="00B00447" w:rsidRPr="00E967EA">
        <w:rPr>
          <w:rFonts w:ascii="Arial" w:hAnsi="Arial" w:cs="Arial"/>
          <w:sz w:val="20"/>
          <w:szCs w:val="20"/>
          <w:lang w:val="en-US"/>
        </w:rPr>
        <w:t xml:space="preserve">. In </w:t>
      </w:r>
      <w:r w:rsidR="00B00447" w:rsidRPr="00E967EA">
        <w:rPr>
          <w:rFonts w:ascii="Arial" w:hAnsi="Arial" w:cs="Arial"/>
          <w:sz w:val="20"/>
          <w:szCs w:val="20"/>
          <w:lang w:val="en-US"/>
        </w:rPr>
        <w:lastRenderedPageBreak/>
        <w:t>other words, students in the lowest socioeconomic quintile are still 2 years of schooling behind their peers in highest quintile</w:t>
      </w:r>
      <w:r w:rsidR="000F5CFF" w:rsidRPr="000F5CFF">
        <w:rPr>
          <w:rFonts w:ascii="Arial" w:hAnsi="Arial" w:cs="Arial"/>
          <w:sz w:val="20"/>
          <w:szCs w:val="20"/>
          <w:lang w:val="en-US"/>
        </w:rPr>
        <w:t xml:space="preserve"> </w:t>
      </w:r>
      <w:r w:rsidR="000F5CFF" w:rsidRPr="00E967EA">
        <w:rPr>
          <w:rFonts w:ascii="Arial" w:hAnsi="Arial" w:cs="Arial"/>
          <w:sz w:val="20"/>
          <w:szCs w:val="20"/>
          <w:lang w:val="en-US"/>
        </w:rPr>
        <w:t>in 2012</w:t>
      </w:r>
      <w:r w:rsidR="00B00447" w:rsidRPr="00E967EA">
        <w:rPr>
          <w:rFonts w:ascii="Arial" w:hAnsi="Arial" w:cs="Arial"/>
          <w:sz w:val="20"/>
          <w:szCs w:val="20"/>
          <w:lang w:val="en-US"/>
        </w:rPr>
        <w:t xml:space="preserve">.  </w:t>
      </w:r>
    </w:p>
    <w:p w:rsidR="0037497E" w:rsidRPr="00E967EA" w:rsidRDefault="0037497E" w:rsidP="0037497E">
      <w:pPr>
        <w:jc w:val="both"/>
        <w:rPr>
          <w:rFonts w:ascii="Arial" w:hAnsi="Arial" w:cs="Arial"/>
          <w:b/>
          <w:lang w:val="en-US"/>
        </w:rPr>
      </w:pPr>
      <w:r w:rsidRPr="00E967EA">
        <w:rPr>
          <w:rFonts w:ascii="Arial" w:hAnsi="Arial" w:cs="Arial"/>
          <w:b/>
          <w:lang w:val="en-US"/>
        </w:rPr>
        <w:t xml:space="preserve">Students at villages and small towns are more successful </w:t>
      </w:r>
    </w:p>
    <w:p w:rsidR="00A938CA" w:rsidRPr="00E967EA" w:rsidRDefault="00E270F8" w:rsidP="0037497E">
      <w:pPr>
        <w:jc w:val="both"/>
        <w:rPr>
          <w:rFonts w:ascii="Arial" w:hAnsi="Arial" w:cs="Arial"/>
          <w:sz w:val="20"/>
          <w:szCs w:val="20"/>
          <w:lang w:val="en-US"/>
        </w:rPr>
      </w:pPr>
      <w:r>
        <w:rPr>
          <w:noProof/>
        </w:rPr>
        <mc:AlternateContent>
          <mc:Choice Requires="wps">
            <w:drawing>
              <wp:anchor distT="0" distB="0" distL="114300" distR="114300" simplePos="0" relativeHeight="251666944" behindDoc="0" locked="0" layoutInCell="1" allowOverlap="1">
                <wp:simplePos x="0" y="0"/>
                <wp:positionH relativeFrom="column">
                  <wp:posOffset>2031365</wp:posOffset>
                </wp:positionH>
                <wp:positionV relativeFrom="paragraph">
                  <wp:posOffset>525145</wp:posOffset>
                </wp:positionV>
                <wp:extent cx="3638550" cy="398145"/>
                <wp:effectExtent l="0" t="0" r="2540" b="2540"/>
                <wp:wrapSquare wrapText="bothSides"/>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754B" w:rsidRPr="00E967EA" w:rsidRDefault="00397026" w:rsidP="008F754B">
                            <w:pPr>
                              <w:pStyle w:val="Caption"/>
                              <w:spacing w:after="0"/>
                              <w:jc w:val="center"/>
                              <w:rPr>
                                <w:rFonts w:ascii="Arial" w:hAnsi="Arial" w:cs="Arial"/>
                                <w:color w:val="auto"/>
                                <w:sz w:val="20"/>
                                <w:szCs w:val="20"/>
                                <w:lang w:val="en-US"/>
                              </w:rPr>
                            </w:pPr>
                            <w:r>
                              <w:rPr>
                                <w:rFonts w:ascii="Arial" w:hAnsi="Arial" w:cs="Arial"/>
                                <w:color w:val="auto"/>
                                <w:sz w:val="20"/>
                                <w:szCs w:val="20"/>
                                <w:lang w:val="en-US"/>
                              </w:rPr>
                              <w:t xml:space="preserve">Figure </w:t>
                            </w:r>
                            <w:r w:rsidR="008F754B" w:rsidRPr="00E967EA">
                              <w:rPr>
                                <w:rFonts w:ascii="Arial" w:hAnsi="Arial" w:cs="Arial"/>
                                <w:color w:val="auto"/>
                                <w:sz w:val="20"/>
                                <w:szCs w:val="20"/>
                                <w:lang w:val="en-US"/>
                              </w:rPr>
                              <w:t xml:space="preserve">7: Turkey's average PISA scores by school </w:t>
                            </w:r>
                          </w:p>
                          <w:p w:rsidR="008F754B" w:rsidRPr="008F754B" w:rsidRDefault="008F754B" w:rsidP="008F754B">
                            <w:pPr>
                              <w:pStyle w:val="Caption"/>
                              <w:spacing w:after="0"/>
                              <w:jc w:val="center"/>
                              <w:rPr>
                                <w:rFonts w:ascii="Arial" w:hAnsi="Arial" w:cs="Arial"/>
                                <w:noProof/>
                                <w:color w:val="auto"/>
                                <w:sz w:val="20"/>
                                <w:szCs w:val="20"/>
                                <w:lang w:val="en-US"/>
                              </w:rPr>
                            </w:pPr>
                            <w:proofErr w:type="gramStart"/>
                            <w:r w:rsidRPr="00E967EA">
                              <w:rPr>
                                <w:rFonts w:ascii="Arial" w:hAnsi="Arial" w:cs="Arial"/>
                                <w:color w:val="auto"/>
                                <w:sz w:val="20"/>
                                <w:szCs w:val="20"/>
                                <w:lang w:val="en-US"/>
                              </w:rPr>
                              <w:t>location</w:t>
                            </w:r>
                            <w:proofErr w:type="gramEnd"/>
                            <w:r w:rsidRPr="00E967EA">
                              <w:rPr>
                                <w:rFonts w:ascii="Arial" w:hAnsi="Arial" w:cs="Arial"/>
                                <w:color w:val="auto"/>
                                <w:sz w:val="20"/>
                                <w:szCs w:val="20"/>
                                <w:lang w:val="en-US"/>
                              </w:rPr>
                              <w:t xml:space="preserve"> (2009 and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8" type="#_x0000_t202" style="position:absolute;left:0;text-align:left;margin-left:159.95pt;margin-top:41.35pt;width:286.5pt;height:3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8CfwIAAAg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" stroked="f">
                <v:textbox inset="0,0,0,0">
                  <w:txbxContent>
                    <w:p w:rsidR="008F754B" w:rsidRPr="00E967EA" w:rsidRDefault="00397026" w:rsidP="008F754B">
                      <w:pPr>
                        <w:pStyle w:val="Caption"/>
                        <w:spacing w:after="0"/>
                        <w:jc w:val="center"/>
                        <w:rPr>
                          <w:rFonts w:ascii="Arial" w:hAnsi="Arial" w:cs="Arial"/>
                          <w:color w:val="auto"/>
                          <w:sz w:val="20"/>
                          <w:szCs w:val="20"/>
                          <w:lang w:val="en-US"/>
                        </w:rPr>
                      </w:pPr>
                      <w:r>
                        <w:rPr>
                          <w:rFonts w:ascii="Arial" w:hAnsi="Arial" w:cs="Arial"/>
                          <w:color w:val="auto"/>
                          <w:sz w:val="20"/>
                          <w:szCs w:val="20"/>
                          <w:lang w:val="en-US"/>
                        </w:rPr>
                        <w:t xml:space="preserve">Figure </w:t>
                      </w:r>
                      <w:r w:rsidR="008F754B" w:rsidRPr="00E967EA">
                        <w:rPr>
                          <w:rFonts w:ascii="Arial" w:hAnsi="Arial" w:cs="Arial"/>
                          <w:color w:val="auto"/>
                          <w:sz w:val="20"/>
                          <w:szCs w:val="20"/>
                          <w:lang w:val="en-US"/>
                        </w:rPr>
                        <w:t xml:space="preserve">7: Turkey's average PISA scores by school </w:t>
                      </w:r>
                    </w:p>
                    <w:p w:rsidR="008F754B" w:rsidRPr="008F754B" w:rsidRDefault="008F754B" w:rsidP="008F754B">
                      <w:pPr>
                        <w:pStyle w:val="Caption"/>
                        <w:spacing w:after="0"/>
                        <w:jc w:val="center"/>
                        <w:rPr>
                          <w:rFonts w:ascii="Arial" w:hAnsi="Arial" w:cs="Arial"/>
                          <w:noProof/>
                          <w:color w:val="auto"/>
                          <w:sz w:val="20"/>
                          <w:szCs w:val="20"/>
                          <w:lang w:val="en-US"/>
                        </w:rPr>
                      </w:pPr>
                      <w:proofErr w:type="gramStart"/>
                      <w:r w:rsidRPr="00E967EA">
                        <w:rPr>
                          <w:rFonts w:ascii="Arial" w:hAnsi="Arial" w:cs="Arial"/>
                          <w:color w:val="auto"/>
                          <w:sz w:val="20"/>
                          <w:szCs w:val="20"/>
                          <w:lang w:val="en-US"/>
                        </w:rPr>
                        <w:t>location</w:t>
                      </w:r>
                      <w:proofErr w:type="gramEnd"/>
                      <w:r w:rsidRPr="00E967EA">
                        <w:rPr>
                          <w:rFonts w:ascii="Arial" w:hAnsi="Arial" w:cs="Arial"/>
                          <w:color w:val="auto"/>
                          <w:sz w:val="20"/>
                          <w:szCs w:val="20"/>
                          <w:lang w:val="en-US"/>
                        </w:rPr>
                        <w:t xml:space="preserve"> (2009 and 2012)</w:t>
                      </w:r>
                    </w:p>
                  </w:txbxContent>
                </v:textbox>
                <w10:wrap type="square"/>
              </v:shape>
            </w:pict>
          </mc:Fallback>
        </mc:AlternateContent>
      </w:r>
      <w:r w:rsidR="00E2740E" w:rsidRPr="00E967EA">
        <w:rPr>
          <w:rFonts w:ascii="Arial" w:hAnsi="Arial" w:cs="Arial"/>
          <w:sz w:val="20"/>
          <w:szCs w:val="20"/>
          <w:lang w:val="en-US"/>
        </w:rPr>
        <w:t xml:space="preserve">PISA datasets also include </w:t>
      </w:r>
      <w:r w:rsidR="004D35DE" w:rsidRPr="00E967EA">
        <w:rPr>
          <w:rFonts w:ascii="Arial" w:hAnsi="Arial" w:cs="Arial"/>
          <w:sz w:val="20"/>
          <w:szCs w:val="20"/>
          <w:lang w:val="en-US"/>
        </w:rPr>
        <w:t xml:space="preserve">detailed </w:t>
      </w:r>
      <w:r w:rsidR="00E2740E" w:rsidRPr="00E967EA">
        <w:rPr>
          <w:rFonts w:ascii="Arial" w:hAnsi="Arial" w:cs="Arial"/>
          <w:sz w:val="20"/>
          <w:szCs w:val="20"/>
          <w:lang w:val="en-US"/>
        </w:rPr>
        <w:t>information</w:t>
      </w:r>
      <w:r w:rsidR="00A938CA" w:rsidRPr="00E967EA">
        <w:rPr>
          <w:rFonts w:ascii="Arial" w:hAnsi="Arial" w:cs="Arial"/>
          <w:sz w:val="20"/>
          <w:szCs w:val="20"/>
          <w:lang w:val="en-US"/>
        </w:rPr>
        <w:t xml:space="preserve"> </w:t>
      </w:r>
      <w:r w:rsidR="00643420">
        <w:rPr>
          <w:rFonts w:ascii="Arial" w:hAnsi="Arial" w:cs="Arial"/>
          <w:sz w:val="20"/>
          <w:szCs w:val="20"/>
          <w:lang w:val="en-US"/>
        </w:rPr>
        <w:t>on</w:t>
      </w:r>
      <w:r w:rsidR="00060444" w:rsidRPr="00E967EA">
        <w:rPr>
          <w:rFonts w:ascii="Arial" w:hAnsi="Arial" w:cs="Arial"/>
          <w:sz w:val="20"/>
          <w:szCs w:val="20"/>
          <w:lang w:val="en-US"/>
        </w:rPr>
        <w:t xml:space="preserve"> </w:t>
      </w:r>
      <w:r w:rsidR="00A938CA" w:rsidRPr="00E967EA">
        <w:rPr>
          <w:rFonts w:ascii="Arial" w:hAnsi="Arial" w:cs="Arial"/>
          <w:sz w:val="20"/>
          <w:szCs w:val="20"/>
          <w:lang w:val="en-US"/>
        </w:rPr>
        <w:t>units of residence.</w:t>
      </w:r>
      <w:r w:rsidR="00A938CA" w:rsidRPr="00E967EA">
        <w:rPr>
          <w:rStyle w:val="FootnoteReference"/>
          <w:rFonts w:ascii="Arial" w:hAnsi="Arial" w:cs="Arial"/>
          <w:sz w:val="20"/>
          <w:szCs w:val="20"/>
          <w:lang w:val="en-US"/>
        </w:rPr>
        <w:footnoteReference w:id="8"/>
      </w:r>
      <w:r w:rsidR="00A938CA" w:rsidRPr="00E967EA">
        <w:rPr>
          <w:rFonts w:ascii="Arial" w:hAnsi="Arial" w:cs="Arial"/>
          <w:sz w:val="20"/>
          <w:szCs w:val="20"/>
          <w:lang w:val="en-US"/>
        </w:rPr>
        <w:t xml:space="preserve">  The distribution of schools,</w:t>
      </w:r>
      <w:r w:rsidR="00060444" w:rsidRPr="00E967EA">
        <w:rPr>
          <w:rFonts w:ascii="Arial" w:hAnsi="Arial" w:cs="Arial"/>
          <w:sz w:val="20"/>
          <w:szCs w:val="20"/>
          <w:lang w:val="en-US"/>
        </w:rPr>
        <w:t xml:space="preserve"> which </w:t>
      </w:r>
      <w:r w:rsidR="00BC176B">
        <w:rPr>
          <w:rFonts w:ascii="Arial" w:hAnsi="Arial" w:cs="Arial"/>
          <w:sz w:val="20"/>
          <w:szCs w:val="20"/>
          <w:lang w:val="en-US"/>
        </w:rPr>
        <w:t xml:space="preserve"> participated ın</w:t>
      </w:r>
      <w:r w:rsidR="00A938CA" w:rsidRPr="00E967EA">
        <w:rPr>
          <w:rFonts w:ascii="Arial" w:hAnsi="Arial" w:cs="Arial"/>
          <w:sz w:val="20"/>
          <w:szCs w:val="20"/>
          <w:lang w:val="en-US"/>
        </w:rPr>
        <w:t xml:space="preserve"> PISA 2009 and 2012, by units of residence is as follows: </w:t>
      </w:r>
      <w:r w:rsidR="004D35DE" w:rsidRPr="00E967EA">
        <w:rPr>
          <w:rFonts w:ascii="Arial" w:hAnsi="Arial" w:cs="Arial"/>
          <w:sz w:val="20"/>
          <w:szCs w:val="20"/>
          <w:lang w:val="en-US"/>
        </w:rPr>
        <w:t>2-3 percent "village", about 10 percent "small town", 28-31 percent "town", 28-30 percent "city" and 31-27 percent "big city" (Table 2).</w:t>
      </w:r>
      <w:r w:rsidR="004D35DE" w:rsidRPr="00E967EA">
        <w:rPr>
          <w:rStyle w:val="FootnoteReference"/>
          <w:rFonts w:ascii="Arial" w:hAnsi="Arial" w:cs="Arial"/>
          <w:sz w:val="20"/>
          <w:szCs w:val="20"/>
          <w:lang w:val="en-US"/>
        </w:rPr>
        <w:footnoteReference w:id="9"/>
      </w:r>
      <w:r w:rsidR="004D35DE" w:rsidRPr="00E967EA">
        <w:rPr>
          <w:rFonts w:ascii="Arial" w:hAnsi="Arial" w:cs="Arial"/>
          <w:sz w:val="20"/>
          <w:szCs w:val="20"/>
          <w:lang w:val="en-US"/>
        </w:rPr>
        <w:t xml:space="preserve"> </w:t>
      </w:r>
    </w:p>
    <w:p w:rsidR="002763D1" w:rsidRPr="00E967EA" w:rsidRDefault="00E270F8" w:rsidP="00060444">
      <w:pPr>
        <w:jc w:val="both"/>
        <w:rPr>
          <w:rFonts w:ascii="Arial" w:hAnsi="Arial" w:cs="Arial"/>
          <w:sz w:val="20"/>
          <w:szCs w:val="20"/>
          <w:lang w:val="en-US"/>
        </w:rPr>
      </w:pPr>
      <w:r>
        <w:rPr>
          <w:rFonts w:ascii="Arial" w:hAnsi="Arial" w:cs="Arial"/>
          <w:noProof/>
          <w:sz w:val="20"/>
          <w:szCs w:val="20"/>
        </w:rPr>
        <mc:AlternateContent>
          <mc:Choice Requires="wps">
            <w:drawing>
              <wp:anchor distT="0" distB="0" distL="114300" distR="114300" simplePos="0" relativeHeight="251668992" behindDoc="0" locked="0" layoutInCell="1" allowOverlap="1">
                <wp:simplePos x="0" y="0"/>
                <wp:positionH relativeFrom="column">
                  <wp:posOffset>2501900</wp:posOffset>
                </wp:positionH>
                <wp:positionV relativeFrom="paragraph">
                  <wp:posOffset>3050540</wp:posOffset>
                </wp:positionV>
                <wp:extent cx="3646805" cy="278765"/>
                <wp:effectExtent l="1270" t="0" r="0" b="0"/>
                <wp:wrapSquare wrapText="bothSides"/>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A5F" w:rsidRPr="00B65A90" w:rsidRDefault="007816FB" w:rsidP="00E32A5F">
                            <w:pPr>
                              <w:pStyle w:val="Caption"/>
                              <w:jc w:val="center"/>
                              <w:rPr>
                                <w:rFonts w:ascii="Arial" w:hAnsi="Arial" w:cs="Arial"/>
                                <w:noProof/>
                                <w:color w:val="auto"/>
                                <w:sz w:val="20"/>
                                <w:szCs w:val="20"/>
                                <w:lang w:val="en-US"/>
                              </w:rPr>
                            </w:pPr>
                            <w:r>
                              <w:rPr>
                                <w:rFonts w:ascii="Arial" w:hAnsi="Arial" w:cs="Arial"/>
                                <w:color w:val="auto"/>
                                <w:sz w:val="20"/>
                                <w:szCs w:val="20"/>
                                <w:lang w:val="en-US"/>
                              </w:rPr>
                              <w:t>Figure</w:t>
                            </w:r>
                            <w:r w:rsidR="00E32A5F" w:rsidRPr="00E967EA">
                              <w:rPr>
                                <w:rFonts w:ascii="Arial" w:hAnsi="Arial" w:cs="Arial"/>
                                <w:color w:val="auto"/>
                                <w:sz w:val="20"/>
                                <w:szCs w:val="20"/>
                                <w:lang w:val="en-US"/>
                              </w:rPr>
                              <w:t xml:space="preserve"> 8: 2009-2012 Distribution of average PISA score increase by school 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left:0;text-align:left;margin-left:197pt;margin-top:240.2pt;width:287.15pt;height:21.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" stroked="f">
                <v:textbox inset="0,0,0,0">
                  <w:txbxContent>
                    <w:p w:rsidR="00E32A5F" w:rsidRPr="00B65A90" w:rsidRDefault="007816FB" w:rsidP="00E32A5F">
                      <w:pPr>
                        <w:pStyle w:val="Caption"/>
                        <w:jc w:val="center"/>
                        <w:rPr>
                          <w:rFonts w:ascii="Arial" w:hAnsi="Arial" w:cs="Arial"/>
                          <w:noProof/>
                          <w:color w:val="auto"/>
                          <w:sz w:val="20"/>
                          <w:szCs w:val="20"/>
                          <w:lang w:val="en-US"/>
                        </w:rPr>
                      </w:pPr>
                      <w:r>
                        <w:rPr>
                          <w:rFonts w:ascii="Arial" w:hAnsi="Arial" w:cs="Arial"/>
                          <w:color w:val="auto"/>
                          <w:sz w:val="20"/>
                          <w:szCs w:val="20"/>
                          <w:lang w:val="en-US"/>
                        </w:rPr>
                        <w:t>Figure</w:t>
                      </w:r>
                      <w:r w:rsidR="00E32A5F" w:rsidRPr="00E967EA">
                        <w:rPr>
                          <w:rFonts w:ascii="Arial" w:hAnsi="Arial" w:cs="Arial"/>
                          <w:color w:val="auto"/>
                          <w:sz w:val="20"/>
                          <w:szCs w:val="20"/>
                          <w:lang w:val="en-US"/>
                        </w:rPr>
                        <w:t xml:space="preserve"> 8: 2009-2012 Distribution of average PISA score increase by school location</w:t>
                      </w:r>
                    </w:p>
                  </w:txbxContent>
                </v:textbox>
                <w10:wrap type="square"/>
              </v:shape>
            </w:pict>
          </mc:Fallback>
        </mc:AlternateContent>
      </w:r>
      <w:r w:rsidR="00E32A5F" w:rsidRPr="00E967EA">
        <w:rPr>
          <w:rFonts w:ascii="Arial" w:hAnsi="Arial" w:cs="Arial"/>
          <w:noProof/>
          <w:sz w:val="20"/>
          <w:szCs w:val="20"/>
        </w:rPr>
        <w:drawing>
          <wp:anchor distT="0" distB="0" distL="114300" distR="114300" simplePos="0" relativeHeight="251671040" behindDoc="0" locked="0" layoutInCell="1" allowOverlap="1">
            <wp:simplePos x="0" y="0"/>
            <wp:positionH relativeFrom="column">
              <wp:posOffset>2484120</wp:posOffset>
            </wp:positionH>
            <wp:positionV relativeFrom="paragraph">
              <wp:posOffset>3477260</wp:posOffset>
            </wp:positionV>
            <wp:extent cx="3486150" cy="1905635"/>
            <wp:effectExtent l="0" t="0" r="0" b="0"/>
            <wp:wrapSquare wrapText="bothSides"/>
            <wp:docPr id="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roofErr w:type="gramStart"/>
      <w:r w:rsidR="006F68E3" w:rsidRPr="00E967EA">
        <w:rPr>
          <w:rFonts w:ascii="Arial" w:hAnsi="Arial" w:cs="Arial"/>
          <w:sz w:val="20"/>
          <w:szCs w:val="20"/>
          <w:lang w:val="en-US"/>
        </w:rPr>
        <w:t xml:space="preserve">Improvements </w:t>
      </w:r>
      <w:r w:rsidR="00784458" w:rsidRPr="00E967EA">
        <w:rPr>
          <w:rFonts w:ascii="Arial" w:hAnsi="Arial" w:cs="Arial"/>
          <w:sz w:val="20"/>
          <w:szCs w:val="20"/>
          <w:lang w:val="en-US"/>
        </w:rPr>
        <w:t>in PISA performance by units of residence is</w:t>
      </w:r>
      <w:proofErr w:type="gramEnd"/>
      <w:r w:rsidR="00E967EA" w:rsidRPr="00E967EA">
        <w:rPr>
          <w:rFonts w:ascii="Arial" w:hAnsi="Arial" w:cs="Arial"/>
          <w:sz w:val="20"/>
          <w:szCs w:val="20"/>
          <w:lang w:val="en-US"/>
        </w:rPr>
        <w:t xml:space="preserve"> unexpected</w:t>
      </w:r>
      <w:r w:rsidR="00784458" w:rsidRPr="00E967EA">
        <w:rPr>
          <w:rFonts w:ascii="Arial" w:hAnsi="Arial" w:cs="Arial"/>
          <w:sz w:val="20"/>
          <w:szCs w:val="20"/>
          <w:lang w:val="en-US"/>
        </w:rPr>
        <w:t xml:space="preserve">. </w:t>
      </w:r>
      <w:r w:rsidR="002763D1" w:rsidRPr="00E967EA">
        <w:rPr>
          <w:rFonts w:ascii="Arial" w:hAnsi="Arial" w:cs="Arial"/>
          <w:sz w:val="20"/>
          <w:szCs w:val="20"/>
          <w:lang w:val="en-US"/>
        </w:rPr>
        <w:t xml:space="preserve">According to PISA data, average performance of students in villages is larger than that in cities. </w:t>
      </w:r>
      <w:r w:rsidR="00172B80" w:rsidRPr="00E967EA">
        <w:rPr>
          <w:rFonts w:ascii="Arial" w:hAnsi="Arial" w:cs="Arial"/>
          <w:noProof/>
          <w:sz w:val="20"/>
          <w:szCs w:val="20"/>
        </w:rPr>
        <w:drawing>
          <wp:anchor distT="0" distB="0" distL="114300" distR="114300" simplePos="0" relativeHeight="251652608" behindDoc="0" locked="0" layoutInCell="1" allowOverlap="1">
            <wp:simplePos x="0" y="0"/>
            <wp:positionH relativeFrom="column">
              <wp:posOffset>2082165</wp:posOffset>
            </wp:positionH>
            <wp:positionV relativeFrom="paragraph">
              <wp:posOffset>52705</wp:posOffset>
            </wp:positionV>
            <wp:extent cx="3725545" cy="2153285"/>
            <wp:effectExtent l="0" t="0" r="0" b="0"/>
            <wp:wrapSquare wrapText="bothSides"/>
            <wp:docPr id="15"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Pr>
          <w:noProof/>
        </w:rPr>
        <mc:AlternateContent>
          <mc:Choice Requires="wps">
            <w:drawing>
              <wp:anchor distT="0" distB="0" distL="114300" distR="114300" simplePos="0" relativeHeight="251667968" behindDoc="0" locked="0" layoutInCell="1" allowOverlap="1">
                <wp:simplePos x="0" y="0"/>
                <wp:positionH relativeFrom="column">
                  <wp:posOffset>2099945</wp:posOffset>
                </wp:positionH>
                <wp:positionV relativeFrom="paragraph">
                  <wp:posOffset>2056130</wp:posOffset>
                </wp:positionV>
                <wp:extent cx="3724275" cy="192405"/>
                <wp:effectExtent l="0" t="0" r="635" b="2540"/>
                <wp:wrapSquare wrapText="bothSides"/>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754B" w:rsidRPr="00B65A90" w:rsidRDefault="008F754B" w:rsidP="008F754B">
                            <w:pPr>
                              <w:pStyle w:val="Caption"/>
                              <w:rPr>
                                <w:rFonts w:ascii="Arial" w:hAnsi="Arial" w:cs="Arial"/>
                                <w:b w:val="0"/>
                                <w:noProof/>
                                <w:color w:val="auto"/>
                                <w:sz w:val="16"/>
                                <w:szCs w:val="16"/>
                                <w:lang w:val="en-US"/>
                              </w:rPr>
                            </w:pPr>
                            <w:proofErr w:type="gramStart"/>
                            <w:r w:rsidRPr="00E967EA">
                              <w:rPr>
                                <w:rFonts w:ascii="Arial" w:hAnsi="Arial" w:cs="Arial"/>
                                <w:b w:val="0"/>
                                <w:color w:val="auto"/>
                                <w:sz w:val="16"/>
                                <w:szCs w:val="16"/>
                                <w:lang w:val="en-US"/>
                              </w:rPr>
                              <w:t>Source :</w:t>
                            </w:r>
                            <w:proofErr w:type="gramEnd"/>
                            <w:r w:rsidRPr="00E967EA">
                              <w:rPr>
                                <w:rFonts w:ascii="Arial" w:hAnsi="Arial" w:cs="Arial"/>
                                <w:b w:val="0"/>
                                <w:color w:val="auto"/>
                                <w:sz w:val="16"/>
                                <w:szCs w:val="16"/>
                                <w:lang w:val="en-US"/>
                              </w:rPr>
                              <w:t xml:space="preserve"> OECD; PISA 2009,2012 Results; </w:t>
                            </w:r>
                            <w:proofErr w:type="spellStart"/>
                            <w:r w:rsidRPr="00E967EA">
                              <w:rPr>
                                <w:rFonts w:ascii="Arial" w:hAnsi="Arial" w:cs="Arial"/>
                                <w:b w:val="0"/>
                                <w:color w:val="auto"/>
                                <w:sz w:val="16"/>
                                <w:szCs w:val="16"/>
                                <w:lang w:val="en-US"/>
                              </w:rPr>
                              <w:t>Betam</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style="position:absolute;left:0;text-align:left;margin-left:165.35pt;margin-top:161.9pt;width:293.25pt;height:15.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" stroked="f">
                <v:textbox inset="0,0,0,0">
                  <w:txbxContent>
                    <w:p w:rsidR="008F754B" w:rsidRPr="00B65A90" w:rsidRDefault="008F754B" w:rsidP="008F754B">
                      <w:pPr>
                        <w:pStyle w:val="Caption"/>
                        <w:rPr>
                          <w:rFonts w:ascii="Arial" w:hAnsi="Arial" w:cs="Arial"/>
                          <w:b w:val="0"/>
                          <w:noProof/>
                          <w:color w:val="auto"/>
                          <w:sz w:val="16"/>
                          <w:szCs w:val="16"/>
                          <w:lang w:val="en-US"/>
                        </w:rPr>
                      </w:pPr>
                      <w:proofErr w:type="gramStart"/>
                      <w:r w:rsidRPr="00E967EA">
                        <w:rPr>
                          <w:rFonts w:ascii="Arial" w:hAnsi="Arial" w:cs="Arial"/>
                          <w:b w:val="0"/>
                          <w:color w:val="auto"/>
                          <w:sz w:val="16"/>
                          <w:szCs w:val="16"/>
                          <w:lang w:val="en-US"/>
                        </w:rPr>
                        <w:t>Source :</w:t>
                      </w:r>
                      <w:proofErr w:type="gramEnd"/>
                      <w:r w:rsidRPr="00E967EA">
                        <w:rPr>
                          <w:rFonts w:ascii="Arial" w:hAnsi="Arial" w:cs="Arial"/>
                          <w:b w:val="0"/>
                          <w:color w:val="auto"/>
                          <w:sz w:val="16"/>
                          <w:szCs w:val="16"/>
                          <w:lang w:val="en-US"/>
                        </w:rPr>
                        <w:t xml:space="preserve"> OECD; PISA 2009,2012 Results; </w:t>
                      </w:r>
                      <w:proofErr w:type="spellStart"/>
                      <w:r w:rsidRPr="00E967EA">
                        <w:rPr>
                          <w:rFonts w:ascii="Arial" w:hAnsi="Arial" w:cs="Arial"/>
                          <w:b w:val="0"/>
                          <w:color w:val="auto"/>
                          <w:sz w:val="16"/>
                          <w:szCs w:val="16"/>
                          <w:lang w:val="en-US"/>
                        </w:rPr>
                        <w:t>Betam</w:t>
                      </w:r>
                      <w:proofErr w:type="spellEnd"/>
                    </w:p>
                  </w:txbxContent>
                </v:textbox>
                <w10:wrap type="square"/>
              </v:shape>
            </w:pict>
          </mc:Fallback>
        </mc:AlternateContent>
      </w:r>
      <w:r w:rsidR="00060444" w:rsidRPr="00E967EA">
        <w:rPr>
          <w:rFonts w:ascii="Arial" w:hAnsi="Arial" w:cs="Arial"/>
          <w:sz w:val="20"/>
          <w:szCs w:val="20"/>
          <w:lang w:val="en-US"/>
        </w:rPr>
        <w:t xml:space="preserve">In the last three years average PISA score of "Village" schools </w:t>
      </w:r>
      <w:r w:rsidR="00273083" w:rsidRPr="00E967EA">
        <w:rPr>
          <w:rFonts w:ascii="Arial" w:hAnsi="Arial" w:cs="Arial"/>
          <w:sz w:val="20"/>
          <w:szCs w:val="20"/>
          <w:lang w:val="en-US"/>
        </w:rPr>
        <w:t>has increased from 353 to 481</w:t>
      </w:r>
      <w:r w:rsidR="002763D1" w:rsidRPr="00E967EA">
        <w:rPr>
          <w:rFonts w:ascii="Arial" w:hAnsi="Arial" w:cs="Arial"/>
          <w:sz w:val="20"/>
          <w:szCs w:val="20"/>
          <w:lang w:val="en-US"/>
        </w:rPr>
        <w:t xml:space="preserve"> points</w:t>
      </w:r>
      <w:r w:rsidR="00273083" w:rsidRPr="00E967EA">
        <w:rPr>
          <w:rFonts w:ascii="Arial" w:hAnsi="Arial" w:cs="Arial"/>
          <w:sz w:val="20"/>
          <w:szCs w:val="20"/>
          <w:lang w:val="en-US"/>
        </w:rPr>
        <w:t xml:space="preserve">. </w:t>
      </w:r>
      <w:r w:rsidR="009710C9" w:rsidRPr="00E967EA">
        <w:rPr>
          <w:rFonts w:ascii="Arial" w:hAnsi="Arial" w:cs="Arial"/>
          <w:sz w:val="20"/>
          <w:szCs w:val="20"/>
          <w:lang w:val="en-US"/>
        </w:rPr>
        <w:t>There was a large performance gap between students settled in villages and in other units of residence. However, in last three years this gap has closed and also, students in villages became the most successful students</w:t>
      </w:r>
      <w:r w:rsidR="0014550A" w:rsidRPr="00E967EA">
        <w:rPr>
          <w:rFonts w:ascii="Arial" w:hAnsi="Arial" w:cs="Arial"/>
          <w:sz w:val="20"/>
          <w:szCs w:val="20"/>
          <w:lang w:val="en-US"/>
        </w:rPr>
        <w:t xml:space="preserve"> (Figure 7). </w:t>
      </w:r>
      <w:r w:rsidR="00D230F9">
        <w:rPr>
          <w:rFonts w:ascii="Arial" w:hAnsi="Arial" w:cs="Arial"/>
          <w:sz w:val="20"/>
          <w:szCs w:val="20"/>
          <w:lang w:val="en-US"/>
        </w:rPr>
        <w:t>A</w:t>
      </w:r>
      <w:r w:rsidR="00D230F9" w:rsidRPr="00E967EA">
        <w:rPr>
          <w:rFonts w:ascii="Arial" w:hAnsi="Arial" w:cs="Arial"/>
          <w:sz w:val="20"/>
          <w:szCs w:val="20"/>
          <w:lang w:val="en-US"/>
        </w:rPr>
        <w:t xml:space="preserve">verage performance has risen in both towns and small towns </w:t>
      </w:r>
      <w:r w:rsidR="00D230F9">
        <w:rPr>
          <w:rFonts w:ascii="Arial" w:hAnsi="Arial" w:cs="Arial"/>
          <w:sz w:val="20"/>
          <w:szCs w:val="20"/>
          <w:lang w:val="en-US"/>
        </w:rPr>
        <w:t>e</w:t>
      </w:r>
      <w:r w:rsidR="0014550A" w:rsidRPr="00E967EA">
        <w:rPr>
          <w:rFonts w:ascii="Arial" w:hAnsi="Arial" w:cs="Arial"/>
          <w:sz w:val="20"/>
          <w:szCs w:val="20"/>
          <w:lang w:val="en-US"/>
        </w:rPr>
        <w:t>ven</w:t>
      </w:r>
      <w:r w:rsidR="00D230F9">
        <w:rPr>
          <w:rFonts w:ascii="Arial" w:hAnsi="Arial" w:cs="Arial"/>
          <w:sz w:val="20"/>
          <w:szCs w:val="20"/>
          <w:lang w:val="en-US"/>
        </w:rPr>
        <w:t xml:space="preserve"> though</w:t>
      </w:r>
      <w:r w:rsidR="0014550A" w:rsidRPr="00E967EA">
        <w:rPr>
          <w:rFonts w:ascii="Arial" w:hAnsi="Arial" w:cs="Arial"/>
          <w:sz w:val="20"/>
          <w:szCs w:val="20"/>
          <w:lang w:val="en-US"/>
        </w:rPr>
        <w:t xml:space="preserve"> the magnitude of increase is n</w:t>
      </w:r>
      <w:r w:rsidR="00D230F9">
        <w:rPr>
          <w:rFonts w:ascii="Arial" w:hAnsi="Arial" w:cs="Arial"/>
          <w:sz w:val="20"/>
          <w:szCs w:val="20"/>
          <w:lang w:val="en-US"/>
        </w:rPr>
        <w:t>ot as large as that in villages</w:t>
      </w:r>
      <w:r w:rsidR="0014550A" w:rsidRPr="00E967EA">
        <w:rPr>
          <w:rFonts w:ascii="Arial" w:hAnsi="Arial" w:cs="Arial"/>
          <w:sz w:val="20"/>
          <w:szCs w:val="20"/>
          <w:lang w:val="en-US"/>
        </w:rPr>
        <w:t xml:space="preserve"> (Figure 7). As a result of performance improvements, average PISA scores of students living in smaller units of residence </w:t>
      </w:r>
      <w:r w:rsidR="00E32A5F" w:rsidRPr="00E967EA">
        <w:rPr>
          <w:rFonts w:ascii="Arial" w:hAnsi="Arial" w:cs="Arial"/>
          <w:sz w:val="20"/>
          <w:szCs w:val="20"/>
          <w:lang w:val="en-US"/>
        </w:rPr>
        <w:t>have exceeded average performances in units of "City" and "Big City".  Moreover, there exists a decline (21 points) in average score</w:t>
      </w:r>
      <w:r w:rsidR="00927D9C">
        <w:rPr>
          <w:rFonts w:ascii="Arial" w:hAnsi="Arial" w:cs="Arial"/>
          <w:sz w:val="20"/>
          <w:szCs w:val="20"/>
          <w:lang w:val="en-US"/>
        </w:rPr>
        <w:t>s</w:t>
      </w:r>
      <w:r w:rsidR="00E32A5F" w:rsidRPr="00E967EA">
        <w:rPr>
          <w:rFonts w:ascii="Arial" w:hAnsi="Arial" w:cs="Arial"/>
          <w:sz w:val="20"/>
          <w:szCs w:val="20"/>
          <w:lang w:val="en-US"/>
        </w:rPr>
        <w:t xml:space="preserve"> of "City".  While performance is increasing in other units of residence, decrease in this category is striking. </w:t>
      </w:r>
    </w:p>
    <w:p w:rsidR="002C095C" w:rsidRPr="00E967EA" w:rsidRDefault="00E270F8" w:rsidP="002C095C">
      <w:pPr>
        <w:jc w:val="both"/>
        <w:rPr>
          <w:rFonts w:ascii="Arial" w:hAnsi="Arial" w:cs="Arial"/>
          <w:sz w:val="20"/>
          <w:szCs w:val="20"/>
          <w:lang w:val="en-US"/>
        </w:rPr>
      </w:pPr>
      <w:r>
        <w:rPr>
          <w:noProof/>
        </w:rPr>
        <mc:AlternateContent>
          <mc:Choice Requires="wps">
            <w:drawing>
              <wp:anchor distT="0" distB="0" distL="114300" distR="114300" simplePos="0" relativeHeight="251673088" behindDoc="0" locked="0" layoutInCell="1" allowOverlap="1">
                <wp:simplePos x="0" y="0"/>
                <wp:positionH relativeFrom="column">
                  <wp:posOffset>2501900</wp:posOffset>
                </wp:positionH>
                <wp:positionV relativeFrom="paragraph">
                  <wp:posOffset>1617980</wp:posOffset>
                </wp:positionV>
                <wp:extent cx="3486150" cy="243840"/>
                <wp:effectExtent l="1270" t="3810" r="0" b="0"/>
                <wp:wrapSquare wrapText="bothSides"/>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095C" w:rsidRPr="00E967EA" w:rsidRDefault="002C095C" w:rsidP="002C095C">
                            <w:pPr>
                              <w:pStyle w:val="Caption"/>
                              <w:rPr>
                                <w:rFonts w:ascii="Arial" w:hAnsi="Arial" w:cs="Arial"/>
                                <w:b w:val="0"/>
                                <w:color w:val="auto"/>
                                <w:sz w:val="16"/>
                                <w:szCs w:val="16"/>
                                <w:lang w:val="en-US"/>
                              </w:rPr>
                            </w:pPr>
                            <w:r w:rsidRPr="00E967EA">
                              <w:rPr>
                                <w:rFonts w:ascii="Arial" w:hAnsi="Arial" w:cs="Arial"/>
                                <w:b w:val="0"/>
                                <w:color w:val="auto"/>
                                <w:sz w:val="16"/>
                                <w:szCs w:val="16"/>
                                <w:lang w:val="en-US"/>
                              </w:rPr>
                              <w:t>Source: OECD; PISA 2009</w:t>
                            </w:r>
                            <w:proofErr w:type="gramStart"/>
                            <w:r w:rsidRPr="00E967EA">
                              <w:rPr>
                                <w:rFonts w:ascii="Arial" w:hAnsi="Arial" w:cs="Arial"/>
                                <w:b w:val="0"/>
                                <w:color w:val="auto"/>
                                <w:sz w:val="16"/>
                                <w:szCs w:val="16"/>
                                <w:lang w:val="en-US"/>
                              </w:rPr>
                              <w:t>,2012</w:t>
                            </w:r>
                            <w:proofErr w:type="gramEnd"/>
                            <w:r w:rsidRPr="00E967EA">
                              <w:rPr>
                                <w:rFonts w:ascii="Arial" w:hAnsi="Arial" w:cs="Arial"/>
                                <w:b w:val="0"/>
                                <w:color w:val="auto"/>
                                <w:sz w:val="16"/>
                                <w:szCs w:val="16"/>
                                <w:lang w:val="en-US"/>
                              </w:rPr>
                              <w:t xml:space="preserve"> Results; </w:t>
                            </w:r>
                            <w:proofErr w:type="spellStart"/>
                            <w:r w:rsidRPr="00E967EA">
                              <w:rPr>
                                <w:rFonts w:ascii="Arial" w:hAnsi="Arial" w:cs="Arial"/>
                                <w:b w:val="0"/>
                                <w:color w:val="auto"/>
                                <w:sz w:val="16"/>
                                <w:szCs w:val="16"/>
                                <w:lang w:val="en-US"/>
                              </w:rPr>
                              <w:t>Betam</w:t>
                            </w:r>
                            <w:proofErr w:type="spellEnd"/>
                            <w:r w:rsidRPr="00E967EA">
                              <w:rPr>
                                <w:rFonts w:ascii="Arial" w:hAnsi="Arial" w:cs="Arial"/>
                                <w:b w:val="0"/>
                                <w:color w:val="auto"/>
                                <w:sz w:val="16"/>
                                <w:szCs w:val="16"/>
                                <w:lang w:val="en-US"/>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41" type="#_x0000_t202" style="position:absolute;left:0;text-align:left;margin-left:197pt;margin-top:127.4pt;width:274.5pt;height:19.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" stroked="f">
                <v:textbox style="mso-fit-shape-to-text:t" inset="0,0,0,0">
                  <w:txbxContent>
                    <w:p w:rsidR="002C095C" w:rsidRPr="00E967EA" w:rsidRDefault="002C095C" w:rsidP="002C095C">
                      <w:pPr>
                        <w:pStyle w:val="Caption"/>
                        <w:rPr>
                          <w:rFonts w:ascii="Arial" w:hAnsi="Arial" w:cs="Arial"/>
                          <w:b w:val="0"/>
                          <w:color w:val="auto"/>
                          <w:sz w:val="16"/>
                          <w:szCs w:val="16"/>
                          <w:lang w:val="en-US"/>
                        </w:rPr>
                      </w:pPr>
                      <w:r w:rsidRPr="00E967EA">
                        <w:rPr>
                          <w:rFonts w:ascii="Arial" w:hAnsi="Arial" w:cs="Arial"/>
                          <w:b w:val="0"/>
                          <w:color w:val="auto"/>
                          <w:sz w:val="16"/>
                          <w:szCs w:val="16"/>
                          <w:lang w:val="en-US"/>
                        </w:rPr>
                        <w:t>Source: OECD; PISA 2009</w:t>
                      </w:r>
                      <w:proofErr w:type="gramStart"/>
                      <w:r w:rsidRPr="00E967EA">
                        <w:rPr>
                          <w:rFonts w:ascii="Arial" w:hAnsi="Arial" w:cs="Arial"/>
                          <w:b w:val="0"/>
                          <w:color w:val="auto"/>
                          <w:sz w:val="16"/>
                          <w:szCs w:val="16"/>
                          <w:lang w:val="en-US"/>
                        </w:rPr>
                        <w:t>,2012</w:t>
                      </w:r>
                      <w:proofErr w:type="gramEnd"/>
                      <w:r w:rsidRPr="00E967EA">
                        <w:rPr>
                          <w:rFonts w:ascii="Arial" w:hAnsi="Arial" w:cs="Arial"/>
                          <w:b w:val="0"/>
                          <w:color w:val="auto"/>
                          <w:sz w:val="16"/>
                          <w:szCs w:val="16"/>
                          <w:lang w:val="en-US"/>
                        </w:rPr>
                        <w:t xml:space="preserve"> Results; </w:t>
                      </w:r>
                      <w:proofErr w:type="spellStart"/>
                      <w:r w:rsidRPr="00E967EA">
                        <w:rPr>
                          <w:rFonts w:ascii="Arial" w:hAnsi="Arial" w:cs="Arial"/>
                          <w:b w:val="0"/>
                          <w:color w:val="auto"/>
                          <w:sz w:val="16"/>
                          <w:szCs w:val="16"/>
                          <w:lang w:val="en-US"/>
                        </w:rPr>
                        <w:t>Betam</w:t>
                      </w:r>
                      <w:proofErr w:type="spellEnd"/>
                      <w:r w:rsidRPr="00E967EA">
                        <w:rPr>
                          <w:rFonts w:ascii="Arial" w:hAnsi="Arial" w:cs="Arial"/>
                          <w:b w:val="0"/>
                          <w:color w:val="auto"/>
                          <w:sz w:val="16"/>
                          <w:szCs w:val="16"/>
                          <w:lang w:val="en-US"/>
                        </w:rPr>
                        <w:t xml:space="preserve"> </w:t>
                      </w:r>
                    </w:p>
                  </w:txbxContent>
                </v:textbox>
                <w10:wrap type="square"/>
              </v:shape>
            </w:pict>
          </mc:Fallback>
        </mc:AlternateContent>
      </w:r>
      <w:r w:rsidR="00E32A5F" w:rsidRPr="00E967EA">
        <w:rPr>
          <w:rFonts w:ascii="Arial" w:hAnsi="Arial" w:cs="Arial"/>
          <w:sz w:val="20"/>
          <w:szCs w:val="20"/>
          <w:lang w:val="en-US"/>
        </w:rPr>
        <w:t xml:space="preserve">From 2009 to 2012 Turkey's average </w:t>
      </w:r>
      <w:r w:rsidR="002C095C" w:rsidRPr="00E967EA">
        <w:rPr>
          <w:rFonts w:ascii="Arial" w:hAnsi="Arial" w:cs="Arial"/>
          <w:sz w:val="20"/>
          <w:szCs w:val="20"/>
          <w:lang w:val="en-US"/>
        </w:rPr>
        <w:t>PISA score has risen from 454 to 462 points. When this increase (8 points) is differentiated by school location, contribution of "Villages" is about 4 points, contr</w:t>
      </w:r>
      <w:r w:rsidR="00054ACB">
        <w:rPr>
          <w:rFonts w:ascii="Arial" w:hAnsi="Arial" w:cs="Arial"/>
          <w:sz w:val="20"/>
          <w:szCs w:val="20"/>
          <w:lang w:val="en-US"/>
        </w:rPr>
        <w:t>ibutions of "Small towns" and "</w:t>
      </w:r>
      <w:r w:rsidR="002C095C" w:rsidRPr="00E967EA">
        <w:rPr>
          <w:rFonts w:ascii="Arial" w:hAnsi="Arial" w:cs="Arial"/>
          <w:sz w:val="20"/>
          <w:szCs w:val="20"/>
          <w:lang w:val="en-US"/>
        </w:rPr>
        <w:t xml:space="preserve">Towns" are about 3 points (6 points in total), and contribution of 4 points is coming from "Big Cities". On the other hand, 6 points decline observed in "Cities" contributed negatively (Figure 8). </w:t>
      </w:r>
      <w:r w:rsidR="00D93C49" w:rsidRPr="00E967EA">
        <w:rPr>
          <w:rFonts w:ascii="Arial" w:hAnsi="Arial" w:cs="Arial"/>
          <w:sz w:val="20"/>
          <w:szCs w:val="20"/>
          <w:lang w:val="en-US"/>
        </w:rPr>
        <w:t>Especially large</w:t>
      </w:r>
      <w:r w:rsidR="00E967EA" w:rsidRPr="00E967EA">
        <w:rPr>
          <w:rFonts w:ascii="Arial" w:hAnsi="Arial" w:cs="Arial"/>
          <w:sz w:val="20"/>
          <w:szCs w:val="20"/>
          <w:lang w:val="en-US"/>
        </w:rPr>
        <w:t xml:space="preserve"> performance improvement</w:t>
      </w:r>
      <w:r w:rsidR="00D93C49" w:rsidRPr="00E967EA">
        <w:rPr>
          <w:rFonts w:ascii="Arial" w:hAnsi="Arial" w:cs="Arial"/>
          <w:sz w:val="20"/>
          <w:szCs w:val="20"/>
          <w:lang w:val="en-US"/>
        </w:rPr>
        <w:t xml:space="preserve"> in </w:t>
      </w:r>
      <w:r w:rsidR="00E967EA" w:rsidRPr="00E967EA">
        <w:rPr>
          <w:rFonts w:ascii="Arial" w:hAnsi="Arial" w:cs="Arial"/>
          <w:sz w:val="20"/>
          <w:szCs w:val="20"/>
          <w:lang w:val="en-US"/>
        </w:rPr>
        <w:t xml:space="preserve">"villages" and "small towns" is </w:t>
      </w:r>
      <w:r w:rsidR="00B551A0">
        <w:rPr>
          <w:rFonts w:ascii="Arial" w:hAnsi="Arial" w:cs="Arial"/>
          <w:sz w:val="20"/>
          <w:szCs w:val="20"/>
          <w:lang w:val="en-US"/>
        </w:rPr>
        <w:t xml:space="preserve">an </w:t>
      </w:r>
      <w:r w:rsidR="00E967EA" w:rsidRPr="00E967EA">
        <w:rPr>
          <w:rFonts w:ascii="Arial" w:hAnsi="Arial" w:cs="Arial"/>
          <w:sz w:val="20"/>
          <w:szCs w:val="20"/>
          <w:lang w:val="en-US"/>
        </w:rPr>
        <w:t xml:space="preserve">unexpected progress and needs to be explained carefully. </w:t>
      </w:r>
    </w:p>
    <w:p w:rsidR="0044223B" w:rsidRPr="00E967EA" w:rsidRDefault="00480357" w:rsidP="00480357">
      <w:pPr>
        <w:rPr>
          <w:rFonts w:ascii="Arial" w:hAnsi="Arial" w:cs="Arial"/>
          <w:b/>
          <w:lang w:val="en-US"/>
        </w:rPr>
      </w:pPr>
      <w:r w:rsidRPr="00E967EA">
        <w:rPr>
          <w:rFonts w:ascii="Arial" w:hAnsi="Arial" w:cs="Arial"/>
          <w:b/>
          <w:lang w:val="en-US"/>
        </w:rPr>
        <w:lastRenderedPageBreak/>
        <w:t>Appendix</w:t>
      </w:r>
    </w:p>
    <w:p w:rsidR="0044223B" w:rsidRPr="00E967EA" w:rsidRDefault="0044223B" w:rsidP="0044223B">
      <w:pPr>
        <w:pStyle w:val="Caption"/>
        <w:keepNext/>
        <w:rPr>
          <w:rFonts w:ascii="Arial" w:hAnsi="Arial" w:cs="Arial"/>
          <w:color w:val="auto"/>
          <w:sz w:val="20"/>
          <w:szCs w:val="20"/>
          <w:lang w:val="en-US"/>
        </w:rPr>
      </w:pPr>
      <w:r w:rsidRPr="00E967EA">
        <w:rPr>
          <w:rFonts w:ascii="Arial" w:hAnsi="Arial" w:cs="Arial"/>
          <w:color w:val="auto"/>
          <w:sz w:val="20"/>
          <w:szCs w:val="20"/>
          <w:lang w:val="en-US"/>
        </w:rPr>
        <w:t xml:space="preserve"> Table </w:t>
      </w:r>
      <w:r w:rsidR="008504A7" w:rsidRPr="00E967EA">
        <w:rPr>
          <w:rFonts w:ascii="Arial" w:hAnsi="Arial" w:cs="Arial"/>
          <w:color w:val="auto"/>
          <w:sz w:val="20"/>
          <w:szCs w:val="20"/>
          <w:lang w:val="en-US"/>
        </w:rPr>
        <w:fldChar w:fldCharType="begin"/>
      </w:r>
      <w:r w:rsidRPr="00E967EA">
        <w:rPr>
          <w:rFonts w:ascii="Arial" w:hAnsi="Arial" w:cs="Arial"/>
          <w:color w:val="auto"/>
          <w:sz w:val="20"/>
          <w:szCs w:val="20"/>
          <w:lang w:val="en-US"/>
        </w:rPr>
        <w:instrText xml:space="preserve"> SEQ Tablo \* ARABIC </w:instrText>
      </w:r>
      <w:r w:rsidR="008504A7" w:rsidRPr="00E967EA">
        <w:rPr>
          <w:rFonts w:ascii="Arial" w:hAnsi="Arial" w:cs="Arial"/>
          <w:color w:val="auto"/>
          <w:sz w:val="20"/>
          <w:szCs w:val="20"/>
          <w:lang w:val="en-US"/>
        </w:rPr>
        <w:fldChar w:fldCharType="separate"/>
      </w:r>
      <w:r w:rsidR="001E20CD">
        <w:rPr>
          <w:rFonts w:ascii="Arial" w:hAnsi="Arial" w:cs="Arial"/>
          <w:noProof/>
          <w:color w:val="auto"/>
          <w:sz w:val="20"/>
          <w:szCs w:val="20"/>
          <w:lang w:val="en-US"/>
        </w:rPr>
        <w:t>1</w:t>
      </w:r>
      <w:r w:rsidR="008504A7" w:rsidRPr="00E967EA">
        <w:rPr>
          <w:rFonts w:ascii="Arial" w:hAnsi="Arial" w:cs="Arial"/>
          <w:color w:val="auto"/>
          <w:sz w:val="20"/>
          <w:szCs w:val="20"/>
          <w:lang w:val="en-US"/>
        </w:rPr>
        <w:fldChar w:fldCharType="end"/>
      </w:r>
      <w:r w:rsidRPr="00E967EA">
        <w:rPr>
          <w:rFonts w:ascii="Arial" w:hAnsi="Arial" w:cs="Arial"/>
          <w:color w:val="auto"/>
          <w:sz w:val="20"/>
          <w:szCs w:val="20"/>
          <w:lang w:val="en-US"/>
        </w:rPr>
        <w:t xml:space="preserve">: </w:t>
      </w:r>
      <w:r w:rsidR="00642D82" w:rsidRPr="00E967EA">
        <w:rPr>
          <w:rFonts w:ascii="Arial" w:hAnsi="Arial" w:cs="Arial"/>
          <w:color w:val="auto"/>
          <w:sz w:val="20"/>
          <w:szCs w:val="20"/>
          <w:lang w:val="en-US"/>
        </w:rPr>
        <w:t>Percentages of students below level 2 and at level 5 or above by proficiency levels</w:t>
      </w:r>
    </w:p>
    <w:tbl>
      <w:tblPr>
        <w:tblW w:w="9140" w:type="dxa"/>
        <w:tblInd w:w="55" w:type="dxa"/>
        <w:tblCellMar>
          <w:left w:w="70" w:type="dxa"/>
          <w:right w:w="70" w:type="dxa"/>
        </w:tblCellMar>
        <w:tblLook w:val="04A0" w:firstRow="1" w:lastRow="0" w:firstColumn="1" w:lastColumn="0" w:noHBand="0" w:noVBand="1"/>
      </w:tblPr>
      <w:tblGrid>
        <w:gridCol w:w="961"/>
        <w:gridCol w:w="960"/>
        <w:gridCol w:w="1352"/>
        <w:gridCol w:w="993"/>
        <w:gridCol w:w="1253"/>
        <w:gridCol w:w="1352"/>
        <w:gridCol w:w="993"/>
        <w:gridCol w:w="1276"/>
      </w:tblGrid>
      <w:tr w:rsidR="0044223B" w:rsidRPr="00E967EA" w:rsidTr="00642D82">
        <w:trPr>
          <w:trHeight w:val="300"/>
        </w:trPr>
        <w:tc>
          <w:tcPr>
            <w:tcW w:w="961" w:type="dxa"/>
            <w:tcBorders>
              <w:top w:val="single" w:sz="4" w:space="0" w:color="auto"/>
              <w:left w:val="nil"/>
              <w:bottom w:val="single" w:sz="4" w:space="0" w:color="auto"/>
              <w:right w:val="nil"/>
            </w:tcBorders>
            <w:shd w:val="clear" w:color="auto" w:fill="auto"/>
            <w:noWrap/>
            <w:vAlign w:val="bottom"/>
            <w:hideMark/>
          </w:tcPr>
          <w:p w:rsidR="0044223B" w:rsidRPr="00E967EA" w:rsidRDefault="0044223B" w:rsidP="007B0995">
            <w:pPr>
              <w:spacing w:after="0" w:line="240" w:lineRule="auto"/>
              <w:rPr>
                <w:rFonts w:ascii="Arial" w:eastAsia="Times New Roman" w:hAnsi="Arial" w:cs="Arial"/>
                <w:color w:val="000000"/>
                <w:sz w:val="20"/>
                <w:szCs w:val="20"/>
                <w:lang w:val="en-US"/>
              </w:rPr>
            </w:pPr>
            <w:r w:rsidRPr="00E967EA">
              <w:rPr>
                <w:rFonts w:ascii="Arial" w:eastAsia="Times New Roman" w:hAnsi="Arial" w:cs="Arial"/>
                <w:color w:val="000000"/>
                <w:sz w:val="20"/>
                <w:szCs w:val="20"/>
                <w:lang w:val="en-US"/>
              </w:rPr>
              <w:t> </w:t>
            </w:r>
          </w:p>
        </w:tc>
        <w:tc>
          <w:tcPr>
            <w:tcW w:w="960" w:type="dxa"/>
            <w:tcBorders>
              <w:top w:val="single" w:sz="4" w:space="0" w:color="auto"/>
              <w:left w:val="nil"/>
              <w:bottom w:val="single" w:sz="4" w:space="0" w:color="auto"/>
              <w:right w:val="nil"/>
            </w:tcBorders>
            <w:shd w:val="clear" w:color="auto" w:fill="auto"/>
            <w:hideMark/>
          </w:tcPr>
          <w:p w:rsidR="0044223B" w:rsidRPr="00E967EA" w:rsidRDefault="0044223B" w:rsidP="00642D82">
            <w:pPr>
              <w:spacing w:after="0" w:line="240" w:lineRule="auto"/>
              <w:jc w:val="center"/>
              <w:rPr>
                <w:rFonts w:ascii="Arial" w:eastAsia="Times New Roman" w:hAnsi="Arial" w:cs="Arial"/>
                <w:color w:val="000000"/>
                <w:sz w:val="20"/>
                <w:szCs w:val="20"/>
                <w:lang w:val="en-US"/>
              </w:rPr>
            </w:pPr>
          </w:p>
        </w:tc>
        <w:tc>
          <w:tcPr>
            <w:tcW w:w="3592" w:type="dxa"/>
            <w:gridSpan w:val="3"/>
            <w:tcBorders>
              <w:top w:val="single" w:sz="4" w:space="0" w:color="auto"/>
              <w:left w:val="nil"/>
              <w:bottom w:val="single" w:sz="4" w:space="0" w:color="auto"/>
              <w:right w:val="nil"/>
            </w:tcBorders>
            <w:shd w:val="clear" w:color="auto" w:fill="auto"/>
            <w:hideMark/>
          </w:tcPr>
          <w:p w:rsidR="00642D82" w:rsidRPr="00E967EA" w:rsidRDefault="00642D82" w:rsidP="00642D82">
            <w:pPr>
              <w:spacing w:after="0" w:line="240" w:lineRule="auto"/>
              <w:jc w:val="center"/>
              <w:rPr>
                <w:rFonts w:ascii="Arial" w:eastAsia="Times New Roman" w:hAnsi="Arial" w:cs="Arial"/>
                <w:b/>
                <w:bCs/>
                <w:color w:val="000000"/>
                <w:sz w:val="20"/>
                <w:szCs w:val="20"/>
                <w:lang w:val="en-US"/>
              </w:rPr>
            </w:pPr>
            <w:r w:rsidRPr="00E967EA">
              <w:rPr>
                <w:rFonts w:ascii="Arial" w:eastAsia="Times New Roman" w:hAnsi="Arial" w:cs="Arial"/>
                <w:b/>
                <w:bCs/>
                <w:color w:val="000000"/>
                <w:sz w:val="20"/>
                <w:szCs w:val="20"/>
                <w:lang w:val="en-US"/>
              </w:rPr>
              <w:t>Percentage of students</w:t>
            </w:r>
          </w:p>
          <w:p w:rsidR="0044223B" w:rsidRPr="00E967EA" w:rsidRDefault="00642D82" w:rsidP="00642D82">
            <w:pPr>
              <w:spacing w:after="0" w:line="240" w:lineRule="auto"/>
              <w:jc w:val="center"/>
              <w:rPr>
                <w:rFonts w:ascii="Arial" w:eastAsia="Times New Roman" w:hAnsi="Arial" w:cs="Arial"/>
                <w:b/>
                <w:bCs/>
                <w:color w:val="000000"/>
                <w:sz w:val="20"/>
                <w:szCs w:val="20"/>
                <w:lang w:val="en-US"/>
              </w:rPr>
            </w:pPr>
            <w:r w:rsidRPr="00E967EA">
              <w:rPr>
                <w:rFonts w:ascii="Arial" w:eastAsia="Times New Roman" w:hAnsi="Arial" w:cs="Arial"/>
                <w:b/>
                <w:bCs/>
                <w:color w:val="000000"/>
                <w:sz w:val="20"/>
                <w:szCs w:val="20"/>
                <w:lang w:val="en-US"/>
              </w:rPr>
              <w:t>below level 2</w:t>
            </w:r>
          </w:p>
        </w:tc>
        <w:tc>
          <w:tcPr>
            <w:tcW w:w="3627" w:type="dxa"/>
            <w:gridSpan w:val="3"/>
            <w:tcBorders>
              <w:top w:val="single" w:sz="4" w:space="0" w:color="auto"/>
              <w:left w:val="nil"/>
              <w:bottom w:val="single" w:sz="4" w:space="0" w:color="auto"/>
              <w:right w:val="nil"/>
            </w:tcBorders>
            <w:shd w:val="clear" w:color="auto" w:fill="auto"/>
            <w:hideMark/>
          </w:tcPr>
          <w:p w:rsidR="0044223B" w:rsidRPr="00E967EA" w:rsidRDefault="00642D82" w:rsidP="00642D82">
            <w:pPr>
              <w:spacing w:after="0" w:line="240" w:lineRule="auto"/>
              <w:jc w:val="center"/>
              <w:rPr>
                <w:rFonts w:ascii="Arial" w:eastAsia="Times New Roman" w:hAnsi="Arial" w:cs="Arial"/>
                <w:b/>
                <w:bCs/>
                <w:color w:val="000000"/>
                <w:sz w:val="20"/>
                <w:szCs w:val="20"/>
                <w:lang w:val="en-US"/>
              </w:rPr>
            </w:pPr>
            <w:r w:rsidRPr="00E967EA">
              <w:rPr>
                <w:rFonts w:ascii="Arial" w:eastAsia="Times New Roman" w:hAnsi="Arial" w:cs="Arial"/>
                <w:b/>
                <w:bCs/>
                <w:color w:val="000000"/>
                <w:sz w:val="20"/>
                <w:szCs w:val="20"/>
                <w:lang w:val="en-US"/>
              </w:rPr>
              <w:t>Percentage of students at level 5 or above</w:t>
            </w:r>
          </w:p>
        </w:tc>
      </w:tr>
      <w:tr w:rsidR="00642D82" w:rsidRPr="00E967EA" w:rsidTr="00642D82">
        <w:trPr>
          <w:trHeight w:val="525"/>
        </w:trPr>
        <w:tc>
          <w:tcPr>
            <w:tcW w:w="961" w:type="dxa"/>
            <w:tcBorders>
              <w:top w:val="nil"/>
              <w:left w:val="nil"/>
              <w:bottom w:val="single" w:sz="4" w:space="0" w:color="auto"/>
              <w:right w:val="nil"/>
            </w:tcBorders>
            <w:shd w:val="clear" w:color="auto" w:fill="auto"/>
            <w:noWrap/>
            <w:vAlign w:val="bottom"/>
            <w:hideMark/>
          </w:tcPr>
          <w:p w:rsidR="0044223B" w:rsidRPr="00E967EA" w:rsidRDefault="0044223B" w:rsidP="007B0995">
            <w:pPr>
              <w:spacing w:after="0" w:line="240" w:lineRule="auto"/>
              <w:rPr>
                <w:rFonts w:ascii="Arial" w:eastAsia="Times New Roman" w:hAnsi="Arial" w:cs="Arial"/>
                <w:b/>
                <w:bCs/>
                <w:color w:val="000000"/>
                <w:sz w:val="20"/>
                <w:szCs w:val="20"/>
                <w:lang w:val="en-US"/>
              </w:rPr>
            </w:pPr>
            <w:r w:rsidRPr="00E967EA">
              <w:rPr>
                <w:rFonts w:ascii="Arial" w:eastAsia="Times New Roman" w:hAnsi="Arial" w:cs="Arial"/>
                <w:b/>
                <w:bCs/>
                <w:color w:val="000000"/>
                <w:sz w:val="20"/>
                <w:szCs w:val="20"/>
                <w:lang w:val="en-US"/>
              </w:rPr>
              <w:t> </w:t>
            </w:r>
          </w:p>
        </w:tc>
        <w:tc>
          <w:tcPr>
            <w:tcW w:w="960" w:type="dxa"/>
            <w:tcBorders>
              <w:top w:val="nil"/>
              <w:left w:val="nil"/>
              <w:bottom w:val="single" w:sz="4" w:space="0" w:color="auto"/>
              <w:right w:val="nil"/>
            </w:tcBorders>
            <w:shd w:val="clear" w:color="auto" w:fill="auto"/>
            <w:noWrap/>
            <w:vAlign w:val="bottom"/>
            <w:hideMark/>
          </w:tcPr>
          <w:p w:rsidR="0044223B" w:rsidRPr="00E967EA" w:rsidRDefault="0044223B" w:rsidP="007B0995">
            <w:pPr>
              <w:spacing w:after="0" w:line="240" w:lineRule="auto"/>
              <w:rPr>
                <w:rFonts w:ascii="Arial" w:eastAsia="Times New Roman" w:hAnsi="Arial" w:cs="Arial"/>
                <w:b/>
                <w:bCs/>
                <w:color w:val="000000"/>
                <w:sz w:val="20"/>
                <w:szCs w:val="20"/>
                <w:lang w:val="en-US"/>
              </w:rPr>
            </w:pPr>
            <w:r w:rsidRPr="00E967EA">
              <w:rPr>
                <w:rFonts w:ascii="Arial" w:eastAsia="Times New Roman" w:hAnsi="Arial" w:cs="Arial"/>
                <w:b/>
                <w:bCs/>
                <w:color w:val="000000"/>
                <w:sz w:val="20"/>
                <w:szCs w:val="20"/>
                <w:lang w:val="en-US"/>
              </w:rPr>
              <w:t> </w:t>
            </w:r>
          </w:p>
        </w:tc>
        <w:tc>
          <w:tcPr>
            <w:tcW w:w="1119" w:type="dxa"/>
            <w:tcBorders>
              <w:top w:val="nil"/>
              <w:left w:val="nil"/>
              <w:bottom w:val="single" w:sz="4" w:space="0" w:color="auto"/>
              <w:right w:val="nil"/>
            </w:tcBorders>
            <w:shd w:val="clear" w:color="auto" w:fill="auto"/>
            <w:vAlign w:val="bottom"/>
            <w:hideMark/>
          </w:tcPr>
          <w:p w:rsidR="0044223B" w:rsidRPr="00E967EA" w:rsidRDefault="00642D82" w:rsidP="007B0995">
            <w:pPr>
              <w:spacing w:after="0" w:line="240" w:lineRule="auto"/>
              <w:jc w:val="center"/>
              <w:rPr>
                <w:rFonts w:ascii="Arial" w:eastAsia="Times New Roman" w:hAnsi="Arial" w:cs="Arial"/>
                <w:b/>
                <w:bCs/>
                <w:color w:val="000000"/>
                <w:sz w:val="20"/>
                <w:szCs w:val="20"/>
                <w:lang w:val="en-US"/>
              </w:rPr>
            </w:pPr>
            <w:r w:rsidRPr="00E967EA">
              <w:rPr>
                <w:rFonts w:ascii="Arial" w:eastAsia="Times New Roman" w:hAnsi="Arial" w:cs="Arial"/>
                <w:b/>
                <w:bCs/>
                <w:color w:val="000000"/>
                <w:sz w:val="20"/>
                <w:szCs w:val="20"/>
                <w:lang w:val="en-US"/>
              </w:rPr>
              <w:t>Mathematics</w:t>
            </w:r>
          </w:p>
        </w:tc>
        <w:tc>
          <w:tcPr>
            <w:tcW w:w="1027" w:type="dxa"/>
            <w:tcBorders>
              <w:top w:val="nil"/>
              <w:left w:val="nil"/>
              <w:bottom w:val="single" w:sz="4" w:space="0" w:color="auto"/>
              <w:right w:val="nil"/>
            </w:tcBorders>
            <w:shd w:val="clear" w:color="auto" w:fill="auto"/>
            <w:vAlign w:val="bottom"/>
            <w:hideMark/>
          </w:tcPr>
          <w:p w:rsidR="0044223B" w:rsidRPr="00E967EA" w:rsidRDefault="00642D82" w:rsidP="007B0995">
            <w:pPr>
              <w:spacing w:after="0" w:line="240" w:lineRule="auto"/>
              <w:jc w:val="center"/>
              <w:rPr>
                <w:rFonts w:ascii="Arial" w:eastAsia="Times New Roman" w:hAnsi="Arial" w:cs="Arial"/>
                <w:b/>
                <w:bCs/>
                <w:color w:val="000000"/>
                <w:sz w:val="20"/>
                <w:szCs w:val="20"/>
                <w:lang w:val="en-US"/>
              </w:rPr>
            </w:pPr>
            <w:r w:rsidRPr="00E967EA">
              <w:rPr>
                <w:rFonts w:ascii="Arial" w:eastAsia="Times New Roman" w:hAnsi="Arial" w:cs="Arial"/>
                <w:b/>
                <w:bCs/>
                <w:color w:val="000000"/>
                <w:sz w:val="20"/>
                <w:szCs w:val="20"/>
                <w:lang w:val="en-US"/>
              </w:rPr>
              <w:t>Reading</w:t>
            </w:r>
          </w:p>
        </w:tc>
        <w:tc>
          <w:tcPr>
            <w:tcW w:w="1446" w:type="dxa"/>
            <w:tcBorders>
              <w:top w:val="nil"/>
              <w:left w:val="nil"/>
              <w:bottom w:val="single" w:sz="4" w:space="0" w:color="auto"/>
              <w:right w:val="nil"/>
            </w:tcBorders>
            <w:shd w:val="clear" w:color="auto" w:fill="auto"/>
            <w:vAlign w:val="bottom"/>
            <w:hideMark/>
          </w:tcPr>
          <w:p w:rsidR="0044223B" w:rsidRPr="00E967EA" w:rsidRDefault="00642D82" w:rsidP="007B0995">
            <w:pPr>
              <w:spacing w:after="0" w:line="240" w:lineRule="auto"/>
              <w:jc w:val="center"/>
              <w:rPr>
                <w:rFonts w:ascii="Arial" w:eastAsia="Times New Roman" w:hAnsi="Arial" w:cs="Arial"/>
                <w:b/>
                <w:bCs/>
                <w:color w:val="000000"/>
                <w:sz w:val="20"/>
                <w:szCs w:val="20"/>
                <w:lang w:val="en-US"/>
              </w:rPr>
            </w:pPr>
            <w:r w:rsidRPr="00E967EA">
              <w:rPr>
                <w:rFonts w:ascii="Arial" w:eastAsia="Times New Roman" w:hAnsi="Arial" w:cs="Arial"/>
                <w:b/>
                <w:bCs/>
                <w:color w:val="000000"/>
                <w:sz w:val="20"/>
                <w:szCs w:val="20"/>
                <w:lang w:val="en-US"/>
              </w:rPr>
              <w:t>Science</w:t>
            </w:r>
          </w:p>
        </w:tc>
        <w:tc>
          <w:tcPr>
            <w:tcW w:w="1119" w:type="dxa"/>
            <w:tcBorders>
              <w:top w:val="nil"/>
              <w:left w:val="nil"/>
              <w:bottom w:val="single" w:sz="4" w:space="0" w:color="auto"/>
              <w:right w:val="nil"/>
            </w:tcBorders>
            <w:shd w:val="clear" w:color="auto" w:fill="auto"/>
            <w:vAlign w:val="bottom"/>
            <w:hideMark/>
          </w:tcPr>
          <w:p w:rsidR="0044223B" w:rsidRPr="00E967EA" w:rsidRDefault="00642D82" w:rsidP="007B0995">
            <w:pPr>
              <w:spacing w:after="0" w:line="240" w:lineRule="auto"/>
              <w:jc w:val="center"/>
              <w:rPr>
                <w:rFonts w:ascii="Arial" w:eastAsia="Times New Roman" w:hAnsi="Arial" w:cs="Arial"/>
                <w:b/>
                <w:bCs/>
                <w:color w:val="000000"/>
                <w:sz w:val="20"/>
                <w:szCs w:val="20"/>
                <w:lang w:val="en-US"/>
              </w:rPr>
            </w:pPr>
            <w:r w:rsidRPr="00E967EA">
              <w:rPr>
                <w:rFonts w:ascii="Arial" w:eastAsia="Times New Roman" w:hAnsi="Arial" w:cs="Arial"/>
                <w:b/>
                <w:bCs/>
                <w:color w:val="000000"/>
                <w:sz w:val="20"/>
                <w:szCs w:val="20"/>
                <w:lang w:val="en-US"/>
              </w:rPr>
              <w:t>Mathematics</w:t>
            </w:r>
          </w:p>
        </w:tc>
        <w:tc>
          <w:tcPr>
            <w:tcW w:w="1027" w:type="dxa"/>
            <w:tcBorders>
              <w:top w:val="nil"/>
              <w:left w:val="nil"/>
              <w:bottom w:val="single" w:sz="4" w:space="0" w:color="auto"/>
              <w:right w:val="nil"/>
            </w:tcBorders>
            <w:shd w:val="clear" w:color="auto" w:fill="auto"/>
            <w:vAlign w:val="bottom"/>
            <w:hideMark/>
          </w:tcPr>
          <w:p w:rsidR="0044223B" w:rsidRPr="00E967EA" w:rsidRDefault="00642D82" w:rsidP="007B0995">
            <w:pPr>
              <w:spacing w:after="0" w:line="240" w:lineRule="auto"/>
              <w:jc w:val="center"/>
              <w:rPr>
                <w:rFonts w:ascii="Arial" w:eastAsia="Times New Roman" w:hAnsi="Arial" w:cs="Arial"/>
                <w:b/>
                <w:bCs/>
                <w:color w:val="000000"/>
                <w:sz w:val="20"/>
                <w:szCs w:val="20"/>
                <w:lang w:val="en-US"/>
              </w:rPr>
            </w:pPr>
            <w:r w:rsidRPr="00E967EA">
              <w:rPr>
                <w:rFonts w:ascii="Arial" w:eastAsia="Times New Roman" w:hAnsi="Arial" w:cs="Arial"/>
                <w:b/>
                <w:bCs/>
                <w:color w:val="000000"/>
                <w:sz w:val="20"/>
                <w:szCs w:val="20"/>
                <w:lang w:val="en-US"/>
              </w:rPr>
              <w:t>Reading</w:t>
            </w:r>
          </w:p>
        </w:tc>
        <w:tc>
          <w:tcPr>
            <w:tcW w:w="1481" w:type="dxa"/>
            <w:tcBorders>
              <w:top w:val="nil"/>
              <w:left w:val="nil"/>
              <w:bottom w:val="single" w:sz="4" w:space="0" w:color="auto"/>
              <w:right w:val="nil"/>
            </w:tcBorders>
            <w:shd w:val="clear" w:color="auto" w:fill="auto"/>
            <w:vAlign w:val="bottom"/>
            <w:hideMark/>
          </w:tcPr>
          <w:p w:rsidR="0044223B" w:rsidRPr="00E967EA" w:rsidRDefault="00642D82" w:rsidP="007B0995">
            <w:pPr>
              <w:spacing w:after="0" w:line="240" w:lineRule="auto"/>
              <w:jc w:val="center"/>
              <w:rPr>
                <w:rFonts w:ascii="Arial" w:eastAsia="Times New Roman" w:hAnsi="Arial" w:cs="Arial"/>
                <w:b/>
                <w:bCs/>
                <w:color w:val="000000"/>
                <w:sz w:val="20"/>
                <w:szCs w:val="20"/>
                <w:lang w:val="en-US"/>
              </w:rPr>
            </w:pPr>
            <w:r w:rsidRPr="00E967EA">
              <w:rPr>
                <w:rFonts w:ascii="Arial" w:eastAsia="Times New Roman" w:hAnsi="Arial" w:cs="Arial"/>
                <w:b/>
                <w:bCs/>
                <w:color w:val="000000"/>
                <w:sz w:val="20"/>
                <w:szCs w:val="20"/>
                <w:lang w:val="en-US"/>
              </w:rPr>
              <w:t>Science</w:t>
            </w:r>
          </w:p>
        </w:tc>
      </w:tr>
      <w:tr w:rsidR="00642D82" w:rsidRPr="00E967EA" w:rsidTr="00642D82">
        <w:trPr>
          <w:trHeight w:val="300"/>
        </w:trPr>
        <w:tc>
          <w:tcPr>
            <w:tcW w:w="961" w:type="dxa"/>
            <w:vMerge w:val="restart"/>
            <w:tcBorders>
              <w:top w:val="nil"/>
              <w:left w:val="nil"/>
              <w:bottom w:val="single" w:sz="4" w:space="0" w:color="000000"/>
              <w:right w:val="nil"/>
            </w:tcBorders>
            <w:shd w:val="clear" w:color="auto" w:fill="auto"/>
            <w:noWrap/>
            <w:vAlign w:val="center"/>
            <w:hideMark/>
          </w:tcPr>
          <w:p w:rsidR="0044223B" w:rsidRPr="00E967EA" w:rsidRDefault="00642D82" w:rsidP="007B0995">
            <w:pPr>
              <w:spacing w:after="0" w:line="240" w:lineRule="auto"/>
              <w:jc w:val="center"/>
              <w:rPr>
                <w:rFonts w:ascii="Arial" w:eastAsia="Times New Roman" w:hAnsi="Arial" w:cs="Arial"/>
                <w:b/>
                <w:bCs/>
                <w:color w:val="000000"/>
                <w:sz w:val="20"/>
                <w:szCs w:val="20"/>
                <w:lang w:val="en-US"/>
              </w:rPr>
            </w:pPr>
            <w:r w:rsidRPr="00E967EA">
              <w:rPr>
                <w:rFonts w:ascii="Arial" w:eastAsia="Times New Roman" w:hAnsi="Arial" w:cs="Arial"/>
                <w:b/>
                <w:bCs/>
                <w:color w:val="000000"/>
                <w:sz w:val="20"/>
                <w:szCs w:val="20"/>
                <w:lang w:val="en-US"/>
              </w:rPr>
              <w:t>Turkey</w:t>
            </w:r>
          </w:p>
        </w:tc>
        <w:tc>
          <w:tcPr>
            <w:tcW w:w="960" w:type="dxa"/>
            <w:tcBorders>
              <w:top w:val="nil"/>
              <w:left w:val="nil"/>
              <w:bottom w:val="nil"/>
              <w:right w:val="nil"/>
            </w:tcBorders>
            <w:shd w:val="clear" w:color="auto" w:fill="auto"/>
            <w:noWrap/>
            <w:vAlign w:val="bottom"/>
            <w:hideMark/>
          </w:tcPr>
          <w:p w:rsidR="0044223B" w:rsidRPr="00E967EA" w:rsidRDefault="0044223B" w:rsidP="007B0995">
            <w:pPr>
              <w:spacing w:after="0" w:line="240" w:lineRule="auto"/>
              <w:jc w:val="right"/>
              <w:rPr>
                <w:rFonts w:ascii="Arial" w:eastAsia="Times New Roman" w:hAnsi="Arial" w:cs="Arial"/>
                <w:b/>
                <w:bCs/>
                <w:color w:val="000000"/>
                <w:sz w:val="20"/>
                <w:szCs w:val="20"/>
                <w:lang w:val="en-US"/>
              </w:rPr>
            </w:pPr>
            <w:r w:rsidRPr="00E967EA">
              <w:rPr>
                <w:rFonts w:ascii="Arial" w:eastAsia="Times New Roman" w:hAnsi="Arial" w:cs="Arial"/>
                <w:b/>
                <w:bCs/>
                <w:color w:val="000000"/>
                <w:sz w:val="20"/>
                <w:szCs w:val="20"/>
                <w:lang w:val="en-US"/>
              </w:rPr>
              <w:t>2003</w:t>
            </w:r>
          </w:p>
        </w:tc>
        <w:tc>
          <w:tcPr>
            <w:tcW w:w="1119" w:type="dxa"/>
            <w:tcBorders>
              <w:top w:val="nil"/>
              <w:left w:val="nil"/>
              <w:bottom w:val="nil"/>
              <w:right w:val="nil"/>
            </w:tcBorders>
            <w:shd w:val="clear" w:color="auto" w:fill="auto"/>
            <w:vAlign w:val="bottom"/>
            <w:hideMark/>
          </w:tcPr>
          <w:p w:rsidR="0044223B" w:rsidRPr="00E967EA" w:rsidRDefault="0044223B" w:rsidP="007B0995">
            <w:pPr>
              <w:spacing w:after="0" w:line="240" w:lineRule="auto"/>
              <w:jc w:val="center"/>
              <w:rPr>
                <w:rFonts w:ascii="Arial" w:eastAsia="Times New Roman" w:hAnsi="Arial" w:cs="Arial"/>
                <w:color w:val="000000"/>
                <w:sz w:val="20"/>
                <w:szCs w:val="20"/>
                <w:lang w:val="en-US"/>
              </w:rPr>
            </w:pPr>
            <w:r w:rsidRPr="00E967EA">
              <w:rPr>
                <w:rFonts w:ascii="Arial" w:eastAsia="Times New Roman" w:hAnsi="Arial" w:cs="Arial"/>
                <w:color w:val="000000"/>
                <w:sz w:val="20"/>
                <w:szCs w:val="20"/>
                <w:lang w:val="en-US"/>
              </w:rPr>
              <w:t>52,23</w:t>
            </w:r>
          </w:p>
        </w:tc>
        <w:tc>
          <w:tcPr>
            <w:tcW w:w="1027" w:type="dxa"/>
            <w:tcBorders>
              <w:top w:val="nil"/>
              <w:left w:val="nil"/>
              <w:bottom w:val="nil"/>
              <w:right w:val="nil"/>
            </w:tcBorders>
            <w:shd w:val="clear" w:color="auto" w:fill="auto"/>
            <w:vAlign w:val="bottom"/>
            <w:hideMark/>
          </w:tcPr>
          <w:p w:rsidR="0044223B" w:rsidRPr="00E967EA" w:rsidRDefault="0044223B" w:rsidP="007B0995">
            <w:pPr>
              <w:spacing w:after="0" w:line="240" w:lineRule="auto"/>
              <w:jc w:val="center"/>
              <w:rPr>
                <w:rFonts w:ascii="Arial" w:eastAsia="Times New Roman" w:hAnsi="Arial" w:cs="Arial"/>
                <w:color w:val="000000"/>
                <w:sz w:val="20"/>
                <w:szCs w:val="20"/>
                <w:lang w:val="en-US"/>
              </w:rPr>
            </w:pPr>
            <w:r w:rsidRPr="00E967EA">
              <w:rPr>
                <w:rFonts w:ascii="Arial" w:eastAsia="Times New Roman" w:hAnsi="Arial" w:cs="Arial"/>
                <w:color w:val="000000"/>
                <w:sz w:val="20"/>
                <w:szCs w:val="20"/>
                <w:lang w:val="en-US"/>
              </w:rPr>
              <w:t>36,80</w:t>
            </w:r>
          </w:p>
        </w:tc>
        <w:tc>
          <w:tcPr>
            <w:tcW w:w="1446" w:type="dxa"/>
            <w:tcBorders>
              <w:top w:val="nil"/>
              <w:left w:val="nil"/>
              <w:bottom w:val="nil"/>
              <w:right w:val="nil"/>
            </w:tcBorders>
            <w:shd w:val="clear" w:color="auto" w:fill="auto"/>
            <w:vAlign w:val="bottom"/>
            <w:hideMark/>
          </w:tcPr>
          <w:p w:rsidR="0044223B" w:rsidRPr="00E967EA" w:rsidRDefault="0044223B" w:rsidP="007B0995">
            <w:pPr>
              <w:spacing w:after="0" w:line="240" w:lineRule="auto"/>
              <w:jc w:val="center"/>
              <w:rPr>
                <w:rFonts w:ascii="Arial" w:eastAsia="Times New Roman" w:hAnsi="Arial" w:cs="Arial"/>
                <w:sz w:val="20"/>
                <w:szCs w:val="20"/>
                <w:lang w:val="en-US"/>
              </w:rPr>
            </w:pPr>
            <w:r w:rsidRPr="00E967EA">
              <w:rPr>
                <w:rFonts w:ascii="Arial" w:eastAsia="Times New Roman" w:hAnsi="Arial" w:cs="Arial"/>
                <w:sz w:val="20"/>
                <w:szCs w:val="20"/>
                <w:lang w:val="en-US"/>
              </w:rPr>
              <w:t>38,60*</w:t>
            </w:r>
          </w:p>
        </w:tc>
        <w:tc>
          <w:tcPr>
            <w:tcW w:w="1119" w:type="dxa"/>
            <w:tcBorders>
              <w:top w:val="nil"/>
              <w:left w:val="nil"/>
              <w:bottom w:val="nil"/>
              <w:right w:val="nil"/>
            </w:tcBorders>
            <w:shd w:val="clear" w:color="auto" w:fill="auto"/>
            <w:vAlign w:val="bottom"/>
            <w:hideMark/>
          </w:tcPr>
          <w:p w:rsidR="0044223B" w:rsidRPr="00E967EA" w:rsidRDefault="0044223B" w:rsidP="007B0995">
            <w:pPr>
              <w:spacing w:after="0" w:line="240" w:lineRule="auto"/>
              <w:jc w:val="center"/>
              <w:rPr>
                <w:rFonts w:ascii="Arial" w:eastAsia="Times New Roman" w:hAnsi="Arial" w:cs="Arial"/>
                <w:sz w:val="20"/>
                <w:szCs w:val="20"/>
                <w:lang w:val="en-US"/>
              </w:rPr>
            </w:pPr>
            <w:r w:rsidRPr="00E967EA">
              <w:rPr>
                <w:rFonts w:ascii="Arial" w:eastAsia="Times New Roman" w:hAnsi="Arial" w:cs="Arial"/>
                <w:sz w:val="20"/>
                <w:szCs w:val="20"/>
                <w:lang w:val="en-US"/>
              </w:rPr>
              <w:t>5,48</w:t>
            </w:r>
          </w:p>
        </w:tc>
        <w:tc>
          <w:tcPr>
            <w:tcW w:w="1027" w:type="dxa"/>
            <w:tcBorders>
              <w:top w:val="nil"/>
              <w:left w:val="nil"/>
              <w:bottom w:val="nil"/>
              <w:right w:val="nil"/>
            </w:tcBorders>
            <w:shd w:val="clear" w:color="auto" w:fill="auto"/>
            <w:vAlign w:val="bottom"/>
            <w:hideMark/>
          </w:tcPr>
          <w:p w:rsidR="0044223B" w:rsidRPr="00E967EA" w:rsidRDefault="0044223B" w:rsidP="007B0995">
            <w:pPr>
              <w:spacing w:after="0" w:line="240" w:lineRule="auto"/>
              <w:jc w:val="center"/>
              <w:rPr>
                <w:rFonts w:ascii="Arial" w:eastAsia="Times New Roman" w:hAnsi="Arial" w:cs="Arial"/>
                <w:sz w:val="20"/>
                <w:szCs w:val="20"/>
                <w:lang w:val="en-US"/>
              </w:rPr>
            </w:pPr>
            <w:r w:rsidRPr="00E967EA">
              <w:rPr>
                <w:rFonts w:ascii="Arial" w:eastAsia="Times New Roman" w:hAnsi="Arial" w:cs="Arial"/>
                <w:sz w:val="20"/>
                <w:szCs w:val="20"/>
                <w:lang w:val="en-US"/>
              </w:rPr>
              <w:t>3,80</w:t>
            </w:r>
          </w:p>
        </w:tc>
        <w:tc>
          <w:tcPr>
            <w:tcW w:w="1481" w:type="dxa"/>
            <w:tcBorders>
              <w:top w:val="nil"/>
              <w:left w:val="nil"/>
              <w:bottom w:val="nil"/>
              <w:right w:val="nil"/>
            </w:tcBorders>
            <w:shd w:val="clear" w:color="auto" w:fill="auto"/>
            <w:vAlign w:val="bottom"/>
            <w:hideMark/>
          </w:tcPr>
          <w:p w:rsidR="0044223B" w:rsidRPr="00E967EA" w:rsidRDefault="0044223B" w:rsidP="007B0995">
            <w:pPr>
              <w:spacing w:after="0" w:line="240" w:lineRule="auto"/>
              <w:jc w:val="center"/>
              <w:rPr>
                <w:rFonts w:ascii="Arial" w:eastAsia="Times New Roman" w:hAnsi="Arial" w:cs="Arial"/>
                <w:sz w:val="20"/>
                <w:szCs w:val="20"/>
                <w:lang w:val="en-US"/>
              </w:rPr>
            </w:pPr>
            <w:r w:rsidRPr="00E967EA">
              <w:rPr>
                <w:rFonts w:ascii="Arial" w:eastAsia="Times New Roman" w:hAnsi="Arial" w:cs="Arial"/>
                <w:sz w:val="20"/>
                <w:szCs w:val="20"/>
                <w:lang w:val="en-US"/>
              </w:rPr>
              <w:t>5,70*</w:t>
            </w:r>
          </w:p>
        </w:tc>
      </w:tr>
      <w:tr w:rsidR="00642D82" w:rsidRPr="00E967EA" w:rsidTr="00642D82">
        <w:trPr>
          <w:trHeight w:val="300"/>
        </w:trPr>
        <w:tc>
          <w:tcPr>
            <w:tcW w:w="961" w:type="dxa"/>
            <w:vMerge/>
            <w:tcBorders>
              <w:top w:val="nil"/>
              <w:left w:val="nil"/>
              <w:bottom w:val="single" w:sz="4" w:space="0" w:color="000000"/>
              <w:right w:val="nil"/>
            </w:tcBorders>
            <w:vAlign w:val="center"/>
            <w:hideMark/>
          </w:tcPr>
          <w:p w:rsidR="0044223B" w:rsidRPr="00E967EA" w:rsidRDefault="0044223B" w:rsidP="007B0995">
            <w:pPr>
              <w:spacing w:after="0" w:line="240" w:lineRule="auto"/>
              <w:rPr>
                <w:rFonts w:ascii="Arial" w:eastAsia="Times New Roman" w:hAnsi="Arial" w:cs="Arial"/>
                <w:b/>
                <w:bCs/>
                <w:color w:val="000000"/>
                <w:sz w:val="20"/>
                <w:szCs w:val="20"/>
                <w:lang w:val="en-US"/>
              </w:rPr>
            </w:pPr>
          </w:p>
        </w:tc>
        <w:tc>
          <w:tcPr>
            <w:tcW w:w="960" w:type="dxa"/>
            <w:tcBorders>
              <w:top w:val="nil"/>
              <w:left w:val="nil"/>
              <w:bottom w:val="nil"/>
              <w:right w:val="nil"/>
            </w:tcBorders>
            <w:shd w:val="clear" w:color="auto" w:fill="auto"/>
            <w:noWrap/>
            <w:vAlign w:val="bottom"/>
            <w:hideMark/>
          </w:tcPr>
          <w:p w:rsidR="0044223B" w:rsidRPr="00E967EA" w:rsidRDefault="0044223B" w:rsidP="007B0995">
            <w:pPr>
              <w:spacing w:after="0" w:line="240" w:lineRule="auto"/>
              <w:jc w:val="right"/>
              <w:rPr>
                <w:rFonts w:ascii="Arial" w:eastAsia="Times New Roman" w:hAnsi="Arial" w:cs="Arial"/>
                <w:b/>
                <w:bCs/>
                <w:color w:val="000000"/>
                <w:sz w:val="20"/>
                <w:szCs w:val="20"/>
                <w:lang w:val="en-US"/>
              </w:rPr>
            </w:pPr>
            <w:r w:rsidRPr="00E967EA">
              <w:rPr>
                <w:rFonts w:ascii="Arial" w:eastAsia="Times New Roman" w:hAnsi="Arial" w:cs="Arial"/>
                <w:b/>
                <w:bCs/>
                <w:color w:val="000000"/>
                <w:sz w:val="20"/>
                <w:szCs w:val="20"/>
                <w:lang w:val="en-US"/>
              </w:rPr>
              <w:t>2006</w:t>
            </w:r>
          </w:p>
        </w:tc>
        <w:tc>
          <w:tcPr>
            <w:tcW w:w="1119" w:type="dxa"/>
            <w:tcBorders>
              <w:top w:val="nil"/>
              <w:left w:val="nil"/>
              <w:bottom w:val="nil"/>
              <w:right w:val="nil"/>
            </w:tcBorders>
            <w:shd w:val="clear" w:color="auto" w:fill="auto"/>
            <w:vAlign w:val="bottom"/>
            <w:hideMark/>
          </w:tcPr>
          <w:p w:rsidR="0044223B" w:rsidRPr="00E967EA" w:rsidRDefault="0044223B" w:rsidP="007B0995">
            <w:pPr>
              <w:spacing w:after="0" w:line="240" w:lineRule="auto"/>
              <w:jc w:val="center"/>
              <w:rPr>
                <w:rFonts w:ascii="Arial" w:eastAsia="Times New Roman" w:hAnsi="Arial" w:cs="Arial"/>
                <w:color w:val="000000"/>
                <w:sz w:val="20"/>
                <w:szCs w:val="20"/>
                <w:lang w:val="en-US"/>
              </w:rPr>
            </w:pPr>
            <w:r w:rsidRPr="00E967EA">
              <w:rPr>
                <w:rFonts w:ascii="Arial" w:eastAsia="Times New Roman" w:hAnsi="Arial" w:cs="Arial"/>
                <w:color w:val="000000"/>
                <w:sz w:val="20"/>
                <w:szCs w:val="20"/>
                <w:lang w:val="en-US"/>
              </w:rPr>
              <w:t>52,09</w:t>
            </w:r>
          </w:p>
        </w:tc>
        <w:tc>
          <w:tcPr>
            <w:tcW w:w="1027" w:type="dxa"/>
            <w:tcBorders>
              <w:top w:val="nil"/>
              <w:left w:val="nil"/>
              <w:bottom w:val="nil"/>
              <w:right w:val="nil"/>
            </w:tcBorders>
            <w:shd w:val="clear" w:color="auto" w:fill="auto"/>
            <w:vAlign w:val="bottom"/>
            <w:hideMark/>
          </w:tcPr>
          <w:p w:rsidR="0044223B" w:rsidRPr="00E967EA" w:rsidRDefault="0044223B" w:rsidP="007B0995">
            <w:pPr>
              <w:spacing w:after="0" w:line="240" w:lineRule="auto"/>
              <w:jc w:val="center"/>
              <w:rPr>
                <w:rFonts w:ascii="Arial" w:eastAsia="Times New Roman" w:hAnsi="Arial" w:cs="Arial"/>
                <w:color w:val="000000"/>
                <w:sz w:val="20"/>
                <w:szCs w:val="20"/>
                <w:lang w:val="en-US"/>
              </w:rPr>
            </w:pPr>
            <w:r w:rsidRPr="00E967EA">
              <w:rPr>
                <w:rFonts w:ascii="Arial" w:eastAsia="Times New Roman" w:hAnsi="Arial" w:cs="Arial"/>
                <w:color w:val="000000"/>
                <w:sz w:val="20"/>
                <w:szCs w:val="20"/>
                <w:lang w:val="en-US"/>
              </w:rPr>
              <w:t>32,20</w:t>
            </w:r>
          </w:p>
        </w:tc>
        <w:tc>
          <w:tcPr>
            <w:tcW w:w="1446" w:type="dxa"/>
            <w:tcBorders>
              <w:top w:val="nil"/>
              <w:left w:val="nil"/>
              <w:bottom w:val="nil"/>
              <w:right w:val="nil"/>
            </w:tcBorders>
            <w:shd w:val="clear" w:color="auto" w:fill="auto"/>
            <w:vAlign w:val="bottom"/>
            <w:hideMark/>
          </w:tcPr>
          <w:p w:rsidR="0044223B" w:rsidRPr="00E967EA" w:rsidRDefault="0044223B" w:rsidP="007B0995">
            <w:pPr>
              <w:spacing w:after="0" w:line="240" w:lineRule="auto"/>
              <w:jc w:val="center"/>
              <w:rPr>
                <w:rFonts w:ascii="Arial" w:eastAsia="Times New Roman" w:hAnsi="Arial" w:cs="Arial"/>
                <w:sz w:val="20"/>
                <w:szCs w:val="20"/>
                <w:lang w:val="en-US"/>
              </w:rPr>
            </w:pPr>
            <w:r w:rsidRPr="00E967EA">
              <w:rPr>
                <w:rFonts w:ascii="Arial" w:eastAsia="Times New Roman" w:hAnsi="Arial" w:cs="Arial"/>
                <w:sz w:val="20"/>
                <w:szCs w:val="20"/>
                <w:lang w:val="en-US"/>
              </w:rPr>
              <w:t>46,60</w:t>
            </w:r>
          </w:p>
        </w:tc>
        <w:tc>
          <w:tcPr>
            <w:tcW w:w="1119" w:type="dxa"/>
            <w:tcBorders>
              <w:top w:val="nil"/>
              <w:left w:val="nil"/>
              <w:bottom w:val="nil"/>
              <w:right w:val="nil"/>
            </w:tcBorders>
            <w:shd w:val="clear" w:color="auto" w:fill="auto"/>
            <w:vAlign w:val="bottom"/>
            <w:hideMark/>
          </w:tcPr>
          <w:p w:rsidR="0044223B" w:rsidRPr="00E967EA" w:rsidRDefault="0044223B" w:rsidP="007B0995">
            <w:pPr>
              <w:spacing w:after="0" w:line="240" w:lineRule="auto"/>
              <w:jc w:val="center"/>
              <w:rPr>
                <w:rFonts w:ascii="Arial" w:eastAsia="Times New Roman" w:hAnsi="Arial" w:cs="Arial"/>
                <w:sz w:val="20"/>
                <w:szCs w:val="20"/>
                <w:lang w:val="en-US"/>
              </w:rPr>
            </w:pPr>
            <w:r w:rsidRPr="00E967EA">
              <w:rPr>
                <w:rFonts w:ascii="Arial" w:eastAsia="Times New Roman" w:hAnsi="Arial" w:cs="Arial"/>
                <w:sz w:val="20"/>
                <w:szCs w:val="20"/>
                <w:lang w:val="en-US"/>
              </w:rPr>
              <w:t>4,18</w:t>
            </w:r>
          </w:p>
        </w:tc>
        <w:tc>
          <w:tcPr>
            <w:tcW w:w="1027" w:type="dxa"/>
            <w:tcBorders>
              <w:top w:val="nil"/>
              <w:left w:val="nil"/>
              <w:bottom w:val="nil"/>
              <w:right w:val="nil"/>
            </w:tcBorders>
            <w:shd w:val="clear" w:color="auto" w:fill="auto"/>
            <w:vAlign w:val="bottom"/>
            <w:hideMark/>
          </w:tcPr>
          <w:p w:rsidR="0044223B" w:rsidRPr="00E967EA" w:rsidRDefault="0044223B" w:rsidP="007B0995">
            <w:pPr>
              <w:spacing w:after="0" w:line="240" w:lineRule="auto"/>
              <w:jc w:val="center"/>
              <w:rPr>
                <w:rFonts w:ascii="Arial" w:eastAsia="Times New Roman" w:hAnsi="Arial" w:cs="Arial"/>
                <w:sz w:val="20"/>
                <w:szCs w:val="20"/>
                <w:lang w:val="en-US"/>
              </w:rPr>
            </w:pPr>
            <w:r w:rsidRPr="00E967EA">
              <w:rPr>
                <w:rFonts w:ascii="Arial" w:eastAsia="Times New Roman" w:hAnsi="Arial" w:cs="Arial"/>
                <w:sz w:val="20"/>
                <w:szCs w:val="20"/>
                <w:lang w:val="en-US"/>
              </w:rPr>
              <w:t>2,10</w:t>
            </w:r>
          </w:p>
        </w:tc>
        <w:tc>
          <w:tcPr>
            <w:tcW w:w="1481" w:type="dxa"/>
            <w:tcBorders>
              <w:top w:val="nil"/>
              <w:left w:val="nil"/>
              <w:bottom w:val="nil"/>
              <w:right w:val="nil"/>
            </w:tcBorders>
            <w:shd w:val="clear" w:color="auto" w:fill="auto"/>
            <w:vAlign w:val="bottom"/>
            <w:hideMark/>
          </w:tcPr>
          <w:p w:rsidR="0044223B" w:rsidRPr="00E967EA" w:rsidRDefault="0044223B" w:rsidP="007B0995">
            <w:pPr>
              <w:spacing w:after="0" w:line="240" w:lineRule="auto"/>
              <w:jc w:val="center"/>
              <w:rPr>
                <w:rFonts w:ascii="Arial" w:eastAsia="Times New Roman" w:hAnsi="Arial" w:cs="Arial"/>
                <w:sz w:val="20"/>
                <w:szCs w:val="20"/>
                <w:lang w:val="en-US"/>
              </w:rPr>
            </w:pPr>
            <w:r w:rsidRPr="00E967EA">
              <w:rPr>
                <w:rFonts w:ascii="Arial" w:eastAsia="Times New Roman" w:hAnsi="Arial" w:cs="Arial"/>
                <w:sz w:val="20"/>
                <w:szCs w:val="20"/>
                <w:lang w:val="en-US"/>
              </w:rPr>
              <w:t>0,90</w:t>
            </w:r>
          </w:p>
        </w:tc>
      </w:tr>
      <w:tr w:rsidR="00642D82" w:rsidRPr="00E967EA" w:rsidTr="00642D82">
        <w:trPr>
          <w:trHeight w:val="300"/>
        </w:trPr>
        <w:tc>
          <w:tcPr>
            <w:tcW w:w="961" w:type="dxa"/>
            <w:vMerge/>
            <w:tcBorders>
              <w:top w:val="nil"/>
              <w:left w:val="nil"/>
              <w:bottom w:val="single" w:sz="4" w:space="0" w:color="000000"/>
              <w:right w:val="nil"/>
            </w:tcBorders>
            <w:vAlign w:val="center"/>
            <w:hideMark/>
          </w:tcPr>
          <w:p w:rsidR="0044223B" w:rsidRPr="00E967EA" w:rsidRDefault="0044223B" w:rsidP="007B0995">
            <w:pPr>
              <w:spacing w:after="0" w:line="240" w:lineRule="auto"/>
              <w:rPr>
                <w:rFonts w:ascii="Arial" w:eastAsia="Times New Roman" w:hAnsi="Arial" w:cs="Arial"/>
                <w:b/>
                <w:bCs/>
                <w:color w:val="000000"/>
                <w:sz w:val="20"/>
                <w:szCs w:val="20"/>
                <w:lang w:val="en-US"/>
              </w:rPr>
            </w:pPr>
          </w:p>
        </w:tc>
        <w:tc>
          <w:tcPr>
            <w:tcW w:w="960" w:type="dxa"/>
            <w:tcBorders>
              <w:top w:val="nil"/>
              <w:left w:val="nil"/>
              <w:bottom w:val="nil"/>
              <w:right w:val="nil"/>
            </w:tcBorders>
            <w:shd w:val="clear" w:color="auto" w:fill="auto"/>
            <w:noWrap/>
            <w:vAlign w:val="bottom"/>
            <w:hideMark/>
          </w:tcPr>
          <w:p w:rsidR="0044223B" w:rsidRPr="00E967EA" w:rsidRDefault="0044223B" w:rsidP="007B0995">
            <w:pPr>
              <w:spacing w:after="0" w:line="240" w:lineRule="auto"/>
              <w:jc w:val="right"/>
              <w:rPr>
                <w:rFonts w:ascii="Arial" w:eastAsia="Times New Roman" w:hAnsi="Arial" w:cs="Arial"/>
                <w:b/>
                <w:bCs/>
                <w:color w:val="000000"/>
                <w:sz w:val="20"/>
                <w:szCs w:val="20"/>
                <w:lang w:val="en-US"/>
              </w:rPr>
            </w:pPr>
            <w:r w:rsidRPr="00E967EA">
              <w:rPr>
                <w:rFonts w:ascii="Arial" w:eastAsia="Times New Roman" w:hAnsi="Arial" w:cs="Arial"/>
                <w:b/>
                <w:bCs/>
                <w:color w:val="000000"/>
                <w:sz w:val="20"/>
                <w:szCs w:val="20"/>
                <w:lang w:val="en-US"/>
              </w:rPr>
              <w:t>2009</w:t>
            </w:r>
          </w:p>
        </w:tc>
        <w:tc>
          <w:tcPr>
            <w:tcW w:w="1119" w:type="dxa"/>
            <w:tcBorders>
              <w:top w:val="nil"/>
              <w:left w:val="nil"/>
              <w:bottom w:val="nil"/>
              <w:right w:val="nil"/>
            </w:tcBorders>
            <w:shd w:val="clear" w:color="auto" w:fill="auto"/>
            <w:vAlign w:val="bottom"/>
            <w:hideMark/>
          </w:tcPr>
          <w:p w:rsidR="0044223B" w:rsidRPr="00E967EA" w:rsidRDefault="0044223B" w:rsidP="007B0995">
            <w:pPr>
              <w:spacing w:after="0" w:line="240" w:lineRule="auto"/>
              <w:jc w:val="center"/>
              <w:rPr>
                <w:rFonts w:ascii="Arial" w:eastAsia="Times New Roman" w:hAnsi="Arial" w:cs="Arial"/>
                <w:color w:val="000000"/>
                <w:sz w:val="20"/>
                <w:szCs w:val="20"/>
                <w:lang w:val="en-US"/>
              </w:rPr>
            </w:pPr>
            <w:r w:rsidRPr="00E967EA">
              <w:rPr>
                <w:rFonts w:ascii="Arial" w:eastAsia="Times New Roman" w:hAnsi="Arial" w:cs="Arial"/>
                <w:color w:val="000000"/>
                <w:sz w:val="20"/>
                <w:szCs w:val="20"/>
                <w:lang w:val="en-US"/>
              </w:rPr>
              <w:t>42,15</w:t>
            </w:r>
          </w:p>
        </w:tc>
        <w:tc>
          <w:tcPr>
            <w:tcW w:w="1027" w:type="dxa"/>
            <w:tcBorders>
              <w:top w:val="nil"/>
              <w:left w:val="nil"/>
              <w:bottom w:val="nil"/>
              <w:right w:val="nil"/>
            </w:tcBorders>
            <w:shd w:val="clear" w:color="auto" w:fill="auto"/>
            <w:vAlign w:val="bottom"/>
            <w:hideMark/>
          </w:tcPr>
          <w:p w:rsidR="0044223B" w:rsidRPr="00E967EA" w:rsidRDefault="0044223B" w:rsidP="007B0995">
            <w:pPr>
              <w:spacing w:after="0" w:line="240" w:lineRule="auto"/>
              <w:jc w:val="center"/>
              <w:rPr>
                <w:rFonts w:ascii="Arial" w:eastAsia="Times New Roman" w:hAnsi="Arial" w:cs="Arial"/>
                <w:color w:val="000000"/>
                <w:sz w:val="20"/>
                <w:szCs w:val="20"/>
                <w:lang w:val="en-US"/>
              </w:rPr>
            </w:pPr>
            <w:r w:rsidRPr="00E967EA">
              <w:rPr>
                <w:rFonts w:ascii="Arial" w:eastAsia="Times New Roman" w:hAnsi="Arial" w:cs="Arial"/>
                <w:color w:val="000000"/>
                <w:sz w:val="20"/>
                <w:szCs w:val="20"/>
                <w:lang w:val="en-US"/>
              </w:rPr>
              <w:t>24,50</w:t>
            </w:r>
          </w:p>
        </w:tc>
        <w:tc>
          <w:tcPr>
            <w:tcW w:w="1446" w:type="dxa"/>
            <w:tcBorders>
              <w:top w:val="nil"/>
              <w:left w:val="nil"/>
              <w:bottom w:val="nil"/>
              <w:right w:val="nil"/>
            </w:tcBorders>
            <w:shd w:val="clear" w:color="auto" w:fill="auto"/>
            <w:vAlign w:val="bottom"/>
            <w:hideMark/>
          </w:tcPr>
          <w:p w:rsidR="0044223B" w:rsidRPr="00E967EA" w:rsidRDefault="0044223B" w:rsidP="007B0995">
            <w:pPr>
              <w:spacing w:after="0" w:line="240" w:lineRule="auto"/>
              <w:jc w:val="center"/>
              <w:rPr>
                <w:rFonts w:ascii="Arial" w:eastAsia="Times New Roman" w:hAnsi="Arial" w:cs="Arial"/>
                <w:sz w:val="20"/>
                <w:szCs w:val="20"/>
                <w:lang w:val="en-US"/>
              </w:rPr>
            </w:pPr>
            <w:r w:rsidRPr="00E967EA">
              <w:rPr>
                <w:rFonts w:ascii="Arial" w:eastAsia="Times New Roman" w:hAnsi="Arial" w:cs="Arial"/>
                <w:sz w:val="20"/>
                <w:szCs w:val="20"/>
                <w:lang w:val="en-US"/>
              </w:rPr>
              <w:t>30,00</w:t>
            </w:r>
          </w:p>
        </w:tc>
        <w:tc>
          <w:tcPr>
            <w:tcW w:w="1119" w:type="dxa"/>
            <w:tcBorders>
              <w:top w:val="nil"/>
              <w:left w:val="nil"/>
              <w:bottom w:val="nil"/>
              <w:right w:val="nil"/>
            </w:tcBorders>
            <w:shd w:val="clear" w:color="auto" w:fill="auto"/>
            <w:vAlign w:val="bottom"/>
            <w:hideMark/>
          </w:tcPr>
          <w:p w:rsidR="0044223B" w:rsidRPr="00E967EA" w:rsidRDefault="0044223B" w:rsidP="007B0995">
            <w:pPr>
              <w:spacing w:after="0" w:line="240" w:lineRule="auto"/>
              <w:jc w:val="center"/>
              <w:rPr>
                <w:rFonts w:ascii="Arial" w:eastAsia="Times New Roman" w:hAnsi="Arial" w:cs="Arial"/>
                <w:sz w:val="20"/>
                <w:szCs w:val="20"/>
                <w:lang w:val="en-US"/>
              </w:rPr>
            </w:pPr>
            <w:r w:rsidRPr="00E967EA">
              <w:rPr>
                <w:rFonts w:ascii="Arial" w:eastAsia="Times New Roman" w:hAnsi="Arial" w:cs="Arial"/>
                <w:sz w:val="20"/>
                <w:szCs w:val="20"/>
                <w:lang w:val="en-US"/>
              </w:rPr>
              <w:t>5,64</w:t>
            </w:r>
          </w:p>
        </w:tc>
        <w:tc>
          <w:tcPr>
            <w:tcW w:w="1027" w:type="dxa"/>
            <w:tcBorders>
              <w:top w:val="nil"/>
              <w:left w:val="nil"/>
              <w:bottom w:val="nil"/>
              <w:right w:val="nil"/>
            </w:tcBorders>
            <w:shd w:val="clear" w:color="auto" w:fill="auto"/>
            <w:vAlign w:val="bottom"/>
            <w:hideMark/>
          </w:tcPr>
          <w:p w:rsidR="0044223B" w:rsidRPr="00E967EA" w:rsidRDefault="0044223B" w:rsidP="007B0995">
            <w:pPr>
              <w:spacing w:after="0" w:line="240" w:lineRule="auto"/>
              <w:jc w:val="center"/>
              <w:rPr>
                <w:rFonts w:ascii="Arial" w:eastAsia="Times New Roman" w:hAnsi="Arial" w:cs="Arial"/>
                <w:sz w:val="20"/>
                <w:szCs w:val="20"/>
                <w:lang w:val="en-US"/>
              </w:rPr>
            </w:pPr>
            <w:r w:rsidRPr="00E967EA">
              <w:rPr>
                <w:rFonts w:ascii="Arial" w:eastAsia="Times New Roman" w:hAnsi="Arial" w:cs="Arial"/>
                <w:sz w:val="20"/>
                <w:szCs w:val="20"/>
                <w:lang w:val="en-US"/>
              </w:rPr>
              <w:t>1,90</w:t>
            </w:r>
          </w:p>
        </w:tc>
        <w:tc>
          <w:tcPr>
            <w:tcW w:w="1481" w:type="dxa"/>
            <w:tcBorders>
              <w:top w:val="nil"/>
              <w:left w:val="nil"/>
              <w:bottom w:val="nil"/>
              <w:right w:val="nil"/>
            </w:tcBorders>
            <w:shd w:val="clear" w:color="auto" w:fill="auto"/>
            <w:vAlign w:val="bottom"/>
            <w:hideMark/>
          </w:tcPr>
          <w:p w:rsidR="0044223B" w:rsidRPr="00E967EA" w:rsidRDefault="0044223B" w:rsidP="007B0995">
            <w:pPr>
              <w:spacing w:after="0" w:line="240" w:lineRule="auto"/>
              <w:jc w:val="center"/>
              <w:rPr>
                <w:rFonts w:ascii="Arial" w:eastAsia="Times New Roman" w:hAnsi="Arial" w:cs="Arial"/>
                <w:sz w:val="20"/>
                <w:szCs w:val="20"/>
                <w:lang w:val="en-US"/>
              </w:rPr>
            </w:pPr>
            <w:r w:rsidRPr="00E967EA">
              <w:rPr>
                <w:rFonts w:ascii="Arial" w:eastAsia="Times New Roman" w:hAnsi="Arial" w:cs="Arial"/>
                <w:sz w:val="20"/>
                <w:szCs w:val="20"/>
                <w:lang w:val="en-US"/>
              </w:rPr>
              <w:t>1,10</w:t>
            </w:r>
          </w:p>
        </w:tc>
      </w:tr>
      <w:tr w:rsidR="00642D82" w:rsidRPr="00E967EA" w:rsidTr="00642D82">
        <w:trPr>
          <w:trHeight w:val="300"/>
        </w:trPr>
        <w:tc>
          <w:tcPr>
            <w:tcW w:w="961" w:type="dxa"/>
            <w:vMerge/>
            <w:tcBorders>
              <w:top w:val="nil"/>
              <w:left w:val="nil"/>
              <w:bottom w:val="single" w:sz="4" w:space="0" w:color="000000"/>
              <w:right w:val="nil"/>
            </w:tcBorders>
            <w:vAlign w:val="center"/>
            <w:hideMark/>
          </w:tcPr>
          <w:p w:rsidR="0044223B" w:rsidRPr="00E967EA" w:rsidRDefault="0044223B" w:rsidP="007B0995">
            <w:pPr>
              <w:spacing w:after="0" w:line="240" w:lineRule="auto"/>
              <w:rPr>
                <w:rFonts w:ascii="Arial" w:eastAsia="Times New Roman" w:hAnsi="Arial" w:cs="Arial"/>
                <w:b/>
                <w:bCs/>
                <w:color w:val="000000"/>
                <w:sz w:val="20"/>
                <w:szCs w:val="20"/>
                <w:lang w:val="en-US"/>
              </w:rPr>
            </w:pPr>
          </w:p>
        </w:tc>
        <w:tc>
          <w:tcPr>
            <w:tcW w:w="960" w:type="dxa"/>
            <w:tcBorders>
              <w:top w:val="nil"/>
              <w:left w:val="nil"/>
              <w:bottom w:val="single" w:sz="4" w:space="0" w:color="auto"/>
              <w:right w:val="nil"/>
            </w:tcBorders>
            <w:shd w:val="clear" w:color="auto" w:fill="auto"/>
            <w:noWrap/>
            <w:vAlign w:val="bottom"/>
            <w:hideMark/>
          </w:tcPr>
          <w:p w:rsidR="0044223B" w:rsidRPr="00E967EA" w:rsidRDefault="0044223B" w:rsidP="007B0995">
            <w:pPr>
              <w:spacing w:after="0" w:line="240" w:lineRule="auto"/>
              <w:jc w:val="right"/>
              <w:rPr>
                <w:rFonts w:ascii="Arial" w:eastAsia="Times New Roman" w:hAnsi="Arial" w:cs="Arial"/>
                <w:b/>
                <w:bCs/>
                <w:color w:val="000000"/>
                <w:sz w:val="20"/>
                <w:szCs w:val="20"/>
                <w:lang w:val="en-US"/>
              </w:rPr>
            </w:pPr>
            <w:r w:rsidRPr="00E967EA">
              <w:rPr>
                <w:rFonts w:ascii="Arial" w:eastAsia="Times New Roman" w:hAnsi="Arial" w:cs="Arial"/>
                <w:b/>
                <w:bCs/>
                <w:color w:val="000000"/>
                <w:sz w:val="20"/>
                <w:szCs w:val="20"/>
                <w:lang w:val="en-US"/>
              </w:rPr>
              <w:t>2012</w:t>
            </w:r>
          </w:p>
        </w:tc>
        <w:tc>
          <w:tcPr>
            <w:tcW w:w="1119" w:type="dxa"/>
            <w:tcBorders>
              <w:top w:val="nil"/>
              <w:left w:val="nil"/>
              <w:bottom w:val="single" w:sz="4" w:space="0" w:color="auto"/>
              <w:right w:val="nil"/>
            </w:tcBorders>
            <w:shd w:val="clear" w:color="auto" w:fill="auto"/>
            <w:vAlign w:val="bottom"/>
            <w:hideMark/>
          </w:tcPr>
          <w:p w:rsidR="0044223B" w:rsidRPr="00E967EA" w:rsidRDefault="0044223B" w:rsidP="007B0995">
            <w:pPr>
              <w:spacing w:after="0" w:line="240" w:lineRule="auto"/>
              <w:jc w:val="center"/>
              <w:rPr>
                <w:rFonts w:ascii="Arial" w:eastAsia="Times New Roman" w:hAnsi="Arial" w:cs="Arial"/>
                <w:color w:val="000000"/>
                <w:sz w:val="20"/>
                <w:szCs w:val="20"/>
                <w:lang w:val="en-US"/>
              </w:rPr>
            </w:pPr>
            <w:r w:rsidRPr="00E967EA">
              <w:rPr>
                <w:rFonts w:ascii="Arial" w:eastAsia="Times New Roman" w:hAnsi="Arial" w:cs="Arial"/>
                <w:color w:val="000000"/>
                <w:sz w:val="20"/>
                <w:szCs w:val="20"/>
                <w:lang w:val="en-US"/>
              </w:rPr>
              <w:t>41,98</w:t>
            </w:r>
          </w:p>
        </w:tc>
        <w:tc>
          <w:tcPr>
            <w:tcW w:w="1027" w:type="dxa"/>
            <w:tcBorders>
              <w:top w:val="nil"/>
              <w:left w:val="nil"/>
              <w:bottom w:val="single" w:sz="4" w:space="0" w:color="auto"/>
              <w:right w:val="nil"/>
            </w:tcBorders>
            <w:shd w:val="clear" w:color="auto" w:fill="auto"/>
            <w:vAlign w:val="bottom"/>
            <w:hideMark/>
          </w:tcPr>
          <w:p w:rsidR="0044223B" w:rsidRPr="00E967EA" w:rsidRDefault="0044223B" w:rsidP="007B0995">
            <w:pPr>
              <w:spacing w:after="0" w:line="240" w:lineRule="auto"/>
              <w:jc w:val="center"/>
              <w:rPr>
                <w:rFonts w:ascii="Arial" w:eastAsia="Times New Roman" w:hAnsi="Arial" w:cs="Arial"/>
                <w:color w:val="000000"/>
                <w:sz w:val="20"/>
                <w:szCs w:val="20"/>
                <w:lang w:val="en-US"/>
              </w:rPr>
            </w:pPr>
            <w:r w:rsidRPr="00E967EA">
              <w:rPr>
                <w:rFonts w:ascii="Arial" w:eastAsia="Times New Roman" w:hAnsi="Arial" w:cs="Arial"/>
                <w:color w:val="000000"/>
                <w:sz w:val="20"/>
                <w:szCs w:val="20"/>
                <w:lang w:val="en-US"/>
              </w:rPr>
              <w:t>21,60</w:t>
            </w:r>
          </w:p>
        </w:tc>
        <w:tc>
          <w:tcPr>
            <w:tcW w:w="1446" w:type="dxa"/>
            <w:tcBorders>
              <w:top w:val="nil"/>
              <w:left w:val="nil"/>
              <w:bottom w:val="single" w:sz="4" w:space="0" w:color="auto"/>
              <w:right w:val="nil"/>
            </w:tcBorders>
            <w:shd w:val="clear" w:color="auto" w:fill="auto"/>
            <w:vAlign w:val="bottom"/>
            <w:hideMark/>
          </w:tcPr>
          <w:p w:rsidR="0044223B" w:rsidRPr="00E967EA" w:rsidRDefault="0044223B" w:rsidP="007B0995">
            <w:pPr>
              <w:spacing w:after="0" w:line="240" w:lineRule="auto"/>
              <w:jc w:val="center"/>
              <w:rPr>
                <w:rFonts w:ascii="Arial" w:eastAsia="Times New Roman" w:hAnsi="Arial" w:cs="Arial"/>
                <w:sz w:val="20"/>
                <w:szCs w:val="20"/>
                <w:lang w:val="en-US"/>
              </w:rPr>
            </w:pPr>
            <w:r w:rsidRPr="00E967EA">
              <w:rPr>
                <w:rFonts w:ascii="Arial" w:eastAsia="Times New Roman" w:hAnsi="Arial" w:cs="Arial"/>
                <w:sz w:val="20"/>
                <w:szCs w:val="20"/>
                <w:lang w:val="en-US"/>
              </w:rPr>
              <w:t>26,40</w:t>
            </w:r>
          </w:p>
        </w:tc>
        <w:tc>
          <w:tcPr>
            <w:tcW w:w="1119" w:type="dxa"/>
            <w:tcBorders>
              <w:top w:val="nil"/>
              <w:left w:val="nil"/>
              <w:bottom w:val="single" w:sz="4" w:space="0" w:color="auto"/>
              <w:right w:val="nil"/>
            </w:tcBorders>
            <w:shd w:val="clear" w:color="auto" w:fill="auto"/>
            <w:vAlign w:val="bottom"/>
            <w:hideMark/>
          </w:tcPr>
          <w:p w:rsidR="0044223B" w:rsidRPr="00E967EA" w:rsidRDefault="0044223B" w:rsidP="007B0995">
            <w:pPr>
              <w:spacing w:after="0" w:line="240" w:lineRule="auto"/>
              <w:jc w:val="center"/>
              <w:rPr>
                <w:rFonts w:ascii="Arial" w:eastAsia="Times New Roman" w:hAnsi="Arial" w:cs="Arial"/>
                <w:sz w:val="20"/>
                <w:szCs w:val="20"/>
                <w:lang w:val="en-US"/>
              </w:rPr>
            </w:pPr>
            <w:r w:rsidRPr="00E967EA">
              <w:rPr>
                <w:rFonts w:ascii="Arial" w:eastAsia="Times New Roman" w:hAnsi="Arial" w:cs="Arial"/>
                <w:sz w:val="20"/>
                <w:szCs w:val="20"/>
                <w:lang w:val="en-US"/>
              </w:rPr>
              <w:t>5,90</w:t>
            </w:r>
          </w:p>
        </w:tc>
        <w:tc>
          <w:tcPr>
            <w:tcW w:w="1027" w:type="dxa"/>
            <w:tcBorders>
              <w:top w:val="nil"/>
              <w:left w:val="nil"/>
              <w:bottom w:val="single" w:sz="4" w:space="0" w:color="auto"/>
              <w:right w:val="nil"/>
            </w:tcBorders>
            <w:shd w:val="clear" w:color="auto" w:fill="auto"/>
            <w:vAlign w:val="bottom"/>
            <w:hideMark/>
          </w:tcPr>
          <w:p w:rsidR="0044223B" w:rsidRPr="00E967EA" w:rsidRDefault="0044223B" w:rsidP="007B0995">
            <w:pPr>
              <w:spacing w:after="0" w:line="240" w:lineRule="auto"/>
              <w:jc w:val="center"/>
              <w:rPr>
                <w:rFonts w:ascii="Arial" w:eastAsia="Times New Roman" w:hAnsi="Arial" w:cs="Arial"/>
                <w:sz w:val="20"/>
                <w:szCs w:val="20"/>
                <w:lang w:val="en-US"/>
              </w:rPr>
            </w:pPr>
            <w:r w:rsidRPr="00E967EA">
              <w:rPr>
                <w:rFonts w:ascii="Arial" w:eastAsia="Times New Roman" w:hAnsi="Arial" w:cs="Arial"/>
                <w:sz w:val="20"/>
                <w:szCs w:val="20"/>
                <w:lang w:val="en-US"/>
              </w:rPr>
              <w:t>4,30</w:t>
            </w:r>
          </w:p>
        </w:tc>
        <w:tc>
          <w:tcPr>
            <w:tcW w:w="1481" w:type="dxa"/>
            <w:tcBorders>
              <w:top w:val="nil"/>
              <w:left w:val="nil"/>
              <w:bottom w:val="single" w:sz="4" w:space="0" w:color="auto"/>
              <w:right w:val="nil"/>
            </w:tcBorders>
            <w:shd w:val="clear" w:color="auto" w:fill="auto"/>
            <w:vAlign w:val="bottom"/>
            <w:hideMark/>
          </w:tcPr>
          <w:p w:rsidR="0044223B" w:rsidRPr="00E967EA" w:rsidRDefault="0044223B" w:rsidP="007B0995">
            <w:pPr>
              <w:spacing w:after="0" w:line="240" w:lineRule="auto"/>
              <w:jc w:val="center"/>
              <w:rPr>
                <w:rFonts w:ascii="Arial" w:eastAsia="Times New Roman" w:hAnsi="Arial" w:cs="Arial"/>
                <w:sz w:val="20"/>
                <w:szCs w:val="20"/>
                <w:lang w:val="en-US"/>
              </w:rPr>
            </w:pPr>
            <w:r w:rsidRPr="00E967EA">
              <w:rPr>
                <w:rFonts w:ascii="Arial" w:eastAsia="Times New Roman" w:hAnsi="Arial" w:cs="Arial"/>
                <w:sz w:val="20"/>
                <w:szCs w:val="20"/>
                <w:lang w:val="en-US"/>
              </w:rPr>
              <w:t>1,80</w:t>
            </w:r>
          </w:p>
        </w:tc>
      </w:tr>
      <w:tr w:rsidR="00642D82" w:rsidRPr="00E967EA" w:rsidTr="00642D82">
        <w:trPr>
          <w:trHeight w:val="300"/>
        </w:trPr>
        <w:tc>
          <w:tcPr>
            <w:tcW w:w="961" w:type="dxa"/>
            <w:vMerge w:val="restart"/>
            <w:tcBorders>
              <w:top w:val="nil"/>
              <w:left w:val="nil"/>
              <w:bottom w:val="single" w:sz="4" w:space="0" w:color="000000"/>
              <w:right w:val="nil"/>
            </w:tcBorders>
            <w:shd w:val="clear" w:color="auto" w:fill="auto"/>
            <w:noWrap/>
            <w:vAlign w:val="center"/>
            <w:hideMark/>
          </w:tcPr>
          <w:p w:rsidR="0044223B" w:rsidRPr="00E967EA" w:rsidRDefault="0044223B" w:rsidP="007B0995">
            <w:pPr>
              <w:spacing w:after="0" w:line="240" w:lineRule="auto"/>
              <w:jc w:val="center"/>
              <w:rPr>
                <w:rFonts w:ascii="Arial" w:eastAsia="Times New Roman" w:hAnsi="Arial" w:cs="Arial"/>
                <w:b/>
                <w:bCs/>
                <w:color w:val="000000"/>
                <w:sz w:val="20"/>
                <w:szCs w:val="20"/>
                <w:lang w:val="en-US"/>
              </w:rPr>
            </w:pPr>
            <w:r w:rsidRPr="00E967EA">
              <w:rPr>
                <w:rFonts w:ascii="Arial" w:eastAsia="Times New Roman" w:hAnsi="Arial" w:cs="Arial"/>
                <w:b/>
                <w:bCs/>
                <w:color w:val="000000"/>
                <w:sz w:val="20"/>
                <w:szCs w:val="20"/>
                <w:lang w:val="en-US"/>
              </w:rPr>
              <w:t xml:space="preserve">OECD </w:t>
            </w:r>
            <w:r w:rsidR="00642D82" w:rsidRPr="00E967EA">
              <w:rPr>
                <w:rFonts w:ascii="Arial" w:eastAsia="Times New Roman" w:hAnsi="Arial" w:cs="Arial"/>
                <w:b/>
                <w:bCs/>
                <w:color w:val="000000"/>
                <w:sz w:val="20"/>
                <w:szCs w:val="20"/>
                <w:lang w:val="en-US"/>
              </w:rPr>
              <w:t>Average</w:t>
            </w:r>
          </w:p>
        </w:tc>
        <w:tc>
          <w:tcPr>
            <w:tcW w:w="960" w:type="dxa"/>
            <w:tcBorders>
              <w:top w:val="nil"/>
              <w:left w:val="nil"/>
              <w:bottom w:val="nil"/>
              <w:right w:val="nil"/>
            </w:tcBorders>
            <w:shd w:val="clear" w:color="auto" w:fill="auto"/>
            <w:noWrap/>
            <w:vAlign w:val="bottom"/>
            <w:hideMark/>
          </w:tcPr>
          <w:p w:rsidR="0044223B" w:rsidRPr="00E967EA" w:rsidRDefault="0044223B" w:rsidP="007B0995">
            <w:pPr>
              <w:spacing w:after="0" w:line="240" w:lineRule="auto"/>
              <w:jc w:val="right"/>
              <w:rPr>
                <w:rFonts w:ascii="Arial" w:eastAsia="Times New Roman" w:hAnsi="Arial" w:cs="Arial"/>
                <w:b/>
                <w:bCs/>
                <w:color w:val="000000"/>
                <w:sz w:val="20"/>
                <w:szCs w:val="20"/>
                <w:lang w:val="en-US"/>
              </w:rPr>
            </w:pPr>
            <w:r w:rsidRPr="00E967EA">
              <w:rPr>
                <w:rFonts w:ascii="Arial" w:eastAsia="Times New Roman" w:hAnsi="Arial" w:cs="Arial"/>
                <w:b/>
                <w:bCs/>
                <w:color w:val="000000"/>
                <w:sz w:val="20"/>
                <w:szCs w:val="20"/>
                <w:lang w:val="en-US"/>
              </w:rPr>
              <w:t>2003</w:t>
            </w:r>
          </w:p>
        </w:tc>
        <w:tc>
          <w:tcPr>
            <w:tcW w:w="1119" w:type="dxa"/>
            <w:tcBorders>
              <w:top w:val="nil"/>
              <w:left w:val="nil"/>
              <w:bottom w:val="nil"/>
              <w:right w:val="nil"/>
            </w:tcBorders>
            <w:shd w:val="clear" w:color="auto" w:fill="auto"/>
            <w:vAlign w:val="bottom"/>
            <w:hideMark/>
          </w:tcPr>
          <w:p w:rsidR="0044223B" w:rsidRPr="00E967EA" w:rsidRDefault="0044223B" w:rsidP="007B0995">
            <w:pPr>
              <w:spacing w:after="0" w:line="240" w:lineRule="auto"/>
              <w:jc w:val="center"/>
              <w:rPr>
                <w:rFonts w:ascii="Arial" w:eastAsia="Times New Roman" w:hAnsi="Arial" w:cs="Arial"/>
                <w:color w:val="000000"/>
                <w:sz w:val="20"/>
                <w:szCs w:val="20"/>
                <w:lang w:val="en-US"/>
              </w:rPr>
            </w:pPr>
            <w:r w:rsidRPr="00E967EA">
              <w:rPr>
                <w:rFonts w:ascii="Arial" w:eastAsia="Times New Roman" w:hAnsi="Arial" w:cs="Arial"/>
                <w:color w:val="000000"/>
                <w:sz w:val="20"/>
                <w:szCs w:val="20"/>
                <w:lang w:val="en-US"/>
              </w:rPr>
              <w:t>21,50</w:t>
            </w:r>
          </w:p>
        </w:tc>
        <w:tc>
          <w:tcPr>
            <w:tcW w:w="1027" w:type="dxa"/>
            <w:tcBorders>
              <w:top w:val="nil"/>
              <w:left w:val="nil"/>
              <w:bottom w:val="nil"/>
              <w:right w:val="nil"/>
            </w:tcBorders>
            <w:shd w:val="clear" w:color="auto" w:fill="auto"/>
            <w:vAlign w:val="bottom"/>
            <w:hideMark/>
          </w:tcPr>
          <w:p w:rsidR="0044223B" w:rsidRPr="00E967EA" w:rsidRDefault="0044223B" w:rsidP="007B0995">
            <w:pPr>
              <w:spacing w:after="0" w:line="240" w:lineRule="auto"/>
              <w:jc w:val="center"/>
              <w:rPr>
                <w:rFonts w:ascii="Arial" w:eastAsia="Times New Roman" w:hAnsi="Arial" w:cs="Arial"/>
                <w:color w:val="000000"/>
                <w:sz w:val="20"/>
                <w:szCs w:val="20"/>
                <w:lang w:val="en-US"/>
              </w:rPr>
            </w:pPr>
            <w:r w:rsidRPr="00E967EA">
              <w:rPr>
                <w:rFonts w:ascii="Arial" w:eastAsia="Times New Roman" w:hAnsi="Arial" w:cs="Arial"/>
                <w:color w:val="000000"/>
                <w:sz w:val="20"/>
                <w:szCs w:val="20"/>
                <w:lang w:val="en-US"/>
              </w:rPr>
              <w:t>19,20</w:t>
            </w:r>
          </w:p>
        </w:tc>
        <w:tc>
          <w:tcPr>
            <w:tcW w:w="1446" w:type="dxa"/>
            <w:tcBorders>
              <w:top w:val="nil"/>
              <w:left w:val="nil"/>
              <w:bottom w:val="nil"/>
              <w:right w:val="nil"/>
            </w:tcBorders>
            <w:shd w:val="clear" w:color="auto" w:fill="auto"/>
            <w:vAlign w:val="bottom"/>
            <w:hideMark/>
          </w:tcPr>
          <w:p w:rsidR="0044223B" w:rsidRPr="00E967EA" w:rsidRDefault="0044223B" w:rsidP="007B0995">
            <w:pPr>
              <w:spacing w:after="0" w:line="240" w:lineRule="auto"/>
              <w:jc w:val="center"/>
              <w:rPr>
                <w:rFonts w:ascii="Arial" w:eastAsia="Times New Roman" w:hAnsi="Arial" w:cs="Arial"/>
                <w:sz w:val="20"/>
                <w:szCs w:val="20"/>
                <w:lang w:val="en-US"/>
              </w:rPr>
            </w:pPr>
            <w:r w:rsidRPr="00E967EA">
              <w:rPr>
                <w:rFonts w:ascii="Arial" w:eastAsia="Times New Roman" w:hAnsi="Arial" w:cs="Arial"/>
                <w:sz w:val="20"/>
                <w:szCs w:val="20"/>
                <w:lang w:val="en-US"/>
              </w:rPr>
              <w:t>17,90 </w:t>
            </w:r>
          </w:p>
        </w:tc>
        <w:tc>
          <w:tcPr>
            <w:tcW w:w="1119" w:type="dxa"/>
            <w:tcBorders>
              <w:top w:val="nil"/>
              <w:left w:val="nil"/>
              <w:bottom w:val="nil"/>
              <w:right w:val="nil"/>
            </w:tcBorders>
            <w:shd w:val="clear" w:color="auto" w:fill="auto"/>
            <w:vAlign w:val="bottom"/>
            <w:hideMark/>
          </w:tcPr>
          <w:p w:rsidR="0044223B" w:rsidRPr="00E967EA" w:rsidRDefault="0044223B" w:rsidP="007B0995">
            <w:pPr>
              <w:spacing w:after="0" w:line="240" w:lineRule="auto"/>
              <w:jc w:val="center"/>
              <w:rPr>
                <w:rFonts w:ascii="Arial" w:eastAsia="Times New Roman" w:hAnsi="Arial" w:cs="Arial"/>
                <w:sz w:val="20"/>
                <w:szCs w:val="20"/>
                <w:lang w:val="en-US"/>
              </w:rPr>
            </w:pPr>
            <w:r w:rsidRPr="00E967EA">
              <w:rPr>
                <w:rFonts w:ascii="Arial" w:eastAsia="Times New Roman" w:hAnsi="Arial" w:cs="Arial"/>
                <w:sz w:val="20"/>
                <w:szCs w:val="20"/>
                <w:lang w:val="en-US"/>
              </w:rPr>
              <w:t>14,60</w:t>
            </w:r>
          </w:p>
        </w:tc>
        <w:tc>
          <w:tcPr>
            <w:tcW w:w="1027" w:type="dxa"/>
            <w:tcBorders>
              <w:top w:val="nil"/>
              <w:left w:val="nil"/>
              <w:bottom w:val="nil"/>
              <w:right w:val="nil"/>
            </w:tcBorders>
            <w:shd w:val="clear" w:color="auto" w:fill="auto"/>
            <w:vAlign w:val="bottom"/>
            <w:hideMark/>
          </w:tcPr>
          <w:p w:rsidR="0044223B" w:rsidRPr="00E967EA" w:rsidRDefault="0044223B" w:rsidP="007B0995">
            <w:pPr>
              <w:spacing w:after="0" w:line="240" w:lineRule="auto"/>
              <w:jc w:val="center"/>
              <w:rPr>
                <w:rFonts w:ascii="Arial" w:eastAsia="Times New Roman" w:hAnsi="Arial" w:cs="Arial"/>
                <w:sz w:val="20"/>
                <w:szCs w:val="20"/>
                <w:lang w:val="en-US"/>
              </w:rPr>
            </w:pPr>
            <w:r w:rsidRPr="00E967EA">
              <w:rPr>
                <w:rFonts w:ascii="Arial" w:eastAsia="Times New Roman" w:hAnsi="Arial" w:cs="Arial"/>
                <w:sz w:val="20"/>
                <w:szCs w:val="20"/>
                <w:lang w:val="en-US"/>
              </w:rPr>
              <w:t>8,20</w:t>
            </w:r>
          </w:p>
        </w:tc>
        <w:tc>
          <w:tcPr>
            <w:tcW w:w="1481" w:type="dxa"/>
            <w:tcBorders>
              <w:top w:val="nil"/>
              <w:left w:val="nil"/>
              <w:bottom w:val="nil"/>
              <w:right w:val="nil"/>
            </w:tcBorders>
            <w:shd w:val="clear" w:color="auto" w:fill="auto"/>
            <w:vAlign w:val="bottom"/>
            <w:hideMark/>
          </w:tcPr>
          <w:p w:rsidR="0044223B" w:rsidRPr="00E967EA" w:rsidRDefault="0044223B" w:rsidP="007B0995">
            <w:pPr>
              <w:spacing w:after="0" w:line="240" w:lineRule="auto"/>
              <w:jc w:val="center"/>
              <w:rPr>
                <w:rFonts w:ascii="Arial" w:eastAsia="Times New Roman" w:hAnsi="Arial" w:cs="Arial"/>
                <w:sz w:val="20"/>
                <w:szCs w:val="20"/>
                <w:lang w:val="en-US"/>
              </w:rPr>
            </w:pPr>
            <w:r w:rsidRPr="00E967EA">
              <w:rPr>
                <w:rFonts w:ascii="Arial" w:eastAsia="Times New Roman" w:hAnsi="Arial" w:cs="Arial"/>
                <w:sz w:val="20"/>
                <w:szCs w:val="20"/>
                <w:lang w:val="en-US"/>
              </w:rPr>
              <w:t>17,60 </w:t>
            </w:r>
          </w:p>
        </w:tc>
      </w:tr>
      <w:tr w:rsidR="00642D82" w:rsidRPr="00E967EA" w:rsidTr="00642D82">
        <w:trPr>
          <w:trHeight w:val="300"/>
        </w:trPr>
        <w:tc>
          <w:tcPr>
            <w:tcW w:w="961" w:type="dxa"/>
            <w:vMerge/>
            <w:tcBorders>
              <w:top w:val="nil"/>
              <w:left w:val="nil"/>
              <w:bottom w:val="single" w:sz="4" w:space="0" w:color="000000"/>
              <w:right w:val="nil"/>
            </w:tcBorders>
            <w:vAlign w:val="center"/>
            <w:hideMark/>
          </w:tcPr>
          <w:p w:rsidR="0044223B" w:rsidRPr="00E967EA" w:rsidRDefault="0044223B" w:rsidP="007B0995">
            <w:pPr>
              <w:spacing w:after="0" w:line="240" w:lineRule="auto"/>
              <w:rPr>
                <w:rFonts w:ascii="Arial" w:eastAsia="Times New Roman" w:hAnsi="Arial" w:cs="Arial"/>
                <w:b/>
                <w:bCs/>
                <w:color w:val="000000"/>
                <w:sz w:val="20"/>
                <w:szCs w:val="20"/>
                <w:lang w:val="en-US"/>
              </w:rPr>
            </w:pPr>
          </w:p>
        </w:tc>
        <w:tc>
          <w:tcPr>
            <w:tcW w:w="960" w:type="dxa"/>
            <w:tcBorders>
              <w:top w:val="nil"/>
              <w:left w:val="nil"/>
              <w:bottom w:val="nil"/>
              <w:right w:val="nil"/>
            </w:tcBorders>
            <w:shd w:val="clear" w:color="auto" w:fill="auto"/>
            <w:noWrap/>
            <w:vAlign w:val="bottom"/>
            <w:hideMark/>
          </w:tcPr>
          <w:p w:rsidR="0044223B" w:rsidRPr="00E967EA" w:rsidRDefault="0044223B" w:rsidP="007B0995">
            <w:pPr>
              <w:spacing w:after="0" w:line="240" w:lineRule="auto"/>
              <w:jc w:val="right"/>
              <w:rPr>
                <w:rFonts w:ascii="Arial" w:eastAsia="Times New Roman" w:hAnsi="Arial" w:cs="Arial"/>
                <w:b/>
                <w:bCs/>
                <w:color w:val="000000"/>
                <w:sz w:val="20"/>
                <w:szCs w:val="20"/>
                <w:lang w:val="en-US"/>
              </w:rPr>
            </w:pPr>
            <w:r w:rsidRPr="00E967EA">
              <w:rPr>
                <w:rFonts w:ascii="Arial" w:eastAsia="Times New Roman" w:hAnsi="Arial" w:cs="Arial"/>
                <w:b/>
                <w:bCs/>
                <w:color w:val="000000"/>
                <w:sz w:val="20"/>
                <w:szCs w:val="20"/>
                <w:lang w:val="en-US"/>
              </w:rPr>
              <w:t>2006</w:t>
            </w:r>
          </w:p>
        </w:tc>
        <w:tc>
          <w:tcPr>
            <w:tcW w:w="1119" w:type="dxa"/>
            <w:tcBorders>
              <w:top w:val="nil"/>
              <w:left w:val="nil"/>
              <w:bottom w:val="nil"/>
              <w:right w:val="nil"/>
            </w:tcBorders>
            <w:shd w:val="clear" w:color="auto" w:fill="auto"/>
            <w:vAlign w:val="bottom"/>
            <w:hideMark/>
          </w:tcPr>
          <w:p w:rsidR="0044223B" w:rsidRPr="00E967EA" w:rsidRDefault="0044223B" w:rsidP="007B0995">
            <w:pPr>
              <w:spacing w:after="0" w:line="240" w:lineRule="auto"/>
              <w:jc w:val="center"/>
              <w:rPr>
                <w:rFonts w:ascii="Arial" w:eastAsia="Times New Roman" w:hAnsi="Arial" w:cs="Arial"/>
                <w:color w:val="000000"/>
                <w:sz w:val="20"/>
                <w:szCs w:val="20"/>
                <w:lang w:val="en-US"/>
              </w:rPr>
            </w:pPr>
            <w:r w:rsidRPr="00E967EA">
              <w:rPr>
                <w:rFonts w:ascii="Arial" w:eastAsia="Times New Roman" w:hAnsi="Arial" w:cs="Arial"/>
                <w:color w:val="000000"/>
                <w:sz w:val="20"/>
                <w:szCs w:val="20"/>
                <w:lang w:val="en-US"/>
              </w:rPr>
              <w:t>22,50</w:t>
            </w:r>
          </w:p>
        </w:tc>
        <w:tc>
          <w:tcPr>
            <w:tcW w:w="1027" w:type="dxa"/>
            <w:tcBorders>
              <w:top w:val="nil"/>
              <w:left w:val="nil"/>
              <w:bottom w:val="nil"/>
              <w:right w:val="nil"/>
            </w:tcBorders>
            <w:shd w:val="clear" w:color="auto" w:fill="auto"/>
            <w:vAlign w:val="bottom"/>
            <w:hideMark/>
          </w:tcPr>
          <w:p w:rsidR="0044223B" w:rsidRPr="00E967EA" w:rsidRDefault="0044223B" w:rsidP="007B0995">
            <w:pPr>
              <w:spacing w:after="0" w:line="240" w:lineRule="auto"/>
              <w:jc w:val="center"/>
              <w:rPr>
                <w:rFonts w:ascii="Arial" w:eastAsia="Times New Roman" w:hAnsi="Arial" w:cs="Arial"/>
                <w:color w:val="000000"/>
                <w:sz w:val="20"/>
                <w:szCs w:val="20"/>
                <w:lang w:val="en-US"/>
              </w:rPr>
            </w:pPr>
            <w:r w:rsidRPr="00E967EA">
              <w:rPr>
                <w:rFonts w:ascii="Arial" w:eastAsia="Times New Roman" w:hAnsi="Arial" w:cs="Arial"/>
                <w:color w:val="000000"/>
                <w:sz w:val="20"/>
                <w:szCs w:val="20"/>
                <w:lang w:val="en-US"/>
              </w:rPr>
              <w:t>20,90</w:t>
            </w:r>
          </w:p>
        </w:tc>
        <w:tc>
          <w:tcPr>
            <w:tcW w:w="1446" w:type="dxa"/>
            <w:tcBorders>
              <w:top w:val="nil"/>
              <w:left w:val="nil"/>
              <w:bottom w:val="nil"/>
              <w:right w:val="nil"/>
            </w:tcBorders>
            <w:shd w:val="clear" w:color="auto" w:fill="auto"/>
            <w:vAlign w:val="bottom"/>
            <w:hideMark/>
          </w:tcPr>
          <w:p w:rsidR="0044223B" w:rsidRPr="00E967EA" w:rsidRDefault="0044223B" w:rsidP="007B0995">
            <w:pPr>
              <w:spacing w:after="0" w:line="240" w:lineRule="auto"/>
              <w:jc w:val="center"/>
              <w:rPr>
                <w:rFonts w:ascii="Arial" w:eastAsia="Times New Roman" w:hAnsi="Arial" w:cs="Arial"/>
                <w:sz w:val="20"/>
                <w:szCs w:val="20"/>
                <w:lang w:val="en-US"/>
              </w:rPr>
            </w:pPr>
            <w:r w:rsidRPr="00E967EA">
              <w:rPr>
                <w:rFonts w:ascii="Arial" w:eastAsia="Times New Roman" w:hAnsi="Arial" w:cs="Arial"/>
                <w:sz w:val="20"/>
                <w:szCs w:val="20"/>
                <w:lang w:val="en-US"/>
              </w:rPr>
              <w:t>19,80</w:t>
            </w:r>
          </w:p>
        </w:tc>
        <w:tc>
          <w:tcPr>
            <w:tcW w:w="1119" w:type="dxa"/>
            <w:tcBorders>
              <w:top w:val="nil"/>
              <w:left w:val="nil"/>
              <w:bottom w:val="nil"/>
              <w:right w:val="nil"/>
            </w:tcBorders>
            <w:shd w:val="clear" w:color="auto" w:fill="auto"/>
            <w:vAlign w:val="bottom"/>
            <w:hideMark/>
          </w:tcPr>
          <w:p w:rsidR="0044223B" w:rsidRPr="00E967EA" w:rsidRDefault="0044223B" w:rsidP="007B0995">
            <w:pPr>
              <w:spacing w:after="0" w:line="240" w:lineRule="auto"/>
              <w:jc w:val="center"/>
              <w:rPr>
                <w:rFonts w:ascii="Arial" w:eastAsia="Times New Roman" w:hAnsi="Arial" w:cs="Arial"/>
                <w:sz w:val="20"/>
                <w:szCs w:val="20"/>
                <w:lang w:val="en-US"/>
              </w:rPr>
            </w:pPr>
            <w:r w:rsidRPr="00E967EA">
              <w:rPr>
                <w:rFonts w:ascii="Arial" w:eastAsia="Times New Roman" w:hAnsi="Arial" w:cs="Arial"/>
                <w:sz w:val="20"/>
                <w:szCs w:val="20"/>
                <w:lang w:val="en-US"/>
              </w:rPr>
              <w:t>12,80</w:t>
            </w:r>
          </w:p>
        </w:tc>
        <w:tc>
          <w:tcPr>
            <w:tcW w:w="1027" w:type="dxa"/>
            <w:tcBorders>
              <w:top w:val="nil"/>
              <w:left w:val="nil"/>
              <w:bottom w:val="nil"/>
              <w:right w:val="nil"/>
            </w:tcBorders>
            <w:shd w:val="clear" w:color="auto" w:fill="auto"/>
            <w:vAlign w:val="bottom"/>
            <w:hideMark/>
          </w:tcPr>
          <w:p w:rsidR="0044223B" w:rsidRPr="00E967EA" w:rsidRDefault="0044223B" w:rsidP="007B0995">
            <w:pPr>
              <w:spacing w:after="0" w:line="240" w:lineRule="auto"/>
              <w:jc w:val="center"/>
              <w:rPr>
                <w:rFonts w:ascii="Arial" w:eastAsia="Times New Roman" w:hAnsi="Arial" w:cs="Arial"/>
                <w:sz w:val="20"/>
                <w:szCs w:val="20"/>
                <w:lang w:val="en-US"/>
              </w:rPr>
            </w:pPr>
            <w:r w:rsidRPr="00E967EA">
              <w:rPr>
                <w:rFonts w:ascii="Arial" w:eastAsia="Times New Roman" w:hAnsi="Arial" w:cs="Arial"/>
                <w:sz w:val="20"/>
                <w:szCs w:val="20"/>
                <w:lang w:val="en-US"/>
              </w:rPr>
              <w:t>8,10</w:t>
            </w:r>
          </w:p>
        </w:tc>
        <w:tc>
          <w:tcPr>
            <w:tcW w:w="1481" w:type="dxa"/>
            <w:tcBorders>
              <w:top w:val="nil"/>
              <w:left w:val="nil"/>
              <w:bottom w:val="nil"/>
              <w:right w:val="nil"/>
            </w:tcBorders>
            <w:shd w:val="clear" w:color="auto" w:fill="auto"/>
            <w:vAlign w:val="bottom"/>
            <w:hideMark/>
          </w:tcPr>
          <w:p w:rsidR="0044223B" w:rsidRPr="00E967EA" w:rsidRDefault="0044223B" w:rsidP="007B0995">
            <w:pPr>
              <w:spacing w:after="0" w:line="240" w:lineRule="auto"/>
              <w:jc w:val="center"/>
              <w:rPr>
                <w:rFonts w:ascii="Arial" w:eastAsia="Times New Roman" w:hAnsi="Arial" w:cs="Arial"/>
                <w:sz w:val="20"/>
                <w:szCs w:val="20"/>
                <w:lang w:val="en-US"/>
              </w:rPr>
            </w:pPr>
            <w:r w:rsidRPr="00E967EA">
              <w:rPr>
                <w:rFonts w:ascii="Arial" w:eastAsia="Times New Roman" w:hAnsi="Arial" w:cs="Arial"/>
                <w:sz w:val="20"/>
                <w:szCs w:val="20"/>
                <w:lang w:val="en-US"/>
              </w:rPr>
              <w:t>8,90</w:t>
            </w:r>
          </w:p>
        </w:tc>
      </w:tr>
      <w:tr w:rsidR="00642D82" w:rsidRPr="00E967EA" w:rsidTr="00642D82">
        <w:trPr>
          <w:trHeight w:val="300"/>
        </w:trPr>
        <w:tc>
          <w:tcPr>
            <w:tcW w:w="961" w:type="dxa"/>
            <w:vMerge/>
            <w:tcBorders>
              <w:top w:val="nil"/>
              <w:left w:val="nil"/>
              <w:bottom w:val="single" w:sz="4" w:space="0" w:color="000000"/>
              <w:right w:val="nil"/>
            </w:tcBorders>
            <w:vAlign w:val="center"/>
            <w:hideMark/>
          </w:tcPr>
          <w:p w:rsidR="0044223B" w:rsidRPr="00E967EA" w:rsidRDefault="0044223B" w:rsidP="007B0995">
            <w:pPr>
              <w:spacing w:after="0" w:line="240" w:lineRule="auto"/>
              <w:rPr>
                <w:rFonts w:ascii="Arial" w:eastAsia="Times New Roman" w:hAnsi="Arial" w:cs="Arial"/>
                <w:b/>
                <w:bCs/>
                <w:color w:val="000000"/>
                <w:sz w:val="20"/>
                <w:szCs w:val="20"/>
                <w:lang w:val="en-US"/>
              </w:rPr>
            </w:pPr>
          </w:p>
        </w:tc>
        <w:tc>
          <w:tcPr>
            <w:tcW w:w="960" w:type="dxa"/>
            <w:tcBorders>
              <w:top w:val="nil"/>
              <w:left w:val="nil"/>
              <w:bottom w:val="nil"/>
              <w:right w:val="nil"/>
            </w:tcBorders>
            <w:shd w:val="clear" w:color="auto" w:fill="auto"/>
            <w:noWrap/>
            <w:vAlign w:val="bottom"/>
            <w:hideMark/>
          </w:tcPr>
          <w:p w:rsidR="0044223B" w:rsidRPr="00E967EA" w:rsidRDefault="0044223B" w:rsidP="007B0995">
            <w:pPr>
              <w:spacing w:after="0" w:line="240" w:lineRule="auto"/>
              <w:jc w:val="right"/>
              <w:rPr>
                <w:rFonts w:ascii="Arial" w:eastAsia="Times New Roman" w:hAnsi="Arial" w:cs="Arial"/>
                <w:b/>
                <w:bCs/>
                <w:color w:val="000000"/>
                <w:sz w:val="20"/>
                <w:szCs w:val="20"/>
                <w:lang w:val="en-US"/>
              </w:rPr>
            </w:pPr>
            <w:r w:rsidRPr="00E967EA">
              <w:rPr>
                <w:rFonts w:ascii="Arial" w:eastAsia="Times New Roman" w:hAnsi="Arial" w:cs="Arial"/>
                <w:b/>
                <w:bCs/>
                <w:color w:val="000000"/>
                <w:sz w:val="20"/>
                <w:szCs w:val="20"/>
                <w:lang w:val="en-US"/>
              </w:rPr>
              <w:t>2009</w:t>
            </w:r>
          </w:p>
        </w:tc>
        <w:tc>
          <w:tcPr>
            <w:tcW w:w="1119" w:type="dxa"/>
            <w:tcBorders>
              <w:top w:val="nil"/>
              <w:left w:val="nil"/>
              <w:bottom w:val="nil"/>
              <w:right w:val="nil"/>
            </w:tcBorders>
            <w:shd w:val="clear" w:color="auto" w:fill="auto"/>
            <w:vAlign w:val="bottom"/>
            <w:hideMark/>
          </w:tcPr>
          <w:p w:rsidR="0044223B" w:rsidRPr="00E967EA" w:rsidRDefault="0044223B" w:rsidP="007B0995">
            <w:pPr>
              <w:spacing w:after="0" w:line="240" w:lineRule="auto"/>
              <w:jc w:val="center"/>
              <w:rPr>
                <w:rFonts w:ascii="Arial" w:eastAsia="Times New Roman" w:hAnsi="Arial" w:cs="Arial"/>
                <w:color w:val="000000"/>
                <w:sz w:val="20"/>
                <w:szCs w:val="20"/>
                <w:lang w:val="en-US"/>
              </w:rPr>
            </w:pPr>
            <w:r w:rsidRPr="00E967EA">
              <w:rPr>
                <w:rFonts w:ascii="Arial" w:eastAsia="Times New Roman" w:hAnsi="Arial" w:cs="Arial"/>
                <w:color w:val="000000"/>
                <w:sz w:val="20"/>
                <w:szCs w:val="20"/>
                <w:lang w:val="en-US"/>
              </w:rPr>
              <w:t>22,00</w:t>
            </w:r>
          </w:p>
        </w:tc>
        <w:tc>
          <w:tcPr>
            <w:tcW w:w="1027" w:type="dxa"/>
            <w:tcBorders>
              <w:top w:val="nil"/>
              <w:left w:val="nil"/>
              <w:bottom w:val="nil"/>
              <w:right w:val="nil"/>
            </w:tcBorders>
            <w:shd w:val="clear" w:color="auto" w:fill="auto"/>
            <w:vAlign w:val="bottom"/>
            <w:hideMark/>
          </w:tcPr>
          <w:p w:rsidR="0044223B" w:rsidRPr="00E967EA" w:rsidRDefault="0044223B" w:rsidP="007B0995">
            <w:pPr>
              <w:spacing w:after="0" w:line="240" w:lineRule="auto"/>
              <w:jc w:val="center"/>
              <w:rPr>
                <w:rFonts w:ascii="Arial" w:eastAsia="Times New Roman" w:hAnsi="Arial" w:cs="Arial"/>
                <w:color w:val="000000"/>
                <w:sz w:val="20"/>
                <w:szCs w:val="20"/>
                <w:lang w:val="en-US"/>
              </w:rPr>
            </w:pPr>
            <w:r w:rsidRPr="00E967EA">
              <w:rPr>
                <w:rFonts w:ascii="Arial" w:eastAsia="Times New Roman" w:hAnsi="Arial" w:cs="Arial"/>
                <w:color w:val="000000"/>
                <w:sz w:val="20"/>
                <w:szCs w:val="20"/>
                <w:lang w:val="en-US"/>
              </w:rPr>
              <w:t>18,50</w:t>
            </w:r>
          </w:p>
        </w:tc>
        <w:tc>
          <w:tcPr>
            <w:tcW w:w="1446" w:type="dxa"/>
            <w:tcBorders>
              <w:top w:val="nil"/>
              <w:left w:val="nil"/>
              <w:bottom w:val="nil"/>
              <w:right w:val="nil"/>
            </w:tcBorders>
            <w:shd w:val="clear" w:color="auto" w:fill="auto"/>
            <w:vAlign w:val="bottom"/>
            <w:hideMark/>
          </w:tcPr>
          <w:p w:rsidR="0044223B" w:rsidRPr="00E967EA" w:rsidRDefault="0044223B" w:rsidP="007B0995">
            <w:pPr>
              <w:spacing w:after="0" w:line="240" w:lineRule="auto"/>
              <w:jc w:val="center"/>
              <w:rPr>
                <w:rFonts w:ascii="Arial" w:eastAsia="Times New Roman" w:hAnsi="Arial" w:cs="Arial"/>
                <w:sz w:val="20"/>
                <w:szCs w:val="20"/>
                <w:lang w:val="en-US"/>
              </w:rPr>
            </w:pPr>
            <w:r w:rsidRPr="00E967EA">
              <w:rPr>
                <w:rFonts w:ascii="Arial" w:eastAsia="Times New Roman" w:hAnsi="Arial" w:cs="Arial"/>
                <w:sz w:val="20"/>
                <w:szCs w:val="20"/>
                <w:lang w:val="en-US"/>
              </w:rPr>
              <w:t>17,90</w:t>
            </w:r>
          </w:p>
        </w:tc>
        <w:tc>
          <w:tcPr>
            <w:tcW w:w="1119" w:type="dxa"/>
            <w:tcBorders>
              <w:top w:val="nil"/>
              <w:left w:val="nil"/>
              <w:bottom w:val="nil"/>
              <w:right w:val="nil"/>
            </w:tcBorders>
            <w:shd w:val="clear" w:color="auto" w:fill="auto"/>
            <w:vAlign w:val="bottom"/>
            <w:hideMark/>
          </w:tcPr>
          <w:p w:rsidR="0044223B" w:rsidRPr="00E967EA" w:rsidRDefault="0044223B" w:rsidP="007B0995">
            <w:pPr>
              <w:spacing w:after="0" w:line="240" w:lineRule="auto"/>
              <w:jc w:val="center"/>
              <w:rPr>
                <w:rFonts w:ascii="Arial" w:eastAsia="Times New Roman" w:hAnsi="Arial" w:cs="Arial"/>
                <w:sz w:val="20"/>
                <w:szCs w:val="20"/>
                <w:lang w:val="en-US"/>
              </w:rPr>
            </w:pPr>
            <w:r w:rsidRPr="00E967EA">
              <w:rPr>
                <w:rFonts w:ascii="Arial" w:eastAsia="Times New Roman" w:hAnsi="Arial" w:cs="Arial"/>
                <w:sz w:val="20"/>
                <w:szCs w:val="20"/>
                <w:lang w:val="en-US"/>
              </w:rPr>
              <w:t>12,70</w:t>
            </w:r>
          </w:p>
        </w:tc>
        <w:tc>
          <w:tcPr>
            <w:tcW w:w="1027" w:type="dxa"/>
            <w:tcBorders>
              <w:top w:val="nil"/>
              <w:left w:val="nil"/>
              <w:bottom w:val="nil"/>
              <w:right w:val="nil"/>
            </w:tcBorders>
            <w:shd w:val="clear" w:color="auto" w:fill="auto"/>
            <w:vAlign w:val="bottom"/>
            <w:hideMark/>
          </w:tcPr>
          <w:p w:rsidR="0044223B" w:rsidRPr="00E967EA" w:rsidRDefault="0044223B" w:rsidP="007B0995">
            <w:pPr>
              <w:spacing w:after="0" w:line="240" w:lineRule="auto"/>
              <w:jc w:val="center"/>
              <w:rPr>
                <w:rFonts w:ascii="Arial" w:eastAsia="Times New Roman" w:hAnsi="Arial" w:cs="Arial"/>
                <w:sz w:val="20"/>
                <w:szCs w:val="20"/>
                <w:lang w:val="en-US"/>
              </w:rPr>
            </w:pPr>
            <w:r w:rsidRPr="00E967EA">
              <w:rPr>
                <w:rFonts w:ascii="Arial" w:eastAsia="Times New Roman" w:hAnsi="Arial" w:cs="Arial"/>
                <w:sz w:val="20"/>
                <w:szCs w:val="20"/>
                <w:lang w:val="en-US"/>
              </w:rPr>
              <w:t>7,70</w:t>
            </w:r>
          </w:p>
        </w:tc>
        <w:tc>
          <w:tcPr>
            <w:tcW w:w="1481" w:type="dxa"/>
            <w:tcBorders>
              <w:top w:val="nil"/>
              <w:left w:val="nil"/>
              <w:bottom w:val="nil"/>
              <w:right w:val="nil"/>
            </w:tcBorders>
            <w:shd w:val="clear" w:color="auto" w:fill="auto"/>
            <w:vAlign w:val="bottom"/>
            <w:hideMark/>
          </w:tcPr>
          <w:p w:rsidR="0044223B" w:rsidRPr="00E967EA" w:rsidRDefault="0044223B" w:rsidP="007B0995">
            <w:pPr>
              <w:spacing w:after="0" w:line="240" w:lineRule="auto"/>
              <w:jc w:val="center"/>
              <w:rPr>
                <w:rFonts w:ascii="Arial" w:eastAsia="Times New Roman" w:hAnsi="Arial" w:cs="Arial"/>
                <w:sz w:val="20"/>
                <w:szCs w:val="20"/>
                <w:lang w:val="en-US"/>
              </w:rPr>
            </w:pPr>
            <w:r w:rsidRPr="00E967EA">
              <w:rPr>
                <w:rFonts w:ascii="Arial" w:eastAsia="Times New Roman" w:hAnsi="Arial" w:cs="Arial"/>
                <w:sz w:val="20"/>
                <w:szCs w:val="20"/>
                <w:lang w:val="en-US"/>
              </w:rPr>
              <w:t>8,50</w:t>
            </w:r>
          </w:p>
        </w:tc>
      </w:tr>
      <w:tr w:rsidR="00642D82" w:rsidRPr="00E967EA" w:rsidTr="00642D82">
        <w:trPr>
          <w:trHeight w:val="300"/>
        </w:trPr>
        <w:tc>
          <w:tcPr>
            <w:tcW w:w="961" w:type="dxa"/>
            <w:vMerge/>
            <w:tcBorders>
              <w:top w:val="nil"/>
              <w:left w:val="nil"/>
              <w:bottom w:val="single" w:sz="4" w:space="0" w:color="000000"/>
              <w:right w:val="nil"/>
            </w:tcBorders>
            <w:vAlign w:val="center"/>
            <w:hideMark/>
          </w:tcPr>
          <w:p w:rsidR="0044223B" w:rsidRPr="00E967EA" w:rsidRDefault="0044223B" w:rsidP="007B0995">
            <w:pPr>
              <w:spacing w:after="0" w:line="240" w:lineRule="auto"/>
              <w:rPr>
                <w:rFonts w:ascii="Arial" w:eastAsia="Times New Roman" w:hAnsi="Arial" w:cs="Arial"/>
                <w:b/>
                <w:bCs/>
                <w:color w:val="000000"/>
                <w:sz w:val="20"/>
                <w:szCs w:val="20"/>
                <w:lang w:val="en-US"/>
              </w:rPr>
            </w:pPr>
          </w:p>
        </w:tc>
        <w:tc>
          <w:tcPr>
            <w:tcW w:w="960" w:type="dxa"/>
            <w:tcBorders>
              <w:top w:val="nil"/>
              <w:left w:val="nil"/>
              <w:bottom w:val="single" w:sz="4" w:space="0" w:color="auto"/>
              <w:right w:val="nil"/>
            </w:tcBorders>
            <w:shd w:val="clear" w:color="auto" w:fill="auto"/>
            <w:noWrap/>
            <w:vAlign w:val="bottom"/>
            <w:hideMark/>
          </w:tcPr>
          <w:p w:rsidR="0044223B" w:rsidRPr="00E967EA" w:rsidRDefault="0044223B" w:rsidP="007B0995">
            <w:pPr>
              <w:spacing w:after="0" w:line="240" w:lineRule="auto"/>
              <w:jc w:val="right"/>
              <w:rPr>
                <w:rFonts w:ascii="Arial" w:eastAsia="Times New Roman" w:hAnsi="Arial" w:cs="Arial"/>
                <w:b/>
                <w:bCs/>
                <w:color w:val="000000"/>
                <w:sz w:val="20"/>
                <w:szCs w:val="20"/>
                <w:lang w:val="en-US"/>
              </w:rPr>
            </w:pPr>
            <w:r w:rsidRPr="00E967EA">
              <w:rPr>
                <w:rFonts w:ascii="Arial" w:eastAsia="Times New Roman" w:hAnsi="Arial" w:cs="Arial"/>
                <w:b/>
                <w:bCs/>
                <w:color w:val="000000"/>
                <w:sz w:val="20"/>
                <w:szCs w:val="20"/>
                <w:lang w:val="en-US"/>
              </w:rPr>
              <w:t>2012</w:t>
            </w:r>
          </w:p>
        </w:tc>
        <w:tc>
          <w:tcPr>
            <w:tcW w:w="1119" w:type="dxa"/>
            <w:tcBorders>
              <w:top w:val="nil"/>
              <w:left w:val="nil"/>
              <w:bottom w:val="single" w:sz="4" w:space="0" w:color="auto"/>
              <w:right w:val="nil"/>
            </w:tcBorders>
            <w:shd w:val="clear" w:color="auto" w:fill="auto"/>
            <w:vAlign w:val="bottom"/>
            <w:hideMark/>
          </w:tcPr>
          <w:p w:rsidR="0044223B" w:rsidRPr="00E967EA" w:rsidRDefault="0044223B" w:rsidP="007B0995">
            <w:pPr>
              <w:spacing w:after="0" w:line="240" w:lineRule="auto"/>
              <w:jc w:val="center"/>
              <w:rPr>
                <w:rFonts w:ascii="Arial" w:eastAsia="Times New Roman" w:hAnsi="Arial" w:cs="Arial"/>
                <w:color w:val="000000"/>
                <w:sz w:val="20"/>
                <w:szCs w:val="20"/>
                <w:lang w:val="en-US"/>
              </w:rPr>
            </w:pPr>
            <w:r w:rsidRPr="00E967EA">
              <w:rPr>
                <w:rFonts w:ascii="Arial" w:eastAsia="Times New Roman" w:hAnsi="Arial" w:cs="Arial"/>
                <w:color w:val="000000"/>
                <w:sz w:val="20"/>
                <w:szCs w:val="20"/>
                <w:lang w:val="en-US"/>
              </w:rPr>
              <w:t>23,00</w:t>
            </w:r>
          </w:p>
        </w:tc>
        <w:tc>
          <w:tcPr>
            <w:tcW w:w="1027" w:type="dxa"/>
            <w:tcBorders>
              <w:top w:val="nil"/>
              <w:left w:val="nil"/>
              <w:bottom w:val="single" w:sz="4" w:space="0" w:color="auto"/>
              <w:right w:val="nil"/>
            </w:tcBorders>
            <w:shd w:val="clear" w:color="auto" w:fill="auto"/>
            <w:vAlign w:val="bottom"/>
            <w:hideMark/>
          </w:tcPr>
          <w:p w:rsidR="0044223B" w:rsidRPr="00E967EA" w:rsidRDefault="0044223B" w:rsidP="007B0995">
            <w:pPr>
              <w:spacing w:after="0" w:line="240" w:lineRule="auto"/>
              <w:jc w:val="center"/>
              <w:rPr>
                <w:rFonts w:ascii="Arial" w:eastAsia="Times New Roman" w:hAnsi="Arial" w:cs="Arial"/>
                <w:color w:val="000000"/>
                <w:sz w:val="20"/>
                <w:szCs w:val="20"/>
                <w:lang w:val="en-US"/>
              </w:rPr>
            </w:pPr>
            <w:r w:rsidRPr="00E967EA">
              <w:rPr>
                <w:rFonts w:ascii="Arial" w:eastAsia="Times New Roman" w:hAnsi="Arial" w:cs="Arial"/>
                <w:color w:val="000000"/>
                <w:sz w:val="20"/>
                <w:szCs w:val="20"/>
                <w:lang w:val="en-US"/>
              </w:rPr>
              <w:t>18,00</w:t>
            </w:r>
          </w:p>
        </w:tc>
        <w:tc>
          <w:tcPr>
            <w:tcW w:w="1446" w:type="dxa"/>
            <w:tcBorders>
              <w:top w:val="nil"/>
              <w:left w:val="nil"/>
              <w:bottom w:val="single" w:sz="4" w:space="0" w:color="auto"/>
              <w:right w:val="nil"/>
            </w:tcBorders>
            <w:shd w:val="clear" w:color="auto" w:fill="auto"/>
            <w:vAlign w:val="bottom"/>
            <w:hideMark/>
          </w:tcPr>
          <w:p w:rsidR="0044223B" w:rsidRPr="00E967EA" w:rsidRDefault="0044223B" w:rsidP="007B0995">
            <w:pPr>
              <w:spacing w:after="0" w:line="240" w:lineRule="auto"/>
              <w:jc w:val="center"/>
              <w:rPr>
                <w:rFonts w:ascii="Arial" w:eastAsia="Times New Roman" w:hAnsi="Arial" w:cs="Arial"/>
                <w:color w:val="000000"/>
                <w:sz w:val="20"/>
                <w:szCs w:val="20"/>
                <w:lang w:val="en-US"/>
              </w:rPr>
            </w:pPr>
            <w:r w:rsidRPr="00E967EA">
              <w:rPr>
                <w:rFonts w:ascii="Arial" w:eastAsia="Times New Roman" w:hAnsi="Arial" w:cs="Arial"/>
                <w:color w:val="000000"/>
                <w:sz w:val="20"/>
                <w:szCs w:val="20"/>
                <w:lang w:val="en-US"/>
              </w:rPr>
              <w:t>17,80</w:t>
            </w:r>
          </w:p>
        </w:tc>
        <w:tc>
          <w:tcPr>
            <w:tcW w:w="1119" w:type="dxa"/>
            <w:tcBorders>
              <w:top w:val="nil"/>
              <w:left w:val="nil"/>
              <w:bottom w:val="single" w:sz="4" w:space="0" w:color="auto"/>
              <w:right w:val="nil"/>
            </w:tcBorders>
            <w:shd w:val="clear" w:color="auto" w:fill="auto"/>
            <w:vAlign w:val="bottom"/>
            <w:hideMark/>
          </w:tcPr>
          <w:p w:rsidR="0044223B" w:rsidRPr="00E967EA" w:rsidRDefault="0044223B" w:rsidP="007B0995">
            <w:pPr>
              <w:spacing w:after="0" w:line="240" w:lineRule="auto"/>
              <w:jc w:val="center"/>
              <w:rPr>
                <w:rFonts w:ascii="Arial" w:eastAsia="Times New Roman" w:hAnsi="Arial" w:cs="Arial"/>
                <w:color w:val="000000"/>
                <w:sz w:val="20"/>
                <w:szCs w:val="20"/>
                <w:lang w:val="en-US"/>
              </w:rPr>
            </w:pPr>
            <w:r w:rsidRPr="00E967EA">
              <w:rPr>
                <w:rFonts w:ascii="Arial" w:eastAsia="Times New Roman" w:hAnsi="Arial" w:cs="Arial"/>
                <w:color w:val="000000"/>
                <w:sz w:val="20"/>
                <w:szCs w:val="20"/>
                <w:lang w:val="en-US"/>
              </w:rPr>
              <w:t>12,60</w:t>
            </w:r>
          </w:p>
        </w:tc>
        <w:tc>
          <w:tcPr>
            <w:tcW w:w="1027" w:type="dxa"/>
            <w:tcBorders>
              <w:top w:val="nil"/>
              <w:left w:val="nil"/>
              <w:bottom w:val="single" w:sz="4" w:space="0" w:color="auto"/>
              <w:right w:val="nil"/>
            </w:tcBorders>
            <w:shd w:val="clear" w:color="auto" w:fill="auto"/>
            <w:vAlign w:val="bottom"/>
            <w:hideMark/>
          </w:tcPr>
          <w:p w:rsidR="0044223B" w:rsidRPr="00E967EA" w:rsidRDefault="0044223B" w:rsidP="007B0995">
            <w:pPr>
              <w:spacing w:after="0" w:line="240" w:lineRule="auto"/>
              <w:jc w:val="center"/>
              <w:rPr>
                <w:rFonts w:ascii="Arial" w:eastAsia="Times New Roman" w:hAnsi="Arial" w:cs="Arial"/>
                <w:color w:val="000000"/>
                <w:sz w:val="20"/>
                <w:szCs w:val="20"/>
                <w:lang w:val="en-US"/>
              </w:rPr>
            </w:pPr>
            <w:r w:rsidRPr="00E967EA">
              <w:rPr>
                <w:rFonts w:ascii="Arial" w:eastAsia="Times New Roman" w:hAnsi="Arial" w:cs="Arial"/>
                <w:color w:val="000000"/>
                <w:sz w:val="20"/>
                <w:szCs w:val="20"/>
                <w:lang w:val="en-US"/>
              </w:rPr>
              <w:t>8,40</w:t>
            </w:r>
          </w:p>
        </w:tc>
        <w:tc>
          <w:tcPr>
            <w:tcW w:w="1481" w:type="dxa"/>
            <w:tcBorders>
              <w:top w:val="nil"/>
              <w:left w:val="nil"/>
              <w:bottom w:val="single" w:sz="4" w:space="0" w:color="auto"/>
              <w:right w:val="nil"/>
            </w:tcBorders>
            <w:shd w:val="clear" w:color="auto" w:fill="auto"/>
            <w:vAlign w:val="bottom"/>
            <w:hideMark/>
          </w:tcPr>
          <w:p w:rsidR="0044223B" w:rsidRPr="00E967EA" w:rsidRDefault="0044223B" w:rsidP="007B0995">
            <w:pPr>
              <w:keepNext/>
              <w:spacing w:after="0" w:line="240" w:lineRule="auto"/>
              <w:jc w:val="center"/>
              <w:rPr>
                <w:rFonts w:ascii="Arial" w:eastAsia="Times New Roman" w:hAnsi="Arial" w:cs="Arial"/>
                <w:color w:val="000000"/>
                <w:sz w:val="20"/>
                <w:szCs w:val="20"/>
                <w:lang w:val="en-US"/>
              </w:rPr>
            </w:pPr>
            <w:r w:rsidRPr="00E967EA">
              <w:rPr>
                <w:rFonts w:ascii="Arial" w:eastAsia="Times New Roman" w:hAnsi="Arial" w:cs="Arial"/>
                <w:color w:val="000000"/>
                <w:sz w:val="20"/>
                <w:szCs w:val="20"/>
                <w:lang w:val="en-US"/>
              </w:rPr>
              <w:t>8,40</w:t>
            </w:r>
          </w:p>
        </w:tc>
      </w:tr>
    </w:tbl>
    <w:p w:rsidR="00642D82" w:rsidRPr="00E967EA" w:rsidRDefault="00642D82" w:rsidP="0044223B">
      <w:pPr>
        <w:pStyle w:val="Caption"/>
        <w:contextualSpacing/>
        <w:rPr>
          <w:rFonts w:ascii="Arial" w:hAnsi="Arial" w:cs="Arial"/>
          <w:b w:val="0"/>
          <w:color w:val="auto"/>
          <w:sz w:val="16"/>
          <w:szCs w:val="16"/>
          <w:lang w:val="en-US"/>
        </w:rPr>
      </w:pPr>
      <w:r w:rsidRPr="00E967EA">
        <w:rPr>
          <w:rFonts w:ascii="Arial" w:hAnsi="Arial" w:cs="Arial"/>
          <w:b w:val="0"/>
          <w:color w:val="auto"/>
          <w:sz w:val="16"/>
          <w:szCs w:val="16"/>
          <w:lang w:val="en-US"/>
        </w:rPr>
        <w:t>Note: Students below level 2 have maximum score of 407.47 and students at level 5 or above have minimum score of 625.61.</w:t>
      </w:r>
    </w:p>
    <w:p w:rsidR="00642D82" w:rsidRPr="00E967EA" w:rsidRDefault="0044223B" w:rsidP="0044223B">
      <w:pPr>
        <w:pStyle w:val="Caption"/>
        <w:contextualSpacing/>
        <w:rPr>
          <w:rFonts w:ascii="Arial" w:hAnsi="Arial" w:cs="Arial"/>
          <w:b w:val="0"/>
          <w:color w:val="auto"/>
          <w:sz w:val="16"/>
          <w:szCs w:val="16"/>
          <w:lang w:val="en-US"/>
        </w:rPr>
      </w:pPr>
      <w:r w:rsidRPr="00E967EA">
        <w:rPr>
          <w:rFonts w:ascii="Arial" w:hAnsi="Arial" w:cs="Arial"/>
          <w:b w:val="0"/>
          <w:color w:val="auto"/>
          <w:sz w:val="16"/>
          <w:szCs w:val="16"/>
          <w:lang w:val="en-US"/>
        </w:rPr>
        <w:t>*</w:t>
      </w:r>
      <w:r w:rsidR="00642D82" w:rsidRPr="00E967EA">
        <w:rPr>
          <w:rFonts w:ascii="Arial" w:hAnsi="Arial" w:cs="Arial"/>
          <w:b w:val="0"/>
          <w:color w:val="auto"/>
          <w:sz w:val="16"/>
          <w:szCs w:val="16"/>
          <w:lang w:val="en-US"/>
        </w:rPr>
        <w:t xml:space="preserve"> For 2003 Science scores students below level 2 have maximum score of 400 and students at level 5 or above have minimum score of 600. </w:t>
      </w:r>
    </w:p>
    <w:p w:rsidR="0044223B" w:rsidRPr="00E967EA" w:rsidRDefault="0044223B" w:rsidP="0044223B">
      <w:pPr>
        <w:jc w:val="both"/>
        <w:rPr>
          <w:rFonts w:ascii="Arial" w:hAnsi="Arial" w:cs="Arial"/>
          <w:b/>
          <w:lang w:val="en-US"/>
        </w:rPr>
      </w:pPr>
    </w:p>
    <w:p w:rsidR="00642D82" w:rsidRPr="00E967EA" w:rsidRDefault="00642D82" w:rsidP="0044223B">
      <w:pPr>
        <w:pStyle w:val="Caption"/>
        <w:keepNext/>
        <w:rPr>
          <w:rFonts w:ascii="Arial" w:hAnsi="Arial" w:cs="Arial"/>
          <w:color w:val="auto"/>
          <w:sz w:val="20"/>
          <w:szCs w:val="20"/>
          <w:lang w:val="en-US"/>
        </w:rPr>
      </w:pPr>
      <w:r w:rsidRPr="00E967EA">
        <w:rPr>
          <w:rFonts w:ascii="Arial" w:hAnsi="Arial" w:cs="Arial"/>
          <w:color w:val="auto"/>
          <w:sz w:val="20"/>
          <w:szCs w:val="20"/>
          <w:lang w:val="en-US"/>
        </w:rPr>
        <w:t>Table</w:t>
      </w:r>
      <w:r w:rsidR="0044223B" w:rsidRPr="00E967EA">
        <w:rPr>
          <w:rFonts w:ascii="Arial" w:hAnsi="Arial" w:cs="Arial"/>
          <w:color w:val="auto"/>
          <w:sz w:val="20"/>
          <w:szCs w:val="20"/>
          <w:lang w:val="en-US"/>
        </w:rPr>
        <w:t xml:space="preserve"> 2: </w:t>
      </w:r>
      <w:r w:rsidRPr="00E967EA">
        <w:rPr>
          <w:rFonts w:ascii="Arial" w:hAnsi="Arial" w:cs="Arial"/>
          <w:color w:val="auto"/>
          <w:sz w:val="20"/>
          <w:szCs w:val="20"/>
          <w:lang w:val="en-US"/>
        </w:rPr>
        <w:t xml:space="preserve">Distribution of 2009-2012 PISA schools by location </w:t>
      </w:r>
    </w:p>
    <w:tbl>
      <w:tblPr>
        <w:tblW w:w="6618" w:type="dxa"/>
        <w:tblInd w:w="70" w:type="dxa"/>
        <w:tblCellMar>
          <w:left w:w="70" w:type="dxa"/>
          <w:right w:w="70" w:type="dxa"/>
        </w:tblCellMar>
        <w:tblLook w:val="04A0" w:firstRow="1" w:lastRow="0" w:firstColumn="1" w:lastColumn="0" w:noHBand="0" w:noVBand="1"/>
      </w:tblPr>
      <w:tblGrid>
        <w:gridCol w:w="976"/>
        <w:gridCol w:w="2516"/>
        <w:gridCol w:w="1044"/>
        <w:gridCol w:w="1106"/>
        <w:gridCol w:w="976"/>
      </w:tblGrid>
      <w:tr w:rsidR="0044223B" w:rsidRPr="00E967EA" w:rsidTr="00F7602D">
        <w:trPr>
          <w:trHeight w:val="300"/>
        </w:trPr>
        <w:tc>
          <w:tcPr>
            <w:tcW w:w="976" w:type="dxa"/>
            <w:tcBorders>
              <w:top w:val="single" w:sz="4" w:space="0" w:color="auto"/>
              <w:left w:val="nil"/>
              <w:bottom w:val="single" w:sz="4" w:space="0" w:color="auto"/>
              <w:right w:val="nil"/>
            </w:tcBorders>
            <w:shd w:val="clear" w:color="auto" w:fill="auto"/>
            <w:noWrap/>
            <w:vAlign w:val="bottom"/>
            <w:hideMark/>
          </w:tcPr>
          <w:p w:rsidR="0044223B" w:rsidRPr="00E967EA" w:rsidRDefault="0044223B" w:rsidP="007B0995">
            <w:pPr>
              <w:spacing w:after="0" w:line="240" w:lineRule="auto"/>
              <w:rPr>
                <w:rFonts w:ascii="Arial" w:eastAsia="Times New Roman" w:hAnsi="Arial" w:cs="Arial"/>
                <w:color w:val="000000"/>
                <w:sz w:val="20"/>
                <w:szCs w:val="20"/>
                <w:lang w:val="en-US"/>
              </w:rPr>
            </w:pPr>
            <w:r w:rsidRPr="00E967EA">
              <w:rPr>
                <w:rFonts w:ascii="Arial" w:eastAsia="Times New Roman" w:hAnsi="Arial" w:cs="Arial"/>
                <w:color w:val="000000"/>
                <w:sz w:val="20"/>
                <w:szCs w:val="20"/>
                <w:lang w:val="en-US"/>
              </w:rPr>
              <w:t> </w:t>
            </w:r>
          </w:p>
        </w:tc>
        <w:tc>
          <w:tcPr>
            <w:tcW w:w="2516" w:type="dxa"/>
            <w:tcBorders>
              <w:top w:val="single" w:sz="4" w:space="0" w:color="auto"/>
              <w:left w:val="nil"/>
              <w:bottom w:val="single" w:sz="4" w:space="0" w:color="auto"/>
              <w:right w:val="nil"/>
            </w:tcBorders>
            <w:shd w:val="clear" w:color="auto" w:fill="auto"/>
            <w:noWrap/>
            <w:vAlign w:val="bottom"/>
            <w:hideMark/>
          </w:tcPr>
          <w:p w:rsidR="0044223B" w:rsidRPr="00E967EA" w:rsidRDefault="0044223B" w:rsidP="007B0995">
            <w:pPr>
              <w:spacing w:after="0" w:line="240" w:lineRule="auto"/>
              <w:rPr>
                <w:rFonts w:ascii="Arial" w:eastAsia="Times New Roman" w:hAnsi="Arial" w:cs="Arial"/>
                <w:color w:val="000000"/>
                <w:sz w:val="20"/>
                <w:szCs w:val="20"/>
                <w:lang w:val="en-US"/>
              </w:rPr>
            </w:pPr>
            <w:r w:rsidRPr="00E967EA">
              <w:rPr>
                <w:rFonts w:ascii="Arial" w:eastAsia="Times New Roman" w:hAnsi="Arial" w:cs="Arial"/>
                <w:color w:val="000000"/>
                <w:sz w:val="20"/>
                <w:szCs w:val="20"/>
                <w:lang w:val="en-US"/>
              </w:rPr>
              <w:t> </w:t>
            </w:r>
          </w:p>
        </w:tc>
        <w:tc>
          <w:tcPr>
            <w:tcW w:w="1044" w:type="dxa"/>
            <w:tcBorders>
              <w:top w:val="single" w:sz="4" w:space="0" w:color="auto"/>
              <w:left w:val="nil"/>
              <w:bottom w:val="single" w:sz="4" w:space="0" w:color="auto"/>
              <w:right w:val="nil"/>
            </w:tcBorders>
            <w:shd w:val="clear" w:color="auto" w:fill="auto"/>
            <w:noWrap/>
            <w:vAlign w:val="bottom"/>
            <w:hideMark/>
          </w:tcPr>
          <w:p w:rsidR="0044223B" w:rsidRPr="00E967EA" w:rsidRDefault="0044223B" w:rsidP="007B0995">
            <w:pPr>
              <w:spacing w:after="0" w:line="240" w:lineRule="auto"/>
              <w:rPr>
                <w:rFonts w:ascii="Arial" w:eastAsia="Times New Roman" w:hAnsi="Arial" w:cs="Arial"/>
                <w:b/>
                <w:bCs/>
                <w:color w:val="000000"/>
                <w:sz w:val="20"/>
                <w:szCs w:val="20"/>
                <w:lang w:val="en-US"/>
              </w:rPr>
            </w:pPr>
            <w:r w:rsidRPr="00E967EA">
              <w:rPr>
                <w:rFonts w:ascii="Arial" w:eastAsia="Times New Roman" w:hAnsi="Arial" w:cs="Arial"/>
                <w:b/>
                <w:bCs/>
                <w:color w:val="000000"/>
                <w:sz w:val="20"/>
                <w:szCs w:val="20"/>
                <w:lang w:val="en-US"/>
              </w:rPr>
              <w:t> </w:t>
            </w:r>
          </w:p>
        </w:tc>
        <w:tc>
          <w:tcPr>
            <w:tcW w:w="1106" w:type="dxa"/>
            <w:tcBorders>
              <w:top w:val="single" w:sz="4" w:space="0" w:color="auto"/>
              <w:left w:val="nil"/>
              <w:bottom w:val="single" w:sz="4" w:space="0" w:color="auto"/>
              <w:right w:val="nil"/>
            </w:tcBorders>
            <w:shd w:val="clear" w:color="auto" w:fill="auto"/>
            <w:noWrap/>
            <w:vAlign w:val="bottom"/>
            <w:hideMark/>
          </w:tcPr>
          <w:p w:rsidR="0044223B" w:rsidRPr="00E967EA" w:rsidRDefault="0044223B" w:rsidP="007B0995">
            <w:pPr>
              <w:spacing w:after="0" w:line="240" w:lineRule="auto"/>
              <w:jc w:val="right"/>
              <w:rPr>
                <w:rFonts w:ascii="Arial" w:eastAsia="Times New Roman" w:hAnsi="Arial" w:cs="Arial"/>
                <w:b/>
                <w:bCs/>
                <w:color w:val="000000"/>
                <w:sz w:val="20"/>
                <w:szCs w:val="20"/>
                <w:lang w:val="en-US"/>
              </w:rPr>
            </w:pPr>
            <w:r w:rsidRPr="00E967EA">
              <w:rPr>
                <w:rFonts w:ascii="Arial" w:eastAsia="Times New Roman" w:hAnsi="Arial" w:cs="Arial"/>
                <w:b/>
                <w:bCs/>
                <w:color w:val="000000"/>
                <w:sz w:val="20"/>
                <w:szCs w:val="20"/>
                <w:lang w:val="en-US"/>
              </w:rPr>
              <w:t>2009</w:t>
            </w:r>
          </w:p>
        </w:tc>
        <w:tc>
          <w:tcPr>
            <w:tcW w:w="976" w:type="dxa"/>
            <w:tcBorders>
              <w:top w:val="single" w:sz="4" w:space="0" w:color="auto"/>
              <w:left w:val="nil"/>
              <w:bottom w:val="single" w:sz="4" w:space="0" w:color="auto"/>
              <w:right w:val="nil"/>
            </w:tcBorders>
            <w:shd w:val="clear" w:color="auto" w:fill="auto"/>
            <w:noWrap/>
            <w:vAlign w:val="bottom"/>
            <w:hideMark/>
          </w:tcPr>
          <w:p w:rsidR="0044223B" w:rsidRPr="00E967EA" w:rsidRDefault="0044223B" w:rsidP="007B0995">
            <w:pPr>
              <w:spacing w:after="0" w:line="240" w:lineRule="auto"/>
              <w:jc w:val="right"/>
              <w:rPr>
                <w:rFonts w:ascii="Arial" w:eastAsia="Times New Roman" w:hAnsi="Arial" w:cs="Arial"/>
                <w:b/>
                <w:bCs/>
                <w:color w:val="000000"/>
                <w:sz w:val="20"/>
                <w:szCs w:val="20"/>
                <w:lang w:val="en-US"/>
              </w:rPr>
            </w:pPr>
            <w:r w:rsidRPr="00E967EA">
              <w:rPr>
                <w:rFonts w:ascii="Arial" w:eastAsia="Times New Roman" w:hAnsi="Arial" w:cs="Arial"/>
                <w:b/>
                <w:bCs/>
                <w:color w:val="000000"/>
                <w:sz w:val="20"/>
                <w:szCs w:val="20"/>
                <w:lang w:val="en-US"/>
              </w:rPr>
              <w:t>2012</w:t>
            </w:r>
          </w:p>
        </w:tc>
      </w:tr>
      <w:tr w:rsidR="0044223B" w:rsidRPr="00E967EA" w:rsidTr="00F7602D">
        <w:trPr>
          <w:trHeight w:val="465"/>
        </w:trPr>
        <w:tc>
          <w:tcPr>
            <w:tcW w:w="3492" w:type="dxa"/>
            <w:gridSpan w:val="2"/>
            <w:vMerge w:val="restart"/>
            <w:tcBorders>
              <w:top w:val="single" w:sz="4" w:space="0" w:color="auto"/>
              <w:left w:val="nil"/>
              <w:bottom w:val="single" w:sz="4" w:space="0" w:color="000000"/>
              <w:right w:val="nil"/>
            </w:tcBorders>
            <w:shd w:val="clear" w:color="auto" w:fill="auto"/>
            <w:hideMark/>
          </w:tcPr>
          <w:p w:rsidR="0044223B" w:rsidRPr="00E967EA" w:rsidRDefault="00642D82" w:rsidP="00642D82">
            <w:pPr>
              <w:spacing w:after="0" w:line="240" w:lineRule="auto"/>
              <w:rPr>
                <w:rFonts w:ascii="Arial" w:eastAsia="Times New Roman" w:hAnsi="Arial" w:cs="Arial"/>
                <w:b/>
                <w:bCs/>
                <w:color w:val="000000"/>
                <w:sz w:val="20"/>
                <w:szCs w:val="20"/>
                <w:lang w:val="en-US"/>
              </w:rPr>
            </w:pPr>
            <w:r w:rsidRPr="00E967EA">
              <w:rPr>
                <w:rFonts w:ascii="Arial" w:eastAsia="Times New Roman" w:hAnsi="Arial" w:cs="Arial"/>
                <w:b/>
                <w:bCs/>
                <w:color w:val="000000"/>
                <w:sz w:val="20"/>
                <w:szCs w:val="20"/>
                <w:lang w:val="en-US"/>
              </w:rPr>
              <w:t>Village</w:t>
            </w:r>
            <w:r w:rsidR="0044223B" w:rsidRPr="00E967EA">
              <w:rPr>
                <w:rFonts w:ascii="Arial" w:eastAsia="Times New Roman" w:hAnsi="Arial" w:cs="Arial"/>
                <w:b/>
                <w:bCs/>
                <w:color w:val="000000"/>
                <w:sz w:val="20"/>
                <w:szCs w:val="20"/>
                <w:lang w:val="en-US"/>
              </w:rPr>
              <w:t>(</w:t>
            </w:r>
            <w:r w:rsidRPr="00E967EA">
              <w:rPr>
                <w:rFonts w:ascii="Arial" w:eastAsia="Times New Roman" w:hAnsi="Arial" w:cs="Arial"/>
                <w:b/>
                <w:bCs/>
                <w:color w:val="000000"/>
                <w:sz w:val="20"/>
                <w:szCs w:val="20"/>
                <w:lang w:val="en-US"/>
              </w:rPr>
              <w:t>Population less than 3.000</w:t>
            </w:r>
            <w:r w:rsidR="0044223B" w:rsidRPr="00E967EA">
              <w:rPr>
                <w:rFonts w:ascii="Arial" w:eastAsia="Times New Roman" w:hAnsi="Arial" w:cs="Arial"/>
                <w:b/>
                <w:bCs/>
                <w:color w:val="000000"/>
                <w:sz w:val="20"/>
                <w:szCs w:val="20"/>
                <w:lang w:val="en-US"/>
              </w:rPr>
              <w:t>)</w:t>
            </w:r>
          </w:p>
        </w:tc>
        <w:tc>
          <w:tcPr>
            <w:tcW w:w="1044" w:type="dxa"/>
            <w:tcBorders>
              <w:top w:val="nil"/>
              <w:left w:val="nil"/>
              <w:bottom w:val="single" w:sz="4" w:space="0" w:color="auto"/>
              <w:right w:val="nil"/>
            </w:tcBorders>
            <w:shd w:val="clear" w:color="auto" w:fill="auto"/>
            <w:noWrap/>
            <w:hideMark/>
          </w:tcPr>
          <w:p w:rsidR="0044223B" w:rsidRPr="00E967EA" w:rsidRDefault="0044223B" w:rsidP="007B0995">
            <w:pPr>
              <w:spacing w:after="0" w:line="240" w:lineRule="auto"/>
              <w:rPr>
                <w:rFonts w:ascii="Arial" w:eastAsia="Times New Roman" w:hAnsi="Arial" w:cs="Arial"/>
                <w:b/>
                <w:bCs/>
                <w:color w:val="000000"/>
                <w:sz w:val="20"/>
                <w:szCs w:val="20"/>
                <w:lang w:val="en-US"/>
              </w:rPr>
            </w:pPr>
            <w:r w:rsidRPr="00E967EA">
              <w:rPr>
                <w:rFonts w:ascii="Arial" w:eastAsia="Times New Roman" w:hAnsi="Arial" w:cs="Arial"/>
                <w:b/>
                <w:bCs/>
                <w:color w:val="000000"/>
                <w:sz w:val="20"/>
                <w:szCs w:val="20"/>
                <w:lang w:val="en-US"/>
              </w:rPr>
              <w:t>T</w:t>
            </w:r>
            <w:r w:rsidR="00F7602D" w:rsidRPr="00E967EA">
              <w:rPr>
                <w:rFonts w:ascii="Arial" w:eastAsia="Times New Roman" w:hAnsi="Arial" w:cs="Arial"/>
                <w:b/>
                <w:bCs/>
                <w:color w:val="000000"/>
                <w:sz w:val="20"/>
                <w:szCs w:val="20"/>
                <w:lang w:val="en-US"/>
              </w:rPr>
              <w:t>urkey</w:t>
            </w:r>
          </w:p>
        </w:tc>
        <w:tc>
          <w:tcPr>
            <w:tcW w:w="1106" w:type="dxa"/>
            <w:tcBorders>
              <w:top w:val="nil"/>
              <w:left w:val="nil"/>
              <w:bottom w:val="single" w:sz="4" w:space="0" w:color="auto"/>
              <w:right w:val="nil"/>
            </w:tcBorders>
            <w:shd w:val="clear" w:color="auto" w:fill="auto"/>
            <w:noWrap/>
            <w:hideMark/>
          </w:tcPr>
          <w:p w:rsidR="0044223B" w:rsidRPr="00E967EA" w:rsidRDefault="0044223B" w:rsidP="007B0995">
            <w:pPr>
              <w:spacing w:after="0" w:line="240" w:lineRule="auto"/>
              <w:jc w:val="right"/>
              <w:rPr>
                <w:rFonts w:ascii="Arial" w:eastAsia="Times New Roman" w:hAnsi="Arial" w:cs="Arial"/>
                <w:color w:val="000000"/>
                <w:sz w:val="20"/>
                <w:szCs w:val="20"/>
                <w:lang w:val="en-US"/>
              </w:rPr>
            </w:pPr>
            <w:r w:rsidRPr="00E967EA">
              <w:rPr>
                <w:rFonts w:ascii="Arial" w:eastAsia="Times New Roman" w:hAnsi="Arial" w:cs="Arial"/>
                <w:color w:val="000000"/>
                <w:sz w:val="20"/>
                <w:szCs w:val="20"/>
                <w:lang w:val="en-US"/>
              </w:rPr>
              <w:t>2,98</w:t>
            </w:r>
          </w:p>
        </w:tc>
        <w:tc>
          <w:tcPr>
            <w:tcW w:w="976" w:type="dxa"/>
            <w:tcBorders>
              <w:top w:val="nil"/>
              <w:left w:val="nil"/>
              <w:bottom w:val="single" w:sz="4" w:space="0" w:color="auto"/>
              <w:right w:val="nil"/>
            </w:tcBorders>
            <w:shd w:val="clear" w:color="auto" w:fill="auto"/>
            <w:noWrap/>
            <w:hideMark/>
          </w:tcPr>
          <w:p w:rsidR="0044223B" w:rsidRPr="00E967EA" w:rsidRDefault="0044223B" w:rsidP="007B0995">
            <w:pPr>
              <w:spacing w:after="0" w:line="240" w:lineRule="auto"/>
              <w:jc w:val="right"/>
              <w:rPr>
                <w:rFonts w:ascii="Arial" w:eastAsia="Times New Roman" w:hAnsi="Arial" w:cs="Arial"/>
                <w:color w:val="000000"/>
                <w:sz w:val="20"/>
                <w:szCs w:val="20"/>
                <w:lang w:val="en-US"/>
              </w:rPr>
            </w:pPr>
            <w:r w:rsidRPr="00E967EA">
              <w:rPr>
                <w:rFonts w:ascii="Arial" w:eastAsia="Times New Roman" w:hAnsi="Arial" w:cs="Arial"/>
                <w:color w:val="000000"/>
                <w:sz w:val="20"/>
                <w:szCs w:val="20"/>
                <w:lang w:val="en-US"/>
              </w:rPr>
              <w:t>2,28</w:t>
            </w:r>
          </w:p>
        </w:tc>
      </w:tr>
      <w:tr w:rsidR="0044223B" w:rsidRPr="00E967EA" w:rsidTr="00F7602D">
        <w:trPr>
          <w:trHeight w:val="420"/>
        </w:trPr>
        <w:tc>
          <w:tcPr>
            <w:tcW w:w="3492" w:type="dxa"/>
            <w:gridSpan w:val="2"/>
            <w:vMerge/>
            <w:tcBorders>
              <w:top w:val="single" w:sz="4" w:space="0" w:color="auto"/>
              <w:left w:val="nil"/>
              <w:bottom w:val="single" w:sz="4" w:space="0" w:color="000000"/>
              <w:right w:val="nil"/>
            </w:tcBorders>
            <w:vAlign w:val="center"/>
            <w:hideMark/>
          </w:tcPr>
          <w:p w:rsidR="0044223B" w:rsidRPr="00E967EA" w:rsidRDefault="0044223B" w:rsidP="007B0995">
            <w:pPr>
              <w:spacing w:after="0" w:line="240" w:lineRule="auto"/>
              <w:rPr>
                <w:rFonts w:ascii="Arial" w:eastAsia="Times New Roman" w:hAnsi="Arial" w:cs="Arial"/>
                <w:b/>
                <w:bCs/>
                <w:color w:val="000000"/>
                <w:sz w:val="20"/>
                <w:szCs w:val="20"/>
                <w:lang w:val="en-US"/>
              </w:rPr>
            </w:pPr>
          </w:p>
        </w:tc>
        <w:tc>
          <w:tcPr>
            <w:tcW w:w="1044" w:type="dxa"/>
            <w:tcBorders>
              <w:top w:val="nil"/>
              <w:left w:val="nil"/>
              <w:bottom w:val="single" w:sz="4" w:space="0" w:color="auto"/>
              <w:right w:val="nil"/>
            </w:tcBorders>
            <w:shd w:val="clear" w:color="auto" w:fill="auto"/>
            <w:noWrap/>
            <w:hideMark/>
          </w:tcPr>
          <w:p w:rsidR="0044223B" w:rsidRPr="00E967EA" w:rsidRDefault="0044223B" w:rsidP="007B0995">
            <w:pPr>
              <w:spacing w:after="0" w:line="240" w:lineRule="auto"/>
              <w:rPr>
                <w:rFonts w:ascii="Arial" w:eastAsia="Times New Roman" w:hAnsi="Arial" w:cs="Arial"/>
                <w:b/>
                <w:bCs/>
                <w:color w:val="000000"/>
                <w:sz w:val="20"/>
                <w:szCs w:val="20"/>
                <w:lang w:val="en-US"/>
              </w:rPr>
            </w:pPr>
            <w:r w:rsidRPr="00E967EA">
              <w:rPr>
                <w:rFonts w:ascii="Arial" w:eastAsia="Times New Roman" w:hAnsi="Arial" w:cs="Arial"/>
                <w:b/>
                <w:bCs/>
                <w:color w:val="000000"/>
                <w:sz w:val="20"/>
                <w:szCs w:val="20"/>
                <w:lang w:val="en-US"/>
              </w:rPr>
              <w:t xml:space="preserve">OECD </w:t>
            </w:r>
            <w:r w:rsidR="00F7602D" w:rsidRPr="00E967EA">
              <w:rPr>
                <w:rFonts w:ascii="Arial" w:eastAsia="Times New Roman" w:hAnsi="Arial" w:cs="Arial"/>
                <w:b/>
                <w:bCs/>
                <w:color w:val="000000"/>
                <w:sz w:val="20"/>
                <w:szCs w:val="20"/>
                <w:lang w:val="en-US"/>
              </w:rPr>
              <w:t>Average</w:t>
            </w:r>
          </w:p>
        </w:tc>
        <w:tc>
          <w:tcPr>
            <w:tcW w:w="1106" w:type="dxa"/>
            <w:tcBorders>
              <w:top w:val="nil"/>
              <w:left w:val="nil"/>
              <w:bottom w:val="single" w:sz="4" w:space="0" w:color="auto"/>
              <w:right w:val="nil"/>
            </w:tcBorders>
            <w:shd w:val="clear" w:color="auto" w:fill="auto"/>
            <w:noWrap/>
            <w:hideMark/>
          </w:tcPr>
          <w:p w:rsidR="0044223B" w:rsidRPr="00E967EA" w:rsidRDefault="0044223B" w:rsidP="007B0995">
            <w:pPr>
              <w:spacing w:after="0" w:line="240" w:lineRule="auto"/>
              <w:jc w:val="right"/>
              <w:rPr>
                <w:rFonts w:ascii="Arial" w:eastAsia="Times New Roman" w:hAnsi="Arial" w:cs="Arial"/>
                <w:color w:val="000000"/>
                <w:sz w:val="20"/>
                <w:szCs w:val="20"/>
                <w:lang w:val="en-US"/>
              </w:rPr>
            </w:pPr>
            <w:r w:rsidRPr="00E967EA">
              <w:rPr>
                <w:rFonts w:ascii="Arial" w:eastAsia="Times New Roman" w:hAnsi="Arial" w:cs="Arial"/>
                <w:color w:val="000000"/>
                <w:sz w:val="20"/>
                <w:szCs w:val="20"/>
                <w:lang w:val="en-US"/>
              </w:rPr>
              <w:t>9,92</w:t>
            </w:r>
          </w:p>
        </w:tc>
        <w:tc>
          <w:tcPr>
            <w:tcW w:w="976" w:type="dxa"/>
            <w:tcBorders>
              <w:top w:val="nil"/>
              <w:left w:val="nil"/>
              <w:bottom w:val="single" w:sz="4" w:space="0" w:color="auto"/>
              <w:right w:val="nil"/>
            </w:tcBorders>
            <w:shd w:val="clear" w:color="auto" w:fill="auto"/>
            <w:noWrap/>
            <w:hideMark/>
          </w:tcPr>
          <w:p w:rsidR="0044223B" w:rsidRPr="00E967EA" w:rsidRDefault="0044223B" w:rsidP="007B0995">
            <w:pPr>
              <w:spacing w:after="0" w:line="240" w:lineRule="auto"/>
              <w:jc w:val="right"/>
              <w:rPr>
                <w:rFonts w:ascii="Arial" w:eastAsia="Times New Roman" w:hAnsi="Arial" w:cs="Arial"/>
                <w:color w:val="000000"/>
                <w:sz w:val="20"/>
                <w:szCs w:val="20"/>
                <w:lang w:val="en-US"/>
              </w:rPr>
            </w:pPr>
            <w:r w:rsidRPr="00E967EA">
              <w:rPr>
                <w:rFonts w:ascii="Arial" w:eastAsia="Times New Roman" w:hAnsi="Arial" w:cs="Arial"/>
                <w:color w:val="000000"/>
                <w:sz w:val="20"/>
                <w:szCs w:val="20"/>
                <w:lang w:val="en-US"/>
              </w:rPr>
              <w:t>9,42</w:t>
            </w:r>
          </w:p>
        </w:tc>
      </w:tr>
      <w:tr w:rsidR="0044223B" w:rsidRPr="00E967EA" w:rsidTr="00F7602D">
        <w:trPr>
          <w:trHeight w:val="495"/>
        </w:trPr>
        <w:tc>
          <w:tcPr>
            <w:tcW w:w="3492" w:type="dxa"/>
            <w:gridSpan w:val="2"/>
            <w:vMerge w:val="restart"/>
            <w:tcBorders>
              <w:top w:val="single" w:sz="4" w:space="0" w:color="auto"/>
              <w:left w:val="nil"/>
              <w:bottom w:val="single" w:sz="4" w:space="0" w:color="000000"/>
              <w:right w:val="nil"/>
            </w:tcBorders>
            <w:shd w:val="clear" w:color="auto" w:fill="auto"/>
            <w:vAlign w:val="center"/>
            <w:hideMark/>
          </w:tcPr>
          <w:p w:rsidR="0044223B" w:rsidRPr="00E967EA" w:rsidRDefault="00222BF8" w:rsidP="00F7602D">
            <w:pPr>
              <w:spacing w:after="0" w:line="240" w:lineRule="auto"/>
              <w:rPr>
                <w:rFonts w:ascii="Arial" w:eastAsia="Times New Roman" w:hAnsi="Arial" w:cs="Arial"/>
                <w:b/>
                <w:bCs/>
                <w:color w:val="000000"/>
                <w:sz w:val="20"/>
                <w:szCs w:val="20"/>
                <w:lang w:val="en-US"/>
              </w:rPr>
            </w:pPr>
            <w:r w:rsidRPr="00E967EA">
              <w:rPr>
                <w:rFonts w:ascii="Arial" w:eastAsia="Times New Roman" w:hAnsi="Arial" w:cs="Arial"/>
                <w:b/>
                <w:bCs/>
                <w:color w:val="000000"/>
                <w:sz w:val="20"/>
                <w:szCs w:val="20"/>
                <w:lang w:val="en-US"/>
              </w:rPr>
              <w:t xml:space="preserve">Small Town </w:t>
            </w:r>
            <w:r w:rsidR="0044223B" w:rsidRPr="00E967EA">
              <w:rPr>
                <w:rFonts w:ascii="Arial" w:eastAsia="Times New Roman" w:hAnsi="Arial" w:cs="Arial"/>
                <w:b/>
                <w:bCs/>
                <w:color w:val="000000"/>
                <w:sz w:val="20"/>
                <w:szCs w:val="20"/>
                <w:lang w:val="en-US"/>
              </w:rPr>
              <w:t xml:space="preserve"> (</w:t>
            </w:r>
            <w:r w:rsidR="00F7602D" w:rsidRPr="00E967EA">
              <w:rPr>
                <w:rFonts w:ascii="Arial" w:eastAsia="Times New Roman" w:hAnsi="Arial" w:cs="Arial"/>
                <w:b/>
                <w:bCs/>
                <w:color w:val="000000"/>
                <w:sz w:val="20"/>
                <w:szCs w:val="20"/>
                <w:lang w:val="en-US"/>
              </w:rPr>
              <w:t xml:space="preserve">Population with </w:t>
            </w:r>
            <w:r w:rsidR="0044223B" w:rsidRPr="00E967EA">
              <w:rPr>
                <w:rFonts w:ascii="Arial" w:eastAsia="Times New Roman" w:hAnsi="Arial" w:cs="Arial"/>
                <w:b/>
                <w:bCs/>
                <w:color w:val="000000"/>
                <w:sz w:val="20"/>
                <w:szCs w:val="20"/>
                <w:lang w:val="en-US"/>
              </w:rPr>
              <w:t>3.000-15.000)</w:t>
            </w:r>
          </w:p>
        </w:tc>
        <w:tc>
          <w:tcPr>
            <w:tcW w:w="1044" w:type="dxa"/>
            <w:tcBorders>
              <w:top w:val="nil"/>
              <w:left w:val="nil"/>
              <w:bottom w:val="single" w:sz="4" w:space="0" w:color="auto"/>
              <w:right w:val="nil"/>
            </w:tcBorders>
            <w:shd w:val="clear" w:color="auto" w:fill="auto"/>
            <w:noWrap/>
            <w:vAlign w:val="bottom"/>
            <w:hideMark/>
          </w:tcPr>
          <w:p w:rsidR="0044223B" w:rsidRPr="00E967EA" w:rsidRDefault="0044223B" w:rsidP="007B0995">
            <w:pPr>
              <w:spacing w:after="0" w:line="240" w:lineRule="auto"/>
              <w:rPr>
                <w:rFonts w:ascii="Arial" w:eastAsia="Times New Roman" w:hAnsi="Arial" w:cs="Arial"/>
                <w:b/>
                <w:bCs/>
                <w:color w:val="000000"/>
                <w:sz w:val="20"/>
                <w:szCs w:val="20"/>
                <w:lang w:val="en-US"/>
              </w:rPr>
            </w:pPr>
            <w:r w:rsidRPr="00E967EA">
              <w:rPr>
                <w:rFonts w:ascii="Arial" w:eastAsia="Times New Roman" w:hAnsi="Arial" w:cs="Arial"/>
                <w:b/>
                <w:bCs/>
                <w:color w:val="000000"/>
                <w:sz w:val="20"/>
                <w:szCs w:val="20"/>
                <w:lang w:val="en-US"/>
              </w:rPr>
              <w:t>T</w:t>
            </w:r>
            <w:r w:rsidR="00F7602D" w:rsidRPr="00E967EA">
              <w:rPr>
                <w:rFonts w:ascii="Arial" w:eastAsia="Times New Roman" w:hAnsi="Arial" w:cs="Arial"/>
                <w:b/>
                <w:bCs/>
                <w:color w:val="000000"/>
                <w:sz w:val="20"/>
                <w:szCs w:val="20"/>
                <w:lang w:val="en-US"/>
              </w:rPr>
              <w:t>urkey</w:t>
            </w:r>
          </w:p>
        </w:tc>
        <w:tc>
          <w:tcPr>
            <w:tcW w:w="1106" w:type="dxa"/>
            <w:tcBorders>
              <w:top w:val="nil"/>
              <w:left w:val="nil"/>
              <w:bottom w:val="single" w:sz="4" w:space="0" w:color="auto"/>
              <w:right w:val="nil"/>
            </w:tcBorders>
            <w:shd w:val="clear" w:color="auto" w:fill="auto"/>
            <w:noWrap/>
            <w:vAlign w:val="bottom"/>
            <w:hideMark/>
          </w:tcPr>
          <w:p w:rsidR="0044223B" w:rsidRPr="00E967EA" w:rsidRDefault="0044223B" w:rsidP="007B0995">
            <w:pPr>
              <w:spacing w:after="0" w:line="240" w:lineRule="auto"/>
              <w:jc w:val="right"/>
              <w:rPr>
                <w:rFonts w:ascii="Arial" w:eastAsia="Times New Roman" w:hAnsi="Arial" w:cs="Arial"/>
                <w:color w:val="000000"/>
                <w:sz w:val="20"/>
                <w:szCs w:val="20"/>
                <w:lang w:val="en-US"/>
              </w:rPr>
            </w:pPr>
            <w:r w:rsidRPr="00E967EA">
              <w:rPr>
                <w:rFonts w:ascii="Arial" w:eastAsia="Times New Roman" w:hAnsi="Arial" w:cs="Arial"/>
                <w:color w:val="000000"/>
                <w:sz w:val="20"/>
                <w:szCs w:val="20"/>
                <w:lang w:val="en-US"/>
              </w:rPr>
              <w:t>9,69</w:t>
            </w:r>
          </w:p>
        </w:tc>
        <w:tc>
          <w:tcPr>
            <w:tcW w:w="976" w:type="dxa"/>
            <w:tcBorders>
              <w:top w:val="nil"/>
              <w:left w:val="nil"/>
              <w:bottom w:val="single" w:sz="4" w:space="0" w:color="auto"/>
              <w:right w:val="nil"/>
            </w:tcBorders>
            <w:shd w:val="clear" w:color="auto" w:fill="auto"/>
            <w:noWrap/>
            <w:vAlign w:val="bottom"/>
            <w:hideMark/>
          </w:tcPr>
          <w:p w:rsidR="0044223B" w:rsidRPr="00E967EA" w:rsidRDefault="0044223B" w:rsidP="007B0995">
            <w:pPr>
              <w:spacing w:after="0" w:line="240" w:lineRule="auto"/>
              <w:jc w:val="right"/>
              <w:rPr>
                <w:rFonts w:ascii="Arial" w:eastAsia="Times New Roman" w:hAnsi="Arial" w:cs="Arial"/>
                <w:color w:val="000000"/>
                <w:sz w:val="20"/>
                <w:szCs w:val="20"/>
                <w:lang w:val="en-US"/>
              </w:rPr>
            </w:pPr>
            <w:r w:rsidRPr="00E967EA">
              <w:rPr>
                <w:rFonts w:ascii="Arial" w:eastAsia="Times New Roman" w:hAnsi="Arial" w:cs="Arial"/>
                <w:color w:val="000000"/>
                <w:sz w:val="20"/>
                <w:szCs w:val="20"/>
                <w:lang w:val="en-US"/>
              </w:rPr>
              <w:t>10,58</w:t>
            </w:r>
          </w:p>
        </w:tc>
      </w:tr>
      <w:tr w:rsidR="0044223B" w:rsidRPr="00E967EA" w:rsidTr="00F7602D">
        <w:trPr>
          <w:trHeight w:val="420"/>
        </w:trPr>
        <w:tc>
          <w:tcPr>
            <w:tcW w:w="3492" w:type="dxa"/>
            <w:gridSpan w:val="2"/>
            <w:vMerge/>
            <w:tcBorders>
              <w:top w:val="single" w:sz="4" w:space="0" w:color="auto"/>
              <w:left w:val="nil"/>
              <w:bottom w:val="single" w:sz="4" w:space="0" w:color="000000"/>
              <w:right w:val="nil"/>
            </w:tcBorders>
            <w:vAlign w:val="center"/>
            <w:hideMark/>
          </w:tcPr>
          <w:p w:rsidR="0044223B" w:rsidRPr="00E967EA" w:rsidRDefault="0044223B" w:rsidP="007B0995">
            <w:pPr>
              <w:spacing w:after="0" w:line="240" w:lineRule="auto"/>
              <w:rPr>
                <w:rFonts w:ascii="Arial" w:eastAsia="Times New Roman" w:hAnsi="Arial" w:cs="Arial"/>
                <w:b/>
                <w:bCs/>
                <w:color w:val="000000"/>
                <w:sz w:val="20"/>
                <w:szCs w:val="20"/>
                <w:lang w:val="en-US"/>
              </w:rPr>
            </w:pPr>
          </w:p>
        </w:tc>
        <w:tc>
          <w:tcPr>
            <w:tcW w:w="1044" w:type="dxa"/>
            <w:tcBorders>
              <w:top w:val="nil"/>
              <w:left w:val="nil"/>
              <w:bottom w:val="single" w:sz="4" w:space="0" w:color="auto"/>
              <w:right w:val="nil"/>
            </w:tcBorders>
            <w:shd w:val="clear" w:color="auto" w:fill="auto"/>
            <w:noWrap/>
            <w:vAlign w:val="bottom"/>
            <w:hideMark/>
          </w:tcPr>
          <w:p w:rsidR="0044223B" w:rsidRPr="00E967EA" w:rsidRDefault="0044223B" w:rsidP="00F7602D">
            <w:pPr>
              <w:spacing w:after="0" w:line="240" w:lineRule="auto"/>
              <w:rPr>
                <w:rFonts w:ascii="Arial" w:eastAsia="Times New Roman" w:hAnsi="Arial" w:cs="Arial"/>
                <w:b/>
                <w:bCs/>
                <w:color w:val="000000"/>
                <w:sz w:val="20"/>
                <w:szCs w:val="20"/>
                <w:lang w:val="en-US"/>
              </w:rPr>
            </w:pPr>
            <w:r w:rsidRPr="00E967EA">
              <w:rPr>
                <w:rFonts w:ascii="Arial" w:eastAsia="Times New Roman" w:hAnsi="Arial" w:cs="Arial"/>
                <w:b/>
                <w:bCs/>
                <w:color w:val="000000"/>
                <w:sz w:val="20"/>
                <w:szCs w:val="20"/>
                <w:lang w:val="en-US"/>
              </w:rPr>
              <w:t xml:space="preserve">OECD </w:t>
            </w:r>
            <w:r w:rsidR="00F7602D" w:rsidRPr="00E967EA">
              <w:rPr>
                <w:rFonts w:ascii="Arial" w:eastAsia="Times New Roman" w:hAnsi="Arial" w:cs="Arial"/>
                <w:b/>
                <w:bCs/>
                <w:color w:val="000000"/>
                <w:sz w:val="20"/>
                <w:szCs w:val="20"/>
                <w:lang w:val="en-US"/>
              </w:rPr>
              <w:t>Average</w:t>
            </w:r>
          </w:p>
        </w:tc>
        <w:tc>
          <w:tcPr>
            <w:tcW w:w="1106" w:type="dxa"/>
            <w:tcBorders>
              <w:top w:val="nil"/>
              <w:left w:val="nil"/>
              <w:bottom w:val="single" w:sz="4" w:space="0" w:color="auto"/>
              <w:right w:val="nil"/>
            </w:tcBorders>
            <w:shd w:val="clear" w:color="auto" w:fill="auto"/>
            <w:noWrap/>
            <w:vAlign w:val="bottom"/>
            <w:hideMark/>
          </w:tcPr>
          <w:p w:rsidR="0044223B" w:rsidRPr="00E967EA" w:rsidRDefault="0044223B" w:rsidP="007B0995">
            <w:pPr>
              <w:spacing w:after="0" w:line="240" w:lineRule="auto"/>
              <w:jc w:val="right"/>
              <w:rPr>
                <w:rFonts w:ascii="Arial" w:eastAsia="Times New Roman" w:hAnsi="Arial" w:cs="Arial"/>
                <w:color w:val="000000"/>
                <w:sz w:val="20"/>
                <w:szCs w:val="20"/>
                <w:lang w:val="en-US"/>
              </w:rPr>
            </w:pPr>
            <w:r w:rsidRPr="00E967EA">
              <w:rPr>
                <w:rFonts w:ascii="Arial" w:eastAsia="Times New Roman" w:hAnsi="Arial" w:cs="Arial"/>
                <w:color w:val="000000"/>
                <w:sz w:val="20"/>
                <w:szCs w:val="20"/>
                <w:lang w:val="en-US"/>
              </w:rPr>
              <w:t>21,51</w:t>
            </w:r>
          </w:p>
        </w:tc>
        <w:tc>
          <w:tcPr>
            <w:tcW w:w="976" w:type="dxa"/>
            <w:tcBorders>
              <w:top w:val="nil"/>
              <w:left w:val="nil"/>
              <w:bottom w:val="single" w:sz="4" w:space="0" w:color="auto"/>
              <w:right w:val="nil"/>
            </w:tcBorders>
            <w:shd w:val="clear" w:color="auto" w:fill="auto"/>
            <w:noWrap/>
            <w:vAlign w:val="bottom"/>
            <w:hideMark/>
          </w:tcPr>
          <w:p w:rsidR="0044223B" w:rsidRPr="00E967EA" w:rsidRDefault="0044223B" w:rsidP="007B0995">
            <w:pPr>
              <w:spacing w:after="0" w:line="240" w:lineRule="auto"/>
              <w:jc w:val="right"/>
              <w:rPr>
                <w:rFonts w:ascii="Arial" w:eastAsia="Times New Roman" w:hAnsi="Arial" w:cs="Arial"/>
                <w:color w:val="000000"/>
                <w:sz w:val="20"/>
                <w:szCs w:val="20"/>
                <w:lang w:val="en-US"/>
              </w:rPr>
            </w:pPr>
            <w:r w:rsidRPr="00E967EA">
              <w:rPr>
                <w:rFonts w:ascii="Arial" w:eastAsia="Times New Roman" w:hAnsi="Arial" w:cs="Arial"/>
                <w:color w:val="000000"/>
                <w:sz w:val="20"/>
                <w:szCs w:val="20"/>
                <w:lang w:val="en-US"/>
              </w:rPr>
              <w:t>20,98</w:t>
            </w:r>
          </w:p>
        </w:tc>
      </w:tr>
      <w:tr w:rsidR="0044223B" w:rsidRPr="00E967EA" w:rsidTr="00F7602D">
        <w:trPr>
          <w:trHeight w:val="420"/>
        </w:trPr>
        <w:tc>
          <w:tcPr>
            <w:tcW w:w="3492" w:type="dxa"/>
            <w:gridSpan w:val="2"/>
            <w:vMerge w:val="restart"/>
            <w:tcBorders>
              <w:top w:val="single" w:sz="4" w:space="0" w:color="auto"/>
              <w:left w:val="nil"/>
              <w:bottom w:val="single" w:sz="4" w:space="0" w:color="000000"/>
              <w:right w:val="nil"/>
            </w:tcBorders>
            <w:shd w:val="clear" w:color="auto" w:fill="auto"/>
            <w:vAlign w:val="center"/>
            <w:hideMark/>
          </w:tcPr>
          <w:p w:rsidR="0044223B" w:rsidRPr="00E967EA" w:rsidRDefault="00222BF8" w:rsidP="00F7602D">
            <w:pPr>
              <w:spacing w:after="0" w:line="240" w:lineRule="auto"/>
              <w:rPr>
                <w:rFonts w:ascii="Arial" w:eastAsia="Times New Roman" w:hAnsi="Arial" w:cs="Arial"/>
                <w:b/>
                <w:bCs/>
                <w:color w:val="000000"/>
                <w:sz w:val="20"/>
                <w:szCs w:val="20"/>
                <w:lang w:val="en-US"/>
              </w:rPr>
            </w:pPr>
            <w:r w:rsidRPr="00E967EA">
              <w:rPr>
                <w:rFonts w:ascii="Arial" w:eastAsia="Times New Roman" w:hAnsi="Arial" w:cs="Arial"/>
                <w:b/>
                <w:bCs/>
                <w:color w:val="000000"/>
                <w:sz w:val="20"/>
                <w:szCs w:val="20"/>
                <w:lang w:val="en-US"/>
              </w:rPr>
              <w:t xml:space="preserve">Town </w:t>
            </w:r>
            <w:r w:rsidR="0044223B" w:rsidRPr="00E967EA">
              <w:rPr>
                <w:rFonts w:ascii="Arial" w:eastAsia="Times New Roman" w:hAnsi="Arial" w:cs="Arial"/>
                <w:b/>
                <w:bCs/>
                <w:color w:val="000000"/>
                <w:sz w:val="20"/>
                <w:szCs w:val="20"/>
                <w:lang w:val="en-US"/>
              </w:rPr>
              <w:t>(</w:t>
            </w:r>
            <w:r w:rsidR="00F7602D" w:rsidRPr="00E967EA">
              <w:rPr>
                <w:rFonts w:ascii="Arial" w:eastAsia="Times New Roman" w:hAnsi="Arial" w:cs="Arial"/>
                <w:b/>
                <w:bCs/>
                <w:color w:val="000000"/>
                <w:sz w:val="20"/>
                <w:szCs w:val="20"/>
                <w:lang w:val="en-US"/>
              </w:rPr>
              <w:t xml:space="preserve">Population with </w:t>
            </w:r>
            <w:r w:rsidR="0044223B" w:rsidRPr="00E967EA">
              <w:rPr>
                <w:rFonts w:ascii="Arial" w:eastAsia="Times New Roman" w:hAnsi="Arial" w:cs="Arial"/>
                <w:b/>
                <w:bCs/>
                <w:color w:val="000000"/>
                <w:sz w:val="20"/>
                <w:szCs w:val="20"/>
                <w:lang w:val="en-US"/>
              </w:rPr>
              <w:t>15.000-100.000)</w:t>
            </w:r>
          </w:p>
        </w:tc>
        <w:tc>
          <w:tcPr>
            <w:tcW w:w="1044" w:type="dxa"/>
            <w:tcBorders>
              <w:top w:val="nil"/>
              <w:left w:val="nil"/>
              <w:bottom w:val="single" w:sz="4" w:space="0" w:color="auto"/>
              <w:right w:val="nil"/>
            </w:tcBorders>
            <w:shd w:val="clear" w:color="auto" w:fill="auto"/>
            <w:noWrap/>
            <w:vAlign w:val="bottom"/>
            <w:hideMark/>
          </w:tcPr>
          <w:p w:rsidR="0044223B" w:rsidRPr="00E967EA" w:rsidRDefault="0044223B" w:rsidP="007B0995">
            <w:pPr>
              <w:spacing w:after="0" w:line="240" w:lineRule="auto"/>
              <w:rPr>
                <w:rFonts w:ascii="Arial" w:eastAsia="Times New Roman" w:hAnsi="Arial" w:cs="Arial"/>
                <w:b/>
                <w:bCs/>
                <w:color w:val="000000"/>
                <w:sz w:val="20"/>
                <w:szCs w:val="20"/>
                <w:lang w:val="en-US"/>
              </w:rPr>
            </w:pPr>
            <w:r w:rsidRPr="00E967EA">
              <w:rPr>
                <w:rFonts w:ascii="Arial" w:eastAsia="Times New Roman" w:hAnsi="Arial" w:cs="Arial"/>
                <w:b/>
                <w:bCs/>
                <w:color w:val="000000"/>
                <w:sz w:val="20"/>
                <w:szCs w:val="20"/>
                <w:lang w:val="en-US"/>
              </w:rPr>
              <w:t>T</w:t>
            </w:r>
            <w:r w:rsidR="00F7602D" w:rsidRPr="00E967EA">
              <w:rPr>
                <w:rFonts w:ascii="Arial" w:eastAsia="Times New Roman" w:hAnsi="Arial" w:cs="Arial"/>
                <w:b/>
                <w:bCs/>
                <w:color w:val="000000"/>
                <w:sz w:val="20"/>
                <w:szCs w:val="20"/>
                <w:lang w:val="en-US"/>
              </w:rPr>
              <w:t>urkey</w:t>
            </w:r>
          </w:p>
        </w:tc>
        <w:tc>
          <w:tcPr>
            <w:tcW w:w="1106" w:type="dxa"/>
            <w:tcBorders>
              <w:top w:val="nil"/>
              <w:left w:val="nil"/>
              <w:bottom w:val="single" w:sz="4" w:space="0" w:color="auto"/>
              <w:right w:val="nil"/>
            </w:tcBorders>
            <w:shd w:val="clear" w:color="auto" w:fill="auto"/>
            <w:noWrap/>
            <w:vAlign w:val="bottom"/>
            <w:hideMark/>
          </w:tcPr>
          <w:p w:rsidR="0044223B" w:rsidRPr="00E967EA" w:rsidRDefault="0044223B" w:rsidP="007B0995">
            <w:pPr>
              <w:spacing w:after="0" w:line="240" w:lineRule="auto"/>
              <w:jc w:val="right"/>
              <w:rPr>
                <w:rFonts w:ascii="Arial" w:eastAsia="Times New Roman" w:hAnsi="Arial" w:cs="Arial"/>
                <w:color w:val="000000"/>
                <w:sz w:val="20"/>
                <w:szCs w:val="20"/>
                <w:lang w:val="en-US"/>
              </w:rPr>
            </w:pPr>
            <w:r w:rsidRPr="00E967EA">
              <w:rPr>
                <w:rFonts w:ascii="Arial" w:eastAsia="Times New Roman" w:hAnsi="Arial" w:cs="Arial"/>
                <w:color w:val="000000"/>
                <w:sz w:val="20"/>
                <w:szCs w:val="20"/>
                <w:lang w:val="en-US"/>
              </w:rPr>
              <w:t>28,08</w:t>
            </w:r>
          </w:p>
        </w:tc>
        <w:tc>
          <w:tcPr>
            <w:tcW w:w="976" w:type="dxa"/>
            <w:tcBorders>
              <w:top w:val="nil"/>
              <w:left w:val="nil"/>
              <w:bottom w:val="single" w:sz="4" w:space="0" w:color="auto"/>
              <w:right w:val="nil"/>
            </w:tcBorders>
            <w:shd w:val="clear" w:color="auto" w:fill="auto"/>
            <w:noWrap/>
            <w:vAlign w:val="bottom"/>
            <w:hideMark/>
          </w:tcPr>
          <w:p w:rsidR="0044223B" w:rsidRPr="00E967EA" w:rsidRDefault="0044223B" w:rsidP="007B0995">
            <w:pPr>
              <w:spacing w:after="0" w:line="240" w:lineRule="auto"/>
              <w:jc w:val="right"/>
              <w:rPr>
                <w:rFonts w:ascii="Arial" w:eastAsia="Times New Roman" w:hAnsi="Arial" w:cs="Arial"/>
                <w:color w:val="000000"/>
                <w:sz w:val="20"/>
                <w:szCs w:val="20"/>
                <w:lang w:val="en-US"/>
              </w:rPr>
            </w:pPr>
            <w:r w:rsidRPr="00E967EA">
              <w:rPr>
                <w:rFonts w:ascii="Arial" w:eastAsia="Times New Roman" w:hAnsi="Arial" w:cs="Arial"/>
                <w:color w:val="000000"/>
                <w:sz w:val="20"/>
                <w:szCs w:val="20"/>
                <w:lang w:val="en-US"/>
              </w:rPr>
              <w:t>30,75</w:t>
            </w:r>
          </w:p>
        </w:tc>
      </w:tr>
      <w:tr w:rsidR="0044223B" w:rsidRPr="00E967EA" w:rsidTr="00F7602D">
        <w:trPr>
          <w:trHeight w:val="405"/>
        </w:trPr>
        <w:tc>
          <w:tcPr>
            <w:tcW w:w="3492" w:type="dxa"/>
            <w:gridSpan w:val="2"/>
            <w:vMerge/>
            <w:tcBorders>
              <w:top w:val="single" w:sz="4" w:space="0" w:color="auto"/>
              <w:left w:val="nil"/>
              <w:bottom w:val="single" w:sz="4" w:space="0" w:color="000000"/>
              <w:right w:val="nil"/>
            </w:tcBorders>
            <w:vAlign w:val="center"/>
            <w:hideMark/>
          </w:tcPr>
          <w:p w:rsidR="0044223B" w:rsidRPr="00E967EA" w:rsidRDefault="0044223B" w:rsidP="007B0995">
            <w:pPr>
              <w:spacing w:after="0" w:line="240" w:lineRule="auto"/>
              <w:rPr>
                <w:rFonts w:ascii="Arial" w:eastAsia="Times New Roman" w:hAnsi="Arial" w:cs="Arial"/>
                <w:b/>
                <w:bCs/>
                <w:color w:val="000000"/>
                <w:sz w:val="20"/>
                <w:szCs w:val="20"/>
                <w:lang w:val="en-US"/>
              </w:rPr>
            </w:pPr>
          </w:p>
        </w:tc>
        <w:tc>
          <w:tcPr>
            <w:tcW w:w="1044" w:type="dxa"/>
            <w:tcBorders>
              <w:top w:val="nil"/>
              <w:left w:val="nil"/>
              <w:bottom w:val="single" w:sz="4" w:space="0" w:color="auto"/>
              <w:right w:val="nil"/>
            </w:tcBorders>
            <w:shd w:val="clear" w:color="auto" w:fill="auto"/>
            <w:noWrap/>
            <w:vAlign w:val="bottom"/>
            <w:hideMark/>
          </w:tcPr>
          <w:p w:rsidR="0044223B" w:rsidRPr="00E967EA" w:rsidRDefault="0044223B" w:rsidP="00F7602D">
            <w:pPr>
              <w:spacing w:after="0" w:line="240" w:lineRule="auto"/>
              <w:rPr>
                <w:rFonts w:ascii="Arial" w:eastAsia="Times New Roman" w:hAnsi="Arial" w:cs="Arial"/>
                <w:b/>
                <w:bCs/>
                <w:color w:val="000000"/>
                <w:sz w:val="20"/>
                <w:szCs w:val="20"/>
                <w:lang w:val="en-US"/>
              </w:rPr>
            </w:pPr>
            <w:r w:rsidRPr="00E967EA">
              <w:rPr>
                <w:rFonts w:ascii="Arial" w:eastAsia="Times New Roman" w:hAnsi="Arial" w:cs="Arial"/>
                <w:b/>
                <w:bCs/>
                <w:color w:val="000000"/>
                <w:sz w:val="20"/>
                <w:szCs w:val="20"/>
                <w:lang w:val="en-US"/>
              </w:rPr>
              <w:t xml:space="preserve">OECD </w:t>
            </w:r>
            <w:r w:rsidR="00F7602D" w:rsidRPr="00E967EA">
              <w:rPr>
                <w:rFonts w:ascii="Arial" w:eastAsia="Times New Roman" w:hAnsi="Arial" w:cs="Arial"/>
                <w:b/>
                <w:bCs/>
                <w:color w:val="000000"/>
                <w:sz w:val="20"/>
                <w:szCs w:val="20"/>
                <w:lang w:val="en-US"/>
              </w:rPr>
              <w:t>Average</w:t>
            </w:r>
          </w:p>
        </w:tc>
        <w:tc>
          <w:tcPr>
            <w:tcW w:w="1106" w:type="dxa"/>
            <w:tcBorders>
              <w:top w:val="nil"/>
              <w:left w:val="nil"/>
              <w:bottom w:val="single" w:sz="4" w:space="0" w:color="auto"/>
              <w:right w:val="nil"/>
            </w:tcBorders>
            <w:shd w:val="clear" w:color="auto" w:fill="auto"/>
            <w:noWrap/>
            <w:vAlign w:val="bottom"/>
            <w:hideMark/>
          </w:tcPr>
          <w:p w:rsidR="0044223B" w:rsidRPr="00E967EA" w:rsidRDefault="0044223B" w:rsidP="007B0995">
            <w:pPr>
              <w:spacing w:after="0" w:line="240" w:lineRule="auto"/>
              <w:jc w:val="right"/>
              <w:rPr>
                <w:rFonts w:ascii="Arial" w:eastAsia="Times New Roman" w:hAnsi="Arial" w:cs="Arial"/>
                <w:color w:val="000000"/>
                <w:sz w:val="20"/>
                <w:szCs w:val="20"/>
                <w:lang w:val="en-US"/>
              </w:rPr>
            </w:pPr>
            <w:r w:rsidRPr="00E967EA">
              <w:rPr>
                <w:rFonts w:ascii="Arial" w:eastAsia="Times New Roman" w:hAnsi="Arial" w:cs="Arial"/>
                <w:color w:val="000000"/>
                <w:sz w:val="20"/>
                <w:szCs w:val="20"/>
                <w:lang w:val="en-US"/>
              </w:rPr>
              <w:t>33,93</w:t>
            </w:r>
          </w:p>
        </w:tc>
        <w:tc>
          <w:tcPr>
            <w:tcW w:w="976" w:type="dxa"/>
            <w:tcBorders>
              <w:top w:val="nil"/>
              <w:left w:val="nil"/>
              <w:bottom w:val="single" w:sz="4" w:space="0" w:color="auto"/>
              <w:right w:val="nil"/>
            </w:tcBorders>
            <w:shd w:val="clear" w:color="auto" w:fill="auto"/>
            <w:noWrap/>
            <w:vAlign w:val="bottom"/>
            <w:hideMark/>
          </w:tcPr>
          <w:p w:rsidR="0044223B" w:rsidRPr="00E967EA" w:rsidRDefault="0044223B" w:rsidP="007B0995">
            <w:pPr>
              <w:spacing w:after="0" w:line="240" w:lineRule="auto"/>
              <w:jc w:val="right"/>
              <w:rPr>
                <w:rFonts w:ascii="Arial" w:eastAsia="Times New Roman" w:hAnsi="Arial" w:cs="Arial"/>
                <w:color w:val="000000"/>
                <w:sz w:val="20"/>
                <w:szCs w:val="20"/>
                <w:lang w:val="en-US"/>
              </w:rPr>
            </w:pPr>
            <w:r w:rsidRPr="00E967EA">
              <w:rPr>
                <w:rFonts w:ascii="Arial" w:eastAsia="Times New Roman" w:hAnsi="Arial" w:cs="Arial"/>
                <w:color w:val="000000"/>
                <w:sz w:val="20"/>
                <w:szCs w:val="20"/>
                <w:lang w:val="en-US"/>
              </w:rPr>
              <w:t>34,64</w:t>
            </w:r>
          </w:p>
        </w:tc>
      </w:tr>
      <w:tr w:rsidR="0044223B" w:rsidRPr="00E967EA" w:rsidTr="00F7602D">
        <w:trPr>
          <w:trHeight w:val="330"/>
        </w:trPr>
        <w:tc>
          <w:tcPr>
            <w:tcW w:w="3492" w:type="dxa"/>
            <w:gridSpan w:val="2"/>
            <w:vMerge w:val="restart"/>
            <w:tcBorders>
              <w:top w:val="single" w:sz="4" w:space="0" w:color="auto"/>
              <w:left w:val="nil"/>
              <w:bottom w:val="single" w:sz="4" w:space="0" w:color="000000"/>
              <w:right w:val="nil"/>
            </w:tcBorders>
            <w:shd w:val="clear" w:color="auto" w:fill="auto"/>
            <w:vAlign w:val="center"/>
            <w:hideMark/>
          </w:tcPr>
          <w:p w:rsidR="0044223B" w:rsidRPr="00E967EA" w:rsidRDefault="00F7602D" w:rsidP="00F7602D">
            <w:pPr>
              <w:spacing w:after="0" w:line="240" w:lineRule="auto"/>
              <w:rPr>
                <w:rFonts w:ascii="Arial" w:eastAsia="Times New Roman" w:hAnsi="Arial" w:cs="Arial"/>
                <w:b/>
                <w:bCs/>
                <w:color w:val="000000"/>
                <w:sz w:val="20"/>
                <w:szCs w:val="20"/>
                <w:lang w:val="en-US"/>
              </w:rPr>
            </w:pPr>
            <w:r w:rsidRPr="00E967EA">
              <w:rPr>
                <w:rFonts w:ascii="Arial" w:eastAsia="Times New Roman" w:hAnsi="Arial" w:cs="Arial"/>
                <w:b/>
                <w:bCs/>
                <w:color w:val="000000"/>
                <w:sz w:val="20"/>
                <w:szCs w:val="20"/>
                <w:lang w:val="en-US"/>
              </w:rPr>
              <w:t>City</w:t>
            </w:r>
            <w:r w:rsidR="0044223B" w:rsidRPr="00E967EA">
              <w:rPr>
                <w:rFonts w:ascii="Arial" w:eastAsia="Times New Roman" w:hAnsi="Arial" w:cs="Arial"/>
                <w:b/>
                <w:bCs/>
                <w:color w:val="000000"/>
                <w:sz w:val="20"/>
                <w:szCs w:val="20"/>
                <w:lang w:val="en-US"/>
              </w:rPr>
              <w:t xml:space="preserve"> (</w:t>
            </w:r>
            <w:r w:rsidRPr="00E967EA">
              <w:rPr>
                <w:rFonts w:ascii="Arial" w:eastAsia="Times New Roman" w:hAnsi="Arial" w:cs="Arial"/>
                <w:b/>
                <w:bCs/>
                <w:color w:val="000000"/>
                <w:sz w:val="20"/>
                <w:szCs w:val="20"/>
                <w:lang w:val="en-US"/>
              </w:rPr>
              <w:t xml:space="preserve">Population with </w:t>
            </w:r>
            <w:r w:rsidR="0044223B" w:rsidRPr="00E967EA">
              <w:rPr>
                <w:rFonts w:ascii="Arial" w:eastAsia="Times New Roman" w:hAnsi="Arial" w:cs="Arial"/>
                <w:b/>
                <w:bCs/>
                <w:color w:val="000000"/>
                <w:sz w:val="20"/>
                <w:szCs w:val="20"/>
                <w:lang w:val="en-US"/>
              </w:rPr>
              <w:t>100.000-1.000.000)</w:t>
            </w:r>
          </w:p>
        </w:tc>
        <w:tc>
          <w:tcPr>
            <w:tcW w:w="1044" w:type="dxa"/>
            <w:tcBorders>
              <w:top w:val="nil"/>
              <w:left w:val="nil"/>
              <w:bottom w:val="single" w:sz="4" w:space="0" w:color="auto"/>
              <w:right w:val="nil"/>
            </w:tcBorders>
            <w:shd w:val="clear" w:color="auto" w:fill="auto"/>
            <w:noWrap/>
            <w:vAlign w:val="bottom"/>
            <w:hideMark/>
          </w:tcPr>
          <w:p w:rsidR="0044223B" w:rsidRPr="00E967EA" w:rsidRDefault="0044223B" w:rsidP="007B0995">
            <w:pPr>
              <w:spacing w:after="0" w:line="240" w:lineRule="auto"/>
              <w:rPr>
                <w:rFonts w:ascii="Arial" w:eastAsia="Times New Roman" w:hAnsi="Arial" w:cs="Arial"/>
                <w:b/>
                <w:bCs/>
                <w:color w:val="000000"/>
                <w:sz w:val="20"/>
                <w:szCs w:val="20"/>
                <w:lang w:val="en-US"/>
              </w:rPr>
            </w:pPr>
            <w:r w:rsidRPr="00E967EA">
              <w:rPr>
                <w:rFonts w:ascii="Arial" w:eastAsia="Times New Roman" w:hAnsi="Arial" w:cs="Arial"/>
                <w:b/>
                <w:bCs/>
                <w:color w:val="000000"/>
                <w:sz w:val="20"/>
                <w:szCs w:val="20"/>
                <w:lang w:val="en-US"/>
              </w:rPr>
              <w:t>T</w:t>
            </w:r>
            <w:r w:rsidR="00F7602D" w:rsidRPr="00E967EA">
              <w:rPr>
                <w:rFonts w:ascii="Arial" w:eastAsia="Times New Roman" w:hAnsi="Arial" w:cs="Arial"/>
                <w:b/>
                <w:bCs/>
                <w:color w:val="000000"/>
                <w:sz w:val="20"/>
                <w:szCs w:val="20"/>
                <w:lang w:val="en-US"/>
              </w:rPr>
              <w:t>urkey</w:t>
            </w:r>
          </w:p>
        </w:tc>
        <w:tc>
          <w:tcPr>
            <w:tcW w:w="1106" w:type="dxa"/>
            <w:tcBorders>
              <w:top w:val="nil"/>
              <w:left w:val="nil"/>
              <w:bottom w:val="single" w:sz="4" w:space="0" w:color="auto"/>
              <w:right w:val="nil"/>
            </w:tcBorders>
            <w:shd w:val="clear" w:color="auto" w:fill="auto"/>
            <w:noWrap/>
            <w:vAlign w:val="bottom"/>
            <w:hideMark/>
          </w:tcPr>
          <w:p w:rsidR="0044223B" w:rsidRPr="00E967EA" w:rsidRDefault="0044223B" w:rsidP="007B0995">
            <w:pPr>
              <w:spacing w:after="0" w:line="240" w:lineRule="auto"/>
              <w:jc w:val="right"/>
              <w:rPr>
                <w:rFonts w:ascii="Arial" w:eastAsia="Times New Roman" w:hAnsi="Arial" w:cs="Arial"/>
                <w:color w:val="000000"/>
                <w:sz w:val="20"/>
                <w:szCs w:val="20"/>
                <w:lang w:val="en-US"/>
              </w:rPr>
            </w:pPr>
            <w:r w:rsidRPr="00E967EA">
              <w:rPr>
                <w:rFonts w:ascii="Arial" w:eastAsia="Times New Roman" w:hAnsi="Arial" w:cs="Arial"/>
                <w:color w:val="000000"/>
                <w:sz w:val="20"/>
                <w:szCs w:val="20"/>
                <w:lang w:val="en-US"/>
              </w:rPr>
              <w:t>27,95</w:t>
            </w:r>
          </w:p>
        </w:tc>
        <w:tc>
          <w:tcPr>
            <w:tcW w:w="976" w:type="dxa"/>
            <w:tcBorders>
              <w:top w:val="nil"/>
              <w:left w:val="nil"/>
              <w:bottom w:val="single" w:sz="4" w:space="0" w:color="auto"/>
              <w:right w:val="nil"/>
            </w:tcBorders>
            <w:shd w:val="clear" w:color="auto" w:fill="auto"/>
            <w:noWrap/>
            <w:vAlign w:val="bottom"/>
            <w:hideMark/>
          </w:tcPr>
          <w:p w:rsidR="0044223B" w:rsidRPr="00E967EA" w:rsidRDefault="0044223B" w:rsidP="007B0995">
            <w:pPr>
              <w:spacing w:after="0" w:line="240" w:lineRule="auto"/>
              <w:jc w:val="right"/>
              <w:rPr>
                <w:rFonts w:ascii="Arial" w:eastAsia="Times New Roman" w:hAnsi="Arial" w:cs="Arial"/>
                <w:color w:val="000000"/>
                <w:sz w:val="20"/>
                <w:szCs w:val="20"/>
                <w:lang w:val="en-US"/>
              </w:rPr>
            </w:pPr>
            <w:r w:rsidRPr="00E967EA">
              <w:rPr>
                <w:rFonts w:ascii="Arial" w:eastAsia="Times New Roman" w:hAnsi="Arial" w:cs="Arial"/>
                <w:color w:val="000000"/>
                <w:sz w:val="20"/>
                <w:szCs w:val="20"/>
                <w:lang w:val="en-US"/>
              </w:rPr>
              <w:t>29,82</w:t>
            </w:r>
          </w:p>
        </w:tc>
      </w:tr>
      <w:tr w:rsidR="0044223B" w:rsidRPr="00E967EA" w:rsidTr="00F7602D">
        <w:trPr>
          <w:trHeight w:val="345"/>
        </w:trPr>
        <w:tc>
          <w:tcPr>
            <w:tcW w:w="3492" w:type="dxa"/>
            <w:gridSpan w:val="2"/>
            <w:vMerge/>
            <w:tcBorders>
              <w:top w:val="single" w:sz="4" w:space="0" w:color="auto"/>
              <w:left w:val="nil"/>
              <w:bottom w:val="single" w:sz="4" w:space="0" w:color="000000"/>
              <w:right w:val="nil"/>
            </w:tcBorders>
            <w:vAlign w:val="center"/>
            <w:hideMark/>
          </w:tcPr>
          <w:p w:rsidR="0044223B" w:rsidRPr="00E967EA" w:rsidRDefault="0044223B" w:rsidP="007B0995">
            <w:pPr>
              <w:spacing w:after="0" w:line="240" w:lineRule="auto"/>
              <w:rPr>
                <w:rFonts w:ascii="Arial" w:eastAsia="Times New Roman" w:hAnsi="Arial" w:cs="Arial"/>
                <w:b/>
                <w:bCs/>
                <w:color w:val="000000"/>
                <w:sz w:val="20"/>
                <w:szCs w:val="20"/>
                <w:lang w:val="en-US"/>
              </w:rPr>
            </w:pPr>
          </w:p>
        </w:tc>
        <w:tc>
          <w:tcPr>
            <w:tcW w:w="1044" w:type="dxa"/>
            <w:tcBorders>
              <w:top w:val="nil"/>
              <w:left w:val="nil"/>
              <w:bottom w:val="single" w:sz="4" w:space="0" w:color="auto"/>
              <w:right w:val="nil"/>
            </w:tcBorders>
            <w:shd w:val="clear" w:color="auto" w:fill="auto"/>
            <w:noWrap/>
            <w:vAlign w:val="bottom"/>
            <w:hideMark/>
          </w:tcPr>
          <w:p w:rsidR="0044223B" w:rsidRPr="00E967EA" w:rsidRDefault="0044223B" w:rsidP="00F7602D">
            <w:pPr>
              <w:spacing w:after="0" w:line="240" w:lineRule="auto"/>
              <w:rPr>
                <w:rFonts w:ascii="Arial" w:eastAsia="Times New Roman" w:hAnsi="Arial" w:cs="Arial"/>
                <w:b/>
                <w:bCs/>
                <w:color w:val="000000"/>
                <w:sz w:val="20"/>
                <w:szCs w:val="20"/>
                <w:lang w:val="en-US"/>
              </w:rPr>
            </w:pPr>
            <w:r w:rsidRPr="00E967EA">
              <w:rPr>
                <w:rFonts w:ascii="Arial" w:eastAsia="Times New Roman" w:hAnsi="Arial" w:cs="Arial"/>
                <w:b/>
                <w:bCs/>
                <w:color w:val="000000"/>
                <w:sz w:val="20"/>
                <w:szCs w:val="20"/>
                <w:lang w:val="en-US"/>
              </w:rPr>
              <w:t xml:space="preserve">OECD </w:t>
            </w:r>
            <w:r w:rsidR="00F7602D" w:rsidRPr="00E967EA">
              <w:rPr>
                <w:rFonts w:ascii="Arial" w:eastAsia="Times New Roman" w:hAnsi="Arial" w:cs="Arial"/>
                <w:b/>
                <w:bCs/>
                <w:color w:val="000000"/>
                <w:sz w:val="20"/>
                <w:szCs w:val="20"/>
                <w:lang w:val="en-US"/>
              </w:rPr>
              <w:t>Average</w:t>
            </w:r>
          </w:p>
        </w:tc>
        <w:tc>
          <w:tcPr>
            <w:tcW w:w="1106" w:type="dxa"/>
            <w:tcBorders>
              <w:top w:val="nil"/>
              <w:left w:val="nil"/>
              <w:bottom w:val="single" w:sz="4" w:space="0" w:color="auto"/>
              <w:right w:val="nil"/>
            </w:tcBorders>
            <w:shd w:val="clear" w:color="auto" w:fill="auto"/>
            <w:noWrap/>
            <w:vAlign w:val="bottom"/>
            <w:hideMark/>
          </w:tcPr>
          <w:p w:rsidR="0044223B" w:rsidRPr="00E967EA" w:rsidRDefault="0044223B" w:rsidP="007B0995">
            <w:pPr>
              <w:spacing w:after="0" w:line="240" w:lineRule="auto"/>
              <w:jc w:val="right"/>
              <w:rPr>
                <w:rFonts w:ascii="Arial" w:eastAsia="Times New Roman" w:hAnsi="Arial" w:cs="Arial"/>
                <w:color w:val="000000"/>
                <w:sz w:val="20"/>
                <w:szCs w:val="20"/>
                <w:lang w:val="en-US"/>
              </w:rPr>
            </w:pPr>
            <w:r w:rsidRPr="00E967EA">
              <w:rPr>
                <w:rFonts w:ascii="Arial" w:eastAsia="Times New Roman" w:hAnsi="Arial" w:cs="Arial"/>
                <w:color w:val="000000"/>
                <w:sz w:val="20"/>
                <w:szCs w:val="20"/>
                <w:lang w:val="en-US"/>
              </w:rPr>
              <w:t>23,06</w:t>
            </w:r>
          </w:p>
        </w:tc>
        <w:tc>
          <w:tcPr>
            <w:tcW w:w="976" w:type="dxa"/>
            <w:tcBorders>
              <w:top w:val="nil"/>
              <w:left w:val="nil"/>
              <w:bottom w:val="single" w:sz="4" w:space="0" w:color="auto"/>
              <w:right w:val="nil"/>
            </w:tcBorders>
            <w:shd w:val="clear" w:color="auto" w:fill="auto"/>
            <w:noWrap/>
            <w:vAlign w:val="bottom"/>
            <w:hideMark/>
          </w:tcPr>
          <w:p w:rsidR="0044223B" w:rsidRPr="00E967EA" w:rsidRDefault="0044223B" w:rsidP="007B0995">
            <w:pPr>
              <w:spacing w:after="0" w:line="240" w:lineRule="auto"/>
              <w:jc w:val="right"/>
              <w:rPr>
                <w:rFonts w:ascii="Arial" w:eastAsia="Times New Roman" w:hAnsi="Arial" w:cs="Arial"/>
                <w:color w:val="000000"/>
                <w:sz w:val="20"/>
                <w:szCs w:val="20"/>
                <w:lang w:val="en-US"/>
              </w:rPr>
            </w:pPr>
            <w:r w:rsidRPr="00E967EA">
              <w:rPr>
                <w:rFonts w:ascii="Arial" w:eastAsia="Times New Roman" w:hAnsi="Arial" w:cs="Arial"/>
                <w:color w:val="000000"/>
                <w:sz w:val="20"/>
                <w:szCs w:val="20"/>
                <w:lang w:val="en-US"/>
              </w:rPr>
              <w:t>23,78</w:t>
            </w:r>
          </w:p>
        </w:tc>
      </w:tr>
      <w:tr w:rsidR="0044223B" w:rsidRPr="00E967EA" w:rsidTr="00F7602D">
        <w:trPr>
          <w:trHeight w:val="345"/>
        </w:trPr>
        <w:tc>
          <w:tcPr>
            <w:tcW w:w="3492" w:type="dxa"/>
            <w:gridSpan w:val="2"/>
            <w:vMerge w:val="restart"/>
            <w:tcBorders>
              <w:top w:val="single" w:sz="4" w:space="0" w:color="auto"/>
              <w:left w:val="nil"/>
              <w:bottom w:val="single" w:sz="4" w:space="0" w:color="000000"/>
              <w:right w:val="nil"/>
            </w:tcBorders>
            <w:shd w:val="clear" w:color="auto" w:fill="auto"/>
            <w:vAlign w:val="center"/>
            <w:hideMark/>
          </w:tcPr>
          <w:p w:rsidR="0044223B" w:rsidRPr="00E967EA" w:rsidRDefault="00F7602D" w:rsidP="00F7602D">
            <w:pPr>
              <w:spacing w:after="0" w:line="240" w:lineRule="auto"/>
              <w:rPr>
                <w:rFonts w:ascii="Arial" w:eastAsia="Times New Roman" w:hAnsi="Arial" w:cs="Arial"/>
                <w:b/>
                <w:bCs/>
                <w:color w:val="000000"/>
                <w:sz w:val="20"/>
                <w:szCs w:val="20"/>
                <w:lang w:val="en-US"/>
              </w:rPr>
            </w:pPr>
            <w:r w:rsidRPr="00E967EA">
              <w:rPr>
                <w:rFonts w:ascii="Arial" w:eastAsia="Times New Roman" w:hAnsi="Arial" w:cs="Arial"/>
                <w:b/>
                <w:bCs/>
                <w:color w:val="000000"/>
                <w:sz w:val="20"/>
                <w:szCs w:val="20"/>
                <w:lang w:val="en-US"/>
              </w:rPr>
              <w:t>Large City</w:t>
            </w:r>
            <w:r w:rsidR="0044223B" w:rsidRPr="00E967EA">
              <w:rPr>
                <w:rFonts w:ascii="Arial" w:eastAsia="Times New Roman" w:hAnsi="Arial" w:cs="Arial"/>
                <w:b/>
                <w:bCs/>
                <w:color w:val="000000"/>
                <w:sz w:val="20"/>
                <w:szCs w:val="20"/>
                <w:lang w:val="en-US"/>
              </w:rPr>
              <w:t xml:space="preserve"> (</w:t>
            </w:r>
            <w:r w:rsidRPr="00E967EA">
              <w:rPr>
                <w:rFonts w:ascii="Arial" w:eastAsia="Times New Roman" w:hAnsi="Arial" w:cs="Arial"/>
                <w:b/>
                <w:bCs/>
                <w:color w:val="000000"/>
                <w:sz w:val="20"/>
                <w:szCs w:val="20"/>
                <w:lang w:val="en-US"/>
              </w:rPr>
              <w:t xml:space="preserve">Population more than </w:t>
            </w:r>
            <w:r w:rsidR="0044223B" w:rsidRPr="00E967EA">
              <w:rPr>
                <w:rFonts w:ascii="Arial" w:eastAsia="Times New Roman" w:hAnsi="Arial" w:cs="Arial"/>
                <w:b/>
                <w:bCs/>
                <w:color w:val="000000"/>
                <w:sz w:val="20"/>
                <w:szCs w:val="20"/>
                <w:lang w:val="en-US"/>
              </w:rPr>
              <w:t>1.000.000</w:t>
            </w:r>
            <w:r w:rsidRPr="00E967EA">
              <w:rPr>
                <w:rFonts w:ascii="Arial" w:eastAsia="Times New Roman" w:hAnsi="Arial" w:cs="Arial"/>
                <w:b/>
                <w:bCs/>
                <w:color w:val="000000"/>
                <w:sz w:val="20"/>
                <w:szCs w:val="20"/>
                <w:lang w:val="en-US"/>
              </w:rPr>
              <w:t>)</w:t>
            </w:r>
          </w:p>
        </w:tc>
        <w:tc>
          <w:tcPr>
            <w:tcW w:w="1044" w:type="dxa"/>
            <w:tcBorders>
              <w:top w:val="nil"/>
              <w:left w:val="nil"/>
              <w:bottom w:val="single" w:sz="4" w:space="0" w:color="auto"/>
              <w:right w:val="nil"/>
            </w:tcBorders>
            <w:shd w:val="clear" w:color="auto" w:fill="auto"/>
            <w:noWrap/>
            <w:vAlign w:val="bottom"/>
            <w:hideMark/>
          </w:tcPr>
          <w:p w:rsidR="0044223B" w:rsidRPr="00E967EA" w:rsidRDefault="0044223B" w:rsidP="007B0995">
            <w:pPr>
              <w:spacing w:after="0" w:line="240" w:lineRule="auto"/>
              <w:rPr>
                <w:rFonts w:ascii="Arial" w:eastAsia="Times New Roman" w:hAnsi="Arial" w:cs="Arial"/>
                <w:b/>
                <w:bCs/>
                <w:color w:val="000000"/>
                <w:sz w:val="20"/>
                <w:szCs w:val="20"/>
                <w:lang w:val="en-US"/>
              </w:rPr>
            </w:pPr>
            <w:r w:rsidRPr="00E967EA">
              <w:rPr>
                <w:rFonts w:ascii="Arial" w:eastAsia="Times New Roman" w:hAnsi="Arial" w:cs="Arial"/>
                <w:b/>
                <w:bCs/>
                <w:color w:val="000000"/>
                <w:sz w:val="20"/>
                <w:szCs w:val="20"/>
                <w:lang w:val="en-US"/>
              </w:rPr>
              <w:t>T</w:t>
            </w:r>
            <w:r w:rsidR="00F7602D" w:rsidRPr="00E967EA">
              <w:rPr>
                <w:rFonts w:ascii="Arial" w:eastAsia="Times New Roman" w:hAnsi="Arial" w:cs="Arial"/>
                <w:b/>
                <w:bCs/>
                <w:color w:val="000000"/>
                <w:sz w:val="20"/>
                <w:szCs w:val="20"/>
                <w:lang w:val="en-US"/>
              </w:rPr>
              <w:t>urkey</w:t>
            </w:r>
          </w:p>
        </w:tc>
        <w:tc>
          <w:tcPr>
            <w:tcW w:w="1106" w:type="dxa"/>
            <w:tcBorders>
              <w:top w:val="nil"/>
              <w:left w:val="nil"/>
              <w:bottom w:val="single" w:sz="4" w:space="0" w:color="auto"/>
              <w:right w:val="nil"/>
            </w:tcBorders>
            <w:shd w:val="clear" w:color="auto" w:fill="auto"/>
            <w:noWrap/>
            <w:vAlign w:val="bottom"/>
            <w:hideMark/>
          </w:tcPr>
          <w:p w:rsidR="0044223B" w:rsidRPr="00E967EA" w:rsidRDefault="0044223B" w:rsidP="007B0995">
            <w:pPr>
              <w:spacing w:after="0" w:line="240" w:lineRule="auto"/>
              <w:jc w:val="right"/>
              <w:rPr>
                <w:rFonts w:ascii="Arial" w:eastAsia="Times New Roman" w:hAnsi="Arial" w:cs="Arial"/>
                <w:color w:val="000000"/>
                <w:sz w:val="20"/>
                <w:szCs w:val="20"/>
                <w:lang w:val="en-US"/>
              </w:rPr>
            </w:pPr>
            <w:r w:rsidRPr="00E967EA">
              <w:rPr>
                <w:rFonts w:ascii="Arial" w:eastAsia="Times New Roman" w:hAnsi="Arial" w:cs="Arial"/>
                <w:color w:val="000000"/>
                <w:sz w:val="20"/>
                <w:szCs w:val="20"/>
                <w:lang w:val="en-US"/>
              </w:rPr>
              <w:t>31,3</w:t>
            </w:r>
          </w:p>
        </w:tc>
        <w:tc>
          <w:tcPr>
            <w:tcW w:w="976" w:type="dxa"/>
            <w:tcBorders>
              <w:top w:val="nil"/>
              <w:left w:val="nil"/>
              <w:bottom w:val="single" w:sz="4" w:space="0" w:color="auto"/>
              <w:right w:val="nil"/>
            </w:tcBorders>
            <w:shd w:val="clear" w:color="auto" w:fill="auto"/>
            <w:noWrap/>
            <w:vAlign w:val="bottom"/>
            <w:hideMark/>
          </w:tcPr>
          <w:p w:rsidR="0044223B" w:rsidRPr="00E967EA" w:rsidRDefault="0044223B" w:rsidP="007B0995">
            <w:pPr>
              <w:spacing w:after="0" w:line="240" w:lineRule="auto"/>
              <w:jc w:val="right"/>
              <w:rPr>
                <w:rFonts w:ascii="Arial" w:eastAsia="Times New Roman" w:hAnsi="Arial" w:cs="Arial"/>
                <w:color w:val="000000"/>
                <w:sz w:val="20"/>
                <w:szCs w:val="20"/>
                <w:lang w:val="en-US"/>
              </w:rPr>
            </w:pPr>
            <w:r w:rsidRPr="00E967EA">
              <w:rPr>
                <w:rFonts w:ascii="Arial" w:eastAsia="Times New Roman" w:hAnsi="Arial" w:cs="Arial"/>
                <w:color w:val="000000"/>
                <w:sz w:val="20"/>
                <w:szCs w:val="20"/>
                <w:lang w:val="en-US"/>
              </w:rPr>
              <w:t>26,57</w:t>
            </w:r>
          </w:p>
        </w:tc>
      </w:tr>
      <w:tr w:rsidR="0044223B" w:rsidRPr="0037497E" w:rsidTr="00F7602D">
        <w:trPr>
          <w:trHeight w:val="360"/>
        </w:trPr>
        <w:tc>
          <w:tcPr>
            <w:tcW w:w="3492" w:type="dxa"/>
            <w:gridSpan w:val="2"/>
            <w:vMerge/>
            <w:tcBorders>
              <w:top w:val="single" w:sz="4" w:space="0" w:color="auto"/>
              <w:left w:val="nil"/>
              <w:bottom w:val="single" w:sz="4" w:space="0" w:color="000000"/>
              <w:right w:val="nil"/>
            </w:tcBorders>
            <w:vAlign w:val="center"/>
            <w:hideMark/>
          </w:tcPr>
          <w:p w:rsidR="0044223B" w:rsidRPr="00E967EA" w:rsidRDefault="0044223B" w:rsidP="007B0995">
            <w:pPr>
              <w:spacing w:after="0" w:line="240" w:lineRule="auto"/>
              <w:rPr>
                <w:rFonts w:ascii="Arial" w:eastAsia="Times New Roman" w:hAnsi="Arial" w:cs="Arial"/>
                <w:b/>
                <w:bCs/>
                <w:color w:val="000000"/>
                <w:sz w:val="20"/>
                <w:szCs w:val="20"/>
                <w:lang w:val="en-US"/>
              </w:rPr>
            </w:pPr>
          </w:p>
        </w:tc>
        <w:tc>
          <w:tcPr>
            <w:tcW w:w="1044" w:type="dxa"/>
            <w:tcBorders>
              <w:top w:val="nil"/>
              <w:left w:val="nil"/>
              <w:bottom w:val="single" w:sz="4" w:space="0" w:color="auto"/>
              <w:right w:val="nil"/>
            </w:tcBorders>
            <w:shd w:val="clear" w:color="auto" w:fill="auto"/>
            <w:noWrap/>
            <w:vAlign w:val="bottom"/>
            <w:hideMark/>
          </w:tcPr>
          <w:p w:rsidR="0044223B" w:rsidRPr="00E967EA" w:rsidRDefault="0044223B" w:rsidP="007B0995">
            <w:pPr>
              <w:spacing w:after="0" w:line="240" w:lineRule="auto"/>
              <w:rPr>
                <w:rFonts w:ascii="Arial" w:eastAsia="Times New Roman" w:hAnsi="Arial" w:cs="Arial"/>
                <w:b/>
                <w:bCs/>
                <w:color w:val="000000"/>
                <w:sz w:val="20"/>
                <w:szCs w:val="20"/>
                <w:lang w:val="en-US"/>
              </w:rPr>
            </w:pPr>
            <w:r w:rsidRPr="00E967EA">
              <w:rPr>
                <w:rFonts w:ascii="Arial" w:eastAsia="Times New Roman" w:hAnsi="Arial" w:cs="Arial"/>
                <w:b/>
                <w:bCs/>
                <w:color w:val="000000"/>
                <w:sz w:val="20"/>
                <w:szCs w:val="20"/>
                <w:lang w:val="en-US"/>
              </w:rPr>
              <w:t xml:space="preserve">OECD </w:t>
            </w:r>
            <w:r w:rsidR="00F7602D" w:rsidRPr="00E967EA">
              <w:rPr>
                <w:rFonts w:ascii="Arial" w:eastAsia="Times New Roman" w:hAnsi="Arial" w:cs="Arial"/>
                <w:b/>
                <w:bCs/>
                <w:color w:val="000000"/>
                <w:sz w:val="20"/>
                <w:szCs w:val="20"/>
                <w:lang w:val="en-US"/>
              </w:rPr>
              <w:t>Average</w:t>
            </w:r>
          </w:p>
        </w:tc>
        <w:tc>
          <w:tcPr>
            <w:tcW w:w="1106" w:type="dxa"/>
            <w:tcBorders>
              <w:top w:val="nil"/>
              <w:left w:val="nil"/>
              <w:bottom w:val="single" w:sz="4" w:space="0" w:color="auto"/>
              <w:right w:val="nil"/>
            </w:tcBorders>
            <w:shd w:val="clear" w:color="auto" w:fill="auto"/>
            <w:noWrap/>
            <w:vAlign w:val="bottom"/>
            <w:hideMark/>
          </w:tcPr>
          <w:p w:rsidR="0044223B" w:rsidRPr="00E967EA" w:rsidRDefault="0044223B" w:rsidP="007B0995">
            <w:pPr>
              <w:spacing w:after="0" w:line="240" w:lineRule="auto"/>
              <w:jc w:val="right"/>
              <w:rPr>
                <w:rFonts w:ascii="Arial" w:eastAsia="Times New Roman" w:hAnsi="Arial" w:cs="Arial"/>
                <w:color w:val="000000"/>
                <w:sz w:val="20"/>
                <w:szCs w:val="20"/>
                <w:lang w:val="en-US"/>
              </w:rPr>
            </w:pPr>
            <w:r w:rsidRPr="00E967EA">
              <w:rPr>
                <w:rFonts w:ascii="Arial" w:eastAsia="Times New Roman" w:hAnsi="Arial" w:cs="Arial"/>
                <w:color w:val="000000"/>
                <w:sz w:val="20"/>
                <w:szCs w:val="20"/>
                <w:lang w:val="en-US"/>
              </w:rPr>
              <w:t>16,06</w:t>
            </w:r>
          </w:p>
        </w:tc>
        <w:tc>
          <w:tcPr>
            <w:tcW w:w="976" w:type="dxa"/>
            <w:tcBorders>
              <w:top w:val="nil"/>
              <w:left w:val="nil"/>
              <w:bottom w:val="single" w:sz="4" w:space="0" w:color="auto"/>
              <w:right w:val="nil"/>
            </w:tcBorders>
            <w:shd w:val="clear" w:color="auto" w:fill="auto"/>
            <w:noWrap/>
            <w:vAlign w:val="bottom"/>
            <w:hideMark/>
          </w:tcPr>
          <w:p w:rsidR="0044223B" w:rsidRPr="0037497E" w:rsidRDefault="0044223B" w:rsidP="007B0995">
            <w:pPr>
              <w:spacing w:after="0" w:line="240" w:lineRule="auto"/>
              <w:jc w:val="right"/>
              <w:rPr>
                <w:rFonts w:ascii="Arial" w:eastAsia="Times New Roman" w:hAnsi="Arial" w:cs="Arial"/>
                <w:color w:val="000000"/>
                <w:sz w:val="20"/>
                <w:szCs w:val="20"/>
                <w:lang w:val="en-US"/>
              </w:rPr>
            </w:pPr>
            <w:r w:rsidRPr="00E967EA">
              <w:rPr>
                <w:rFonts w:ascii="Arial" w:eastAsia="Times New Roman" w:hAnsi="Arial" w:cs="Arial"/>
                <w:color w:val="000000"/>
                <w:sz w:val="20"/>
                <w:szCs w:val="20"/>
                <w:lang w:val="en-US"/>
              </w:rPr>
              <w:t>11,01</w:t>
            </w:r>
          </w:p>
        </w:tc>
      </w:tr>
    </w:tbl>
    <w:p w:rsidR="0044223B" w:rsidRPr="0037497E" w:rsidRDefault="0044223B" w:rsidP="0044223B">
      <w:pPr>
        <w:jc w:val="both"/>
        <w:rPr>
          <w:rFonts w:ascii="Arial" w:hAnsi="Arial" w:cs="Arial"/>
          <w:b/>
          <w:lang w:val="en-US"/>
        </w:rPr>
      </w:pPr>
    </w:p>
    <w:p w:rsidR="0044223B" w:rsidRPr="0037497E" w:rsidRDefault="0044223B" w:rsidP="005A551F">
      <w:pPr>
        <w:jc w:val="both"/>
        <w:rPr>
          <w:rFonts w:ascii="Arial" w:hAnsi="Arial" w:cs="Arial"/>
          <w:sz w:val="20"/>
          <w:szCs w:val="20"/>
          <w:lang w:val="en-US"/>
        </w:rPr>
      </w:pPr>
    </w:p>
    <w:sectPr w:rsidR="0044223B" w:rsidRPr="0037497E" w:rsidSect="00F91291">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A42" w:rsidRDefault="00113A42" w:rsidP="00B56953">
      <w:pPr>
        <w:spacing w:after="0" w:line="240" w:lineRule="auto"/>
      </w:pPr>
      <w:r>
        <w:separator/>
      </w:r>
    </w:p>
  </w:endnote>
  <w:endnote w:type="continuationSeparator" w:id="0">
    <w:p w:rsidR="00113A42" w:rsidRDefault="00113A42" w:rsidP="00B56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668078"/>
      <w:docPartObj>
        <w:docPartGallery w:val="Page Numbers (Bottom of Page)"/>
        <w:docPartUnique/>
      </w:docPartObj>
    </w:sdtPr>
    <w:sdtEndPr/>
    <w:sdtContent>
      <w:p w:rsidR="00DA6E48" w:rsidRDefault="00113A42">
        <w:pPr>
          <w:pStyle w:val="Footer"/>
          <w:jc w:val="right"/>
        </w:pPr>
        <w:r>
          <w:fldChar w:fldCharType="begin"/>
        </w:r>
        <w:r>
          <w:instrText xml:space="preserve"> PAGE   \* MERGEFORMAT </w:instrText>
        </w:r>
        <w:r>
          <w:fldChar w:fldCharType="separate"/>
        </w:r>
        <w:r w:rsidR="001E20CD">
          <w:rPr>
            <w:noProof/>
          </w:rPr>
          <w:t>1</w:t>
        </w:r>
        <w:r>
          <w:rPr>
            <w:noProof/>
          </w:rPr>
          <w:fldChar w:fldCharType="end"/>
        </w:r>
      </w:p>
    </w:sdtContent>
  </w:sdt>
  <w:p w:rsidR="00DA6E48" w:rsidRDefault="00DA6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A42" w:rsidRDefault="00113A42" w:rsidP="00B56953">
      <w:pPr>
        <w:spacing w:after="0" w:line="240" w:lineRule="auto"/>
      </w:pPr>
      <w:r>
        <w:separator/>
      </w:r>
    </w:p>
  </w:footnote>
  <w:footnote w:type="continuationSeparator" w:id="0">
    <w:p w:rsidR="00113A42" w:rsidRDefault="00113A42" w:rsidP="00B56953">
      <w:pPr>
        <w:spacing w:after="0" w:line="240" w:lineRule="auto"/>
      </w:pPr>
      <w:r>
        <w:continuationSeparator/>
      </w:r>
    </w:p>
  </w:footnote>
  <w:footnote w:id="1">
    <w:p w:rsidR="00ED7BB6" w:rsidRPr="003C667D" w:rsidRDefault="00ED7BB6" w:rsidP="00ED7BB6">
      <w:pPr>
        <w:pStyle w:val="FootnoteText"/>
        <w:rPr>
          <w:rFonts w:ascii="Arial" w:hAnsi="Arial" w:cs="Arial"/>
          <w:sz w:val="18"/>
          <w:szCs w:val="18"/>
          <w:lang w:val="en-US"/>
        </w:rPr>
      </w:pPr>
      <w:r w:rsidRPr="003C667D">
        <w:rPr>
          <w:rStyle w:val="FootnoteReference"/>
          <w:rFonts w:ascii="Arial" w:hAnsi="Arial" w:cs="Arial"/>
          <w:b/>
        </w:rPr>
        <w:t>*</w:t>
      </w:r>
      <w:r w:rsidRPr="003C667D">
        <w:rPr>
          <w:rFonts w:ascii="Arial" w:hAnsi="Arial" w:cs="Arial"/>
          <w:sz w:val="16"/>
          <w:szCs w:val="16"/>
          <w:lang w:val="en-US"/>
        </w:rPr>
        <w:t xml:space="preserve">Prof. Dr. </w:t>
      </w:r>
      <w:proofErr w:type="spellStart"/>
      <w:r w:rsidRPr="003C667D">
        <w:rPr>
          <w:rFonts w:ascii="Arial" w:hAnsi="Arial" w:cs="Arial"/>
          <w:sz w:val="16"/>
          <w:szCs w:val="16"/>
          <w:lang w:val="en-US"/>
        </w:rPr>
        <w:t>Seyfettin</w:t>
      </w:r>
      <w:proofErr w:type="spellEnd"/>
      <w:r w:rsidRPr="003C667D">
        <w:rPr>
          <w:rFonts w:ascii="Arial" w:hAnsi="Arial" w:cs="Arial"/>
          <w:sz w:val="16"/>
          <w:szCs w:val="16"/>
          <w:lang w:val="en-US"/>
        </w:rPr>
        <w:t xml:space="preserve"> </w:t>
      </w:r>
      <w:proofErr w:type="spellStart"/>
      <w:r w:rsidRPr="003C667D">
        <w:rPr>
          <w:rFonts w:ascii="Arial" w:hAnsi="Arial" w:cs="Arial"/>
          <w:sz w:val="16"/>
          <w:szCs w:val="16"/>
          <w:lang w:val="en-US"/>
        </w:rPr>
        <w:t>Gürsel</w:t>
      </w:r>
      <w:proofErr w:type="spellEnd"/>
      <w:r w:rsidRPr="003C667D">
        <w:rPr>
          <w:rFonts w:ascii="Arial" w:hAnsi="Arial" w:cs="Arial"/>
          <w:sz w:val="16"/>
          <w:szCs w:val="16"/>
          <w:lang w:val="en-US"/>
        </w:rPr>
        <w:t xml:space="preserve"> , </w:t>
      </w:r>
      <w:proofErr w:type="spellStart"/>
      <w:r w:rsidRPr="003C667D">
        <w:rPr>
          <w:rFonts w:ascii="Arial" w:hAnsi="Arial" w:cs="Arial"/>
          <w:sz w:val="16"/>
          <w:szCs w:val="16"/>
          <w:lang w:val="en-US"/>
        </w:rPr>
        <w:t>Betam</w:t>
      </w:r>
      <w:proofErr w:type="spellEnd"/>
      <w:r w:rsidRPr="003C667D">
        <w:rPr>
          <w:rFonts w:ascii="Arial" w:hAnsi="Arial" w:cs="Arial"/>
          <w:sz w:val="16"/>
          <w:szCs w:val="16"/>
          <w:lang w:val="en-US"/>
        </w:rPr>
        <w:t xml:space="preserve">, </w:t>
      </w:r>
      <w:r w:rsidR="00126332" w:rsidRPr="003C667D">
        <w:rPr>
          <w:rFonts w:ascii="Arial" w:hAnsi="Arial" w:cs="Arial"/>
          <w:sz w:val="16"/>
          <w:szCs w:val="16"/>
          <w:lang w:val="en-US"/>
        </w:rPr>
        <w:t xml:space="preserve">Director </w:t>
      </w:r>
      <w:r w:rsidRPr="003C667D">
        <w:rPr>
          <w:rFonts w:ascii="Arial" w:hAnsi="Arial" w:cs="Arial"/>
          <w:sz w:val="16"/>
          <w:szCs w:val="16"/>
          <w:lang w:val="en-US"/>
        </w:rPr>
        <w:t>, seyfettin.gursel@bahcesehir.edu.tr</w:t>
      </w:r>
    </w:p>
  </w:footnote>
  <w:footnote w:id="2">
    <w:p w:rsidR="00ED7BB6" w:rsidRPr="003C667D" w:rsidRDefault="00ED7BB6" w:rsidP="00ED7BB6">
      <w:pPr>
        <w:autoSpaceDE w:val="0"/>
        <w:autoSpaceDN w:val="0"/>
        <w:adjustRightInd w:val="0"/>
        <w:rPr>
          <w:rFonts w:ascii="Arial" w:eastAsia="Times New Roman" w:hAnsi="Arial" w:cs="Arial"/>
          <w:sz w:val="16"/>
          <w:szCs w:val="16"/>
          <w:lang w:val="en-US" w:eastAsia="ar-SA"/>
        </w:rPr>
      </w:pPr>
      <w:r w:rsidRPr="003C667D">
        <w:rPr>
          <w:rFonts w:ascii="Arial" w:eastAsia="Times New Roman" w:hAnsi="Arial" w:cs="Arial"/>
          <w:sz w:val="18"/>
          <w:szCs w:val="18"/>
          <w:lang w:val="en-US" w:eastAsia="ar-SA"/>
        </w:rPr>
        <w:t>**</w:t>
      </w:r>
      <w:r w:rsidRPr="003C667D">
        <w:rPr>
          <w:rFonts w:ascii="Arial" w:eastAsia="Times New Roman" w:hAnsi="Arial" w:cs="Arial"/>
          <w:sz w:val="16"/>
          <w:szCs w:val="16"/>
          <w:lang w:val="en-US" w:eastAsia="ar-SA"/>
        </w:rPr>
        <w:t xml:space="preserve">Mine </w:t>
      </w:r>
      <w:proofErr w:type="spellStart"/>
      <w:r w:rsidRPr="003C667D">
        <w:rPr>
          <w:rFonts w:ascii="Arial" w:eastAsia="Times New Roman" w:hAnsi="Arial" w:cs="Arial"/>
          <w:sz w:val="16"/>
          <w:szCs w:val="16"/>
          <w:lang w:val="en-US" w:eastAsia="ar-SA"/>
        </w:rPr>
        <w:t>Durmaz</w:t>
      </w:r>
      <w:proofErr w:type="spellEnd"/>
      <w:r w:rsidRPr="003C667D">
        <w:rPr>
          <w:rFonts w:ascii="Arial" w:eastAsia="Times New Roman" w:hAnsi="Arial" w:cs="Arial"/>
          <w:sz w:val="16"/>
          <w:szCs w:val="16"/>
          <w:lang w:val="en-US" w:eastAsia="ar-SA"/>
        </w:rPr>
        <w:t xml:space="preserve">, </w:t>
      </w:r>
      <w:proofErr w:type="spellStart"/>
      <w:r w:rsidRPr="003C667D">
        <w:rPr>
          <w:rFonts w:ascii="Arial" w:eastAsia="Times New Roman" w:hAnsi="Arial" w:cs="Arial"/>
          <w:sz w:val="16"/>
          <w:szCs w:val="16"/>
          <w:lang w:val="en-US" w:eastAsia="ar-SA"/>
        </w:rPr>
        <w:t>Betam</w:t>
      </w:r>
      <w:proofErr w:type="spellEnd"/>
      <w:r w:rsidRPr="003C667D">
        <w:rPr>
          <w:rFonts w:ascii="Arial" w:eastAsia="Times New Roman" w:hAnsi="Arial" w:cs="Arial"/>
          <w:sz w:val="16"/>
          <w:szCs w:val="16"/>
          <w:lang w:val="en-US" w:eastAsia="ar-SA"/>
        </w:rPr>
        <w:t xml:space="preserve">, </w:t>
      </w:r>
      <w:r w:rsidR="00126332" w:rsidRPr="003C667D">
        <w:rPr>
          <w:rFonts w:ascii="Arial" w:eastAsia="Times New Roman" w:hAnsi="Arial" w:cs="Arial"/>
          <w:sz w:val="16"/>
          <w:szCs w:val="16"/>
          <w:lang w:val="en-US" w:eastAsia="ar-SA"/>
        </w:rPr>
        <w:t xml:space="preserve">Research </w:t>
      </w:r>
      <w:r w:rsidR="000F784E" w:rsidRPr="003C667D">
        <w:rPr>
          <w:rFonts w:ascii="Arial" w:eastAsia="Times New Roman" w:hAnsi="Arial" w:cs="Arial"/>
          <w:sz w:val="16"/>
          <w:szCs w:val="16"/>
          <w:lang w:val="en-US" w:eastAsia="ar-SA"/>
        </w:rPr>
        <w:t>Assistant</w:t>
      </w:r>
      <w:r w:rsidRPr="003C667D">
        <w:rPr>
          <w:rFonts w:ascii="Arial" w:eastAsia="Times New Roman" w:hAnsi="Arial" w:cs="Arial"/>
          <w:sz w:val="16"/>
          <w:szCs w:val="16"/>
          <w:lang w:val="en-US" w:eastAsia="ar-SA"/>
        </w:rPr>
        <w:t>, mine.durmaz@bahcesehir.edu.tr</w:t>
      </w:r>
    </w:p>
  </w:footnote>
  <w:footnote w:id="3">
    <w:p w:rsidR="000406DF" w:rsidRPr="000406DF" w:rsidRDefault="00CC4878">
      <w:pPr>
        <w:pStyle w:val="FootnoteText"/>
        <w:rPr>
          <w:sz w:val="18"/>
          <w:szCs w:val="18"/>
          <w:lang w:val="en-US"/>
        </w:rPr>
      </w:pPr>
      <w:r w:rsidRPr="003C667D">
        <w:rPr>
          <w:rStyle w:val="FootnoteReference"/>
          <w:rFonts w:ascii="Arial" w:hAnsi="Arial" w:cs="Arial"/>
          <w:lang w:val="en-US"/>
        </w:rPr>
        <w:footnoteRef/>
      </w:r>
      <w:r w:rsidR="000406DF" w:rsidRPr="003C667D">
        <w:rPr>
          <w:rFonts w:ascii="Arial" w:hAnsi="Arial" w:cs="Arial"/>
          <w:sz w:val="18"/>
          <w:szCs w:val="18"/>
          <w:lang w:val="en-US"/>
        </w:rPr>
        <w:t xml:space="preserve"> </w:t>
      </w:r>
      <w:proofErr w:type="gramStart"/>
      <w:r w:rsidRPr="003C667D">
        <w:rPr>
          <w:rFonts w:ascii="Arial" w:hAnsi="Arial" w:cs="Arial"/>
          <w:sz w:val="16"/>
          <w:szCs w:val="16"/>
          <w:lang w:val="en-US"/>
        </w:rPr>
        <w:t xml:space="preserve">Turkey </w:t>
      </w:r>
      <w:r w:rsidR="00837491" w:rsidRPr="003C667D">
        <w:rPr>
          <w:rFonts w:ascii="Arial" w:hAnsi="Arial" w:cs="Arial"/>
          <w:sz w:val="16"/>
          <w:szCs w:val="16"/>
          <w:lang w:val="en-US"/>
        </w:rPr>
        <w:t xml:space="preserve">PISA 2012 </w:t>
      </w:r>
      <w:r w:rsidRPr="003C667D">
        <w:rPr>
          <w:rFonts w:ascii="Arial" w:hAnsi="Arial" w:cs="Arial"/>
          <w:sz w:val="16"/>
          <w:szCs w:val="16"/>
          <w:lang w:val="en-US"/>
        </w:rPr>
        <w:t xml:space="preserve">National Report by </w:t>
      </w:r>
      <w:r w:rsidR="008A0BB8" w:rsidRPr="003C667D">
        <w:rPr>
          <w:rFonts w:ascii="Arial" w:hAnsi="Arial" w:cs="Arial"/>
          <w:sz w:val="16"/>
          <w:szCs w:val="16"/>
          <w:lang w:val="en-US"/>
        </w:rPr>
        <w:t>Ministry</w:t>
      </w:r>
      <w:r w:rsidR="003C667D">
        <w:rPr>
          <w:rFonts w:ascii="Arial" w:hAnsi="Arial" w:cs="Arial"/>
          <w:sz w:val="16"/>
          <w:szCs w:val="16"/>
          <w:lang w:val="en-US"/>
        </w:rPr>
        <w:t xml:space="preserve"> of Education.</w:t>
      </w:r>
      <w:proofErr w:type="gramEnd"/>
      <w:r w:rsidR="003C667D">
        <w:rPr>
          <w:rFonts w:ascii="Arial" w:hAnsi="Arial" w:cs="Arial"/>
          <w:sz w:val="16"/>
          <w:szCs w:val="16"/>
          <w:lang w:val="en-US"/>
        </w:rPr>
        <w:t xml:space="preserve"> </w:t>
      </w:r>
      <w:r w:rsidRPr="003C667D">
        <w:rPr>
          <w:rFonts w:ascii="Arial" w:hAnsi="Arial" w:cs="Arial"/>
          <w:sz w:val="16"/>
          <w:szCs w:val="16"/>
          <w:lang w:val="en-US"/>
        </w:rPr>
        <w:t>http://yegitek.meb.gov.tr/meb_iys_dosyalar/2013_12/13053601_pisa2012_ulusal_n_raporu.pdf</w:t>
      </w:r>
      <w:r w:rsidR="00AA60A9">
        <w:rPr>
          <w:rFonts w:ascii="Arial" w:hAnsi="Arial" w:cs="Arial"/>
          <w:sz w:val="16"/>
          <w:szCs w:val="16"/>
          <w:lang w:val="en-US"/>
        </w:rPr>
        <w:t xml:space="preserve"> </w:t>
      </w:r>
    </w:p>
  </w:footnote>
  <w:footnote w:id="4">
    <w:p w:rsidR="0040163B" w:rsidRPr="00397026" w:rsidRDefault="0040163B" w:rsidP="002E2F2A">
      <w:pPr>
        <w:pStyle w:val="FootnoteText"/>
        <w:jc w:val="both"/>
        <w:rPr>
          <w:rFonts w:ascii="Arial" w:hAnsi="Arial" w:cs="Arial"/>
          <w:sz w:val="16"/>
          <w:szCs w:val="16"/>
          <w:lang w:val="en-US"/>
        </w:rPr>
      </w:pPr>
      <w:r w:rsidRPr="00397026">
        <w:rPr>
          <w:rStyle w:val="FootnoteReference"/>
          <w:rFonts w:ascii="Arial" w:hAnsi="Arial" w:cs="Arial"/>
          <w:sz w:val="16"/>
          <w:szCs w:val="16"/>
        </w:rPr>
        <w:footnoteRef/>
      </w:r>
      <w:r w:rsidRPr="00397026">
        <w:rPr>
          <w:rFonts w:ascii="Arial" w:hAnsi="Arial" w:cs="Arial"/>
          <w:sz w:val="16"/>
          <w:szCs w:val="16"/>
        </w:rPr>
        <w:t xml:space="preserve"> </w:t>
      </w:r>
      <w:r w:rsidRPr="00397026">
        <w:rPr>
          <w:rFonts w:ascii="Arial" w:hAnsi="Arial" w:cs="Arial"/>
          <w:sz w:val="16"/>
          <w:szCs w:val="16"/>
          <w:lang w:val="en-US"/>
        </w:rPr>
        <w:t>In</w:t>
      </w:r>
      <w:r w:rsidR="009E01B9" w:rsidRPr="00397026">
        <w:rPr>
          <w:rFonts w:ascii="Arial" w:hAnsi="Arial" w:cs="Arial"/>
          <w:sz w:val="16"/>
          <w:szCs w:val="16"/>
          <w:lang w:val="en-US"/>
        </w:rPr>
        <w:t xml:space="preserve"> PISA</w:t>
      </w:r>
      <w:r w:rsidRPr="00397026">
        <w:rPr>
          <w:rFonts w:ascii="Arial" w:hAnsi="Arial" w:cs="Arial"/>
          <w:sz w:val="16"/>
          <w:szCs w:val="16"/>
          <w:lang w:val="en-US"/>
        </w:rPr>
        <w:t xml:space="preserve"> 2006</w:t>
      </w:r>
      <w:r w:rsidR="007020A4" w:rsidRPr="00397026">
        <w:rPr>
          <w:rFonts w:ascii="Arial" w:hAnsi="Arial" w:cs="Arial"/>
          <w:sz w:val="16"/>
          <w:szCs w:val="16"/>
          <w:lang w:val="en-US"/>
        </w:rPr>
        <w:t>,</w:t>
      </w:r>
      <w:r w:rsidR="00442E54" w:rsidRPr="00397026">
        <w:rPr>
          <w:rFonts w:ascii="Arial" w:hAnsi="Arial" w:cs="Arial"/>
          <w:sz w:val="16"/>
          <w:szCs w:val="16"/>
          <w:lang w:val="en-US"/>
        </w:rPr>
        <w:t xml:space="preserve"> </w:t>
      </w:r>
      <w:r w:rsidR="002E2F2A" w:rsidRPr="00397026">
        <w:rPr>
          <w:rFonts w:ascii="Arial" w:hAnsi="Arial" w:cs="Arial"/>
          <w:sz w:val="16"/>
          <w:szCs w:val="16"/>
          <w:lang w:val="en-US"/>
        </w:rPr>
        <w:t xml:space="preserve">the science framework changed.  Thus, it is not possible to compare 2006, 2009 and 2012 PISA science scores with those in 2000 and 2003. </w:t>
      </w:r>
      <w:r w:rsidR="00442E54" w:rsidRPr="00397026">
        <w:rPr>
          <w:rFonts w:ascii="Arial" w:hAnsi="Arial" w:cs="Arial"/>
          <w:sz w:val="16"/>
          <w:szCs w:val="16"/>
          <w:lang w:val="en-US"/>
        </w:rPr>
        <w:t xml:space="preserve"> In the rest of </w:t>
      </w:r>
      <w:r w:rsidR="008C06A7" w:rsidRPr="00397026">
        <w:rPr>
          <w:rFonts w:ascii="Arial" w:hAnsi="Arial" w:cs="Arial"/>
          <w:sz w:val="16"/>
          <w:szCs w:val="16"/>
          <w:lang w:val="en-US"/>
        </w:rPr>
        <w:t>research brief,</w:t>
      </w:r>
      <w:r w:rsidR="002E2F2A" w:rsidRPr="00397026">
        <w:rPr>
          <w:rFonts w:ascii="Arial" w:hAnsi="Arial" w:cs="Arial"/>
          <w:sz w:val="16"/>
          <w:szCs w:val="16"/>
          <w:lang w:val="en-US"/>
        </w:rPr>
        <w:t xml:space="preserve"> </w:t>
      </w:r>
      <w:r w:rsidR="00AD6174" w:rsidRPr="00397026">
        <w:rPr>
          <w:rFonts w:ascii="Arial" w:hAnsi="Arial" w:cs="Arial"/>
          <w:sz w:val="16"/>
          <w:szCs w:val="16"/>
          <w:lang w:val="en-US"/>
        </w:rPr>
        <w:t xml:space="preserve">assessments in the field of science are done by using the data </w:t>
      </w:r>
      <w:r w:rsidR="00442E54" w:rsidRPr="00397026">
        <w:rPr>
          <w:rFonts w:ascii="Arial" w:hAnsi="Arial" w:cs="Arial"/>
          <w:sz w:val="16"/>
          <w:szCs w:val="16"/>
          <w:lang w:val="en-US"/>
        </w:rPr>
        <w:t xml:space="preserve">from </w:t>
      </w:r>
      <w:r w:rsidR="00AD6174" w:rsidRPr="00397026">
        <w:rPr>
          <w:rFonts w:ascii="Arial" w:hAnsi="Arial" w:cs="Arial"/>
          <w:sz w:val="16"/>
          <w:szCs w:val="16"/>
          <w:lang w:val="en-US"/>
        </w:rPr>
        <w:t>2006</w:t>
      </w:r>
      <w:r w:rsidR="00442E54" w:rsidRPr="00397026">
        <w:rPr>
          <w:rFonts w:ascii="Arial" w:hAnsi="Arial" w:cs="Arial"/>
          <w:sz w:val="16"/>
          <w:szCs w:val="16"/>
          <w:lang w:val="en-US"/>
        </w:rPr>
        <w:t xml:space="preserve"> PISA</w:t>
      </w:r>
      <w:r w:rsidR="00AD6174" w:rsidRPr="00397026">
        <w:rPr>
          <w:rFonts w:ascii="Arial" w:hAnsi="Arial" w:cs="Arial"/>
          <w:sz w:val="16"/>
          <w:szCs w:val="16"/>
          <w:lang w:val="en-US"/>
        </w:rPr>
        <w:t xml:space="preserve">. </w:t>
      </w:r>
    </w:p>
  </w:footnote>
  <w:footnote w:id="5">
    <w:p w:rsidR="0001013A" w:rsidRPr="0001013A" w:rsidRDefault="0001013A" w:rsidP="00A742D0">
      <w:pPr>
        <w:pStyle w:val="FootnoteText"/>
        <w:jc w:val="both"/>
        <w:rPr>
          <w:sz w:val="18"/>
          <w:szCs w:val="18"/>
          <w:lang w:val="en-US"/>
        </w:rPr>
      </w:pPr>
      <w:r w:rsidRPr="00397026">
        <w:rPr>
          <w:rStyle w:val="FootnoteReference"/>
          <w:rFonts w:ascii="Arial" w:hAnsi="Arial" w:cs="Arial"/>
          <w:sz w:val="16"/>
          <w:szCs w:val="16"/>
        </w:rPr>
        <w:footnoteRef/>
      </w:r>
      <w:r w:rsidRPr="00397026">
        <w:rPr>
          <w:rFonts w:ascii="Arial" w:hAnsi="Arial" w:cs="Arial"/>
          <w:sz w:val="16"/>
          <w:szCs w:val="16"/>
        </w:rPr>
        <w:t xml:space="preserve"> </w:t>
      </w:r>
      <w:r w:rsidRPr="00397026">
        <w:rPr>
          <w:rFonts w:ascii="Arial" w:hAnsi="Arial" w:cs="Arial"/>
          <w:sz w:val="16"/>
          <w:szCs w:val="16"/>
          <w:lang w:val="en-US"/>
        </w:rPr>
        <w:t xml:space="preserve">Distribution of average scores by proficiency levels is reported for each field. </w:t>
      </w:r>
      <w:r w:rsidR="00A742D0" w:rsidRPr="00397026">
        <w:rPr>
          <w:rFonts w:ascii="Arial" w:hAnsi="Arial" w:cs="Arial"/>
          <w:sz w:val="16"/>
          <w:szCs w:val="16"/>
          <w:lang w:val="en-US"/>
        </w:rPr>
        <w:t>Percentages in Figure 3 refer arithmetic average of all three fields (mathematics, science and reading).</w:t>
      </w:r>
      <w:r w:rsidR="00A742D0">
        <w:rPr>
          <w:sz w:val="18"/>
          <w:szCs w:val="18"/>
          <w:lang w:val="en-US"/>
        </w:rPr>
        <w:t xml:space="preserve"> </w:t>
      </w:r>
    </w:p>
  </w:footnote>
  <w:footnote w:id="6">
    <w:p w:rsidR="00A9765D" w:rsidRPr="00397026" w:rsidRDefault="00A9765D" w:rsidP="00A9765D">
      <w:pPr>
        <w:pStyle w:val="FootnoteText"/>
        <w:jc w:val="both"/>
        <w:rPr>
          <w:rFonts w:ascii="Arial" w:hAnsi="Arial" w:cs="Arial"/>
          <w:sz w:val="16"/>
          <w:szCs w:val="16"/>
          <w:lang w:val="en-US"/>
        </w:rPr>
      </w:pPr>
      <w:r w:rsidRPr="00397026">
        <w:rPr>
          <w:rStyle w:val="FootnoteReference"/>
          <w:rFonts w:ascii="Arial" w:hAnsi="Arial" w:cs="Arial"/>
          <w:sz w:val="16"/>
          <w:szCs w:val="16"/>
        </w:rPr>
        <w:footnoteRef/>
      </w:r>
      <w:r w:rsidR="00FF5F14" w:rsidRPr="00397026">
        <w:rPr>
          <w:rFonts w:ascii="Arial" w:hAnsi="Arial" w:cs="Arial"/>
          <w:sz w:val="16"/>
          <w:szCs w:val="16"/>
          <w:lang w:val="en-US"/>
        </w:rPr>
        <w:t xml:space="preserve">Socioeconomic status refers to </w:t>
      </w:r>
      <w:r w:rsidR="00CF4F47" w:rsidRPr="00397026">
        <w:rPr>
          <w:rFonts w:ascii="Arial" w:hAnsi="Arial" w:cs="Arial"/>
          <w:sz w:val="16"/>
          <w:szCs w:val="16"/>
          <w:lang w:val="en-US"/>
        </w:rPr>
        <w:t>PISA econ</w:t>
      </w:r>
      <w:r w:rsidR="00FF5F14" w:rsidRPr="00397026">
        <w:rPr>
          <w:rFonts w:ascii="Arial" w:hAnsi="Arial" w:cs="Arial"/>
          <w:sz w:val="16"/>
          <w:szCs w:val="16"/>
          <w:lang w:val="en-US"/>
        </w:rPr>
        <w:t>o</w:t>
      </w:r>
      <w:r w:rsidR="00CF4F47" w:rsidRPr="00397026">
        <w:rPr>
          <w:rFonts w:ascii="Arial" w:hAnsi="Arial" w:cs="Arial"/>
          <w:sz w:val="16"/>
          <w:szCs w:val="16"/>
          <w:lang w:val="en-US"/>
        </w:rPr>
        <w:t xml:space="preserve">mic, social and cultural index (ESCS). </w:t>
      </w:r>
      <w:r w:rsidR="00FF5F14" w:rsidRPr="00397026">
        <w:rPr>
          <w:rFonts w:ascii="Arial" w:hAnsi="Arial" w:cs="Arial"/>
          <w:sz w:val="16"/>
          <w:szCs w:val="16"/>
          <w:lang w:val="en-US"/>
        </w:rPr>
        <w:t>Since there is no direct household income variable in PISA datasets</w:t>
      </w:r>
      <w:proofErr w:type="gramStart"/>
      <w:r w:rsidR="00FF5F14" w:rsidRPr="00397026">
        <w:rPr>
          <w:rFonts w:ascii="Arial" w:hAnsi="Arial" w:cs="Arial"/>
          <w:sz w:val="16"/>
          <w:szCs w:val="16"/>
          <w:lang w:val="en-US"/>
        </w:rPr>
        <w:t>,  ESCS</w:t>
      </w:r>
      <w:proofErr w:type="gramEnd"/>
      <w:r w:rsidR="00FF5F14" w:rsidRPr="00397026">
        <w:rPr>
          <w:rFonts w:ascii="Arial" w:hAnsi="Arial" w:cs="Arial"/>
          <w:sz w:val="16"/>
          <w:szCs w:val="16"/>
          <w:lang w:val="en-US"/>
        </w:rPr>
        <w:t xml:space="preserve"> index is calculated using available variable</w:t>
      </w:r>
      <w:r w:rsidR="00250881" w:rsidRPr="00397026">
        <w:rPr>
          <w:rFonts w:ascii="Arial" w:hAnsi="Arial" w:cs="Arial"/>
          <w:sz w:val="16"/>
          <w:szCs w:val="16"/>
          <w:lang w:val="en-US"/>
        </w:rPr>
        <w:t>s related to family background and living environment. Components of ESCS index are occupational status of parents, educational level of parents and availability of</w:t>
      </w:r>
      <w:r w:rsidR="00FF5F14" w:rsidRPr="00397026">
        <w:rPr>
          <w:rFonts w:ascii="Arial" w:hAnsi="Arial" w:cs="Arial"/>
          <w:sz w:val="16"/>
          <w:szCs w:val="16"/>
          <w:lang w:val="en-US"/>
        </w:rPr>
        <w:t xml:space="preserve"> </w:t>
      </w:r>
      <w:r w:rsidR="00250881" w:rsidRPr="00397026">
        <w:rPr>
          <w:rFonts w:ascii="Arial" w:hAnsi="Arial" w:cs="Arial"/>
          <w:sz w:val="16"/>
          <w:szCs w:val="16"/>
          <w:lang w:val="en-US"/>
        </w:rPr>
        <w:t xml:space="preserve">home possessions. </w:t>
      </w:r>
    </w:p>
  </w:footnote>
  <w:footnote w:id="7">
    <w:p w:rsidR="00A9765D" w:rsidRPr="00FF5F14" w:rsidRDefault="00A9765D" w:rsidP="00A9765D">
      <w:pPr>
        <w:pStyle w:val="FootnoteText"/>
        <w:jc w:val="both"/>
        <w:rPr>
          <w:sz w:val="18"/>
          <w:szCs w:val="18"/>
          <w:lang w:val="en-US"/>
        </w:rPr>
      </w:pPr>
      <w:r w:rsidRPr="00397026">
        <w:rPr>
          <w:rStyle w:val="FootnoteReference"/>
          <w:rFonts w:ascii="Arial" w:hAnsi="Arial" w:cs="Arial"/>
          <w:sz w:val="16"/>
          <w:szCs w:val="16"/>
          <w:lang w:val="en-US"/>
        </w:rPr>
        <w:footnoteRef/>
      </w:r>
      <w:r w:rsidR="00250881" w:rsidRPr="00397026">
        <w:rPr>
          <w:rFonts w:ascii="Arial" w:hAnsi="Arial" w:cs="Arial"/>
          <w:sz w:val="16"/>
          <w:szCs w:val="16"/>
          <w:lang w:val="en-US"/>
        </w:rPr>
        <w:t xml:space="preserve"> The data is taken from the research note titled "PISA 2012's success story: Improvements in Quality and Equity in Turkey's Education System" by the World Bank. (http://blogs.worldbank.org/futuredevelopment/pisa-2012-s-success-story-improvements-quality-and-equity-turkey-s-education-system )</w:t>
      </w:r>
    </w:p>
  </w:footnote>
  <w:footnote w:id="8">
    <w:p w:rsidR="00A938CA" w:rsidRPr="00E2740E" w:rsidRDefault="00A938CA" w:rsidP="00A938CA">
      <w:pPr>
        <w:pStyle w:val="FootnoteText"/>
        <w:jc w:val="both"/>
        <w:rPr>
          <w:sz w:val="18"/>
          <w:szCs w:val="18"/>
          <w:lang w:val="en-US"/>
        </w:rPr>
      </w:pPr>
      <w:r w:rsidRPr="00DA2AB5">
        <w:rPr>
          <w:rStyle w:val="FootnoteReference"/>
          <w:sz w:val="18"/>
          <w:szCs w:val="18"/>
        </w:rPr>
        <w:footnoteRef/>
      </w:r>
      <w:r w:rsidRPr="004F711D">
        <w:rPr>
          <w:rFonts w:ascii="Arial" w:hAnsi="Arial" w:cs="Arial"/>
          <w:sz w:val="16"/>
          <w:szCs w:val="16"/>
          <w:lang w:val="en-US"/>
        </w:rPr>
        <w:t xml:space="preserve">According to OECD, there are six categories </w:t>
      </w:r>
      <w:r w:rsidR="009665AA" w:rsidRPr="004F711D">
        <w:rPr>
          <w:rFonts w:ascii="Arial" w:hAnsi="Arial" w:cs="Arial"/>
          <w:sz w:val="16"/>
          <w:szCs w:val="16"/>
          <w:lang w:val="en-US"/>
        </w:rPr>
        <w:t xml:space="preserve">with respect to </w:t>
      </w:r>
      <w:r w:rsidR="00836391">
        <w:rPr>
          <w:rFonts w:ascii="Arial" w:hAnsi="Arial" w:cs="Arial"/>
          <w:sz w:val="16"/>
          <w:szCs w:val="16"/>
          <w:lang w:val="en-US"/>
        </w:rPr>
        <w:t>units of residence. U</w:t>
      </w:r>
      <w:r w:rsidR="009665AA" w:rsidRPr="004F711D">
        <w:rPr>
          <w:rFonts w:ascii="Arial" w:hAnsi="Arial" w:cs="Arial"/>
          <w:sz w:val="16"/>
          <w:szCs w:val="16"/>
          <w:lang w:val="en-US"/>
        </w:rPr>
        <w:t xml:space="preserve">nits </w:t>
      </w:r>
      <w:r w:rsidRPr="004F711D">
        <w:rPr>
          <w:rFonts w:ascii="Arial" w:hAnsi="Arial" w:cs="Arial"/>
          <w:sz w:val="16"/>
          <w:szCs w:val="16"/>
          <w:lang w:val="en-US"/>
        </w:rPr>
        <w:t xml:space="preserve">with inhabitants up to 3 thousand are defined as "village", with inhabitants between 3 and 15 thousands </w:t>
      </w:r>
      <w:r w:rsidR="009665AA" w:rsidRPr="004F711D">
        <w:rPr>
          <w:rFonts w:ascii="Arial" w:hAnsi="Arial" w:cs="Arial"/>
          <w:sz w:val="16"/>
          <w:szCs w:val="16"/>
          <w:lang w:val="en-US"/>
        </w:rPr>
        <w:t xml:space="preserve">are </w:t>
      </w:r>
      <w:r w:rsidRPr="004F711D">
        <w:rPr>
          <w:rFonts w:ascii="Arial" w:hAnsi="Arial" w:cs="Arial"/>
          <w:sz w:val="16"/>
          <w:szCs w:val="16"/>
          <w:lang w:val="en-US"/>
        </w:rPr>
        <w:t>defined as "small town"</w:t>
      </w:r>
      <w:r w:rsidR="007F3885" w:rsidRPr="004F711D">
        <w:rPr>
          <w:rFonts w:ascii="Arial" w:hAnsi="Arial" w:cs="Arial"/>
          <w:sz w:val="16"/>
          <w:szCs w:val="16"/>
          <w:lang w:val="en-US"/>
        </w:rPr>
        <w:t xml:space="preserve">, with inhabitants between 15 and 100 thousands </w:t>
      </w:r>
      <w:r w:rsidR="009665AA" w:rsidRPr="004F711D">
        <w:rPr>
          <w:rFonts w:ascii="Arial" w:hAnsi="Arial" w:cs="Arial"/>
          <w:sz w:val="16"/>
          <w:szCs w:val="16"/>
          <w:lang w:val="en-US"/>
        </w:rPr>
        <w:t xml:space="preserve">are </w:t>
      </w:r>
      <w:r w:rsidR="007F3885" w:rsidRPr="004F711D">
        <w:rPr>
          <w:rFonts w:ascii="Arial" w:hAnsi="Arial" w:cs="Arial"/>
          <w:sz w:val="16"/>
          <w:szCs w:val="16"/>
          <w:lang w:val="en-US"/>
        </w:rPr>
        <w:t xml:space="preserve">defined as "town", with inhabitants between 100 thousands and 1 million </w:t>
      </w:r>
      <w:r w:rsidR="009665AA" w:rsidRPr="004F711D">
        <w:rPr>
          <w:rFonts w:ascii="Arial" w:hAnsi="Arial" w:cs="Arial"/>
          <w:sz w:val="16"/>
          <w:szCs w:val="16"/>
          <w:lang w:val="en-US"/>
        </w:rPr>
        <w:t xml:space="preserve">are </w:t>
      </w:r>
      <w:r w:rsidR="007F3885" w:rsidRPr="004F711D">
        <w:rPr>
          <w:rFonts w:ascii="Arial" w:hAnsi="Arial" w:cs="Arial"/>
          <w:sz w:val="16"/>
          <w:szCs w:val="16"/>
          <w:lang w:val="en-US"/>
        </w:rPr>
        <w:t xml:space="preserve">defined as </w:t>
      </w:r>
      <w:r w:rsidR="00FA074C">
        <w:rPr>
          <w:rFonts w:ascii="Arial" w:hAnsi="Arial" w:cs="Arial"/>
          <w:sz w:val="16"/>
          <w:szCs w:val="16"/>
          <w:lang w:val="en-US"/>
        </w:rPr>
        <w:t>"</w:t>
      </w:r>
      <w:r w:rsidR="007F3885" w:rsidRPr="004F711D">
        <w:rPr>
          <w:rFonts w:ascii="Arial" w:hAnsi="Arial" w:cs="Arial"/>
          <w:sz w:val="16"/>
          <w:szCs w:val="16"/>
          <w:lang w:val="en-US"/>
        </w:rPr>
        <w:t>city</w:t>
      </w:r>
      <w:r w:rsidR="00FA074C">
        <w:rPr>
          <w:rFonts w:ascii="Arial" w:hAnsi="Arial" w:cs="Arial"/>
          <w:sz w:val="16"/>
          <w:szCs w:val="16"/>
          <w:lang w:val="en-US"/>
        </w:rPr>
        <w:t>"</w:t>
      </w:r>
      <w:r w:rsidR="007F3885" w:rsidRPr="004F711D">
        <w:rPr>
          <w:rFonts w:ascii="Arial" w:hAnsi="Arial" w:cs="Arial"/>
          <w:sz w:val="16"/>
          <w:szCs w:val="16"/>
          <w:lang w:val="en-US"/>
        </w:rPr>
        <w:t xml:space="preserve"> and with inhabitants with more than 1 million are defined as "big city".</w:t>
      </w:r>
      <w:r w:rsidR="007F3885">
        <w:rPr>
          <w:sz w:val="18"/>
          <w:szCs w:val="18"/>
          <w:lang w:val="en-US"/>
        </w:rPr>
        <w:t xml:space="preserve"> </w:t>
      </w:r>
      <w:r w:rsidRPr="00E2740E">
        <w:rPr>
          <w:sz w:val="18"/>
          <w:szCs w:val="18"/>
          <w:lang w:val="en-US"/>
        </w:rPr>
        <w:t xml:space="preserve"> </w:t>
      </w:r>
    </w:p>
  </w:footnote>
  <w:footnote w:id="9">
    <w:p w:rsidR="004D35DE" w:rsidRPr="0065526F" w:rsidRDefault="004D35DE" w:rsidP="004D35DE">
      <w:pPr>
        <w:pStyle w:val="FootnoteText"/>
        <w:rPr>
          <w:sz w:val="18"/>
          <w:szCs w:val="18"/>
          <w:lang w:val="en-US"/>
        </w:rPr>
      </w:pPr>
      <w:r>
        <w:rPr>
          <w:rStyle w:val="FootnoteReference"/>
        </w:rPr>
        <w:footnoteRef/>
      </w:r>
      <w:r>
        <w:t xml:space="preserve"> </w:t>
      </w:r>
      <w:r w:rsidRPr="004F711D">
        <w:rPr>
          <w:rFonts w:ascii="Arial" w:hAnsi="Arial" w:cs="Arial"/>
          <w:sz w:val="16"/>
          <w:szCs w:val="16"/>
          <w:lang w:val="en-US"/>
        </w:rPr>
        <w:t xml:space="preserve">There are not enough </w:t>
      </w:r>
      <w:r w:rsidR="0065526F" w:rsidRPr="004F711D">
        <w:rPr>
          <w:rFonts w:ascii="Arial" w:hAnsi="Arial" w:cs="Arial"/>
          <w:sz w:val="16"/>
          <w:szCs w:val="16"/>
          <w:lang w:val="en-US"/>
        </w:rPr>
        <w:t>observation</w:t>
      </w:r>
      <w:r w:rsidR="00BF1774">
        <w:rPr>
          <w:rFonts w:ascii="Arial" w:hAnsi="Arial" w:cs="Arial"/>
          <w:sz w:val="16"/>
          <w:szCs w:val="16"/>
          <w:lang w:val="en-US"/>
        </w:rPr>
        <w:t>s</w:t>
      </w:r>
      <w:r w:rsidR="0065526F" w:rsidRPr="004F711D">
        <w:rPr>
          <w:rFonts w:ascii="Arial" w:hAnsi="Arial" w:cs="Arial"/>
          <w:sz w:val="16"/>
          <w:szCs w:val="16"/>
          <w:lang w:val="en-US"/>
        </w:rPr>
        <w:t xml:space="preserve"> in PISA 2003 and PISA 2006 for "village" category, thus 2009 and 2012 results are used to analyze results with respect to unit of residence.</w:t>
      </w:r>
      <w:r w:rsidR="0065526F">
        <w:rPr>
          <w:sz w:val="18"/>
          <w:szCs w:val="18"/>
          <w:lang w:val="en-US"/>
        </w:rPr>
        <w:t xml:space="preserve"> </w:t>
      </w:r>
      <w:r w:rsidR="0065526F" w:rsidRPr="0065526F">
        <w:rPr>
          <w:sz w:val="18"/>
          <w:szCs w:val="18"/>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953"/>
    <w:rsid w:val="000054F5"/>
    <w:rsid w:val="00006393"/>
    <w:rsid w:val="000076E7"/>
    <w:rsid w:val="0001013A"/>
    <w:rsid w:val="0002388E"/>
    <w:rsid w:val="00033F71"/>
    <w:rsid w:val="00034B92"/>
    <w:rsid w:val="0004048B"/>
    <w:rsid w:val="000406DF"/>
    <w:rsid w:val="00040B9C"/>
    <w:rsid w:val="00043C63"/>
    <w:rsid w:val="000444AB"/>
    <w:rsid w:val="0005188E"/>
    <w:rsid w:val="00054ACB"/>
    <w:rsid w:val="000603F8"/>
    <w:rsid w:val="00060444"/>
    <w:rsid w:val="000624C4"/>
    <w:rsid w:val="000663C0"/>
    <w:rsid w:val="00072B5C"/>
    <w:rsid w:val="000775D0"/>
    <w:rsid w:val="00077CF1"/>
    <w:rsid w:val="000826BC"/>
    <w:rsid w:val="00087556"/>
    <w:rsid w:val="000945C3"/>
    <w:rsid w:val="000A0BA2"/>
    <w:rsid w:val="000A2163"/>
    <w:rsid w:val="000A2864"/>
    <w:rsid w:val="000B04AF"/>
    <w:rsid w:val="000B31AF"/>
    <w:rsid w:val="000B5B31"/>
    <w:rsid w:val="000B6057"/>
    <w:rsid w:val="000C31EF"/>
    <w:rsid w:val="000C5B22"/>
    <w:rsid w:val="000C6ACA"/>
    <w:rsid w:val="000C7B7E"/>
    <w:rsid w:val="000D6B7E"/>
    <w:rsid w:val="000E3113"/>
    <w:rsid w:val="000E36FC"/>
    <w:rsid w:val="000F057E"/>
    <w:rsid w:val="000F243C"/>
    <w:rsid w:val="000F487B"/>
    <w:rsid w:val="000F5CFF"/>
    <w:rsid w:val="000F719C"/>
    <w:rsid w:val="000F784E"/>
    <w:rsid w:val="00103652"/>
    <w:rsid w:val="00105E01"/>
    <w:rsid w:val="00113A42"/>
    <w:rsid w:val="00114535"/>
    <w:rsid w:val="0012021E"/>
    <w:rsid w:val="001260E2"/>
    <w:rsid w:val="00126332"/>
    <w:rsid w:val="00134F3B"/>
    <w:rsid w:val="00137B61"/>
    <w:rsid w:val="00140840"/>
    <w:rsid w:val="00143AFC"/>
    <w:rsid w:val="0014550A"/>
    <w:rsid w:val="00146357"/>
    <w:rsid w:val="0015592F"/>
    <w:rsid w:val="0015755F"/>
    <w:rsid w:val="00157D4E"/>
    <w:rsid w:val="00167AB9"/>
    <w:rsid w:val="0017127D"/>
    <w:rsid w:val="00172B80"/>
    <w:rsid w:val="00176364"/>
    <w:rsid w:val="00177E25"/>
    <w:rsid w:val="00180825"/>
    <w:rsid w:val="00182527"/>
    <w:rsid w:val="00186488"/>
    <w:rsid w:val="0018736E"/>
    <w:rsid w:val="001945CD"/>
    <w:rsid w:val="001A2C10"/>
    <w:rsid w:val="001A374E"/>
    <w:rsid w:val="001A39E2"/>
    <w:rsid w:val="001B7CF8"/>
    <w:rsid w:val="001C07FE"/>
    <w:rsid w:val="001C7835"/>
    <w:rsid w:val="001D24A7"/>
    <w:rsid w:val="001D2D48"/>
    <w:rsid w:val="001D70AF"/>
    <w:rsid w:val="001E1A26"/>
    <w:rsid w:val="001E20CD"/>
    <w:rsid w:val="001E69E1"/>
    <w:rsid w:val="001F04ED"/>
    <w:rsid w:val="001F126C"/>
    <w:rsid w:val="001F7BEF"/>
    <w:rsid w:val="001F7F6C"/>
    <w:rsid w:val="002069FF"/>
    <w:rsid w:val="0021501B"/>
    <w:rsid w:val="00222BF8"/>
    <w:rsid w:val="002448B9"/>
    <w:rsid w:val="002470F9"/>
    <w:rsid w:val="00250881"/>
    <w:rsid w:val="00260FEC"/>
    <w:rsid w:val="00270124"/>
    <w:rsid w:val="00270EA1"/>
    <w:rsid w:val="00273083"/>
    <w:rsid w:val="00274DBE"/>
    <w:rsid w:val="002763D1"/>
    <w:rsid w:val="002806D0"/>
    <w:rsid w:val="00294D66"/>
    <w:rsid w:val="002A0BDB"/>
    <w:rsid w:val="002A2AAE"/>
    <w:rsid w:val="002A5343"/>
    <w:rsid w:val="002B2888"/>
    <w:rsid w:val="002C095C"/>
    <w:rsid w:val="002C0EE0"/>
    <w:rsid w:val="002C4359"/>
    <w:rsid w:val="002D4BB4"/>
    <w:rsid w:val="002E2F2A"/>
    <w:rsid w:val="002E3252"/>
    <w:rsid w:val="002E361B"/>
    <w:rsid w:val="002F1F23"/>
    <w:rsid w:val="002F4C47"/>
    <w:rsid w:val="002F6D6B"/>
    <w:rsid w:val="00310348"/>
    <w:rsid w:val="003139A4"/>
    <w:rsid w:val="00314F39"/>
    <w:rsid w:val="00323505"/>
    <w:rsid w:val="00344CD5"/>
    <w:rsid w:val="00344D1C"/>
    <w:rsid w:val="00347D04"/>
    <w:rsid w:val="003550C0"/>
    <w:rsid w:val="00361009"/>
    <w:rsid w:val="00362898"/>
    <w:rsid w:val="00367C9D"/>
    <w:rsid w:val="00370340"/>
    <w:rsid w:val="0037497E"/>
    <w:rsid w:val="00383AEE"/>
    <w:rsid w:val="00384A99"/>
    <w:rsid w:val="0038681D"/>
    <w:rsid w:val="0039523A"/>
    <w:rsid w:val="00397026"/>
    <w:rsid w:val="003A21D8"/>
    <w:rsid w:val="003A42EF"/>
    <w:rsid w:val="003B13EB"/>
    <w:rsid w:val="003B169E"/>
    <w:rsid w:val="003B61A9"/>
    <w:rsid w:val="003C667D"/>
    <w:rsid w:val="003C6FE7"/>
    <w:rsid w:val="003C7DBA"/>
    <w:rsid w:val="003D7738"/>
    <w:rsid w:val="003E6615"/>
    <w:rsid w:val="003F0D40"/>
    <w:rsid w:val="003F0F9E"/>
    <w:rsid w:val="003F56F3"/>
    <w:rsid w:val="0040163B"/>
    <w:rsid w:val="00413A36"/>
    <w:rsid w:val="0041643D"/>
    <w:rsid w:val="00420B06"/>
    <w:rsid w:val="0042330A"/>
    <w:rsid w:val="00423CD3"/>
    <w:rsid w:val="0043704C"/>
    <w:rsid w:val="00437998"/>
    <w:rsid w:val="0044223B"/>
    <w:rsid w:val="0044285E"/>
    <w:rsid w:val="00442E54"/>
    <w:rsid w:val="0044591A"/>
    <w:rsid w:val="004474DC"/>
    <w:rsid w:val="00447F40"/>
    <w:rsid w:val="00450F1C"/>
    <w:rsid w:val="00451DBB"/>
    <w:rsid w:val="004526AE"/>
    <w:rsid w:val="00462748"/>
    <w:rsid w:val="00464098"/>
    <w:rsid w:val="00471ED5"/>
    <w:rsid w:val="00474557"/>
    <w:rsid w:val="004752FE"/>
    <w:rsid w:val="00476E31"/>
    <w:rsid w:val="00480357"/>
    <w:rsid w:val="004813BD"/>
    <w:rsid w:val="004813DF"/>
    <w:rsid w:val="00492676"/>
    <w:rsid w:val="004A2312"/>
    <w:rsid w:val="004A2E31"/>
    <w:rsid w:val="004B2497"/>
    <w:rsid w:val="004B41CB"/>
    <w:rsid w:val="004C04A7"/>
    <w:rsid w:val="004C251F"/>
    <w:rsid w:val="004C6097"/>
    <w:rsid w:val="004D35DE"/>
    <w:rsid w:val="004D3EBD"/>
    <w:rsid w:val="004D7684"/>
    <w:rsid w:val="004F0463"/>
    <w:rsid w:val="004F5B4B"/>
    <w:rsid w:val="004F6BA5"/>
    <w:rsid w:val="004F711D"/>
    <w:rsid w:val="00501A8A"/>
    <w:rsid w:val="00503BDD"/>
    <w:rsid w:val="00506664"/>
    <w:rsid w:val="005116B2"/>
    <w:rsid w:val="005202FA"/>
    <w:rsid w:val="00524CE5"/>
    <w:rsid w:val="00537581"/>
    <w:rsid w:val="00537D81"/>
    <w:rsid w:val="00546848"/>
    <w:rsid w:val="00552866"/>
    <w:rsid w:val="00552F4C"/>
    <w:rsid w:val="00554B88"/>
    <w:rsid w:val="00560836"/>
    <w:rsid w:val="0056561D"/>
    <w:rsid w:val="00566D04"/>
    <w:rsid w:val="00580CB0"/>
    <w:rsid w:val="00581AEB"/>
    <w:rsid w:val="0058213B"/>
    <w:rsid w:val="00592908"/>
    <w:rsid w:val="00596D23"/>
    <w:rsid w:val="005A3EA2"/>
    <w:rsid w:val="005A449D"/>
    <w:rsid w:val="005A551F"/>
    <w:rsid w:val="005C203C"/>
    <w:rsid w:val="005D53BB"/>
    <w:rsid w:val="005E0B0D"/>
    <w:rsid w:val="005E1393"/>
    <w:rsid w:val="005E14BA"/>
    <w:rsid w:val="005E33EF"/>
    <w:rsid w:val="005F21A2"/>
    <w:rsid w:val="005F433A"/>
    <w:rsid w:val="006152E0"/>
    <w:rsid w:val="00615AFE"/>
    <w:rsid w:val="00616212"/>
    <w:rsid w:val="006164A6"/>
    <w:rsid w:val="006168AA"/>
    <w:rsid w:val="00617811"/>
    <w:rsid w:val="00620CF0"/>
    <w:rsid w:val="006221B3"/>
    <w:rsid w:val="00626139"/>
    <w:rsid w:val="0063263E"/>
    <w:rsid w:val="00634CB5"/>
    <w:rsid w:val="00640EDF"/>
    <w:rsid w:val="00641C7D"/>
    <w:rsid w:val="00642C5D"/>
    <w:rsid w:val="00642D82"/>
    <w:rsid w:val="006430C4"/>
    <w:rsid w:val="00643420"/>
    <w:rsid w:val="00646594"/>
    <w:rsid w:val="006531C9"/>
    <w:rsid w:val="0065526F"/>
    <w:rsid w:val="00666174"/>
    <w:rsid w:val="00670599"/>
    <w:rsid w:val="00674546"/>
    <w:rsid w:val="00676FA3"/>
    <w:rsid w:val="00677285"/>
    <w:rsid w:val="00681CFF"/>
    <w:rsid w:val="00686888"/>
    <w:rsid w:val="006868B0"/>
    <w:rsid w:val="00691872"/>
    <w:rsid w:val="00691E0E"/>
    <w:rsid w:val="006931CB"/>
    <w:rsid w:val="0069631E"/>
    <w:rsid w:val="006A0B62"/>
    <w:rsid w:val="006A1C5B"/>
    <w:rsid w:val="006A4F7C"/>
    <w:rsid w:val="006A7634"/>
    <w:rsid w:val="006B1B07"/>
    <w:rsid w:val="006C017F"/>
    <w:rsid w:val="006C428F"/>
    <w:rsid w:val="006D0D18"/>
    <w:rsid w:val="006D23E3"/>
    <w:rsid w:val="006D3AA2"/>
    <w:rsid w:val="006E083A"/>
    <w:rsid w:val="006E1C2D"/>
    <w:rsid w:val="006E4A94"/>
    <w:rsid w:val="006F1BA2"/>
    <w:rsid w:val="006F68E3"/>
    <w:rsid w:val="006F7EFA"/>
    <w:rsid w:val="00700F06"/>
    <w:rsid w:val="00701B29"/>
    <w:rsid w:val="007020A4"/>
    <w:rsid w:val="00711997"/>
    <w:rsid w:val="007173C2"/>
    <w:rsid w:val="0072225F"/>
    <w:rsid w:val="007352F9"/>
    <w:rsid w:val="00740739"/>
    <w:rsid w:val="00740A63"/>
    <w:rsid w:val="0075168F"/>
    <w:rsid w:val="0075296B"/>
    <w:rsid w:val="00755191"/>
    <w:rsid w:val="00765D53"/>
    <w:rsid w:val="007664DD"/>
    <w:rsid w:val="00772E88"/>
    <w:rsid w:val="00773BAB"/>
    <w:rsid w:val="00775DD3"/>
    <w:rsid w:val="007815F2"/>
    <w:rsid w:val="007816FB"/>
    <w:rsid w:val="00784005"/>
    <w:rsid w:val="00784458"/>
    <w:rsid w:val="00791B7E"/>
    <w:rsid w:val="0079279D"/>
    <w:rsid w:val="0079771C"/>
    <w:rsid w:val="007A0429"/>
    <w:rsid w:val="007B38AC"/>
    <w:rsid w:val="007C12BD"/>
    <w:rsid w:val="007C4A39"/>
    <w:rsid w:val="007D3DF9"/>
    <w:rsid w:val="007D62D4"/>
    <w:rsid w:val="007D7DB8"/>
    <w:rsid w:val="007E0CC0"/>
    <w:rsid w:val="007E1A53"/>
    <w:rsid w:val="007E3C34"/>
    <w:rsid w:val="007E63D7"/>
    <w:rsid w:val="007F0C5C"/>
    <w:rsid w:val="007F1685"/>
    <w:rsid w:val="007F3885"/>
    <w:rsid w:val="007F495A"/>
    <w:rsid w:val="007F4F7A"/>
    <w:rsid w:val="00802E8C"/>
    <w:rsid w:val="00803893"/>
    <w:rsid w:val="0080403C"/>
    <w:rsid w:val="00805540"/>
    <w:rsid w:val="008079F1"/>
    <w:rsid w:val="008122C1"/>
    <w:rsid w:val="00815533"/>
    <w:rsid w:val="00816109"/>
    <w:rsid w:val="00817362"/>
    <w:rsid w:val="00817FD9"/>
    <w:rsid w:val="008226D1"/>
    <w:rsid w:val="0082673C"/>
    <w:rsid w:val="00836391"/>
    <w:rsid w:val="00837491"/>
    <w:rsid w:val="00845011"/>
    <w:rsid w:val="008473CF"/>
    <w:rsid w:val="008504A7"/>
    <w:rsid w:val="008518A0"/>
    <w:rsid w:val="00857C1B"/>
    <w:rsid w:val="0086504D"/>
    <w:rsid w:val="008669CC"/>
    <w:rsid w:val="00871B1D"/>
    <w:rsid w:val="008721D0"/>
    <w:rsid w:val="008723D3"/>
    <w:rsid w:val="00877685"/>
    <w:rsid w:val="0088077D"/>
    <w:rsid w:val="00882CD7"/>
    <w:rsid w:val="00884372"/>
    <w:rsid w:val="00893626"/>
    <w:rsid w:val="008939B5"/>
    <w:rsid w:val="00895C45"/>
    <w:rsid w:val="008A0BB8"/>
    <w:rsid w:val="008A10DB"/>
    <w:rsid w:val="008A3944"/>
    <w:rsid w:val="008A52D7"/>
    <w:rsid w:val="008A539A"/>
    <w:rsid w:val="008A7A4E"/>
    <w:rsid w:val="008B1346"/>
    <w:rsid w:val="008B32C8"/>
    <w:rsid w:val="008C06A7"/>
    <w:rsid w:val="008C299B"/>
    <w:rsid w:val="008C6D5B"/>
    <w:rsid w:val="008C7C2B"/>
    <w:rsid w:val="008D4A52"/>
    <w:rsid w:val="008D64DA"/>
    <w:rsid w:val="008E1F70"/>
    <w:rsid w:val="008E3D6F"/>
    <w:rsid w:val="008E4F53"/>
    <w:rsid w:val="008F3334"/>
    <w:rsid w:val="008F754B"/>
    <w:rsid w:val="00900FF0"/>
    <w:rsid w:val="009126C4"/>
    <w:rsid w:val="009163B7"/>
    <w:rsid w:val="009228C3"/>
    <w:rsid w:val="00927D9C"/>
    <w:rsid w:val="00931965"/>
    <w:rsid w:val="009332FD"/>
    <w:rsid w:val="00934880"/>
    <w:rsid w:val="009365E4"/>
    <w:rsid w:val="00936B3A"/>
    <w:rsid w:val="00945F14"/>
    <w:rsid w:val="00947B43"/>
    <w:rsid w:val="009555CF"/>
    <w:rsid w:val="0096375B"/>
    <w:rsid w:val="009665AA"/>
    <w:rsid w:val="00967712"/>
    <w:rsid w:val="009710C9"/>
    <w:rsid w:val="00974B1C"/>
    <w:rsid w:val="00975DE1"/>
    <w:rsid w:val="00977EB9"/>
    <w:rsid w:val="009804B4"/>
    <w:rsid w:val="0098153F"/>
    <w:rsid w:val="0098409A"/>
    <w:rsid w:val="00984A79"/>
    <w:rsid w:val="009908FC"/>
    <w:rsid w:val="009926F1"/>
    <w:rsid w:val="00993708"/>
    <w:rsid w:val="009957BA"/>
    <w:rsid w:val="0099695D"/>
    <w:rsid w:val="009A2298"/>
    <w:rsid w:val="009A2642"/>
    <w:rsid w:val="009A41A3"/>
    <w:rsid w:val="009B57F0"/>
    <w:rsid w:val="009B58C2"/>
    <w:rsid w:val="009B6148"/>
    <w:rsid w:val="009B714D"/>
    <w:rsid w:val="009C1827"/>
    <w:rsid w:val="009C338B"/>
    <w:rsid w:val="009D4D2C"/>
    <w:rsid w:val="009D6830"/>
    <w:rsid w:val="009E01B9"/>
    <w:rsid w:val="009E1E8B"/>
    <w:rsid w:val="009F3C45"/>
    <w:rsid w:val="00A02F84"/>
    <w:rsid w:val="00A1286E"/>
    <w:rsid w:val="00A239E0"/>
    <w:rsid w:val="00A26499"/>
    <w:rsid w:val="00A30A7F"/>
    <w:rsid w:val="00A36F9B"/>
    <w:rsid w:val="00A4081F"/>
    <w:rsid w:val="00A4288C"/>
    <w:rsid w:val="00A436E7"/>
    <w:rsid w:val="00A44361"/>
    <w:rsid w:val="00A64760"/>
    <w:rsid w:val="00A67604"/>
    <w:rsid w:val="00A7302F"/>
    <w:rsid w:val="00A742D0"/>
    <w:rsid w:val="00A74BC0"/>
    <w:rsid w:val="00A9143A"/>
    <w:rsid w:val="00A91B67"/>
    <w:rsid w:val="00A938CA"/>
    <w:rsid w:val="00A94DA4"/>
    <w:rsid w:val="00A96ADD"/>
    <w:rsid w:val="00A9765D"/>
    <w:rsid w:val="00AA04C0"/>
    <w:rsid w:val="00AA2086"/>
    <w:rsid w:val="00AA60A9"/>
    <w:rsid w:val="00AB2377"/>
    <w:rsid w:val="00AC29F7"/>
    <w:rsid w:val="00AC4B44"/>
    <w:rsid w:val="00AC4C30"/>
    <w:rsid w:val="00AC5419"/>
    <w:rsid w:val="00AD1853"/>
    <w:rsid w:val="00AD21F1"/>
    <w:rsid w:val="00AD6174"/>
    <w:rsid w:val="00AE11BA"/>
    <w:rsid w:val="00AE497B"/>
    <w:rsid w:val="00AE608B"/>
    <w:rsid w:val="00AF5C1C"/>
    <w:rsid w:val="00AF5E11"/>
    <w:rsid w:val="00AF71D7"/>
    <w:rsid w:val="00AF756C"/>
    <w:rsid w:val="00B00447"/>
    <w:rsid w:val="00B0336E"/>
    <w:rsid w:val="00B07ACA"/>
    <w:rsid w:val="00B07E33"/>
    <w:rsid w:val="00B2162F"/>
    <w:rsid w:val="00B22B7B"/>
    <w:rsid w:val="00B237E6"/>
    <w:rsid w:val="00B240EE"/>
    <w:rsid w:val="00B25878"/>
    <w:rsid w:val="00B26604"/>
    <w:rsid w:val="00B418F4"/>
    <w:rsid w:val="00B47EFD"/>
    <w:rsid w:val="00B50465"/>
    <w:rsid w:val="00B551A0"/>
    <w:rsid w:val="00B55E87"/>
    <w:rsid w:val="00B56953"/>
    <w:rsid w:val="00B65A90"/>
    <w:rsid w:val="00B65F10"/>
    <w:rsid w:val="00B669CC"/>
    <w:rsid w:val="00B724A6"/>
    <w:rsid w:val="00B75844"/>
    <w:rsid w:val="00B77F7A"/>
    <w:rsid w:val="00B80896"/>
    <w:rsid w:val="00B92E9E"/>
    <w:rsid w:val="00B94A98"/>
    <w:rsid w:val="00B94B93"/>
    <w:rsid w:val="00B95D14"/>
    <w:rsid w:val="00B967BB"/>
    <w:rsid w:val="00BA1EC8"/>
    <w:rsid w:val="00BA3354"/>
    <w:rsid w:val="00BA3459"/>
    <w:rsid w:val="00BA3528"/>
    <w:rsid w:val="00BB0A68"/>
    <w:rsid w:val="00BC176B"/>
    <w:rsid w:val="00BC5501"/>
    <w:rsid w:val="00BC646F"/>
    <w:rsid w:val="00BE0099"/>
    <w:rsid w:val="00BE37F9"/>
    <w:rsid w:val="00BE73D0"/>
    <w:rsid w:val="00BF1774"/>
    <w:rsid w:val="00BF7582"/>
    <w:rsid w:val="00BF7DA2"/>
    <w:rsid w:val="00C02EB3"/>
    <w:rsid w:val="00C03D3C"/>
    <w:rsid w:val="00C1051F"/>
    <w:rsid w:val="00C1261A"/>
    <w:rsid w:val="00C17713"/>
    <w:rsid w:val="00C2151F"/>
    <w:rsid w:val="00C22B63"/>
    <w:rsid w:val="00C26FAF"/>
    <w:rsid w:val="00C36D75"/>
    <w:rsid w:val="00C403AE"/>
    <w:rsid w:val="00C4116C"/>
    <w:rsid w:val="00C42F3C"/>
    <w:rsid w:val="00C45CEC"/>
    <w:rsid w:val="00C537C4"/>
    <w:rsid w:val="00C549E3"/>
    <w:rsid w:val="00C56D03"/>
    <w:rsid w:val="00C57CB3"/>
    <w:rsid w:val="00C62CB4"/>
    <w:rsid w:val="00C6563F"/>
    <w:rsid w:val="00C7538C"/>
    <w:rsid w:val="00C842C4"/>
    <w:rsid w:val="00CA17F9"/>
    <w:rsid w:val="00CA37BF"/>
    <w:rsid w:val="00CA4D17"/>
    <w:rsid w:val="00CA5967"/>
    <w:rsid w:val="00CA5AB8"/>
    <w:rsid w:val="00CA6CB3"/>
    <w:rsid w:val="00CA7284"/>
    <w:rsid w:val="00CB390C"/>
    <w:rsid w:val="00CB4428"/>
    <w:rsid w:val="00CB4CD6"/>
    <w:rsid w:val="00CB6A30"/>
    <w:rsid w:val="00CB6C2B"/>
    <w:rsid w:val="00CC07E2"/>
    <w:rsid w:val="00CC4159"/>
    <w:rsid w:val="00CC485E"/>
    <w:rsid w:val="00CC4878"/>
    <w:rsid w:val="00CD4F0A"/>
    <w:rsid w:val="00CD535B"/>
    <w:rsid w:val="00CD7BF0"/>
    <w:rsid w:val="00CE069E"/>
    <w:rsid w:val="00CE1247"/>
    <w:rsid w:val="00CE1DDD"/>
    <w:rsid w:val="00CE2962"/>
    <w:rsid w:val="00CE7404"/>
    <w:rsid w:val="00CF4F47"/>
    <w:rsid w:val="00CF55DF"/>
    <w:rsid w:val="00D015A9"/>
    <w:rsid w:val="00D03BAA"/>
    <w:rsid w:val="00D13BA2"/>
    <w:rsid w:val="00D153D7"/>
    <w:rsid w:val="00D17A9F"/>
    <w:rsid w:val="00D203F4"/>
    <w:rsid w:val="00D22B1F"/>
    <w:rsid w:val="00D230F9"/>
    <w:rsid w:val="00D309D2"/>
    <w:rsid w:val="00D322E7"/>
    <w:rsid w:val="00D333A4"/>
    <w:rsid w:val="00D51815"/>
    <w:rsid w:val="00D560F9"/>
    <w:rsid w:val="00D613FA"/>
    <w:rsid w:val="00D63A60"/>
    <w:rsid w:val="00D64A35"/>
    <w:rsid w:val="00D744AC"/>
    <w:rsid w:val="00D7491E"/>
    <w:rsid w:val="00D74ED4"/>
    <w:rsid w:val="00D81C15"/>
    <w:rsid w:val="00D8255B"/>
    <w:rsid w:val="00D82882"/>
    <w:rsid w:val="00D901F5"/>
    <w:rsid w:val="00D912AA"/>
    <w:rsid w:val="00D91EC6"/>
    <w:rsid w:val="00D93C49"/>
    <w:rsid w:val="00D94363"/>
    <w:rsid w:val="00D9739F"/>
    <w:rsid w:val="00DA15B9"/>
    <w:rsid w:val="00DA2AB5"/>
    <w:rsid w:val="00DA5E98"/>
    <w:rsid w:val="00DA60D9"/>
    <w:rsid w:val="00DA6E48"/>
    <w:rsid w:val="00DB052B"/>
    <w:rsid w:val="00DB1080"/>
    <w:rsid w:val="00DB19C2"/>
    <w:rsid w:val="00DB6E98"/>
    <w:rsid w:val="00DB7188"/>
    <w:rsid w:val="00DB756E"/>
    <w:rsid w:val="00DB7C3D"/>
    <w:rsid w:val="00DC20FB"/>
    <w:rsid w:val="00DC4A2E"/>
    <w:rsid w:val="00DC51BF"/>
    <w:rsid w:val="00DD0B21"/>
    <w:rsid w:val="00DD4D5A"/>
    <w:rsid w:val="00DE195A"/>
    <w:rsid w:val="00DE1BFB"/>
    <w:rsid w:val="00DE2E3A"/>
    <w:rsid w:val="00DF11C4"/>
    <w:rsid w:val="00DF12FE"/>
    <w:rsid w:val="00DF1D1F"/>
    <w:rsid w:val="00DF4795"/>
    <w:rsid w:val="00DF4A58"/>
    <w:rsid w:val="00E0082B"/>
    <w:rsid w:val="00E0281A"/>
    <w:rsid w:val="00E05937"/>
    <w:rsid w:val="00E10FB2"/>
    <w:rsid w:val="00E26907"/>
    <w:rsid w:val="00E270F8"/>
    <w:rsid w:val="00E2740E"/>
    <w:rsid w:val="00E32A5F"/>
    <w:rsid w:val="00E41407"/>
    <w:rsid w:val="00E41D79"/>
    <w:rsid w:val="00E42DC7"/>
    <w:rsid w:val="00E47928"/>
    <w:rsid w:val="00E52537"/>
    <w:rsid w:val="00E53080"/>
    <w:rsid w:val="00E530C2"/>
    <w:rsid w:val="00E65430"/>
    <w:rsid w:val="00E7079A"/>
    <w:rsid w:val="00E7227B"/>
    <w:rsid w:val="00E734F4"/>
    <w:rsid w:val="00E81190"/>
    <w:rsid w:val="00E81A59"/>
    <w:rsid w:val="00E905F4"/>
    <w:rsid w:val="00E91AAD"/>
    <w:rsid w:val="00E93066"/>
    <w:rsid w:val="00E93510"/>
    <w:rsid w:val="00E93D47"/>
    <w:rsid w:val="00E967EA"/>
    <w:rsid w:val="00EA61F0"/>
    <w:rsid w:val="00EA7439"/>
    <w:rsid w:val="00EB0647"/>
    <w:rsid w:val="00EB7BC6"/>
    <w:rsid w:val="00EC20A3"/>
    <w:rsid w:val="00ED0CA7"/>
    <w:rsid w:val="00ED4F17"/>
    <w:rsid w:val="00ED59FF"/>
    <w:rsid w:val="00ED7BB6"/>
    <w:rsid w:val="00EE0121"/>
    <w:rsid w:val="00EE446D"/>
    <w:rsid w:val="00EE62EA"/>
    <w:rsid w:val="00EE7537"/>
    <w:rsid w:val="00EF016C"/>
    <w:rsid w:val="00EF0CE7"/>
    <w:rsid w:val="00EF1C11"/>
    <w:rsid w:val="00F03297"/>
    <w:rsid w:val="00F04A23"/>
    <w:rsid w:val="00F1414B"/>
    <w:rsid w:val="00F214D8"/>
    <w:rsid w:val="00F233A2"/>
    <w:rsid w:val="00F379F8"/>
    <w:rsid w:val="00F406C5"/>
    <w:rsid w:val="00F42472"/>
    <w:rsid w:val="00F4529F"/>
    <w:rsid w:val="00F5368A"/>
    <w:rsid w:val="00F566EF"/>
    <w:rsid w:val="00F57278"/>
    <w:rsid w:val="00F63FCC"/>
    <w:rsid w:val="00F6417C"/>
    <w:rsid w:val="00F67EC0"/>
    <w:rsid w:val="00F714DC"/>
    <w:rsid w:val="00F72284"/>
    <w:rsid w:val="00F74A66"/>
    <w:rsid w:val="00F7602D"/>
    <w:rsid w:val="00F765F5"/>
    <w:rsid w:val="00F87332"/>
    <w:rsid w:val="00F91291"/>
    <w:rsid w:val="00F94233"/>
    <w:rsid w:val="00F94E53"/>
    <w:rsid w:val="00F97CCB"/>
    <w:rsid w:val="00FA074C"/>
    <w:rsid w:val="00FA23FC"/>
    <w:rsid w:val="00FA344F"/>
    <w:rsid w:val="00FA3B4B"/>
    <w:rsid w:val="00FB2698"/>
    <w:rsid w:val="00FB392A"/>
    <w:rsid w:val="00FB6F63"/>
    <w:rsid w:val="00FC08F5"/>
    <w:rsid w:val="00FC22B4"/>
    <w:rsid w:val="00FC77E2"/>
    <w:rsid w:val="00FD3DCA"/>
    <w:rsid w:val="00FD54B7"/>
    <w:rsid w:val="00FD7BF1"/>
    <w:rsid w:val="00FE0758"/>
    <w:rsid w:val="00FE43FF"/>
    <w:rsid w:val="00FF11F0"/>
    <w:rsid w:val="00FF5F14"/>
    <w:rsid w:val="00FF64A2"/>
    <w:rsid w:val="00FF6E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56953"/>
    <w:pPr>
      <w:keepNext/>
      <w:tabs>
        <w:tab w:val="num" w:pos="432"/>
      </w:tabs>
      <w:suppressAutoHyphens/>
      <w:spacing w:after="0" w:line="240" w:lineRule="auto"/>
      <w:ind w:left="432" w:hanging="432"/>
      <w:jc w:val="center"/>
      <w:outlineLvl w:val="0"/>
    </w:pPr>
    <w:rPr>
      <w:rFonts w:ascii="Arial" w:eastAsia="Times New Roman" w:hAnsi="Arial" w:cs="Times New Roman"/>
      <w:b/>
      <w:iCs/>
      <w:sz w:val="18"/>
      <w:szCs w:val="18"/>
      <w:lang w:eastAsia="ar-SA"/>
    </w:rPr>
  </w:style>
  <w:style w:type="paragraph" w:styleId="Heading2">
    <w:name w:val="heading 2"/>
    <w:basedOn w:val="Normal"/>
    <w:next w:val="Normal"/>
    <w:link w:val="Heading2Char"/>
    <w:qFormat/>
    <w:rsid w:val="00B56953"/>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qFormat/>
    <w:rsid w:val="00B56953"/>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6953"/>
    <w:rPr>
      <w:rFonts w:ascii="Arial" w:eastAsia="Times New Roman" w:hAnsi="Arial" w:cs="Times New Roman"/>
      <w:b/>
      <w:iCs/>
      <w:sz w:val="18"/>
      <w:szCs w:val="18"/>
      <w:lang w:eastAsia="ar-SA"/>
    </w:rPr>
  </w:style>
  <w:style w:type="character" w:customStyle="1" w:styleId="Heading2Char">
    <w:name w:val="Heading 2 Char"/>
    <w:basedOn w:val="DefaultParagraphFont"/>
    <w:link w:val="Heading2"/>
    <w:rsid w:val="00B56953"/>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rsid w:val="00B56953"/>
    <w:rPr>
      <w:rFonts w:ascii="Arial" w:eastAsia="Times New Roman" w:hAnsi="Arial" w:cs="Arial"/>
      <w:b/>
      <w:bCs/>
      <w:sz w:val="26"/>
      <w:szCs w:val="26"/>
      <w:lang w:val="en-GB" w:eastAsia="ar-SA"/>
    </w:rPr>
  </w:style>
  <w:style w:type="character" w:styleId="FootnoteReference">
    <w:name w:val="footnote reference"/>
    <w:uiPriority w:val="99"/>
    <w:semiHidden/>
    <w:rsid w:val="00B56953"/>
    <w:rPr>
      <w:vertAlign w:val="superscript"/>
    </w:rPr>
  </w:style>
  <w:style w:type="paragraph" w:styleId="FootnoteText">
    <w:name w:val="footnote text"/>
    <w:basedOn w:val="Normal"/>
    <w:link w:val="FootnoteTextChar"/>
    <w:uiPriority w:val="99"/>
    <w:semiHidden/>
    <w:rsid w:val="00B56953"/>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B56953"/>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D97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39F"/>
    <w:rPr>
      <w:rFonts w:ascii="Tahoma" w:hAnsi="Tahoma" w:cs="Tahoma"/>
      <w:sz w:val="16"/>
      <w:szCs w:val="16"/>
    </w:rPr>
  </w:style>
  <w:style w:type="paragraph" w:styleId="Caption">
    <w:name w:val="caption"/>
    <w:basedOn w:val="Normal"/>
    <w:next w:val="Normal"/>
    <w:uiPriority w:val="35"/>
    <w:unhideWhenUsed/>
    <w:qFormat/>
    <w:rsid w:val="00D9739F"/>
    <w:pPr>
      <w:spacing w:line="240" w:lineRule="auto"/>
    </w:pPr>
    <w:rPr>
      <w:b/>
      <w:bCs/>
      <w:color w:val="4F81BD" w:themeColor="accent1"/>
      <w:sz w:val="18"/>
      <w:szCs w:val="18"/>
    </w:rPr>
  </w:style>
  <w:style w:type="paragraph" w:styleId="NormalWeb">
    <w:name w:val="Normal (Web)"/>
    <w:basedOn w:val="Normal"/>
    <w:uiPriority w:val="99"/>
    <w:semiHidden/>
    <w:unhideWhenUsed/>
    <w:rsid w:val="00AA04C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AA04C0"/>
    <w:rPr>
      <w:color w:val="0000FF"/>
      <w:u w:val="single"/>
    </w:rPr>
  </w:style>
  <w:style w:type="paragraph" w:styleId="Header">
    <w:name w:val="header"/>
    <w:basedOn w:val="Normal"/>
    <w:link w:val="HeaderChar"/>
    <w:uiPriority w:val="99"/>
    <w:semiHidden/>
    <w:unhideWhenUsed/>
    <w:rsid w:val="00E7227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7227B"/>
  </w:style>
  <w:style w:type="paragraph" w:styleId="Footer">
    <w:name w:val="footer"/>
    <w:basedOn w:val="Normal"/>
    <w:link w:val="FooterChar"/>
    <w:uiPriority w:val="99"/>
    <w:unhideWhenUsed/>
    <w:rsid w:val="00E722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227B"/>
  </w:style>
  <w:style w:type="character" w:styleId="CommentReference">
    <w:name w:val="annotation reference"/>
    <w:basedOn w:val="DefaultParagraphFont"/>
    <w:uiPriority w:val="99"/>
    <w:semiHidden/>
    <w:unhideWhenUsed/>
    <w:rsid w:val="00E65430"/>
    <w:rPr>
      <w:sz w:val="16"/>
      <w:szCs w:val="16"/>
    </w:rPr>
  </w:style>
  <w:style w:type="paragraph" w:styleId="CommentText">
    <w:name w:val="annotation text"/>
    <w:basedOn w:val="Normal"/>
    <w:link w:val="CommentTextChar"/>
    <w:uiPriority w:val="99"/>
    <w:semiHidden/>
    <w:unhideWhenUsed/>
    <w:rsid w:val="00E65430"/>
    <w:pPr>
      <w:spacing w:line="240" w:lineRule="auto"/>
    </w:pPr>
    <w:rPr>
      <w:sz w:val="20"/>
      <w:szCs w:val="20"/>
    </w:rPr>
  </w:style>
  <w:style w:type="character" w:customStyle="1" w:styleId="CommentTextChar">
    <w:name w:val="Comment Text Char"/>
    <w:basedOn w:val="DefaultParagraphFont"/>
    <w:link w:val="CommentText"/>
    <w:uiPriority w:val="99"/>
    <w:semiHidden/>
    <w:rsid w:val="00E65430"/>
    <w:rPr>
      <w:sz w:val="20"/>
      <w:szCs w:val="20"/>
    </w:rPr>
  </w:style>
  <w:style w:type="paragraph" w:styleId="CommentSubject">
    <w:name w:val="annotation subject"/>
    <w:basedOn w:val="CommentText"/>
    <w:next w:val="CommentText"/>
    <w:link w:val="CommentSubjectChar"/>
    <w:uiPriority w:val="99"/>
    <w:semiHidden/>
    <w:unhideWhenUsed/>
    <w:rsid w:val="00E65430"/>
    <w:rPr>
      <w:b/>
      <w:bCs/>
    </w:rPr>
  </w:style>
  <w:style w:type="character" w:customStyle="1" w:styleId="CommentSubjectChar">
    <w:name w:val="Comment Subject Char"/>
    <w:basedOn w:val="CommentTextChar"/>
    <w:link w:val="CommentSubject"/>
    <w:uiPriority w:val="99"/>
    <w:semiHidden/>
    <w:rsid w:val="00E6543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56953"/>
    <w:pPr>
      <w:keepNext/>
      <w:tabs>
        <w:tab w:val="num" w:pos="432"/>
      </w:tabs>
      <w:suppressAutoHyphens/>
      <w:spacing w:after="0" w:line="240" w:lineRule="auto"/>
      <w:ind w:left="432" w:hanging="432"/>
      <w:jc w:val="center"/>
      <w:outlineLvl w:val="0"/>
    </w:pPr>
    <w:rPr>
      <w:rFonts w:ascii="Arial" w:eastAsia="Times New Roman" w:hAnsi="Arial" w:cs="Times New Roman"/>
      <w:b/>
      <w:iCs/>
      <w:sz w:val="18"/>
      <w:szCs w:val="18"/>
      <w:lang w:eastAsia="ar-SA"/>
    </w:rPr>
  </w:style>
  <w:style w:type="paragraph" w:styleId="Heading2">
    <w:name w:val="heading 2"/>
    <w:basedOn w:val="Normal"/>
    <w:next w:val="Normal"/>
    <w:link w:val="Heading2Char"/>
    <w:qFormat/>
    <w:rsid w:val="00B56953"/>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qFormat/>
    <w:rsid w:val="00B56953"/>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6953"/>
    <w:rPr>
      <w:rFonts w:ascii="Arial" w:eastAsia="Times New Roman" w:hAnsi="Arial" w:cs="Times New Roman"/>
      <w:b/>
      <w:iCs/>
      <w:sz w:val="18"/>
      <w:szCs w:val="18"/>
      <w:lang w:eastAsia="ar-SA"/>
    </w:rPr>
  </w:style>
  <w:style w:type="character" w:customStyle="1" w:styleId="Heading2Char">
    <w:name w:val="Heading 2 Char"/>
    <w:basedOn w:val="DefaultParagraphFont"/>
    <w:link w:val="Heading2"/>
    <w:rsid w:val="00B56953"/>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rsid w:val="00B56953"/>
    <w:rPr>
      <w:rFonts w:ascii="Arial" w:eastAsia="Times New Roman" w:hAnsi="Arial" w:cs="Arial"/>
      <w:b/>
      <w:bCs/>
      <w:sz w:val="26"/>
      <w:szCs w:val="26"/>
      <w:lang w:val="en-GB" w:eastAsia="ar-SA"/>
    </w:rPr>
  </w:style>
  <w:style w:type="character" w:styleId="FootnoteReference">
    <w:name w:val="footnote reference"/>
    <w:uiPriority w:val="99"/>
    <w:semiHidden/>
    <w:rsid w:val="00B56953"/>
    <w:rPr>
      <w:vertAlign w:val="superscript"/>
    </w:rPr>
  </w:style>
  <w:style w:type="paragraph" w:styleId="FootnoteText">
    <w:name w:val="footnote text"/>
    <w:basedOn w:val="Normal"/>
    <w:link w:val="FootnoteTextChar"/>
    <w:uiPriority w:val="99"/>
    <w:semiHidden/>
    <w:rsid w:val="00B56953"/>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B56953"/>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D97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39F"/>
    <w:rPr>
      <w:rFonts w:ascii="Tahoma" w:hAnsi="Tahoma" w:cs="Tahoma"/>
      <w:sz w:val="16"/>
      <w:szCs w:val="16"/>
    </w:rPr>
  </w:style>
  <w:style w:type="paragraph" w:styleId="Caption">
    <w:name w:val="caption"/>
    <w:basedOn w:val="Normal"/>
    <w:next w:val="Normal"/>
    <w:uiPriority w:val="35"/>
    <w:unhideWhenUsed/>
    <w:qFormat/>
    <w:rsid w:val="00D9739F"/>
    <w:pPr>
      <w:spacing w:line="240" w:lineRule="auto"/>
    </w:pPr>
    <w:rPr>
      <w:b/>
      <w:bCs/>
      <w:color w:val="4F81BD" w:themeColor="accent1"/>
      <w:sz w:val="18"/>
      <w:szCs w:val="18"/>
    </w:rPr>
  </w:style>
  <w:style w:type="paragraph" w:styleId="NormalWeb">
    <w:name w:val="Normal (Web)"/>
    <w:basedOn w:val="Normal"/>
    <w:uiPriority w:val="99"/>
    <w:semiHidden/>
    <w:unhideWhenUsed/>
    <w:rsid w:val="00AA04C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AA04C0"/>
    <w:rPr>
      <w:color w:val="0000FF"/>
      <w:u w:val="single"/>
    </w:rPr>
  </w:style>
  <w:style w:type="paragraph" w:styleId="Header">
    <w:name w:val="header"/>
    <w:basedOn w:val="Normal"/>
    <w:link w:val="HeaderChar"/>
    <w:uiPriority w:val="99"/>
    <w:semiHidden/>
    <w:unhideWhenUsed/>
    <w:rsid w:val="00E7227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7227B"/>
  </w:style>
  <w:style w:type="paragraph" w:styleId="Footer">
    <w:name w:val="footer"/>
    <w:basedOn w:val="Normal"/>
    <w:link w:val="FooterChar"/>
    <w:uiPriority w:val="99"/>
    <w:unhideWhenUsed/>
    <w:rsid w:val="00E722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227B"/>
  </w:style>
  <w:style w:type="character" w:styleId="CommentReference">
    <w:name w:val="annotation reference"/>
    <w:basedOn w:val="DefaultParagraphFont"/>
    <w:uiPriority w:val="99"/>
    <w:semiHidden/>
    <w:unhideWhenUsed/>
    <w:rsid w:val="00E65430"/>
    <w:rPr>
      <w:sz w:val="16"/>
      <w:szCs w:val="16"/>
    </w:rPr>
  </w:style>
  <w:style w:type="paragraph" w:styleId="CommentText">
    <w:name w:val="annotation text"/>
    <w:basedOn w:val="Normal"/>
    <w:link w:val="CommentTextChar"/>
    <w:uiPriority w:val="99"/>
    <w:semiHidden/>
    <w:unhideWhenUsed/>
    <w:rsid w:val="00E65430"/>
    <w:pPr>
      <w:spacing w:line="240" w:lineRule="auto"/>
    </w:pPr>
    <w:rPr>
      <w:sz w:val="20"/>
      <w:szCs w:val="20"/>
    </w:rPr>
  </w:style>
  <w:style w:type="character" w:customStyle="1" w:styleId="CommentTextChar">
    <w:name w:val="Comment Text Char"/>
    <w:basedOn w:val="DefaultParagraphFont"/>
    <w:link w:val="CommentText"/>
    <w:uiPriority w:val="99"/>
    <w:semiHidden/>
    <w:rsid w:val="00E65430"/>
    <w:rPr>
      <w:sz w:val="20"/>
      <w:szCs w:val="20"/>
    </w:rPr>
  </w:style>
  <w:style w:type="paragraph" w:styleId="CommentSubject">
    <w:name w:val="annotation subject"/>
    <w:basedOn w:val="CommentText"/>
    <w:next w:val="CommentText"/>
    <w:link w:val="CommentSubjectChar"/>
    <w:uiPriority w:val="99"/>
    <w:semiHidden/>
    <w:unhideWhenUsed/>
    <w:rsid w:val="00E65430"/>
    <w:rPr>
      <w:b/>
      <w:bCs/>
    </w:rPr>
  </w:style>
  <w:style w:type="character" w:customStyle="1" w:styleId="CommentSubjectChar">
    <w:name w:val="Comment Subject Char"/>
    <w:basedOn w:val="CommentTextChar"/>
    <w:link w:val="CommentSubject"/>
    <w:uiPriority w:val="99"/>
    <w:semiHidden/>
    <w:rsid w:val="00E654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432887">
      <w:bodyDiv w:val="1"/>
      <w:marLeft w:val="0"/>
      <w:marRight w:val="0"/>
      <w:marTop w:val="0"/>
      <w:marBottom w:val="0"/>
      <w:divBdr>
        <w:top w:val="none" w:sz="0" w:space="0" w:color="auto"/>
        <w:left w:val="none" w:sz="0" w:space="0" w:color="auto"/>
        <w:bottom w:val="none" w:sz="0" w:space="0" w:color="auto"/>
        <w:right w:val="none" w:sz="0" w:space="0" w:color="auto"/>
      </w:divBdr>
    </w:div>
    <w:div w:id="184473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ne.durmaz\Documents\PISA\PISA-studyfil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ne.durmaz\Documents\PISA\PISA-studyfil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ine.durmaz\Documents\PISA\PISA-studyfile.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ine.durmaz\Documents\PISA\PISA-studyfile.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mine.durmaz\Documents\PISA\PISA-studyfil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ine.durmaz\Documents\PISA\PISA-studyfil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ine.durmaz\Documents\PISA\PISA-studyfil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ine.durmaz\Documents\PISA\PISA-studyfi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9.8571741032371027E-2"/>
          <c:y val="7.9178331875182473E-2"/>
          <c:w val="0.87087270341207712"/>
          <c:h val="0.68673009623797354"/>
        </c:manualLayout>
      </c:layout>
      <c:lineChart>
        <c:grouping val="standard"/>
        <c:varyColors val="0"/>
        <c:ser>
          <c:idx val="0"/>
          <c:order val="0"/>
          <c:tx>
            <c:v>Reading</c:v>
          </c:tx>
          <c:dLbls>
            <c:spPr>
              <a:noFill/>
              <a:ln>
                <a:noFill/>
              </a:ln>
              <a:effectLst/>
            </c:spPr>
            <c:txPr>
              <a:bodyPr/>
              <a:lstStyle/>
              <a:p>
                <a:pPr>
                  <a:defRPr lang="en-US" sz="800"/>
                </a:pPr>
                <a:endParaRPr lang="tr-TR"/>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'mean sex '!$A$4:$A$7</c:f>
              <c:numCache>
                <c:formatCode>0</c:formatCode>
                <c:ptCount val="4"/>
                <c:pt idx="0">
                  <c:v>2003</c:v>
                </c:pt>
                <c:pt idx="1">
                  <c:v>2006</c:v>
                </c:pt>
                <c:pt idx="2">
                  <c:v>2009</c:v>
                </c:pt>
                <c:pt idx="3">
                  <c:v>2012</c:v>
                </c:pt>
              </c:numCache>
            </c:numRef>
          </c:cat>
          <c:val>
            <c:numRef>
              <c:f>'mean sex '!$F$4:$F$7</c:f>
              <c:numCache>
                <c:formatCode>0</c:formatCode>
                <c:ptCount val="4"/>
                <c:pt idx="0">
                  <c:v>440.97098880115601</c:v>
                </c:pt>
                <c:pt idx="1">
                  <c:v>447.14113249126899</c:v>
                </c:pt>
                <c:pt idx="2">
                  <c:v>464.19437532196508</c:v>
                </c:pt>
                <c:pt idx="3">
                  <c:v>475</c:v>
                </c:pt>
              </c:numCache>
            </c:numRef>
          </c:val>
          <c:smooth val="0"/>
        </c:ser>
        <c:ser>
          <c:idx val="1"/>
          <c:order val="1"/>
          <c:tx>
            <c:v>Mathematics</c:v>
          </c:tx>
          <c:dLbls>
            <c:spPr>
              <a:noFill/>
              <a:ln>
                <a:noFill/>
              </a:ln>
              <a:effectLst/>
            </c:spPr>
            <c:txPr>
              <a:bodyPr/>
              <a:lstStyle/>
              <a:p>
                <a:pPr>
                  <a:defRPr lang="en-US" sz="800"/>
                </a:pPr>
                <a:endParaRPr lang="tr-TR"/>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'mean sex '!$A$4:$A$7</c:f>
              <c:numCache>
                <c:formatCode>0</c:formatCode>
                <c:ptCount val="4"/>
                <c:pt idx="0">
                  <c:v>2003</c:v>
                </c:pt>
                <c:pt idx="1">
                  <c:v>2006</c:v>
                </c:pt>
                <c:pt idx="2">
                  <c:v>2009</c:v>
                </c:pt>
                <c:pt idx="3">
                  <c:v>2012</c:v>
                </c:pt>
              </c:numCache>
            </c:numRef>
          </c:cat>
          <c:val>
            <c:numRef>
              <c:f>'mean sex '!$G$4:$G$7</c:f>
              <c:numCache>
                <c:formatCode>0</c:formatCode>
                <c:ptCount val="4"/>
                <c:pt idx="0">
                  <c:v>423.41941009498993</c:v>
                </c:pt>
                <c:pt idx="1">
                  <c:v>423.94119032310101</c:v>
                </c:pt>
                <c:pt idx="2">
                  <c:v>445.45134005882215</c:v>
                </c:pt>
                <c:pt idx="3">
                  <c:v>448</c:v>
                </c:pt>
              </c:numCache>
            </c:numRef>
          </c:val>
          <c:smooth val="0"/>
        </c:ser>
        <c:ser>
          <c:idx val="2"/>
          <c:order val="2"/>
          <c:tx>
            <c:v>Science</c:v>
          </c:tx>
          <c:dLbls>
            <c:spPr>
              <a:noFill/>
              <a:ln>
                <a:noFill/>
              </a:ln>
              <a:effectLst/>
            </c:spPr>
            <c:txPr>
              <a:bodyPr/>
              <a:lstStyle/>
              <a:p>
                <a:pPr>
                  <a:defRPr lang="en-US" sz="800"/>
                </a:pPr>
                <a:endParaRPr lang="tr-TR"/>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'mean sex '!$A$4:$A$7</c:f>
              <c:numCache>
                <c:formatCode>0</c:formatCode>
                <c:ptCount val="4"/>
                <c:pt idx="0">
                  <c:v>2003</c:v>
                </c:pt>
                <c:pt idx="1">
                  <c:v>2006</c:v>
                </c:pt>
                <c:pt idx="2">
                  <c:v>2009</c:v>
                </c:pt>
                <c:pt idx="3">
                  <c:v>2012</c:v>
                </c:pt>
              </c:numCache>
            </c:numRef>
          </c:cat>
          <c:val>
            <c:numRef>
              <c:f>'mean sex '!$H$4:$H$7</c:f>
              <c:numCache>
                <c:formatCode>0</c:formatCode>
                <c:ptCount val="4"/>
                <c:pt idx="1">
                  <c:v>424</c:v>
                </c:pt>
                <c:pt idx="2">
                  <c:v>454</c:v>
                </c:pt>
                <c:pt idx="3">
                  <c:v>463</c:v>
                </c:pt>
              </c:numCache>
            </c:numRef>
          </c:val>
          <c:smooth val="0"/>
        </c:ser>
        <c:dLbls>
          <c:showLegendKey val="0"/>
          <c:showVal val="1"/>
          <c:showCatName val="0"/>
          <c:showSerName val="0"/>
          <c:showPercent val="0"/>
          <c:showBubbleSize val="0"/>
        </c:dLbls>
        <c:marker val="1"/>
        <c:smooth val="0"/>
        <c:axId val="153190400"/>
        <c:axId val="153191936"/>
      </c:lineChart>
      <c:catAx>
        <c:axId val="153190400"/>
        <c:scaling>
          <c:orientation val="minMax"/>
        </c:scaling>
        <c:delete val="0"/>
        <c:axPos val="b"/>
        <c:numFmt formatCode="0" sourceLinked="1"/>
        <c:majorTickMark val="none"/>
        <c:minorTickMark val="none"/>
        <c:tickLblPos val="nextTo"/>
        <c:txPr>
          <a:bodyPr/>
          <a:lstStyle/>
          <a:p>
            <a:pPr>
              <a:defRPr lang="en-US" sz="800"/>
            </a:pPr>
            <a:endParaRPr lang="tr-TR"/>
          </a:p>
        </c:txPr>
        <c:crossAx val="153191936"/>
        <c:crosses val="autoZero"/>
        <c:auto val="1"/>
        <c:lblAlgn val="ctr"/>
        <c:lblOffset val="100"/>
        <c:noMultiLvlLbl val="0"/>
      </c:catAx>
      <c:valAx>
        <c:axId val="153191936"/>
        <c:scaling>
          <c:orientation val="minMax"/>
          <c:min val="400"/>
        </c:scaling>
        <c:delete val="1"/>
        <c:axPos val="l"/>
        <c:title>
          <c:tx>
            <c:rich>
              <a:bodyPr rot="-5400000" vert="horz"/>
              <a:lstStyle/>
              <a:p>
                <a:pPr>
                  <a:defRPr lang="en-US"/>
                </a:pPr>
                <a:r>
                  <a:rPr lang="tr-TR" b="0"/>
                  <a:t>PISA</a:t>
                </a:r>
                <a:r>
                  <a:rPr lang="tr-TR" b="0" baseline="0"/>
                  <a:t> scores </a:t>
                </a:r>
                <a:endParaRPr lang="tr-TR" b="0"/>
              </a:p>
            </c:rich>
          </c:tx>
          <c:overlay val="0"/>
        </c:title>
        <c:numFmt formatCode="0" sourceLinked="1"/>
        <c:majorTickMark val="out"/>
        <c:minorTickMark val="none"/>
        <c:tickLblPos val="nextTo"/>
        <c:crossAx val="153190400"/>
        <c:crosses val="autoZero"/>
        <c:crossBetween val="between"/>
      </c:valAx>
    </c:plotArea>
    <c:legend>
      <c:legendPos val="t"/>
      <c:layout>
        <c:manualLayout>
          <c:xMode val="edge"/>
          <c:yMode val="edge"/>
          <c:x val="0.10227311664370954"/>
          <c:y val="0"/>
          <c:w val="0.78849119055940464"/>
          <c:h val="0.10347876043391595"/>
        </c:manualLayout>
      </c:layout>
      <c:overlay val="0"/>
      <c:txPr>
        <a:bodyPr/>
        <a:lstStyle/>
        <a:p>
          <a:pPr>
            <a:defRPr lang="en-US"/>
          </a:pPr>
          <a:endParaRPr lang="tr-TR"/>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v>2003</c:v>
          </c:tx>
          <c:invertIfNegative val="0"/>
          <c:dLbls>
            <c:spPr>
              <a:noFill/>
              <a:ln>
                <a:noFill/>
              </a:ln>
              <a:effectLst/>
            </c:spPr>
            <c:txPr>
              <a:bodyPr/>
              <a:lstStyle/>
              <a:p>
                <a:pPr>
                  <a:defRPr lang="en-US" sz="800"/>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'mean sex '!$N$3:$N$5</c:f>
              <c:strCache>
                <c:ptCount val="3"/>
                <c:pt idx="0">
                  <c:v>Reading</c:v>
                </c:pt>
                <c:pt idx="1">
                  <c:v>Mathematics</c:v>
                </c:pt>
                <c:pt idx="2">
                  <c:v>Science</c:v>
                </c:pt>
              </c:strCache>
            </c:strRef>
          </c:cat>
          <c:val>
            <c:numRef>
              <c:f>'mean sex '!$J$4:$L$4</c:f>
              <c:numCache>
                <c:formatCode>0</c:formatCode>
                <c:ptCount val="3"/>
                <c:pt idx="0">
                  <c:v>52.790723957610965</c:v>
                </c:pt>
                <c:pt idx="1">
                  <c:v>76.295632714855799</c:v>
                </c:pt>
              </c:numCache>
            </c:numRef>
          </c:val>
        </c:ser>
        <c:ser>
          <c:idx val="1"/>
          <c:order val="1"/>
          <c:tx>
            <c:v>2006</c:v>
          </c:tx>
          <c:invertIfNegative val="0"/>
          <c:dLbls>
            <c:spPr>
              <a:noFill/>
              <a:ln>
                <a:noFill/>
              </a:ln>
              <a:effectLst/>
            </c:spPr>
            <c:txPr>
              <a:bodyPr/>
              <a:lstStyle/>
              <a:p>
                <a:pPr>
                  <a:defRPr lang="en-US" sz="800"/>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'mean sex '!$N$3:$N$5</c:f>
              <c:strCache>
                <c:ptCount val="3"/>
                <c:pt idx="0">
                  <c:v>Reading</c:v>
                </c:pt>
                <c:pt idx="1">
                  <c:v>Mathematics</c:v>
                </c:pt>
                <c:pt idx="2">
                  <c:v>Science</c:v>
                </c:pt>
              </c:strCache>
            </c:strRef>
          </c:cat>
          <c:val>
            <c:numRef>
              <c:f>'mean sex '!$J$5:$L$5</c:f>
              <c:numCache>
                <c:formatCode>0</c:formatCode>
                <c:ptCount val="3"/>
                <c:pt idx="0">
                  <c:v>41.884902735765024</c:v>
                </c:pt>
                <c:pt idx="1">
                  <c:v>70.250444310920784</c:v>
                </c:pt>
                <c:pt idx="2">
                  <c:v>74</c:v>
                </c:pt>
              </c:numCache>
            </c:numRef>
          </c:val>
        </c:ser>
        <c:ser>
          <c:idx val="2"/>
          <c:order val="2"/>
          <c:tx>
            <c:v>2009</c:v>
          </c:tx>
          <c:invertIfNegative val="0"/>
          <c:dLbls>
            <c:spPr>
              <a:noFill/>
              <a:ln>
                <a:noFill/>
              </a:ln>
              <a:effectLst/>
            </c:spPr>
            <c:txPr>
              <a:bodyPr/>
              <a:lstStyle/>
              <a:p>
                <a:pPr>
                  <a:defRPr lang="en-US" sz="800"/>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'mean sex '!$N$3:$N$5</c:f>
              <c:strCache>
                <c:ptCount val="3"/>
                <c:pt idx="0">
                  <c:v>Reading</c:v>
                </c:pt>
                <c:pt idx="1">
                  <c:v>Mathematics</c:v>
                </c:pt>
                <c:pt idx="2">
                  <c:v>Science</c:v>
                </c:pt>
              </c:strCache>
            </c:strRef>
          </c:cat>
          <c:val>
            <c:numRef>
              <c:f>'mean sex '!$J$6:$L$6</c:f>
              <c:numCache>
                <c:formatCode>0</c:formatCode>
                <c:ptCount val="3"/>
                <c:pt idx="0">
                  <c:v>29.2507994020499</c:v>
                </c:pt>
                <c:pt idx="1">
                  <c:v>50.259928025641997</c:v>
                </c:pt>
                <c:pt idx="2">
                  <c:v>47</c:v>
                </c:pt>
              </c:numCache>
            </c:numRef>
          </c:val>
        </c:ser>
        <c:ser>
          <c:idx val="3"/>
          <c:order val="3"/>
          <c:tx>
            <c:v>2012</c:v>
          </c:tx>
          <c:invertIfNegative val="0"/>
          <c:dLbls>
            <c:spPr>
              <a:noFill/>
              <a:ln>
                <a:noFill/>
              </a:ln>
              <a:effectLst/>
            </c:spPr>
            <c:txPr>
              <a:bodyPr/>
              <a:lstStyle/>
              <a:p>
                <a:pPr>
                  <a:defRPr lang="en-US" sz="800"/>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'mean sex '!$N$3:$N$5</c:f>
              <c:strCache>
                <c:ptCount val="3"/>
                <c:pt idx="0">
                  <c:v>Reading</c:v>
                </c:pt>
                <c:pt idx="1">
                  <c:v>Mathematics</c:v>
                </c:pt>
                <c:pt idx="2">
                  <c:v>Science</c:v>
                </c:pt>
              </c:strCache>
            </c:strRef>
          </c:cat>
          <c:val>
            <c:numRef>
              <c:f>'mean sex '!$J$7:$L$7</c:f>
              <c:numCache>
                <c:formatCode>0</c:formatCode>
                <c:ptCount val="3"/>
                <c:pt idx="0">
                  <c:v>21</c:v>
                </c:pt>
                <c:pt idx="1">
                  <c:v>46</c:v>
                </c:pt>
                <c:pt idx="2">
                  <c:v>38</c:v>
                </c:pt>
              </c:numCache>
            </c:numRef>
          </c:val>
        </c:ser>
        <c:dLbls>
          <c:showLegendKey val="0"/>
          <c:showVal val="1"/>
          <c:showCatName val="0"/>
          <c:showSerName val="0"/>
          <c:showPercent val="0"/>
          <c:showBubbleSize val="0"/>
        </c:dLbls>
        <c:gapWidth val="75"/>
        <c:axId val="155322240"/>
        <c:axId val="155323776"/>
      </c:barChart>
      <c:catAx>
        <c:axId val="155322240"/>
        <c:scaling>
          <c:orientation val="minMax"/>
        </c:scaling>
        <c:delete val="0"/>
        <c:axPos val="b"/>
        <c:numFmt formatCode="General" sourceLinked="1"/>
        <c:majorTickMark val="none"/>
        <c:minorTickMark val="none"/>
        <c:tickLblPos val="nextTo"/>
        <c:txPr>
          <a:bodyPr/>
          <a:lstStyle/>
          <a:p>
            <a:pPr>
              <a:defRPr lang="en-US" sz="800"/>
            </a:pPr>
            <a:endParaRPr lang="tr-TR"/>
          </a:p>
        </c:txPr>
        <c:crossAx val="155323776"/>
        <c:crosses val="autoZero"/>
        <c:auto val="1"/>
        <c:lblAlgn val="ctr"/>
        <c:lblOffset val="100"/>
        <c:noMultiLvlLbl val="0"/>
      </c:catAx>
      <c:valAx>
        <c:axId val="155323776"/>
        <c:scaling>
          <c:orientation val="minMax"/>
        </c:scaling>
        <c:delete val="1"/>
        <c:axPos val="l"/>
        <c:title>
          <c:tx>
            <c:rich>
              <a:bodyPr rot="-5400000" vert="horz"/>
              <a:lstStyle/>
              <a:p>
                <a:pPr>
                  <a:defRPr lang="en-US"/>
                </a:pPr>
                <a:r>
                  <a:rPr lang="tr-TR" sz="800" b="0"/>
                  <a:t>PISA</a:t>
                </a:r>
                <a:r>
                  <a:rPr lang="tr-TR" sz="800" b="0" baseline="0"/>
                  <a:t> scores</a:t>
                </a:r>
                <a:endParaRPr lang="tr-TR" sz="800" b="0"/>
              </a:p>
            </c:rich>
          </c:tx>
          <c:overlay val="0"/>
        </c:title>
        <c:numFmt formatCode="0" sourceLinked="1"/>
        <c:majorTickMark val="none"/>
        <c:minorTickMark val="none"/>
        <c:tickLblPos val="nextTo"/>
        <c:crossAx val="155322240"/>
        <c:crosses val="autoZero"/>
        <c:crossBetween val="between"/>
      </c:valAx>
    </c:plotArea>
    <c:legend>
      <c:legendPos val="b"/>
      <c:overlay val="0"/>
      <c:txPr>
        <a:bodyPr/>
        <a:lstStyle/>
        <a:p>
          <a:pPr>
            <a:defRPr lang="en-US" sz="800" b="1"/>
          </a:pPr>
          <a:endParaRPr lang="tr-TR"/>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016264858785103E-2"/>
          <c:y val="8.3477221597300338E-2"/>
          <c:w val="0.72417257217848219"/>
          <c:h val="0.89719889180519163"/>
        </c:manualLayout>
      </c:layout>
      <c:scatterChart>
        <c:scatterStyle val="lineMarker"/>
        <c:varyColors val="0"/>
        <c:ser>
          <c:idx val="0"/>
          <c:order val="0"/>
          <c:spPr>
            <a:ln w="28575">
              <a:noFill/>
            </a:ln>
          </c:spPr>
          <c:marker>
            <c:spPr>
              <a:solidFill>
                <a:srgbClr val="002060"/>
              </a:solidFill>
              <a:ln>
                <a:solidFill>
                  <a:srgbClr val="002060"/>
                </a:solidFill>
              </a:ln>
            </c:spPr>
          </c:marker>
          <c:dLbls>
            <c:dLbl>
              <c:idx val="0"/>
              <c:layout>
                <c:manualLayout>
                  <c:x val="5.1480051480051478E-3"/>
                  <c:y val="3.5714285714285712E-2"/>
                </c:manualLayout>
              </c:layout>
              <c:tx>
                <c:rich>
                  <a:bodyPr/>
                  <a:lstStyle/>
                  <a:p>
                    <a:r>
                      <a:rPr lang="en-US" sz="800"/>
                      <a:t>Australia</a:t>
                    </a:r>
                  </a:p>
                </c:rich>
              </c:tx>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2.3976023976024E-2"/>
                  <c:y val="8.869179600886996E-3"/>
                </c:manualLayout>
              </c:layout>
              <c:tx>
                <c:rich>
                  <a:bodyPr/>
                  <a:lstStyle/>
                  <a:p>
                    <a:r>
                      <a:rPr lang="en-US" sz="800"/>
                      <a:t>Austria</a:t>
                    </a:r>
                  </a:p>
                </c:rich>
              </c:tx>
              <c:dLblPos val="ctr"/>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sz="800"/>
                      <a:t>Belgium</a:t>
                    </a:r>
                  </a:p>
                </c:rich>
              </c:tx>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6.1776061776061882E-2"/>
                  <c:y val="1.488095238095238E-2"/>
                </c:manualLayout>
              </c:layout>
              <c:tx>
                <c:rich>
                  <a:bodyPr/>
                  <a:lstStyle/>
                  <a:p>
                    <a:r>
                      <a:rPr lang="en-US" sz="800"/>
                      <a:t>-Canada</a:t>
                    </a:r>
                  </a:p>
                </c:rich>
              </c:tx>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3.0266829762190268E-2"/>
                  <c:y val="6.3241106719367345E-3"/>
                </c:manualLayout>
              </c:layout>
              <c:tx>
                <c:rich>
                  <a:bodyPr/>
                  <a:lstStyle/>
                  <a:p>
                    <a:r>
                      <a:rPr lang="en-US" sz="800"/>
                      <a:t>Chile</a:t>
                    </a:r>
                  </a:p>
                </c:rich>
              </c:tx>
              <c:dLblPos val="ctr"/>
              <c:showLegendKey val="0"/>
              <c:showVal val="1"/>
              <c:showCatName val="0"/>
              <c:showSerName val="0"/>
              <c:showPercent val="0"/>
              <c:showBubbleSize val="0"/>
              <c:extLst>
                <c:ext xmlns:c15="http://schemas.microsoft.com/office/drawing/2012/chart" uri="{CE6537A1-D6FC-4f65-9D91-7224C49458BB}"/>
              </c:extLst>
            </c:dLbl>
            <c:dLbl>
              <c:idx val="5"/>
              <c:layout>
                <c:manualLayout>
                  <c:x val="-6.7792375811380937E-2"/>
                  <c:y val="2.1213151794242345E-2"/>
                </c:manualLayout>
              </c:layout>
              <c:tx>
                <c:rich>
                  <a:bodyPr/>
                  <a:lstStyle/>
                  <a:p>
                    <a:r>
                      <a:rPr lang="en-US" sz="800"/>
                      <a:t>Czech</a:t>
                    </a:r>
                    <a:r>
                      <a:rPr lang="en-US" sz="800" baseline="0"/>
                      <a:t> Republic</a:t>
                    </a:r>
                    <a:endParaRPr lang="en-US" sz="800"/>
                  </a:p>
                </c:rich>
              </c:tx>
              <c:dLblPos val="ctr"/>
              <c:showLegendKey val="0"/>
              <c:showVal val="1"/>
              <c:showCatName val="0"/>
              <c:showSerName val="0"/>
              <c:showPercent val="0"/>
              <c:showBubbleSize val="0"/>
              <c:extLst>
                <c:ext xmlns:c15="http://schemas.microsoft.com/office/drawing/2012/chart" uri="{CE6537A1-D6FC-4f65-9D91-7224C49458BB}"/>
              </c:extLst>
            </c:dLbl>
            <c:dLbl>
              <c:idx val="6"/>
              <c:layout>
                <c:manualLayout>
                  <c:x val="3.5882908404155089E-2"/>
                  <c:y val="1.8885744073779909E-2"/>
                </c:manualLayout>
              </c:layout>
              <c:tx>
                <c:rich>
                  <a:bodyPr/>
                  <a:lstStyle/>
                  <a:p>
                    <a:r>
                      <a:rPr lang="en-US" sz="800"/>
                      <a:t>Denmark</a:t>
                    </a:r>
                  </a:p>
                </c:rich>
              </c:tx>
              <c:dLblPos val="ctr"/>
              <c:showLegendKey val="0"/>
              <c:showVal val="1"/>
              <c:showCatName val="0"/>
              <c:showSerName val="0"/>
              <c:showPercent val="0"/>
              <c:showBubbleSize val="0"/>
              <c:extLst>
                <c:ext xmlns:c15="http://schemas.microsoft.com/office/drawing/2012/chart" uri="{CE6537A1-D6FC-4f65-9D91-7224C49458BB}"/>
              </c:extLst>
            </c:dLbl>
            <c:dLbl>
              <c:idx val="7"/>
              <c:layout>
                <c:manualLayout>
                  <c:x val="4.458597980741643E-2"/>
                  <c:y val="0"/>
                </c:manualLayout>
              </c:layout>
              <c:tx>
                <c:rich>
                  <a:bodyPr/>
                  <a:lstStyle/>
                  <a:p>
                    <a:r>
                      <a:rPr lang="en-US" sz="800"/>
                      <a:t>Estonia</a:t>
                    </a:r>
                  </a:p>
                </c:rich>
              </c:tx>
              <c:dLblPos val="ctr"/>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en-US" sz="800"/>
                      <a:t>Finland</a:t>
                    </a:r>
                  </a:p>
                </c:rich>
              </c:tx>
              <c:dLblPos val="ctr"/>
              <c:showLegendKey val="0"/>
              <c:showVal val="1"/>
              <c:showCatName val="0"/>
              <c:showSerName val="0"/>
              <c:showPercent val="0"/>
              <c:showBubbleSize val="0"/>
              <c:extLst>
                <c:ext xmlns:c15="http://schemas.microsoft.com/office/drawing/2012/chart" uri="{CE6537A1-D6FC-4f65-9D91-7224C49458BB}"/>
              </c:extLst>
            </c:dLbl>
            <c:dLbl>
              <c:idx val="9"/>
              <c:layout>
                <c:manualLayout>
                  <c:x val="-4.6332046332046677E-2"/>
                  <c:y val="-5.456286174865835E-17"/>
                </c:manualLayout>
              </c:layout>
              <c:tx>
                <c:rich>
                  <a:bodyPr/>
                  <a:lstStyle/>
                  <a:p>
                    <a:r>
                      <a:rPr lang="en-US" sz="800"/>
                      <a:t>France</a:t>
                    </a:r>
                  </a:p>
                </c:rich>
              </c:tx>
              <c:dLblPos val="ctr"/>
              <c:showLegendKey val="0"/>
              <c:showVal val="1"/>
              <c:showCatName val="0"/>
              <c:showSerName val="0"/>
              <c:showPercent val="0"/>
              <c:showBubbleSize val="0"/>
              <c:extLst>
                <c:ext xmlns:c15="http://schemas.microsoft.com/office/drawing/2012/chart" uri="{CE6537A1-D6FC-4f65-9D91-7224C49458BB}"/>
              </c:extLst>
            </c:dLbl>
            <c:dLbl>
              <c:idx val="10"/>
              <c:layout>
                <c:manualLayout>
                  <c:x val="0"/>
                  <c:y val="-2.0236087689713581E-2"/>
                </c:manualLayout>
              </c:layout>
              <c:tx>
                <c:rich>
                  <a:bodyPr/>
                  <a:lstStyle/>
                  <a:p>
                    <a:r>
                      <a:rPr lang="en-US" sz="800"/>
                      <a:t>Germany</a:t>
                    </a:r>
                  </a:p>
                </c:rich>
              </c:tx>
              <c:dLblPos val="ctr"/>
              <c:showLegendKey val="0"/>
              <c:showVal val="1"/>
              <c:showCatName val="0"/>
              <c:showSerName val="0"/>
              <c:showPercent val="0"/>
              <c:showBubbleSize val="0"/>
              <c:extLst>
                <c:ext xmlns:c15="http://schemas.microsoft.com/office/drawing/2012/chart" uri="{CE6537A1-D6FC-4f65-9D91-7224C49458BB}"/>
              </c:extLst>
            </c:dLbl>
            <c:dLbl>
              <c:idx val="11"/>
              <c:layout>
                <c:manualLayout>
                  <c:x val="-3.1859820802305552E-2"/>
                  <c:y val="2.1080368906456022E-3"/>
                </c:manualLayout>
              </c:layout>
              <c:tx>
                <c:rich>
                  <a:bodyPr/>
                  <a:lstStyle/>
                  <a:p>
                    <a:r>
                      <a:rPr lang="en-US" sz="800"/>
                      <a:t>Greece</a:t>
                    </a:r>
                  </a:p>
                </c:rich>
              </c:tx>
              <c:dLblPos val="ctr"/>
              <c:showLegendKey val="0"/>
              <c:showVal val="1"/>
              <c:showCatName val="0"/>
              <c:showSerName val="0"/>
              <c:showPercent val="0"/>
              <c:showBubbleSize val="0"/>
              <c:extLst>
                <c:ext xmlns:c15="http://schemas.microsoft.com/office/drawing/2012/chart" uri="{CE6537A1-D6FC-4f65-9D91-7224C49458BB}"/>
              </c:extLst>
            </c:dLbl>
            <c:dLbl>
              <c:idx val="12"/>
              <c:layout>
                <c:manualLayout>
                  <c:x val="-6.1776061776061784E-2"/>
                  <c:y val="8.9285714285714159E-3"/>
                </c:manualLayout>
              </c:layout>
              <c:tx>
                <c:rich>
                  <a:bodyPr/>
                  <a:lstStyle/>
                  <a:p>
                    <a:r>
                      <a:rPr lang="en-US" sz="800"/>
                      <a:t>Hungary</a:t>
                    </a:r>
                  </a:p>
                </c:rich>
              </c:tx>
              <c:dLblPos val="ctr"/>
              <c:showLegendKey val="0"/>
              <c:showVal val="1"/>
              <c:showCatName val="0"/>
              <c:showSerName val="0"/>
              <c:showPercent val="0"/>
              <c:showBubbleSize val="0"/>
              <c:extLst>
                <c:ext xmlns:c15="http://schemas.microsoft.com/office/drawing/2012/chart" uri="{CE6537A1-D6FC-4f65-9D91-7224C49458BB}"/>
              </c:extLst>
            </c:dLbl>
            <c:dLbl>
              <c:idx val="13"/>
              <c:layout>
                <c:manualLayout>
                  <c:x val="1.0296010296010301E-2"/>
                  <c:y val="2.0833333333333412E-2"/>
                </c:manualLayout>
              </c:layout>
              <c:tx>
                <c:rich>
                  <a:bodyPr/>
                  <a:lstStyle/>
                  <a:p>
                    <a:r>
                      <a:rPr lang="en-US" sz="800"/>
                      <a:t>Iceland</a:t>
                    </a:r>
                  </a:p>
                </c:rich>
              </c:tx>
              <c:dLblPos val="ctr"/>
              <c:showLegendKey val="0"/>
              <c:showVal val="1"/>
              <c:showCatName val="0"/>
              <c:showSerName val="0"/>
              <c:showPercent val="0"/>
              <c:showBubbleSize val="0"/>
              <c:extLst>
                <c:ext xmlns:c15="http://schemas.microsoft.com/office/drawing/2012/chart" uri="{CE6537A1-D6FC-4f65-9D91-7224C49458BB}"/>
              </c:extLst>
            </c:dLbl>
            <c:dLbl>
              <c:idx val="14"/>
              <c:layout>
                <c:manualLayout>
                  <c:x val="4.4585979807416333E-2"/>
                  <c:y val="-6.7453625632378032E-3"/>
                </c:manualLayout>
              </c:layout>
              <c:tx>
                <c:rich>
                  <a:bodyPr/>
                  <a:lstStyle/>
                  <a:p>
                    <a:r>
                      <a:rPr lang="en-US" sz="800"/>
                      <a:t>Ireland</a:t>
                    </a:r>
                  </a:p>
                </c:rich>
              </c:tx>
              <c:dLblPos val="ctr"/>
              <c:showLegendKey val="0"/>
              <c:showVal val="1"/>
              <c:showCatName val="0"/>
              <c:showSerName val="0"/>
              <c:showPercent val="0"/>
              <c:showBubbleSize val="0"/>
              <c:extLst>
                <c:ext xmlns:c15="http://schemas.microsoft.com/office/drawing/2012/chart" uri="{CE6537A1-D6FC-4f65-9D91-7224C49458BB}"/>
              </c:extLst>
            </c:dLbl>
            <c:dLbl>
              <c:idx val="15"/>
              <c:layout>
                <c:manualLayout>
                  <c:x val="0"/>
                  <c:y val="2.2484541877459414E-2"/>
                </c:manualLayout>
              </c:layout>
              <c:tx>
                <c:rich>
                  <a:bodyPr/>
                  <a:lstStyle/>
                  <a:p>
                    <a:r>
                      <a:rPr lang="en-US" sz="800"/>
                      <a:t>Israel</a:t>
                    </a:r>
                  </a:p>
                </c:rich>
              </c:tx>
              <c:dLblPos val="ctr"/>
              <c:showLegendKey val="0"/>
              <c:showVal val="1"/>
              <c:showCatName val="0"/>
              <c:showSerName val="0"/>
              <c:showPercent val="0"/>
              <c:showBubbleSize val="0"/>
              <c:extLst>
                <c:ext xmlns:c15="http://schemas.microsoft.com/office/drawing/2012/chart" uri="{CE6537A1-D6FC-4f65-9D91-7224C49458BB}"/>
              </c:extLst>
            </c:dLbl>
            <c:dLbl>
              <c:idx val="16"/>
              <c:layout>
                <c:manualLayout>
                  <c:x val="6.3694256867737123E-3"/>
                  <c:y val="-2.4732996065205192E-2"/>
                </c:manualLayout>
              </c:layout>
              <c:tx>
                <c:rich>
                  <a:bodyPr/>
                  <a:lstStyle/>
                  <a:p>
                    <a:r>
                      <a:rPr lang="en-US" sz="800"/>
                      <a:t>Italy</a:t>
                    </a:r>
                  </a:p>
                </c:rich>
              </c:tx>
              <c:dLblPos val="ctr"/>
              <c:showLegendKey val="0"/>
              <c:showVal val="1"/>
              <c:showCatName val="0"/>
              <c:showSerName val="0"/>
              <c:showPercent val="0"/>
              <c:showBubbleSize val="0"/>
              <c:extLst>
                <c:ext xmlns:c15="http://schemas.microsoft.com/office/drawing/2012/chart" uri="{CE6537A1-D6FC-4f65-9D91-7224C49458BB}"/>
              </c:extLst>
            </c:dLbl>
            <c:dLbl>
              <c:idx val="17"/>
              <c:layout>
                <c:manualLayout>
                  <c:x val="-2.1231418955913414E-3"/>
                  <c:y val="2.4732996065205192E-2"/>
                </c:manualLayout>
              </c:layout>
              <c:tx>
                <c:rich>
                  <a:bodyPr/>
                  <a:lstStyle/>
                  <a:p>
                    <a:r>
                      <a:rPr lang="en-US" sz="800"/>
                      <a:t>Japan</a:t>
                    </a:r>
                  </a:p>
                </c:rich>
              </c:tx>
              <c:dLblPos val="ctr"/>
              <c:showLegendKey val="0"/>
              <c:showVal val="1"/>
              <c:showCatName val="0"/>
              <c:showSerName val="0"/>
              <c:showPercent val="0"/>
              <c:showBubbleSize val="0"/>
              <c:extLst>
                <c:ext xmlns:c15="http://schemas.microsoft.com/office/drawing/2012/chart" uri="{CE6537A1-D6FC-4f65-9D91-7224C49458BB}"/>
              </c:extLst>
            </c:dLbl>
            <c:dLbl>
              <c:idx val="18"/>
              <c:layout>
                <c:manualLayout>
                  <c:x val="0"/>
                  <c:y val="-2.6785714285714479E-2"/>
                </c:manualLayout>
              </c:layout>
              <c:tx>
                <c:rich>
                  <a:bodyPr/>
                  <a:lstStyle/>
                  <a:p>
                    <a:r>
                      <a:rPr lang="en-US" sz="800"/>
                      <a:t>Korea</a:t>
                    </a:r>
                  </a:p>
                </c:rich>
              </c:tx>
              <c:dLblPos val="ctr"/>
              <c:showLegendKey val="0"/>
              <c:showVal val="1"/>
              <c:showCatName val="0"/>
              <c:showSerName val="0"/>
              <c:showPercent val="0"/>
              <c:showBubbleSize val="0"/>
              <c:extLst>
                <c:ext xmlns:c15="http://schemas.microsoft.com/office/drawing/2012/chart" uri="{CE6537A1-D6FC-4f65-9D91-7224C49458BB}"/>
              </c:extLst>
            </c:dLbl>
            <c:dLbl>
              <c:idx val="19"/>
              <c:layout>
                <c:manualLayout>
                  <c:x val="-7.7220077220077177E-2"/>
                  <c:y val="-2.9761904761904812E-3"/>
                </c:manualLayout>
              </c:layout>
              <c:tx>
                <c:rich>
                  <a:bodyPr/>
                  <a:lstStyle/>
                  <a:p>
                    <a:r>
                      <a:rPr lang="en-US" sz="800"/>
                      <a:t>Luxembourg</a:t>
                    </a:r>
                  </a:p>
                </c:rich>
              </c:tx>
              <c:dLblPos val="ctr"/>
              <c:showLegendKey val="0"/>
              <c:showVal val="1"/>
              <c:showCatName val="0"/>
              <c:showSerName val="0"/>
              <c:showPercent val="0"/>
              <c:showBubbleSize val="0"/>
              <c:extLst>
                <c:ext xmlns:c15="http://schemas.microsoft.com/office/drawing/2012/chart" uri="{CE6537A1-D6FC-4f65-9D91-7224C49458BB}"/>
              </c:extLst>
            </c:dLbl>
            <c:dLbl>
              <c:idx val="20"/>
              <c:layout>
                <c:manualLayout>
                  <c:x val="3.5045802882536302E-2"/>
                  <c:y val="-1.0540184453228007E-3"/>
                </c:manualLayout>
              </c:layout>
              <c:tx>
                <c:rich>
                  <a:bodyPr/>
                  <a:lstStyle/>
                  <a:p>
                    <a:r>
                      <a:rPr lang="en-US" sz="800"/>
                      <a:t>Mexico</a:t>
                    </a:r>
                  </a:p>
                </c:rich>
              </c:tx>
              <c:dLblPos val="ctr"/>
              <c:showLegendKey val="0"/>
              <c:showVal val="1"/>
              <c:showCatName val="0"/>
              <c:showSerName val="0"/>
              <c:showPercent val="0"/>
              <c:showBubbleSize val="0"/>
              <c:extLst>
                <c:ext xmlns:c15="http://schemas.microsoft.com/office/drawing/2012/chart" uri="{CE6537A1-D6FC-4f65-9D91-7224C49458BB}"/>
              </c:extLst>
            </c:dLbl>
            <c:dLbl>
              <c:idx val="21"/>
              <c:layout>
                <c:manualLayout>
                  <c:x val="4.6332046332046677E-2"/>
                  <c:y val="2.9761904761904791E-2"/>
                </c:manualLayout>
              </c:layout>
              <c:tx>
                <c:rich>
                  <a:bodyPr/>
                  <a:lstStyle/>
                  <a:p>
                    <a:r>
                      <a:rPr lang="en-US" sz="800"/>
                      <a:t>Netherlands</a:t>
                    </a:r>
                  </a:p>
                </c:rich>
              </c:tx>
              <c:dLblPos val="ctr"/>
              <c:showLegendKey val="0"/>
              <c:showVal val="1"/>
              <c:showCatName val="0"/>
              <c:showSerName val="0"/>
              <c:showPercent val="0"/>
              <c:showBubbleSize val="0"/>
              <c:extLst>
                <c:ext xmlns:c15="http://schemas.microsoft.com/office/drawing/2012/chart" uri="{CE6537A1-D6FC-4f65-9D91-7224C49458BB}"/>
              </c:extLst>
            </c:dLbl>
            <c:dLbl>
              <c:idx val="22"/>
              <c:layout>
                <c:manualLayout>
                  <c:x val="0"/>
                  <c:y val="3.273809523809524E-2"/>
                </c:manualLayout>
              </c:layout>
              <c:tx>
                <c:rich>
                  <a:bodyPr/>
                  <a:lstStyle/>
                  <a:p>
                    <a:r>
                      <a:rPr lang="en-US" sz="800"/>
                      <a:t>New</a:t>
                    </a:r>
                    <a:r>
                      <a:rPr lang="en-US" sz="800" baseline="0"/>
                      <a:t> Zeland</a:t>
                    </a:r>
                    <a:endParaRPr lang="en-US" sz="800"/>
                  </a:p>
                </c:rich>
              </c:tx>
              <c:dLblPos val="ctr"/>
              <c:showLegendKey val="0"/>
              <c:showVal val="1"/>
              <c:showCatName val="0"/>
              <c:showSerName val="0"/>
              <c:showPercent val="0"/>
              <c:showBubbleSize val="0"/>
              <c:extLst>
                <c:ext xmlns:c15="http://schemas.microsoft.com/office/drawing/2012/chart" uri="{CE6537A1-D6FC-4f65-9D91-7224C49458BB}"/>
              </c:extLst>
            </c:dLbl>
            <c:dLbl>
              <c:idx val="23"/>
              <c:layout>
                <c:manualLayout>
                  <c:x val="0"/>
                  <c:y val="-2.0833333333333412E-2"/>
                </c:manualLayout>
              </c:layout>
              <c:tx>
                <c:rich>
                  <a:bodyPr/>
                  <a:lstStyle/>
                  <a:p>
                    <a:r>
                      <a:rPr lang="en-US" sz="800"/>
                      <a:t>Norway</a:t>
                    </a:r>
                  </a:p>
                </c:rich>
              </c:tx>
              <c:dLblPos val="ctr"/>
              <c:showLegendKey val="0"/>
              <c:showVal val="1"/>
              <c:showCatName val="0"/>
              <c:showSerName val="0"/>
              <c:showPercent val="0"/>
              <c:showBubbleSize val="0"/>
              <c:extLst>
                <c:ext xmlns:c15="http://schemas.microsoft.com/office/drawing/2012/chart" uri="{CE6537A1-D6FC-4f65-9D91-7224C49458BB}"/>
              </c:extLst>
            </c:dLbl>
            <c:dLbl>
              <c:idx val="24"/>
              <c:layout>
                <c:manualLayout>
                  <c:x val="-4.4585979807416333E-2"/>
                  <c:y val="1.3490725126475521E-2"/>
                </c:manualLayout>
              </c:layout>
              <c:tx>
                <c:rich>
                  <a:bodyPr/>
                  <a:lstStyle/>
                  <a:p>
                    <a:r>
                      <a:rPr lang="en-US" sz="800"/>
                      <a:t>Poland</a:t>
                    </a:r>
                  </a:p>
                </c:rich>
              </c:tx>
              <c:dLblPos val="ctr"/>
              <c:showLegendKey val="0"/>
              <c:showVal val="1"/>
              <c:showCatName val="0"/>
              <c:showSerName val="0"/>
              <c:showPercent val="0"/>
              <c:showBubbleSize val="0"/>
              <c:extLst>
                <c:ext xmlns:c15="http://schemas.microsoft.com/office/drawing/2012/chart" uri="{CE6537A1-D6FC-4f65-9D91-7224C49458BB}"/>
              </c:extLst>
            </c:dLbl>
            <c:dLbl>
              <c:idx val="25"/>
              <c:layout>
                <c:manualLayout>
                  <c:x val="-3.8231784962766656E-2"/>
                  <c:y val="7.3781291172595872E-3"/>
                </c:manualLayout>
              </c:layout>
              <c:tx>
                <c:rich>
                  <a:bodyPr/>
                  <a:lstStyle/>
                  <a:p>
                    <a:r>
                      <a:rPr lang="en-US" sz="800"/>
                      <a:t>Portugal</a:t>
                    </a:r>
                  </a:p>
                </c:rich>
              </c:tx>
              <c:dLblPos val="ctr"/>
              <c:showLegendKey val="0"/>
              <c:showVal val="1"/>
              <c:showCatName val="0"/>
              <c:showSerName val="0"/>
              <c:showPercent val="0"/>
              <c:showBubbleSize val="0"/>
              <c:extLst>
                <c:ext xmlns:c15="http://schemas.microsoft.com/office/drawing/2012/chart" uri="{CE6537A1-D6FC-4f65-9D91-7224C49458BB}"/>
              </c:extLst>
            </c:dLbl>
            <c:dLbl>
              <c:idx val="26"/>
              <c:layout>
                <c:manualLayout>
                  <c:x val="-4.7189502052893619E-17"/>
                  <c:y val="3.273809523809524E-2"/>
                </c:manualLayout>
              </c:layout>
              <c:tx>
                <c:rich>
                  <a:bodyPr/>
                  <a:lstStyle/>
                  <a:p>
                    <a:r>
                      <a:rPr lang="en-US" sz="800"/>
                      <a:t>Slovak</a:t>
                    </a:r>
                    <a:r>
                      <a:rPr lang="en-US" sz="800" baseline="0"/>
                      <a:t> Republic</a:t>
                    </a:r>
                    <a:endParaRPr lang="en-US" sz="800"/>
                  </a:p>
                </c:rich>
              </c:tx>
              <c:dLblPos val="ctr"/>
              <c:showLegendKey val="0"/>
              <c:showVal val="1"/>
              <c:showCatName val="0"/>
              <c:showSerName val="0"/>
              <c:showPercent val="0"/>
              <c:showBubbleSize val="0"/>
              <c:extLst>
                <c:ext xmlns:c15="http://schemas.microsoft.com/office/drawing/2012/chart" uri="{CE6537A1-D6FC-4f65-9D91-7224C49458BB}"/>
              </c:extLst>
            </c:dLbl>
            <c:dLbl>
              <c:idx val="27"/>
              <c:layout>
                <c:manualLayout>
                  <c:x val="-1.2870012870012866E-2"/>
                  <c:y val="2.0833333333333412E-2"/>
                </c:manualLayout>
              </c:layout>
              <c:tx>
                <c:rich>
                  <a:bodyPr/>
                  <a:lstStyle/>
                  <a:p>
                    <a:r>
                      <a:rPr lang="en-US" sz="800"/>
                      <a:t>Slovenia</a:t>
                    </a:r>
                  </a:p>
                </c:rich>
              </c:tx>
              <c:dLblPos val="ctr"/>
              <c:showLegendKey val="0"/>
              <c:showVal val="1"/>
              <c:showCatName val="0"/>
              <c:showSerName val="0"/>
              <c:showPercent val="0"/>
              <c:showBubbleSize val="0"/>
              <c:extLst>
                <c:ext xmlns:c15="http://schemas.microsoft.com/office/drawing/2012/chart" uri="{CE6537A1-D6FC-4f65-9D91-7224C49458BB}"/>
              </c:extLst>
            </c:dLbl>
            <c:dLbl>
              <c:idx val="28"/>
              <c:layout>
                <c:manualLayout>
                  <c:x val="-3.8216554120642267E-2"/>
                  <c:y val="1.1242270938729627E-2"/>
                </c:manualLayout>
              </c:layout>
              <c:tx>
                <c:rich>
                  <a:bodyPr/>
                  <a:lstStyle/>
                  <a:p>
                    <a:r>
                      <a:rPr lang="en-US" sz="800"/>
                      <a:t>Spain</a:t>
                    </a:r>
                  </a:p>
                </c:rich>
              </c:tx>
              <c:dLblPos val="ctr"/>
              <c:showLegendKey val="0"/>
              <c:showVal val="1"/>
              <c:showCatName val="0"/>
              <c:showSerName val="0"/>
              <c:showPercent val="0"/>
              <c:showBubbleSize val="0"/>
              <c:extLst>
                <c:ext xmlns:c15="http://schemas.microsoft.com/office/drawing/2012/chart" uri="{CE6537A1-D6FC-4f65-9D91-7224C49458BB}"/>
              </c:extLst>
            </c:dLbl>
            <c:dLbl>
              <c:idx val="29"/>
              <c:layout>
                <c:manualLayout>
                  <c:x val="2.5740025740025752E-3"/>
                  <c:y val="3.2738095238095136E-2"/>
                </c:manualLayout>
              </c:layout>
              <c:tx>
                <c:rich>
                  <a:bodyPr/>
                  <a:lstStyle/>
                  <a:p>
                    <a:r>
                      <a:rPr lang="en-US" sz="800"/>
                      <a:t>Sweden</a:t>
                    </a:r>
                  </a:p>
                </c:rich>
              </c:tx>
              <c:dLblPos val="ctr"/>
              <c:showLegendKey val="0"/>
              <c:showVal val="1"/>
              <c:showCatName val="0"/>
              <c:showSerName val="0"/>
              <c:showPercent val="0"/>
              <c:showBubbleSize val="0"/>
              <c:extLst>
                <c:ext xmlns:c15="http://schemas.microsoft.com/office/drawing/2012/chart" uri="{CE6537A1-D6FC-4f65-9D91-7224C49458BB}"/>
              </c:extLst>
            </c:dLbl>
            <c:dLbl>
              <c:idx val="30"/>
              <c:layout>
                <c:manualLayout>
                  <c:x val="8.4925675823650255E-3"/>
                  <c:y val="1.7987633501967401E-2"/>
                </c:manualLayout>
              </c:layout>
              <c:tx>
                <c:rich>
                  <a:bodyPr/>
                  <a:lstStyle/>
                  <a:p>
                    <a:r>
                      <a:rPr lang="en-US" sz="800"/>
                      <a:t>Switzerland</a:t>
                    </a:r>
                  </a:p>
                </c:rich>
              </c:tx>
              <c:dLblPos val="ctr"/>
              <c:showLegendKey val="0"/>
              <c:showVal val="1"/>
              <c:showCatName val="0"/>
              <c:showSerName val="0"/>
              <c:showPercent val="0"/>
              <c:showBubbleSize val="0"/>
              <c:extLst>
                <c:ext xmlns:c15="http://schemas.microsoft.com/office/drawing/2012/chart" uri="{CE6537A1-D6FC-4f65-9D91-7224C49458BB}"/>
              </c:extLst>
            </c:dLbl>
            <c:dLbl>
              <c:idx val="31"/>
              <c:layout>
                <c:manualLayout>
                  <c:x val="-4.246283791182531E-3"/>
                  <c:y val="2.9229904440697001E-2"/>
                </c:manualLayout>
              </c:layout>
              <c:tx>
                <c:rich>
                  <a:bodyPr/>
                  <a:lstStyle/>
                  <a:p>
                    <a:r>
                      <a:rPr lang="en-US" sz="800"/>
                      <a:t>Turkey</a:t>
                    </a:r>
                  </a:p>
                </c:rich>
              </c:tx>
              <c:dLblPos val="ctr"/>
              <c:showLegendKey val="0"/>
              <c:showVal val="1"/>
              <c:showCatName val="0"/>
              <c:showSerName val="0"/>
              <c:showPercent val="0"/>
              <c:showBubbleSize val="0"/>
              <c:extLst>
                <c:ext xmlns:c15="http://schemas.microsoft.com/office/drawing/2012/chart" uri="{CE6537A1-D6FC-4f65-9D91-7224C49458BB}"/>
              </c:extLst>
            </c:dLbl>
            <c:dLbl>
              <c:idx val="32"/>
              <c:layout>
                <c:manualLayout>
                  <c:x val="2.3166023166023172E-2"/>
                  <c:y val="-1.488095238095238E-2"/>
                </c:manualLayout>
              </c:layout>
              <c:tx>
                <c:rich>
                  <a:bodyPr/>
                  <a:lstStyle/>
                  <a:p>
                    <a:r>
                      <a:rPr lang="en-US" sz="800"/>
                      <a:t>UK</a:t>
                    </a:r>
                  </a:p>
                </c:rich>
              </c:tx>
              <c:dLblPos val="ctr"/>
              <c:showLegendKey val="0"/>
              <c:showVal val="1"/>
              <c:showCatName val="0"/>
              <c:showSerName val="0"/>
              <c:showPercent val="0"/>
              <c:showBubbleSize val="0"/>
              <c:extLst>
                <c:ext xmlns:c15="http://schemas.microsoft.com/office/drawing/2012/chart" uri="{CE6537A1-D6FC-4f65-9D91-7224C49458BB}"/>
              </c:extLst>
            </c:dLbl>
            <c:dLbl>
              <c:idx val="33"/>
              <c:layout>
                <c:manualLayout>
                  <c:x val="5.1480051480051478E-3"/>
                  <c:y val="-1.4880952380952441E-2"/>
                </c:manualLayout>
              </c:layout>
              <c:tx>
                <c:rich>
                  <a:bodyPr/>
                  <a:lstStyle/>
                  <a:p>
                    <a:r>
                      <a:rPr lang="en-US"/>
                      <a:t>OECD</a:t>
                    </a:r>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'ŞEKİL3 '!$M$4:$M$37</c:f>
              <c:numCache>
                <c:formatCode>0.00</c:formatCode>
                <c:ptCount val="34"/>
                <c:pt idx="0">
                  <c:v>519.89354277155053</c:v>
                </c:pt>
                <c:pt idx="1">
                  <c:v>502.17157666116026</c:v>
                </c:pt>
                <c:pt idx="2">
                  <c:v>510.53768360757368</c:v>
                </c:pt>
                <c:pt idx="3">
                  <c:v>529.4960838096016</c:v>
                </c:pt>
                <c:pt idx="4">
                  <c:v>430.53970983292021</c:v>
                </c:pt>
                <c:pt idx="5">
                  <c:v>501.81175566123369</c:v>
                </c:pt>
                <c:pt idx="6">
                  <c:v>501.13441351083338</c:v>
                </c:pt>
                <c:pt idx="7">
                  <c:v>515.57234248422208</c:v>
                </c:pt>
                <c:pt idx="8">
                  <c:v>552.84983677759772</c:v>
                </c:pt>
                <c:pt idx="9">
                  <c:v>492.82147302107921</c:v>
                </c:pt>
                <c:pt idx="10">
                  <c:v>504.7948021067221</c:v>
                </c:pt>
                <c:pt idx="11">
                  <c:v>464.09704510071384</c:v>
                </c:pt>
                <c:pt idx="12">
                  <c:v>492.41454289838299</c:v>
                </c:pt>
                <c:pt idx="13">
                  <c:v>493.59462462618973</c:v>
                </c:pt>
                <c:pt idx="14">
                  <c:v>509.03797965816199</c:v>
                </c:pt>
                <c:pt idx="15">
                  <c:v>444.81157036888277</c:v>
                </c:pt>
                <c:pt idx="16">
                  <c:v>468.53634992007795</c:v>
                </c:pt>
                <c:pt idx="17">
                  <c:v>517.48269744179049</c:v>
                </c:pt>
                <c:pt idx="18">
                  <c:v>541.87617660344949</c:v>
                </c:pt>
                <c:pt idx="19">
                  <c:v>485.23091477886385</c:v>
                </c:pt>
                <c:pt idx="20">
                  <c:v>408.60101538943672</c:v>
                </c:pt>
                <c:pt idx="21">
                  <c:v>520.75417427003549</c:v>
                </c:pt>
                <c:pt idx="22">
                  <c:v>524.46861805377296</c:v>
                </c:pt>
                <c:pt idx="23">
                  <c:v>486.88895784435368</c:v>
                </c:pt>
                <c:pt idx="24">
                  <c:v>500.29150862551899</c:v>
                </c:pt>
                <c:pt idx="25">
                  <c:v>470.92372662374402</c:v>
                </c:pt>
                <c:pt idx="26">
                  <c:v>482.29646788543874</c:v>
                </c:pt>
                <c:pt idx="27">
                  <c:v>505.89353658280521</c:v>
                </c:pt>
                <c:pt idx="28">
                  <c:v>476.40404722494702</c:v>
                </c:pt>
                <c:pt idx="29">
                  <c:v>504.33442799363598</c:v>
                </c:pt>
                <c:pt idx="30">
                  <c:v>513.48594667220004</c:v>
                </c:pt>
                <c:pt idx="31">
                  <c:v>431.63835577799153</c:v>
                </c:pt>
                <c:pt idx="32">
                  <c:v>501.76707181816954</c:v>
                </c:pt>
                <c:pt idx="33">
                  <c:v>493.83964665292882</c:v>
                </c:pt>
              </c:numCache>
            </c:numRef>
          </c:xVal>
          <c:yVal>
            <c:numRef>
              <c:f>'ŞEKİL3 '!$N$4:$N$37</c:f>
              <c:numCache>
                <c:formatCode>0.00</c:formatCode>
                <c:ptCount val="34"/>
                <c:pt idx="0">
                  <c:v>-1.2350621123176935</c:v>
                </c:pt>
                <c:pt idx="1">
                  <c:v>-0.31018912675886567</c:v>
                </c:pt>
                <c:pt idx="2">
                  <c:v>-0.1999042626535249</c:v>
                </c:pt>
                <c:pt idx="3">
                  <c:v>-1.2140309290845785</c:v>
                </c:pt>
                <c:pt idx="4">
                  <c:v>0.96362827483676172</c:v>
                </c:pt>
                <c:pt idx="5">
                  <c:v>-0.29380928334837714</c:v>
                </c:pt>
                <c:pt idx="6">
                  <c:v>-0.48730006078044136</c:v>
                </c:pt>
                <c:pt idx="7">
                  <c:v>1.7515241500707674</c:v>
                </c:pt>
                <c:pt idx="8">
                  <c:v>-3.9075314093565172</c:v>
                </c:pt>
                <c:pt idx="9">
                  <c:v>1.165146265939051</c:v>
                </c:pt>
                <c:pt idx="10">
                  <c:v>1.7187765845724239</c:v>
                </c:pt>
                <c:pt idx="11">
                  <c:v>0.25563875352824222</c:v>
                </c:pt>
                <c:pt idx="12">
                  <c:v>-0.96863824997361625</c:v>
                </c:pt>
                <c:pt idx="13">
                  <c:v>-1.5172855842352124</c:v>
                </c:pt>
                <c:pt idx="14">
                  <c:v>1.0867050366527637</c:v>
                </c:pt>
                <c:pt idx="15">
                  <c:v>4.8845885171905277</c:v>
                </c:pt>
                <c:pt idx="16">
                  <c:v>3.500445352339502</c:v>
                </c:pt>
                <c:pt idx="17">
                  <c:v>3.8192172507477866</c:v>
                </c:pt>
                <c:pt idx="18">
                  <c:v>9.5346734710069034E-2</c:v>
                </c:pt>
                <c:pt idx="19">
                  <c:v>0.73192067805952798</c:v>
                </c:pt>
                <c:pt idx="20">
                  <c:v>1.4417961109114461</c:v>
                </c:pt>
                <c:pt idx="21">
                  <c:v>-0.33360986923326336</c:v>
                </c:pt>
                <c:pt idx="22">
                  <c:v>-2.54626885054582</c:v>
                </c:pt>
                <c:pt idx="23">
                  <c:v>1.5092676418482762</c:v>
                </c:pt>
                <c:pt idx="24">
                  <c:v>3.3683276071223918</c:v>
                </c:pt>
                <c:pt idx="25">
                  <c:v>2.8513567042652173</c:v>
                </c:pt>
                <c:pt idx="26">
                  <c:v>-1.7380249785429878</c:v>
                </c:pt>
                <c:pt idx="27">
                  <c:v>-1.171908272202081</c:v>
                </c:pt>
                <c:pt idx="28">
                  <c:v>2.1940089194112367</c:v>
                </c:pt>
                <c:pt idx="29">
                  <c:v>-3.7004820385939152</c:v>
                </c:pt>
                <c:pt idx="30">
                  <c:v>0.8228298394486625</c:v>
                </c:pt>
                <c:pt idx="31">
                  <c:v>5.1096512665811415</c:v>
                </c:pt>
                <c:pt idx="32">
                  <c:v>0.11585842372526005</c:v>
                </c:pt>
                <c:pt idx="33">
                  <c:v>0.5</c:v>
                </c:pt>
              </c:numCache>
            </c:numRef>
          </c:yVal>
          <c:smooth val="0"/>
        </c:ser>
        <c:dLbls>
          <c:showLegendKey val="0"/>
          <c:showVal val="1"/>
          <c:showCatName val="0"/>
          <c:showSerName val="0"/>
          <c:showPercent val="0"/>
          <c:showBubbleSize val="0"/>
        </c:dLbls>
        <c:axId val="155366144"/>
        <c:axId val="155381760"/>
      </c:scatterChart>
      <c:valAx>
        <c:axId val="155366144"/>
        <c:scaling>
          <c:orientation val="minMax"/>
          <c:max val="550"/>
          <c:min val="400"/>
        </c:scaling>
        <c:delete val="0"/>
        <c:axPos val="b"/>
        <c:title>
          <c:tx>
            <c:rich>
              <a:bodyPr/>
              <a:lstStyle/>
              <a:p>
                <a:pPr>
                  <a:defRPr lang="en-US"/>
                </a:pPr>
                <a:r>
                  <a:rPr lang="tr-TR" sz="800" b="0"/>
                  <a:t>2006 Average</a:t>
                </a:r>
                <a:r>
                  <a:rPr lang="tr-TR" sz="800" b="0" baseline="0"/>
                  <a:t> PISA scores</a:t>
                </a:r>
                <a:endParaRPr lang="tr-TR" sz="800" b="0"/>
              </a:p>
            </c:rich>
          </c:tx>
          <c:layout>
            <c:manualLayout>
              <c:xMode val="edge"/>
              <c:yMode val="edge"/>
              <c:x val="0.32549477672907079"/>
              <c:y val="0.96478460740353256"/>
            </c:manualLayout>
          </c:layout>
          <c:overlay val="0"/>
        </c:title>
        <c:numFmt formatCode="0" sourceLinked="0"/>
        <c:majorTickMark val="in"/>
        <c:minorTickMark val="none"/>
        <c:tickLblPos val="low"/>
        <c:txPr>
          <a:bodyPr/>
          <a:lstStyle/>
          <a:p>
            <a:pPr>
              <a:defRPr lang="en-US" sz="800"/>
            </a:pPr>
            <a:endParaRPr lang="tr-TR"/>
          </a:p>
        </c:txPr>
        <c:crossAx val="155381760"/>
        <c:crosses val="autoZero"/>
        <c:crossBetween val="midCat"/>
        <c:majorUnit val="50"/>
      </c:valAx>
      <c:valAx>
        <c:axId val="155381760"/>
        <c:scaling>
          <c:orientation val="minMax"/>
          <c:min val="-4"/>
        </c:scaling>
        <c:delete val="0"/>
        <c:axPos val="l"/>
        <c:title>
          <c:tx>
            <c:rich>
              <a:bodyPr rot="-5400000" vert="horz"/>
              <a:lstStyle/>
              <a:p>
                <a:pPr>
                  <a:defRPr lang="en-US"/>
                </a:pPr>
                <a:r>
                  <a:rPr lang="tr-TR" sz="800" b="0"/>
                  <a:t>Annual changes in PISA scores</a:t>
                </a:r>
              </a:p>
            </c:rich>
          </c:tx>
          <c:overlay val="0"/>
        </c:title>
        <c:numFmt formatCode="0" sourceLinked="0"/>
        <c:majorTickMark val="out"/>
        <c:minorTickMark val="none"/>
        <c:tickLblPos val="nextTo"/>
        <c:txPr>
          <a:bodyPr/>
          <a:lstStyle/>
          <a:p>
            <a:pPr>
              <a:defRPr lang="en-US"/>
            </a:pPr>
            <a:endParaRPr lang="tr-TR"/>
          </a:p>
        </c:txPr>
        <c:crossAx val="155366144"/>
        <c:crosses val="autoZero"/>
        <c:crossBetween val="midCat"/>
      </c:valAx>
      <c:spPr>
        <a:noFill/>
      </c:spPr>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7.9099518810149233E-2"/>
          <c:y val="8.8437591134441565E-2"/>
          <c:w val="0.87645603674540684"/>
          <c:h val="0.78570392242636333"/>
        </c:manualLayout>
      </c:layout>
      <c:barChart>
        <c:barDir val="col"/>
        <c:grouping val="clustered"/>
        <c:varyColors val="0"/>
        <c:ser>
          <c:idx val="0"/>
          <c:order val="0"/>
          <c:tx>
            <c:v>2006</c:v>
          </c:tx>
          <c:invertIfNegative val="0"/>
          <c:dLbls>
            <c:dLbl>
              <c:idx val="1"/>
              <c:layout>
                <c:manualLayout>
                  <c:x val="-3.7037037037037143E-3"/>
                  <c:y val="0.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sz="800"/>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'mean sex '!$N$3:$N$5</c:f>
              <c:strCache>
                <c:ptCount val="3"/>
                <c:pt idx="0">
                  <c:v>Reading</c:v>
                </c:pt>
                <c:pt idx="1">
                  <c:v>Mathematics</c:v>
                </c:pt>
                <c:pt idx="2">
                  <c:v>Science</c:v>
                </c:pt>
              </c:strCache>
            </c:strRef>
          </c:cat>
          <c:val>
            <c:numRef>
              <c:f>'mean sex '!$O$26:$Q$26</c:f>
              <c:numCache>
                <c:formatCode>0</c:formatCode>
                <c:ptCount val="3"/>
                <c:pt idx="0">
                  <c:v>44</c:v>
                </c:pt>
                <c:pt idx="1">
                  <c:v>-6</c:v>
                </c:pt>
                <c:pt idx="2">
                  <c:v>12</c:v>
                </c:pt>
              </c:numCache>
            </c:numRef>
          </c:val>
        </c:ser>
        <c:ser>
          <c:idx val="1"/>
          <c:order val="1"/>
          <c:tx>
            <c:v>2009</c:v>
          </c:tx>
          <c:invertIfNegative val="0"/>
          <c:dLbls>
            <c:dLbl>
              <c:idx val="1"/>
              <c:layout>
                <c:manualLayout>
                  <c:x val="0"/>
                  <c:y val="0.2409638554216869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sz="800"/>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'mean sex '!$N$3:$N$5</c:f>
              <c:strCache>
                <c:ptCount val="3"/>
                <c:pt idx="0">
                  <c:v>Reading</c:v>
                </c:pt>
                <c:pt idx="1">
                  <c:v>Mathematics</c:v>
                </c:pt>
                <c:pt idx="2">
                  <c:v>Science</c:v>
                </c:pt>
              </c:strCache>
            </c:strRef>
          </c:cat>
          <c:val>
            <c:numRef>
              <c:f>'mean sex '!$O$27:$Q$27</c:f>
              <c:numCache>
                <c:formatCode>0</c:formatCode>
                <c:ptCount val="3"/>
                <c:pt idx="0">
                  <c:v>43</c:v>
                </c:pt>
                <c:pt idx="1">
                  <c:v>-11</c:v>
                </c:pt>
                <c:pt idx="2">
                  <c:v>12</c:v>
                </c:pt>
              </c:numCache>
            </c:numRef>
          </c:val>
        </c:ser>
        <c:ser>
          <c:idx val="2"/>
          <c:order val="2"/>
          <c:tx>
            <c:v>2012</c:v>
          </c:tx>
          <c:invertIfNegative val="0"/>
          <c:dLbls>
            <c:dLbl>
              <c:idx val="1"/>
              <c:layout>
                <c:manualLayout>
                  <c:x val="7.4074074074074094E-3"/>
                  <c:y val="0.21818181818181806"/>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sz="800"/>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'mean sex '!$N$3:$N$5</c:f>
              <c:strCache>
                <c:ptCount val="3"/>
                <c:pt idx="0">
                  <c:v>Reading</c:v>
                </c:pt>
                <c:pt idx="1">
                  <c:v>Mathematics</c:v>
                </c:pt>
                <c:pt idx="2">
                  <c:v>Science</c:v>
                </c:pt>
              </c:strCache>
            </c:strRef>
          </c:cat>
          <c:val>
            <c:numRef>
              <c:f>'mean sex '!$O$28:$Q$28</c:f>
              <c:numCache>
                <c:formatCode>0</c:formatCode>
                <c:ptCount val="3"/>
                <c:pt idx="0">
                  <c:v>46</c:v>
                </c:pt>
                <c:pt idx="1">
                  <c:v>-8</c:v>
                </c:pt>
                <c:pt idx="2">
                  <c:v>11</c:v>
                </c:pt>
              </c:numCache>
            </c:numRef>
          </c:val>
        </c:ser>
        <c:dLbls>
          <c:showLegendKey val="0"/>
          <c:showVal val="1"/>
          <c:showCatName val="0"/>
          <c:showSerName val="0"/>
          <c:showPercent val="0"/>
          <c:showBubbleSize val="0"/>
        </c:dLbls>
        <c:gapWidth val="75"/>
        <c:axId val="218213760"/>
        <c:axId val="220939392"/>
      </c:barChart>
      <c:catAx>
        <c:axId val="218213760"/>
        <c:scaling>
          <c:orientation val="minMax"/>
        </c:scaling>
        <c:delete val="0"/>
        <c:axPos val="b"/>
        <c:numFmt formatCode="General" sourceLinked="0"/>
        <c:majorTickMark val="none"/>
        <c:minorTickMark val="none"/>
        <c:tickLblPos val="high"/>
        <c:txPr>
          <a:bodyPr/>
          <a:lstStyle/>
          <a:p>
            <a:pPr>
              <a:defRPr lang="en-US"/>
            </a:pPr>
            <a:endParaRPr lang="tr-TR"/>
          </a:p>
        </c:txPr>
        <c:crossAx val="220939392"/>
        <c:crosses val="autoZero"/>
        <c:auto val="1"/>
        <c:lblAlgn val="ctr"/>
        <c:lblOffset val="100"/>
        <c:noMultiLvlLbl val="0"/>
      </c:catAx>
      <c:valAx>
        <c:axId val="220939392"/>
        <c:scaling>
          <c:orientation val="minMax"/>
        </c:scaling>
        <c:delete val="1"/>
        <c:axPos val="l"/>
        <c:title>
          <c:tx>
            <c:rich>
              <a:bodyPr rot="-5400000" vert="horz"/>
              <a:lstStyle/>
              <a:p>
                <a:pPr>
                  <a:defRPr lang="en-US"/>
                </a:pPr>
                <a:r>
                  <a:rPr lang="tr-TR" sz="800" b="0"/>
                  <a:t>PISA scores</a:t>
                </a:r>
              </a:p>
            </c:rich>
          </c:tx>
          <c:overlay val="0"/>
        </c:title>
        <c:numFmt formatCode="0" sourceLinked="1"/>
        <c:majorTickMark val="none"/>
        <c:minorTickMark val="none"/>
        <c:tickLblPos val="nextTo"/>
        <c:crossAx val="218213760"/>
        <c:crosses val="autoZero"/>
        <c:crossBetween val="between"/>
      </c:valAx>
    </c:plotArea>
    <c:legend>
      <c:legendPos val="b"/>
      <c:layout>
        <c:manualLayout>
          <c:xMode val="edge"/>
          <c:yMode val="edge"/>
          <c:x val="0.28786643336249795"/>
          <c:y val="0.89040658554044161"/>
          <c:w val="0.41685972586760139"/>
          <c:h val="0.10959341445955643"/>
        </c:manualLayout>
      </c:layout>
      <c:overlay val="0"/>
      <c:txPr>
        <a:bodyPr/>
        <a:lstStyle/>
        <a:p>
          <a:pPr>
            <a:defRPr lang="en-US" sz="800" b="1"/>
          </a:pPr>
          <a:endParaRPr lang="tr-TR"/>
        </a:p>
      </c:txPr>
    </c:legend>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col"/>
        <c:grouping val="clustered"/>
        <c:varyColors val="0"/>
        <c:ser>
          <c:idx val="0"/>
          <c:order val="0"/>
          <c:tx>
            <c:v>2006-TR</c:v>
          </c:tx>
          <c:spPr>
            <a:solidFill>
              <a:schemeClr val="accent6">
                <a:lumMod val="50000"/>
              </a:schemeClr>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invertIfNegative val="0"/>
          <c:dLbls>
            <c:dLbl>
              <c:idx val="1"/>
              <c:tx>
                <c:rich>
                  <a:bodyPr/>
                  <a:lstStyle/>
                  <a:p>
                    <a:r>
                      <a:rPr lang="en-US" sz="800"/>
                      <a:t>54</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sz="800"/>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distribution!$I$35:$I$37</c:f>
              <c:strCache>
                <c:ptCount val="3"/>
                <c:pt idx="0">
                  <c:v>Below level 2 </c:v>
                </c:pt>
                <c:pt idx="1">
                  <c:v>Level 2-5 </c:v>
                </c:pt>
                <c:pt idx="2">
                  <c:v>Level 5 or above </c:v>
                </c:pt>
              </c:strCache>
            </c:strRef>
          </c:cat>
          <c:val>
            <c:numRef>
              <c:f>distribution!$B$17:$D$17</c:f>
              <c:numCache>
                <c:formatCode>0.0</c:formatCode>
                <c:ptCount val="3"/>
                <c:pt idx="0">
                  <c:v>43.631239217658731</c:v>
                </c:pt>
                <c:pt idx="1">
                  <c:v>53.974649294126444</c:v>
                </c:pt>
                <c:pt idx="2">
                  <c:v>2.3941114882147674</c:v>
                </c:pt>
              </c:numCache>
            </c:numRef>
          </c:val>
        </c:ser>
        <c:ser>
          <c:idx val="2"/>
          <c:order val="1"/>
          <c:tx>
            <c:v>2012-TR</c:v>
          </c:tx>
          <c:invertIfNegative val="0"/>
          <c:dLbls>
            <c:dLbl>
              <c:idx val="0"/>
              <c:tx>
                <c:rich>
                  <a:bodyPr/>
                  <a:lstStyle/>
                  <a:p>
                    <a:r>
                      <a:rPr lang="en-US" sz="800"/>
                      <a:t>30</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66</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4</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sz="800"/>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distribution!$I$35:$I$37</c:f>
              <c:strCache>
                <c:ptCount val="3"/>
                <c:pt idx="0">
                  <c:v>Below level 2 </c:v>
                </c:pt>
                <c:pt idx="1">
                  <c:v>Level 2-5 </c:v>
                </c:pt>
                <c:pt idx="2">
                  <c:v>Level 5 or above </c:v>
                </c:pt>
              </c:strCache>
            </c:strRef>
          </c:cat>
          <c:val>
            <c:numRef>
              <c:f>distribution!$B$7:$D$7</c:f>
              <c:numCache>
                <c:formatCode>0.0</c:formatCode>
                <c:ptCount val="3"/>
                <c:pt idx="0">
                  <c:v>29.989582027768819</c:v>
                </c:pt>
                <c:pt idx="1">
                  <c:v>66.004128244935927</c:v>
                </c:pt>
                <c:pt idx="2">
                  <c:v>4.0062897272952798</c:v>
                </c:pt>
              </c:numCache>
            </c:numRef>
          </c:val>
        </c:ser>
        <c:ser>
          <c:idx val="1"/>
          <c:order val="2"/>
          <c:tx>
            <c:v>2006 OECD AVG. </c:v>
          </c:tx>
          <c:spPr>
            <a:solidFill>
              <a:srgbClr val="002060"/>
            </a:solidFill>
          </c:spPr>
          <c:invertIfNegative val="0"/>
          <c:dLbls>
            <c:dLbl>
              <c:idx val="1"/>
              <c:tx>
                <c:rich>
                  <a:bodyPr/>
                  <a:lstStyle/>
                  <a:p>
                    <a:r>
                      <a:rPr lang="en-US"/>
                      <a:t>69</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sz="800"/>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distribution!$I$35:$I$37</c:f>
              <c:strCache>
                <c:ptCount val="3"/>
                <c:pt idx="0">
                  <c:v>Below level 2 </c:v>
                </c:pt>
                <c:pt idx="1">
                  <c:v>Level 2-5 </c:v>
                </c:pt>
                <c:pt idx="2">
                  <c:v>Level 5 or above </c:v>
                </c:pt>
              </c:strCache>
            </c:strRef>
          </c:cat>
          <c:val>
            <c:numRef>
              <c:f>distribution!$E$17:$G$17</c:f>
              <c:numCache>
                <c:formatCode>0.0</c:formatCode>
                <c:ptCount val="3"/>
                <c:pt idx="0">
                  <c:v>21.066666666666666</c:v>
                </c:pt>
                <c:pt idx="1">
                  <c:v>69</c:v>
                </c:pt>
                <c:pt idx="2">
                  <c:v>9.9333333333333353</c:v>
                </c:pt>
              </c:numCache>
            </c:numRef>
          </c:val>
        </c:ser>
        <c:ser>
          <c:idx val="3"/>
          <c:order val="3"/>
          <c:tx>
            <c:v>2012-OECD AVG</c:v>
          </c:tx>
          <c:spPr>
            <a:solidFill>
              <a:schemeClr val="tx2">
                <a:lumMod val="60000"/>
                <a:lumOff val="40000"/>
              </a:schemeClr>
            </a:solidFill>
          </c:spPr>
          <c:invertIfNegative val="0"/>
          <c:dLbls>
            <c:spPr>
              <a:noFill/>
              <a:ln>
                <a:noFill/>
              </a:ln>
              <a:effectLst/>
            </c:spPr>
            <c:txPr>
              <a:bodyPr/>
              <a:lstStyle/>
              <a:p>
                <a:pPr>
                  <a:defRPr lang="en-US" sz="800"/>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distribution!$I$35:$I$37</c:f>
              <c:strCache>
                <c:ptCount val="3"/>
                <c:pt idx="0">
                  <c:v>Below level 2 </c:v>
                </c:pt>
                <c:pt idx="1">
                  <c:v>Level 2-5 </c:v>
                </c:pt>
                <c:pt idx="2">
                  <c:v>Level 5 or above </c:v>
                </c:pt>
              </c:strCache>
            </c:strRef>
          </c:cat>
          <c:val>
            <c:numRef>
              <c:f>distribution!$E$7:$G$7</c:f>
              <c:numCache>
                <c:formatCode>0.0</c:formatCode>
                <c:ptCount val="3"/>
                <c:pt idx="0">
                  <c:v>19.574156199734031</c:v>
                </c:pt>
                <c:pt idx="1">
                  <c:v>70.607017130763367</c:v>
                </c:pt>
                <c:pt idx="2">
                  <c:v>9.8188266695023145</c:v>
                </c:pt>
              </c:numCache>
            </c:numRef>
          </c:val>
        </c:ser>
        <c:dLbls>
          <c:showLegendKey val="0"/>
          <c:showVal val="1"/>
          <c:showCatName val="0"/>
          <c:showSerName val="0"/>
          <c:showPercent val="0"/>
          <c:showBubbleSize val="0"/>
        </c:dLbls>
        <c:gapWidth val="75"/>
        <c:axId val="227690368"/>
        <c:axId val="227691904"/>
      </c:barChart>
      <c:catAx>
        <c:axId val="227690368"/>
        <c:scaling>
          <c:orientation val="minMax"/>
        </c:scaling>
        <c:delete val="0"/>
        <c:axPos val="b"/>
        <c:numFmt formatCode="General" sourceLinked="0"/>
        <c:majorTickMark val="none"/>
        <c:minorTickMark val="none"/>
        <c:tickLblPos val="nextTo"/>
        <c:txPr>
          <a:bodyPr/>
          <a:lstStyle/>
          <a:p>
            <a:pPr>
              <a:defRPr lang="en-US" sz="800"/>
            </a:pPr>
            <a:endParaRPr lang="tr-TR"/>
          </a:p>
        </c:txPr>
        <c:crossAx val="227691904"/>
        <c:crosses val="autoZero"/>
        <c:auto val="1"/>
        <c:lblAlgn val="ctr"/>
        <c:lblOffset val="100"/>
        <c:noMultiLvlLbl val="0"/>
      </c:catAx>
      <c:valAx>
        <c:axId val="227691904"/>
        <c:scaling>
          <c:orientation val="minMax"/>
        </c:scaling>
        <c:delete val="1"/>
        <c:axPos val="l"/>
        <c:title>
          <c:tx>
            <c:rich>
              <a:bodyPr rot="-5400000" vert="horz"/>
              <a:lstStyle/>
              <a:p>
                <a:pPr>
                  <a:defRPr lang="en-US"/>
                </a:pPr>
                <a:r>
                  <a:rPr lang="tr-TR" sz="800" b="0"/>
                  <a:t>Percentage</a:t>
                </a:r>
                <a:r>
                  <a:rPr lang="tr-TR" sz="800"/>
                  <a:t>s</a:t>
                </a:r>
              </a:p>
            </c:rich>
          </c:tx>
          <c:layout>
            <c:manualLayout>
              <c:xMode val="edge"/>
              <c:yMode val="edge"/>
              <c:x val="3.4542314335060449E-2"/>
              <c:y val="0.25242923147003321"/>
            </c:manualLayout>
          </c:layout>
          <c:overlay val="0"/>
        </c:title>
        <c:numFmt formatCode="0.0" sourceLinked="1"/>
        <c:majorTickMark val="none"/>
        <c:minorTickMark val="none"/>
        <c:tickLblPos val="nextTo"/>
        <c:crossAx val="227690368"/>
        <c:crosses val="autoZero"/>
        <c:crossBetween val="between"/>
      </c:valAx>
    </c:plotArea>
    <c:legend>
      <c:legendPos val="b"/>
      <c:overlay val="0"/>
      <c:txPr>
        <a:bodyPr/>
        <a:lstStyle/>
        <a:p>
          <a:pPr>
            <a:defRPr lang="en-US" sz="800" b="1"/>
          </a:pPr>
          <a:endParaRPr lang="tr-TR"/>
        </a:p>
      </c:txPr>
    </c:legend>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v>2003</c:v>
          </c:tx>
          <c:invertIfNegative val="0"/>
          <c:dLbls>
            <c:spPr>
              <a:noFill/>
              <a:ln>
                <a:noFill/>
              </a:ln>
              <a:effectLst/>
            </c:spPr>
            <c:txPr>
              <a:bodyPr wrap="square" lIns="38100" tIns="19050" rIns="38100" bIns="19050" anchor="ctr">
                <a:spAutoFit/>
              </a:bodyPr>
              <a:lstStyle/>
              <a:p>
                <a:pPr>
                  <a:defRPr lang="en-US" sz="800"/>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'şekil 6'!$C$2:$C$6</c:f>
              <c:numCache>
                <c:formatCode>General</c:formatCode>
                <c:ptCount val="5"/>
                <c:pt idx="0">
                  <c:v>387</c:v>
                </c:pt>
                <c:pt idx="1">
                  <c:v>405</c:v>
                </c:pt>
                <c:pt idx="2">
                  <c:v>420</c:v>
                </c:pt>
                <c:pt idx="3">
                  <c:v>443</c:v>
                </c:pt>
                <c:pt idx="4">
                  <c:v>511</c:v>
                </c:pt>
              </c:numCache>
            </c:numRef>
          </c:val>
        </c:ser>
        <c:ser>
          <c:idx val="1"/>
          <c:order val="1"/>
          <c:tx>
            <c:v>2009</c:v>
          </c:tx>
          <c:invertIfNegative val="0"/>
          <c:dLbls>
            <c:spPr>
              <a:noFill/>
              <a:ln>
                <a:noFill/>
              </a:ln>
              <a:effectLst/>
            </c:spPr>
            <c:txPr>
              <a:bodyPr wrap="square" lIns="38100" tIns="19050" rIns="38100" bIns="19050" anchor="ctr">
                <a:spAutoFit/>
              </a:bodyPr>
              <a:lstStyle/>
              <a:p>
                <a:pPr>
                  <a:defRPr lang="en-US" sz="800"/>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'şekil 6'!$C$7:$C$11</c:f>
              <c:numCache>
                <c:formatCode>General</c:formatCode>
                <c:ptCount val="5"/>
                <c:pt idx="0">
                  <c:v>408</c:v>
                </c:pt>
                <c:pt idx="1">
                  <c:v>435</c:v>
                </c:pt>
                <c:pt idx="2">
                  <c:v>451</c:v>
                </c:pt>
                <c:pt idx="3">
                  <c:v>467</c:v>
                </c:pt>
                <c:pt idx="4">
                  <c:v>514</c:v>
                </c:pt>
              </c:numCache>
            </c:numRef>
          </c:val>
        </c:ser>
        <c:ser>
          <c:idx val="2"/>
          <c:order val="2"/>
          <c:tx>
            <c:v>2012</c:v>
          </c:tx>
          <c:invertIfNegative val="0"/>
          <c:dLbls>
            <c:spPr>
              <a:noFill/>
              <a:ln>
                <a:noFill/>
              </a:ln>
              <a:effectLst/>
            </c:spPr>
            <c:txPr>
              <a:bodyPr wrap="square" lIns="38100" tIns="19050" rIns="38100" bIns="19050" anchor="ctr">
                <a:spAutoFit/>
              </a:bodyPr>
              <a:lstStyle/>
              <a:p>
                <a:pPr>
                  <a:defRPr lang="en-US" sz="800"/>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'şekil 6'!$C$12:$C$16</c:f>
              <c:numCache>
                <c:formatCode>General</c:formatCode>
                <c:ptCount val="5"/>
                <c:pt idx="0">
                  <c:v>443</c:v>
                </c:pt>
                <c:pt idx="1">
                  <c:v>463</c:v>
                </c:pt>
                <c:pt idx="2">
                  <c:v>488</c:v>
                </c:pt>
                <c:pt idx="3">
                  <c:v>503</c:v>
                </c:pt>
                <c:pt idx="4">
                  <c:v>536</c:v>
                </c:pt>
              </c:numCache>
            </c:numRef>
          </c:val>
        </c:ser>
        <c:dLbls>
          <c:showLegendKey val="0"/>
          <c:showVal val="1"/>
          <c:showCatName val="0"/>
          <c:showSerName val="0"/>
          <c:showPercent val="0"/>
          <c:showBubbleSize val="0"/>
        </c:dLbls>
        <c:gapWidth val="75"/>
        <c:axId val="227720576"/>
        <c:axId val="151717376"/>
      </c:barChart>
      <c:catAx>
        <c:axId val="227720576"/>
        <c:scaling>
          <c:orientation val="minMax"/>
        </c:scaling>
        <c:delete val="0"/>
        <c:axPos val="b"/>
        <c:title>
          <c:tx>
            <c:rich>
              <a:bodyPr/>
              <a:lstStyle/>
              <a:p>
                <a:pPr>
                  <a:defRPr lang="en-US" sz="800" b="0"/>
                </a:pPr>
                <a:r>
                  <a:rPr lang="tr-TR" sz="800" b="0"/>
                  <a:t>Socioeconomic Index Quintiles</a:t>
                </a:r>
              </a:p>
            </c:rich>
          </c:tx>
          <c:overlay val="0"/>
        </c:title>
        <c:majorTickMark val="none"/>
        <c:minorTickMark val="none"/>
        <c:tickLblPos val="nextTo"/>
        <c:txPr>
          <a:bodyPr/>
          <a:lstStyle/>
          <a:p>
            <a:pPr>
              <a:defRPr lang="en-US"/>
            </a:pPr>
            <a:endParaRPr lang="tr-TR"/>
          </a:p>
        </c:txPr>
        <c:crossAx val="151717376"/>
        <c:crosses val="autoZero"/>
        <c:auto val="1"/>
        <c:lblAlgn val="ctr"/>
        <c:lblOffset val="100"/>
        <c:noMultiLvlLbl val="0"/>
      </c:catAx>
      <c:valAx>
        <c:axId val="151717376"/>
        <c:scaling>
          <c:orientation val="minMax"/>
          <c:min val="300"/>
        </c:scaling>
        <c:delete val="1"/>
        <c:axPos val="l"/>
        <c:title>
          <c:tx>
            <c:rich>
              <a:bodyPr rot="-5400000" vert="horz"/>
              <a:lstStyle/>
              <a:p>
                <a:pPr>
                  <a:defRPr lang="en-US" sz="800" b="0"/>
                </a:pPr>
                <a:r>
                  <a:rPr lang="tr-TR" sz="800" b="0"/>
                  <a:t>Average</a:t>
                </a:r>
                <a:r>
                  <a:rPr lang="tr-TR" sz="800" b="0" baseline="0"/>
                  <a:t> PISA scores</a:t>
                </a:r>
                <a:endParaRPr lang="tr-TR" sz="800" b="0"/>
              </a:p>
            </c:rich>
          </c:tx>
          <c:overlay val="0"/>
        </c:title>
        <c:numFmt formatCode="General" sourceLinked="1"/>
        <c:majorTickMark val="none"/>
        <c:minorTickMark val="none"/>
        <c:tickLblPos val="nextTo"/>
        <c:crossAx val="227720576"/>
        <c:crosses val="autoZero"/>
        <c:crossBetween val="between"/>
        <c:majorUnit val="100"/>
      </c:valAx>
    </c:plotArea>
    <c:legend>
      <c:legendPos val="b"/>
      <c:overlay val="0"/>
      <c:txPr>
        <a:bodyPr/>
        <a:lstStyle/>
        <a:p>
          <a:pPr>
            <a:defRPr lang="en-US"/>
          </a:pPr>
          <a:endParaRPr lang="tr-TR"/>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txPr>
              <a:bodyPr/>
              <a:lstStyle/>
              <a:p>
                <a:pPr>
                  <a:defRPr lang="en-US" sz="800"/>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'[PISA-studyfile.xlsx]Location'!$J$3:$J$7</c:f>
              <c:strCache>
                <c:ptCount val="5"/>
                <c:pt idx="0">
                  <c:v>Village</c:v>
                </c:pt>
                <c:pt idx="1">
                  <c:v>Small Town</c:v>
                </c:pt>
                <c:pt idx="2">
                  <c:v>Town</c:v>
                </c:pt>
                <c:pt idx="3">
                  <c:v>City</c:v>
                </c:pt>
                <c:pt idx="4">
                  <c:v>Large City</c:v>
                </c:pt>
              </c:strCache>
            </c:strRef>
          </c:cat>
          <c:val>
            <c:numRef>
              <c:f>'[PISA-studyfile.xlsx]Location'!$H$54:$H$58</c:f>
              <c:numCache>
                <c:formatCode>0.00</c:formatCode>
                <c:ptCount val="5"/>
                <c:pt idx="0">
                  <c:v>3.8243333333333331</c:v>
                </c:pt>
                <c:pt idx="1">
                  <c:v>2.9393000000000038</c:v>
                </c:pt>
                <c:pt idx="2">
                  <c:v>3.2759999999999887</c:v>
                </c:pt>
                <c:pt idx="3">
                  <c:v>-5.962666666666661</c:v>
                </c:pt>
                <c:pt idx="4">
                  <c:v>3.8603333333333274</c:v>
                </c:pt>
              </c:numCache>
            </c:numRef>
          </c:val>
        </c:ser>
        <c:dLbls>
          <c:showLegendKey val="0"/>
          <c:showVal val="1"/>
          <c:showCatName val="0"/>
          <c:showSerName val="0"/>
          <c:showPercent val="0"/>
          <c:showBubbleSize val="0"/>
        </c:dLbls>
        <c:gapWidth val="150"/>
        <c:axId val="151725568"/>
        <c:axId val="151744896"/>
      </c:barChart>
      <c:catAx>
        <c:axId val="151725568"/>
        <c:scaling>
          <c:orientation val="minMax"/>
        </c:scaling>
        <c:delete val="0"/>
        <c:axPos val="b"/>
        <c:numFmt formatCode="General" sourceLinked="0"/>
        <c:majorTickMark val="out"/>
        <c:minorTickMark val="none"/>
        <c:tickLblPos val="nextTo"/>
        <c:txPr>
          <a:bodyPr/>
          <a:lstStyle/>
          <a:p>
            <a:pPr>
              <a:defRPr lang="en-US" sz="800"/>
            </a:pPr>
            <a:endParaRPr lang="tr-TR"/>
          </a:p>
        </c:txPr>
        <c:crossAx val="151744896"/>
        <c:crosses val="autoZero"/>
        <c:auto val="1"/>
        <c:lblAlgn val="ctr"/>
        <c:lblOffset val="100"/>
        <c:noMultiLvlLbl val="0"/>
      </c:catAx>
      <c:valAx>
        <c:axId val="151744896"/>
        <c:scaling>
          <c:orientation val="minMax"/>
          <c:max val="4"/>
          <c:min val="-6"/>
        </c:scaling>
        <c:delete val="0"/>
        <c:axPos val="l"/>
        <c:numFmt formatCode="0.00" sourceLinked="1"/>
        <c:majorTickMark val="out"/>
        <c:minorTickMark val="none"/>
        <c:tickLblPos val="nextTo"/>
        <c:txPr>
          <a:bodyPr/>
          <a:lstStyle/>
          <a:p>
            <a:pPr>
              <a:defRPr lang="en-US" sz="800"/>
            </a:pPr>
            <a:endParaRPr lang="tr-TR"/>
          </a:p>
        </c:txPr>
        <c:crossAx val="151725568"/>
        <c:crosses val="autoZero"/>
        <c:crossBetween val="between"/>
        <c:majorUnit val="2"/>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v>2009</c:v>
          </c:tx>
          <c:invertIfNegative val="0"/>
          <c:dLbls>
            <c:spPr>
              <a:noFill/>
              <a:ln>
                <a:noFill/>
              </a:ln>
              <a:effectLst/>
            </c:spPr>
            <c:txPr>
              <a:bodyPr/>
              <a:lstStyle/>
              <a:p>
                <a:pPr>
                  <a:defRPr lang="en-US" sz="800"/>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Location!$J$3:$J$7</c:f>
              <c:strCache>
                <c:ptCount val="5"/>
                <c:pt idx="0">
                  <c:v>Village</c:v>
                </c:pt>
                <c:pt idx="1">
                  <c:v>Small Town</c:v>
                </c:pt>
                <c:pt idx="2">
                  <c:v>Town</c:v>
                </c:pt>
                <c:pt idx="3">
                  <c:v>City</c:v>
                </c:pt>
                <c:pt idx="4">
                  <c:v>Large City</c:v>
                </c:pt>
              </c:strCache>
            </c:strRef>
          </c:cat>
          <c:val>
            <c:numRef>
              <c:f>Location!$C$54:$C$58</c:f>
              <c:numCache>
                <c:formatCode>0</c:formatCode>
                <c:ptCount val="5"/>
                <c:pt idx="0">
                  <c:v>352.66666666666708</c:v>
                </c:pt>
                <c:pt idx="1">
                  <c:v>434.33333333333331</c:v>
                </c:pt>
                <c:pt idx="2">
                  <c:v>459.66666666666708</c:v>
                </c:pt>
                <c:pt idx="3">
                  <c:v>470</c:v>
                </c:pt>
                <c:pt idx="4">
                  <c:v>452</c:v>
                </c:pt>
              </c:numCache>
            </c:numRef>
          </c:val>
        </c:ser>
        <c:ser>
          <c:idx val="1"/>
          <c:order val="1"/>
          <c:tx>
            <c:v>2012</c:v>
          </c:tx>
          <c:invertIfNegative val="0"/>
          <c:dLbls>
            <c:spPr>
              <a:noFill/>
              <a:ln>
                <a:noFill/>
              </a:ln>
              <a:effectLst/>
            </c:spPr>
            <c:txPr>
              <a:bodyPr/>
              <a:lstStyle/>
              <a:p>
                <a:pPr>
                  <a:defRPr lang="en-US" sz="800"/>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Location!$J$3:$J$7</c:f>
              <c:strCache>
                <c:ptCount val="5"/>
                <c:pt idx="0">
                  <c:v>Village</c:v>
                </c:pt>
                <c:pt idx="1">
                  <c:v>Small Town</c:v>
                </c:pt>
                <c:pt idx="2">
                  <c:v>Town</c:v>
                </c:pt>
                <c:pt idx="3">
                  <c:v>City</c:v>
                </c:pt>
                <c:pt idx="4">
                  <c:v>Large City</c:v>
                </c:pt>
              </c:strCache>
            </c:strRef>
          </c:cat>
          <c:val>
            <c:numRef>
              <c:f>Location!$D$54:$D$58</c:f>
              <c:numCache>
                <c:formatCode>0</c:formatCode>
                <c:ptCount val="5"/>
                <c:pt idx="0">
                  <c:v>481</c:v>
                </c:pt>
                <c:pt idx="1">
                  <c:v>464.66666666666708</c:v>
                </c:pt>
                <c:pt idx="2">
                  <c:v>471.33333333333331</c:v>
                </c:pt>
                <c:pt idx="3">
                  <c:v>448.66666666666708</c:v>
                </c:pt>
                <c:pt idx="4">
                  <c:v>464.33333333333331</c:v>
                </c:pt>
              </c:numCache>
            </c:numRef>
          </c:val>
        </c:ser>
        <c:dLbls>
          <c:showLegendKey val="0"/>
          <c:showVal val="1"/>
          <c:showCatName val="0"/>
          <c:showSerName val="0"/>
          <c:showPercent val="0"/>
          <c:showBubbleSize val="0"/>
        </c:dLbls>
        <c:gapWidth val="75"/>
        <c:axId val="151762048"/>
        <c:axId val="151763584"/>
      </c:barChart>
      <c:catAx>
        <c:axId val="151762048"/>
        <c:scaling>
          <c:orientation val="minMax"/>
        </c:scaling>
        <c:delete val="0"/>
        <c:axPos val="b"/>
        <c:numFmt formatCode="General" sourceLinked="0"/>
        <c:majorTickMark val="none"/>
        <c:minorTickMark val="none"/>
        <c:tickLblPos val="nextTo"/>
        <c:txPr>
          <a:bodyPr/>
          <a:lstStyle/>
          <a:p>
            <a:pPr>
              <a:defRPr lang="en-US" sz="800"/>
            </a:pPr>
            <a:endParaRPr lang="tr-TR"/>
          </a:p>
        </c:txPr>
        <c:crossAx val="151763584"/>
        <c:crosses val="autoZero"/>
        <c:auto val="1"/>
        <c:lblAlgn val="ctr"/>
        <c:lblOffset val="100"/>
        <c:noMultiLvlLbl val="0"/>
      </c:catAx>
      <c:valAx>
        <c:axId val="151763584"/>
        <c:scaling>
          <c:orientation val="minMax"/>
          <c:min val="300"/>
        </c:scaling>
        <c:delete val="0"/>
        <c:axPos val="l"/>
        <c:numFmt formatCode="0" sourceLinked="1"/>
        <c:majorTickMark val="none"/>
        <c:minorTickMark val="none"/>
        <c:tickLblPos val="nextTo"/>
        <c:txPr>
          <a:bodyPr/>
          <a:lstStyle/>
          <a:p>
            <a:pPr>
              <a:defRPr lang="en-US" sz="800"/>
            </a:pPr>
            <a:endParaRPr lang="tr-TR"/>
          </a:p>
        </c:txPr>
        <c:crossAx val="151762048"/>
        <c:crosses val="autoZero"/>
        <c:crossBetween val="between"/>
        <c:majorUnit val="100"/>
      </c:valAx>
    </c:plotArea>
    <c:legend>
      <c:legendPos val="b"/>
      <c:overlay val="0"/>
      <c:txPr>
        <a:bodyPr/>
        <a:lstStyle/>
        <a:p>
          <a:pPr>
            <a:defRPr lang="en-US" sz="800" b="1"/>
          </a:pPr>
          <a:endParaRPr lang="tr-TR"/>
        </a:p>
      </c:txPr>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0.10694</cdr:x>
      <cdr:y>0.43027</cdr:y>
    </cdr:from>
    <cdr:to>
      <cdr:x>0.14259</cdr:x>
      <cdr:y>0.49852</cdr:y>
    </cdr:to>
    <cdr:sp macro="" textlink="">
      <cdr:nvSpPr>
        <cdr:cNvPr id="2" name="TextBox 1"/>
        <cdr:cNvSpPr txBox="1"/>
      </cdr:nvSpPr>
      <cdr:spPr>
        <a:xfrm xmlns:a="http://schemas.openxmlformats.org/drawingml/2006/main">
          <a:off x="542926" y="1381126"/>
          <a:ext cx="180975" cy="2190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tr-TR" sz="1100"/>
        </a:p>
      </cdr:txBody>
    </cdr:sp>
  </cdr:relSizeAnchor>
</c:userShapes>
</file>

<file path=word/drawings/drawing2.xml><?xml version="1.0" encoding="utf-8"?>
<c:userShapes xmlns:c="http://schemas.openxmlformats.org/drawingml/2006/chart">
  <cdr:relSizeAnchor xmlns:cdr="http://schemas.openxmlformats.org/drawingml/2006/chartDrawing">
    <cdr:from>
      <cdr:x>0.13124</cdr:x>
      <cdr:y>0.2659</cdr:y>
    </cdr:from>
    <cdr:to>
      <cdr:x>0.30869</cdr:x>
      <cdr:y>0.54335</cdr:y>
    </cdr:to>
    <cdr:sp macro="" textlink="">
      <cdr:nvSpPr>
        <cdr:cNvPr id="2" name="TextBox 1"/>
        <cdr:cNvSpPr txBox="1"/>
      </cdr:nvSpPr>
      <cdr:spPr>
        <a:xfrm xmlns:a="http://schemas.openxmlformats.org/drawingml/2006/main">
          <a:off x="676276" y="87630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tr-TR" sz="1100"/>
        </a:p>
      </cdr:txBody>
    </cdr:sp>
  </cdr:relSizeAnchor>
  <cdr:relSizeAnchor xmlns:cdr="http://schemas.openxmlformats.org/drawingml/2006/chartDrawing">
    <cdr:from>
      <cdr:x>0.11091</cdr:x>
      <cdr:y>0.21098</cdr:y>
    </cdr:from>
    <cdr:to>
      <cdr:x>0.17375</cdr:x>
      <cdr:y>0.2948</cdr:y>
    </cdr:to>
    <cdr:sp macro="" textlink="">
      <cdr:nvSpPr>
        <cdr:cNvPr id="3" name="TextBox 2"/>
        <cdr:cNvSpPr txBox="1"/>
      </cdr:nvSpPr>
      <cdr:spPr>
        <a:xfrm xmlns:a="http://schemas.openxmlformats.org/drawingml/2006/main">
          <a:off x="571501" y="695325"/>
          <a:ext cx="323850" cy="2762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tr-TR" sz="1100"/>
        </a:p>
      </cdr:txBody>
    </cdr:sp>
  </cdr:relSizeAnchor>
  <cdr:relSizeAnchor xmlns:cdr="http://schemas.openxmlformats.org/drawingml/2006/chartDrawing">
    <cdr:from>
      <cdr:x>0.13309</cdr:x>
      <cdr:y>0.18497</cdr:y>
    </cdr:from>
    <cdr:to>
      <cdr:x>0.20518</cdr:x>
      <cdr:y>0.2948</cdr:y>
    </cdr:to>
    <cdr:sp macro="" textlink="">
      <cdr:nvSpPr>
        <cdr:cNvPr id="5" name="TextBox 4"/>
        <cdr:cNvSpPr txBox="1"/>
      </cdr:nvSpPr>
      <cdr:spPr>
        <a:xfrm xmlns:a="http://schemas.openxmlformats.org/drawingml/2006/main">
          <a:off x="685801" y="609600"/>
          <a:ext cx="371475" cy="3619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tr-TR"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DCD69-7C74-4904-BB87-F1485243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mine.durmaz</dc:creator>
  <cp:lastModifiedBy>merve.akgul</cp:lastModifiedBy>
  <cp:revision>4</cp:revision>
  <cp:lastPrinted>2014-01-30T08:14:00Z</cp:lastPrinted>
  <dcterms:created xsi:type="dcterms:W3CDTF">2014-01-30T08:06:00Z</dcterms:created>
  <dcterms:modified xsi:type="dcterms:W3CDTF">2014-01-30T08:15:00Z</dcterms:modified>
</cp:coreProperties>
</file>