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66D6B" w:rsidRPr="00E609E7" w:rsidRDefault="00E01B7C" w:rsidP="003373DA">
      <w:pPr>
        <w:rPr>
          <w:rFonts w:ascii="Calibri" w:hAnsi="Calibri" w:cs="Calibri"/>
          <w:sz w:val="20"/>
          <w:szCs w:val="20"/>
          <w:lang w:val="en-US"/>
        </w:rPr>
      </w:pPr>
      <w:r w:rsidRPr="00E609E7">
        <w:rPr>
          <w:noProof/>
          <w:lang w:val="en-US" w:eastAsia="en-US" w:bidi="ar-SA"/>
        </w:rPr>
        <w:drawing>
          <wp:anchor distT="0" distB="0" distL="114300" distR="114300" simplePos="0" relativeHeight="251658752" behindDoc="1" locked="0" layoutInCell="1" allowOverlap="1">
            <wp:simplePos x="0" y="0"/>
            <wp:positionH relativeFrom="column">
              <wp:posOffset>-742950</wp:posOffset>
            </wp:positionH>
            <wp:positionV relativeFrom="paragraph">
              <wp:posOffset>-737870</wp:posOffset>
            </wp:positionV>
            <wp:extent cx="7315200" cy="1330325"/>
            <wp:effectExtent l="19050" t="0" r="0" b="0"/>
            <wp:wrapNone/>
            <wp:docPr id="2" name="Picture 1" descr=":banner(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TUR).jpg"/>
                    <pic:cNvPicPr>
                      <a:picLocks noChangeAspect="1" noChangeArrowheads="1"/>
                    </pic:cNvPicPr>
                  </pic:nvPicPr>
                  <pic:blipFill>
                    <a:blip r:embed="rId8"/>
                    <a:srcRect/>
                    <a:stretch>
                      <a:fillRect/>
                    </a:stretch>
                  </pic:blipFill>
                  <pic:spPr bwMode="auto">
                    <a:xfrm>
                      <a:off x="0" y="0"/>
                      <a:ext cx="7315200" cy="1330325"/>
                    </a:xfrm>
                    <a:prstGeom prst="rect">
                      <a:avLst/>
                    </a:prstGeom>
                    <a:noFill/>
                  </pic:spPr>
                </pic:pic>
              </a:graphicData>
            </a:graphic>
          </wp:anchor>
        </w:drawing>
      </w:r>
      <w:r w:rsidR="00053F6D" w:rsidRPr="00053F6D">
        <w:rPr>
          <w:noProof/>
          <w:lang w:val="en-US"/>
        </w:rPr>
        <w:pict>
          <v:shapetype id="_x0000_t202" coordsize="21600,21600" o:spt="202" path="m,l,21600r21600,l21600,xe">
            <v:stroke joinstyle="miter"/>
            <v:path gradientshapeok="t" o:connecttype="rect"/>
          </v:shapetype>
          <v:shape id="_x0000_s1027" type="#_x0000_t202" style="position:absolute;margin-left:142.8pt;margin-top:-43.5pt;width:312.1pt;height:44.8pt;z-index:251656704;mso-wrap-distance-left:9.05pt;mso-wrap-distance-right:9.05pt;mso-position-horizontal-relative:text;mso-position-vertical-relative:text" stroked="f">
            <v:fill opacity="0" color2="black"/>
            <v:textbox style="mso-next-textbox:#_x0000_s1027" inset="0,0,0,0">
              <w:txbxContent>
                <w:p w:rsidR="00D66D6B" w:rsidRPr="00526178" w:rsidRDefault="00B74A22" w:rsidP="00182F22">
                  <w:pPr>
                    <w:pStyle w:val="Heading1"/>
                    <w:rPr>
                      <w:rFonts w:ascii="Times New Roman" w:hAnsi="Times New Roman" w:cs="Times New Roman"/>
                      <w:sz w:val="52"/>
                      <w:szCs w:val="52"/>
                    </w:rPr>
                  </w:pPr>
                  <w:r>
                    <w:rPr>
                      <w:rFonts w:ascii="Times New Roman" w:hAnsi="Times New Roman"/>
                      <w:sz w:val="52"/>
                    </w:rPr>
                    <w:t>Research Brief</w:t>
                  </w:r>
                  <w:r w:rsidR="00D66D6B">
                    <w:rPr>
                      <w:rFonts w:ascii="Times New Roman" w:hAnsi="Times New Roman"/>
                      <w:sz w:val="52"/>
                    </w:rPr>
                    <w:t xml:space="preserve"> 13/151</w:t>
                  </w:r>
                </w:p>
                <w:p w:rsidR="00D66D6B" w:rsidRPr="00526178" w:rsidRDefault="00D66D6B">
                  <w:pPr>
                    <w:pStyle w:val="Heading2"/>
                    <w:rPr>
                      <w:b w:val="0"/>
                      <w:bCs w:val="0"/>
                      <w:i w:val="0"/>
                      <w:iCs w:val="0"/>
                    </w:rPr>
                  </w:pPr>
                </w:p>
              </w:txbxContent>
            </v:textbox>
          </v:shape>
        </w:pict>
      </w:r>
    </w:p>
    <w:p w:rsidR="00D66D6B" w:rsidRPr="00E609E7" w:rsidRDefault="00053F6D" w:rsidP="003373DA">
      <w:pPr>
        <w:rPr>
          <w:rFonts w:ascii="Calibri" w:hAnsi="Calibri" w:cs="Calibri"/>
          <w:sz w:val="20"/>
          <w:szCs w:val="20"/>
          <w:lang w:val="en-US"/>
        </w:rPr>
      </w:pPr>
      <w:r w:rsidRPr="00053F6D">
        <w:rPr>
          <w:noProof/>
          <w:lang w:val="en-US"/>
        </w:rPr>
        <w:pict>
          <v:shape id="_x0000_s1028" type="#_x0000_t202" style="position:absolute;margin-left:419.25pt;margin-top:.25pt;width:103.3pt;height:34.2pt;z-index:251657728;mso-wrap-distance-left:9.05pt;mso-wrap-distance-right:9.05pt" stroked="f">
            <v:fill opacity="0" color2="black"/>
            <v:textbox style="mso-next-textbox:#_x0000_s1028" inset="0,0,0,0">
              <w:txbxContent>
                <w:p w:rsidR="00D66D6B" w:rsidRDefault="00A678F0" w:rsidP="00C24EA0">
                  <w:pPr>
                    <w:pStyle w:val="Heading3"/>
                    <w:numPr>
                      <w:ilvl w:val="0"/>
                      <w:numId w:val="0"/>
                    </w:numPr>
                    <w:rPr>
                      <w:color w:val="FFFFFF"/>
                      <w:sz w:val="22"/>
                      <w:szCs w:val="22"/>
                    </w:rPr>
                  </w:pPr>
                  <w:r>
                    <w:rPr>
                      <w:color w:val="FFFFFF"/>
                      <w:sz w:val="22"/>
                    </w:rPr>
                    <w:t xml:space="preserve"> 04 July 2013</w:t>
                  </w:r>
                </w:p>
                <w:p w:rsidR="00D66D6B" w:rsidRDefault="00D66D6B"/>
              </w:txbxContent>
            </v:textbox>
          </v:shape>
        </w:pict>
      </w:r>
    </w:p>
    <w:p w:rsidR="00D66D6B" w:rsidRPr="00E609E7" w:rsidRDefault="00D66D6B" w:rsidP="003373DA">
      <w:pPr>
        <w:rPr>
          <w:rFonts w:ascii="Calibri" w:hAnsi="Calibri" w:cs="Calibri"/>
          <w:sz w:val="20"/>
          <w:szCs w:val="20"/>
          <w:lang w:val="en-US"/>
        </w:rPr>
      </w:pPr>
    </w:p>
    <w:p w:rsidR="00D66D6B" w:rsidRPr="00E609E7" w:rsidRDefault="00D66D6B" w:rsidP="003373DA">
      <w:pPr>
        <w:rPr>
          <w:rFonts w:ascii="Calibri" w:hAnsi="Calibri" w:cs="Calibri"/>
          <w:sz w:val="20"/>
          <w:szCs w:val="20"/>
          <w:lang w:val="en-US"/>
        </w:rPr>
      </w:pPr>
    </w:p>
    <w:p w:rsidR="00D66D6B" w:rsidRPr="00E609E7" w:rsidRDefault="00D66D6B" w:rsidP="003373DA">
      <w:pPr>
        <w:rPr>
          <w:rFonts w:ascii="Arial" w:hAnsi="Arial" w:cs="Arial"/>
          <w:b/>
          <w:bCs/>
          <w:sz w:val="28"/>
          <w:szCs w:val="28"/>
          <w:lang w:val="en-US"/>
        </w:rPr>
      </w:pPr>
    </w:p>
    <w:p w:rsidR="001175DB" w:rsidRPr="00E609E7" w:rsidRDefault="001175DB" w:rsidP="001175DB">
      <w:pPr>
        <w:pStyle w:val="Heading1"/>
        <w:spacing w:after="200"/>
        <w:rPr>
          <w:sz w:val="28"/>
          <w:szCs w:val="28"/>
          <w:lang w:val="en-US"/>
        </w:rPr>
      </w:pPr>
      <w:r w:rsidRPr="00E609E7">
        <w:rPr>
          <w:sz w:val="28"/>
          <w:lang w:val="en-US"/>
        </w:rPr>
        <w:t xml:space="preserve">INCENTIVES </w:t>
      </w:r>
      <w:r w:rsidR="00EA3D86">
        <w:rPr>
          <w:sz w:val="28"/>
          <w:lang w:val="en-US"/>
        </w:rPr>
        <w:t>INCREASE FORMAL FEMALE EMPLOYMENT</w:t>
      </w:r>
    </w:p>
    <w:p w:rsidR="00112F7A" w:rsidRPr="00FE4261" w:rsidRDefault="00915BA3" w:rsidP="00FE4261">
      <w:pPr>
        <w:jc w:val="center"/>
        <w:rPr>
          <w:rFonts w:ascii="Arial" w:hAnsi="Arial" w:cs="Arial"/>
          <w:sz w:val="22"/>
          <w:szCs w:val="22"/>
          <w:lang w:val="en-US"/>
        </w:rPr>
      </w:pPr>
      <w:r w:rsidRPr="00E609E7">
        <w:rPr>
          <w:rFonts w:ascii="Arial" w:hAnsi="Arial" w:cs="Arial"/>
          <w:sz w:val="22"/>
          <w:szCs w:val="22"/>
          <w:lang w:val="en-US"/>
        </w:rPr>
        <w:t>Gokce Uysal</w:t>
      </w:r>
      <w:r w:rsidR="001175DB" w:rsidRPr="00E609E7">
        <w:rPr>
          <w:rStyle w:val="FootnoteReference"/>
          <w:rFonts w:ascii="Arial" w:hAnsi="Arial" w:cs="Arial"/>
          <w:sz w:val="22"/>
          <w:szCs w:val="22"/>
          <w:lang w:val="en-US"/>
        </w:rPr>
        <w:sym w:font="Symbol" w:char="F02A"/>
      </w:r>
    </w:p>
    <w:p w:rsidR="001175DB" w:rsidRDefault="001175DB" w:rsidP="005A3BB4">
      <w:pPr>
        <w:pStyle w:val="Heading3"/>
        <w:numPr>
          <w:ilvl w:val="0"/>
          <w:numId w:val="0"/>
        </w:numPr>
        <w:ind w:left="720" w:hanging="720"/>
        <w:jc w:val="center"/>
        <w:rPr>
          <w:lang w:val="en-US"/>
        </w:rPr>
      </w:pPr>
      <w:r w:rsidRPr="00E609E7">
        <w:rPr>
          <w:lang w:val="en-US"/>
        </w:rPr>
        <w:footnoteReference w:customMarkFollows="1" w:id="1"/>
        <w:t>Executive Summary</w:t>
      </w:r>
    </w:p>
    <w:p w:rsidR="009E27B8" w:rsidRPr="009E27B8" w:rsidRDefault="009E27B8" w:rsidP="009E27B8">
      <w:pPr>
        <w:rPr>
          <w:lang w:val="en-US"/>
        </w:rPr>
      </w:pPr>
    </w:p>
    <w:p w:rsidR="001175DB" w:rsidRPr="00E609E7" w:rsidRDefault="00CC34A9" w:rsidP="001175DB">
      <w:pPr>
        <w:rPr>
          <w:rFonts w:ascii="Arial" w:hAnsi="Arial"/>
          <w:sz w:val="20"/>
          <w:lang w:val="en-US"/>
        </w:rPr>
      </w:pPr>
      <w:r>
        <w:rPr>
          <w:rFonts w:ascii="Arial" w:hAnsi="Arial"/>
          <w:sz w:val="20"/>
          <w:lang w:val="en-US"/>
        </w:rPr>
        <w:t>This research brief focuses on</w:t>
      </w:r>
      <w:r w:rsidR="001175DB" w:rsidRPr="00E609E7">
        <w:rPr>
          <w:rFonts w:ascii="Arial" w:hAnsi="Arial"/>
          <w:sz w:val="20"/>
          <w:lang w:val="en-US"/>
        </w:rPr>
        <w:t xml:space="preserve"> the effects of the </w:t>
      </w:r>
      <w:r w:rsidR="00670399">
        <w:rPr>
          <w:rFonts w:ascii="Arial" w:hAnsi="Arial"/>
          <w:sz w:val="20"/>
          <w:lang w:val="en-US"/>
        </w:rPr>
        <w:t>social security</w:t>
      </w:r>
      <w:r w:rsidR="001175DB" w:rsidRPr="00E609E7">
        <w:rPr>
          <w:rFonts w:ascii="Arial" w:hAnsi="Arial"/>
          <w:sz w:val="20"/>
          <w:lang w:val="en-US"/>
        </w:rPr>
        <w:t xml:space="preserve"> premium incentives granted for women and youth employment</w:t>
      </w:r>
      <w:r w:rsidR="00C747B4" w:rsidRPr="00E609E7">
        <w:rPr>
          <w:rFonts w:ascii="Arial" w:hAnsi="Arial"/>
          <w:sz w:val="20"/>
          <w:lang w:val="en-US"/>
        </w:rPr>
        <w:t xml:space="preserve"> </w:t>
      </w:r>
      <w:r w:rsidR="00EF1F2C">
        <w:rPr>
          <w:rFonts w:ascii="Arial" w:hAnsi="Arial"/>
          <w:sz w:val="20"/>
          <w:lang w:val="en-US"/>
        </w:rPr>
        <w:t xml:space="preserve">and analyzes the effects of these incentives </w:t>
      </w:r>
      <w:r w:rsidR="00C747B4" w:rsidRPr="00E609E7">
        <w:rPr>
          <w:rFonts w:ascii="Arial" w:hAnsi="Arial"/>
          <w:sz w:val="20"/>
          <w:lang w:val="en-US"/>
        </w:rPr>
        <w:t>on formal employment among women in the 30-44 age group.</w:t>
      </w:r>
      <w:r w:rsidR="001175DB" w:rsidRPr="00E609E7">
        <w:rPr>
          <w:rFonts w:ascii="Arial" w:hAnsi="Arial"/>
          <w:sz w:val="20"/>
          <w:lang w:val="en-US"/>
        </w:rPr>
        <w:t xml:space="preserve"> </w:t>
      </w:r>
      <w:r w:rsidR="00015EFE">
        <w:rPr>
          <w:rFonts w:ascii="Arial" w:hAnsi="Arial"/>
          <w:sz w:val="20"/>
          <w:lang w:val="en-US"/>
        </w:rPr>
        <w:t xml:space="preserve">This practice started in 2008 and has continued since under various different regulations. </w:t>
      </w:r>
      <w:r w:rsidR="001175DB" w:rsidRPr="00E609E7">
        <w:rPr>
          <w:rFonts w:ascii="Arial" w:hAnsi="Arial"/>
          <w:sz w:val="20"/>
          <w:lang w:val="en-US"/>
        </w:rPr>
        <w:t xml:space="preserve">The analysis </w:t>
      </w:r>
      <w:r w:rsidR="00E70879" w:rsidRPr="00E609E7">
        <w:rPr>
          <w:rFonts w:ascii="Arial" w:hAnsi="Arial"/>
          <w:sz w:val="20"/>
          <w:lang w:val="en-US"/>
        </w:rPr>
        <w:t xml:space="preserve">is </w:t>
      </w:r>
      <w:r w:rsidR="001175DB" w:rsidRPr="00E609E7">
        <w:rPr>
          <w:rFonts w:ascii="Arial" w:hAnsi="Arial"/>
          <w:sz w:val="20"/>
          <w:lang w:val="en-US"/>
        </w:rPr>
        <w:t xml:space="preserve">carried out using data provided by </w:t>
      </w:r>
      <w:proofErr w:type="spellStart"/>
      <w:r w:rsidR="001175DB" w:rsidRPr="00E609E7">
        <w:rPr>
          <w:rFonts w:ascii="Arial" w:hAnsi="Arial"/>
          <w:sz w:val="20"/>
          <w:lang w:val="en-US"/>
        </w:rPr>
        <w:t>TurkStat</w:t>
      </w:r>
      <w:proofErr w:type="spellEnd"/>
      <w:r w:rsidR="001175DB" w:rsidRPr="00E609E7">
        <w:rPr>
          <w:rFonts w:ascii="Arial" w:hAnsi="Arial"/>
          <w:sz w:val="20"/>
          <w:lang w:val="en-US"/>
        </w:rPr>
        <w:t xml:space="preserve"> </w:t>
      </w:r>
      <w:r w:rsidR="00451988" w:rsidRPr="00E609E7">
        <w:rPr>
          <w:rFonts w:ascii="Arial" w:hAnsi="Arial"/>
          <w:sz w:val="20"/>
          <w:lang w:val="en-US"/>
        </w:rPr>
        <w:t>(Turkish Statistical Institute)</w:t>
      </w:r>
      <w:r w:rsidR="005F29E4" w:rsidRPr="00E609E7">
        <w:rPr>
          <w:rFonts w:ascii="Arial" w:hAnsi="Arial"/>
          <w:sz w:val="20"/>
          <w:lang w:val="en-US"/>
        </w:rPr>
        <w:t>. The data indicates</w:t>
      </w:r>
      <w:r w:rsidR="001175DB" w:rsidRPr="00E609E7">
        <w:rPr>
          <w:rFonts w:ascii="Arial" w:hAnsi="Arial"/>
          <w:sz w:val="20"/>
          <w:lang w:val="en-US"/>
        </w:rPr>
        <w:t xml:space="preserve"> that the incentives had a positive effect particularly on the employment of married women who </w:t>
      </w:r>
      <w:r w:rsidR="00A2296F">
        <w:rPr>
          <w:rFonts w:ascii="Arial" w:hAnsi="Arial"/>
          <w:sz w:val="20"/>
          <w:lang w:val="en-US"/>
        </w:rPr>
        <w:t>have low levels of education</w:t>
      </w:r>
      <w:r w:rsidR="001175DB" w:rsidRPr="00E609E7">
        <w:rPr>
          <w:rFonts w:ascii="Arial" w:hAnsi="Arial"/>
          <w:sz w:val="20"/>
          <w:lang w:val="en-US"/>
        </w:rPr>
        <w:t xml:space="preserve">. Results </w:t>
      </w:r>
      <w:r w:rsidR="00133891" w:rsidRPr="00E609E7">
        <w:rPr>
          <w:rFonts w:ascii="Arial" w:hAnsi="Arial"/>
          <w:sz w:val="20"/>
          <w:lang w:val="en-US"/>
        </w:rPr>
        <w:t>imply</w:t>
      </w:r>
      <w:r w:rsidR="001175DB" w:rsidRPr="00E609E7">
        <w:rPr>
          <w:rFonts w:ascii="Arial" w:hAnsi="Arial"/>
          <w:sz w:val="20"/>
          <w:lang w:val="en-US"/>
        </w:rPr>
        <w:t xml:space="preserve"> that it is mostly the </w:t>
      </w:r>
      <w:r w:rsidR="004F01B4">
        <w:rPr>
          <w:rFonts w:ascii="Arial" w:hAnsi="Arial"/>
          <w:sz w:val="20"/>
          <w:lang w:val="en-US"/>
        </w:rPr>
        <w:t>large</w:t>
      </w:r>
      <w:r w:rsidR="001175DB" w:rsidRPr="00E609E7">
        <w:rPr>
          <w:rFonts w:ascii="Arial" w:hAnsi="Arial"/>
          <w:sz w:val="20"/>
          <w:lang w:val="en-US"/>
        </w:rPr>
        <w:t xml:space="preserve"> companies operating in the industrial sector that benefit from the incentives. However, </w:t>
      </w:r>
      <w:r w:rsidR="000D1C2E" w:rsidRPr="00E609E7">
        <w:rPr>
          <w:rFonts w:ascii="Arial" w:hAnsi="Arial"/>
          <w:sz w:val="20"/>
          <w:lang w:val="en-US"/>
        </w:rPr>
        <w:t xml:space="preserve">other incentives such as </w:t>
      </w:r>
      <w:r w:rsidR="001175DB" w:rsidRPr="00E609E7">
        <w:rPr>
          <w:rFonts w:ascii="Arial" w:hAnsi="Arial"/>
          <w:sz w:val="20"/>
          <w:lang w:val="en-US"/>
        </w:rPr>
        <w:t>regional incentives</w:t>
      </w:r>
      <w:r w:rsidR="000D1C2E" w:rsidRPr="00E609E7">
        <w:rPr>
          <w:rFonts w:ascii="Arial" w:hAnsi="Arial"/>
          <w:sz w:val="20"/>
          <w:lang w:val="en-US"/>
        </w:rPr>
        <w:t>,</w:t>
      </w:r>
      <w:r w:rsidR="00CD2DC8">
        <w:rPr>
          <w:rFonts w:ascii="Arial" w:hAnsi="Arial"/>
          <w:sz w:val="20"/>
          <w:lang w:val="en-US"/>
        </w:rPr>
        <w:t xml:space="preserve"> tax</w:t>
      </w:r>
      <w:r w:rsidR="000D1C2E" w:rsidRPr="00E609E7">
        <w:rPr>
          <w:rFonts w:ascii="Arial" w:hAnsi="Arial"/>
          <w:sz w:val="20"/>
          <w:lang w:val="en-US"/>
        </w:rPr>
        <w:t xml:space="preserve"> incentives to all new job creation, etc, that were enacted </w:t>
      </w:r>
      <w:r w:rsidR="00267D76">
        <w:rPr>
          <w:rFonts w:ascii="Arial" w:hAnsi="Arial"/>
          <w:sz w:val="20"/>
          <w:lang w:val="en-US"/>
        </w:rPr>
        <w:t>meanwhile</w:t>
      </w:r>
      <w:r w:rsidR="000D1C2E" w:rsidRPr="00E609E7">
        <w:rPr>
          <w:rFonts w:ascii="Arial" w:hAnsi="Arial"/>
          <w:sz w:val="20"/>
          <w:lang w:val="en-US"/>
        </w:rPr>
        <w:t xml:space="preserve">, </w:t>
      </w:r>
      <w:r w:rsidR="00FB3F16">
        <w:rPr>
          <w:rFonts w:ascii="Arial" w:hAnsi="Arial"/>
          <w:sz w:val="20"/>
          <w:lang w:val="en-US"/>
        </w:rPr>
        <w:t>undermine</w:t>
      </w:r>
      <w:r w:rsidR="000D1C2E" w:rsidRPr="00E609E7">
        <w:rPr>
          <w:rFonts w:ascii="Arial" w:hAnsi="Arial"/>
          <w:sz w:val="20"/>
          <w:lang w:val="en-US"/>
        </w:rPr>
        <w:t xml:space="preserve"> the positive effects of this policy. </w:t>
      </w:r>
      <w:r w:rsidR="008E73B7">
        <w:rPr>
          <w:rFonts w:ascii="Arial" w:hAnsi="Arial"/>
          <w:sz w:val="20"/>
          <w:lang w:val="en-US"/>
        </w:rPr>
        <w:t>This finding implies that p</w:t>
      </w:r>
      <w:r w:rsidR="00460675" w:rsidRPr="00E609E7">
        <w:rPr>
          <w:rFonts w:ascii="Arial" w:hAnsi="Arial"/>
          <w:sz w:val="20"/>
          <w:lang w:val="en-US"/>
        </w:rPr>
        <w:t>olicy-makers should take into account all possible interactions between incentives when designing laws and regulations.</w:t>
      </w:r>
    </w:p>
    <w:p w:rsidR="001175DB" w:rsidRPr="00E609E7" w:rsidRDefault="001175DB" w:rsidP="005A3BB4">
      <w:pPr>
        <w:pStyle w:val="Heading2"/>
        <w:tabs>
          <w:tab w:val="clear" w:pos="576"/>
          <w:tab w:val="num" w:pos="0"/>
        </w:tabs>
        <w:spacing w:after="200"/>
        <w:rPr>
          <w:i w:val="0"/>
          <w:sz w:val="20"/>
          <w:szCs w:val="20"/>
          <w:lang w:val="en-US"/>
        </w:rPr>
      </w:pPr>
      <w:r w:rsidRPr="00E609E7">
        <w:rPr>
          <w:i w:val="0"/>
          <w:sz w:val="20"/>
          <w:lang w:val="en-US"/>
        </w:rPr>
        <w:t>Introduction</w:t>
      </w:r>
    </w:p>
    <w:p w:rsidR="001175DB" w:rsidRPr="00E609E7" w:rsidRDefault="00E609E7" w:rsidP="001175DB">
      <w:pPr>
        <w:rPr>
          <w:rFonts w:ascii="Arial" w:hAnsi="Arial"/>
          <w:sz w:val="20"/>
          <w:lang w:val="en-US"/>
        </w:rPr>
      </w:pPr>
      <w:r w:rsidRPr="00E609E7">
        <w:rPr>
          <w:rFonts w:ascii="Arial" w:hAnsi="Arial"/>
          <w:sz w:val="20"/>
          <w:lang w:val="en-US"/>
        </w:rPr>
        <w:t>A growing population, thus a rapidly growing workforce, coupled with dissolution in agricultural employment due to the ongoing structural transformation, makes</w:t>
      </w:r>
      <w:r w:rsidR="005C1558" w:rsidRPr="00E609E7">
        <w:rPr>
          <w:rFonts w:ascii="Arial" w:hAnsi="Arial"/>
          <w:sz w:val="20"/>
          <w:lang w:val="en-US"/>
        </w:rPr>
        <w:t xml:space="preserve"> it difficult to combat unemployment in Turkey. </w:t>
      </w:r>
      <w:r w:rsidR="001175DB" w:rsidRPr="00E609E7">
        <w:rPr>
          <w:rFonts w:ascii="Arial" w:hAnsi="Arial"/>
          <w:sz w:val="20"/>
          <w:lang w:val="en-US"/>
        </w:rPr>
        <w:t xml:space="preserve">In addition to these factors, Turkey ranks among the </w:t>
      </w:r>
      <w:r w:rsidR="0099452F">
        <w:rPr>
          <w:rFonts w:ascii="Arial" w:hAnsi="Arial"/>
          <w:sz w:val="20"/>
          <w:lang w:val="en-US"/>
        </w:rPr>
        <w:t>lowest</w:t>
      </w:r>
      <w:r w:rsidR="001175DB" w:rsidRPr="00E609E7">
        <w:rPr>
          <w:rFonts w:ascii="Arial" w:hAnsi="Arial"/>
          <w:sz w:val="20"/>
          <w:lang w:val="en-US"/>
        </w:rPr>
        <w:t xml:space="preserve"> when it comes to international comparisons based on gender and </w:t>
      </w:r>
      <w:r w:rsidR="00451988" w:rsidRPr="00E609E7">
        <w:rPr>
          <w:rFonts w:ascii="Arial" w:hAnsi="Arial"/>
          <w:sz w:val="20"/>
          <w:lang w:val="en-US"/>
        </w:rPr>
        <w:t>total</w:t>
      </w:r>
      <w:r w:rsidR="001175DB" w:rsidRPr="00E609E7">
        <w:rPr>
          <w:rFonts w:ascii="Arial" w:hAnsi="Arial"/>
          <w:sz w:val="20"/>
          <w:lang w:val="en-US"/>
        </w:rPr>
        <w:t xml:space="preserve"> workforce</w:t>
      </w:r>
      <w:r w:rsidR="005C1558" w:rsidRPr="00E609E7">
        <w:rPr>
          <w:rFonts w:ascii="Arial" w:hAnsi="Arial"/>
          <w:sz w:val="20"/>
          <w:lang w:val="en-US"/>
        </w:rPr>
        <w:t xml:space="preserve"> statistics due to the low level of women's participation in workforce and employment</w:t>
      </w:r>
      <w:r w:rsidR="00E657F1" w:rsidRPr="00E609E7">
        <w:rPr>
          <w:rFonts w:ascii="Arial" w:hAnsi="Arial"/>
          <w:sz w:val="20"/>
          <w:lang w:val="en-US"/>
        </w:rPr>
        <w:t>.  Recently, policy</w:t>
      </w:r>
      <w:r w:rsidR="001175DB" w:rsidRPr="00E609E7">
        <w:rPr>
          <w:rFonts w:ascii="Arial" w:hAnsi="Arial"/>
          <w:sz w:val="20"/>
          <w:lang w:val="en-US"/>
        </w:rPr>
        <w:t xml:space="preserve">makers have been working </w:t>
      </w:r>
      <w:r w:rsidR="00CB575D" w:rsidRPr="00E609E7">
        <w:rPr>
          <w:rFonts w:ascii="Arial" w:hAnsi="Arial"/>
          <w:sz w:val="20"/>
          <w:lang w:val="en-US"/>
        </w:rPr>
        <w:t>towards designing</w:t>
      </w:r>
      <w:r w:rsidR="001175DB" w:rsidRPr="00E609E7">
        <w:rPr>
          <w:rFonts w:ascii="Arial" w:hAnsi="Arial"/>
          <w:sz w:val="20"/>
          <w:lang w:val="en-US"/>
        </w:rPr>
        <w:t xml:space="preserve"> various policies to add</w:t>
      </w:r>
      <w:r w:rsidR="00D611C0" w:rsidRPr="00E609E7">
        <w:rPr>
          <w:rFonts w:ascii="Arial" w:hAnsi="Arial"/>
          <w:sz w:val="20"/>
          <w:lang w:val="en-US"/>
        </w:rPr>
        <w:t xml:space="preserve">ress the </w:t>
      </w:r>
      <w:r w:rsidR="00451988" w:rsidRPr="00E609E7">
        <w:rPr>
          <w:rFonts w:ascii="Arial" w:hAnsi="Arial"/>
          <w:sz w:val="20"/>
          <w:lang w:val="en-US"/>
        </w:rPr>
        <w:t>structural problems o</w:t>
      </w:r>
      <w:r w:rsidR="00D611C0" w:rsidRPr="00E609E7">
        <w:rPr>
          <w:rFonts w:ascii="Arial" w:hAnsi="Arial"/>
          <w:sz w:val="20"/>
          <w:lang w:val="en-US"/>
        </w:rPr>
        <w:t>f the labo</w:t>
      </w:r>
      <w:r w:rsidR="001175DB" w:rsidRPr="00E609E7">
        <w:rPr>
          <w:rFonts w:ascii="Arial" w:hAnsi="Arial"/>
          <w:sz w:val="20"/>
          <w:lang w:val="en-US"/>
        </w:rPr>
        <w:t>r market</w:t>
      </w:r>
      <w:r w:rsidR="00D611C0" w:rsidRPr="00E609E7">
        <w:rPr>
          <w:rFonts w:ascii="Arial" w:hAnsi="Arial"/>
          <w:sz w:val="20"/>
          <w:lang w:val="en-US"/>
        </w:rPr>
        <w:t xml:space="preserve"> in Turkey</w:t>
      </w:r>
      <w:r w:rsidR="001175DB" w:rsidRPr="00E609E7">
        <w:rPr>
          <w:rFonts w:ascii="Arial" w:hAnsi="Arial"/>
          <w:sz w:val="20"/>
          <w:lang w:val="en-US"/>
        </w:rPr>
        <w:t xml:space="preserve">. One of the most important </w:t>
      </w:r>
      <w:r w:rsidR="003E2AFA">
        <w:rPr>
          <w:rFonts w:ascii="Arial" w:hAnsi="Arial"/>
          <w:sz w:val="20"/>
          <w:lang w:val="en-US"/>
        </w:rPr>
        <w:t>regulations</w:t>
      </w:r>
      <w:r w:rsidR="001175DB" w:rsidRPr="00E609E7">
        <w:rPr>
          <w:rFonts w:ascii="Arial" w:hAnsi="Arial"/>
          <w:sz w:val="20"/>
          <w:lang w:val="en-US"/>
        </w:rPr>
        <w:t xml:space="preserve"> in this regard is the introduction of </w:t>
      </w:r>
      <w:r w:rsidR="0020561C">
        <w:rPr>
          <w:rFonts w:ascii="Arial" w:hAnsi="Arial"/>
          <w:sz w:val="20"/>
          <w:lang w:val="en-US"/>
        </w:rPr>
        <w:t>tax incentives to employment</w:t>
      </w:r>
      <w:r w:rsidR="001175DB" w:rsidRPr="00E609E7">
        <w:rPr>
          <w:rFonts w:ascii="Arial" w:hAnsi="Arial"/>
          <w:sz w:val="20"/>
          <w:lang w:val="en-US"/>
        </w:rPr>
        <w:t xml:space="preserve">. The main axis of these incentives is that the employer contributions in </w:t>
      </w:r>
      <w:r w:rsidR="00670399">
        <w:rPr>
          <w:rFonts w:ascii="Arial" w:hAnsi="Arial"/>
          <w:sz w:val="20"/>
          <w:lang w:val="en-US"/>
        </w:rPr>
        <w:t>social security</w:t>
      </w:r>
      <w:r w:rsidR="001175DB" w:rsidRPr="00E609E7">
        <w:rPr>
          <w:rFonts w:ascii="Arial" w:hAnsi="Arial"/>
          <w:sz w:val="20"/>
          <w:lang w:val="en-US"/>
        </w:rPr>
        <w:t xml:space="preserve"> premiums for formal (register</w:t>
      </w:r>
      <w:r w:rsidR="00451988" w:rsidRPr="00E609E7">
        <w:rPr>
          <w:rFonts w:ascii="Arial" w:hAnsi="Arial"/>
          <w:sz w:val="20"/>
          <w:lang w:val="en-US"/>
        </w:rPr>
        <w:t>ed</w:t>
      </w:r>
      <w:r w:rsidR="001175DB" w:rsidRPr="00E609E7">
        <w:rPr>
          <w:rFonts w:ascii="Arial" w:hAnsi="Arial"/>
          <w:sz w:val="20"/>
          <w:lang w:val="en-US"/>
        </w:rPr>
        <w:t xml:space="preserve">) employment are paid, fully or partially, by the Unemployment Insurance Fund for certain periods. </w:t>
      </w:r>
    </w:p>
    <w:p w:rsidR="0096211B" w:rsidRPr="00E609E7" w:rsidRDefault="0096211B" w:rsidP="001175DB">
      <w:pPr>
        <w:rPr>
          <w:rFonts w:ascii="Arial" w:hAnsi="Arial" w:cs="Arial"/>
          <w:sz w:val="20"/>
          <w:szCs w:val="20"/>
          <w:lang w:val="en-US"/>
        </w:rPr>
      </w:pPr>
    </w:p>
    <w:p w:rsidR="001175DB" w:rsidRPr="00303DBF" w:rsidRDefault="001175DB" w:rsidP="001175DB">
      <w:pPr>
        <w:rPr>
          <w:rFonts w:ascii="Arial" w:hAnsi="Arial"/>
          <w:sz w:val="20"/>
          <w:lang w:val="en-US"/>
        </w:rPr>
      </w:pPr>
      <w:r w:rsidRPr="00E609E7">
        <w:rPr>
          <w:rFonts w:ascii="Arial" w:hAnsi="Arial"/>
          <w:sz w:val="20"/>
          <w:lang w:val="en-US"/>
        </w:rPr>
        <w:t>In this research</w:t>
      </w:r>
      <w:r w:rsidR="00684510">
        <w:rPr>
          <w:rFonts w:ascii="Arial" w:hAnsi="Arial"/>
          <w:sz w:val="20"/>
          <w:lang w:val="en-US"/>
        </w:rPr>
        <w:t xml:space="preserve"> brief</w:t>
      </w:r>
      <w:r w:rsidRPr="00E609E7">
        <w:rPr>
          <w:rFonts w:ascii="Arial" w:hAnsi="Arial"/>
          <w:sz w:val="20"/>
          <w:lang w:val="en-US"/>
        </w:rPr>
        <w:t xml:space="preserve">, the incentives ushered in for women's employment will be summarized, and their relative effects on women's employment will be </w:t>
      </w:r>
      <w:r w:rsidR="00A830D9">
        <w:rPr>
          <w:rFonts w:ascii="Arial" w:hAnsi="Arial"/>
          <w:sz w:val="20"/>
          <w:lang w:val="en-US"/>
        </w:rPr>
        <w:t xml:space="preserve">examined using </w:t>
      </w:r>
      <w:r w:rsidRPr="00E609E7">
        <w:rPr>
          <w:rFonts w:ascii="Arial" w:hAnsi="Arial"/>
          <w:sz w:val="20"/>
          <w:lang w:val="en-US"/>
        </w:rPr>
        <w:t xml:space="preserve">descriptive statistics.  </w:t>
      </w:r>
      <w:r w:rsidR="00303DBF">
        <w:rPr>
          <w:rFonts w:ascii="Arial" w:hAnsi="Arial"/>
          <w:sz w:val="20"/>
          <w:lang w:val="en-US"/>
        </w:rPr>
        <w:t>T</w:t>
      </w:r>
      <w:r w:rsidRPr="00E609E7">
        <w:rPr>
          <w:rFonts w:ascii="Arial" w:hAnsi="Arial"/>
          <w:sz w:val="20"/>
          <w:lang w:val="en-US"/>
        </w:rPr>
        <w:t xml:space="preserve">he </w:t>
      </w:r>
      <w:r w:rsidR="00670399">
        <w:rPr>
          <w:rFonts w:ascii="Arial" w:hAnsi="Arial"/>
          <w:sz w:val="20"/>
          <w:lang w:val="en-US"/>
        </w:rPr>
        <w:t>social security</w:t>
      </w:r>
      <w:r w:rsidRPr="00E609E7">
        <w:rPr>
          <w:rFonts w:ascii="Arial" w:hAnsi="Arial"/>
          <w:sz w:val="20"/>
          <w:lang w:val="en-US"/>
        </w:rPr>
        <w:t xml:space="preserve"> premium incentives provided for formal employment</w:t>
      </w:r>
      <w:r w:rsidR="00451988" w:rsidRPr="00E609E7">
        <w:rPr>
          <w:rFonts w:ascii="Arial" w:hAnsi="Arial"/>
          <w:sz w:val="20"/>
          <w:lang w:val="en-US"/>
        </w:rPr>
        <w:t xml:space="preserve"> of women</w:t>
      </w:r>
      <w:r w:rsidRPr="00E609E7">
        <w:rPr>
          <w:rFonts w:ascii="Arial" w:hAnsi="Arial"/>
          <w:sz w:val="20"/>
          <w:lang w:val="en-US"/>
        </w:rPr>
        <w:t>,</w:t>
      </w:r>
      <w:r w:rsidR="00303DBF" w:rsidRPr="00303DBF">
        <w:rPr>
          <w:rFonts w:ascii="Arial" w:hAnsi="Arial"/>
          <w:sz w:val="20"/>
          <w:lang w:val="en-US"/>
        </w:rPr>
        <w:t xml:space="preserve"> </w:t>
      </w:r>
      <w:r w:rsidR="00303DBF">
        <w:rPr>
          <w:rFonts w:ascii="Arial" w:hAnsi="Arial"/>
          <w:sz w:val="20"/>
          <w:lang w:val="en-US"/>
        </w:rPr>
        <w:t>render the employment of women relatively less costly</w:t>
      </w:r>
      <w:r w:rsidR="00303DBF" w:rsidRPr="00E609E7">
        <w:rPr>
          <w:rFonts w:ascii="Arial" w:hAnsi="Arial"/>
          <w:sz w:val="20"/>
          <w:lang w:val="en-US"/>
        </w:rPr>
        <w:t xml:space="preserve"> for </w:t>
      </w:r>
      <w:r w:rsidR="005D7115">
        <w:rPr>
          <w:rFonts w:ascii="Arial" w:hAnsi="Arial"/>
          <w:sz w:val="20"/>
          <w:lang w:val="en-US"/>
        </w:rPr>
        <w:t>firms</w:t>
      </w:r>
      <w:r w:rsidR="00303DBF" w:rsidRPr="00E609E7">
        <w:rPr>
          <w:rFonts w:ascii="Arial" w:hAnsi="Arial"/>
          <w:sz w:val="20"/>
          <w:lang w:val="en-US"/>
        </w:rPr>
        <w:t xml:space="preserve"> compared to </w:t>
      </w:r>
      <w:r w:rsidR="00303DBF">
        <w:rPr>
          <w:rFonts w:ascii="Arial" w:hAnsi="Arial"/>
          <w:sz w:val="20"/>
          <w:lang w:val="en-US"/>
        </w:rPr>
        <w:t xml:space="preserve">that of </w:t>
      </w:r>
      <w:r w:rsidR="00303DBF" w:rsidRPr="00E609E7">
        <w:rPr>
          <w:rFonts w:ascii="Arial" w:hAnsi="Arial"/>
          <w:sz w:val="20"/>
          <w:lang w:val="en-US"/>
        </w:rPr>
        <w:t>men.</w:t>
      </w:r>
      <w:r w:rsidR="00303DBF">
        <w:rPr>
          <w:rFonts w:ascii="Arial" w:hAnsi="Arial"/>
          <w:sz w:val="20"/>
          <w:lang w:val="en-US"/>
        </w:rPr>
        <w:t xml:space="preserve"> </w:t>
      </w:r>
      <w:r w:rsidRPr="00E609E7">
        <w:rPr>
          <w:rFonts w:ascii="Arial" w:hAnsi="Arial"/>
          <w:sz w:val="20"/>
          <w:lang w:val="en-US"/>
        </w:rPr>
        <w:t xml:space="preserve">From this perspective, the incentives </w:t>
      </w:r>
      <w:r w:rsidR="00D62CFC">
        <w:rPr>
          <w:rFonts w:ascii="Arial" w:hAnsi="Arial"/>
          <w:sz w:val="20"/>
          <w:lang w:val="en-US"/>
        </w:rPr>
        <w:t>entail</w:t>
      </w:r>
      <w:r w:rsidR="00303DBF">
        <w:rPr>
          <w:rFonts w:ascii="Arial" w:hAnsi="Arial"/>
          <w:sz w:val="20"/>
          <w:lang w:val="en-US"/>
        </w:rPr>
        <w:t xml:space="preserve"> </w:t>
      </w:r>
      <w:r w:rsidRPr="00E609E7">
        <w:rPr>
          <w:rFonts w:ascii="Arial" w:hAnsi="Arial"/>
          <w:sz w:val="20"/>
          <w:lang w:val="en-US"/>
        </w:rPr>
        <w:t>positive discrimination for formal employment</w:t>
      </w:r>
      <w:r w:rsidR="00451988" w:rsidRPr="00E609E7">
        <w:rPr>
          <w:rFonts w:ascii="Arial" w:hAnsi="Arial"/>
          <w:sz w:val="20"/>
          <w:lang w:val="en-US"/>
        </w:rPr>
        <w:t xml:space="preserve"> of women</w:t>
      </w:r>
      <w:r w:rsidRPr="00E609E7">
        <w:rPr>
          <w:rFonts w:ascii="Arial" w:hAnsi="Arial"/>
          <w:sz w:val="20"/>
          <w:lang w:val="en-US"/>
        </w:rPr>
        <w:t xml:space="preserve">. The </w:t>
      </w:r>
      <w:r w:rsidR="00303DBF">
        <w:rPr>
          <w:rFonts w:ascii="Arial" w:hAnsi="Arial"/>
          <w:sz w:val="20"/>
          <w:lang w:val="en-US"/>
        </w:rPr>
        <w:t>analysis</w:t>
      </w:r>
      <w:r w:rsidRPr="00E609E7">
        <w:rPr>
          <w:rFonts w:ascii="Arial" w:hAnsi="Arial"/>
          <w:sz w:val="20"/>
          <w:lang w:val="en-US"/>
        </w:rPr>
        <w:t xml:space="preserve"> focuses on the effects on formal employment of women in the 30-44 age </w:t>
      </w:r>
      <w:proofErr w:type="gramStart"/>
      <w:r w:rsidR="007F7565">
        <w:rPr>
          <w:rFonts w:ascii="Arial" w:hAnsi="Arial"/>
          <w:sz w:val="20"/>
          <w:lang w:val="en-US"/>
        </w:rPr>
        <w:t>group</w:t>
      </w:r>
      <w:proofErr w:type="gramEnd"/>
      <w:r w:rsidR="00303DBF">
        <w:rPr>
          <w:rFonts w:ascii="Arial" w:hAnsi="Arial"/>
          <w:sz w:val="20"/>
          <w:lang w:val="en-US"/>
        </w:rPr>
        <w:t>, which is considered to be the</w:t>
      </w:r>
      <w:r w:rsidRPr="00E609E7">
        <w:rPr>
          <w:rFonts w:ascii="Arial" w:hAnsi="Arial"/>
          <w:sz w:val="20"/>
          <w:lang w:val="en-US"/>
        </w:rPr>
        <w:t xml:space="preserve"> most productive age bracket </w:t>
      </w:r>
      <w:r w:rsidR="004C0F70">
        <w:rPr>
          <w:rFonts w:ascii="Arial" w:hAnsi="Arial"/>
          <w:sz w:val="20"/>
          <w:lang w:val="en-US"/>
        </w:rPr>
        <w:t>in the</w:t>
      </w:r>
      <w:r w:rsidRPr="00E609E7">
        <w:rPr>
          <w:rFonts w:ascii="Arial" w:hAnsi="Arial"/>
          <w:sz w:val="20"/>
          <w:lang w:val="en-US"/>
        </w:rPr>
        <w:t xml:space="preserve"> </w:t>
      </w:r>
      <w:r w:rsidR="00F4480B">
        <w:rPr>
          <w:rFonts w:ascii="Arial" w:hAnsi="Arial"/>
          <w:sz w:val="20"/>
          <w:lang w:val="en-US"/>
        </w:rPr>
        <w:t>labor</w:t>
      </w:r>
      <w:r w:rsidRPr="00E609E7">
        <w:rPr>
          <w:rFonts w:ascii="Arial" w:hAnsi="Arial"/>
          <w:sz w:val="20"/>
          <w:lang w:val="en-US"/>
        </w:rPr>
        <w:t xml:space="preserve"> market. </w:t>
      </w:r>
    </w:p>
    <w:p w:rsidR="0096211B" w:rsidRPr="00E609E7" w:rsidRDefault="0096211B" w:rsidP="001175DB">
      <w:pPr>
        <w:rPr>
          <w:rFonts w:ascii="Arial" w:hAnsi="Arial" w:cs="Arial"/>
          <w:sz w:val="20"/>
          <w:szCs w:val="20"/>
          <w:lang w:val="en-US"/>
        </w:rPr>
      </w:pPr>
    </w:p>
    <w:p w:rsidR="001175DB" w:rsidRPr="00E609E7" w:rsidRDefault="007F7565" w:rsidP="001175DB">
      <w:pPr>
        <w:rPr>
          <w:rFonts w:ascii="Arial" w:hAnsi="Arial" w:cs="Arial"/>
          <w:sz w:val="20"/>
          <w:szCs w:val="20"/>
          <w:lang w:val="en-US"/>
        </w:rPr>
      </w:pPr>
      <w:r>
        <w:rPr>
          <w:rFonts w:ascii="Arial" w:hAnsi="Arial"/>
          <w:sz w:val="20"/>
          <w:lang w:val="en-US"/>
        </w:rPr>
        <w:t xml:space="preserve">The data used in the analysis is </w:t>
      </w:r>
      <w:r w:rsidR="001175DB" w:rsidRPr="00E609E7">
        <w:rPr>
          <w:rFonts w:ascii="Arial" w:hAnsi="Arial"/>
          <w:sz w:val="20"/>
          <w:lang w:val="en-US"/>
        </w:rPr>
        <w:t xml:space="preserve">monthly macro </w:t>
      </w:r>
      <w:r w:rsidR="00F4480B">
        <w:rPr>
          <w:rFonts w:ascii="Arial" w:hAnsi="Arial"/>
          <w:sz w:val="20"/>
          <w:lang w:val="en-US"/>
        </w:rPr>
        <w:t>labor</w:t>
      </w:r>
      <w:r w:rsidR="001175DB" w:rsidRPr="00E609E7">
        <w:rPr>
          <w:rFonts w:ascii="Arial" w:hAnsi="Arial"/>
          <w:sz w:val="20"/>
          <w:lang w:val="en-US"/>
        </w:rPr>
        <w:t xml:space="preserve"> m</w:t>
      </w:r>
      <w:r>
        <w:rPr>
          <w:rFonts w:ascii="Arial" w:hAnsi="Arial"/>
          <w:sz w:val="20"/>
          <w:lang w:val="en-US"/>
        </w:rPr>
        <w:t xml:space="preserve">arket data provided by </w:t>
      </w:r>
      <w:proofErr w:type="spellStart"/>
      <w:r>
        <w:rPr>
          <w:rFonts w:ascii="Arial" w:hAnsi="Arial"/>
          <w:sz w:val="20"/>
          <w:lang w:val="en-US"/>
        </w:rPr>
        <w:t>TurkStat</w:t>
      </w:r>
      <w:proofErr w:type="spellEnd"/>
      <w:r>
        <w:rPr>
          <w:rFonts w:ascii="Arial" w:hAnsi="Arial"/>
          <w:sz w:val="20"/>
          <w:lang w:val="en-US"/>
        </w:rPr>
        <w:t>.</w:t>
      </w:r>
      <w:r w:rsidR="00F961C4" w:rsidRPr="00E609E7">
        <w:rPr>
          <w:rStyle w:val="FootnoteReference"/>
          <w:rFonts w:ascii="Arial" w:hAnsi="Arial"/>
          <w:sz w:val="20"/>
          <w:lang w:val="en-US"/>
        </w:rPr>
        <w:footnoteReference w:id="2"/>
      </w:r>
      <w:r>
        <w:rPr>
          <w:rFonts w:ascii="Arial" w:hAnsi="Arial"/>
          <w:sz w:val="20"/>
          <w:lang w:val="en-US"/>
        </w:rPr>
        <w:t xml:space="preserve"> </w:t>
      </w:r>
      <w:r w:rsidRPr="00E609E7">
        <w:rPr>
          <w:rFonts w:ascii="Arial" w:hAnsi="Arial"/>
          <w:sz w:val="20"/>
          <w:lang w:val="en-US"/>
        </w:rPr>
        <w:t xml:space="preserve">The </w:t>
      </w:r>
      <w:r w:rsidR="00DA555B">
        <w:rPr>
          <w:rFonts w:ascii="Arial" w:hAnsi="Arial"/>
          <w:sz w:val="20"/>
          <w:lang w:val="en-US"/>
        </w:rPr>
        <w:t>analysis</w:t>
      </w:r>
      <w:r w:rsidR="001175DB" w:rsidRPr="00E609E7">
        <w:rPr>
          <w:rFonts w:ascii="Arial" w:hAnsi="Arial"/>
          <w:sz w:val="20"/>
          <w:lang w:val="en-US"/>
        </w:rPr>
        <w:t xml:space="preserve"> </w:t>
      </w:r>
      <w:r w:rsidR="00213645">
        <w:rPr>
          <w:rFonts w:ascii="Arial" w:hAnsi="Arial"/>
          <w:sz w:val="20"/>
          <w:lang w:val="en-US"/>
        </w:rPr>
        <w:t>points to</w:t>
      </w:r>
      <w:r w:rsidR="001175DB" w:rsidRPr="00E609E7">
        <w:rPr>
          <w:rFonts w:ascii="Arial" w:hAnsi="Arial"/>
          <w:sz w:val="20"/>
          <w:lang w:val="en-US"/>
        </w:rPr>
        <w:t xml:space="preserve"> promising results in terms of formal employment</w:t>
      </w:r>
      <w:r w:rsidR="00451988" w:rsidRPr="00E609E7">
        <w:rPr>
          <w:rFonts w:ascii="Arial" w:hAnsi="Arial"/>
          <w:sz w:val="20"/>
          <w:lang w:val="en-US"/>
        </w:rPr>
        <w:t xml:space="preserve"> of women</w:t>
      </w:r>
      <w:r w:rsidR="001175DB" w:rsidRPr="00E609E7">
        <w:rPr>
          <w:rFonts w:ascii="Arial" w:hAnsi="Arial"/>
          <w:sz w:val="20"/>
          <w:lang w:val="en-US"/>
        </w:rPr>
        <w:t xml:space="preserve">. Data show that, thanks to incentives initiated for women's employment in July 2008, formal employment for women in the 30-44 age </w:t>
      </w:r>
      <w:r w:rsidR="003A3E05">
        <w:rPr>
          <w:rFonts w:ascii="Arial" w:hAnsi="Arial"/>
          <w:sz w:val="20"/>
          <w:lang w:val="en-US"/>
        </w:rPr>
        <w:t>group</w:t>
      </w:r>
      <w:r w:rsidR="00D069E8">
        <w:rPr>
          <w:rFonts w:ascii="Arial" w:hAnsi="Arial"/>
          <w:sz w:val="20"/>
          <w:lang w:val="en-US"/>
        </w:rPr>
        <w:t xml:space="preserve"> increases </w:t>
      </w:r>
      <w:r w:rsidR="003A3E05">
        <w:rPr>
          <w:rFonts w:ascii="Arial" w:hAnsi="Arial"/>
          <w:sz w:val="20"/>
          <w:lang w:val="en-US"/>
        </w:rPr>
        <w:t>faster</w:t>
      </w:r>
      <w:r w:rsidR="001175DB" w:rsidRPr="00E609E7">
        <w:rPr>
          <w:rFonts w:ascii="Arial" w:hAnsi="Arial"/>
          <w:sz w:val="20"/>
          <w:lang w:val="en-US"/>
        </w:rPr>
        <w:t xml:space="preserve"> compared to </w:t>
      </w:r>
      <w:r w:rsidR="00B47328">
        <w:rPr>
          <w:rFonts w:ascii="Arial" w:hAnsi="Arial"/>
          <w:sz w:val="20"/>
          <w:lang w:val="en-US"/>
        </w:rPr>
        <w:t>that</w:t>
      </w:r>
      <w:r w:rsidR="001175DB" w:rsidRPr="00E609E7">
        <w:rPr>
          <w:rFonts w:ascii="Arial" w:hAnsi="Arial"/>
          <w:sz w:val="20"/>
          <w:lang w:val="en-US"/>
        </w:rPr>
        <w:t xml:space="preserve"> of men in the same age group. This rel</w:t>
      </w:r>
      <w:r w:rsidR="00CC08B3">
        <w:rPr>
          <w:rFonts w:ascii="Arial" w:hAnsi="Arial"/>
          <w:sz w:val="20"/>
          <w:lang w:val="en-US"/>
        </w:rPr>
        <w:t xml:space="preserve">ative improvement seems to be particularly strong </w:t>
      </w:r>
      <w:r w:rsidR="001175DB" w:rsidRPr="00E609E7">
        <w:rPr>
          <w:rFonts w:ascii="Arial" w:hAnsi="Arial"/>
          <w:sz w:val="20"/>
          <w:lang w:val="en-US"/>
        </w:rPr>
        <w:t xml:space="preserve">in the employment of married women who are </w:t>
      </w:r>
      <w:r w:rsidR="0028692C">
        <w:rPr>
          <w:rFonts w:ascii="Arial" w:hAnsi="Arial"/>
          <w:sz w:val="20"/>
          <w:lang w:val="en-US"/>
        </w:rPr>
        <w:t>at most</w:t>
      </w:r>
      <w:r w:rsidR="0091404A">
        <w:rPr>
          <w:rFonts w:ascii="Arial" w:hAnsi="Arial"/>
          <w:sz w:val="20"/>
          <w:lang w:val="en-US"/>
        </w:rPr>
        <w:t xml:space="preserve"> </w:t>
      </w:r>
      <w:r w:rsidR="001175DB" w:rsidRPr="00E609E7">
        <w:rPr>
          <w:rFonts w:ascii="Arial" w:hAnsi="Arial"/>
          <w:sz w:val="20"/>
          <w:lang w:val="en-US"/>
        </w:rPr>
        <w:t>high school graduates</w:t>
      </w:r>
      <w:r w:rsidR="0028692C">
        <w:rPr>
          <w:rFonts w:ascii="Arial" w:hAnsi="Arial"/>
          <w:sz w:val="20"/>
          <w:lang w:val="en-US"/>
        </w:rPr>
        <w:t xml:space="preserve">. </w:t>
      </w:r>
      <w:r w:rsidR="006D58C8">
        <w:rPr>
          <w:rFonts w:ascii="Arial" w:hAnsi="Arial"/>
          <w:sz w:val="20"/>
          <w:lang w:val="en-US"/>
        </w:rPr>
        <w:t>Also</w:t>
      </w:r>
      <w:r w:rsidR="001175DB" w:rsidRPr="00E609E7">
        <w:rPr>
          <w:rFonts w:ascii="Arial" w:hAnsi="Arial"/>
          <w:sz w:val="20"/>
          <w:lang w:val="en-US"/>
        </w:rPr>
        <w:t xml:space="preserve"> women working in the industrial sector in relatively </w:t>
      </w:r>
      <w:r w:rsidR="00451988" w:rsidRPr="00E609E7">
        <w:rPr>
          <w:rFonts w:ascii="Arial" w:hAnsi="Arial"/>
          <w:sz w:val="20"/>
          <w:lang w:val="en-US"/>
        </w:rPr>
        <w:t>large</w:t>
      </w:r>
      <w:r w:rsidR="00342315">
        <w:rPr>
          <w:rFonts w:ascii="Arial" w:hAnsi="Arial"/>
          <w:sz w:val="20"/>
          <w:lang w:val="en-US"/>
        </w:rPr>
        <w:t xml:space="preserve"> </w:t>
      </w:r>
      <w:r w:rsidR="0028692C">
        <w:rPr>
          <w:rFonts w:ascii="Arial" w:hAnsi="Arial"/>
          <w:sz w:val="20"/>
          <w:lang w:val="en-US"/>
        </w:rPr>
        <w:t>firms</w:t>
      </w:r>
      <w:r w:rsidR="00342315">
        <w:rPr>
          <w:rFonts w:ascii="Arial" w:hAnsi="Arial"/>
          <w:sz w:val="20"/>
          <w:lang w:val="en-US"/>
        </w:rPr>
        <w:t xml:space="preserve"> as skilled manual labor</w:t>
      </w:r>
      <w:r w:rsidR="006D58C8">
        <w:rPr>
          <w:rFonts w:ascii="Arial" w:hAnsi="Arial"/>
          <w:sz w:val="20"/>
          <w:lang w:val="en-US"/>
        </w:rPr>
        <w:t xml:space="preserve"> constitute a major group of beneficiaries. </w:t>
      </w:r>
    </w:p>
    <w:p w:rsidR="0096211B" w:rsidRPr="00E609E7" w:rsidRDefault="0096211B" w:rsidP="001175DB">
      <w:pPr>
        <w:rPr>
          <w:rFonts w:ascii="Arial" w:hAnsi="Arial" w:cs="Arial"/>
          <w:sz w:val="20"/>
          <w:szCs w:val="20"/>
          <w:lang w:val="en-US"/>
        </w:rPr>
      </w:pPr>
    </w:p>
    <w:p w:rsidR="001175DB" w:rsidRDefault="001175DB" w:rsidP="001175DB">
      <w:pPr>
        <w:rPr>
          <w:rFonts w:ascii="Arial" w:hAnsi="Arial"/>
          <w:sz w:val="20"/>
          <w:lang w:val="en-US"/>
        </w:rPr>
      </w:pPr>
      <w:r w:rsidRPr="00E609E7">
        <w:rPr>
          <w:rFonts w:ascii="Arial" w:hAnsi="Arial"/>
          <w:sz w:val="20"/>
          <w:lang w:val="en-US"/>
        </w:rPr>
        <w:t xml:space="preserve">On the other hand, regional employment incentives </w:t>
      </w:r>
      <w:r w:rsidR="003C58A3">
        <w:rPr>
          <w:rFonts w:ascii="Arial" w:hAnsi="Arial"/>
          <w:sz w:val="20"/>
          <w:lang w:val="en-US"/>
        </w:rPr>
        <w:t xml:space="preserve">that are </w:t>
      </w:r>
      <w:r w:rsidRPr="00E609E7">
        <w:rPr>
          <w:rFonts w:ascii="Arial" w:hAnsi="Arial"/>
          <w:sz w:val="20"/>
          <w:lang w:val="en-US"/>
        </w:rPr>
        <w:t xml:space="preserve">in </w:t>
      </w:r>
      <w:r w:rsidR="003C58A3">
        <w:rPr>
          <w:rFonts w:ascii="Arial" w:hAnsi="Arial"/>
          <w:sz w:val="20"/>
          <w:lang w:val="en-US"/>
        </w:rPr>
        <w:t>effect</w:t>
      </w:r>
      <w:r w:rsidRPr="00E609E7">
        <w:rPr>
          <w:rFonts w:ascii="Arial" w:hAnsi="Arial"/>
          <w:sz w:val="20"/>
          <w:lang w:val="en-US"/>
        </w:rPr>
        <w:t xml:space="preserve"> in 49 provinces limit the effects of the incentives </w:t>
      </w:r>
      <w:r w:rsidR="000B5A40">
        <w:rPr>
          <w:rFonts w:ascii="Arial" w:hAnsi="Arial"/>
          <w:sz w:val="20"/>
          <w:lang w:val="en-US"/>
        </w:rPr>
        <w:t>provided</w:t>
      </w:r>
      <w:r w:rsidRPr="00E609E7">
        <w:rPr>
          <w:rFonts w:ascii="Arial" w:hAnsi="Arial"/>
          <w:sz w:val="20"/>
          <w:lang w:val="en-US"/>
        </w:rPr>
        <w:t xml:space="preserve"> for women's employment.  This is </w:t>
      </w:r>
      <w:r w:rsidR="004E0F40">
        <w:rPr>
          <w:rFonts w:ascii="Arial" w:hAnsi="Arial"/>
          <w:sz w:val="20"/>
          <w:lang w:val="en-US"/>
        </w:rPr>
        <w:t>due to the fact that</w:t>
      </w:r>
      <w:r w:rsidRPr="00E609E7">
        <w:rPr>
          <w:rFonts w:ascii="Arial" w:hAnsi="Arial"/>
          <w:sz w:val="20"/>
          <w:lang w:val="en-US"/>
        </w:rPr>
        <w:t xml:space="preserve"> premium incentives are provided for all new employment regardless of gender</w:t>
      </w:r>
      <w:r w:rsidR="004E0F40" w:rsidRPr="004E0F40">
        <w:rPr>
          <w:rFonts w:ascii="Arial" w:hAnsi="Arial"/>
          <w:sz w:val="20"/>
          <w:lang w:val="en-US"/>
        </w:rPr>
        <w:t xml:space="preserve"> </w:t>
      </w:r>
      <w:r w:rsidR="004E0F40" w:rsidRPr="00E609E7">
        <w:rPr>
          <w:rFonts w:ascii="Arial" w:hAnsi="Arial"/>
          <w:sz w:val="20"/>
          <w:lang w:val="en-US"/>
        </w:rPr>
        <w:t>in provinces benefiting from regional incentives</w:t>
      </w:r>
      <w:r w:rsidRPr="00E609E7">
        <w:rPr>
          <w:rFonts w:ascii="Arial" w:hAnsi="Arial"/>
          <w:sz w:val="20"/>
          <w:lang w:val="en-US"/>
        </w:rPr>
        <w:t xml:space="preserve">. In other words, since the cost of employment is reduced for both genders in these 49 provinces, the effects of incentives on women's employment will be stronger in the remaining 32 provinces </w:t>
      </w:r>
      <w:r w:rsidR="00E922ED">
        <w:rPr>
          <w:rFonts w:ascii="Arial" w:hAnsi="Arial"/>
          <w:sz w:val="20"/>
          <w:lang w:val="en-US"/>
        </w:rPr>
        <w:t>that</w:t>
      </w:r>
      <w:r w:rsidRPr="00E609E7">
        <w:rPr>
          <w:rFonts w:ascii="Arial" w:hAnsi="Arial"/>
          <w:sz w:val="20"/>
          <w:lang w:val="en-US"/>
        </w:rPr>
        <w:t xml:space="preserve"> do </w:t>
      </w:r>
      <w:r w:rsidRPr="00E609E7">
        <w:rPr>
          <w:rFonts w:ascii="Arial" w:hAnsi="Arial"/>
          <w:sz w:val="20"/>
          <w:lang w:val="en-US"/>
        </w:rPr>
        <w:lastRenderedPageBreak/>
        <w:t xml:space="preserve">not benefit from regional incentives. However, since monthly </w:t>
      </w:r>
      <w:r w:rsidR="00F4480B">
        <w:rPr>
          <w:rFonts w:ascii="Arial" w:hAnsi="Arial"/>
          <w:sz w:val="20"/>
          <w:lang w:val="en-US"/>
        </w:rPr>
        <w:t>labor</w:t>
      </w:r>
      <w:r w:rsidRPr="00E609E7">
        <w:rPr>
          <w:rFonts w:ascii="Arial" w:hAnsi="Arial"/>
          <w:sz w:val="20"/>
          <w:lang w:val="en-US"/>
        </w:rPr>
        <w:t xml:space="preserve"> market data are not </w:t>
      </w:r>
      <w:r w:rsidR="00BA7811">
        <w:rPr>
          <w:rFonts w:ascii="Arial" w:hAnsi="Arial"/>
          <w:sz w:val="20"/>
          <w:lang w:val="en-US"/>
        </w:rPr>
        <w:t>provided at the provincial level</w:t>
      </w:r>
      <w:r w:rsidRPr="00E609E7">
        <w:rPr>
          <w:rFonts w:ascii="Arial" w:hAnsi="Arial"/>
          <w:sz w:val="20"/>
          <w:lang w:val="en-US"/>
        </w:rPr>
        <w:t xml:space="preserve"> </w:t>
      </w:r>
      <w:r w:rsidR="00447B6B">
        <w:rPr>
          <w:rFonts w:ascii="Arial" w:hAnsi="Arial"/>
          <w:sz w:val="20"/>
          <w:lang w:val="en-US"/>
        </w:rPr>
        <w:t xml:space="preserve">by </w:t>
      </w:r>
      <w:proofErr w:type="spellStart"/>
      <w:r w:rsidRPr="00E609E7">
        <w:rPr>
          <w:rFonts w:ascii="Arial" w:hAnsi="Arial"/>
          <w:sz w:val="20"/>
          <w:lang w:val="en-US"/>
        </w:rPr>
        <w:t>TurkStat</w:t>
      </w:r>
      <w:proofErr w:type="spellEnd"/>
      <w:r w:rsidRPr="00E609E7">
        <w:rPr>
          <w:rFonts w:ascii="Arial" w:hAnsi="Arial"/>
          <w:sz w:val="20"/>
          <w:lang w:val="en-US"/>
        </w:rPr>
        <w:t xml:space="preserve">, the analysis </w:t>
      </w:r>
      <w:r w:rsidR="00BA7811">
        <w:rPr>
          <w:rFonts w:ascii="Arial" w:hAnsi="Arial"/>
          <w:sz w:val="20"/>
          <w:lang w:val="en-US"/>
        </w:rPr>
        <w:t>was</w:t>
      </w:r>
      <w:r w:rsidRPr="00E609E7">
        <w:rPr>
          <w:rFonts w:ascii="Arial" w:hAnsi="Arial"/>
          <w:sz w:val="20"/>
          <w:lang w:val="en-US"/>
        </w:rPr>
        <w:t xml:space="preserve"> co</w:t>
      </w:r>
      <w:r w:rsidR="005E489F">
        <w:rPr>
          <w:rFonts w:ascii="Arial" w:hAnsi="Arial"/>
          <w:sz w:val="20"/>
          <w:lang w:val="en-US"/>
        </w:rPr>
        <w:t xml:space="preserve">nducted using </w:t>
      </w:r>
      <w:r w:rsidR="00CB5478">
        <w:rPr>
          <w:rFonts w:ascii="Arial" w:hAnsi="Arial"/>
          <w:sz w:val="20"/>
          <w:lang w:val="en-US"/>
        </w:rPr>
        <w:t>national data</w:t>
      </w:r>
      <w:r w:rsidRPr="00E609E7">
        <w:rPr>
          <w:rFonts w:ascii="Arial" w:hAnsi="Arial"/>
          <w:sz w:val="20"/>
          <w:lang w:val="en-US"/>
        </w:rPr>
        <w:t xml:space="preserve">. </w:t>
      </w:r>
    </w:p>
    <w:p w:rsidR="00E922ED" w:rsidRPr="00E922ED" w:rsidRDefault="00E922ED" w:rsidP="001175DB">
      <w:pPr>
        <w:rPr>
          <w:rFonts w:ascii="Arial" w:hAnsi="Arial"/>
          <w:sz w:val="20"/>
          <w:lang w:val="en-US"/>
        </w:rPr>
      </w:pPr>
    </w:p>
    <w:p w:rsidR="001175DB" w:rsidRPr="00C8141C" w:rsidRDefault="00554D2C" w:rsidP="001175DB">
      <w:pPr>
        <w:rPr>
          <w:rFonts w:ascii="Arial" w:hAnsi="Arial"/>
          <w:sz w:val="20"/>
          <w:lang w:val="en-US"/>
        </w:rPr>
      </w:pPr>
      <w:r>
        <w:rPr>
          <w:rFonts w:ascii="Arial" w:hAnsi="Arial"/>
          <w:sz w:val="20"/>
          <w:lang w:val="en-US"/>
        </w:rPr>
        <w:t>The</w:t>
      </w:r>
      <w:r w:rsidR="001175DB" w:rsidRPr="00E609E7">
        <w:rPr>
          <w:rFonts w:ascii="Arial" w:hAnsi="Arial"/>
          <w:sz w:val="20"/>
          <w:lang w:val="en-US"/>
        </w:rPr>
        <w:t xml:space="preserve"> results indicate v</w:t>
      </w:r>
      <w:r w:rsidR="00844502">
        <w:rPr>
          <w:rFonts w:ascii="Arial" w:hAnsi="Arial"/>
          <w:sz w:val="20"/>
          <w:lang w:val="en-US"/>
        </w:rPr>
        <w:t>isible improvements</w:t>
      </w:r>
      <w:r w:rsidR="001175DB" w:rsidRPr="00E609E7">
        <w:rPr>
          <w:rFonts w:ascii="Arial" w:hAnsi="Arial"/>
          <w:sz w:val="20"/>
          <w:lang w:val="en-US"/>
        </w:rPr>
        <w:t xml:space="preserve"> in the </w:t>
      </w:r>
      <w:r w:rsidR="002B03BB">
        <w:rPr>
          <w:rFonts w:ascii="Arial" w:hAnsi="Arial"/>
          <w:sz w:val="20"/>
          <w:lang w:val="en-US"/>
        </w:rPr>
        <w:t xml:space="preserve">formal </w:t>
      </w:r>
      <w:r w:rsidR="001175DB" w:rsidRPr="00E609E7">
        <w:rPr>
          <w:rFonts w:ascii="Arial" w:hAnsi="Arial"/>
          <w:sz w:val="20"/>
          <w:lang w:val="en-US"/>
        </w:rPr>
        <w:t>employment of women in the 30-44 age group</w:t>
      </w:r>
      <w:r w:rsidR="00844502" w:rsidRPr="00844502">
        <w:rPr>
          <w:rFonts w:ascii="Arial" w:hAnsi="Arial"/>
          <w:sz w:val="20"/>
          <w:lang w:val="en-US"/>
        </w:rPr>
        <w:t xml:space="preserve"> </w:t>
      </w:r>
      <w:r w:rsidR="00844502" w:rsidRPr="00E609E7">
        <w:rPr>
          <w:rFonts w:ascii="Arial" w:hAnsi="Arial"/>
          <w:sz w:val="20"/>
          <w:lang w:val="en-US"/>
        </w:rPr>
        <w:t xml:space="preserve">compared to </w:t>
      </w:r>
      <w:r w:rsidR="00844502">
        <w:rPr>
          <w:rFonts w:ascii="Arial" w:hAnsi="Arial"/>
          <w:sz w:val="20"/>
          <w:lang w:val="en-US"/>
        </w:rPr>
        <w:t>that</w:t>
      </w:r>
      <w:r w:rsidR="00844502" w:rsidRPr="00E609E7">
        <w:rPr>
          <w:rFonts w:ascii="Arial" w:hAnsi="Arial"/>
          <w:sz w:val="20"/>
          <w:lang w:val="en-US"/>
        </w:rPr>
        <w:t xml:space="preserve"> of men</w:t>
      </w:r>
      <w:r w:rsidR="003616D0">
        <w:rPr>
          <w:rFonts w:ascii="Arial" w:hAnsi="Arial"/>
          <w:sz w:val="20"/>
          <w:lang w:val="en-US"/>
        </w:rPr>
        <w:t xml:space="preserve">. Hence the </w:t>
      </w:r>
      <w:r w:rsidR="00451988" w:rsidRPr="00E609E7">
        <w:rPr>
          <w:rFonts w:ascii="Arial" w:hAnsi="Arial"/>
          <w:sz w:val="20"/>
          <w:lang w:val="en-US"/>
        </w:rPr>
        <w:t xml:space="preserve">incentives </w:t>
      </w:r>
      <w:r w:rsidR="003616D0">
        <w:rPr>
          <w:rFonts w:ascii="Arial" w:hAnsi="Arial"/>
          <w:sz w:val="20"/>
          <w:lang w:val="en-US"/>
        </w:rPr>
        <w:t>seem to</w:t>
      </w:r>
      <w:r w:rsidR="00AD0DF7">
        <w:rPr>
          <w:rFonts w:ascii="Arial" w:hAnsi="Arial"/>
          <w:sz w:val="20"/>
          <w:lang w:val="en-US"/>
        </w:rPr>
        <w:t xml:space="preserve"> work. However, </w:t>
      </w:r>
      <w:r w:rsidR="00C8141C">
        <w:rPr>
          <w:rFonts w:ascii="Arial" w:hAnsi="Arial"/>
          <w:sz w:val="20"/>
          <w:lang w:val="en-US"/>
        </w:rPr>
        <w:t xml:space="preserve">similar employment incentives to </w:t>
      </w:r>
      <w:r w:rsidR="00687202">
        <w:rPr>
          <w:rFonts w:ascii="Arial" w:hAnsi="Arial"/>
          <w:sz w:val="20"/>
          <w:lang w:val="en-US"/>
        </w:rPr>
        <w:t xml:space="preserve">all </w:t>
      </w:r>
      <w:r w:rsidR="00C8141C">
        <w:rPr>
          <w:rFonts w:ascii="Arial" w:hAnsi="Arial"/>
          <w:sz w:val="20"/>
          <w:lang w:val="en-US"/>
        </w:rPr>
        <w:t>new job creation were introduced in August 2009</w:t>
      </w:r>
      <w:r w:rsidR="00AD0DF7" w:rsidRPr="00AD0DF7">
        <w:rPr>
          <w:rFonts w:ascii="Arial" w:hAnsi="Arial"/>
          <w:sz w:val="20"/>
          <w:lang w:val="en-US"/>
        </w:rPr>
        <w:t xml:space="preserve"> </w:t>
      </w:r>
      <w:r w:rsidR="00AD0DF7">
        <w:rPr>
          <w:rFonts w:ascii="Arial" w:hAnsi="Arial"/>
          <w:sz w:val="20"/>
          <w:lang w:val="en-US"/>
        </w:rPr>
        <w:t>in an effort to alleviate the unfavorable effects of the economic crisis on the labor market in Turkey</w:t>
      </w:r>
      <w:r w:rsidR="00C8141C">
        <w:rPr>
          <w:rFonts w:ascii="Arial" w:hAnsi="Arial"/>
          <w:sz w:val="20"/>
          <w:lang w:val="en-US"/>
        </w:rPr>
        <w:t xml:space="preserve">. The incentives to new job creation were gender neutral, and thus </w:t>
      </w:r>
      <w:r w:rsidR="001175DB" w:rsidRPr="00E609E7">
        <w:rPr>
          <w:rFonts w:ascii="Arial" w:hAnsi="Arial"/>
          <w:sz w:val="20"/>
          <w:lang w:val="en-US"/>
        </w:rPr>
        <w:t xml:space="preserve">almost </w:t>
      </w:r>
      <w:r w:rsidR="00451988" w:rsidRPr="00E609E7">
        <w:rPr>
          <w:rFonts w:ascii="Arial" w:hAnsi="Arial"/>
          <w:sz w:val="20"/>
          <w:lang w:val="en-US"/>
        </w:rPr>
        <w:t>cancelled out</w:t>
      </w:r>
      <w:r w:rsidR="00C8141C">
        <w:rPr>
          <w:rFonts w:ascii="Arial" w:hAnsi="Arial"/>
          <w:sz w:val="20"/>
          <w:lang w:val="en-US"/>
        </w:rPr>
        <w:t xml:space="preserve"> the effect of</w:t>
      </w:r>
      <w:r w:rsidR="001175DB" w:rsidRPr="00E609E7">
        <w:rPr>
          <w:rFonts w:ascii="Arial" w:hAnsi="Arial"/>
          <w:sz w:val="20"/>
          <w:lang w:val="en-US"/>
        </w:rPr>
        <w:t xml:space="preserve"> incentives</w:t>
      </w:r>
      <w:r w:rsidR="00C8141C">
        <w:rPr>
          <w:rFonts w:ascii="Arial" w:hAnsi="Arial"/>
          <w:sz w:val="20"/>
          <w:lang w:val="en-US"/>
        </w:rPr>
        <w:t xml:space="preserve"> to women’s employment</w:t>
      </w:r>
      <w:r w:rsidR="001175DB" w:rsidRPr="00E609E7">
        <w:rPr>
          <w:rFonts w:ascii="Arial" w:hAnsi="Arial"/>
          <w:sz w:val="20"/>
          <w:lang w:val="en-US"/>
        </w:rPr>
        <w:t xml:space="preserve">. </w:t>
      </w:r>
      <w:r w:rsidR="009208C6">
        <w:rPr>
          <w:rFonts w:ascii="Arial" w:hAnsi="Arial"/>
          <w:sz w:val="20"/>
          <w:lang w:val="en-US"/>
        </w:rPr>
        <w:t xml:space="preserve">The incentives provided to all new job creation expired in June 2011, and then the formal employment of women in the 30-44 age </w:t>
      </w:r>
      <w:proofErr w:type="gramStart"/>
      <w:r w:rsidR="009208C6">
        <w:rPr>
          <w:rFonts w:ascii="Arial" w:hAnsi="Arial"/>
          <w:sz w:val="20"/>
          <w:lang w:val="en-US"/>
        </w:rPr>
        <w:t>group</w:t>
      </w:r>
      <w:proofErr w:type="gramEnd"/>
      <w:r w:rsidR="001175DB" w:rsidRPr="00E609E7">
        <w:rPr>
          <w:rFonts w:ascii="Arial" w:hAnsi="Arial"/>
          <w:sz w:val="20"/>
          <w:lang w:val="en-US"/>
        </w:rPr>
        <w:t xml:space="preserve"> increased </w:t>
      </w:r>
      <w:r w:rsidR="009208C6">
        <w:rPr>
          <w:rFonts w:ascii="Arial" w:hAnsi="Arial"/>
          <w:sz w:val="20"/>
          <w:lang w:val="en-US"/>
        </w:rPr>
        <w:t>again relative</w:t>
      </w:r>
      <w:r w:rsidR="001175DB" w:rsidRPr="00E609E7">
        <w:rPr>
          <w:rFonts w:ascii="Arial" w:hAnsi="Arial"/>
          <w:sz w:val="20"/>
          <w:lang w:val="en-US"/>
        </w:rPr>
        <w:t xml:space="preserve"> to </w:t>
      </w:r>
      <w:r w:rsidR="009208C6">
        <w:rPr>
          <w:rFonts w:ascii="Arial" w:hAnsi="Arial"/>
          <w:sz w:val="20"/>
          <w:lang w:val="en-US"/>
        </w:rPr>
        <w:t xml:space="preserve">that of </w:t>
      </w:r>
      <w:r w:rsidR="001175DB" w:rsidRPr="00E609E7">
        <w:rPr>
          <w:rFonts w:ascii="Arial" w:hAnsi="Arial"/>
          <w:sz w:val="20"/>
          <w:lang w:val="en-US"/>
        </w:rPr>
        <w:t xml:space="preserve">men. </w:t>
      </w:r>
    </w:p>
    <w:p w:rsidR="0096211B" w:rsidRPr="00E609E7" w:rsidRDefault="0096211B" w:rsidP="001175DB">
      <w:pPr>
        <w:rPr>
          <w:rFonts w:ascii="Arial" w:hAnsi="Arial" w:cs="Arial"/>
          <w:sz w:val="20"/>
          <w:szCs w:val="20"/>
          <w:lang w:val="en-US"/>
        </w:rPr>
      </w:pPr>
    </w:p>
    <w:p w:rsidR="001175DB" w:rsidRPr="00E609E7" w:rsidRDefault="001175DB" w:rsidP="001175DB">
      <w:pPr>
        <w:rPr>
          <w:rFonts w:ascii="Arial" w:hAnsi="Arial" w:cs="Arial"/>
          <w:sz w:val="20"/>
          <w:szCs w:val="20"/>
          <w:lang w:val="en-US"/>
        </w:rPr>
      </w:pPr>
      <w:r w:rsidRPr="00E609E7">
        <w:rPr>
          <w:rFonts w:ascii="Arial" w:hAnsi="Arial"/>
          <w:sz w:val="20"/>
          <w:lang w:val="en-US"/>
        </w:rPr>
        <w:t>The implementation of regional and new employment incentive</w:t>
      </w:r>
      <w:r w:rsidR="00451988" w:rsidRPr="00E609E7">
        <w:rPr>
          <w:rFonts w:ascii="Arial" w:hAnsi="Arial"/>
          <w:sz w:val="20"/>
          <w:lang w:val="en-US"/>
        </w:rPr>
        <w:t>s</w:t>
      </w:r>
      <w:r w:rsidRPr="00E609E7">
        <w:rPr>
          <w:rFonts w:ascii="Arial" w:hAnsi="Arial"/>
          <w:sz w:val="20"/>
          <w:lang w:val="en-US"/>
        </w:rPr>
        <w:t xml:space="preserve"> concurrent with women's employment incentives ha</w:t>
      </w:r>
      <w:r w:rsidR="00451988" w:rsidRPr="00E609E7">
        <w:rPr>
          <w:rFonts w:ascii="Arial" w:hAnsi="Arial"/>
          <w:sz w:val="20"/>
          <w:lang w:val="en-US"/>
        </w:rPr>
        <w:t>s</w:t>
      </w:r>
      <w:r w:rsidRPr="00E609E7">
        <w:rPr>
          <w:rFonts w:ascii="Arial" w:hAnsi="Arial"/>
          <w:sz w:val="20"/>
          <w:lang w:val="en-US"/>
        </w:rPr>
        <w:t xml:space="preserve"> weakened the </w:t>
      </w:r>
      <w:r w:rsidR="002770C8">
        <w:rPr>
          <w:rFonts w:ascii="Arial" w:hAnsi="Arial"/>
          <w:sz w:val="20"/>
          <w:lang w:val="en-US"/>
        </w:rPr>
        <w:t>overall</w:t>
      </w:r>
      <w:r w:rsidRPr="00E609E7">
        <w:rPr>
          <w:rFonts w:ascii="Arial" w:hAnsi="Arial"/>
          <w:sz w:val="20"/>
          <w:lang w:val="en-US"/>
        </w:rPr>
        <w:t xml:space="preserve"> effect of </w:t>
      </w:r>
      <w:r w:rsidR="00937484">
        <w:rPr>
          <w:rFonts w:ascii="Arial" w:hAnsi="Arial"/>
          <w:sz w:val="20"/>
          <w:lang w:val="en-US"/>
        </w:rPr>
        <w:t>the latter</w:t>
      </w:r>
      <w:r w:rsidRPr="00E609E7">
        <w:rPr>
          <w:rFonts w:ascii="Arial" w:hAnsi="Arial"/>
          <w:sz w:val="20"/>
          <w:lang w:val="en-US"/>
        </w:rPr>
        <w:t xml:space="preserve">. </w:t>
      </w:r>
      <w:r w:rsidR="003C4847">
        <w:rPr>
          <w:rFonts w:ascii="Arial" w:hAnsi="Arial"/>
          <w:sz w:val="20"/>
          <w:lang w:val="en-US"/>
        </w:rPr>
        <w:t>Clearly,</w:t>
      </w:r>
      <w:r w:rsidRPr="00E609E7">
        <w:rPr>
          <w:rFonts w:ascii="Arial" w:hAnsi="Arial"/>
          <w:sz w:val="20"/>
          <w:lang w:val="en-US"/>
        </w:rPr>
        <w:t xml:space="preserve"> policy-makers should take into consideration the interactions between incentives when designing new </w:t>
      </w:r>
      <w:r w:rsidR="00AB7101">
        <w:rPr>
          <w:rFonts w:ascii="Arial" w:hAnsi="Arial"/>
          <w:sz w:val="20"/>
          <w:lang w:val="en-US"/>
        </w:rPr>
        <w:t>ones</w:t>
      </w:r>
      <w:r w:rsidRPr="00E609E7">
        <w:rPr>
          <w:rFonts w:ascii="Arial" w:hAnsi="Arial"/>
          <w:sz w:val="20"/>
          <w:lang w:val="en-US"/>
        </w:rPr>
        <w:t xml:space="preserve">. </w:t>
      </w:r>
    </w:p>
    <w:p w:rsidR="001175DB" w:rsidRPr="00E609E7" w:rsidRDefault="00884082" w:rsidP="005A3BB4">
      <w:pPr>
        <w:pStyle w:val="Heading2"/>
        <w:tabs>
          <w:tab w:val="clear" w:pos="576"/>
          <w:tab w:val="num" w:pos="0"/>
        </w:tabs>
        <w:spacing w:after="200"/>
        <w:rPr>
          <w:i w:val="0"/>
          <w:sz w:val="20"/>
          <w:szCs w:val="20"/>
          <w:lang w:val="en-US"/>
        </w:rPr>
      </w:pPr>
      <w:r>
        <w:rPr>
          <w:i w:val="0"/>
          <w:sz w:val="20"/>
          <w:lang w:val="en-US"/>
        </w:rPr>
        <w:t>I</w:t>
      </w:r>
      <w:r w:rsidR="001175DB" w:rsidRPr="00E609E7">
        <w:rPr>
          <w:i w:val="0"/>
          <w:sz w:val="20"/>
          <w:lang w:val="en-US"/>
        </w:rPr>
        <w:t xml:space="preserve">ncentives for employment of women and </w:t>
      </w:r>
      <w:r w:rsidR="00B83EAA">
        <w:rPr>
          <w:i w:val="0"/>
          <w:sz w:val="20"/>
          <w:lang w:val="en-US"/>
        </w:rPr>
        <w:t>youth</w:t>
      </w:r>
      <w:r w:rsidR="001175DB" w:rsidRPr="00E609E7">
        <w:rPr>
          <w:i w:val="0"/>
          <w:sz w:val="20"/>
          <w:lang w:val="en-US"/>
        </w:rPr>
        <w:t xml:space="preserve"> </w:t>
      </w:r>
    </w:p>
    <w:p w:rsidR="001175DB" w:rsidRPr="00E609E7" w:rsidRDefault="001175DB" w:rsidP="001175DB">
      <w:pPr>
        <w:rPr>
          <w:rFonts w:ascii="Arial" w:hAnsi="Arial" w:cs="Arial"/>
          <w:sz w:val="20"/>
          <w:szCs w:val="20"/>
          <w:lang w:val="en-US"/>
        </w:rPr>
      </w:pPr>
      <w:r w:rsidRPr="00E609E7">
        <w:rPr>
          <w:rFonts w:ascii="Arial" w:hAnsi="Arial"/>
          <w:sz w:val="20"/>
          <w:lang w:val="en-US"/>
        </w:rPr>
        <w:t xml:space="preserve">First started in July 2008, measures to encourage employment of women and </w:t>
      </w:r>
      <w:r w:rsidR="00B83EAA">
        <w:rPr>
          <w:rFonts w:ascii="Arial" w:hAnsi="Arial"/>
          <w:sz w:val="20"/>
          <w:lang w:val="en-US"/>
        </w:rPr>
        <w:t>youth</w:t>
      </w:r>
      <w:r w:rsidRPr="00E609E7">
        <w:rPr>
          <w:rFonts w:ascii="Arial" w:hAnsi="Arial"/>
          <w:sz w:val="20"/>
          <w:lang w:val="en-US"/>
        </w:rPr>
        <w:t xml:space="preserve"> have continued to date with various changes along the way. According to latest regulations, these incentives will continue until the end of 2015. Moreover, the Council of Ministers has the power to extend them for another 5-year period. However, both the regional incentives and the measures taken to mitigate the effects of the global crisis negatively affecting the Turkish economy weaken </w:t>
      </w:r>
      <w:r w:rsidR="00173B40" w:rsidRPr="00E609E7">
        <w:rPr>
          <w:rFonts w:ascii="Arial" w:hAnsi="Arial"/>
          <w:sz w:val="20"/>
          <w:lang w:val="en-US"/>
        </w:rPr>
        <w:t xml:space="preserve">considerably </w:t>
      </w:r>
      <w:r w:rsidRPr="00E609E7">
        <w:rPr>
          <w:rFonts w:ascii="Arial" w:hAnsi="Arial"/>
          <w:sz w:val="20"/>
          <w:lang w:val="en-US"/>
        </w:rPr>
        <w:t xml:space="preserve">the effects of these incentives for employment of women and </w:t>
      </w:r>
      <w:r w:rsidR="00B83EAA">
        <w:rPr>
          <w:rFonts w:ascii="Arial" w:hAnsi="Arial"/>
          <w:sz w:val="20"/>
          <w:lang w:val="en-US"/>
        </w:rPr>
        <w:t>youth</w:t>
      </w:r>
      <w:r w:rsidRPr="00E609E7">
        <w:rPr>
          <w:rFonts w:ascii="Arial" w:hAnsi="Arial"/>
          <w:sz w:val="20"/>
          <w:lang w:val="en-US"/>
        </w:rPr>
        <w:t xml:space="preserve">. Below, </w:t>
      </w:r>
      <w:r w:rsidR="009F7766">
        <w:rPr>
          <w:rFonts w:ascii="Arial" w:hAnsi="Arial"/>
          <w:sz w:val="20"/>
          <w:lang w:val="en-US"/>
        </w:rPr>
        <w:t>t</w:t>
      </w:r>
      <w:r w:rsidRPr="00E609E7">
        <w:rPr>
          <w:rFonts w:ascii="Arial" w:hAnsi="Arial"/>
          <w:sz w:val="20"/>
          <w:lang w:val="en-US"/>
        </w:rPr>
        <w:t xml:space="preserve">he incentives to encourage employment of women and </w:t>
      </w:r>
      <w:r w:rsidR="00B83EAA">
        <w:rPr>
          <w:rFonts w:ascii="Arial" w:hAnsi="Arial"/>
          <w:sz w:val="20"/>
          <w:lang w:val="en-US"/>
        </w:rPr>
        <w:t>youth</w:t>
      </w:r>
      <w:r w:rsidRPr="00E609E7">
        <w:rPr>
          <w:rFonts w:ascii="Arial" w:hAnsi="Arial"/>
          <w:sz w:val="20"/>
          <w:lang w:val="en-US"/>
        </w:rPr>
        <w:t xml:space="preserve"> will be described, </w:t>
      </w:r>
      <w:r w:rsidR="00256763" w:rsidRPr="00E609E7">
        <w:rPr>
          <w:rFonts w:ascii="Arial" w:hAnsi="Arial"/>
          <w:sz w:val="20"/>
          <w:lang w:val="en-US"/>
        </w:rPr>
        <w:t>and then</w:t>
      </w:r>
      <w:r w:rsidRPr="00E609E7">
        <w:rPr>
          <w:rFonts w:ascii="Arial" w:hAnsi="Arial"/>
          <w:sz w:val="20"/>
          <w:lang w:val="en-US"/>
        </w:rPr>
        <w:t xml:space="preserve"> other </w:t>
      </w:r>
      <w:r w:rsidR="0050542D">
        <w:rPr>
          <w:rFonts w:ascii="Arial" w:hAnsi="Arial"/>
          <w:sz w:val="20"/>
          <w:lang w:val="en-US"/>
        </w:rPr>
        <w:t>regulations</w:t>
      </w:r>
      <w:r w:rsidRPr="00E609E7">
        <w:rPr>
          <w:rFonts w:ascii="Arial" w:hAnsi="Arial"/>
          <w:sz w:val="20"/>
          <w:lang w:val="en-US"/>
        </w:rPr>
        <w:t xml:space="preserve"> that undermine the relative effects of these incentives will be reviewed. </w:t>
      </w:r>
    </w:p>
    <w:p w:rsidR="001175DB" w:rsidRPr="00E609E7" w:rsidRDefault="001175DB" w:rsidP="005A3BB4">
      <w:pPr>
        <w:pStyle w:val="Heading3"/>
        <w:tabs>
          <w:tab w:val="clear" w:pos="720"/>
          <w:tab w:val="num" w:pos="0"/>
        </w:tabs>
        <w:spacing w:after="200"/>
        <w:rPr>
          <w:sz w:val="20"/>
          <w:szCs w:val="20"/>
          <w:lang w:val="en-US"/>
        </w:rPr>
      </w:pPr>
      <w:r w:rsidRPr="00E609E7">
        <w:rPr>
          <w:sz w:val="20"/>
          <w:lang w:val="en-US"/>
        </w:rPr>
        <w:t xml:space="preserve">Legal </w:t>
      </w:r>
      <w:r w:rsidR="00E3054E">
        <w:rPr>
          <w:sz w:val="20"/>
          <w:lang w:val="en-US"/>
        </w:rPr>
        <w:t>regulations</w:t>
      </w:r>
      <w:r w:rsidRPr="00E609E7">
        <w:rPr>
          <w:sz w:val="20"/>
          <w:lang w:val="en-US"/>
        </w:rPr>
        <w:t xml:space="preserve"> encouraging employment of women and </w:t>
      </w:r>
      <w:r w:rsidR="00B83EAA">
        <w:rPr>
          <w:sz w:val="20"/>
          <w:lang w:val="en-US"/>
        </w:rPr>
        <w:t>youth</w:t>
      </w:r>
      <w:r w:rsidRPr="00E609E7">
        <w:rPr>
          <w:sz w:val="20"/>
          <w:lang w:val="en-US"/>
        </w:rPr>
        <w:t xml:space="preserve"> </w:t>
      </w:r>
    </w:p>
    <w:p w:rsidR="001175DB" w:rsidRPr="00E609E7" w:rsidRDefault="00670399" w:rsidP="001175DB">
      <w:pPr>
        <w:rPr>
          <w:rFonts w:ascii="Arial" w:hAnsi="Arial" w:cs="Arial"/>
          <w:sz w:val="20"/>
          <w:szCs w:val="20"/>
          <w:lang w:val="en-US"/>
        </w:rPr>
      </w:pPr>
      <w:r>
        <w:rPr>
          <w:rFonts w:ascii="Arial" w:hAnsi="Arial"/>
          <w:sz w:val="20"/>
          <w:lang w:val="en-US"/>
        </w:rPr>
        <w:t>Social security</w:t>
      </w:r>
      <w:r w:rsidR="001175DB" w:rsidRPr="00E609E7">
        <w:rPr>
          <w:rFonts w:ascii="Arial" w:hAnsi="Arial"/>
          <w:sz w:val="20"/>
          <w:lang w:val="en-US"/>
        </w:rPr>
        <w:t xml:space="preserve"> premium incentives given for employment in Turkey are usually </w:t>
      </w:r>
      <w:r w:rsidR="006A7438">
        <w:rPr>
          <w:rFonts w:ascii="Arial" w:hAnsi="Arial"/>
          <w:sz w:val="20"/>
          <w:lang w:val="en-US"/>
        </w:rPr>
        <w:t>financed</w:t>
      </w:r>
      <w:r w:rsidR="001175DB" w:rsidRPr="00E609E7">
        <w:rPr>
          <w:rFonts w:ascii="Arial" w:hAnsi="Arial"/>
          <w:sz w:val="20"/>
          <w:lang w:val="en-US"/>
        </w:rPr>
        <w:t xml:space="preserve"> </w:t>
      </w:r>
      <w:r w:rsidR="00C47C29">
        <w:rPr>
          <w:rFonts w:ascii="Arial" w:hAnsi="Arial"/>
          <w:sz w:val="20"/>
          <w:lang w:val="en-US"/>
        </w:rPr>
        <w:t>through</w:t>
      </w:r>
      <w:r w:rsidR="001175DB" w:rsidRPr="00E609E7">
        <w:rPr>
          <w:rFonts w:ascii="Arial" w:hAnsi="Arial"/>
          <w:sz w:val="20"/>
          <w:lang w:val="en-US"/>
        </w:rPr>
        <w:t xml:space="preserve"> the Unemployment Insurance Fund; hence, these incentives are regulated </w:t>
      </w:r>
      <w:r w:rsidR="00F5208A">
        <w:rPr>
          <w:rFonts w:ascii="Arial" w:hAnsi="Arial"/>
          <w:sz w:val="20"/>
          <w:lang w:val="en-US"/>
        </w:rPr>
        <w:t>by</w:t>
      </w:r>
      <w:r w:rsidR="001175DB" w:rsidRPr="00E609E7">
        <w:rPr>
          <w:rFonts w:ascii="Arial" w:hAnsi="Arial"/>
          <w:sz w:val="20"/>
          <w:lang w:val="en-US"/>
        </w:rPr>
        <w:t xml:space="preserve"> provisional articles added to the Unemployment Insurance Law no.4447. In the Unemployment Insurance Law, </w:t>
      </w:r>
      <w:r w:rsidR="00565565" w:rsidRPr="00E609E7">
        <w:rPr>
          <w:rFonts w:ascii="Arial" w:hAnsi="Arial"/>
          <w:sz w:val="20"/>
          <w:lang w:val="en-US"/>
        </w:rPr>
        <w:t>Provisional Articles 7 and 10</w:t>
      </w:r>
      <w:r w:rsidR="00565565">
        <w:rPr>
          <w:rFonts w:ascii="Arial" w:hAnsi="Arial"/>
          <w:sz w:val="20"/>
          <w:lang w:val="en-US"/>
        </w:rPr>
        <w:t xml:space="preserve"> regulate </w:t>
      </w:r>
      <w:r w:rsidR="00565565" w:rsidRPr="00E609E7">
        <w:rPr>
          <w:rFonts w:ascii="Arial" w:hAnsi="Arial"/>
          <w:sz w:val="20"/>
          <w:lang w:val="en-US"/>
        </w:rPr>
        <w:t>employm</w:t>
      </w:r>
      <w:r w:rsidR="00565565">
        <w:rPr>
          <w:rFonts w:ascii="Arial" w:hAnsi="Arial"/>
          <w:sz w:val="20"/>
          <w:lang w:val="en-US"/>
        </w:rPr>
        <w:t>ent of women and youth</w:t>
      </w:r>
      <w:r w:rsidR="001175DB" w:rsidRPr="00E609E7">
        <w:rPr>
          <w:rFonts w:ascii="Arial" w:hAnsi="Arial"/>
          <w:sz w:val="20"/>
          <w:lang w:val="en-US"/>
        </w:rPr>
        <w:t>, and</w:t>
      </w:r>
      <w:r w:rsidR="00565565" w:rsidRPr="00565565">
        <w:rPr>
          <w:rFonts w:ascii="Arial" w:hAnsi="Arial"/>
          <w:sz w:val="20"/>
          <w:lang w:val="en-US"/>
        </w:rPr>
        <w:t xml:space="preserve"> </w:t>
      </w:r>
      <w:r w:rsidR="00565565" w:rsidRPr="00E609E7">
        <w:rPr>
          <w:rFonts w:ascii="Arial" w:hAnsi="Arial"/>
          <w:sz w:val="20"/>
          <w:lang w:val="en-US"/>
        </w:rPr>
        <w:t>Provisional Article 9</w:t>
      </w:r>
      <w:r w:rsidR="00565565">
        <w:rPr>
          <w:rFonts w:ascii="Arial" w:hAnsi="Arial"/>
          <w:sz w:val="20"/>
          <w:lang w:val="en-US"/>
        </w:rPr>
        <w:t xml:space="preserve"> regulates </w:t>
      </w:r>
      <w:r>
        <w:rPr>
          <w:rFonts w:ascii="Arial" w:hAnsi="Arial"/>
          <w:sz w:val="20"/>
          <w:lang w:val="en-US"/>
        </w:rPr>
        <w:t>social security</w:t>
      </w:r>
      <w:r w:rsidR="00565565" w:rsidRPr="00E609E7">
        <w:rPr>
          <w:rFonts w:ascii="Arial" w:hAnsi="Arial"/>
          <w:sz w:val="20"/>
          <w:lang w:val="en-US"/>
        </w:rPr>
        <w:t xml:space="preserve"> premium incentives </w:t>
      </w:r>
      <w:r w:rsidR="00565565">
        <w:rPr>
          <w:rFonts w:ascii="Arial" w:hAnsi="Arial"/>
          <w:sz w:val="20"/>
          <w:lang w:val="en-US"/>
        </w:rPr>
        <w:t xml:space="preserve">for all </w:t>
      </w:r>
      <w:r w:rsidR="00565565" w:rsidRPr="00E609E7">
        <w:rPr>
          <w:rFonts w:ascii="Arial" w:hAnsi="Arial"/>
          <w:sz w:val="20"/>
          <w:lang w:val="en-US"/>
        </w:rPr>
        <w:t>new employment</w:t>
      </w:r>
      <w:r w:rsidR="00592A6F">
        <w:rPr>
          <w:rFonts w:ascii="Arial" w:hAnsi="Arial"/>
          <w:sz w:val="20"/>
          <w:lang w:val="en-US"/>
        </w:rPr>
        <w:t>.</w:t>
      </w:r>
      <w:r w:rsidR="00B73D79">
        <w:rPr>
          <w:rFonts w:ascii="Arial" w:hAnsi="Arial"/>
          <w:sz w:val="20"/>
          <w:lang w:val="en-US"/>
        </w:rPr>
        <w:t xml:space="preserve"> </w:t>
      </w:r>
      <w:r w:rsidR="001175DB" w:rsidRPr="00E609E7">
        <w:rPr>
          <w:rFonts w:ascii="Arial" w:hAnsi="Arial"/>
          <w:sz w:val="20"/>
          <w:lang w:val="en-US"/>
        </w:rPr>
        <w:t xml:space="preserve">The contents and effective dates of these articles are summarized below. </w:t>
      </w:r>
    </w:p>
    <w:p w:rsidR="0096211B" w:rsidRPr="00E609E7" w:rsidRDefault="0096211B" w:rsidP="001175DB">
      <w:pPr>
        <w:rPr>
          <w:rFonts w:ascii="Arial" w:hAnsi="Arial" w:cs="Arial"/>
          <w:sz w:val="20"/>
          <w:szCs w:val="20"/>
          <w:lang w:val="en-US"/>
        </w:rPr>
      </w:pPr>
    </w:p>
    <w:p w:rsidR="001175DB" w:rsidRPr="00E609E7" w:rsidRDefault="001175DB" w:rsidP="001175DB">
      <w:pPr>
        <w:rPr>
          <w:rFonts w:ascii="Arial" w:hAnsi="Arial" w:cs="Arial"/>
          <w:sz w:val="20"/>
          <w:szCs w:val="20"/>
          <w:lang w:val="en-US"/>
        </w:rPr>
      </w:pPr>
      <w:r w:rsidRPr="00E609E7">
        <w:rPr>
          <w:rFonts w:ascii="Arial" w:hAnsi="Arial"/>
          <w:sz w:val="20"/>
          <w:lang w:val="en-US"/>
        </w:rPr>
        <w:t xml:space="preserve">Provisional Article 7, added to the Unemployment Insurance Law no.4447 with Law no.5763 on "Amendment of the </w:t>
      </w:r>
      <w:r w:rsidR="00F4480B">
        <w:rPr>
          <w:rFonts w:ascii="Arial" w:hAnsi="Arial"/>
          <w:sz w:val="20"/>
          <w:lang w:val="en-US"/>
        </w:rPr>
        <w:t>Labor</w:t>
      </w:r>
      <w:r w:rsidRPr="00E609E7">
        <w:rPr>
          <w:rFonts w:ascii="Arial" w:hAnsi="Arial"/>
          <w:sz w:val="20"/>
          <w:lang w:val="en-US"/>
        </w:rPr>
        <w:t xml:space="preserve"> Law and Miscell</w:t>
      </w:r>
      <w:r w:rsidR="00F236C7">
        <w:rPr>
          <w:rFonts w:ascii="Arial" w:hAnsi="Arial"/>
          <w:sz w:val="20"/>
          <w:lang w:val="en-US"/>
        </w:rPr>
        <w:t>aneous Other Laws", introduced</w:t>
      </w:r>
      <w:r w:rsidRPr="00E609E7">
        <w:rPr>
          <w:rFonts w:ascii="Arial" w:hAnsi="Arial"/>
          <w:sz w:val="20"/>
          <w:lang w:val="en-US"/>
        </w:rPr>
        <w:t xml:space="preserve"> </w:t>
      </w:r>
      <w:r w:rsidR="00670399">
        <w:rPr>
          <w:rFonts w:ascii="Arial" w:hAnsi="Arial"/>
          <w:sz w:val="20"/>
          <w:lang w:val="en-US"/>
        </w:rPr>
        <w:t>social security</w:t>
      </w:r>
      <w:r w:rsidRPr="00E609E7">
        <w:rPr>
          <w:rFonts w:ascii="Arial" w:hAnsi="Arial"/>
          <w:sz w:val="20"/>
          <w:lang w:val="en-US"/>
        </w:rPr>
        <w:t xml:space="preserve"> premium incentives to encourage employment of women and </w:t>
      </w:r>
      <w:r w:rsidR="00B83EAA">
        <w:rPr>
          <w:rFonts w:ascii="Arial" w:hAnsi="Arial"/>
          <w:sz w:val="20"/>
          <w:lang w:val="en-US"/>
        </w:rPr>
        <w:t>youth</w:t>
      </w:r>
      <w:r w:rsidR="00F236C7" w:rsidRPr="00F236C7">
        <w:rPr>
          <w:rFonts w:ascii="Arial" w:hAnsi="Arial"/>
          <w:sz w:val="20"/>
          <w:lang w:val="en-US"/>
        </w:rPr>
        <w:t xml:space="preserve"> </w:t>
      </w:r>
      <w:r w:rsidR="00F236C7" w:rsidRPr="00E609E7">
        <w:rPr>
          <w:rFonts w:ascii="Arial" w:hAnsi="Arial"/>
          <w:sz w:val="20"/>
          <w:lang w:val="en-US"/>
        </w:rPr>
        <w:t>for the first time in Turkey</w:t>
      </w:r>
      <w:r w:rsidR="00A33F6C">
        <w:rPr>
          <w:rFonts w:ascii="Arial" w:hAnsi="Arial"/>
          <w:sz w:val="20"/>
          <w:lang w:val="en-US"/>
        </w:rPr>
        <w:t>. According to Law no.5763,</w:t>
      </w:r>
      <w:r w:rsidR="00D15831" w:rsidRPr="00E609E7">
        <w:rPr>
          <w:rFonts w:ascii="Arial" w:hAnsi="Arial"/>
          <w:sz w:val="20"/>
          <w:lang w:val="en-US"/>
        </w:rPr>
        <w:t xml:space="preserve"> the S</w:t>
      </w:r>
      <w:r w:rsidRPr="00E609E7">
        <w:rPr>
          <w:rFonts w:ascii="Arial" w:hAnsi="Arial"/>
          <w:sz w:val="20"/>
          <w:lang w:val="en-US"/>
        </w:rPr>
        <w:t xml:space="preserve">tate (government) will gradually pay the employer shares of the </w:t>
      </w:r>
      <w:r w:rsidR="00670399">
        <w:rPr>
          <w:rFonts w:ascii="Arial" w:hAnsi="Arial"/>
          <w:sz w:val="20"/>
          <w:lang w:val="en-US"/>
        </w:rPr>
        <w:t>social security</w:t>
      </w:r>
      <w:r w:rsidRPr="00E609E7">
        <w:rPr>
          <w:rFonts w:ascii="Arial" w:hAnsi="Arial"/>
          <w:sz w:val="20"/>
          <w:lang w:val="en-US"/>
        </w:rPr>
        <w:t xml:space="preserve"> premiums of all newly employed women of all ages and </w:t>
      </w:r>
      <w:r w:rsidR="00B83EAA">
        <w:rPr>
          <w:rFonts w:ascii="Arial" w:hAnsi="Arial"/>
          <w:sz w:val="20"/>
          <w:lang w:val="en-US"/>
        </w:rPr>
        <w:t>youth</w:t>
      </w:r>
      <w:r w:rsidRPr="00E609E7">
        <w:rPr>
          <w:rFonts w:ascii="Arial" w:hAnsi="Arial"/>
          <w:sz w:val="20"/>
          <w:lang w:val="en-US"/>
        </w:rPr>
        <w:t xml:space="preserve"> in the 18-29 age </w:t>
      </w:r>
      <w:proofErr w:type="gramStart"/>
      <w:r w:rsidRPr="00E609E7">
        <w:rPr>
          <w:rFonts w:ascii="Arial" w:hAnsi="Arial"/>
          <w:sz w:val="20"/>
          <w:lang w:val="en-US"/>
        </w:rPr>
        <w:t>group</w:t>
      </w:r>
      <w:proofErr w:type="gramEnd"/>
      <w:r w:rsidR="003B38E6" w:rsidRPr="003B38E6">
        <w:rPr>
          <w:rFonts w:ascii="Arial" w:hAnsi="Arial"/>
          <w:sz w:val="20"/>
          <w:lang w:val="en-US"/>
        </w:rPr>
        <w:t xml:space="preserve"> </w:t>
      </w:r>
      <w:r w:rsidR="003B38E6">
        <w:rPr>
          <w:rFonts w:ascii="Arial" w:hAnsi="Arial"/>
          <w:sz w:val="20"/>
          <w:lang w:val="en-US"/>
        </w:rPr>
        <w:t xml:space="preserve">under some specific </w:t>
      </w:r>
      <w:r w:rsidR="003B38E6" w:rsidRPr="00E609E7">
        <w:rPr>
          <w:rFonts w:ascii="Arial" w:hAnsi="Arial"/>
          <w:sz w:val="20"/>
          <w:lang w:val="en-US"/>
        </w:rPr>
        <w:t>conditions</w:t>
      </w:r>
      <w:r w:rsidR="00D15831" w:rsidRPr="00E609E7">
        <w:rPr>
          <w:rFonts w:ascii="Arial" w:hAnsi="Arial"/>
          <w:sz w:val="20"/>
          <w:lang w:val="en-US"/>
        </w:rPr>
        <w:t>.</w:t>
      </w:r>
      <w:r w:rsidRPr="00E609E7">
        <w:rPr>
          <w:rFonts w:ascii="Arial" w:hAnsi="Arial"/>
          <w:sz w:val="20"/>
          <w:lang w:val="en-US"/>
        </w:rPr>
        <w:t xml:space="preserve"> The related section from the relevant article of </w:t>
      </w:r>
      <w:r w:rsidR="003B38E6">
        <w:rPr>
          <w:rFonts w:ascii="Arial" w:hAnsi="Arial"/>
          <w:sz w:val="20"/>
          <w:lang w:val="en-US"/>
        </w:rPr>
        <w:t>aforementioned</w:t>
      </w:r>
      <w:r w:rsidR="002C0C7F">
        <w:rPr>
          <w:rFonts w:ascii="Arial" w:hAnsi="Arial"/>
          <w:sz w:val="20"/>
          <w:lang w:val="en-US"/>
        </w:rPr>
        <w:t xml:space="preserve"> l</w:t>
      </w:r>
      <w:r w:rsidRPr="00E609E7">
        <w:rPr>
          <w:rFonts w:ascii="Arial" w:hAnsi="Arial"/>
          <w:sz w:val="20"/>
          <w:lang w:val="en-US"/>
        </w:rPr>
        <w:t xml:space="preserve">aw is </w:t>
      </w:r>
      <w:r w:rsidR="002F2426">
        <w:rPr>
          <w:rFonts w:ascii="Arial" w:hAnsi="Arial"/>
          <w:sz w:val="20"/>
          <w:lang w:val="en-US"/>
        </w:rPr>
        <w:t>provided</w:t>
      </w:r>
      <w:r w:rsidRPr="00E609E7">
        <w:rPr>
          <w:rFonts w:ascii="Arial" w:hAnsi="Arial"/>
          <w:sz w:val="20"/>
          <w:lang w:val="en-US"/>
        </w:rPr>
        <w:t xml:space="preserve"> below:  </w:t>
      </w:r>
    </w:p>
    <w:p w:rsidR="001175DB" w:rsidRPr="00E609E7" w:rsidRDefault="001175DB" w:rsidP="001175DB">
      <w:pPr>
        <w:spacing w:before="60" w:after="60"/>
        <w:ind w:firstLine="340"/>
        <w:jc w:val="both"/>
        <w:rPr>
          <w:rFonts w:ascii="Arial" w:hAnsi="Arial" w:cs="Arial"/>
          <w:i/>
          <w:iCs/>
          <w:sz w:val="20"/>
          <w:szCs w:val="20"/>
          <w:lang w:val="en-US"/>
        </w:rPr>
      </w:pPr>
      <w:r w:rsidRPr="00E609E7">
        <w:rPr>
          <w:rFonts w:ascii="Arial" w:hAnsi="Arial"/>
          <w:i/>
          <w:sz w:val="20"/>
          <w:lang w:val="en-US"/>
        </w:rPr>
        <w:t xml:space="preserve">"Of those older than 18 and younger than 29 years of age and of women older than 18 years of age regardless of their age, provided that they are not included among the registered insured personnel of an enterprise in their premium and service documents in the six-month period preceding the effective date of this article, for those who are hired and de facto employed within one </w:t>
      </w:r>
      <w:r w:rsidR="00D15831" w:rsidRPr="00E609E7">
        <w:rPr>
          <w:rFonts w:ascii="Arial" w:hAnsi="Arial"/>
          <w:i/>
          <w:sz w:val="20"/>
          <w:lang w:val="en-US"/>
        </w:rPr>
        <w:t>y</w:t>
      </w:r>
      <w:r w:rsidRPr="00E609E7">
        <w:rPr>
          <w:rFonts w:ascii="Arial" w:hAnsi="Arial"/>
          <w:i/>
          <w:sz w:val="20"/>
          <w:lang w:val="en-US"/>
        </w:rPr>
        <w:t xml:space="preserve">ear following the effective date of this article as an addition to the average number of insured personnel as declared in the premium and service documents of the workplace in the one-year period preceding the effective date of this article, the following portions from the employer contribution share of the </w:t>
      </w:r>
      <w:r w:rsidR="00670399">
        <w:rPr>
          <w:rFonts w:ascii="Arial" w:hAnsi="Arial"/>
          <w:i/>
          <w:sz w:val="20"/>
          <w:lang w:val="en-US"/>
        </w:rPr>
        <w:t>social security</w:t>
      </w:r>
      <w:r w:rsidRPr="00E609E7">
        <w:rPr>
          <w:rFonts w:ascii="Arial" w:hAnsi="Arial"/>
          <w:i/>
          <w:sz w:val="20"/>
          <w:lang w:val="en-US"/>
        </w:rPr>
        <w:t xml:space="preserve"> premiums calculated on the lower threshold of the base income for premium as specified in Articles 72 and 73 of Law no.506 and also in accordance with Article 78 thereof shall be covered from the Unemployment Insurance Fund:</w:t>
      </w:r>
    </w:p>
    <w:p w:rsidR="001175DB" w:rsidRPr="00E609E7" w:rsidRDefault="001175DB" w:rsidP="001175DB">
      <w:pPr>
        <w:ind w:firstLine="346"/>
        <w:jc w:val="both"/>
        <w:rPr>
          <w:rFonts w:ascii="Arial" w:hAnsi="Arial" w:cs="Arial"/>
          <w:i/>
          <w:iCs/>
          <w:sz w:val="20"/>
          <w:szCs w:val="20"/>
          <w:lang w:val="en-US"/>
        </w:rPr>
      </w:pPr>
      <w:r w:rsidRPr="00E609E7">
        <w:rPr>
          <w:rFonts w:ascii="Arial" w:hAnsi="Arial"/>
          <w:i/>
          <w:sz w:val="20"/>
          <w:lang w:val="en-US"/>
        </w:rPr>
        <w:t>a) 100% for the first year,</w:t>
      </w:r>
    </w:p>
    <w:p w:rsidR="001175DB" w:rsidRPr="00E609E7" w:rsidRDefault="001175DB" w:rsidP="001175DB">
      <w:pPr>
        <w:ind w:firstLine="346"/>
        <w:jc w:val="both"/>
        <w:rPr>
          <w:rFonts w:ascii="Arial" w:hAnsi="Arial" w:cs="Arial"/>
          <w:i/>
          <w:iCs/>
          <w:sz w:val="20"/>
          <w:szCs w:val="20"/>
          <w:lang w:val="en-US"/>
        </w:rPr>
      </w:pPr>
      <w:r w:rsidRPr="00E609E7">
        <w:rPr>
          <w:rFonts w:ascii="Arial" w:hAnsi="Arial"/>
          <w:i/>
          <w:sz w:val="20"/>
          <w:lang w:val="en-US"/>
        </w:rPr>
        <w:t>b) 80% for the second year,</w:t>
      </w:r>
    </w:p>
    <w:p w:rsidR="001175DB" w:rsidRPr="00E609E7" w:rsidRDefault="001175DB" w:rsidP="001175DB">
      <w:pPr>
        <w:ind w:firstLine="346"/>
        <w:jc w:val="both"/>
        <w:rPr>
          <w:rFonts w:ascii="Arial" w:hAnsi="Arial" w:cs="Arial"/>
          <w:i/>
          <w:iCs/>
          <w:sz w:val="20"/>
          <w:szCs w:val="20"/>
          <w:lang w:val="en-US"/>
        </w:rPr>
      </w:pPr>
      <w:r w:rsidRPr="00E609E7">
        <w:rPr>
          <w:rFonts w:ascii="Arial" w:hAnsi="Arial"/>
          <w:i/>
          <w:sz w:val="20"/>
          <w:lang w:val="en-US"/>
        </w:rPr>
        <w:t>c) 60% for the third year,</w:t>
      </w:r>
    </w:p>
    <w:p w:rsidR="001175DB" w:rsidRPr="00E609E7" w:rsidRDefault="001175DB" w:rsidP="001175DB">
      <w:pPr>
        <w:ind w:firstLine="346"/>
        <w:jc w:val="both"/>
        <w:rPr>
          <w:rFonts w:ascii="Arial" w:hAnsi="Arial" w:cs="Arial"/>
          <w:i/>
          <w:iCs/>
          <w:sz w:val="20"/>
          <w:szCs w:val="20"/>
          <w:lang w:val="en-US"/>
        </w:rPr>
      </w:pPr>
      <w:r w:rsidRPr="00E609E7">
        <w:rPr>
          <w:rFonts w:ascii="Arial" w:hAnsi="Arial"/>
          <w:i/>
          <w:sz w:val="20"/>
          <w:lang w:val="en-US"/>
        </w:rPr>
        <w:t>d) 40% for the fourth year,</w:t>
      </w:r>
    </w:p>
    <w:p w:rsidR="001175DB" w:rsidRPr="00E609E7" w:rsidRDefault="001175DB" w:rsidP="001175DB">
      <w:pPr>
        <w:ind w:firstLine="346"/>
        <w:jc w:val="both"/>
        <w:rPr>
          <w:rFonts w:ascii="Arial" w:hAnsi="Arial" w:cs="Arial"/>
          <w:i/>
          <w:iCs/>
          <w:sz w:val="20"/>
          <w:szCs w:val="20"/>
          <w:lang w:val="en-US"/>
        </w:rPr>
      </w:pPr>
      <w:r w:rsidRPr="00E609E7">
        <w:rPr>
          <w:rFonts w:ascii="Arial" w:hAnsi="Arial"/>
          <w:i/>
          <w:sz w:val="20"/>
          <w:lang w:val="en-US"/>
        </w:rPr>
        <w:t>e) 20% for the fifth year.</w:t>
      </w:r>
    </w:p>
    <w:p w:rsidR="001175DB" w:rsidRPr="00E609E7" w:rsidRDefault="001175DB" w:rsidP="001175DB">
      <w:pPr>
        <w:ind w:firstLine="346"/>
        <w:jc w:val="both"/>
        <w:rPr>
          <w:rFonts w:ascii="Arial" w:hAnsi="Arial" w:cs="Arial"/>
          <w:i/>
          <w:iCs/>
          <w:sz w:val="20"/>
          <w:szCs w:val="20"/>
          <w:lang w:val="en-US"/>
        </w:rPr>
      </w:pPr>
      <w:r w:rsidRPr="00E609E7">
        <w:rPr>
          <w:rFonts w:ascii="Arial" w:hAnsi="Arial"/>
          <w:i/>
          <w:sz w:val="20"/>
          <w:lang w:val="en-US"/>
        </w:rPr>
        <w:t>"</w:t>
      </w:r>
    </w:p>
    <w:p w:rsidR="005408D5" w:rsidRPr="00E609E7" w:rsidRDefault="005408D5" w:rsidP="001175DB">
      <w:pPr>
        <w:ind w:firstLine="346"/>
        <w:jc w:val="both"/>
        <w:rPr>
          <w:rFonts w:ascii="Arial" w:hAnsi="Arial" w:cs="Arial"/>
          <w:i/>
          <w:iCs/>
          <w:sz w:val="20"/>
          <w:szCs w:val="20"/>
          <w:lang w:val="en-US"/>
        </w:rPr>
      </w:pPr>
    </w:p>
    <w:p w:rsidR="001175DB" w:rsidRPr="00E609E7" w:rsidRDefault="001175DB" w:rsidP="001175DB">
      <w:pPr>
        <w:rPr>
          <w:rFonts w:ascii="Arial" w:hAnsi="Arial" w:cs="Arial"/>
          <w:sz w:val="20"/>
          <w:szCs w:val="20"/>
          <w:lang w:val="en-US"/>
        </w:rPr>
      </w:pPr>
      <w:r w:rsidRPr="00E609E7">
        <w:rPr>
          <w:rFonts w:ascii="Arial" w:hAnsi="Arial"/>
          <w:sz w:val="20"/>
          <w:lang w:val="en-US"/>
        </w:rPr>
        <w:lastRenderedPageBreak/>
        <w:t xml:space="preserve">Following Law no.5763 that came into effect in July 2008, the incentives were extended till July 2010 with Article 32 of Law no.5838 on "Law on Amendment of Miscellaneous Laws" adopted in February 2009. </w:t>
      </w:r>
    </w:p>
    <w:p w:rsidR="0096211B" w:rsidRPr="00E609E7" w:rsidRDefault="0096211B" w:rsidP="001175DB">
      <w:pPr>
        <w:rPr>
          <w:rFonts w:ascii="Arial" w:hAnsi="Arial" w:cs="Arial"/>
          <w:sz w:val="20"/>
          <w:szCs w:val="20"/>
          <w:lang w:val="en-US"/>
        </w:rPr>
      </w:pPr>
    </w:p>
    <w:p w:rsidR="001175DB" w:rsidRPr="00E609E7" w:rsidRDefault="001175DB" w:rsidP="001175DB">
      <w:pPr>
        <w:rPr>
          <w:rFonts w:ascii="Arial" w:hAnsi="Arial" w:cs="Arial"/>
          <w:sz w:val="20"/>
          <w:szCs w:val="20"/>
          <w:lang w:val="en-US"/>
        </w:rPr>
      </w:pPr>
      <w:r w:rsidRPr="00E609E7">
        <w:rPr>
          <w:rFonts w:ascii="Arial" w:hAnsi="Arial"/>
          <w:sz w:val="20"/>
          <w:lang w:val="en-US"/>
        </w:rPr>
        <w:t xml:space="preserve">Later on, Provisional Article 10 was added to Law no.4447 with Law no.6111 on "Restructuring of Certain Receivables and </w:t>
      </w:r>
      <w:r w:rsidR="00D15831" w:rsidRPr="00E609E7">
        <w:rPr>
          <w:rFonts w:ascii="Arial" w:hAnsi="Arial"/>
          <w:sz w:val="20"/>
          <w:lang w:val="en-US"/>
        </w:rPr>
        <w:t xml:space="preserve">Amendment of </w:t>
      </w:r>
      <w:r w:rsidRPr="00E609E7">
        <w:rPr>
          <w:rFonts w:ascii="Arial" w:hAnsi="Arial"/>
          <w:sz w:val="20"/>
          <w:lang w:val="en-US"/>
        </w:rPr>
        <w:t xml:space="preserve">Social Security and Universal Health Insurance Laws and other Miscellaneous Laws and Decree Laws" (which was an Omnibus Law) adopted in February 2011. In accordance with this new article, the incentives given for youth and women's employment were restructured and extended to remain in effect till the end of 2015. </w:t>
      </w:r>
    </w:p>
    <w:p w:rsidR="0096211B" w:rsidRPr="00E609E7" w:rsidRDefault="0096211B" w:rsidP="001175DB">
      <w:pPr>
        <w:rPr>
          <w:rFonts w:ascii="Arial" w:hAnsi="Arial" w:cs="Arial"/>
          <w:sz w:val="20"/>
          <w:szCs w:val="20"/>
          <w:lang w:val="en-US"/>
        </w:rPr>
      </w:pPr>
    </w:p>
    <w:p w:rsidR="00B6419D" w:rsidRDefault="001175DB" w:rsidP="001175DB">
      <w:pPr>
        <w:rPr>
          <w:rFonts w:ascii="Arial" w:hAnsi="Arial"/>
          <w:sz w:val="20"/>
          <w:lang w:val="en-US"/>
        </w:rPr>
      </w:pPr>
      <w:r w:rsidRPr="00E609E7">
        <w:rPr>
          <w:rFonts w:ascii="Arial" w:hAnsi="Arial"/>
          <w:sz w:val="20"/>
          <w:lang w:val="en-US"/>
        </w:rPr>
        <w:t>Provisional Article 10 of Law no.4447 expanded the groups foreseen for support. Th</w:t>
      </w:r>
      <w:r w:rsidR="00AE7DAC">
        <w:rPr>
          <w:rFonts w:ascii="Arial" w:hAnsi="Arial"/>
          <w:sz w:val="20"/>
          <w:lang w:val="en-US"/>
        </w:rPr>
        <w:t>is regulation</w:t>
      </w:r>
      <w:r w:rsidRPr="00E609E7">
        <w:rPr>
          <w:rFonts w:ascii="Arial" w:hAnsi="Arial"/>
          <w:sz w:val="20"/>
          <w:lang w:val="en-US"/>
        </w:rPr>
        <w:t xml:space="preserve"> </w:t>
      </w:r>
      <w:r w:rsidR="00AE7DAC">
        <w:rPr>
          <w:rFonts w:ascii="Arial" w:hAnsi="Arial"/>
          <w:sz w:val="20"/>
          <w:lang w:val="en-US"/>
        </w:rPr>
        <w:t>provides</w:t>
      </w:r>
      <w:r w:rsidRPr="00E609E7">
        <w:rPr>
          <w:rFonts w:ascii="Arial" w:hAnsi="Arial"/>
          <w:sz w:val="20"/>
          <w:lang w:val="en-US"/>
        </w:rPr>
        <w:t xml:space="preserve"> </w:t>
      </w:r>
      <w:r w:rsidR="00670399">
        <w:rPr>
          <w:rFonts w:ascii="Arial" w:hAnsi="Arial"/>
          <w:sz w:val="20"/>
          <w:lang w:val="en-US"/>
        </w:rPr>
        <w:t>social security</w:t>
      </w:r>
      <w:r w:rsidRPr="00E609E7">
        <w:rPr>
          <w:rFonts w:ascii="Arial" w:hAnsi="Arial"/>
          <w:sz w:val="20"/>
          <w:lang w:val="en-US"/>
        </w:rPr>
        <w:t xml:space="preserve"> premium incentives for relatively longer periods to companies employing women and </w:t>
      </w:r>
      <w:r w:rsidR="00B83EAA">
        <w:rPr>
          <w:rFonts w:ascii="Arial" w:hAnsi="Arial"/>
          <w:sz w:val="20"/>
          <w:lang w:val="en-US"/>
        </w:rPr>
        <w:t>youth</w:t>
      </w:r>
      <w:r w:rsidRPr="00E609E7">
        <w:rPr>
          <w:rFonts w:ascii="Arial" w:hAnsi="Arial"/>
          <w:sz w:val="20"/>
          <w:lang w:val="en-US"/>
        </w:rPr>
        <w:t xml:space="preserve">, while also providing incentives, subject to certain conditions, for employment of men aged 29 years or older. According to the latest version of the Law, men aged 29 or </w:t>
      </w:r>
      <w:r w:rsidR="00433254">
        <w:rPr>
          <w:rFonts w:ascii="Arial" w:hAnsi="Arial"/>
          <w:sz w:val="20"/>
          <w:lang w:val="en-US"/>
        </w:rPr>
        <w:t>older</w:t>
      </w:r>
      <w:r w:rsidRPr="00E609E7">
        <w:rPr>
          <w:rFonts w:ascii="Arial" w:hAnsi="Arial"/>
          <w:sz w:val="20"/>
          <w:lang w:val="en-US"/>
        </w:rPr>
        <w:t xml:space="preserve"> can benefit from </w:t>
      </w:r>
      <w:r w:rsidR="00670399">
        <w:rPr>
          <w:rFonts w:ascii="Arial" w:hAnsi="Arial"/>
          <w:sz w:val="20"/>
          <w:lang w:val="en-US"/>
        </w:rPr>
        <w:t>social security</w:t>
      </w:r>
      <w:r w:rsidRPr="00E609E7">
        <w:rPr>
          <w:rFonts w:ascii="Arial" w:hAnsi="Arial"/>
          <w:sz w:val="20"/>
          <w:lang w:val="en-US"/>
        </w:rPr>
        <w:t xml:space="preserve"> premium incentives if they hold a vocational qualification certificate, if they are graduates of an educational institution providing vocational education</w:t>
      </w:r>
      <w:r w:rsidR="00D15831" w:rsidRPr="00E609E7">
        <w:rPr>
          <w:rFonts w:ascii="Arial" w:hAnsi="Arial"/>
          <w:sz w:val="20"/>
          <w:lang w:val="en-US"/>
        </w:rPr>
        <w:t>,</w:t>
      </w:r>
      <w:r w:rsidRPr="00E609E7">
        <w:rPr>
          <w:rFonts w:ascii="Arial" w:hAnsi="Arial"/>
          <w:sz w:val="20"/>
          <w:lang w:val="en-US"/>
        </w:rPr>
        <w:t xml:space="preserve"> or if they are employed </w:t>
      </w:r>
      <w:r w:rsidR="00D15831" w:rsidRPr="00E609E7">
        <w:rPr>
          <w:rFonts w:ascii="Arial" w:hAnsi="Arial"/>
          <w:sz w:val="20"/>
          <w:lang w:val="en-US"/>
        </w:rPr>
        <w:t xml:space="preserve">while </w:t>
      </w:r>
      <w:r w:rsidRPr="00E609E7">
        <w:rPr>
          <w:rFonts w:ascii="Arial" w:hAnsi="Arial"/>
          <w:sz w:val="20"/>
          <w:lang w:val="en-US"/>
        </w:rPr>
        <w:t xml:space="preserve">registered </w:t>
      </w:r>
      <w:r w:rsidR="00D15831" w:rsidRPr="00E609E7">
        <w:rPr>
          <w:rFonts w:ascii="Arial" w:hAnsi="Arial"/>
          <w:sz w:val="20"/>
          <w:lang w:val="en-US"/>
        </w:rPr>
        <w:t xml:space="preserve">as unemployed </w:t>
      </w:r>
      <w:r w:rsidRPr="00E609E7">
        <w:rPr>
          <w:rFonts w:ascii="Arial" w:hAnsi="Arial"/>
          <w:sz w:val="20"/>
          <w:lang w:val="en-US"/>
        </w:rPr>
        <w:t>at the Turkish Employment Organization (İ</w:t>
      </w:r>
      <w:r w:rsidR="00D15831" w:rsidRPr="00E609E7">
        <w:rPr>
          <w:rFonts w:ascii="Arial" w:hAnsi="Arial"/>
          <w:sz w:val="20"/>
          <w:lang w:val="en-US"/>
        </w:rPr>
        <w:t>ŞKUR</w:t>
      </w:r>
      <w:r w:rsidRPr="00E609E7">
        <w:rPr>
          <w:rFonts w:ascii="Arial" w:hAnsi="Arial"/>
          <w:sz w:val="20"/>
          <w:lang w:val="en-US"/>
        </w:rPr>
        <w:t xml:space="preserve">). In other words, under this article, when those registered as unemployed at the Turkish Employment Organization are employed, the employer contribution share of their </w:t>
      </w:r>
      <w:r w:rsidR="00670399">
        <w:rPr>
          <w:rFonts w:ascii="Arial" w:hAnsi="Arial"/>
          <w:sz w:val="20"/>
          <w:lang w:val="en-US"/>
        </w:rPr>
        <w:t>social security</w:t>
      </w:r>
      <w:r w:rsidRPr="00E609E7">
        <w:rPr>
          <w:rFonts w:ascii="Arial" w:hAnsi="Arial"/>
          <w:sz w:val="20"/>
          <w:lang w:val="en-US"/>
        </w:rPr>
        <w:t xml:space="preserve"> premiums will be paid from the Unemployment Insurance Fund. </w:t>
      </w:r>
    </w:p>
    <w:p w:rsidR="00B6419D" w:rsidRPr="00B6419D" w:rsidRDefault="00B6419D" w:rsidP="001175DB">
      <w:pPr>
        <w:rPr>
          <w:rFonts w:ascii="Arial" w:hAnsi="Arial"/>
          <w:sz w:val="20"/>
          <w:lang w:val="en-US"/>
        </w:rPr>
      </w:pPr>
    </w:p>
    <w:p w:rsidR="001175DB" w:rsidRPr="00E609E7" w:rsidRDefault="001175DB" w:rsidP="001175DB">
      <w:pPr>
        <w:rPr>
          <w:rFonts w:ascii="Arial" w:hAnsi="Arial" w:cs="Arial"/>
          <w:sz w:val="20"/>
          <w:szCs w:val="20"/>
          <w:lang w:val="en-US"/>
        </w:rPr>
      </w:pPr>
      <w:r w:rsidRPr="00E609E7">
        <w:rPr>
          <w:rFonts w:ascii="Arial" w:hAnsi="Arial"/>
          <w:sz w:val="20"/>
          <w:lang w:val="en-US"/>
        </w:rPr>
        <w:t xml:space="preserve">The related section of this Article is as follows: </w:t>
      </w:r>
    </w:p>
    <w:p w:rsidR="0096211B" w:rsidRPr="00E609E7" w:rsidRDefault="0096211B" w:rsidP="001175DB">
      <w:pPr>
        <w:rPr>
          <w:rFonts w:ascii="Arial" w:hAnsi="Arial" w:cs="Arial"/>
          <w:sz w:val="20"/>
          <w:szCs w:val="20"/>
          <w:lang w:val="en-US"/>
        </w:rPr>
      </w:pPr>
    </w:p>
    <w:p w:rsidR="001175DB" w:rsidRPr="00E609E7" w:rsidRDefault="001175DB" w:rsidP="001175DB">
      <w:pPr>
        <w:ind w:firstLine="346"/>
        <w:jc w:val="both"/>
        <w:rPr>
          <w:rFonts w:ascii="Arial" w:hAnsi="Arial" w:cs="Arial"/>
          <w:i/>
          <w:iCs/>
          <w:sz w:val="20"/>
          <w:szCs w:val="20"/>
          <w:lang w:val="en-US"/>
        </w:rPr>
      </w:pPr>
      <w:r w:rsidRPr="00E609E7">
        <w:rPr>
          <w:rFonts w:ascii="Arial" w:hAnsi="Arial"/>
          <w:i/>
          <w:sz w:val="20"/>
          <w:lang w:val="en-US"/>
        </w:rPr>
        <w:t>"The support specified in this ar</w:t>
      </w:r>
      <w:r w:rsidR="00D15831" w:rsidRPr="00E609E7">
        <w:rPr>
          <w:rFonts w:ascii="Arial" w:hAnsi="Arial"/>
          <w:i/>
          <w:sz w:val="20"/>
          <w:lang w:val="en-US"/>
        </w:rPr>
        <w:t xml:space="preserve">ticle shall be implemented for </w:t>
      </w:r>
      <w:r w:rsidRPr="00E609E7">
        <w:rPr>
          <w:rFonts w:ascii="Arial" w:hAnsi="Arial"/>
          <w:i/>
          <w:sz w:val="20"/>
          <w:lang w:val="en-US"/>
        </w:rPr>
        <w:t>the following</w:t>
      </w:r>
      <w:r w:rsidR="00D15831" w:rsidRPr="00E609E7">
        <w:rPr>
          <w:rFonts w:ascii="Arial" w:hAnsi="Arial"/>
          <w:i/>
          <w:sz w:val="20"/>
          <w:lang w:val="en-US"/>
        </w:rPr>
        <w:t>:</w:t>
      </w:r>
      <w:r w:rsidRPr="00E609E7">
        <w:rPr>
          <w:rFonts w:ascii="Arial" w:hAnsi="Arial"/>
          <w:i/>
          <w:sz w:val="20"/>
          <w:lang w:val="en-US"/>
        </w:rPr>
        <w:t xml:space="preserve"> </w:t>
      </w:r>
    </w:p>
    <w:p w:rsidR="001175DB" w:rsidRPr="00E609E7" w:rsidRDefault="001175DB" w:rsidP="001175DB">
      <w:pPr>
        <w:ind w:firstLine="346"/>
        <w:jc w:val="both"/>
        <w:rPr>
          <w:rFonts w:ascii="Arial" w:hAnsi="Arial" w:cs="Arial"/>
          <w:i/>
          <w:iCs/>
          <w:sz w:val="20"/>
          <w:szCs w:val="20"/>
          <w:lang w:val="en-US"/>
        </w:rPr>
      </w:pPr>
      <w:r w:rsidRPr="00E609E7">
        <w:rPr>
          <w:rFonts w:ascii="Arial" w:hAnsi="Arial"/>
          <w:i/>
          <w:sz w:val="20"/>
          <w:lang w:val="en-US"/>
        </w:rPr>
        <w:t>a) Men older than 18 an</w:t>
      </w:r>
      <w:r w:rsidR="00D15831" w:rsidRPr="00E609E7">
        <w:rPr>
          <w:rFonts w:ascii="Arial" w:hAnsi="Arial"/>
          <w:i/>
          <w:sz w:val="20"/>
          <w:lang w:val="en-US"/>
        </w:rPr>
        <w:t>d</w:t>
      </w:r>
      <w:r w:rsidRPr="00E609E7">
        <w:rPr>
          <w:rFonts w:ascii="Arial" w:hAnsi="Arial"/>
          <w:i/>
          <w:sz w:val="20"/>
          <w:lang w:val="en-US"/>
        </w:rPr>
        <w:t xml:space="preserve"> younger than 29 years of age, and</w:t>
      </w:r>
      <w:r w:rsidR="00D15831" w:rsidRPr="00E609E7">
        <w:rPr>
          <w:rFonts w:ascii="Arial" w:hAnsi="Arial"/>
          <w:i/>
          <w:sz w:val="20"/>
          <w:lang w:val="en-US"/>
        </w:rPr>
        <w:t xml:space="preserve"> w</w:t>
      </w:r>
      <w:r w:rsidRPr="00E609E7">
        <w:rPr>
          <w:rFonts w:ascii="Arial" w:hAnsi="Arial"/>
          <w:i/>
          <w:sz w:val="20"/>
          <w:lang w:val="en-US"/>
        </w:rPr>
        <w:t xml:space="preserve">omen older than 18 years of age, </w:t>
      </w:r>
    </w:p>
    <w:p w:rsidR="001175DB" w:rsidRPr="00E609E7" w:rsidRDefault="001175DB" w:rsidP="001175DB">
      <w:pPr>
        <w:ind w:firstLine="346"/>
        <w:jc w:val="both"/>
        <w:rPr>
          <w:rFonts w:ascii="Arial" w:hAnsi="Arial" w:cs="Arial"/>
          <w:i/>
          <w:iCs/>
          <w:sz w:val="20"/>
          <w:szCs w:val="20"/>
          <w:lang w:val="en-US"/>
        </w:rPr>
      </w:pPr>
      <w:r w:rsidRPr="00E609E7">
        <w:rPr>
          <w:rFonts w:ascii="Arial" w:hAnsi="Arial"/>
          <w:i/>
          <w:sz w:val="20"/>
          <w:lang w:val="en-US"/>
        </w:rPr>
        <w:t xml:space="preserve">1) </w:t>
      </w:r>
      <w:proofErr w:type="gramStart"/>
      <w:r w:rsidRPr="00E609E7">
        <w:rPr>
          <w:rFonts w:ascii="Arial" w:hAnsi="Arial"/>
          <w:i/>
          <w:sz w:val="20"/>
          <w:lang w:val="en-US"/>
        </w:rPr>
        <w:t>for</w:t>
      </w:r>
      <w:proofErr w:type="gramEnd"/>
      <w:r w:rsidRPr="00E609E7">
        <w:rPr>
          <w:rFonts w:ascii="Arial" w:hAnsi="Arial"/>
          <w:i/>
          <w:sz w:val="20"/>
          <w:lang w:val="en-US"/>
        </w:rPr>
        <w:t xml:space="preserve"> 48 months for holders of vocational qualification certificates, </w:t>
      </w:r>
    </w:p>
    <w:p w:rsidR="001175DB" w:rsidRPr="00E609E7" w:rsidRDefault="001175DB" w:rsidP="001175DB">
      <w:pPr>
        <w:ind w:firstLine="346"/>
        <w:jc w:val="both"/>
        <w:rPr>
          <w:rFonts w:ascii="Arial" w:hAnsi="Arial" w:cs="Arial"/>
          <w:i/>
          <w:iCs/>
          <w:sz w:val="20"/>
          <w:szCs w:val="20"/>
          <w:lang w:val="en-US"/>
        </w:rPr>
      </w:pPr>
      <w:r w:rsidRPr="00E609E7">
        <w:rPr>
          <w:rFonts w:ascii="Arial" w:hAnsi="Arial"/>
          <w:i/>
          <w:sz w:val="20"/>
          <w:lang w:val="en-US"/>
        </w:rPr>
        <w:t>2) for 36 months for those who complete a secondary or h</w:t>
      </w:r>
      <w:r w:rsidR="00391150">
        <w:rPr>
          <w:rFonts w:ascii="Arial" w:hAnsi="Arial"/>
          <w:i/>
          <w:sz w:val="20"/>
          <w:lang w:val="en-US"/>
        </w:rPr>
        <w:t>igher education degree program</w:t>
      </w:r>
      <w:r w:rsidRPr="00E609E7">
        <w:rPr>
          <w:rFonts w:ascii="Arial" w:hAnsi="Arial"/>
          <w:i/>
          <w:sz w:val="20"/>
          <w:lang w:val="en-US"/>
        </w:rPr>
        <w:t xml:space="preserve"> provided by a vocational or technical education institution or complete a workforce training course organized by the Turkish Employment Organization, </w:t>
      </w:r>
    </w:p>
    <w:p w:rsidR="001175DB" w:rsidRPr="00E609E7" w:rsidRDefault="001175DB" w:rsidP="001175DB">
      <w:pPr>
        <w:ind w:firstLine="346"/>
        <w:jc w:val="both"/>
        <w:rPr>
          <w:rFonts w:ascii="Arial" w:hAnsi="Arial" w:cs="Arial"/>
          <w:i/>
          <w:iCs/>
          <w:sz w:val="20"/>
          <w:szCs w:val="20"/>
          <w:lang w:val="en-US"/>
        </w:rPr>
      </w:pPr>
      <w:r w:rsidRPr="00E609E7">
        <w:rPr>
          <w:rFonts w:ascii="Arial" w:hAnsi="Arial"/>
          <w:i/>
          <w:sz w:val="20"/>
          <w:lang w:val="en-US"/>
        </w:rPr>
        <w:t xml:space="preserve">3) </w:t>
      </w:r>
      <w:proofErr w:type="gramStart"/>
      <w:r w:rsidRPr="00E609E7">
        <w:rPr>
          <w:rFonts w:ascii="Arial" w:hAnsi="Arial"/>
          <w:i/>
          <w:sz w:val="20"/>
          <w:lang w:val="en-US"/>
        </w:rPr>
        <w:t>for</w:t>
      </w:r>
      <w:proofErr w:type="gramEnd"/>
      <w:r w:rsidRPr="00E609E7">
        <w:rPr>
          <w:rFonts w:ascii="Arial" w:hAnsi="Arial"/>
          <w:i/>
          <w:sz w:val="20"/>
          <w:lang w:val="en-US"/>
        </w:rPr>
        <w:t xml:space="preserve"> 24 months for those who do not have the certificates or qualifications specified in sub paragraphs (1)  and (2),</w:t>
      </w:r>
    </w:p>
    <w:p w:rsidR="001175DB" w:rsidRPr="00E609E7" w:rsidRDefault="001175DB" w:rsidP="001175DB">
      <w:pPr>
        <w:ind w:firstLine="346"/>
        <w:jc w:val="both"/>
        <w:rPr>
          <w:rFonts w:ascii="Arial" w:hAnsi="Arial" w:cs="Arial"/>
          <w:i/>
          <w:iCs/>
          <w:sz w:val="20"/>
          <w:szCs w:val="20"/>
          <w:lang w:val="en-US"/>
        </w:rPr>
      </w:pPr>
      <w:r w:rsidRPr="00E609E7">
        <w:rPr>
          <w:rFonts w:ascii="Arial" w:hAnsi="Arial"/>
          <w:i/>
          <w:sz w:val="20"/>
          <w:lang w:val="en-US"/>
        </w:rPr>
        <w:t xml:space="preserve">b) for 24 months for men older than 29 years of age who have the certificates or qualifications specified in sub paragraphs (1) and (2) of paragraph (a), </w:t>
      </w:r>
    </w:p>
    <w:p w:rsidR="001175DB" w:rsidRPr="00E609E7" w:rsidRDefault="001175DB" w:rsidP="001175DB">
      <w:pPr>
        <w:ind w:firstLine="346"/>
        <w:jc w:val="both"/>
        <w:rPr>
          <w:rFonts w:ascii="Arial" w:hAnsi="Arial" w:cs="Arial"/>
          <w:i/>
          <w:iCs/>
          <w:sz w:val="20"/>
          <w:szCs w:val="20"/>
          <w:lang w:val="en-US"/>
        </w:rPr>
      </w:pPr>
      <w:r w:rsidRPr="00E609E7">
        <w:rPr>
          <w:rFonts w:ascii="Arial" w:hAnsi="Arial"/>
          <w:i/>
          <w:sz w:val="20"/>
          <w:lang w:val="en-US"/>
        </w:rPr>
        <w:t xml:space="preserve">c) for 6 additional months if those meeting the conditions of sub paragraphs (a) and (b) are employed </w:t>
      </w:r>
      <w:r w:rsidR="00D15831" w:rsidRPr="00E609E7">
        <w:rPr>
          <w:rFonts w:ascii="Arial" w:hAnsi="Arial"/>
          <w:i/>
          <w:sz w:val="20"/>
          <w:lang w:val="en-US"/>
        </w:rPr>
        <w:t xml:space="preserve">while </w:t>
      </w:r>
      <w:r w:rsidRPr="00E609E7">
        <w:rPr>
          <w:rFonts w:ascii="Arial" w:hAnsi="Arial"/>
          <w:i/>
          <w:sz w:val="20"/>
          <w:lang w:val="en-US"/>
        </w:rPr>
        <w:t xml:space="preserve">registered </w:t>
      </w:r>
      <w:r w:rsidR="00D15831" w:rsidRPr="00E609E7">
        <w:rPr>
          <w:rFonts w:ascii="Arial" w:hAnsi="Arial"/>
          <w:i/>
          <w:sz w:val="20"/>
          <w:lang w:val="en-US"/>
        </w:rPr>
        <w:t xml:space="preserve">as unemployed </w:t>
      </w:r>
      <w:r w:rsidRPr="00E609E7">
        <w:rPr>
          <w:rFonts w:ascii="Arial" w:hAnsi="Arial"/>
          <w:i/>
          <w:sz w:val="20"/>
          <w:lang w:val="en-US"/>
        </w:rPr>
        <w:t>at the Turkish Employment Organization,</w:t>
      </w:r>
    </w:p>
    <w:p w:rsidR="001175DB" w:rsidRPr="00E609E7" w:rsidRDefault="001175DB" w:rsidP="001175DB">
      <w:pPr>
        <w:ind w:firstLine="346"/>
        <w:jc w:val="both"/>
        <w:rPr>
          <w:rFonts w:ascii="Arial" w:hAnsi="Arial" w:cs="Arial"/>
          <w:i/>
          <w:iCs/>
          <w:sz w:val="20"/>
          <w:szCs w:val="20"/>
          <w:lang w:val="en-US"/>
        </w:rPr>
      </w:pPr>
      <w:r w:rsidRPr="00E609E7">
        <w:rPr>
          <w:rFonts w:ascii="Arial" w:hAnsi="Arial"/>
          <w:i/>
          <w:sz w:val="20"/>
          <w:lang w:val="en-US"/>
        </w:rPr>
        <w:t xml:space="preserve">ç) for 12 months for those who, while working within the scope of paragraph (a) of Article 4 of Law no. 5510, obtain a vocational qualification certificate or complete a secondary or higher education degree </w:t>
      </w:r>
      <w:r w:rsidR="00B60272">
        <w:rPr>
          <w:rFonts w:ascii="Arial" w:hAnsi="Arial"/>
          <w:i/>
          <w:sz w:val="20"/>
          <w:lang w:val="en-US"/>
        </w:rPr>
        <w:t>program</w:t>
      </w:r>
      <w:r w:rsidRPr="00E609E7">
        <w:rPr>
          <w:rFonts w:ascii="Arial" w:hAnsi="Arial"/>
          <w:i/>
          <w:sz w:val="20"/>
          <w:lang w:val="en-US"/>
        </w:rPr>
        <w:t xml:space="preserve"> after the coming into force of this article,</w:t>
      </w:r>
    </w:p>
    <w:p w:rsidR="001175DB" w:rsidRPr="00E609E7" w:rsidRDefault="001175DB" w:rsidP="001175DB">
      <w:pPr>
        <w:ind w:firstLine="346"/>
        <w:jc w:val="both"/>
        <w:rPr>
          <w:rFonts w:ascii="Arial" w:hAnsi="Arial" w:cs="Arial"/>
          <w:i/>
          <w:iCs/>
          <w:sz w:val="20"/>
          <w:szCs w:val="20"/>
          <w:lang w:val="en-US"/>
        </w:rPr>
      </w:pPr>
      <w:r w:rsidRPr="00E609E7">
        <w:rPr>
          <w:rFonts w:ascii="Arial" w:hAnsi="Arial"/>
          <w:i/>
          <w:sz w:val="20"/>
          <w:lang w:val="en-US"/>
        </w:rPr>
        <w:t xml:space="preserve">d) for 6 months for those older than 18 years of age who do not meet the requirements of (a), (b) and (ç) of this paragraph and who are employed </w:t>
      </w:r>
      <w:r w:rsidR="00D15831" w:rsidRPr="00E609E7">
        <w:rPr>
          <w:rFonts w:ascii="Arial" w:hAnsi="Arial"/>
          <w:i/>
          <w:sz w:val="20"/>
          <w:lang w:val="en-US"/>
        </w:rPr>
        <w:t xml:space="preserve">while </w:t>
      </w:r>
      <w:r w:rsidRPr="00E609E7">
        <w:rPr>
          <w:rFonts w:ascii="Arial" w:hAnsi="Arial"/>
          <w:i/>
          <w:sz w:val="20"/>
          <w:lang w:val="en-US"/>
        </w:rPr>
        <w:t xml:space="preserve">registered </w:t>
      </w:r>
      <w:r w:rsidR="00D15831" w:rsidRPr="00E609E7">
        <w:rPr>
          <w:rFonts w:ascii="Arial" w:hAnsi="Arial"/>
          <w:i/>
          <w:sz w:val="20"/>
          <w:lang w:val="en-US"/>
        </w:rPr>
        <w:t xml:space="preserve">as unemployed </w:t>
      </w:r>
      <w:r w:rsidRPr="00E609E7">
        <w:rPr>
          <w:rFonts w:ascii="Arial" w:hAnsi="Arial"/>
          <w:i/>
          <w:sz w:val="20"/>
          <w:lang w:val="en-US"/>
        </w:rPr>
        <w:t>at the Turkish Employment Organization</w:t>
      </w:r>
    </w:p>
    <w:p w:rsidR="001175DB" w:rsidRPr="00E609E7" w:rsidRDefault="001175DB" w:rsidP="001175DB">
      <w:pPr>
        <w:ind w:firstLine="346"/>
        <w:jc w:val="both"/>
        <w:rPr>
          <w:rFonts w:ascii="Arial" w:hAnsi="Arial" w:cs="Arial"/>
          <w:i/>
          <w:iCs/>
          <w:sz w:val="20"/>
          <w:szCs w:val="20"/>
          <w:lang w:val="en-US"/>
        </w:rPr>
      </w:pPr>
      <w:r w:rsidRPr="00E609E7">
        <w:rPr>
          <w:rFonts w:ascii="Arial" w:hAnsi="Arial"/>
          <w:i/>
          <w:sz w:val="20"/>
          <w:lang w:val="en-US"/>
        </w:rPr>
        <w:t>."</w:t>
      </w:r>
    </w:p>
    <w:p w:rsidR="0096211B" w:rsidRPr="00E609E7" w:rsidRDefault="0096211B" w:rsidP="001175DB">
      <w:pPr>
        <w:ind w:firstLine="346"/>
        <w:jc w:val="both"/>
        <w:rPr>
          <w:rFonts w:ascii="Arial" w:hAnsi="Arial" w:cs="Arial"/>
          <w:i/>
          <w:iCs/>
          <w:sz w:val="20"/>
          <w:szCs w:val="20"/>
          <w:lang w:val="en-US"/>
        </w:rPr>
      </w:pPr>
    </w:p>
    <w:p w:rsidR="00134E08" w:rsidRPr="00786680" w:rsidRDefault="001175DB" w:rsidP="00134E08">
      <w:pPr>
        <w:pStyle w:val="Caption"/>
        <w:keepNext/>
        <w:spacing w:after="120"/>
        <w:rPr>
          <w:rFonts w:ascii="Arial" w:hAnsi="Arial" w:cs="Arial"/>
        </w:rPr>
      </w:pPr>
      <w:r w:rsidRPr="00134E08">
        <w:rPr>
          <w:rFonts w:ascii="Arial" w:hAnsi="Arial"/>
          <w:b w:val="0"/>
          <w:lang w:val="en-US"/>
        </w:rPr>
        <w:t xml:space="preserve">To summarize, </w:t>
      </w:r>
      <w:r w:rsidR="00670399">
        <w:rPr>
          <w:rFonts w:ascii="Arial" w:hAnsi="Arial"/>
          <w:b w:val="0"/>
          <w:lang w:val="en-US"/>
        </w:rPr>
        <w:t>social security</w:t>
      </w:r>
      <w:r w:rsidRPr="00134E08">
        <w:rPr>
          <w:rFonts w:ascii="Arial" w:hAnsi="Arial"/>
          <w:b w:val="0"/>
          <w:lang w:val="en-US"/>
        </w:rPr>
        <w:t xml:space="preserve"> premium incentives given for employment of women and </w:t>
      </w:r>
      <w:r w:rsidR="00B83EAA" w:rsidRPr="00134E08">
        <w:rPr>
          <w:rFonts w:ascii="Arial" w:hAnsi="Arial"/>
          <w:b w:val="0"/>
          <w:lang w:val="en-US"/>
        </w:rPr>
        <w:t>youth</w:t>
      </w:r>
      <w:r w:rsidRPr="00134E08">
        <w:rPr>
          <w:rFonts w:ascii="Arial" w:hAnsi="Arial"/>
          <w:b w:val="0"/>
          <w:lang w:val="en-US"/>
        </w:rPr>
        <w:t xml:space="preserve"> were first introduced in July 2008, and then extended until December 2015. However, with a new arrangement coming into force in February 2011, the scope of these incentives w</w:t>
      </w:r>
      <w:r w:rsidR="00D15831" w:rsidRPr="00134E08">
        <w:rPr>
          <w:rFonts w:ascii="Arial" w:hAnsi="Arial"/>
          <w:b w:val="0"/>
          <w:lang w:val="en-US"/>
        </w:rPr>
        <w:t>as</w:t>
      </w:r>
      <w:r w:rsidRPr="00134E08">
        <w:rPr>
          <w:rFonts w:ascii="Arial" w:hAnsi="Arial"/>
          <w:b w:val="0"/>
          <w:lang w:val="en-US"/>
        </w:rPr>
        <w:t xml:space="preserve"> expanded to </w:t>
      </w:r>
      <w:r w:rsidRPr="00786680">
        <w:rPr>
          <w:rFonts w:ascii="Arial" w:hAnsi="Arial" w:cs="Arial"/>
          <w:b w:val="0"/>
          <w:lang w:val="en-US"/>
        </w:rPr>
        <w:t>include some of the men over 29 years of age.</w:t>
      </w:r>
    </w:p>
    <w:p w:rsidR="001175DB" w:rsidRPr="00E609E7" w:rsidRDefault="00053F6D" w:rsidP="001175DB">
      <w:pPr>
        <w:rPr>
          <w:rFonts w:ascii="Arial" w:hAnsi="Arial" w:cs="Arial"/>
          <w:sz w:val="20"/>
          <w:szCs w:val="20"/>
          <w:lang w:val="en-US"/>
        </w:rPr>
      </w:pPr>
      <w:fldSimple w:instr=" REF _Ref356377202 \h  \* MERGEFORMAT ">
        <w:r w:rsidR="00F729C5" w:rsidRPr="00786680">
          <w:rPr>
            <w:rFonts w:ascii="Arial" w:hAnsi="Arial" w:cs="Arial"/>
            <w:noProof/>
            <w:sz w:val="20"/>
            <w:szCs w:val="20"/>
            <w:lang w:val="en-US"/>
          </w:rPr>
          <w:t>Table 1</w:t>
        </w:r>
      </w:fldSimple>
      <w:r w:rsidR="00B96158" w:rsidRPr="00786680">
        <w:rPr>
          <w:rFonts w:ascii="Arial" w:hAnsi="Arial" w:cs="Arial"/>
          <w:sz w:val="20"/>
          <w:szCs w:val="20"/>
          <w:lang w:val="en-US"/>
        </w:rPr>
        <w:t xml:space="preserve"> provide</w:t>
      </w:r>
      <w:r w:rsidR="00D15831" w:rsidRPr="00786680">
        <w:rPr>
          <w:rFonts w:ascii="Arial" w:hAnsi="Arial" w:cs="Arial"/>
          <w:sz w:val="20"/>
          <w:szCs w:val="20"/>
          <w:lang w:val="en-US"/>
        </w:rPr>
        <w:t>s</w:t>
      </w:r>
      <w:r w:rsidR="00B96158" w:rsidRPr="00E609E7">
        <w:rPr>
          <w:rFonts w:ascii="Arial" w:hAnsi="Arial"/>
          <w:sz w:val="20"/>
          <w:lang w:val="en-US"/>
        </w:rPr>
        <w:t xml:space="preserve"> a summary of these legal arrangements. </w:t>
      </w:r>
    </w:p>
    <w:p w:rsidR="00D70F7B" w:rsidRPr="00E609E7" w:rsidRDefault="00D70F7B" w:rsidP="001175DB">
      <w:pPr>
        <w:pStyle w:val="Caption"/>
        <w:keepNext/>
        <w:spacing w:after="120"/>
        <w:rPr>
          <w:rFonts w:ascii="Arial" w:hAnsi="Arial" w:cs="Arial"/>
          <w:lang w:val="en-US"/>
        </w:rPr>
      </w:pPr>
      <w:bookmarkStart w:id="0" w:name="_Ref356377202"/>
    </w:p>
    <w:p w:rsidR="001175DB" w:rsidRPr="00E609E7" w:rsidRDefault="001175DB" w:rsidP="001175DB">
      <w:pPr>
        <w:pStyle w:val="Caption"/>
        <w:keepNext/>
        <w:spacing w:after="120"/>
        <w:rPr>
          <w:rFonts w:ascii="Arial" w:hAnsi="Arial" w:cs="Arial"/>
          <w:lang w:val="en-US"/>
        </w:rPr>
      </w:pPr>
      <w:r w:rsidRPr="00E609E7">
        <w:rPr>
          <w:rFonts w:ascii="Arial" w:hAnsi="Arial"/>
          <w:lang w:val="en-US"/>
        </w:rPr>
        <w:t xml:space="preserve">Table </w:t>
      </w:r>
      <w:r w:rsidR="00053F6D" w:rsidRPr="00E609E7">
        <w:rPr>
          <w:rFonts w:ascii="Arial" w:hAnsi="Arial" w:cs="Arial"/>
          <w:lang w:val="en-US"/>
        </w:rPr>
        <w:fldChar w:fldCharType="begin"/>
      </w:r>
      <w:r w:rsidRPr="00E609E7">
        <w:rPr>
          <w:rFonts w:ascii="Arial" w:hAnsi="Arial" w:cs="Arial"/>
          <w:lang w:val="en-US"/>
        </w:rPr>
        <w:instrText xml:space="preserve"> SEQ Table \* ARABIC </w:instrText>
      </w:r>
      <w:r w:rsidR="00053F6D" w:rsidRPr="00E609E7">
        <w:rPr>
          <w:rFonts w:ascii="Arial" w:hAnsi="Arial" w:cs="Arial"/>
          <w:lang w:val="en-US"/>
        </w:rPr>
        <w:fldChar w:fldCharType="separate"/>
      </w:r>
      <w:r w:rsidR="00F729C5">
        <w:rPr>
          <w:rFonts w:ascii="Arial" w:hAnsi="Arial" w:cs="Arial"/>
          <w:noProof/>
          <w:lang w:val="en-US"/>
        </w:rPr>
        <w:t>1</w:t>
      </w:r>
      <w:r w:rsidR="00053F6D" w:rsidRPr="00E609E7">
        <w:rPr>
          <w:rFonts w:ascii="Arial" w:hAnsi="Arial" w:cs="Arial"/>
          <w:lang w:val="en-US"/>
        </w:rPr>
        <w:fldChar w:fldCharType="end"/>
      </w:r>
      <w:bookmarkEnd w:id="0"/>
      <w:r w:rsidRPr="00E609E7">
        <w:rPr>
          <w:rFonts w:ascii="Arial" w:hAnsi="Arial"/>
          <w:lang w:val="en-US"/>
        </w:rPr>
        <w:t xml:space="preserve"> Amendments introduced with Provisional Article 10 added to the Unemployment Insurance Law no. 4447</w:t>
      </w:r>
    </w:p>
    <w:tbl>
      <w:tblPr>
        <w:tblW w:w="0" w:type="auto"/>
        <w:tblInd w:w="-106"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0A0"/>
      </w:tblPr>
      <w:tblGrid>
        <w:gridCol w:w="1854"/>
        <w:gridCol w:w="1523"/>
        <w:gridCol w:w="2582"/>
        <w:gridCol w:w="3435"/>
      </w:tblGrid>
      <w:tr w:rsidR="001175DB" w:rsidRPr="00E609E7" w:rsidTr="00534748">
        <w:tc>
          <w:tcPr>
            <w:tcW w:w="1884" w:type="dxa"/>
            <w:tcBorders>
              <w:top w:val="single" w:sz="4" w:space="0" w:color="BFBFBF"/>
            </w:tcBorders>
          </w:tcPr>
          <w:p w:rsidR="001175DB" w:rsidRPr="00E609E7" w:rsidRDefault="001175DB" w:rsidP="00534748">
            <w:pPr>
              <w:rPr>
                <w:rFonts w:ascii="Arial" w:hAnsi="Arial" w:cs="Arial"/>
                <w:b/>
                <w:bCs/>
                <w:sz w:val="20"/>
                <w:szCs w:val="20"/>
                <w:lang w:val="en-US"/>
              </w:rPr>
            </w:pPr>
            <w:r w:rsidRPr="00E609E7">
              <w:rPr>
                <w:rFonts w:ascii="Arial" w:hAnsi="Arial"/>
                <w:b/>
                <w:sz w:val="20"/>
                <w:lang w:val="en-US"/>
              </w:rPr>
              <w:t>Law</w:t>
            </w:r>
          </w:p>
        </w:tc>
        <w:tc>
          <w:tcPr>
            <w:tcW w:w="1536" w:type="dxa"/>
            <w:tcBorders>
              <w:top w:val="single" w:sz="4" w:space="0" w:color="BFBFBF"/>
            </w:tcBorders>
          </w:tcPr>
          <w:p w:rsidR="001175DB" w:rsidRPr="00E609E7" w:rsidRDefault="001175DB" w:rsidP="00534748">
            <w:pPr>
              <w:rPr>
                <w:rFonts w:ascii="Arial" w:hAnsi="Arial" w:cs="Arial"/>
                <w:b/>
                <w:bCs/>
                <w:sz w:val="20"/>
                <w:szCs w:val="20"/>
                <w:lang w:val="en-US"/>
              </w:rPr>
            </w:pPr>
            <w:r w:rsidRPr="00E609E7">
              <w:rPr>
                <w:rFonts w:ascii="Arial" w:hAnsi="Arial"/>
                <w:b/>
                <w:sz w:val="20"/>
                <w:lang w:val="en-US"/>
              </w:rPr>
              <w:t>Date</w:t>
            </w:r>
          </w:p>
        </w:tc>
        <w:tc>
          <w:tcPr>
            <w:tcW w:w="2610" w:type="dxa"/>
            <w:tcBorders>
              <w:top w:val="single" w:sz="4" w:space="0" w:color="BFBFBF"/>
            </w:tcBorders>
          </w:tcPr>
          <w:p w:rsidR="001175DB" w:rsidRPr="00E609E7" w:rsidRDefault="001175DB" w:rsidP="00534748">
            <w:pPr>
              <w:rPr>
                <w:rFonts w:ascii="Arial" w:hAnsi="Arial" w:cs="Arial"/>
                <w:b/>
                <w:bCs/>
                <w:sz w:val="20"/>
                <w:szCs w:val="20"/>
                <w:lang w:val="en-US"/>
              </w:rPr>
            </w:pPr>
            <w:r w:rsidRPr="00E609E7">
              <w:rPr>
                <w:rFonts w:ascii="Arial" w:hAnsi="Arial"/>
                <w:b/>
                <w:sz w:val="20"/>
                <w:lang w:val="en-US"/>
              </w:rPr>
              <w:t>Arrangement</w:t>
            </w:r>
          </w:p>
        </w:tc>
        <w:tc>
          <w:tcPr>
            <w:tcW w:w="3484" w:type="dxa"/>
            <w:tcBorders>
              <w:top w:val="single" w:sz="4" w:space="0" w:color="BFBFBF"/>
            </w:tcBorders>
          </w:tcPr>
          <w:p w:rsidR="001175DB" w:rsidRPr="00E609E7" w:rsidRDefault="001175DB" w:rsidP="00534748">
            <w:pPr>
              <w:rPr>
                <w:rFonts w:ascii="Arial" w:hAnsi="Arial" w:cs="Arial"/>
                <w:b/>
                <w:bCs/>
                <w:sz w:val="20"/>
                <w:szCs w:val="20"/>
                <w:lang w:val="en-US"/>
              </w:rPr>
            </w:pPr>
            <w:r w:rsidRPr="00E609E7">
              <w:rPr>
                <w:rFonts w:ascii="Arial" w:hAnsi="Arial"/>
                <w:b/>
                <w:sz w:val="20"/>
                <w:lang w:val="en-US"/>
              </w:rPr>
              <w:t>Beneficiaries</w:t>
            </w:r>
          </w:p>
        </w:tc>
      </w:tr>
      <w:tr w:rsidR="001175DB" w:rsidRPr="00E609E7" w:rsidTr="00534748">
        <w:tc>
          <w:tcPr>
            <w:tcW w:w="1884" w:type="dxa"/>
          </w:tcPr>
          <w:p w:rsidR="001175DB" w:rsidRPr="00E609E7" w:rsidRDefault="001175DB" w:rsidP="00534748">
            <w:pPr>
              <w:rPr>
                <w:rFonts w:ascii="Arial" w:hAnsi="Arial" w:cs="Arial"/>
                <w:sz w:val="20"/>
                <w:szCs w:val="20"/>
                <w:lang w:val="en-US"/>
              </w:rPr>
            </w:pPr>
            <w:r w:rsidRPr="00E609E7">
              <w:rPr>
                <w:rFonts w:ascii="Arial" w:hAnsi="Arial"/>
                <w:sz w:val="20"/>
                <w:lang w:val="en-US"/>
              </w:rPr>
              <w:t>Law No. 5763</w:t>
            </w:r>
          </w:p>
        </w:tc>
        <w:tc>
          <w:tcPr>
            <w:tcW w:w="1536" w:type="dxa"/>
          </w:tcPr>
          <w:p w:rsidR="001175DB" w:rsidRPr="00E609E7" w:rsidRDefault="001175DB" w:rsidP="00534748">
            <w:pPr>
              <w:rPr>
                <w:rFonts w:ascii="Arial" w:hAnsi="Arial" w:cs="Arial"/>
                <w:sz w:val="20"/>
                <w:szCs w:val="20"/>
                <w:lang w:val="en-US"/>
              </w:rPr>
            </w:pPr>
            <w:r w:rsidRPr="00E609E7">
              <w:rPr>
                <w:rFonts w:ascii="Arial" w:hAnsi="Arial"/>
                <w:sz w:val="20"/>
                <w:lang w:val="en-US"/>
              </w:rPr>
              <w:t>July 2008</w:t>
            </w:r>
          </w:p>
        </w:tc>
        <w:tc>
          <w:tcPr>
            <w:tcW w:w="2610" w:type="dxa"/>
          </w:tcPr>
          <w:p w:rsidR="001175DB" w:rsidRPr="00E609E7" w:rsidRDefault="001175DB" w:rsidP="00534748">
            <w:pPr>
              <w:rPr>
                <w:rFonts w:ascii="Arial" w:hAnsi="Arial" w:cs="Arial"/>
                <w:sz w:val="20"/>
                <w:szCs w:val="20"/>
                <w:lang w:val="en-US"/>
              </w:rPr>
            </w:pPr>
            <w:r w:rsidRPr="00E609E7">
              <w:rPr>
                <w:rFonts w:ascii="Arial" w:hAnsi="Arial"/>
                <w:sz w:val="20"/>
                <w:lang w:val="en-US"/>
              </w:rPr>
              <w:t>Incentives started</w:t>
            </w:r>
          </w:p>
        </w:tc>
        <w:tc>
          <w:tcPr>
            <w:tcW w:w="3484" w:type="dxa"/>
          </w:tcPr>
          <w:p w:rsidR="001175DB" w:rsidRPr="00E609E7" w:rsidRDefault="001175DB" w:rsidP="00534748">
            <w:pPr>
              <w:rPr>
                <w:rFonts w:ascii="Arial" w:hAnsi="Arial" w:cs="Arial"/>
                <w:sz w:val="20"/>
                <w:szCs w:val="20"/>
                <w:lang w:val="en-US"/>
              </w:rPr>
            </w:pPr>
            <w:r w:rsidRPr="00E609E7">
              <w:rPr>
                <w:rFonts w:ascii="Arial" w:hAnsi="Arial"/>
                <w:sz w:val="20"/>
                <w:lang w:val="en-US"/>
              </w:rPr>
              <w:t>Women and youth</w:t>
            </w:r>
          </w:p>
        </w:tc>
      </w:tr>
      <w:tr w:rsidR="001175DB" w:rsidRPr="00E609E7" w:rsidTr="00534748">
        <w:tc>
          <w:tcPr>
            <w:tcW w:w="1884" w:type="dxa"/>
          </w:tcPr>
          <w:p w:rsidR="001175DB" w:rsidRPr="00E609E7" w:rsidRDefault="001175DB" w:rsidP="00534748">
            <w:pPr>
              <w:rPr>
                <w:rFonts w:ascii="Arial" w:hAnsi="Arial" w:cs="Arial"/>
                <w:sz w:val="20"/>
                <w:szCs w:val="20"/>
                <w:lang w:val="en-US"/>
              </w:rPr>
            </w:pPr>
            <w:r w:rsidRPr="00E609E7">
              <w:rPr>
                <w:rFonts w:ascii="Arial" w:hAnsi="Arial"/>
                <w:sz w:val="20"/>
                <w:lang w:val="en-US"/>
              </w:rPr>
              <w:t>Law No. 5838</w:t>
            </w:r>
          </w:p>
        </w:tc>
        <w:tc>
          <w:tcPr>
            <w:tcW w:w="1536" w:type="dxa"/>
          </w:tcPr>
          <w:p w:rsidR="001175DB" w:rsidRPr="00E609E7" w:rsidRDefault="001175DB" w:rsidP="00534748">
            <w:pPr>
              <w:rPr>
                <w:rFonts w:ascii="Arial" w:hAnsi="Arial" w:cs="Arial"/>
                <w:sz w:val="20"/>
                <w:szCs w:val="20"/>
                <w:lang w:val="en-US"/>
              </w:rPr>
            </w:pPr>
            <w:r w:rsidRPr="00E609E7">
              <w:rPr>
                <w:rFonts w:ascii="Arial" w:hAnsi="Arial"/>
                <w:sz w:val="20"/>
                <w:lang w:val="en-US"/>
              </w:rPr>
              <w:t>February 2009</w:t>
            </w:r>
          </w:p>
        </w:tc>
        <w:tc>
          <w:tcPr>
            <w:tcW w:w="2610" w:type="dxa"/>
          </w:tcPr>
          <w:p w:rsidR="001175DB" w:rsidRPr="00E609E7" w:rsidRDefault="00FC0479" w:rsidP="00534748">
            <w:pPr>
              <w:rPr>
                <w:rFonts w:ascii="Arial" w:hAnsi="Arial" w:cs="Arial"/>
                <w:sz w:val="20"/>
                <w:szCs w:val="20"/>
                <w:lang w:val="en-US"/>
              </w:rPr>
            </w:pPr>
            <w:r>
              <w:rPr>
                <w:rFonts w:ascii="Arial" w:hAnsi="Arial"/>
                <w:sz w:val="20"/>
                <w:lang w:val="en-US"/>
              </w:rPr>
              <w:t>Extended until</w:t>
            </w:r>
            <w:r w:rsidR="001175DB" w:rsidRPr="00E609E7">
              <w:rPr>
                <w:rFonts w:ascii="Arial" w:hAnsi="Arial"/>
                <w:sz w:val="20"/>
                <w:lang w:val="en-US"/>
              </w:rPr>
              <w:t xml:space="preserve"> July 2010</w:t>
            </w:r>
          </w:p>
        </w:tc>
        <w:tc>
          <w:tcPr>
            <w:tcW w:w="3484" w:type="dxa"/>
          </w:tcPr>
          <w:p w:rsidR="001175DB" w:rsidRPr="00E609E7" w:rsidRDefault="001175DB" w:rsidP="00534748">
            <w:pPr>
              <w:rPr>
                <w:rFonts w:ascii="Arial" w:hAnsi="Arial" w:cs="Arial"/>
                <w:sz w:val="20"/>
                <w:szCs w:val="20"/>
                <w:lang w:val="en-US"/>
              </w:rPr>
            </w:pPr>
            <w:r w:rsidRPr="00E609E7">
              <w:rPr>
                <w:rFonts w:ascii="Arial" w:hAnsi="Arial"/>
                <w:sz w:val="20"/>
                <w:lang w:val="en-US"/>
              </w:rPr>
              <w:t>Women and youth</w:t>
            </w:r>
          </w:p>
        </w:tc>
      </w:tr>
      <w:tr w:rsidR="001175DB" w:rsidRPr="00E609E7" w:rsidTr="00534748">
        <w:tc>
          <w:tcPr>
            <w:tcW w:w="1884" w:type="dxa"/>
            <w:tcBorders>
              <w:bottom w:val="single" w:sz="4" w:space="0" w:color="BFBFBF"/>
            </w:tcBorders>
          </w:tcPr>
          <w:p w:rsidR="001175DB" w:rsidRPr="00E609E7" w:rsidRDefault="001175DB" w:rsidP="00534748">
            <w:pPr>
              <w:rPr>
                <w:rFonts w:ascii="Arial" w:hAnsi="Arial" w:cs="Arial"/>
                <w:sz w:val="20"/>
                <w:szCs w:val="20"/>
                <w:lang w:val="en-US"/>
              </w:rPr>
            </w:pPr>
            <w:r w:rsidRPr="00E609E7">
              <w:rPr>
                <w:rFonts w:ascii="Arial" w:hAnsi="Arial"/>
                <w:sz w:val="20"/>
                <w:lang w:val="en-US"/>
              </w:rPr>
              <w:t>Law No. 6111</w:t>
            </w:r>
          </w:p>
        </w:tc>
        <w:tc>
          <w:tcPr>
            <w:tcW w:w="1536" w:type="dxa"/>
            <w:tcBorders>
              <w:bottom w:val="single" w:sz="4" w:space="0" w:color="BFBFBF"/>
            </w:tcBorders>
          </w:tcPr>
          <w:p w:rsidR="001175DB" w:rsidRPr="00E609E7" w:rsidRDefault="001175DB" w:rsidP="00534748">
            <w:pPr>
              <w:rPr>
                <w:rFonts w:ascii="Arial" w:hAnsi="Arial" w:cs="Arial"/>
                <w:sz w:val="20"/>
                <w:szCs w:val="20"/>
                <w:lang w:val="en-US"/>
              </w:rPr>
            </w:pPr>
            <w:r w:rsidRPr="00E609E7">
              <w:rPr>
                <w:rFonts w:ascii="Arial" w:hAnsi="Arial"/>
                <w:sz w:val="20"/>
                <w:lang w:val="en-US"/>
              </w:rPr>
              <w:t>February 2011</w:t>
            </w:r>
          </w:p>
        </w:tc>
        <w:tc>
          <w:tcPr>
            <w:tcW w:w="2610" w:type="dxa"/>
            <w:tcBorders>
              <w:bottom w:val="single" w:sz="4" w:space="0" w:color="BFBFBF"/>
            </w:tcBorders>
          </w:tcPr>
          <w:p w:rsidR="001175DB" w:rsidRPr="00E609E7" w:rsidRDefault="00FC0479" w:rsidP="00534748">
            <w:pPr>
              <w:rPr>
                <w:rFonts w:ascii="Arial" w:hAnsi="Arial" w:cs="Arial"/>
                <w:sz w:val="20"/>
                <w:szCs w:val="20"/>
                <w:lang w:val="en-US"/>
              </w:rPr>
            </w:pPr>
            <w:r>
              <w:rPr>
                <w:rFonts w:ascii="Arial" w:hAnsi="Arial"/>
                <w:sz w:val="20"/>
                <w:lang w:val="en-US"/>
              </w:rPr>
              <w:t>Extended until</w:t>
            </w:r>
            <w:r w:rsidR="001175DB" w:rsidRPr="00E609E7">
              <w:rPr>
                <w:rFonts w:ascii="Arial" w:hAnsi="Arial"/>
                <w:sz w:val="20"/>
                <w:lang w:val="en-US"/>
              </w:rPr>
              <w:t xml:space="preserve"> December 2015 </w:t>
            </w:r>
          </w:p>
        </w:tc>
        <w:tc>
          <w:tcPr>
            <w:tcW w:w="3484" w:type="dxa"/>
            <w:tcBorders>
              <w:bottom w:val="single" w:sz="4" w:space="0" w:color="BFBFBF"/>
            </w:tcBorders>
          </w:tcPr>
          <w:p w:rsidR="001175DB" w:rsidRPr="00E609E7" w:rsidRDefault="001175DB" w:rsidP="00534748">
            <w:pPr>
              <w:rPr>
                <w:rFonts w:ascii="Arial" w:hAnsi="Arial" w:cs="Arial"/>
                <w:sz w:val="20"/>
                <w:szCs w:val="20"/>
                <w:lang w:val="en-US"/>
              </w:rPr>
            </w:pPr>
            <w:r w:rsidRPr="00E609E7">
              <w:rPr>
                <w:rFonts w:ascii="Arial" w:hAnsi="Arial"/>
                <w:sz w:val="20"/>
                <w:lang w:val="en-US"/>
              </w:rPr>
              <w:t xml:space="preserve">Women, </w:t>
            </w:r>
            <w:r w:rsidR="00B83EAA">
              <w:rPr>
                <w:rFonts w:ascii="Arial" w:hAnsi="Arial"/>
                <w:sz w:val="20"/>
                <w:lang w:val="en-US"/>
              </w:rPr>
              <w:t>youth</w:t>
            </w:r>
            <w:r w:rsidRPr="00E609E7">
              <w:rPr>
                <w:rFonts w:ascii="Arial" w:hAnsi="Arial"/>
                <w:sz w:val="20"/>
                <w:lang w:val="en-US"/>
              </w:rPr>
              <w:t>, men receiving vocational education, and unemployed registered at İŞKUR</w:t>
            </w:r>
          </w:p>
        </w:tc>
      </w:tr>
    </w:tbl>
    <w:p w:rsidR="001175DB" w:rsidRPr="00E609E7" w:rsidRDefault="001175DB" w:rsidP="001175DB">
      <w:pPr>
        <w:rPr>
          <w:rFonts w:ascii="Arial" w:hAnsi="Arial" w:cs="Arial"/>
          <w:sz w:val="20"/>
          <w:szCs w:val="20"/>
          <w:lang w:val="en-US"/>
        </w:rPr>
      </w:pPr>
    </w:p>
    <w:p w:rsidR="001175DB" w:rsidRPr="00E609E7" w:rsidRDefault="001175DB" w:rsidP="00D70F7B">
      <w:pPr>
        <w:pStyle w:val="Heading3"/>
        <w:tabs>
          <w:tab w:val="clear" w:pos="720"/>
          <w:tab w:val="num" w:pos="0"/>
        </w:tabs>
        <w:spacing w:after="200"/>
        <w:jc w:val="both"/>
        <w:rPr>
          <w:sz w:val="20"/>
          <w:szCs w:val="20"/>
          <w:lang w:val="en-US"/>
        </w:rPr>
      </w:pPr>
      <w:r w:rsidRPr="00E609E7">
        <w:rPr>
          <w:sz w:val="20"/>
          <w:lang w:val="en-US"/>
        </w:rPr>
        <w:lastRenderedPageBreak/>
        <w:t xml:space="preserve">Legal arrangements that undermine the effects of incentives for women and youth employment </w:t>
      </w:r>
    </w:p>
    <w:p w:rsidR="00E76853" w:rsidRDefault="00E76853" w:rsidP="001175DB">
      <w:pPr>
        <w:rPr>
          <w:rFonts w:ascii="Arial" w:hAnsi="Arial"/>
          <w:sz w:val="20"/>
          <w:lang w:val="en-US"/>
        </w:rPr>
      </w:pPr>
      <w:r>
        <w:rPr>
          <w:rFonts w:ascii="Arial" w:hAnsi="Arial"/>
          <w:sz w:val="20"/>
          <w:lang w:val="en-US"/>
        </w:rPr>
        <w:t xml:space="preserve">Meanwhile, to overcome some of the detrimental effects of the global economic crisis on the labor market in Turkey, some regulations were passed. These new regulations mitigated the overall effect of the </w:t>
      </w:r>
      <w:r w:rsidR="00670399">
        <w:rPr>
          <w:rFonts w:ascii="Arial" w:hAnsi="Arial"/>
          <w:sz w:val="20"/>
          <w:lang w:val="en-US"/>
        </w:rPr>
        <w:t>social security</w:t>
      </w:r>
      <w:r>
        <w:rPr>
          <w:rFonts w:ascii="Arial" w:hAnsi="Arial"/>
          <w:sz w:val="20"/>
          <w:lang w:val="en-US"/>
        </w:rPr>
        <w:t xml:space="preserve"> premium incentives for women and the youth. </w:t>
      </w:r>
    </w:p>
    <w:p w:rsidR="00E76853" w:rsidRDefault="00E76853" w:rsidP="001175DB">
      <w:pPr>
        <w:rPr>
          <w:rFonts w:ascii="Arial" w:hAnsi="Arial"/>
          <w:sz w:val="20"/>
          <w:lang w:val="en-US"/>
        </w:rPr>
      </w:pPr>
    </w:p>
    <w:p w:rsidR="001175DB" w:rsidRPr="00E609E7" w:rsidRDefault="001175DB" w:rsidP="001175DB">
      <w:pPr>
        <w:rPr>
          <w:rFonts w:ascii="Arial" w:hAnsi="Arial" w:cs="Arial"/>
          <w:sz w:val="20"/>
          <w:szCs w:val="20"/>
          <w:lang w:val="en-US"/>
        </w:rPr>
      </w:pPr>
      <w:r w:rsidRPr="00E609E7">
        <w:rPr>
          <w:rFonts w:ascii="Arial" w:hAnsi="Arial"/>
          <w:sz w:val="20"/>
          <w:lang w:val="en-US"/>
        </w:rPr>
        <w:t xml:space="preserve">With Law no.5921 on "Amendment of the Unemployment Insurance Law and Social Security and Universal Health Insurance Law", Provisional Article 9 was added to the Unemployment Insurance Law no.4447 in August 2009. This provisional article provides that the employer shares of the </w:t>
      </w:r>
      <w:r w:rsidR="00052AEB">
        <w:rPr>
          <w:rFonts w:ascii="Arial" w:hAnsi="Arial"/>
          <w:sz w:val="20"/>
          <w:lang w:val="en-US"/>
        </w:rPr>
        <w:t>social security</w:t>
      </w:r>
      <w:r w:rsidRPr="00E609E7">
        <w:rPr>
          <w:rFonts w:ascii="Arial" w:hAnsi="Arial"/>
          <w:sz w:val="20"/>
          <w:lang w:val="en-US"/>
        </w:rPr>
        <w:t xml:space="preserve"> premiums of each newly employed personnel hired within the last six months will be paid by the State for six months.   </w:t>
      </w:r>
    </w:p>
    <w:p w:rsidR="00D70F7B" w:rsidRPr="00E609E7" w:rsidRDefault="00D70F7B" w:rsidP="001175DB">
      <w:pPr>
        <w:rPr>
          <w:rFonts w:ascii="Arial" w:hAnsi="Arial" w:cs="Arial"/>
          <w:sz w:val="20"/>
          <w:szCs w:val="20"/>
          <w:lang w:val="en-US"/>
        </w:rPr>
      </w:pPr>
    </w:p>
    <w:p w:rsidR="001175DB" w:rsidRPr="00E609E7" w:rsidRDefault="001175DB" w:rsidP="001175DB">
      <w:pPr>
        <w:rPr>
          <w:rFonts w:ascii="Arial" w:hAnsi="Arial" w:cs="Arial"/>
          <w:sz w:val="20"/>
          <w:szCs w:val="20"/>
          <w:lang w:val="en-US"/>
        </w:rPr>
      </w:pPr>
      <w:r w:rsidRPr="00E609E7">
        <w:rPr>
          <w:rFonts w:ascii="Arial" w:hAnsi="Arial"/>
          <w:sz w:val="20"/>
          <w:lang w:val="en-US"/>
        </w:rPr>
        <w:t xml:space="preserve">"For those who are hired and de facto employed as an addition to the number of insured personnel declared in the premium and service documents of April of 2009, until 31.12.2009, provided that they are not among the insured personnel registered in the premium and service documents submitted to the Social Security Authority for the three-month period before the date of employment, the employer shares of the </w:t>
      </w:r>
      <w:r w:rsidR="00670399">
        <w:rPr>
          <w:rFonts w:ascii="Arial" w:hAnsi="Arial"/>
          <w:sz w:val="20"/>
          <w:lang w:val="en-US"/>
        </w:rPr>
        <w:t>social security</w:t>
      </w:r>
      <w:r w:rsidRPr="00E609E7">
        <w:rPr>
          <w:rFonts w:ascii="Arial" w:hAnsi="Arial"/>
          <w:sz w:val="20"/>
          <w:lang w:val="en-US"/>
        </w:rPr>
        <w:t xml:space="preserve"> premiums as calculated based on the lower threshold for income that is base </w:t>
      </w:r>
      <w:r w:rsidR="00D15831" w:rsidRPr="00E609E7">
        <w:rPr>
          <w:rFonts w:ascii="Arial" w:hAnsi="Arial"/>
          <w:sz w:val="20"/>
          <w:lang w:val="en-US"/>
        </w:rPr>
        <w:t>for</w:t>
      </w:r>
      <w:r w:rsidRPr="00E609E7">
        <w:rPr>
          <w:rFonts w:ascii="Arial" w:hAnsi="Arial"/>
          <w:sz w:val="20"/>
          <w:lang w:val="en-US"/>
        </w:rPr>
        <w:t xml:space="preserve"> premium determined pursuant to Article 82 and mentioned in Article 81 of Law no.5510 shall be paid from the Unemployment Insurance Fund for six months." </w:t>
      </w:r>
    </w:p>
    <w:p w:rsidR="00D70F7B" w:rsidRPr="00E609E7" w:rsidRDefault="00D70F7B" w:rsidP="001175DB">
      <w:pPr>
        <w:rPr>
          <w:rFonts w:ascii="Arial" w:hAnsi="Arial" w:cs="Arial"/>
          <w:sz w:val="20"/>
          <w:szCs w:val="20"/>
          <w:lang w:val="en-US"/>
        </w:rPr>
      </w:pPr>
    </w:p>
    <w:p w:rsidR="001175DB" w:rsidRPr="00E609E7" w:rsidRDefault="001175DB" w:rsidP="001175DB">
      <w:pPr>
        <w:rPr>
          <w:rFonts w:ascii="Arial" w:hAnsi="Arial" w:cs="Arial"/>
          <w:sz w:val="20"/>
          <w:szCs w:val="20"/>
          <w:lang w:val="en-US"/>
        </w:rPr>
      </w:pPr>
      <w:r w:rsidRPr="00E609E7">
        <w:rPr>
          <w:rFonts w:ascii="Arial" w:hAnsi="Arial"/>
          <w:sz w:val="20"/>
          <w:lang w:val="en-US"/>
        </w:rPr>
        <w:t xml:space="preserve">With the Law no.5951 on "Amendment of the Law on Public Receivables Collection Procedures and Miscellaneous Other Laws" dated January 2010, the incentives were extended to include those hired until December 2010, and the Council of Ministers was authorized to further extend them to June 2011. However, there are currently no Council of Ministers decisions for extending the incentives. Hence, the incentives </w:t>
      </w:r>
      <w:r w:rsidR="00D15831" w:rsidRPr="00E609E7">
        <w:rPr>
          <w:rFonts w:ascii="Arial" w:hAnsi="Arial"/>
          <w:sz w:val="20"/>
          <w:lang w:val="en-US"/>
        </w:rPr>
        <w:t>were</w:t>
      </w:r>
      <w:r w:rsidRPr="00E609E7">
        <w:rPr>
          <w:rFonts w:ascii="Arial" w:hAnsi="Arial"/>
          <w:sz w:val="20"/>
          <w:lang w:val="en-US"/>
        </w:rPr>
        <w:t xml:space="preserve"> granted for those hired until December 2010, and the premium payments were finalized in June 2011.</w:t>
      </w:r>
      <w:r w:rsidRPr="00E609E7">
        <w:rPr>
          <w:rStyle w:val="FootnoteReference"/>
          <w:rFonts w:ascii="Arial" w:hAnsi="Arial"/>
          <w:sz w:val="20"/>
          <w:lang w:val="en-US"/>
        </w:rPr>
        <w:footnoteReference w:id="3"/>
      </w:r>
      <w:r w:rsidRPr="00E609E7">
        <w:rPr>
          <w:rFonts w:ascii="Arial" w:hAnsi="Arial"/>
          <w:sz w:val="20"/>
          <w:lang w:val="en-US"/>
        </w:rPr>
        <w:t xml:space="preserve"> </w:t>
      </w:r>
    </w:p>
    <w:p w:rsidR="0096211B" w:rsidRPr="00E609E7" w:rsidRDefault="0096211B" w:rsidP="001175DB">
      <w:pPr>
        <w:rPr>
          <w:rFonts w:ascii="Arial" w:hAnsi="Arial" w:cs="Arial"/>
          <w:sz w:val="20"/>
          <w:szCs w:val="20"/>
          <w:lang w:val="en-US"/>
        </w:rPr>
      </w:pPr>
    </w:p>
    <w:p w:rsidR="001175DB" w:rsidRPr="00E609E7" w:rsidRDefault="001175DB" w:rsidP="001175DB">
      <w:pPr>
        <w:rPr>
          <w:rFonts w:ascii="Arial" w:hAnsi="Arial" w:cs="Arial"/>
          <w:sz w:val="20"/>
          <w:szCs w:val="20"/>
          <w:lang w:val="en-US"/>
        </w:rPr>
      </w:pPr>
      <w:r w:rsidRPr="00E609E7">
        <w:rPr>
          <w:rFonts w:ascii="Arial" w:hAnsi="Arial"/>
          <w:sz w:val="20"/>
          <w:lang w:val="en-US"/>
        </w:rPr>
        <w:t xml:space="preserve">In addition to these </w:t>
      </w:r>
      <w:r w:rsidR="006D44CA">
        <w:rPr>
          <w:rFonts w:ascii="Arial" w:hAnsi="Arial"/>
          <w:sz w:val="20"/>
          <w:lang w:val="en-US"/>
        </w:rPr>
        <w:t>regulations</w:t>
      </w:r>
      <w:r w:rsidRPr="00E609E7">
        <w:rPr>
          <w:rFonts w:ascii="Arial" w:hAnsi="Arial"/>
          <w:sz w:val="20"/>
          <w:lang w:val="en-US"/>
        </w:rPr>
        <w:t xml:space="preserve">, some of the regional incentives also include employment incentives. In accordance with Article 4 of Law no. 5084 on "Encouraging Investment and Employment, and Amendment of Miscellaneous Laws", which came into force in 2004 and remained in force until December 2012, the Treasury paid 100% of the employer shares of </w:t>
      </w:r>
      <w:r w:rsidR="00670399">
        <w:rPr>
          <w:rFonts w:ascii="Arial" w:hAnsi="Arial"/>
          <w:sz w:val="20"/>
          <w:lang w:val="en-US"/>
        </w:rPr>
        <w:t>social security</w:t>
      </w:r>
      <w:r w:rsidRPr="00E609E7">
        <w:rPr>
          <w:rFonts w:ascii="Arial" w:hAnsi="Arial"/>
          <w:sz w:val="20"/>
          <w:lang w:val="en-US"/>
        </w:rPr>
        <w:t xml:space="preserve"> premiums for workplaces situate</w:t>
      </w:r>
      <w:r w:rsidR="0012201E">
        <w:rPr>
          <w:rFonts w:ascii="Arial" w:hAnsi="Arial"/>
          <w:sz w:val="20"/>
          <w:lang w:val="en-US"/>
        </w:rPr>
        <w:t>d in organized industrial zones</w:t>
      </w:r>
      <w:r w:rsidRPr="00E609E7">
        <w:rPr>
          <w:rFonts w:ascii="Arial" w:hAnsi="Arial"/>
          <w:sz w:val="20"/>
          <w:lang w:val="en-US"/>
        </w:rPr>
        <w:t xml:space="preserve"> and 80% of the employer shares for other workplaces</w:t>
      </w:r>
      <w:r w:rsidR="0012201E" w:rsidRPr="0012201E">
        <w:rPr>
          <w:rFonts w:ascii="Arial" w:hAnsi="Arial"/>
          <w:sz w:val="20"/>
          <w:lang w:val="en-US"/>
        </w:rPr>
        <w:t xml:space="preserve"> </w:t>
      </w:r>
      <w:r w:rsidR="0012201E" w:rsidRPr="00E609E7">
        <w:rPr>
          <w:rFonts w:ascii="Arial" w:hAnsi="Arial"/>
          <w:sz w:val="20"/>
          <w:lang w:val="en-US"/>
        </w:rPr>
        <w:t>in 49 provinces</w:t>
      </w:r>
      <w:r w:rsidR="0012201E" w:rsidRPr="00E609E7">
        <w:rPr>
          <w:rStyle w:val="FootnoteReference"/>
          <w:rFonts w:ascii="Arial" w:hAnsi="Arial"/>
          <w:sz w:val="20"/>
          <w:lang w:val="en-US"/>
        </w:rPr>
        <w:footnoteReference w:id="4"/>
      </w:r>
      <w:r w:rsidRPr="00E609E7">
        <w:rPr>
          <w:rFonts w:ascii="Arial" w:hAnsi="Arial"/>
          <w:sz w:val="20"/>
          <w:lang w:val="en-US"/>
        </w:rPr>
        <w:t>. Since all em</w:t>
      </w:r>
      <w:r w:rsidR="00270900">
        <w:rPr>
          <w:rFonts w:ascii="Arial" w:hAnsi="Arial"/>
          <w:sz w:val="20"/>
          <w:lang w:val="en-US"/>
        </w:rPr>
        <w:t>ployment is subsidized by</w:t>
      </w:r>
      <w:r w:rsidRPr="00E609E7">
        <w:rPr>
          <w:rFonts w:ascii="Arial" w:hAnsi="Arial"/>
          <w:sz w:val="20"/>
          <w:lang w:val="en-US"/>
        </w:rPr>
        <w:t xml:space="preserve"> incentives for workplaces employing at least 10 people in these regions, the effect of incentives supporting the employment of women </w:t>
      </w:r>
      <w:r w:rsidR="000D69FE">
        <w:rPr>
          <w:rFonts w:ascii="Arial" w:hAnsi="Arial"/>
          <w:sz w:val="20"/>
          <w:lang w:val="en-US"/>
        </w:rPr>
        <w:t xml:space="preserve">and </w:t>
      </w:r>
      <w:r w:rsidR="00B83EAA">
        <w:rPr>
          <w:rFonts w:ascii="Arial" w:hAnsi="Arial"/>
          <w:sz w:val="20"/>
          <w:lang w:val="en-US"/>
        </w:rPr>
        <w:t>youth</w:t>
      </w:r>
      <w:r w:rsidR="000D69FE">
        <w:rPr>
          <w:rFonts w:ascii="Arial" w:hAnsi="Arial"/>
          <w:sz w:val="20"/>
          <w:lang w:val="en-US"/>
        </w:rPr>
        <w:t xml:space="preserve"> would be marginal</w:t>
      </w:r>
      <w:r w:rsidRPr="00E609E7">
        <w:rPr>
          <w:rFonts w:ascii="Arial" w:hAnsi="Arial"/>
          <w:sz w:val="20"/>
          <w:lang w:val="en-US"/>
        </w:rPr>
        <w:t xml:space="preserve">. </w:t>
      </w:r>
    </w:p>
    <w:p w:rsidR="00646444" w:rsidRPr="00E609E7" w:rsidRDefault="00646444" w:rsidP="001175DB">
      <w:pPr>
        <w:rPr>
          <w:rFonts w:ascii="Arial" w:hAnsi="Arial" w:cs="Arial"/>
          <w:sz w:val="20"/>
          <w:szCs w:val="20"/>
          <w:lang w:val="en-US"/>
        </w:rPr>
      </w:pPr>
    </w:p>
    <w:p w:rsidR="001175DB" w:rsidRPr="00E609E7" w:rsidRDefault="001175DB" w:rsidP="001175DB">
      <w:pPr>
        <w:rPr>
          <w:rFonts w:ascii="Arial" w:hAnsi="Arial"/>
          <w:sz w:val="20"/>
          <w:lang w:val="en-US"/>
        </w:rPr>
      </w:pPr>
      <w:r w:rsidRPr="00E609E7">
        <w:rPr>
          <w:rFonts w:ascii="Arial" w:hAnsi="Arial"/>
          <w:sz w:val="20"/>
          <w:lang w:val="en-US"/>
        </w:rPr>
        <w:t xml:space="preserve">The incentives introduced with Law no. 5084 </w:t>
      </w:r>
      <w:r w:rsidR="004F6C12">
        <w:rPr>
          <w:rFonts w:ascii="Arial" w:hAnsi="Arial"/>
          <w:sz w:val="20"/>
          <w:lang w:val="en-US"/>
        </w:rPr>
        <w:t>expired</w:t>
      </w:r>
      <w:r w:rsidRPr="00E609E7">
        <w:rPr>
          <w:rFonts w:ascii="Arial" w:hAnsi="Arial"/>
          <w:sz w:val="20"/>
          <w:lang w:val="en-US"/>
        </w:rPr>
        <w:t xml:space="preserve"> at the end of December 2012; however, the regions were redefined with the Decision no. 2012/3305 of the Council of Ministers, which re-regulated the employment incentives. </w:t>
      </w:r>
    </w:p>
    <w:p w:rsidR="00D15831" w:rsidRPr="00E609E7" w:rsidRDefault="00D15831" w:rsidP="001175DB">
      <w:pPr>
        <w:rPr>
          <w:rFonts w:ascii="Arial" w:hAnsi="Arial" w:cs="Arial"/>
          <w:sz w:val="20"/>
          <w:szCs w:val="20"/>
          <w:lang w:val="en-US"/>
        </w:rPr>
      </w:pPr>
    </w:p>
    <w:p w:rsidR="001175DB" w:rsidRPr="00E609E7" w:rsidRDefault="001175DB" w:rsidP="001175DB">
      <w:pPr>
        <w:rPr>
          <w:rFonts w:ascii="Arial" w:hAnsi="Arial" w:cs="Arial"/>
          <w:sz w:val="20"/>
          <w:szCs w:val="20"/>
          <w:lang w:val="en-US"/>
        </w:rPr>
      </w:pPr>
      <w:r w:rsidRPr="00E609E7">
        <w:rPr>
          <w:rFonts w:ascii="Arial" w:hAnsi="Arial"/>
          <w:sz w:val="20"/>
          <w:lang w:val="en-US"/>
        </w:rPr>
        <w:t xml:space="preserve">Both the incentives introduced for new employment and the regional incentives almost </w:t>
      </w:r>
      <w:r w:rsidR="00577E0A" w:rsidRPr="00E609E7">
        <w:rPr>
          <w:rFonts w:ascii="Arial" w:hAnsi="Arial"/>
          <w:sz w:val="20"/>
          <w:lang w:val="en-US"/>
        </w:rPr>
        <w:t>efface</w:t>
      </w:r>
      <w:r w:rsidRPr="00E609E7">
        <w:rPr>
          <w:rFonts w:ascii="Arial" w:hAnsi="Arial"/>
          <w:sz w:val="20"/>
          <w:lang w:val="en-US"/>
        </w:rPr>
        <w:t xml:space="preserve"> the positive effects of women and youth employment incentives, which aim at increasing employment among these groups by decreasing the cost of employing them.  </w:t>
      </w:r>
    </w:p>
    <w:p w:rsidR="00646444" w:rsidRPr="00E609E7" w:rsidRDefault="00646444" w:rsidP="001175DB">
      <w:pPr>
        <w:rPr>
          <w:rFonts w:ascii="Arial" w:hAnsi="Arial" w:cs="Arial"/>
          <w:sz w:val="20"/>
          <w:szCs w:val="20"/>
          <w:lang w:val="en-US"/>
        </w:rPr>
      </w:pPr>
    </w:p>
    <w:p w:rsidR="001175DB" w:rsidRPr="00E609E7" w:rsidRDefault="001175DB" w:rsidP="001175DB">
      <w:pPr>
        <w:rPr>
          <w:rFonts w:ascii="Arial" w:hAnsi="Arial" w:cs="Arial"/>
          <w:sz w:val="20"/>
          <w:szCs w:val="20"/>
          <w:lang w:val="en-US"/>
        </w:rPr>
      </w:pPr>
      <w:r w:rsidRPr="00E609E7">
        <w:rPr>
          <w:rFonts w:ascii="Arial" w:hAnsi="Arial"/>
          <w:sz w:val="20"/>
          <w:lang w:val="en-US"/>
        </w:rPr>
        <w:t xml:space="preserve">To summarize, </w:t>
      </w:r>
      <w:r w:rsidR="00670399">
        <w:rPr>
          <w:rFonts w:ascii="Arial" w:hAnsi="Arial"/>
          <w:sz w:val="20"/>
          <w:lang w:val="en-US"/>
        </w:rPr>
        <w:t>social security</w:t>
      </w:r>
      <w:r w:rsidRPr="00E609E7">
        <w:rPr>
          <w:rFonts w:ascii="Arial" w:hAnsi="Arial"/>
          <w:sz w:val="20"/>
          <w:lang w:val="en-US"/>
        </w:rPr>
        <w:t xml:space="preserve"> premium incentives introduced for employment of women and </w:t>
      </w:r>
      <w:r w:rsidR="00B83EAA">
        <w:rPr>
          <w:rFonts w:ascii="Arial" w:hAnsi="Arial"/>
          <w:sz w:val="20"/>
          <w:lang w:val="en-US"/>
        </w:rPr>
        <w:t>youth</w:t>
      </w:r>
      <w:r w:rsidRPr="00E609E7">
        <w:rPr>
          <w:rFonts w:ascii="Arial" w:hAnsi="Arial"/>
          <w:sz w:val="20"/>
          <w:lang w:val="en-US"/>
        </w:rPr>
        <w:t xml:space="preserve"> in July 2008 are, in effect, the incentives granted for newly created employment in 32 provinces that </w:t>
      </w:r>
      <w:r w:rsidR="00D15831" w:rsidRPr="00E609E7">
        <w:rPr>
          <w:rFonts w:ascii="Arial" w:hAnsi="Arial"/>
          <w:sz w:val="20"/>
          <w:lang w:val="en-US"/>
        </w:rPr>
        <w:t>w</w:t>
      </w:r>
      <w:r w:rsidRPr="00E609E7">
        <w:rPr>
          <w:rFonts w:ascii="Arial" w:hAnsi="Arial"/>
          <w:sz w:val="20"/>
          <w:lang w:val="en-US"/>
        </w:rPr>
        <w:t xml:space="preserve">ere not able to benefit from regional incentives in accordance with Law no.5084 until August 2009 and after June 2011.  It should be kept in mind </w:t>
      </w:r>
      <w:r w:rsidR="00577E0A">
        <w:rPr>
          <w:rFonts w:ascii="Arial" w:hAnsi="Arial"/>
          <w:sz w:val="20"/>
          <w:lang w:val="en-US"/>
        </w:rPr>
        <w:t xml:space="preserve">the analysis here is based on </w:t>
      </w:r>
      <w:r w:rsidRPr="00E609E7">
        <w:rPr>
          <w:rFonts w:ascii="Arial" w:hAnsi="Arial"/>
          <w:sz w:val="20"/>
          <w:lang w:val="en-US"/>
        </w:rPr>
        <w:t xml:space="preserve">monthly </w:t>
      </w:r>
      <w:r w:rsidR="00F4480B">
        <w:rPr>
          <w:rFonts w:ascii="Arial" w:hAnsi="Arial"/>
          <w:sz w:val="20"/>
          <w:lang w:val="en-US"/>
        </w:rPr>
        <w:t>labor</w:t>
      </w:r>
      <w:r w:rsidRPr="00E609E7">
        <w:rPr>
          <w:rFonts w:ascii="Arial" w:hAnsi="Arial"/>
          <w:sz w:val="20"/>
          <w:lang w:val="en-US"/>
        </w:rPr>
        <w:t xml:space="preserve"> data </w:t>
      </w:r>
      <w:r w:rsidR="00577E0A">
        <w:rPr>
          <w:rFonts w:ascii="Arial" w:hAnsi="Arial"/>
          <w:sz w:val="20"/>
          <w:lang w:val="en-US"/>
        </w:rPr>
        <w:t>at the national level</w:t>
      </w:r>
      <w:r w:rsidRPr="00E609E7">
        <w:rPr>
          <w:rFonts w:ascii="Arial" w:hAnsi="Arial"/>
          <w:sz w:val="20"/>
          <w:lang w:val="en-US"/>
        </w:rPr>
        <w:t xml:space="preserve"> due to</w:t>
      </w:r>
      <w:r w:rsidR="00577E0A">
        <w:rPr>
          <w:rFonts w:ascii="Arial" w:hAnsi="Arial"/>
          <w:sz w:val="20"/>
          <w:lang w:val="en-US"/>
        </w:rPr>
        <w:t xml:space="preserve"> the</w:t>
      </w:r>
      <w:r w:rsidRPr="00E609E7">
        <w:rPr>
          <w:rFonts w:ascii="Arial" w:hAnsi="Arial"/>
          <w:sz w:val="20"/>
          <w:lang w:val="en-US"/>
        </w:rPr>
        <w:t xml:space="preserve"> lack of province-based data. </w:t>
      </w:r>
    </w:p>
    <w:p w:rsidR="001175DB" w:rsidRPr="00E609E7" w:rsidRDefault="001175DB" w:rsidP="00646444">
      <w:pPr>
        <w:pStyle w:val="Heading2"/>
        <w:tabs>
          <w:tab w:val="clear" w:pos="576"/>
          <w:tab w:val="num" w:pos="0"/>
        </w:tabs>
        <w:spacing w:after="200"/>
        <w:rPr>
          <w:i w:val="0"/>
          <w:sz w:val="20"/>
          <w:szCs w:val="20"/>
          <w:lang w:val="en-US"/>
        </w:rPr>
      </w:pPr>
      <w:r w:rsidRPr="00E609E7">
        <w:rPr>
          <w:i w:val="0"/>
          <w:sz w:val="20"/>
          <w:lang w:val="en-US"/>
        </w:rPr>
        <w:lastRenderedPageBreak/>
        <w:t>Methodology and data</w:t>
      </w:r>
    </w:p>
    <w:p w:rsidR="001175DB" w:rsidRPr="00B83EAA" w:rsidRDefault="00AD0C47" w:rsidP="001175DB">
      <w:pPr>
        <w:rPr>
          <w:rFonts w:ascii="Arial" w:hAnsi="Arial"/>
          <w:sz w:val="20"/>
          <w:lang w:val="en-US"/>
        </w:rPr>
      </w:pPr>
      <w:r>
        <w:rPr>
          <w:rFonts w:ascii="Arial" w:hAnsi="Arial"/>
          <w:sz w:val="20"/>
          <w:lang w:val="en-US"/>
        </w:rPr>
        <w:t>The analysis conducted in this research brief</w:t>
      </w:r>
      <w:r w:rsidR="001175DB" w:rsidRPr="00E609E7">
        <w:rPr>
          <w:rFonts w:ascii="Arial" w:hAnsi="Arial"/>
          <w:sz w:val="20"/>
          <w:lang w:val="en-US"/>
        </w:rPr>
        <w:t xml:space="preserve"> use</w:t>
      </w:r>
      <w:r>
        <w:rPr>
          <w:rFonts w:ascii="Arial" w:hAnsi="Arial"/>
          <w:sz w:val="20"/>
          <w:lang w:val="en-US"/>
        </w:rPr>
        <w:t>s</w:t>
      </w:r>
      <w:r w:rsidR="001175DB" w:rsidRPr="00E609E7">
        <w:rPr>
          <w:rFonts w:ascii="Arial" w:hAnsi="Arial"/>
          <w:sz w:val="20"/>
          <w:lang w:val="en-US"/>
        </w:rPr>
        <w:t xml:space="preserve"> the difference-in-differences (</w:t>
      </w:r>
      <w:proofErr w:type="spellStart"/>
      <w:r w:rsidR="001175DB" w:rsidRPr="00E609E7">
        <w:rPr>
          <w:rFonts w:ascii="Arial" w:hAnsi="Arial"/>
          <w:sz w:val="20"/>
          <w:lang w:val="en-US"/>
        </w:rPr>
        <w:t>DiD</w:t>
      </w:r>
      <w:proofErr w:type="spellEnd"/>
      <w:r w:rsidR="001175DB" w:rsidRPr="00E609E7">
        <w:rPr>
          <w:rFonts w:ascii="Arial" w:hAnsi="Arial"/>
          <w:sz w:val="20"/>
          <w:lang w:val="en-US"/>
        </w:rPr>
        <w:t xml:space="preserve">) analysis method to study the incentives </w:t>
      </w:r>
      <w:r w:rsidR="00A537B8">
        <w:rPr>
          <w:rFonts w:ascii="Arial" w:hAnsi="Arial"/>
          <w:sz w:val="20"/>
          <w:lang w:val="en-US"/>
        </w:rPr>
        <w:t>provided to the</w:t>
      </w:r>
      <w:r w:rsidR="001175DB" w:rsidRPr="00E609E7">
        <w:rPr>
          <w:rFonts w:ascii="Arial" w:hAnsi="Arial"/>
          <w:sz w:val="20"/>
          <w:lang w:val="en-US"/>
        </w:rPr>
        <w:t xml:space="preserve"> employment of women and </w:t>
      </w:r>
      <w:r w:rsidR="00A537B8">
        <w:rPr>
          <w:rFonts w:ascii="Arial" w:hAnsi="Arial"/>
          <w:sz w:val="20"/>
          <w:lang w:val="en-US"/>
        </w:rPr>
        <w:t>youth</w:t>
      </w:r>
      <w:r w:rsidR="001175DB" w:rsidRPr="00E609E7">
        <w:rPr>
          <w:rFonts w:ascii="Arial" w:hAnsi="Arial"/>
          <w:sz w:val="20"/>
          <w:lang w:val="en-US"/>
        </w:rPr>
        <w:t xml:space="preserve">. </w:t>
      </w:r>
      <w:r w:rsidR="00B83EAA">
        <w:rPr>
          <w:rFonts w:ascii="Arial" w:hAnsi="Arial"/>
          <w:sz w:val="20"/>
          <w:lang w:val="en-US"/>
        </w:rPr>
        <w:t>The</w:t>
      </w:r>
      <w:r w:rsidR="001175DB" w:rsidRPr="00E609E7">
        <w:rPr>
          <w:rFonts w:ascii="Arial" w:hAnsi="Arial"/>
          <w:sz w:val="20"/>
          <w:lang w:val="en-US"/>
        </w:rPr>
        <w:t xml:space="preserve"> employment status of the group benefit</w:t>
      </w:r>
      <w:r w:rsidR="00B83EAA">
        <w:rPr>
          <w:rFonts w:ascii="Arial" w:hAnsi="Arial"/>
          <w:sz w:val="20"/>
          <w:lang w:val="en-US"/>
        </w:rPr>
        <w:t>ing from incentives is compared</w:t>
      </w:r>
      <w:r w:rsidR="001175DB" w:rsidRPr="00E609E7">
        <w:rPr>
          <w:rFonts w:ascii="Arial" w:hAnsi="Arial"/>
          <w:sz w:val="20"/>
          <w:lang w:val="en-US"/>
        </w:rPr>
        <w:t xml:space="preserve"> </w:t>
      </w:r>
      <w:r w:rsidR="00B83EAA">
        <w:rPr>
          <w:rFonts w:ascii="Arial" w:hAnsi="Arial"/>
          <w:sz w:val="20"/>
          <w:lang w:val="en-US"/>
        </w:rPr>
        <w:t>to</w:t>
      </w:r>
      <w:r w:rsidR="001175DB" w:rsidRPr="00E609E7">
        <w:rPr>
          <w:rFonts w:ascii="Arial" w:hAnsi="Arial"/>
          <w:sz w:val="20"/>
          <w:lang w:val="en-US"/>
        </w:rPr>
        <w:t xml:space="preserve"> the employment status of the group that cannot benefit from incentives</w:t>
      </w:r>
      <w:r w:rsidR="00B83EAA">
        <w:rPr>
          <w:rFonts w:ascii="Arial" w:hAnsi="Arial"/>
          <w:sz w:val="20"/>
          <w:lang w:val="en-US"/>
        </w:rPr>
        <w:t xml:space="preserve"> over time</w:t>
      </w:r>
      <w:r w:rsidR="001175DB" w:rsidRPr="00E609E7">
        <w:rPr>
          <w:rFonts w:ascii="Arial" w:hAnsi="Arial"/>
          <w:sz w:val="20"/>
          <w:lang w:val="en-US"/>
        </w:rPr>
        <w:t xml:space="preserve">. </w:t>
      </w:r>
      <w:r w:rsidR="00B83EAA">
        <w:rPr>
          <w:rFonts w:ascii="Arial" w:hAnsi="Arial"/>
          <w:sz w:val="20"/>
          <w:lang w:val="en-US"/>
        </w:rPr>
        <w:t xml:space="preserve">This allows us to correct for overall changes in the economy that are affecting the employment of both groups similarly during the time period under study. </w:t>
      </w:r>
      <w:r w:rsidR="001175DB" w:rsidRPr="00E609E7">
        <w:rPr>
          <w:rFonts w:ascii="Arial" w:hAnsi="Arial"/>
          <w:sz w:val="20"/>
          <w:lang w:val="en-US"/>
        </w:rPr>
        <w:t xml:space="preserve">In order to distinguish the effects of developments affecting the workforce and employment in general from the effects of the incentives, a control group is determined to reflect the general course.  Then, the employment status of the group affected from incentives is compared to the employment status of the control group which is not affected from incentives. If the incentives are working, the employment of the beneficiary group will increase </w:t>
      </w:r>
      <w:r w:rsidR="00B83EAA">
        <w:rPr>
          <w:rFonts w:ascii="Arial" w:hAnsi="Arial"/>
          <w:sz w:val="20"/>
          <w:lang w:val="en-US"/>
        </w:rPr>
        <w:t>relative</w:t>
      </w:r>
      <w:r w:rsidR="001175DB" w:rsidRPr="00E609E7">
        <w:rPr>
          <w:rFonts w:ascii="Arial" w:hAnsi="Arial"/>
          <w:sz w:val="20"/>
          <w:lang w:val="en-US"/>
        </w:rPr>
        <w:t xml:space="preserve"> to </w:t>
      </w:r>
      <w:r w:rsidR="001A00B1">
        <w:rPr>
          <w:rFonts w:ascii="Arial" w:hAnsi="Arial"/>
          <w:sz w:val="20"/>
          <w:lang w:val="en-US"/>
        </w:rPr>
        <w:t xml:space="preserve">that of </w:t>
      </w:r>
      <w:r w:rsidR="001175DB" w:rsidRPr="00E609E7">
        <w:rPr>
          <w:rFonts w:ascii="Arial" w:hAnsi="Arial"/>
          <w:sz w:val="20"/>
          <w:lang w:val="en-US"/>
        </w:rPr>
        <w:t xml:space="preserve">the group not benefiting from incentives. </w:t>
      </w:r>
      <w:r w:rsidR="005D2DE9">
        <w:rPr>
          <w:rFonts w:ascii="Arial" w:hAnsi="Arial"/>
          <w:sz w:val="20"/>
          <w:lang w:val="en-US"/>
        </w:rPr>
        <w:t>A simple statistic calculated below helps track this relative change over time</w:t>
      </w:r>
      <w:r w:rsidR="001175DB" w:rsidRPr="00E609E7">
        <w:rPr>
          <w:rFonts w:ascii="Arial" w:hAnsi="Arial"/>
          <w:sz w:val="20"/>
          <w:lang w:val="en-US"/>
        </w:rPr>
        <w:t xml:space="preserve">. </w:t>
      </w:r>
      <w:r w:rsidR="005E3D36">
        <w:rPr>
          <w:rFonts w:ascii="Arial" w:hAnsi="Arial"/>
          <w:sz w:val="20"/>
          <w:lang w:val="en-US"/>
        </w:rPr>
        <w:t>The difference followed over time is provided below, w</w:t>
      </w:r>
      <w:r w:rsidR="001175DB" w:rsidRPr="00E609E7">
        <w:rPr>
          <w:rFonts w:ascii="Arial" w:hAnsi="Arial"/>
          <w:sz w:val="20"/>
          <w:lang w:val="en-US"/>
        </w:rPr>
        <w:t>here employment of the group benefiting from incentives is "K" and the employment of the group not be</w:t>
      </w:r>
      <w:r w:rsidR="005E3D36">
        <w:rPr>
          <w:rFonts w:ascii="Arial" w:hAnsi="Arial"/>
          <w:sz w:val="20"/>
          <w:lang w:val="en-US"/>
        </w:rPr>
        <w:t>nefiting from incentives is "E".</w:t>
      </w:r>
      <w:r w:rsidR="001175DB" w:rsidRPr="00E609E7">
        <w:rPr>
          <w:rFonts w:ascii="Arial" w:hAnsi="Arial"/>
          <w:sz w:val="20"/>
          <w:lang w:val="en-US"/>
        </w:rPr>
        <w:t xml:space="preserve"> </w:t>
      </w:r>
    </w:p>
    <w:p w:rsidR="00646444" w:rsidRPr="00E609E7" w:rsidRDefault="00646444" w:rsidP="001175DB">
      <w:pPr>
        <w:rPr>
          <w:rFonts w:ascii="Arial" w:hAnsi="Arial" w:cs="Arial"/>
          <w:sz w:val="20"/>
          <w:szCs w:val="20"/>
          <w:lang w:val="en-US"/>
        </w:rPr>
      </w:pPr>
    </w:p>
    <w:p w:rsidR="001175DB" w:rsidRPr="00E609E7" w:rsidRDefault="001175DB" w:rsidP="001175DB">
      <w:pPr>
        <w:jc w:val="center"/>
        <w:rPr>
          <w:rFonts w:ascii="Arial" w:hAnsi="Arial" w:cs="Arial"/>
          <w:i/>
          <w:iCs/>
          <w:sz w:val="20"/>
          <w:szCs w:val="20"/>
          <w:lang w:val="en-US"/>
        </w:rPr>
      </w:pPr>
      <w:proofErr w:type="spellStart"/>
      <w:proofErr w:type="gramStart"/>
      <w:r w:rsidRPr="00E609E7">
        <w:rPr>
          <w:rFonts w:ascii="Arial" w:hAnsi="Arial"/>
          <w:i/>
          <w:sz w:val="20"/>
          <w:lang w:val="en-US"/>
        </w:rPr>
        <w:t>difference</w:t>
      </w:r>
      <w:r w:rsidRPr="00E609E7">
        <w:rPr>
          <w:rFonts w:ascii="Arial" w:hAnsi="Arial"/>
          <w:i/>
          <w:sz w:val="20"/>
          <w:vertAlign w:val="subscript"/>
          <w:lang w:val="en-US"/>
        </w:rPr>
        <w:t>t</w:t>
      </w:r>
      <w:proofErr w:type="spellEnd"/>
      <w:proofErr w:type="gramEnd"/>
      <w:r w:rsidRPr="00E609E7">
        <w:rPr>
          <w:rFonts w:ascii="Arial" w:hAnsi="Arial"/>
          <w:i/>
          <w:sz w:val="20"/>
          <w:lang w:val="en-US"/>
        </w:rPr>
        <w:t>= (K</w:t>
      </w:r>
      <w:r w:rsidRPr="00E609E7">
        <w:rPr>
          <w:rFonts w:ascii="Arial" w:hAnsi="Arial"/>
          <w:i/>
          <w:sz w:val="20"/>
          <w:vertAlign w:val="subscript"/>
          <w:lang w:val="en-US"/>
        </w:rPr>
        <w:t>t</w:t>
      </w:r>
      <w:r w:rsidRPr="00E609E7">
        <w:rPr>
          <w:rFonts w:ascii="Arial" w:hAnsi="Arial"/>
          <w:i/>
          <w:sz w:val="20"/>
          <w:lang w:val="en-US"/>
        </w:rPr>
        <w:t xml:space="preserve"> – K</w:t>
      </w:r>
      <w:r w:rsidRPr="00E609E7">
        <w:rPr>
          <w:rFonts w:ascii="Arial" w:hAnsi="Arial"/>
          <w:i/>
          <w:sz w:val="20"/>
          <w:vertAlign w:val="subscript"/>
          <w:lang w:val="en-US"/>
        </w:rPr>
        <w:t>t-1</w:t>
      </w:r>
      <w:r w:rsidRPr="00E609E7">
        <w:rPr>
          <w:rFonts w:ascii="Arial" w:hAnsi="Arial"/>
          <w:i/>
          <w:sz w:val="20"/>
          <w:lang w:val="en-US"/>
        </w:rPr>
        <w:t>) – (E</w:t>
      </w:r>
      <w:r w:rsidRPr="00E609E7">
        <w:rPr>
          <w:rFonts w:ascii="Arial" w:hAnsi="Arial"/>
          <w:i/>
          <w:sz w:val="20"/>
          <w:vertAlign w:val="subscript"/>
          <w:lang w:val="en-US"/>
        </w:rPr>
        <w:t>t</w:t>
      </w:r>
      <w:r w:rsidRPr="00E609E7">
        <w:rPr>
          <w:rFonts w:ascii="Arial" w:hAnsi="Arial"/>
          <w:i/>
          <w:sz w:val="20"/>
          <w:lang w:val="en-US"/>
        </w:rPr>
        <w:t xml:space="preserve"> – E</w:t>
      </w:r>
      <w:r w:rsidRPr="00E609E7">
        <w:rPr>
          <w:rFonts w:ascii="Arial" w:hAnsi="Arial"/>
          <w:i/>
          <w:sz w:val="20"/>
          <w:vertAlign w:val="subscript"/>
          <w:lang w:val="en-US"/>
        </w:rPr>
        <w:t>t-1</w:t>
      </w:r>
      <w:r w:rsidRPr="00E609E7">
        <w:rPr>
          <w:rFonts w:ascii="Arial" w:hAnsi="Arial"/>
          <w:i/>
          <w:sz w:val="20"/>
          <w:lang w:val="en-US"/>
        </w:rPr>
        <w:t>)</w:t>
      </w:r>
    </w:p>
    <w:p w:rsidR="00646444" w:rsidRPr="00E609E7" w:rsidRDefault="00646444" w:rsidP="001175DB">
      <w:pPr>
        <w:jc w:val="center"/>
        <w:rPr>
          <w:rFonts w:ascii="Arial" w:hAnsi="Arial" w:cs="Arial"/>
          <w:i/>
          <w:iCs/>
          <w:sz w:val="20"/>
          <w:szCs w:val="20"/>
          <w:lang w:val="en-US"/>
        </w:rPr>
      </w:pPr>
    </w:p>
    <w:p w:rsidR="001175DB" w:rsidRPr="00E609E7" w:rsidRDefault="001175DB" w:rsidP="001175DB">
      <w:pPr>
        <w:rPr>
          <w:rFonts w:ascii="Arial" w:hAnsi="Arial" w:cs="Arial"/>
          <w:sz w:val="20"/>
          <w:szCs w:val="20"/>
          <w:lang w:val="en-US"/>
        </w:rPr>
      </w:pPr>
      <w:r w:rsidRPr="00E609E7">
        <w:rPr>
          <w:rFonts w:ascii="Arial" w:hAnsi="Arial"/>
          <w:sz w:val="20"/>
          <w:lang w:val="en-US"/>
        </w:rPr>
        <w:t xml:space="preserve">The monthly data used in this research include seasonal effects. Hence, </w:t>
      </w:r>
      <w:r w:rsidR="00A45FCF" w:rsidRPr="00E609E7">
        <w:rPr>
          <w:rFonts w:ascii="Arial" w:hAnsi="Arial"/>
          <w:sz w:val="20"/>
          <w:lang w:val="en-US"/>
        </w:rPr>
        <w:t xml:space="preserve">the annual differences of the employment of both groups are used </w:t>
      </w:r>
      <w:r w:rsidRPr="00E609E7">
        <w:rPr>
          <w:rFonts w:ascii="Arial" w:hAnsi="Arial"/>
          <w:sz w:val="20"/>
          <w:lang w:val="en-US"/>
        </w:rPr>
        <w:t>in the diff</w:t>
      </w:r>
      <w:r w:rsidR="00A45FCF">
        <w:rPr>
          <w:rFonts w:ascii="Arial" w:hAnsi="Arial"/>
          <w:sz w:val="20"/>
          <w:lang w:val="en-US"/>
        </w:rPr>
        <w:t>erence</w:t>
      </w:r>
      <w:r w:rsidR="0073276C">
        <w:rPr>
          <w:rFonts w:ascii="Arial" w:hAnsi="Arial"/>
          <w:sz w:val="20"/>
          <w:lang w:val="en-US"/>
        </w:rPr>
        <w:t xml:space="preserve"> in differences analysis. T</w:t>
      </w:r>
      <w:r w:rsidR="00A45FCF">
        <w:rPr>
          <w:rFonts w:ascii="Arial" w:hAnsi="Arial"/>
          <w:sz w:val="20"/>
          <w:lang w:val="en-US"/>
        </w:rPr>
        <w:t xml:space="preserve">he statistic of interest is the difference between the annual differences of each group. </w:t>
      </w:r>
      <w:r w:rsidRPr="00E609E7">
        <w:rPr>
          <w:rFonts w:ascii="Arial" w:hAnsi="Arial"/>
          <w:sz w:val="20"/>
          <w:lang w:val="en-US"/>
        </w:rPr>
        <w:t xml:space="preserve"> </w:t>
      </w:r>
    </w:p>
    <w:p w:rsidR="00646444" w:rsidRPr="00E609E7" w:rsidRDefault="00646444" w:rsidP="001175DB">
      <w:pPr>
        <w:rPr>
          <w:rFonts w:ascii="Arial" w:hAnsi="Arial" w:cs="Arial"/>
          <w:sz w:val="20"/>
          <w:szCs w:val="20"/>
          <w:lang w:val="en-US"/>
        </w:rPr>
      </w:pPr>
    </w:p>
    <w:p w:rsidR="001175DB" w:rsidRPr="00E609E7" w:rsidRDefault="001175DB" w:rsidP="001175DB">
      <w:pPr>
        <w:rPr>
          <w:rFonts w:ascii="Arial" w:hAnsi="Arial" w:cs="Arial"/>
          <w:sz w:val="20"/>
          <w:szCs w:val="20"/>
          <w:lang w:val="en-US"/>
        </w:rPr>
      </w:pPr>
      <w:r w:rsidRPr="00E609E7">
        <w:rPr>
          <w:rFonts w:ascii="Arial" w:hAnsi="Arial"/>
          <w:sz w:val="20"/>
          <w:lang w:val="en-US"/>
        </w:rPr>
        <w:t xml:space="preserve">Employment data for </w:t>
      </w:r>
      <w:r w:rsidR="00036E86">
        <w:rPr>
          <w:rFonts w:ascii="Arial" w:hAnsi="Arial"/>
          <w:sz w:val="20"/>
          <w:lang w:val="en-US"/>
        </w:rPr>
        <w:t>the</w:t>
      </w:r>
      <w:r w:rsidRPr="00E609E7">
        <w:rPr>
          <w:rFonts w:ascii="Arial" w:hAnsi="Arial"/>
          <w:sz w:val="20"/>
          <w:lang w:val="en-US"/>
        </w:rPr>
        <w:t xml:space="preserve"> </w:t>
      </w:r>
      <w:r w:rsidR="00F4480B">
        <w:rPr>
          <w:rFonts w:ascii="Arial" w:hAnsi="Arial"/>
          <w:sz w:val="20"/>
          <w:lang w:val="en-US"/>
        </w:rPr>
        <w:t>labor</w:t>
      </w:r>
      <w:r w:rsidRPr="00E609E7">
        <w:rPr>
          <w:rFonts w:ascii="Arial" w:hAnsi="Arial"/>
          <w:sz w:val="20"/>
          <w:lang w:val="en-US"/>
        </w:rPr>
        <w:t xml:space="preserve"> market</w:t>
      </w:r>
      <w:r w:rsidR="00036E86">
        <w:rPr>
          <w:rFonts w:ascii="Arial" w:hAnsi="Arial"/>
          <w:sz w:val="20"/>
          <w:lang w:val="en-US"/>
        </w:rPr>
        <w:t xml:space="preserve"> in Turkey</w:t>
      </w:r>
      <w:r w:rsidRPr="00E609E7">
        <w:rPr>
          <w:rFonts w:ascii="Arial" w:hAnsi="Arial"/>
          <w:sz w:val="20"/>
          <w:lang w:val="en-US"/>
        </w:rPr>
        <w:t xml:space="preserve"> are monthly data collected through Household </w:t>
      </w:r>
      <w:r w:rsidR="00F4480B">
        <w:rPr>
          <w:rFonts w:ascii="Arial" w:hAnsi="Arial"/>
          <w:sz w:val="20"/>
          <w:lang w:val="en-US"/>
        </w:rPr>
        <w:t>Labor</w:t>
      </w:r>
      <w:r w:rsidRPr="00E609E7">
        <w:rPr>
          <w:rFonts w:ascii="Arial" w:hAnsi="Arial"/>
          <w:sz w:val="20"/>
          <w:lang w:val="en-US"/>
        </w:rPr>
        <w:t xml:space="preserve"> Surveys and </w:t>
      </w:r>
      <w:r w:rsidR="00B45BBA">
        <w:rPr>
          <w:rFonts w:ascii="Arial" w:hAnsi="Arial"/>
          <w:sz w:val="20"/>
          <w:lang w:val="en-US"/>
        </w:rPr>
        <w:t>released</w:t>
      </w:r>
      <w:r w:rsidRPr="00E609E7">
        <w:rPr>
          <w:rFonts w:ascii="Arial" w:hAnsi="Arial"/>
          <w:sz w:val="20"/>
          <w:lang w:val="en-US"/>
        </w:rPr>
        <w:t xml:space="preserve"> as macro data by </w:t>
      </w:r>
      <w:proofErr w:type="spellStart"/>
      <w:r w:rsidRPr="00E609E7">
        <w:rPr>
          <w:rFonts w:ascii="Arial" w:hAnsi="Arial"/>
          <w:sz w:val="20"/>
          <w:lang w:val="en-US"/>
        </w:rPr>
        <w:t>TurkStat</w:t>
      </w:r>
      <w:proofErr w:type="spellEnd"/>
      <w:r w:rsidRPr="00E609E7">
        <w:rPr>
          <w:rFonts w:ascii="Arial" w:hAnsi="Arial"/>
          <w:sz w:val="20"/>
          <w:lang w:val="en-US"/>
        </w:rPr>
        <w:t>.</w:t>
      </w:r>
      <w:r w:rsidRPr="00E609E7">
        <w:rPr>
          <w:rStyle w:val="FootnoteReference"/>
          <w:rFonts w:ascii="Arial" w:hAnsi="Arial"/>
          <w:sz w:val="20"/>
          <w:lang w:val="en-US"/>
        </w:rPr>
        <w:footnoteReference w:id="5"/>
      </w:r>
      <w:r w:rsidRPr="00E609E7">
        <w:rPr>
          <w:rFonts w:ascii="Arial" w:hAnsi="Arial"/>
          <w:sz w:val="20"/>
          <w:lang w:val="en-US"/>
        </w:rPr>
        <w:t xml:space="preserve"> Considering that legal </w:t>
      </w:r>
      <w:r w:rsidR="0027427B">
        <w:rPr>
          <w:rFonts w:ascii="Arial" w:hAnsi="Arial"/>
          <w:sz w:val="20"/>
          <w:lang w:val="en-US"/>
        </w:rPr>
        <w:t>regulations</w:t>
      </w:r>
      <w:r w:rsidRPr="00E609E7">
        <w:rPr>
          <w:rFonts w:ascii="Arial" w:hAnsi="Arial"/>
          <w:sz w:val="20"/>
          <w:lang w:val="en-US"/>
        </w:rPr>
        <w:t xml:space="preserve"> become effective on certain months, it </w:t>
      </w:r>
      <w:r w:rsidR="00BC1AC3">
        <w:rPr>
          <w:rFonts w:ascii="Arial" w:hAnsi="Arial"/>
          <w:sz w:val="20"/>
          <w:lang w:val="en-US"/>
        </w:rPr>
        <w:t>is</w:t>
      </w:r>
      <w:r w:rsidRPr="00E609E7">
        <w:rPr>
          <w:rFonts w:ascii="Arial" w:hAnsi="Arial"/>
          <w:sz w:val="20"/>
          <w:lang w:val="en-US"/>
        </w:rPr>
        <w:t xml:space="preserve"> more appro</w:t>
      </w:r>
      <w:r w:rsidR="00BC1AC3">
        <w:rPr>
          <w:rFonts w:ascii="Arial" w:hAnsi="Arial"/>
          <w:sz w:val="20"/>
          <w:lang w:val="en-US"/>
        </w:rPr>
        <w:t>priate to use monthly macro data. M</w:t>
      </w:r>
      <w:r w:rsidRPr="00E609E7">
        <w:rPr>
          <w:rFonts w:ascii="Arial" w:hAnsi="Arial"/>
          <w:sz w:val="20"/>
          <w:lang w:val="en-US"/>
        </w:rPr>
        <w:t>icro data do</w:t>
      </w:r>
      <w:r w:rsidR="00BC1AC3">
        <w:rPr>
          <w:rFonts w:ascii="Arial" w:hAnsi="Arial"/>
          <w:sz w:val="20"/>
          <w:lang w:val="en-US"/>
        </w:rPr>
        <w:t>es</w:t>
      </w:r>
      <w:r w:rsidRPr="00E609E7">
        <w:rPr>
          <w:rFonts w:ascii="Arial" w:hAnsi="Arial"/>
          <w:sz w:val="20"/>
          <w:lang w:val="en-US"/>
        </w:rPr>
        <w:t xml:space="preserve"> al</w:t>
      </w:r>
      <w:r w:rsidR="00BC1AC3">
        <w:rPr>
          <w:rFonts w:ascii="Arial" w:hAnsi="Arial"/>
          <w:sz w:val="20"/>
          <w:lang w:val="en-US"/>
        </w:rPr>
        <w:t>low for econometric analysis, however, does not</w:t>
      </w:r>
      <w:r w:rsidRPr="00E609E7">
        <w:rPr>
          <w:rFonts w:ascii="Arial" w:hAnsi="Arial"/>
          <w:sz w:val="20"/>
          <w:lang w:val="en-US"/>
        </w:rPr>
        <w:t xml:space="preserve"> include month-specific information, making it more difficult to measure the effects of the incentives.  </w:t>
      </w:r>
    </w:p>
    <w:p w:rsidR="002A7C35" w:rsidRPr="00E609E7" w:rsidRDefault="002A7C35" w:rsidP="001175DB">
      <w:pPr>
        <w:rPr>
          <w:rFonts w:ascii="Arial" w:hAnsi="Arial"/>
          <w:sz w:val="20"/>
          <w:lang w:val="en-US"/>
        </w:rPr>
      </w:pPr>
    </w:p>
    <w:p w:rsidR="001175DB" w:rsidRPr="00E609E7" w:rsidRDefault="001175DB" w:rsidP="001175DB">
      <w:pPr>
        <w:rPr>
          <w:rFonts w:ascii="Arial" w:hAnsi="Arial" w:cs="Arial"/>
          <w:sz w:val="20"/>
          <w:szCs w:val="20"/>
          <w:lang w:val="en-US"/>
        </w:rPr>
      </w:pPr>
      <w:r w:rsidRPr="00E609E7">
        <w:rPr>
          <w:rFonts w:ascii="Arial" w:hAnsi="Arial"/>
          <w:sz w:val="20"/>
          <w:lang w:val="en-US"/>
        </w:rPr>
        <w:t xml:space="preserve">Although econometric analysis is not included </w:t>
      </w:r>
      <w:r w:rsidR="006E609A">
        <w:rPr>
          <w:rFonts w:ascii="Arial" w:hAnsi="Arial"/>
          <w:sz w:val="20"/>
          <w:lang w:val="en-US"/>
        </w:rPr>
        <w:t>in the analysis, the difference-in-</w:t>
      </w:r>
      <w:r w:rsidRPr="00E609E7">
        <w:rPr>
          <w:rFonts w:ascii="Arial" w:hAnsi="Arial"/>
          <w:sz w:val="20"/>
          <w:lang w:val="en-US"/>
        </w:rPr>
        <w:t>differences (</w:t>
      </w:r>
      <w:proofErr w:type="spellStart"/>
      <w:r w:rsidRPr="00E609E7">
        <w:rPr>
          <w:rFonts w:ascii="Arial" w:hAnsi="Arial"/>
          <w:sz w:val="20"/>
          <w:lang w:val="en-US"/>
        </w:rPr>
        <w:t>DiD</w:t>
      </w:r>
      <w:proofErr w:type="spellEnd"/>
      <w:r w:rsidRPr="00E609E7">
        <w:rPr>
          <w:rFonts w:ascii="Arial" w:hAnsi="Arial"/>
          <w:sz w:val="20"/>
          <w:lang w:val="en-US"/>
        </w:rPr>
        <w:t xml:space="preserve">) statistics are calculated for different sub groups, thus </w:t>
      </w:r>
      <w:r w:rsidR="00144C7D">
        <w:rPr>
          <w:rFonts w:ascii="Arial" w:hAnsi="Arial"/>
          <w:sz w:val="20"/>
          <w:lang w:val="en-US"/>
        </w:rPr>
        <w:t>providing</w:t>
      </w:r>
      <w:r w:rsidRPr="00E609E7">
        <w:rPr>
          <w:rFonts w:ascii="Arial" w:hAnsi="Arial"/>
          <w:sz w:val="20"/>
          <w:lang w:val="en-US"/>
        </w:rPr>
        <w:t xml:space="preserve"> results on the relative effects of the incentives. One of the most important distinctions here is the formal/informal </w:t>
      </w:r>
      <w:r w:rsidR="00FB5F38">
        <w:rPr>
          <w:rFonts w:ascii="Arial" w:hAnsi="Arial"/>
          <w:sz w:val="20"/>
          <w:lang w:val="en-US"/>
        </w:rPr>
        <w:t>divide</w:t>
      </w:r>
      <w:r w:rsidRPr="00E609E7">
        <w:rPr>
          <w:rFonts w:ascii="Arial" w:hAnsi="Arial"/>
          <w:sz w:val="20"/>
          <w:lang w:val="en-US"/>
        </w:rPr>
        <w:t xml:space="preserve">. </w:t>
      </w:r>
      <w:r w:rsidR="00180E59">
        <w:rPr>
          <w:rFonts w:ascii="Arial" w:hAnsi="Arial"/>
          <w:sz w:val="20"/>
          <w:lang w:val="en-US"/>
        </w:rPr>
        <w:t xml:space="preserve">Informal (unregistered) employment clearly cannot benefit from the incentives. </w:t>
      </w:r>
      <w:r w:rsidRPr="00E609E7">
        <w:rPr>
          <w:rFonts w:ascii="Arial" w:hAnsi="Arial"/>
          <w:sz w:val="20"/>
          <w:lang w:val="en-US"/>
        </w:rPr>
        <w:t>Hence, the analysis is base</w:t>
      </w:r>
      <w:r w:rsidR="0079238A">
        <w:rPr>
          <w:rFonts w:ascii="Arial" w:hAnsi="Arial"/>
          <w:sz w:val="20"/>
          <w:lang w:val="en-US"/>
        </w:rPr>
        <w:t>d on non-farm</w:t>
      </w:r>
      <w:r w:rsidRPr="00E609E7">
        <w:rPr>
          <w:rFonts w:ascii="Arial" w:hAnsi="Arial"/>
          <w:sz w:val="20"/>
          <w:lang w:val="en-US"/>
        </w:rPr>
        <w:t xml:space="preserve"> formal employment. </w:t>
      </w:r>
      <w:proofErr w:type="spellStart"/>
      <w:r w:rsidRPr="00E609E7">
        <w:rPr>
          <w:rFonts w:ascii="Arial" w:hAnsi="Arial"/>
          <w:sz w:val="20"/>
          <w:lang w:val="en-US"/>
        </w:rPr>
        <w:t>The</w:t>
      </w:r>
      <w:proofErr w:type="spellEnd"/>
      <w:r w:rsidRPr="00E609E7">
        <w:rPr>
          <w:rFonts w:ascii="Arial" w:hAnsi="Arial"/>
          <w:sz w:val="20"/>
          <w:lang w:val="en-US"/>
        </w:rPr>
        <w:t xml:space="preserve"> </w:t>
      </w:r>
      <w:proofErr w:type="spellStart"/>
      <w:proofErr w:type="gramStart"/>
      <w:r w:rsidRPr="00E609E7">
        <w:rPr>
          <w:rFonts w:ascii="Arial" w:hAnsi="Arial"/>
          <w:sz w:val="20"/>
          <w:lang w:val="en-US"/>
        </w:rPr>
        <w:t>DiD</w:t>
      </w:r>
      <w:proofErr w:type="spellEnd"/>
      <w:proofErr w:type="gramEnd"/>
      <w:r w:rsidRPr="00E609E7">
        <w:rPr>
          <w:rFonts w:ascii="Arial" w:hAnsi="Arial"/>
          <w:sz w:val="20"/>
          <w:lang w:val="en-US"/>
        </w:rPr>
        <w:t xml:space="preserve"> statistics based on non-farm formal payroll employment are evaluated </w:t>
      </w:r>
      <w:r w:rsidR="00180E59">
        <w:rPr>
          <w:rFonts w:ascii="Arial" w:hAnsi="Arial"/>
          <w:sz w:val="20"/>
          <w:lang w:val="en-US"/>
        </w:rPr>
        <w:t>along</w:t>
      </w:r>
      <w:r w:rsidRPr="00E609E7">
        <w:rPr>
          <w:rFonts w:ascii="Arial" w:hAnsi="Arial"/>
          <w:sz w:val="20"/>
          <w:lang w:val="en-US"/>
        </w:rPr>
        <w:t xml:space="preserve"> various axes, such as education, sector, profession, marital status etc.  </w:t>
      </w:r>
    </w:p>
    <w:p w:rsidR="001175DB" w:rsidRPr="00E609E7" w:rsidRDefault="001175DB" w:rsidP="00646444">
      <w:pPr>
        <w:pStyle w:val="Heading2"/>
        <w:tabs>
          <w:tab w:val="clear" w:pos="576"/>
          <w:tab w:val="num" w:pos="0"/>
        </w:tabs>
        <w:spacing w:after="200"/>
        <w:rPr>
          <w:i w:val="0"/>
          <w:sz w:val="20"/>
          <w:szCs w:val="20"/>
          <w:lang w:val="en-US"/>
        </w:rPr>
      </w:pPr>
      <w:r w:rsidRPr="00E609E7">
        <w:rPr>
          <w:i w:val="0"/>
          <w:sz w:val="20"/>
          <w:lang w:val="en-US"/>
        </w:rPr>
        <w:t>Analysis</w:t>
      </w:r>
    </w:p>
    <w:p w:rsidR="00646444" w:rsidRPr="00E609E7" w:rsidRDefault="001175DB" w:rsidP="001175DB">
      <w:pPr>
        <w:rPr>
          <w:rFonts w:ascii="Arial" w:hAnsi="Arial" w:cs="Arial"/>
          <w:sz w:val="20"/>
          <w:szCs w:val="20"/>
          <w:lang w:val="en-US"/>
        </w:rPr>
      </w:pPr>
      <w:r w:rsidRPr="00E609E7">
        <w:rPr>
          <w:rFonts w:ascii="Arial" w:hAnsi="Arial"/>
          <w:sz w:val="20"/>
          <w:lang w:val="en-US"/>
        </w:rPr>
        <w:t xml:space="preserve">This research </w:t>
      </w:r>
      <w:r w:rsidR="00FF6FDF">
        <w:rPr>
          <w:rFonts w:ascii="Arial" w:hAnsi="Arial"/>
          <w:sz w:val="20"/>
          <w:lang w:val="en-US"/>
        </w:rPr>
        <w:t xml:space="preserve">brief </w:t>
      </w:r>
      <w:r w:rsidRPr="00E609E7">
        <w:rPr>
          <w:rFonts w:ascii="Arial" w:hAnsi="Arial"/>
          <w:sz w:val="20"/>
          <w:lang w:val="en-US"/>
        </w:rPr>
        <w:t xml:space="preserve">focuses on the effects of incentives introduced for employment of women and </w:t>
      </w:r>
      <w:r w:rsidR="00B83EAA">
        <w:rPr>
          <w:rFonts w:ascii="Arial" w:hAnsi="Arial"/>
          <w:sz w:val="20"/>
          <w:lang w:val="en-US"/>
        </w:rPr>
        <w:t>youth</w:t>
      </w:r>
      <w:r w:rsidRPr="00E609E7">
        <w:rPr>
          <w:rFonts w:ascii="Arial" w:hAnsi="Arial"/>
          <w:sz w:val="20"/>
          <w:lang w:val="en-US"/>
        </w:rPr>
        <w:t xml:space="preserve"> on formal payroll employment of women. To make the analysis easy to follow, only the results for the</w:t>
      </w:r>
      <w:r w:rsidR="002A7C35" w:rsidRPr="00E609E7">
        <w:rPr>
          <w:rFonts w:ascii="Arial" w:hAnsi="Arial"/>
          <w:sz w:val="20"/>
          <w:lang w:val="en-US"/>
        </w:rPr>
        <w:t xml:space="preserve"> 30-44 age </w:t>
      </w:r>
      <w:proofErr w:type="gramStart"/>
      <w:r w:rsidR="002A7C35" w:rsidRPr="00E609E7">
        <w:rPr>
          <w:rFonts w:ascii="Arial" w:hAnsi="Arial"/>
          <w:sz w:val="20"/>
          <w:lang w:val="en-US"/>
        </w:rPr>
        <w:t>group</w:t>
      </w:r>
      <w:proofErr w:type="gramEnd"/>
      <w:r w:rsidR="002A7C35" w:rsidRPr="00E609E7">
        <w:rPr>
          <w:rFonts w:ascii="Arial" w:hAnsi="Arial"/>
          <w:sz w:val="20"/>
          <w:lang w:val="en-US"/>
        </w:rPr>
        <w:t xml:space="preserve"> are examined i</w:t>
      </w:r>
      <w:r w:rsidRPr="00E609E7">
        <w:rPr>
          <w:rFonts w:ascii="Arial" w:hAnsi="Arial"/>
          <w:sz w:val="20"/>
          <w:lang w:val="en-US"/>
        </w:rPr>
        <w:t xml:space="preserve">n the first phase.  This age group represents those who are in their most productive age, who have completed their educational life but who have not yet retired. The age group of 'over 45' were excluded from the analysis, as retirement decisions are common among this age group due to the early retirement arrangements in Turkey, and more importantly, since this decision </w:t>
      </w:r>
      <w:r w:rsidR="00AE21C9">
        <w:rPr>
          <w:rFonts w:ascii="Arial" w:hAnsi="Arial"/>
          <w:sz w:val="20"/>
          <w:lang w:val="en-US"/>
        </w:rPr>
        <w:t>may differ substantially between</w:t>
      </w:r>
      <w:r w:rsidRPr="00E609E7">
        <w:rPr>
          <w:rFonts w:ascii="Arial" w:hAnsi="Arial"/>
          <w:sz w:val="20"/>
          <w:lang w:val="en-US"/>
        </w:rPr>
        <w:t xml:space="preserve"> men and women.  The incentive given for </w:t>
      </w:r>
      <w:r w:rsidR="00B83EAA">
        <w:rPr>
          <w:rFonts w:ascii="Arial" w:hAnsi="Arial"/>
          <w:sz w:val="20"/>
          <w:lang w:val="en-US"/>
        </w:rPr>
        <w:t>youth</w:t>
      </w:r>
      <w:r w:rsidRPr="00E609E7">
        <w:rPr>
          <w:rFonts w:ascii="Arial" w:hAnsi="Arial"/>
          <w:sz w:val="20"/>
          <w:lang w:val="en-US"/>
        </w:rPr>
        <w:t xml:space="preserve"> will be studied in another research</w:t>
      </w:r>
      <w:r w:rsidR="001E18AC">
        <w:rPr>
          <w:rFonts w:ascii="Arial" w:hAnsi="Arial"/>
          <w:sz w:val="20"/>
          <w:lang w:val="en-US"/>
        </w:rPr>
        <w:t xml:space="preserve"> brief</w:t>
      </w:r>
      <w:r w:rsidRPr="00E609E7">
        <w:rPr>
          <w:rFonts w:ascii="Arial" w:hAnsi="Arial"/>
          <w:sz w:val="20"/>
          <w:lang w:val="en-US"/>
        </w:rPr>
        <w:t xml:space="preserve">. </w:t>
      </w:r>
    </w:p>
    <w:p w:rsidR="004242E6" w:rsidRPr="00E609E7" w:rsidRDefault="004242E6" w:rsidP="001175DB">
      <w:pPr>
        <w:rPr>
          <w:rFonts w:ascii="Arial" w:hAnsi="Arial" w:cs="Arial"/>
          <w:sz w:val="20"/>
          <w:szCs w:val="20"/>
          <w:lang w:val="en-US"/>
        </w:rPr>
      </w:pPr>
    </w:p>
    <w:p w:rsidR="001175DB" w:rsidRPr="00E609E7" w:rsidRDefault="004242E6" w:rsidP="001175DB">
      <w:pPr>
        <w:rPr>
          <w:rFonts w:ascii="Arial" w:hAnsi="Arial" w:cs="Arial"/>
          <w:sz w:val="20"/>
          <w:szCs w:val="20"/>
          <w:lang w:val="en-US"/>
        </w:rPr>
      </w:pPr>
      <w:r w:rsidRPr="00E609E7">
        <w:rPr>
          <w:rFonts w:ascii="Arial" w:hAnsi="Arial"/>
          <w:sz w:val="20"/>
          <w:lang w:val="en-US"/>
        </w:rPr>
        <w:t xml:space="preserve">In Figure 1, the employment levels and annual differences are </w:t>
      </w:r>
      <w:r w:rsidR="0019766F">
        <w:rPr>
          <w:rFonts w:ascii="Arial" w:hAnsi="Arial"/>
          <w:sz w:val="20"/>
          <w:lang w:val="en-US"/>
        </w:rPr>
        <w:t>provided</w:t>
      </w:r>
      <w:r w:rsidRPr="00E609E7">
        <w:rPr>
          <w:rFonts w:ascii="Arial" w:hAnsi="Arial"/>
          <w:sz w:val="20"/>
          <w:lang w:val="en-US"/>
        </w:rPr>
        <w:t xml:space="preserve"> for men and women in the 30-44 age </w:t>
      </w:r>
      <w:proofErr w:type="gramStart"/>
      <w:r w:rsidRPr="00E609E7">
        <w:rPr>
          <w:rFonts w:ascii="Arial" w:hAnsi="Arial"/>
          <w:sz w:val="20"/>
          <w:lang w:val="en-US"/>
        </w:rPr>
        <w:t>group</w:t>
      </w:r>
      <w:proofErr w:type="gramEnd"/>
      <w:r w:rsidRPr="00E609E7">
        <w:rPr>
          <w:rFonts w:ascii="Arial" w:hAnsi="Arial"/>
          <w:sz w:val="20"/>
          <w:lang w:val="en-US"/>
        </w:rPr>
        <w:t xml:space="preserve"> for the period of January 2005 - September 2011. The series seen in the right-hand </w:t>
      </w:r>
      <w:r w:rsidR="00E560E9">
        <w:rPr>
          <w:rFonts w:ascii="Arial" w:hAnsi="Arial"/>
          <w:sz w:val="20"/>
          <w:lang w:val="en-US"/>
        </w:rPr>
        <w:t>figure</w:t>
      </w:r>
      <w:r w:rsidRPr="00E609E7">
        <w:rPr>
          <w:rFonts w:ascii="Arial" w:hAnsi="Arial"/>
          <w:sz w:val="20"/>
          <w:lang w:val="en-US"/>
        </w:rPr>
        <w:t xml:space="preserve"> shows the annual</w:t>
      </w:r>
      <w:r w:rsidR="002A7C35" w:rsidRPr="00E609E7">
        <w:rPr>
          <w:rFonts w:ascii="Arial" w:hAnsi="Arial"/>
          <w:sz w:val="20"/>
          <w:lang w:val="en-US"/>
        </w:rPr>
        <w:t xml:space="preserve"> differences in women's and men’</w:t>
      </w:r>
      <w:r w:rsidRPr="00E609E7">
        <w:rPr>
          <w:rFonts w:ascii="Arial" w:hAnsi="Arial"/>
          <w:sz w:val="20"/>
          <w:lang w:val="en-US"/>
        </w:rPr>
        <w:t xml:space="preserve">s employment series, i.e. the </w:t>
      </w:r>
      <w:r w:rsidRPr="00E609E7">
        <w:rPr>
          <w:rFonts w:ascii="Arial" w:hAnsi="Arial"/>
          <w:i/>
          <w:sz w:val="20"/>
          <w:lang w:val="en-US"/>
        </w:rPr>
        <w:t>(K</w:t>
      </w:r>
      <w:r w:rsidRPr="00E609E7">
        <w:rPr>
          <w:rFonts w:ascii="Arial" w:hAnsi="Arial"/>
          <w:i/>
          <w:sz w:val="20"/>
          <w:vertAlign w:val="subscript"/>
          <w:lang w:val="en-US"/>
        </w:rPr>
        <w:t>t</w:t>
      </w:r>
      <w:r w:rsidRPr="00E609E7">
        <w:rPr>
          <w:rFonts w:ascii="Arial" w:hAnsi="Arial"/>
          <w:i/>
          <w:sz w:val="20"/>
          <w:lang w:val="en-US"/>
        </w:rPr>
        <w:t xml:space="preserve"> – K</w:t>
      </w:r>
      <w:r w:rsidRPr="00E609E7">
        <w:rPr>
          <w:rFonts w:ascii="Arial" w:hAnsi="Arial"/>
          <w:i/>
          <w:sz w:val="20"/>
          <w:vertAlign w:val="subscript"/>
          <w:lang w:val="en-US"/>
        </w:rPr>
        <w:t>t-1</w:t>
      </w:r>
      <w:r w:rsidRPr="00E609E7">
        <w:rPr>
          <w:rFonts w:ascii="Arial" w:hAnsi="Arial"/>
          <w:i/>
          <w:sz w:val="20"/>
          <w:lang w:val="en-US"/>
        </w:rPr>
        <w:t>)</w:t>
      </w:r>
      <w:r w:rsidRPr="00E609E7">
        <w:rPr>
          <w:rFonts w:ascii="Arial" w:hAnsi="Arial"/>
          <w:sz w:val="20"/>
          <w:lang w:val="en-US"/>
        </w:rPr>
        <w:t xml:space="preserve"> </w:t>
      </w:r>
      <w:r w:rsidR="00B37A83" w:rsidRPr="00E609E7">
        <w:rPr>
          <w:rFonts w:ascii="Arial" w:hAnsi="Arial"/>
          <w:sz w:val="20"/>
          <w:lang w:val="en-US"/>
        </w:rPr>
        <w:t xml:space="preserve">and </w:t>
      </w:r>
      <w:r w:rsidR="00B37A83" w:rsidRPr="00E609E7">
        <w:rPr>
          <w:rFonts w:ascii="Arial" w:hAnsi="Arial"/>
          <w:i/>
          <w:sz w:val="20"/>
          <w:lang w:val="en-US"/>
        </w:rPr>
        <w:t>(</w:t>
      </w:r>
      <w:proofErr w:type="gramStart"/>
      <w:r w:rsidRPr="00E609E7">
        <w:rPr>
          <w:rFonts w:ascii="Arial" w:hAnsi="Arial"/>
          <w:i/>
          <w:sz w:val="20"/>
          <w:lang w:val="en-US"/>
        </w:rPr>
        <w:t>E</w:t>
      </w:r>
      <w:r w:rsidRPr="00E609E7">
        <w:rPr>
          <w:rFonts w:ascii="Arial" w:hAnsi="Arial"/>
          <w:i/>
          <w:sz w:val="20"/>
          <w:vertAlign w:val="subscript"/>
          <w:lang w:val="en-US"/>
        </w:rPr>
        <w:t>t</w:t>
      </w:r>
      <w:proofErr w:type="gramEnd"/>
      <w:r w:rsidRPr="00E609E7">
        <w:rPr>
          <w:rFonts w:ascii="Arial" w:hAnsi="Arial"/>
          <w:i/>
          <w:sz w:val="20"/>
          <w:lang w:val="en-US"/>
        </w:rPr>
        <w:t xml:space="preserve"> – E</w:t>
      </w:r>
      <w:r w:rsidRPr="00E609E7">
        <w:rPr>
          <w:rFonts w:ascii="Arial" w:hAnsi="Arial"/>
          <w:i/>
          <w:sz w:val="20"/>
          <w:vertAlign w:val="subscript"/>
          <w:lang w:val="en-US"/>
        </w:rPr>
        <w:t>t-1</w:t>
      </w:r>
      <w:r w:rsidRPr="00E609E7">
        <w:rPr>
          <w:rFonts w:ascii="Arial" w:hAnsi="Arial"/>
          <w:i/>
          <w:sz w:val="20"/>
          <w:lang w:val="en-US"/>
        </w:rPr>
        <w:t>)</w:t>
      </w:r>
      <w:r w:rsidRPr="00E609E7">
        <w:rPr>
          <w:rFonts w:ascii="Arial" w:hAnsi="Arial"/>
          <w:sz w:val="20"/>
          <w:lang w:val="en-US"/>
        </w:rPr>
        <w:t xml:space="preserve"> series. The first date </w:t>
      </w:r>
      <w:r w:rsidR="002A7C35" w:rsidRPr="00E609E7">
        <w:rPr>
          <w:rFonts w:ascii="Arial" w:hAnsi="Arial"/>
          <w:sz w:val="20"/>
          <w:lang w:val="en-US"/>
        </w:rPr>
        <w:t>indicated</w:t>
      </w:r>
      <w:r w:rsidRPr="00E609E7">
        <w:rPr>
          <w:rFonts w:ascii="Arial" w:hAnsi="Arial"/>
          <w:sz w:val="20"/>
          <w:lang w:val="en-US"/>
        </w:rPr>
        <w:t xml:space="preserve"> with grey, July 2008, represents the date on which the incentives for women and </w:t>
      </w:r>
      <w:r w:rsidR="00B83EAA">
        <w:rPr>
          <w:rFonts w:ascii="Arial" w:hAnsi="Arial"/>
          <w:sz w:val="20"/>
          <w:lang w:val="en-US"/>
        </w:rPr>
        <w:t>youth</w:t>
      </w:r>
      <w:r w:rsidRPr="00E609E7">
        <w:rPr>
          <w:rFonts w:ascii="Arial" w:hAnsi="Arial"/>
          <w:sz w:val="20"/>
          <w:lang w:val="en-US"/>
        </w:rPr>
        <w:t xml:space="preserve"> came in effect.  The second date </w:t>
      </w:r>
      <w:r w:rsidR="002A7C35" w:rsidRPr="00E609E7">
        <w:rPr>
          <w:rFonts w:ascii="Arial" w:hAnsi="Arial"/>
          <w:sz w:val="20"/>
          <w:lang w:val="en-US"/>
        </w:rPr>
        <w:t>indicated</w:t>
      </w:r>
      <w:r w:rsidRPr="00E609E7">
        <w:rPr>
          <w:rFonts w:ascii="Arial" w:hAnsi="Arial"/>
          <w:sz w:val="20"/>
          <w:lang w:val="en-US"/>
        </w:rPr>
        <w:t xml:space="preserve"> with grey shows the date on which incentives for all employment came into effect and hence the date from which incentives for women and </w:t>
      </w:r>
      <w:r w:rsidR="00B83EAA">
        <w:rPr>
          <w:rFonts w:ascii="Arial" w:hAnsi="Arial"/>
          <w:sz w:val="20"/>
          <w:lang w:val="en-US"/>
        </w:rPr>
        <w:t>youth</w:t>
      </w:r>
      <w:r w:rsidRPr="00E609E7">
        <w:rPr>
          <w:rFonts w:ascii="Arial" w:hAnsi="Arial"/>
          <w:sz w:val="20"/>
          <w:lang w:val="en-US"/>
        </w:rPr>
        <w:t xml:space="preserve"> started to weaken in terms of their effects.  The last </w:t>
      </w:r>
      <w:r w:rsidR="002A7C35" w:rsidRPr="00E609E7">
        <w:rPr>
          <w:rFonts w:ascii="Arial" w:hAnsi="Arial"/>
          <w:sz w:val="20"/>
          <w:lang w:val="en-US"/>
        </w:rPr>
        <w:t>grey</w:t>
      </w:r>
      <w:r w:rsidRPr="00E609E7">
        <w:rPr>
          <w:rFonts w:ascii="Arial" w:hAnsi="Arial"/>
          <w:sz w:val="20"/>
          <w:lang w:val="en-US"/>
        </w:rPr>
        <w:t xml:space="preserve"> date represents the date on which the incentive payments for new employment</w:t>
      </w:r>
      <w:r w:rsidR="00BF0554">
        <w:rPr>
          <w:rFonts w:ascii="Arial" w:hAnsi="Arial"/>
          <w:sz w:val="20"/>
          <w:lang w:val="en-US"/>
        </w:rPr>
        <w:t xml:space="preserve"> were terminated</w:t>
      </w:r>
      <w:r w:rsidRPr="00E609E7">
        <w:rPr>
          <w:rFonts w:ascii="Arial" w:hAnsi="Arial"/>
          <w:sz w:val="20"/>
          <w:lang w:val="en-US"/>
        </w:rPr>
        <w:t xml:space="preserve">. </w:t>
      </w:r>
    </w:p>
    <w:p w:rsidR="00646444" w:rsidRPr="00E609E7" w:rsidRDefault="00646444" w:rsidP="001175DB">
      <w:pPr>
        <w:pStyle w:val="Caption"/>
        <w:keepNext/>
        <w:rPr>
          <w:rFonts w:ascii="Arial" w:hAnsi="Arial" w:cs="Arial"/>
          <w:lang w:val="en-US"/>
        </w:rPr>
      </w:pPr>
      <w:bookmarkStart w:id="1" w:name="_Ref356465412"/>
    </w:p>
    <w:p w:rsidR="001175DB" w:rsidRPr="00E609E7" w:rsidRDefault="001175DB" w:rsidP="001175DB">
      <w:pPr>
        <w:pStyle w:val="Caption"/>
        <w:keepNext/>
        <w:rPr>
          <w:rFonts w:ascii="Arial" w:hAnsi="Arial" w:cs="Arial"/>
          <w:lang w:val="en-US"/>
        </w:rPr>
      </w:pPr>
      <w:r w:rsidRPr="00E609E7">
        <w:rPr>
          <w:rFonts w:ascii="Arial" w:hAnsi="Arial"/>
          <w:lang w:val="en-US"/>
        </w:rPr>
        <w:t xml:space="preserve">Figure </w:t>
      </w:r>
      <w:r w:rsidR="00053F6D" w:rsidRPr="00E609E7">
        <w:rPr>
          <w:rFonts w:ascii="Arial" w:hAnsi="Arial" w:cs="Arial"/>
          <w:lang w:val="en-US"/>
        </w:rPr>
        <w:fldChar w:fldCharType="begin"/>
      </w:r>
      <w:r w:rsidRPr="00E609E7">
        <w:rPr>
          <w:rFonts w:ascii="Arial" w:hAnsi="Arial" w:cs="Arial"/>
          <w:lang w:val="en-US"/>
        </w:rPr>
        <w:instrText xml:space="preserve"> SEQ Figure \* ARABIC </w:instrText>
      </w:r>
      <w:r w:rsidR="00053F6D" w:rsidRPr="00E609E7">
        <w:rPr>
          <w:rFonts w:ascii="Arial" w:hAnsi="Arial" w:cs="Arial"/>
          <w:lang w:val="en-US"/>
        </w:rPr>
        <w:fldChar w:fldCharType="separate"/>
      </w:r>
      <w:r w:rsidR="00F729C5">
        <w:rPr>
          <w:rFonts w:ascii="Arial" w:hAnsi="Arial" w:cs="Arial"/>
          <w:noProof/>
          <w:lang w:val="en-US"/>
        </w:rPr>
        <w:t>1</w:t>
      </w:r>
      <w:r w:rsidR="00053F6D" w:rsidRPr="00E609E7">
        <w:rPr>
          <w:rFonts w:ascii="Arial" w:hAnsi="Arial" w:cs="Arial"/>
          <w:lang w:val="en-US"/>
        </w:rPr>
        <w:fldChar w:fldCharType="end"/>
      </w:r>
      <w:bookmarkEnd w:id="1"/>
      <w:r w:rsidRPr="00E609E7">
        <w:rPr>
          <w:rFonts w:ascii="Arial" w:hAnsi="Arial"/>
          <w:lang w:val="en-US"/>
        </w:rPr>
        <w:t xml:space="preserve"> Employment levels for the age group of 30-44, and annual differences</w:t>
      </w:r>
    </w:p>
    <w:p w:rsidR="001175DB" w:rsidRPr="00E609E7" w:rsidRDefault="00296A19" w:rsidP="001175DB">
      <w:pPr>
        <w:rPr>
          <w:rFonts w:ascii="Arial" w:hAnsi="Arial" w:cs="Arial"/>
          <w:sz w:val="20"/>
          <w:szCs w:val="20"/>
          <w:lang w:val="en-US"/>
        </w:rPr>
      </w:pPr>
      <w:r>
        <w:rPr>
          <w:rFonts w:ascii="Arial" w:hAnsi="Arial" w:cs="Arial"/>
          <w:noProof/>
          <w:sz w:val="20"/>
          <w:szCs w:val="20"/>
          <w:lang w:val="en-US" w:eastAsia="en-US" w:bidi="ar-SA"/>
        </w:rPr>
        <w:drawing>
          <wp:inline distT="0" distB="0" distL="0" distR="0">
            <wp:extent cx="5760720" cy="1735455"/>
            <wp:effectExtent l="19050" t="0" r="0" b="0"/>
            <wp:docPr id="4" name="Picture 3" descr="level_diff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l_diff_eng.jpg"/>
                    <pic:cNvPicPr/>
                  </pic:nvPicPr>
                  <pic:blipFill>
                    <a:blip r:embed="rId9"/>
                    <a:stretch>
                      <a:fillRect/>
                    </a:stretch>
                  </pic:blipFill>
                  <pic:spPr>
                    <a:xfrm>
                      <a:off x="0" y="0"/>
                      <a:ext cx="5760720" cy="1735455"/>
                    </a:xfrm>
                    <a:prstGeom prst="rect">
                      <a:avLst/>
                    </a:prstGeom>
                  </pic:spPr>
                </pic:pic>
              </a:graphicData>
            </a:graphic>
          </wp:inline>
        </w:drawing>
      </w:r>
    </w:p>
    <w:p w:rsidR="00F729C5" w:rsidRPr="00E609E7" w:rsidRDefault="00053F6D" w:rsidP="001175DB">
      <w:pPr>
        <w:pStyle w:val="Caption"/>
        <w:keepNext/>
        <w:rPr>
          <w:rFonts w:ascii="Arial" w:hAnsi="Arial" w:cs="Arial"/>
          <w:lang w:val="en-US"/>
        </w:rPr>
      </w:pPr>
      <w:r w:rsidRPr="00053F6D">
        <w:rPr>
          <w:rFonts w:ascii="Arial" w:hAnsi="Arial" w:cs="Arial"/>
          <w:lang w:val="en-US"/>
        </w:rPr>
        <w:fldChar w:fldCharType="begin"/>
      </w:r>
      <w:r w:rsidR="001175DB" w:rsidRPr="00E609E7">
        <w:rPr>
          <w:rFonts w:ascii="Arial" w:hAnsi="Arial" w:cs="Arial"/>
          <w:lang w:val="en-US"/>
        </w:rPr>
        <w:instrText xml:space="preserve"> REF _Ref356467121 \h  \* MERGEFORMAT </w:instrText>
      </w:r>
      <w:r w:rsidRPr="00053F6D">
        <w:rPr>
          <w:rFonts w:ascii="Arial" w:hAnsi="Arial" w:cs="Arial"/>
          <w:lang w:val="en-US"/>
        </w:rPr>
      </w:r>
      <w:r w:rsidRPr="00053F6D">
        <w:rPr>
          <w:rFonts w:ascii="Arial" w:hAnsi="Arial" w:cs="Arial"/>
          <w:lang w:val="en-US"/>
        </w:rPr>
        <w:fldChar w:fldCharType="separate"/>
      </w:r>
    </w:p>
    <w:p w:rsidR="00B96158" w:rsidRPr="00E609E7" w:rsidRDefault="00053F6D" w:rsidP="00B96158">
      <w:pPr>
        <w:rPr>
          <w:rFonts w:ascii="Arial" w:hAnsi="Arial" w:cs="Arial"/>
          <w:sz w:val="20"/>
          <w:szCs w:val="20"/>
          <w:lang w:val="en-US"/>
        </w:rPr>
      </w:pPr>
      <w:r w:rsidRPr="00E609E7">
        <w:rPr>
          <w:rFonts w:ascii="Arial" w:hAnsi="Arial" w:cs="Arial"/>
          <w:sz w:val="20"/>
          <w:szCs w:val="20"/>
          <w:lang w:val="en-US"/>
        </w:rPr>
        <w:fldChar w:fldCharType="end"/>
      </w:r>
    </w:p>
    <w:p w:rsidR="001175DB" w:rsidRPr="00825D71" w:rsidRDefault="00B96158" w:rsidP="001175DB">
      <w:pPr>
        <w:rPr>
          <w:rFonts w:ascii="Arial" w:hAnsi="Arial"/>
          <w:sz w:val="20"/>
          <w:lang w:val="en-US"/>
        </w:rPr>
      </w:pPr>
      <w:proofErr w:type="spellStart"/>
      <w:r w:rsidRPr="00E609E7">
        <w:rPr>
          <w:rFonts w:ascii="Arial" w:hAnsi="Arial"/>
          <w:sz w:val="20"/>
          <w:lang w:val="en-US"/>
        </w:rPr>
        <w:t>The</w:t>
      </w:r>
      <w:proofErr w:type="spellEnd"/>
      <w:r w:rsidRPr="00E609E7">
        <w:rPr>
          <w:rFonts w:ascii="Arial" w:hAnsi="Arial"/>
          <w:sz w:val="20"/>
          <w:lang w:val="en-US"/>
        </w:rPr>
        <w:t xml:space="preserve"> </w:t>
      </w:r>
      <w:proofErr w:type="spellStart"/>
      <w:proofErr w:type="gramStart"/>
      <w:r w:rsidRPr="00E609E7">
        <w:rPr>
          <w:rFonts w:ascii="Arial" w:hAnsi="Arial"/>
          <w:sz w:val="20"/>
          <w:lang w:val="en-US"/>
        </w:rPr>
        <w:t>DiD</w:t>
      </w:r>
      <w:proofErr w:type="spellEnd"/>
      <w:proofErr w:type="gramEnd"/>
      <w:r w:rsidRPr="00E609E7">
        <w:rPr>
          <w:rFonts w:ascii="Arial" w:hAnsi="Arial"/>
          <w:sz w:val="20"/>
          <w:lang w:val="en-US"/>
        </w:rPr>
        <w:t xml:space="preserve"> </w:t>
      </w:r>
      <w:r w:rsidR="00825D71">
        <w:rPr>
          <w:rFonts w:ascii="Arial" w:hAnsi="Arial"/>
          <w:sz w:val="20"/>
          <w:lang w:val="en-US"/>
        </w:rPr>
        <w:t>provided</w:t>
      </w:r>
      <w:r w:rsidRPr="00E609E7">
        <w:rPr>
          <w:rFonts w:ascii="Arial" w:hAnsi="Arial"/>
          <w:sz w:val="20"/>
          <w:lang w:val="en-US"/>
        </w:rPr>
        <w:t xml:space="preserve"> </w:t>
      </w:r>
      <w:r w:rsidRPr="00825D71">
        <w:rPr>
          <w:rFonts w:ascii="Arial" w:hAnsi="Arial"/>
          <w:sz w:val="20"/>
          <w:szCs w:val="20"/>
          <w:lang w:val="en-US"/>
        </w:rPr>
        <w:t xml:space="preserve">in </w:t>
      </w:r>
      <w:r w:rsidR="00825D71" w:rsidRPr="00825D71">
        <w:rPr>
          <w:rFonts w:ascii="Arial" w:hAnsi="Arial"/>
          <w:sz w:val="20"/>
          <w:szCs w:val="20"/>
          <w:lang w:val="en-US"/>
        </w:rPr>
        <w:t xml:space="preserve">Figure </w:t>
      </w:r>
      <w:r w:rsidR="00825D71" w:rsidRPr="00825D71">
        <w:rPr>
          <w:rFonts w:ascii="Arial" w:hAnsi="Arial" w:cs="Arial"/>
          <w:noProof/>
          <w:sz w:val="20"/>
          <w:szCs w:val="20"/>
          <w:lang w:val="en-US"/>
        </w:rPr>
        <w:t>2</w:t>
      </w:r>
      <w:r w:rsidRPr="00825D71">
        <w:rPr>
          <w:rFonts w:ascii="Arial" w:hAnsi="Arial"/>
          <w:sz w:val="20"/>
          <w:szCs w:val="20"/>
          <w:lang w:val="en-US"/>
        </w:rPr>
        <w:t xml:space="preserve"> represents the difference between these two series. In other words, it represents the difference between</w:t>
      </w:r>
      <w:r w:rsidRPr="00E609E7">
        <w:rPr>
          <w:rFonts w:ascii="Arial" w:hAnsi="Arial"/>
          <w:sz w:val="20"/>
          <w:lang w:val="en-US"/>
        </w:rPr>
        <w:t xml:space="preserve"> the annual employment differences for women and annual employment differences for men. What is important is the direction of movement rather than the level of difference in differences. Upward movements in this series </w:t>
      </w:r>
      <w:r w:rsidR="007F7F89">
        <w:rPr>
          <w:rFonts w:ascii="Arial" w:hAnsi="Arial"/>
          <w:sz w:val="20"/>
          <w:lang w:val="en-US"/>
        </w:rPr>
        <w:t>indicate</w:t>
      </w:r>
      <w:r w:rsidRPr="00E609E7">
        <w:rPr>
          <w:rFonts w:ascii="Arial" w:hAnsi="Arial"/>
          <w:sz w:val="20"/>
          <w:lang w:val="en-US"/>
        </w:rPr>
        <w:t xml:space="preserve"> relative improvement in employment of women, while downward movements mean relative </w:t>
      </w:r>
      <w:r w:rsidR="002A7C35" w:rsidRPr="00E609E7">
        <w:rPr>
          <w:rFonts w:ascii="Arial" w:hAnsi="Arial"/>
          <w:sz w:val="20"/>
          <w:lang w:val="en-US"/>
        </w:rPr>
        <w:t>worsening</w:t>
      </w:r>
      <w:r w:rsidRPr="00E609E7">
        <w:rPr>
          <w:rFonts w:ascii="Arial" w:hAnsi="Arial"/>
          <w:sz w:val="20"/>
          <w:lang w:val="en-US"/>
        </w:rPr>
        <w:t xml:space="preserve"> in the employment of women. For periods where the series moves horizontally, it can be assumed that changes in the employment of men and women </w:t>
      </w:r>
      <w:r w:rsidR="009273EB">
        <w:rPr>
          <w:rFonts w:ascii="Arial" w:hAnsi="Arial"/>
          <w:sz w:val="20"/>
          <w:lang w:val="en-US"/>
        </w:rPr>
        <w:t>move in a parallel manner</w:t>
      </w:r>
      <w:r w:rsidRPr="00E609E7">
        <w:rPr>
          <w:rFonts w:ascii="Arial" w:hAnsi="Arial"/>
          <w:sz w:val="20"/>
          <w:lang w:val="en-US"/>
        </w:rPr>
        <w:t xml:space="preserve">.  </w:t>
      </w:r>
    </w:p>
    <w:p w:rsidR="00646444" w:rsidRPr="00E609E7" w:rsidRDefault="00646444" w:rsidP="001175DB">
      <w:pPr>
        <w:pStyle w:val="Caption"/>
        <w:keepNext/>
        <w:rPr>
          <w:rFonts w:ascii="Arial" w:hAnsi="Arial" w:cs="Arial"/>
          <w:lang w:val="en-US"/>
        </w:rPr>
      </w:pPr>
      <w:bookmarkStart w:id="2" w:name="_Ref356467121"/>
    </w:p>
    <w:p w:rsidR="001175DB" w:rsidRPr="00E609E7" w:rsidRDefault="001175DB" w:rsidP="001175DB">
      <w:pPr>
        <w:pStyle w:val="Caption"/>
        <w:keepNext/>
        <w:rPr>
          <w:rFonts w:ascii="Arial" w:hAnsi="Arial" w:cs="Arial"/>
          <w:lang w:val="en-US"/>
        </w:rPr>
      </w:pPr>
      <w:r w:rsidRPr="00E609E7">
        <w:rPr>
          <w:rFonts w:ascii="Arial" w:hAnsi="Arial"/>
          <w:lang w:val="en-US"/>
        </w:rPr>
        <w:t xml:space="preserve">Figure </w:t>
      </w:r>
      <w:r w:rsidR="00053F6D" w:rsidRPr="00E609E7">
        <w:rPr>
          <w:rFonts w:ascii="Arial" w:hAnsi="Arial" w:cs="Arial"/>
          <w:lang w:val="en-US"/>
        </w:rPr>
        <w:fldChar w:fldCharType="begin"/>
      </w:r>
      <w:r w:rsidRPr="00E609E7">
        <w:rPr>
          <w:rFonts w:ascii="Arial" w:hAnsi="Arial" w:cs="Arial"/>
          <w:lang w:val="en-US"/>
        </w:rPr>
        <w:instrText xml:space="preserve"> SEQ Figure \* ARABIC </w:instrText>
      </w:r>
      <w:r w:rsidR="00053F6D" w:rsidRPr="00E609E7">
        <w:rPr>
          <w:rFonts w:ascii="Arial" w:hAnsi="Arial" w:cs="Arial"/>
          <w:lang w:val="en-US"/>
        </w:rPr>
        <w:fldChar w:fldCharType="separate"/>
      </w:r>
      <w:r w:rsidR="00F729C5">
        <w:rPr>
          <w:rFonts w:ascii="Arial" w:hAnsi="Arial" w:cs="Arial"/>
          <w:noProof/>
          <w:lang w:val="en-US"/>
        </w:rPr>
        <w:t>2</w:t>
      </w:r>
      <w:r w:rsidR="00053F6D" w:rsidRPr="00E609E7">
        <w:rPr>
          <w:rFonts w:ascii="Arial" w:hAnsi="Arial" w:cs="Arial"/>
          <w:lang w:val="en-US"/>
        </w:rPr>
        <w:fldChar w:fldCharType="end"/>
      </w:r>
      <w:bookmarkEnd w:id="2"/>
      <w:r w:rsidRPr="00E609E7">
        <w:rPr>
          <w:rFonts w:ascii="Arial" w:hAnsi="Arial"/>
          <w:lang w:val="en-US"/>
        </w:rPr>
        <w:t xml:space="preserve"> Difference in differences, age group 30-44, </w:t>
      </w:r>
      <w:proofErr w:type="gramStart"/>
      <w:r w:rsidRPr="00E609E7">
        <w:rPr>
          <w:rFonts w:ascii="Arial" w:hAnsi="Arial"/>
          <w:lang w:val="en-US"/>
        </w:rPr>
        <w:t>formal</w:t>
      </w:r>
      <w:proofErr w:type="gramEnd"/>
      <w:r w:rsidRPr="00E609E7">
        <w:rPr>
          <w:rFonts w:ascii="Arial" w:hAnsi="Arial"/>
          <w:lang w:val="en-US"/>
        </w:rPr>
        <w:t xml:space="preserve"> employment</w:t>
      </w:r>
    </w:p>
    <w:p w:rsidR="001175DB" w:rsidRPr="00E609E7" w:rsidRDefault="00AC04B0" w:rsidP="001175DB">
      <w:pPr>
        <w:rPr>
          <w:rFonts w:ascii="Arial" w:hAnsi="Arial" w:cs="Arial"/>
          <w:sz w:val="20"/>
          <w:szCs w:val="20"/>
          <w:lang w:val="en-US"/>
        </w:rPr>
      </w:pPr>
      <w:r w:rsidRPr="00AC04B0">
        <w:rPr>
          <w:rFonts w:ascii="Arial" w:hAnsi="Arial" w:cs="Arial"/>
          <w:noProof/>
          <w:sz w:val="20"/>
          <w:szCs w:val="20"/>
          <w:lang w:val="en-US" w:eastAsia="en-US" w:bidi="ar-SA"/>
        </w:rPr>
        <w:drawing>
          <wp:inline distT="0" distB="0" distL="0" distR="0">
            <wp:extent cx="5760720" cy="2196864"/>
            <wp:effectExtent l="0" t="0" r="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175DB" w:rsidRPr="00E609E7" w:rsidRDefault="001175DB" w:rsidP="001175DB">
      <w:pPr>
        <w:rPr>
          <w:rFonts w:ascii="Arial" w:hAnsi="Arial" w:cs="Arial"/>
          <w:sz w:val="20"/>
          <w:szCs w:val="20"/>
          <w:lang w:val="en-US"/>
        </w:rPr>
      </w:pPr>
      <w:r w:rsidRPr="00E609E7">
        <w:rPr>
          <w:rFonts w:ascii="Arial" w:hAnsi="Arial"/>
          <w:sz w:val="20"/>
          <w:lang w:val="en-US"/>
        </w:rPr>
        <w:t>According to data, there were no major changes in the relative situation of women in the January 2006 - January 2007 period. However, the increases in women's employment between January 2007 and January 2008 lagged behind increases in men</w:t>
      </w:r>
      <w:r w:rsidR="002A7C35" w:rsidRPr="00E609E7">
        <w:rPr>
          <w:rFonts w:ascii="Arial" w:hAnsi="Arial"/>
          <w:sz w:val="20"/>
          <w:lang w:val="en-US"/>
        </w:rPr>
        <w:t>’</w:t>
      </w:r>
      <w:r w:rsidRPr="00E609E7">
        <w:rPr>
          <w:rFonts w:ascii="Arial" w:hAnsi="Arial"/>
          <w:sz w:val="20"/>
          <w:lang w:val="en-US"/>
        </w:rPr>
        <w:t xml:space="preserve">s employment, and the difference in differences series moved against women. After January 2008, </w:t>
      </w:r>
      <w:r w:rsidR="00BF7A1F">
        <w:rPr>
          <w:rFonts w:ascii="Arial" w:hAnsi="Arial"/>
          <w:sz w:val="20"/>
          <w:lang w:val="en-US"/>
        </w:rPr>
        <w:t>there is</w:t>
      </w:r>
      <w:r w:rsidRPr="00E609E7">
        <w:rPr>
          <w:rFonts w:ascii="Arial" w:hAnsi="Arial"/>
          <w:sz w:val="20"/>
          <w:lang w:val="en-US"/>
        </w:rPr>
        <w:t xml:space="preserve"> a rapid improvement in the relative situation of women. This improvement, though </w:t>
      </w:r>
      <w:r w:rsidR="00AF22A6">
        <w:rPr>
          <w:rFonts w:ascii="Arial" w:hAnsi="Arial"/>
          <w:sz w:val="20"/>
          <w:lang w:val="en-US"/>
        </w:rPr>
        <w:t xml:space="preserve">arguably </w:t>
      </w:r>
      <w:r w:rsidRPr="00E609E7">
        <w:rPr>
          <w:rFonts w:ascii="Arial" w:hAnsi="Arial"/>
          <w:sz w:val="20"/>
          <w:lang w:val="en-US"/>
        </w:rPr>
        <w:t xml:space="preserve">starting before July 2008, continued afterwards.   In the January- August 2009 period, women's formal payroll employment continued to increase on an annual basis, while losses were recorded in men's employment. Parallel to these developments, the difference in differences series </w:t>
      </w:r>
      <w:r w:rsidR="00AE000C">
        <w:rPr>
          <w:rFonts w:ascii="Arial" w:hAnsi="Arial"/>
          <w:sz w:val="20"/>
          <w:lang w:val="en-US"/>
        </w:rPr>
        <w:t>moved to the</w:t>
      </w:r>
      <w:r w:rsidRPr="00E609E7">
        <w:rPr>
          <w:rFonts w:ascii="Arial" w:hAnsi="Arial"/>
          <w:sz w:val="20"/>
          <w:lang w:val="en-US"/>
        </w:rPr>
        <w:t xml:space="preserve"> positive axis. </w:t>
      </w:r>
    </w:p>
    <w:p w:rsidR="00646444" w:rsidRPr="00E609E7" w:rsidRDefault="00646444" w:rsidP="001175DB">
      <w:pPr>
        <w:rPr>
          <w:rFonts w:ascii="Arial" w:hAnsi="Arial" w:cs="Arial"/>
          <w:sz w:val="20"/>
          <w:szCs w:val="20"/>
          <w:lang w:val="en-US"/>
        </w:rPr>
      </w:pPr>
    </w:p>
    <w:p w:rsidR="001175DB" w:rsidRPr="00E609E7" w:rsidRDefault="001175DB" w:rsidP="001175DB">
      <w:pPr>
        <w:rPr>
          <w:rFonts w:ascii="Arial" w:hAnsi="Arial" w:cs="Arial"/>
          <w:sz w:val="20"/>
          <w:szCs w:val="20"/>
          <w:lang w:val="en-US"/>
        </w:rPr>
      </w:pPr>
      <w:r w:rsidRPr="00E609E7">
        <w:rPr>
          <w:rFonts w:ascii="Arial" w:hAnsi="Arial"/>
          <w:sz w:val="20"/>
          <w:lang w:val="en-US"/>
        </w:rPr>
        <w:t xml:space="preserve">One of the most important developments here is that the relative improvement seen in formal employment of women </w:t>
      </w:r>
      <w:r w:rsidR="009C11DA">
        <w:rPr>
          <w:rFonts w:ascii="Arial" w:hAnsi="Arial"/>
          <w:sz w:val="20"/>
          <w:lang w:val="en-US"/>
        </w:rPr>
        <w:t>abruptly ends in</w:t>
      </w:r>
      <w:r w:rsidRPr="00E609E7">
        <w:rPr>
          <w:rFonts w:ascii="Arial" w:hAnsi="Arial"/>
          <w:sz w:val="20"/>
          <w:lang w:val="en-US"/>
        </w:rPr>
        <w:t xml:space="preserve"> August 2009. It is clear that this rapid decline observed after August 2009 stems from the introduction of new employment incentives that make no distinction based on gender. Payments for the premiums covered under the scope of the incentives for new employment continued until June 2011. </w:t>
      </w:r>
      <w:r w:rsidR="00414A8C">
        <w:rPr>
          <w:rFonts w:ascii="Arial" w:hAnsi="Arial"/>
          <w:sz w:val="20"/>
          <w:lang w:val="en-US"/>
        </w:rPr>
        <w:t>One can say</w:t>
      </w:r>
      <w:r w:rsidRPr="00E609E7">
        <w:rPr>
          <w:rFonts w:ascii="Arial" w:hAnsi="Arial"/>
          <w:sz w:val="20"/>
          <w:lang w:val="en-US"/>
        </w:rPr>
        <w:t xml:space="preserve"> that this </w:t>
      </w:r>
      <w:r w:rsidR="00692819">
        <w:rPr>
          <w:rFonts w:ascii="Arial" w:hAnsi="Arial"/>
          <w:sz w:val="20"/>
          <w:lang w:val="en-US"/>
        </w:rPr>
        <w:t>regulation</w:t>
      </w:r>
      <w:r w:rsidRPr="00E609E7">
        <w:rPr>
          <w:rFonts w:ascii="Arial" w:hAnsi="Arial"/>
          <w:sz w:val="20"/>
          <w:lang w:val="en-US"/>
        </w:rPr>
        <w:t xml:space="preserve"> has </w:t>
      </w:r>
      <w:r w:rsidR="001E2F6C">
        <w:rPr>
          <w:rFonts w:ascii="Arial" w:hAnsi="Arial"/>
          <w:sz w:val="20"/>
          <w:lang w:val="en-US"/>
        </w:rPr>
        <w:t xml:space="preserve">almost </w:t>
      </w:r>
      <w:r w:rsidRPr="00E609E7">
        <w:rPr>
          <w:rFonts w:ascii="Arial" w:hAnsi="Arial"/>
          <w:sz w:val="20"/>
          <w:lang w:val="en-US"/>
        </w:rPr>
        <w:t xml:space="preserve">totally cancelled out the effect of the incentives that rendered the employment of women relatively less costly for employers.  As such, </w:t>
      </w:r>
      <w:proofErr w:type="spellStart"/>
      <w:r w:rsidRPr="00E609E7">
        <w:rPr>
          <w:rFonts w:ascii="Arial" w:hAnsi="Arial"/>
          <w:sz w:val="20"/>
          <w:lang w:val="en-US"/>
        </w:rPr>
        <w:t>the</w:t>
      </w:r>
      <w:proofErr w:type="spellEnd"/>
      <w:r w:rsidRPr="00E609E7">
        <w:rPr>
          <w:rFonts w:ascii="Arial" w:hAnsi="Arial"/>
          <w:sz w:val="20"/>
          <w:lang w:val="en-US"/>
        </w:rPr>
        <w:t xml:space="preserve"> </w:t>
      </w:r>
      <w:proofErr w:type="spellStart"/>
      <w:proofErr w:type="gramStart"/>
      <w:r w:rsidRPr="00E609E7">
        <w:rPr>
          <w:rFonts w:ascii="Arial" w:hAnsi="Arial"/>
          <w:sz w:val="20"/>
          <w:lang w:val="en-US"/>
        </w:rPr>
        <w:t>DiD</w:t>
      </w:r>
      <w:proofErr w:type="spellEnd"/>
      <w:proofErr w:type="gramEnd"/>
      <w:r w:rsidRPr="00E609E7">
        <w:rPr>
          <w:rFonts w:ascii="Arial" w:hAnsi="Arial"/>
          <w:sz w:val="20"/>
          <w:lang w:val="en-US"/>
        </w:rPr>
        <w:t xml:space="preserve"> series remained horizontal from August 2009 to June 2011. As the incentive payments granted for new employment came to an end in June 2011, an improvement was recorded again in formal employment of women. </w:t>
      </w:r>
    </w:p>
    <w:p w:rsidR="00646444" w:rsidRPr="00E609E7" w:rsidRDefault="00646444" w:rsidP="001175DB">
      <w:pPr>
        <w:rPr>
          <w:rFonts w:ascii="Arial" w:hAnsi="Arial" w:cs="Arial"/>
          <w:sz w:val="20"/>
          <w:szCs w:val="20"/>
          <w:lang w:val="en-US"/>
        </w:rPr>
      </w:pPr>
    </w:p>
    <w:p w:rsidR="00937080" w:rsidRPr="00E609E7" w:rsidRDefault="00937080" w:rsidP="001175DB">
      <w:pPr>
        <w:rPr>
          <w:rFonts w:ascii="Arial" w:hAnsi="Arial" w:cs="Arial"/>
          <w:sz w:val="20"/>
          <w:szCs w:val="20"/>
          <w:lang w:val="en-US"/>
        </w:rPr>
      </w:pPr>
    </w:p>
    <w:p w:rsidR="001175DB" w:rsidRPr="00E609E7" w:rsidRDefault="00937080" w:rsidP="001175DB">
      <w:pPr>
        <w:rPr>
          <w:rFonts w:ascii="Arial" w:hAnsi="Arial" w:cs="Arial"/>
          <w:sz w:val="20"/>
          <w:szCs w:val="20"/>
          <w:lang w:val="en-US"/>
        </w:rPr>
      </w:pPr>
      <w:r w:rsidRPr="00E609E7">
        <w:rPr>
          <w:rFonts w:ascii="Arial" w:hAnsi="Arial"/>
          <w:sz w:val="20"/>
          <w:lang w:val="en-US"/>
        </w:rPr>
        <w:lastRenderedPageBreak/>
        <w:t xml:space="preserve">Figure 3 </w:t>
      </w:r>
      <w:r w:rsidR="00FE0A5A">
        <w:rPr>
          <w:rFonts w:ascii="Arial" w:hAnsi="Arial"/>
          <w:sz w:val="20"/>
          <w:lang w:val="en-US"/>
        </w:rPr>
        <w:t>presents</w:t>
      </w:r>
      <w:r w:rsidRPr="00E609E7">
        <w:rPr>
          <w:rFonts w:ascii="Arial" w:hAnsi="Arial"/>
          <w:sz w:val="20"/>
          <w:lang w:val="en-US"/>
        </w:rPr>
        <w:t xml:space="preserve"> the difference in differences, this time for informal employment. In other</w:t>
      </w:r>
      <w:r w:rsidR="00D432A4">
        <w:rPr>
          <w:rFonts w:ascii="Arial" w:hAnsi="Arial"/>
          <w:sz w:val="20"/>
          <w:lang w:val="en-US"/>
        </w:rPr>
        <w:t xml:space="preserve"> words, it </w:t>
      </w:r>
      <w:r w:rsidR="00FD1153">
        <w:rPr>
          <w:rFonts w:ascii="Arial" w:hAnsi="Arial"/>
          <w:sz w:val="20"/>
          <w:lang w:val="en-US"/>
        </w:rPr>
        <w:t>plots</w:t>
      </w:r>
      <w:r w:rsidR="00D432A4">
        <w:rPr>
          <w:rFonts w:ascii="Arial" w:hAnsi="Arial"/>
          <w:sz w:val="20"/>
          <w:lang w:val="en-US"/>
        </w:rPr>
        <w:t xml:space="preserve"> the difference</w:t>
      </w:r>
      <w:r w:rsidRPr="00E609E7">
        <w:rPr>
          <w:rFonts w:ascii="Arial" w:hAnsi="Arial"/>
          <w:sz w:val="20"/>
          <w:lang w:val="en-US"/>
        </w:rPr>
        <w:t xml:space="preserve"> between the annual differences in the number of informally employed women and the annual differences in the number of informally employed men. As seen, </w:t>
      </w:r>
      <w:proofErr w:type="spellStart"/>
      <w:r w:rsidRPr="00E609E7">
        <w:rPr>
          <w:rFonts w:ascii="Arial" w:hAnsi="Arial"/>
          <w:sz w:val="20"/>
          <w:lang w:val="en-US"/>
        </w:rPr>
        <w:t>the</w:t>
      </w:r>
      <w:proofErr w:type="spellEnd"/>
      <w:r w:rsidRPr="00E609E7">
        <w:rPr>
          <w:rFonts w:ascii="Arial" w:hAnsi="Arial"/>
          <w:sz w:val="20"/>
          <w:lang w:val="en-US"/>
        </w:rPr>
        <w:t xml:space="preserve"> </w:t>
      </w:r>
      <w:proofErr w:type="spellStart"/>
      <w:proofErr w:type="gramStart"/>
      <w:r w:rsidRPr="00E609E7">
        <w:rPr>
          <w:rFonts w:ascii="Arial" w:hAnsi="Arial"/>
          <w:sz w:val="20"/>
          <w:lang w:val="en-US"/>
        </w:rPr>
        <w:t>DiD</w:t>
      </w:r>
      <w:proofErr w:type="spellEnd"/>
      <w:proofErr w:type="gramEnd"/>
      <w:r w:rsidRPr="00E609E7">
        <w:rPr>
          <w:rFonts w:ascii="Arial" w:hAnsi="Arial"/>
          <w:sz w:val="20"/>
          <w:lang w:val="en-US"/>
        </w:rPr>
        <w:t xml:space="preserve"> series in the informal </w:t>
      </w:r>
      <w:r w:rsidR="00F4480B">
        <w:rPr>
          <w:rFonts w:ascii="Arial" w:hAnsi="Arial"/>
          <w:sz w:val="20"/>
          <w:lang w:val="en-US"/>
        </w:rPr>
        <w:t>labor</w:t>
      </w:r>
      <w:r w:rsidRPr="00E609E7">
        <w:rPr>
          <w:rFonts w:ascii="Arial" w:hAnsi="Arial"/>
          <w:sz w:val="20"/>
          <w:lang w:val="en-US"/>
        </w:rPr>
        <w:t xml:space="preserve"> market moves on a much narrower band. More importantly, no marked movements are observed in the series during the periods when the incentives are introduced and when the effects of the incentives are cancelled out. Based on this comparison, </w:t>
      </w:r>
      <w:r w:rsidR="00305E99">
        <w:rPr>
          <w:rFonts w:ascii="Arial" w:hAnsi="Arial"/>
          <w:sz w:val="20"/>
          <w:lang w:val="en-US"/>
        </w:rPr>
        <w:t>the analysis is based on the formal labor market.</w:t>
      </w:r>
      <w:r w:rsidRPr="00E609E7">
        <w:rPr>
          <w:rFonts w:ascii="Arial" w:hAnsi="Arial"/>
          <w:sz w:val="20"/>
          <w:lang w:val="en-US"/>
        </w:rPr>
        <w:t xml:space="preserve"> </w:t>
      </w:r>
    </w:p>
    <w:p w:rsidR="00646444" w:rsidRPr="00E609E7" w:rsidRDefault="00646444" w:rsidP="001175DB">
      <w:pPr>
        <w:pStyle w:val="Caption"/>
        <w:keepNext/>
        <w:rPr>
          <w:rFonts w:ascii="Arial" w:hAnsi="Arial" w:cs="Arial"/>
          <w:lang w:val="en-US"/>
        </w:rPr>
      </w:pPr>
      <w:bookmarkStart w:id="3" w:name="_Ref356468267"/>
    </w:p>
    <w:p w:rsidR="001175DB" w:rsidRPr="00E609E7" w:rsidRDefault="001175DB" w:rsidP="001175DB">
      <w:pPr>
        <w:pStyle w:val="Caption"/>
        <w:keepNext/>
        <w:rPr>
          <w:rFonts w:ascii="Arial" w:hAnsi="Arial" w:cs="Arial"/>
          <w:lang w:val="en-US"/>
        </w:rPr>
      </w:pPr>
      <w:r w:rsidRPr="00E609E7">
        <w:rPr>
          <w:rFonts w:ascii="Arial" w:hAnsi="Arial"/>
          <w:lang w:val="en-US"/>
        </w:rPr>
        <w:t xml:space="preserve">Figure </w:t>
      </w:r>
      <w:r w:rsidR="00053F6D" w:rsidRPr="00E609E7">
        <w:rPr>
          <w:rFonts w:ascii="Arial" w:hAnsi="Arial" w:cs="Arial"/>
          <w:lang w:val="en-US"/>
        </w:rPr>
        <w:fldChar w:fldCharType="begin"/>
      </w:r>
      <w:r w:rsidRPr="00E609E7">
        <w:rPr>
          <w:rFonts w:ascii="Arial" w:hAnsi="Arial" w:cs="Arial"/>
          <w:lang w:val="en-US"/>
        </w:rPr>
        <w:instrText xml:space="preserve"> SEQ Figure \* ARABIC </w:instrText>
      </w:r>
      <w:r w:rsidR="00053F6D" w:rsidRPr="00E609E7">
        <w:rPr>
          <w:rFonts w:ascii="Arial" w:hAnsi="Arial" w:cs="Arial"/>
          <w:lang w:val="en-US"/>
        </w:rPr>
        <w:fldChar w:fldCharType="separate"/>
      </w:r>
      <w:r w:rsidR="00F729C5">
        <w:rPr>
          <w:rFonts w:ascii="Arial" w:hAnsi="Arial" w:cs="Arial"/>
          <w:noProof/>
          <w:lang w:val="en-US"/>
        </w:rPr>
        <w:t>3</w:t>
      </w:r>
      <w:r w:rsidR="00053F6D" w:rsidRPr="00E609E7">
        <w:rPr>
          <w:rFonts w:ascii="Arial" w:hAnsi="Arial" w:cs="Arial"/>
          <w:lang w:val="en-US"/>
        </w:rPr>
        <w:fldChar w:fldCharType="end"/>
      </w:r>
      <w:bookmarkEnd w:id="3"/>
      <w:r w:rsidRPr="00E609E7">
        <w:rPr>
          <w:rFonts w:ascii="Arial" w:hAnsi="Arial"/>
          <w:lang w:val="en-US"/>
        </w:rPr>
        <w:t xml:space="preserve"> Difference in differences, age group 30-44, informal</w:t>
      </w:r>
    </w:p>
    <w:p w:rsidR="001175DB" w:rsidRPr="00E609E7" w:rsidRDefault="00534501" w:rsidP="001175DB">
      <w:pPr>
        <w:rPr>
          <w:rFonts w:ascii="Arial" w:hAnsi="Arial" w:cs="Arial"/>
          <w:sz w:val="20"/>
          <w:szCs w:val="20"/>
          <w:lang w:val="en-US"/>
        </w:rPr>
      </w:pPr>
      <w:r w:rsidRPr="00534501">
        <w:rPr>
          <w:rFonts w:ascii="Arial" w:hAnsi="Arial" w:cs="Arial"/>
          <w:noProof/>
          <w:sz w:val="20"/>
          <w:szCs w:val="20"/>
          <w:lang w:val="en-US" w:eastAsia="en-US" w:bidi="ar-SA"/>
        </w:rPr>
        <w:drawing>
          <wp:inline distT="0" distB="0" distL="0" distR="0">
            <wp:extent cx="5760720" cy="2186452"/>
            <wp:effectExtent l="0" t="0" r="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175DB" w:rsidRPr="00F22148" w:rsidRDefault="00053F6D" w:rsidP="001175DB">
      <w:pPr>
        <w:rPr>
          <w:rFonts w:ascii="Arial" w:hAnsi="Arial"/>
          <w:sz w:val="20"/>
          <w:lang w:val="en-US"/>
        </w:rPr>
      </w:pPr>
      <w:fldSimple w:instr=" REF _Ref356468957 \h  \* MERGEFORMAT ">
        <w:r w:rsidR="00F729C5" w:rsidRPr="00F729C5">
          <w:rPr>
            <w:rFonts w:ascii="Arial" w:hAnsi="Arial" w:cs="Arial"/>
            <w:sz w:val="20"/>
            <w:szCs w:val="20"/>
            <w:lang w:val="en-US"/>
          </w:rPr>
          <w:t>Figure 4</w:t>
        </w:r>
      </w:fldSimple>
      <w:r w:rsidR="00F50169" w:rsidRPr="00E609E7">
        <w:rPr>
          <w:rFonts w:ascii="Arial" w:hAnsi="Arial"/>
          <w:sz w:val="20"/>
          <w:lang w:val="en-US"/>
        </w:rPr>
        <w:t xml:space="preserve"> expands the </w:t>
      </w:r>
      <w:proofErr w:type="spellStart"/>
      <w:proofErr w:type="gramStart"/>
      <w:r w:rsidR="00F50169" w:rsidRPr="00E609E7">
        <w:rPr>
          <w:rFonts w:ascii="Arial" w:hAnsi="Arial"/>
          <w:sz w:val="20"/>
          <w:lang w:val="en-US"/>
        </w:rPr>
        <w:t>DiD</w:t>
      </w:r>
      <w:proofErr w:type="spellEnd"/>
      <w:proofErr w:type="gramEnd"/>
      <w:r w:rsidR="00F50169" w:rsidRPr="00E609E7">
        <w:rPr>
          <w:rFonts w:ascii="Arial" w:hAnsi="Arial"/>
          <w:sz w:val="20"/>
          <w:lang w:val="en-US"/>
        </w:rPr>
        <w:t xml:space="preserve"> analysis for the same age group </w:t>
      </w:r>
      <w:r w:rsidR="00C90394">
        <w:rPr>
          <w:rFonts w:ascii="Arial" w:hAnsi="Arial"/>
          <w:sz w:val="20"/>
          <w:lang w:val="en-US"/>
        </w:rPr>
        <w:t>by studying</w:t>
      </w:r>
      <w:r w:rsidR="00F50169" w:rsidRPr="00E609E7">
        <w:rPr>
          <w:rFonts w:ascii="Arial" w:hAnsi="Arial"/>
          <w:sz w:val="20"/>
          <w:lang w:val="en-US"/>
        </w:rPr>
        <w:t xml:space="preserve"> different sectors. The construction sector was excluded from the analysis due to</w:t>
      </w:r>
      <w:r w:rsidR="00DC22E2">
        <w:rPr>
          <w:rFonts w:ascii="Arial" w:hAnsi="Arial"/>
          <w:sz w:val="20"/>
          <w:lang w:val="en-US"/>
        </w:rPr>
        <w:t xml:space="preserve"> the</w:t>
      </w:r>
      <w:r w:rsidR="00F50169" w:rsidRPr="00E609E7">
        <w:rPr>
          <w:rFonts w:ascii="Arial" w:hAnsi="Arial"/>
          <w:sz w:val="20"/>
          <w:lang w:val="en-US"/>
        </w:rPr>
        <w:t xml:space="preserve"> traditionally low number of women employed in th</w:t>
      </w:r>
      <w:r w:rsidR="00C7674A">
        <w:rPr>
          <w:rFonts w:ascii="Arial" w:hAnsi="Arial"/>
          <w:sz w:val="20"/>
          <w:lang w:val="en-US"/>
        </w:rPr>
        <w:t>is</w:t>
      </w:r>
      <w:r w:rsidR="00F50169" w:rsidRPr="00E609E7">
        <w:rPr>
          <w:rFonts w:ascii="Arial" w:hAnsi="Arial"/>
          <w:sz w:val="20"/>
          <w:lang w:val="en-US"/>
        </w:rPr>
        <w:t xml:space="preserve"> sector. </w:t>
      </w:r>
      <w:proofErr w:type="spellStart"/>
      <w:r w:rsidR="00F50169" w:rsidRPr="00E609E7">
        <w:rPr>
          <w:rFonts w:ascii="Arial" w:hAnsi="Arial"/>
          <w:sz w:val="20"/>
          <w:lang w:val="en-US"/>
        </w:rPr>
        <w:t>The</w:t>
      </w:r>
      <w:proofErr w:type="spellEnd"/>
      <w:r w:rsidR="00F50169" w:rsidRPr="00E609E7">
        <w:rPr>
          <w:rFonts w:ascii="Arial" w:hAnsi="Arial"/>
          <w:sz w:val="20"/>
          <w:lang w:val="en-US"/>
        </w:rPr>
        <w:t xml:space="preserve"> </w:t>
      </w:r>
      <w:proofErr w:type="spellStart"/>
      <w:proofErr w:type="gramStart"/>
      <w:r w:rsidR="00F50169" w:rsidRPr="00E609E7">
        <w:rPr>
          <w:rFonts w:ascii="Arial" w:hAnsi="Arial"/>
          <w:sz w:val="20"/>
          <w:lang w:val="en-US"/>
        </w:rPr>
        <w:t>DiD</w:t>
      </w:r>
      <w:proofErr w:type="spellEnd"/>
      <w:proofErr w:type="gramEnd"/>
      <w:r w:rsidR="00F50169" w:rsidRPr="00E609E7">
        <w:rPr>
          <w:rFonts w:ascii="Arial" w:hAnsi="Arial"/>
          <w:sz w:val="20"/>
          <w:lang w:val="en-US"/>
        </w:rPr>
        <w:t xml:space="preserve"> series </w:t>
      </w:r>
      <w:r w:rsidR="00674336">
        <w:rPr>
          <w:rFonts w:ascii="Arial" w:hAnsi="Arial"/>
          <w:sz w:val="20"/>
          <w:lang w:val="en-US"/>
        </w:rPr>
        <w:t>calculated</w:t>
      </w:r>
      <w:r w:rsidR="00F50169" w:rsidRPr="00E609E7">
        <w:rPr>
          <w:rFonts w:ascii="Arial" w:hAnsi="Arial"/>
          <w:sz w:val="20"/>
          <w:lang w:val="en-US"/>
        </w:rPr>
        <w:t xml:space="preserve"> separately for industry and services sectors explicitly show that the relative improvement in formal payroll employment of women is due to increases in the industrial sector. </w:t>
      </w:r>
      <w:proofErr w:type="spellStart"/>
      <w:r w:rsidR="00F22148">
        <w:rPr>
          <w:rFonts w:ascii="Arial" w:hAnsi="Arial"/>
          <w:sz w:val="20"/>
          <w:lang w:val="en-US"/>
        </w:rPr>
        <w:t>The</w:t>
      </w:r>
      <w:proofErr w:type="spellEnd"/>
      <w:r w:rsidR="00F22148">
        <w:rPr>
          <w:rFonts w:ascii="Arial" w:hAnsi="Arial"/>
          <w:sz w:val="20"/>
          <w:lang w:val="en-US"/>
        </w:rPr>
        <w:t xml:space="preserve"> </w:t>
      </w:r>
      <w:proofErr w:type="spellStart"/>
      <w:r w:rsidR="00F22148">
        <w:rPr>
          <w:rFonts w:ascii="Arial" w:hAnsi="Arial"/>
          <w:sz w:val="20"/>
          <w:lang w:val="en-US"/>
        </w:rPr>
        <w:t>DiD</w:t>
      </w:r>
      <w:proofErr w:type="spellEnd"/>
      <w:r w:rsidR="00F22148">
        <w:rPr>
          <w:rFonts w:ascii="Arial" w:hAnsi="Arial"/>
          <w:sz w:val="20"/>
          <w:lang w:val="en-US"/>
        </w:rPr>
        <w:t xml:space="preserve"> series do not vary much before and after the period in which the incentives are </w:t>
      </w:r>
      <w:r w:rsidR="00F50169" w:rsidRPr="00E609E7">
        <w:rPr>
          <w:rFonts w:ascii="Arial" w:hAnsi="Arial"/>
          <w:sz w:val="20"/>
          <w:lang w:val="en-US"/>
        </w:rPr>
        <w:t>effective, yet rapidly improves in the periods when incentives are effective (July 2008 - August 2009, and after June 2011)</w:t>
      </w:r>
      <w:r w:rsidR="00F22148">
        <w:rPr>
          <w:rFonts w:ascii="Arial" w:hAnsi="Arial"/>
          <w:sz w:val="20"/>
          <w:lang w:val="en-US"/>
        </w:rPr>
        <w:t>.</w:t>
      </w:r>
      <w:r w:rsidR="00F50169" w:rsidRPr="00E609E7">
        <w:rPr>
          <w:rFonts w:ascii="Arial" w:hAnsi="Arial"/>
          <w:sz w:val="20"/>
          <w:lang w:val="en-US"/>
        </w:rPr>
        <w:t xml:space="preserve"> </w:t>
      </w:r>
    </w:p>
    <w:p w:rsidR="00646444" w:rsidRPr="00E609E7" w:rsidRDefault="00646444" w:rsidP="001175DB">
      <w:pPr>
        <w:rPr>
          <w:rFonts w:ascii="Arial" w:hAnsi="Arial" w:cs="Arial"/>
          <w:sz w:val="20"/>
          <w:szCs w:val="20"/>
          <w:lang w:val="en-US"/>
        </w:rPr>
      </w:pPr>
    </w:p>
    <w:p w:rsidR="001175DB" w:rsidRPr="00E609E7" w:rsidRDefault="001175DB" w:rsidP="001175DB">
      <w:pPr>
        <w:pStyle w:val="Caption"/>
        <w:keepNext/>
        <w:rPr>
          <w:rFonts w:ascii="Arial" w:hAnsi="Arial" w:cs="Arial"/>
          <w:lang w:val="en-US"/>
        </w:rPr>
      </w:pPr>
      <w:bookmarkStart w:id="4" w:name="_Ref356468957"/>
      <w:r w:rsidRPr="00E609E7">
        <w:rPr>
          <w:rFonts w:ascii="Arial" w:hAnsi="Arial"/>
          <w:lang w:val="en-US"/>
        </w:rPr>
        <w:t xml:space="preserve">Figure </w:t>
      </w:r>
      <w:r w:rsidR="00053F6D" w:rsidRPr="00E609E7">
        <w:rPr>
          <w:rFonts w:ascii="Arial" w:hAnsi="Arial" w:cs="Arial"/>
          <w:lang w:val="en-US"/>
        </w:rPr>
        <w:fldChar w:fldCharType="begin"/>
      </w:r>
      <w:r w:rsidRPr="00E609E7">
        <w:rPr>
          <w:rFonts w:ascii="Arial" w:hAnsi="Arial" w:cs="Arial"/>
          <w:lang w:val="en-US"/>
        </w:rPr>
        <w:instrText xml:space="preserve"> SEQ Figure \* ARABIC </w:instrText>
      </w:r>
      <w:r w:rsidR="00053F6D" w:rsidRPr="00E609E7">
        <w:rPr>
          <w:rFonts w:ascii="Arial" w:hAnsi="Arial" w:cs="Arial"/>
          <w:lang w:val="en-US"/>
        </w:rPr>
        <w:fldChar w:fldCharType="separate"/>
      </w:r>
      <w:r w:rsidR="00F729C5">
        <w:rPr>
          <w:rFonts w:ascii="Arial" w:hAnsi="Arial" w:cs="Arial"/>
          <w:noProof/>
          <w:lang w:val="en-US"/>
        </w:rPr>
        <w:t>4</w:t>
      </w:r>
      <w:r w:rsidR="00053F6D" w:rsidRPr="00E609E7">
        <w:rPr>
          <w:rFonts w:ascii="Arial" w:hAnsi="Arial" w:cs="Arial"/>
          <w:lang w:val="en-US"/>
        </w:rPr>
        <w:fldChar w:fldCharType="end"/>
      </w:r>
      <w:bookmarkEnd w:id="4"/>
      <w:r w:rsidRPr="00E609E7">
        <w:rPr>
          <w:rFonts w:ascii="Arial" w:hAnsi="Arial"/>
          <w:lang w:val="en-US"/>
        </w:rPr>
        <w:t xml:space="preserve"> Difference in differences by sector, age group 30-44, formal employment </w:t>
      </w:r>
    </w:p>
    <w:p w:rsidR="001175DB" w:rsidRPr="00E609E7" w:rsidRDefault="0078259F" w:rsidP="001175DB">
      <w:pPr>
        <w:rPr>
          <w:rFonts w:ascii="Arial" w:hAnsi="Arial" w:cs="Arial"/>
          <w:sz w:val="20"/>
          <w:szCs w:val="20"/>
          <w:lang w:val="en-US"/>
        </w:rPr>
      </w:pPr>
      <w:r>
        <w:rPr>
          <w:rFonts w:ascii="Arial" w:hAnsi="Arial" w:cs="Arial"/>
          <w:noProof/>
          <w:sz w:val="20"/>
          <w:szCs w:val="20"/>
          <w:lang w:val="en-US" w:eastAsia="en-US" w:bidi="ar-SA"/>
        </w:rPr>
        <w:drawing>
          <wp:inline distT="0" distB="0" distL="0" distR="0">
            <wp:extent cx="5760720" cy="1732915"/>
            <wp:effectExtent l="19050" t="0" r="0" b="0"/>
            <wp:docPr id="7" name="Picture 6" descr="sectoral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oral_eng.jpg"/>
                    <pic:cNvPicPr/>
                  </pic:nvPicPr>
                  <pic:blipFill>
                    <a:blip r:embed="rId12"/>
                    <a:stretch>
                      <a:fillRect/>
                    </a:stretch>
                  </pic:blipFill>
                  <pic:spPr>
                    <a:xfrm>
                      <a:off x="0" y="0"/>
                      <a:ext cx="5760720" cy="1732915"/>
                    </a:xfrm>
                    <a:prstGeom prst="rect">
                      <a:avLst/>
                    </a:prstGeom>
                  </pic:spPr>
                </pic:pic>
              </a:graphicData>
            </a:graphic>
          </wp:inline>
        </w:drawing>
      </w:r>
    </w:p>
    <w:p w:rsidR="001175DB" w:rsidRPr="00E609E7" w:rsidRDefault="001175DB" w:rsidP="001175DB">
      <w:pPr>
        <w:rPr>
          <w:rFonts w:ascii="Arial" w:hAnsi="Arial" w:cs="Arial"/>
          <w:sz w:val="20"/>
          <w:szCs w:val="20"/>
          <w:lang w:val="en-US"/>
        </w:rPr>
      </w:pPr>
      <w:r w:rsidRPr="00E609E7">
        <w:rPr>
          <w:rFonts w:ascii="Arial" w:hAnsi="Arial"/>
          <w:sz w:val="20"/>
          <w:lang w:val="en-US"/>
        </w:rPr>
        <w:t xml:space="preserve">Data show that relative decline in formal employment of </w:t>
      </w:r>
      <w:r w:rsidR="009E57B9">
        <w:rPr>
          <w:rFonts w:ascii="Arial" w:hAnsi="Arial"/>
          <w:sz w:val="20"/>
          <w:lang w:val="en-US"/>
        </w:rPr>
        <w:t xml:space="preserve">women between January 2007 and </w:t>
      </w:r>
      <w:r w:rsidRPr="00E609E7">
        <w:rPr>
          <w:rFonts w:ascii="Arial" w:hAnsi="Arial"/>
          <w:sz w:val="20"/>
          <w:lang w:val="en-US"/>
        </w:rPr>
        <w:t xml:space="preserve">January 2008 occurred in the services sector.  In the second half of 2006, the increase in women's employment is higher than men's in the services sector. However, the </w:t>
      </w:r>
      <w:r w:rsidR="00D51448">
        <w:rPr>
          <w:rFonts w:ascii="Arial" w:hAnsi="Arial"/>
          <w:sz w:val="20"/>
          <w:lang w:val="en-US"/>
        </w:rPr>
        <w:t>formal wage employment</w:t>
      </w:r>
      <w:r w:rsidRPr="00E609E7">
        <w:rPr>
          <w:rFonts w:ascii="Arial" w:hAnsi="Arial"/>
          <w:sz w:val="20"/>
          <w:lang w:val="en-US"/>
        </w:rPr>
        <w:t xml:space="preserve"> of women relatively worsened throughout 2007. In services, the difference </w:t>
      </w:r>
      <w:r w:rsidR="00EC189D">
        <w:rPr>
          <w:rFonts w:ascii="Arial" w:hAnsi="Arial"/>
          <w:sz w:val="20"/>
          <w:lang w:val="en-US"/>
        </w:rPr>
        <w:t>in differences advanced in favo</w:t>
      </w:r>
      <w:r w:rsidRPr="00E609E7">
        <w:rPr>
          <w:rFonts w:ascii="Arial" w:hAnsi="Arial"/>
          <w:sz w:val="20"/>
          <w:lang w:val="en-US"/>
        </w:rPr>
        <w:t xml:space="preserve">r of women in early 2008. Although incentives had no visible effects In July 2008, a </w:t>
      </w:r>
      <w:r w:rsidR="00EC189D">
        <w:rPr>
          <w:rFonts w:ascii="Arial" w:hAnsi="Arial"/>
          <w:sz w:val="20"/>
          <w:lang w:val="en-US"/>
        </w:rPr>
        <w:t xml:space="preserve">slight </w:t>
      </w:r>
      <w:r w:rsidRPr="00E609E7">
        <w:rPr>
          <w:rFonts w:ascii="Arial" w:hAnsi="Arial"/>
          <w:sz w:val="20"/>
          <w:lang w:val="en-US"/>
        </w:rPr>
        <w:t xml:space="preserve">negative effect can be seen after August 2009.  There are no significant changes immediately after June 2011.   </w:t>
      </w:r>
    </w:p>
    <w:p w:rsidR="00646444" w:rsidRPr="00E609E7" w:rsidRDefault="00646444" w:rsidP="001175DB">
      <w:pPr>
        <w:pStyle w:val="Caption"/>
        <w:keepNext/>
        <w:rPr>
          <w:rFonts w:ascii="Arial" w:hAnsi="Arial" w:cs="Arial"/>
          <w:lang w:val="en-US"/>
        </w:rPr>
      </w:pPr>
      <w:bookmarkStart w:id="5" w:name="_Ref356476168"/>
    </w:p>
    <w:p w:rsidR="001175DB" w:rsidRPr="00E609E7" w:rsidRDefault="001175DB" w:rsidP="001175DB">
      <w:pPr>
        <w:pStyle w:val="Caption"/>
        <w:keepNext/>
        <w:rPr>
          <w:rFonts w:ascii="Arial" w:hAnsi="Arial" w:cs="Arial"/>
          <w:lang w:val="en-US"/>
        </w:rPr>
      </w:pPr>
      <w:r w:rsidRPr="00E609E7">
        <w:rPr>
          <w:rFonts w:ascii="Arial" w:hAnsi="Arial"/>
          <w:lang w:val="en-US"/>
        </w:rPr>
        <w:t xml:space="preserve">Figure </w:t>
      </w:r>
      <w:r w:rsidR="00053F6D" w:rsidRPr="00E609E7">
        <w:rPr>
          <w:rFonts w:ascii="Arial" w:hAnsi="Arial" w:cs="Arial"/>
          <w:lang w:val="en-US"/>
        </w:rPr>
        <w:fldChar w:fldCharType="begin"/>
      </w:r>
      <w:r w:rsidRPr="00E609E7">
        <w:rPr>
          <w:rFonts w:ascii="Arial" w:hAnsi="Arial" w:cs="Arial"/>
          <w:lang w:val="en-US"/>
        </w:rPr>
        <w:instrText xml:space="preserve"> SEQ Figure \* ARABIC </w:instrText>
      </w:r>
      <w:r w:rsidR="00053F6D" w:rsidRPr="00E609E7">
        <w:rPr>
          <w:rFonts w:ascii="Arial" w:hAnsi="Arial" w:cs="Arial"/>
          <w:lang w:val="en-US"/>
        </w:rPr>
        <w:fldChar w:fldCharType="separate"/>
      </w:r>
      <w:r w:rsidR="00F729C5">
        <w:rPr>
          <w:rFonts w:ascii="Arial" w:hAnsi="Arial" w:cs="Arial"/>
          <w:noProof/>
          <w:lang w:val="en-US"/>
        </w:rPr>
        <w:t>5</w:t>
      </w:r>
      <w:r w:rsidR="00053F6D" w:rsidRPr="00E609E7">
        <w:rPr>
          <w:rFonts w:ascii="Arial" w:hAnsi="Arial" w:cs="Arial"/>
          <w:lang w:val="en-US"/>
        </w:rPr>
        <w:fldChar w:fldCharType="end"/>
      </w:r>
      <w:bookmarkEnd w:id="5"/>
      <w:r w:rsidRPr="00E609E7">
        <w:rPr>
          <w:rFonts w:ascii="Arial" w:hAnsi="Arial"/>
          <w:lang w:val="en-US"/>
        </w:rPr>
        <w:t xml:space="preserve"> Difference in differences by professions, age group 30-44, formal employment </w:t>
      </w:r>
    </w:p>
    <w:p w:rsidR="001175DB" w:rsidRPr="00E609E7" w:rsidRDefault="00524330" w:rsidP="001175DB">
      <w:pPr>
        <w:rPr>
          <w:rFonts w:ascii="Arial" w:hAnsi="Arial" w:cs="Arial"/>
          <w:sz w:val="20"/>
          <w:szCs w:val="20"/>
          <w:lang w:val="en-US"/>
        </w:rPr>
      </w:pPr>
      <w:r>
        <w:rPr>
          <w:rFonts w:ascii="Arial" w:hAnsi="Arial" w:cs="Arial"/>
          <w:noProof/>
          <w:sz w:val="20"/>
          <w:szCs w:val="20"/>
          <w:lang w:val="en-US" w:eastAsia="en-US" w:bidi="ar-SA"/>
        </w:rPr>
        <w:drawing>
          <wp:inline distT="0" distB="0" distL="0" distR="0">
            <wp:extent cx="5760720" cy="4028440"/>
            <wp:effectExtent l="19050" t="0" r="0" b="0"/>
            <wp:docPr id="12" name="Picture 11" descr="occupational_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cupational_english.jpg"/>
                    <pic:cNvPicPr/>
                  </pic:nvPicPr>
                  <pic:blipFill>
                    <a:blip r:embed="rId13"/>
                    <a:stretch>
                      <a:fillRect/>
                    </a:stretch>
                  </pic:blipFill>
                  <pic:spPr>
                    <a:xfrm>
                      <a:off x="0" y="0"/>
                      <a:ext cx="5760720" cy="4028440"/>
                    </a:xfrm>
                    <a:prstGeom prst="rect">
                      <a:avLst/>
                    </a:prstGeom>
                  </pic:spPr>
                </pic:pic>
              </a:graphicData>
            </a:graphic>
          </wp:inline>
        </w:drawing>
      </w:r>
    </w:p>
    <w:p w:rsidR="00B96158" w:rsidRPr="00E609E7" w:rsidRDefault="00B96158" w:rsidP="001175DB">
      <w:pPr>
        <w:rPr>
          <w:rFonts w:ascii="Arial" w:hAnsi="Arial" w:cs="Arial"/>
          <w:sz w:val="20"/>
          <w:szCs w:val="20"/>
          <w:lang w:val="en-US"/>
        </w:rPr>
      </w:pPr>
    </w:p>
    <w:p w:rsidR="00B96158" w:rsidRPr="00E609E7" w:rsidRDefault="00B96158" w:rsidP="001175DB">
      <w:pPr>
        <w:rPr>
          <w:rFonts w:ascii="Arial" w:hAnsi="Arial" w:cs="Arial"/>
          <w:sz w:val="20"/>
          <w:szCs w:val="20"/>
          <w:lang w:val="en-US"/>
        </w:rPr>
      </w:pPr>
    </w:p>
    <w:p w:rsidR="001175DB" w:rsidRPr="00E609E7" w:rsidRDefault="001175DB" w:rsidP="001175DB">
      <w:pPr>
        <w:rPr>
          <w:rFonts w:ascii="Arial" w:hAnsi="Arial" w:cs="Arial"/>
          <w:sz w:val="20"/>
          <w:szCs w:val="20"/>
          <w:lang w:val="en-US"/>
        </w:rPr>
      </w:pPr>
      <w:r w:rsidRPr="00E609E7">
        <w:rPr>
          <w:rFonts w:ascii="Arial" w:hAnsi="Arial"/>
          <w:sz w:val="20"/>
          <w:lang w:val="en-US"/>
        </w:rPr>
        <w:t xml:space="preserve">When the </w:t>
      </w:r>
      <w:proofErr w:type="spellStart"/>
      <w:r w:rsidR="00EC7159">
        <w:rPr>
          <w:rFonts w:ascii="Arial" w:hAnsi="Arial"/>
          <w:sz w:val="20"/>
          <w:lang w:val="en-US"/>
        </w:rPr>
        <w:t>DiD</w:t>
      </w:r>
      <w:proofErr w:type="spellEnd"/>
      <w:r w:rsidRPr="00E609E7">
        <w:rPr>
          <w:rFonts w:ascii="Arial" w:hAnsi="Arial"/>
          <w:sz w:val="20"/>
          <w:lang w:val="en-US"/>
        </w:rPr>
        <w:t xml:space="preserve"> analysis </w:t>
      </w:r>
      <w:r w:rsidR="00A06E3B" w:rsidRPr="00E609E7">
        <w:rPr>
          <w:rFonts w:ascii="Arial" w:hAnsi="Arial"/>
          <w:sz w:val="20"/>
          <w:lang w:val="en-US"/>
        </w:rPr>
        <w:t>is</w:t>
      </w:r>
      <w:r w:rsidRPr="00E609E7">
        <w:rPr>
          <w:rFonts w:ascii="Arial" w:hAnsi="Arial"/>
          <w:sz w:val="20"/>
          <w:lang w:val="en-US"/>
        </w:rPr>
        <w:t xml:space="preserve"> repeated for 4 different professional groups, the results show that both the relative worsening and the relative improvement seen in form</w:t>
      </w:r>
      <w:r w:rsidR="00E61F56">
        <w:rPr>
          <w:rFonts w:ascii="Arial" w:hAnsi="Arial"/>
          <w:sz w:val="20"/>
          <w:lang w:val="en-US"/>
        </w:rPr>
        <w:t>al employment of women occurs for</w:t>
      </w:r>
      <w:r w:rsidRPr="00E609E7">
        <w:rPr>
          <w:rFonts w:ascii="Arial" w:hAnsi="Arial"/>
          <w:sz w:val="20"/>
          <w:lang w:val="en-US"/>
        </w:rPr>
        <w:t xml:space="preserve"> those employed in </w:t>
      </w:r>
      <w:r w:rsidR="001E56DF">
        <w:rPr>
          <w:rFonts w:ascii="Arial" w:hAnsi="Arial"/>
          <w:sz w:val="20"/>
          <w:lang w:val="en-US"/>
        </w:rPr>
        <w:t>skilled manual labor</w:t>
      </w:r>
      <w:r w:rsidRPr="00E609E7">
        <w:rPr>
          <w:rFonts w:ascii="Arial" w:hAnsi="Arial"/>
          <w:sz w:val="20"/>
          <w:lang w:val="en-US"/>
        </w:rPr>
        <w:t xml:space="preserve"> (Figure 5).</w:t>
      </w:r>
      <w:r w:rsidRPr="00E609E7">
        <w:rPr>
          <w:rStyle w:val="FootnoteReference"/>
          <w:rFonts w:ascii="Arial" w:hAnsi="Arial"/>
          <w:sz w:val="20"/>
          <w:lang w:val="en-US"/>
        </w:rPr>
        <w:footnoteReference w:id="6"/>
      </w:r>
      <w:r w:rsidRPr="00E609E7">
        <w:rPr>
          <w:rFonts w:ascii="Arial" w:hAnsi="Arial"/>
          <w:sz w:val="20"/>
          <w:lang w:val="en-US"/>
        </w:rPr>
        <w:t xml:space="preserve"> There are no obviously visible movements associated with incentives in other professional groups. Similar to the movements in the total formal employment of women, between July 2008 and August 2009, a relative improvement was recorded in formal employment of women in jobs based on manual skills compared to formal employment of men in the same jobs. Later on, formal employment of women in these professional groups relatively declined, though somewhat improved after early 2011. </w:t>
      </w:r>
    </w:p>
    <w:p w:rsidR="00646444" w:rsidRPr="00E609E7" w:rsidRDefault="00646444" w:rsidP="001175DB">
      <w:pPr>
        <w:rPr>
          <w:rFonts w:ascii="Arial" w:hAnsi="Arial" w:cs="Arial"/>
          <w:sz w:val="20"/>
          <w:szCs w:val="20"/>
          <w:lang w:val="en-US"/>
        </w:rPr>
      </w:pPr>
    </w:p>
    <w:p w:rsidR="001175DB" w:rsidRPr="00E609E7" w:rsidRDefault="001175DB" w:rsidP="001175DB">
      <w:pPr>
        <w:rPr>
          <w:rFonts w:ascii="Arial" w:hAnsi="Arial" w:cs="Arial"/>
          <w:sz w:val="20"/>
          <w:szCs w:val="20"/>
          <w:lang w:val="en-US"/>
        </w:rPr>
      </w:pPr>
      <w:proofErr w:type="spellStart"/>
      <w:r w:rsidRPr="00E609E7">
        <w:rPr>
          <w:rFonts w:ascii="Arial" w:hAnsi="Arial"/>
          <w:sz w:val="20"/>
          <w:lang w:val="en-US"/>
        </w:rPr>
        <w:t>DiD</w:t>
      </w:r>
      <w:proofErr w:type="spellEnd"/>
      <w:r w:rsidRPr="00E609E7">
        <w:rPr>
          <w:rFonts w:ascii="Arial" w:hAnsi="Arial"/>
          <w:sz w:val="20"/>
          <w:lang w:val="en-US"/>
        </w:rPr>
        <w:t xml:space="preserve"> statistics calculated according to </w:t>
      </w:r>
      <w:r w:rsidR="00F95878">
        <w:rPr>
          <w:rFonts w:ascii="Arial" w:hAnsi="Arial"/>
          <w:sz w:val="20"/>
          <w:lang w:val="en-US"/>
        </w:rPr>
        <w:t>firm</w:t>
      </w:r>
      <w:r w:rsidRPr="00E609E7">
        <w:rPr>
          <w:rFonts w:ascii="Arial" w:hAnsi="Arial"/>
          <w:sz w:val="20"/>
          <w:lang w:val="en-US"/>
        </w:rPr>
        <w:t xml:space="preserve"> sizes are given in Figure 6. Data show that both the relative decline in 2007 and the improvement in the incentive period occurred mainly in companies that employ at least 25 </w:t>
      </w:r>
      <w:r w:rsidR="00DA38B9">
        <w:rPr>
          <w:rFonts w:ascii="Arial" w:hAnsi="Arial"/>
          <w:sz w:val="20"/>
          <w:lang w:val="en-US"/>
        </w:rPr>
        <w:t>workers</w:t>
      </w:r>
      <w:r w:rsidRPr="00E609E7">
        <w:rPr>
          <w:rFonts w:ascii="Arial" w:hAnsi="Arial"/>
          <w:sz w:val="20"/>
          <w:lang w:val="en-US"/>
        </w:rPr>
        <w:t xml:space="preserve"> and </w:t>
      </w:r>
      <w:r w:rsidR="0012056A">
        <w:rPr>
          <w:rFonts w:ascii="Arial" w:hAnsi="Arial"/>
          <w:sz w:val="20"/>
          <w:lang w:val="en-US"/>
        </w:rPr>
        <w:t>that are generally considered to be</w:t>
      </w:r>
      <w:r w:rsidRPr="00E609E7">
        <w:rPr>
          <w:rFonts w:ascii="Arial" w:hAnsi="Arial"/>
          <w:sz w:val="20"/>
          <w:lang w:val="en-US"/>
        </w:rPr>
        <w:t xml:space="preserve"> large </w:t>
      </w:r>
      <w:r w:rsidR="0012056A">
        <w:rPr>
          <w:rFonts w:ascii="Arial" w:hAnsi="Arial"/>
          <w:sz w:val="20"/>
          <w:lang w:val="en-US"/>
        </w:rPr>
        <w:t>firms</w:t>
      </w:r>
      <w:r w:rsidRPr="00E609E7">
        <w:rPr>
          <w:rFonts w:ascii="Arial" w:hAnsi="Arial"/>
          <w:sz w:val="20"/>
          <w:lang w:val="en-US"/>
        </w:rPr>
        <w:t xml:space="preserve"> in Turkey. On the other hand, the effect of the expansion of incentives to cover all new employment is evident in companies with at least 50 employees.</w:t>
      </w:r>
      <w:r w:rsidR="006B6DCB">
        <w:rPr>
          <w:rFonts w:ascii="Arial" w:hAnsi="Arial"/>
          <w:sz w:val="20"/>
          <w:lang w:val="en-US"/>
        </w:rPr>
        <w:t xml:space="preserve"> It may be </w:t>
      </w:r>
      <w:r w:rsidRPr="00E609E7">
        <w:rPr>
          <w:rFonts w:ascii="Arial" w:hAnsi="Arial"/>
          <w:sz w:val="20"/>
          <w:lang w:val="en-US"/>
        </w:rPr>
        <w:t>that</w:t>
      </w:r>
      <w:r w:rsidR="006B6DCB">
        <w:rPr>
          <w:rFonts w:ascii="Arial" w:hAnsi="Arial"/>
          <w:sz w:val="20"/>
          <w:lang w:val="en-US"/>
        </w:rPr>
        <w:t xml:space="preserve"> the</w:t>
      </w:r>
      <w:r w:rsidRPr="00E609E7">
        <w:rPr>
          <w:rFonts w:ascii="Arial" w:hAnsi="Arial"/>
          <w:sz w:val="20"/>
          <w:lang w:val="en-US"/>
        </w:rPr>
        <w:t xml:space="preserve"> small </w:t>
      </w:r>
      <w:r w:rsidR="006B6DCB">
        <w:rPr>
          <w:rFonts w:ascii="Arial" w:hAnsi="Arial"/>
          <w:sz w:val="20"/>
          <w:lang w:val="en-US"/>
        </w:rPr>
        <w:t>firms</w:t>
      </w:r>
      <w:r w:rsidRPr="00E609E7">
        <w:rPr>
          <w:rFonts w:ascii="Arial" w:hAnsi="Arial"/>
          <w:sz w:val="20"/>
          <w:lang w:val="en-US"/>
        </w:rPr>
        <w:t xml:space="preserve"> fail to benefit from these incentives since: they are not sufficiently informed, they are not familiar with bureaucratic processes, </w:t>
      </w:r>
      <w:r w:rsidR="00294585">
        <w:rPr>
          <w:rFonts w:ascii="Arial" w:hAnsi="Arial"/>
          <w:sz w:val="20"/>
          <w:lang w:val="en-US"/>
        </w:rPr>
        <w:t>or</w:t>
      </w:r>
      <w:r w:rsidRPr="00E609E7">
        <w:rPr>
          <w:rFonts w:ascii="Arial" w:hAnsi="Arial"/>
          <w:sz w:val="20"/>
          <w:lang w:val="en-US"/>
        </w:rPr>
        <w:t xml:space="preserve"> they </w:t>
      </w:r>
      <w:r w:rsidR="00123AFA">
        <w:rPr>
          <w:rFonts w:ascii="Arial" w:hAnsi="Arial"/>
          <w:sz w:val="20"/>
          <w:lang w:val="en-US"/>
        </w:rPr>
        <w:t>insist</w:t>
      </w:r>
      <w:r w:rsidRPr="00E609E7">
        <w:rPr>
          <w:rFonts w:ascii="Arial" w:hAnsi="Arial"/>
          <w:sz w:val="20"/>
          <w:lang w:val="en-US"/>
        </w:rPr>
        <w:t xml:space="preserve"> on creating informal employment for various reasons. </w:t>
      </w:r>
    </w:p>
    <w:p w:rsidR="00234690" w:rsidRPr="00E609E7" w:rsidRDefault="00234690" w:rsidP="001175DB">
      <w:pPr>
        <w:pStyle w:val="Caption"/>
        <w:keepNext/>
        <w:rPr>
          <w:rFonts w:ascii="Arial" w:hAnsi="Arial" w:cs="Arial"/>
          <w:lang w:val="en-US"/>
        </w:rPr>
      </w:pPr>
      <w:bookmarkStart w:id="6" w:name="_Ref356482095"/>
    </w:p>
    <w:p w:rsidR="001175DB" w:rsidRPr="00E609E7" w:rsidRDefault="001175DB" w:rsidP="001175DB">
      <w:pPr>
        <w:pStyle w:val="Caption"/>
        <w:keepNext/>
        <w:rPr>
          <w:rFonts w:ascii="Arial" w:hAnsi="Arial" w:cs="Arial"/>
          <w:lang w:val="en-US"/>
        </w:rPr>
      </w:pPr>
      <w:r w:rsidRPr="00E609E7">
        <w:rPr>
          <w:rFonts w:ascii="Arial" w:hAnsi="Arial"/>
          <w:lang w:val="en-US"/>
        </w:rPr>
        <w:t xml:space="preserve">Figure </w:t>
      </w:r>
      <w:r w:rsidR="00053F6D" w:rsidRPr="00E609E7">
        <w:rPr>
          <w:rFonts w:ascii="Arial" w:hAnsi="Arial" w:cs="Arial"/>
          <w:lang w:val="en-US"/>
        </w:rPr>
        <w:fldChar w:fldCharType="begin"/>
      </w:r>
      <w:r w:rsidRPr="00E609E7">
        <w:rPr>
          <w:rFonts w:ascii="Arial" w:hAnsi="Arial" w:cs="Arial"/>
          <w:lang w:val="en-US"/>
        </w:rPr>
        <w:instrText xml:space="preserve"> SEQ Figure \* ARABIC </w:instrText>
      </w:r>
      <w:r w:rsidR="00053F6D" w:rsidRPr="00E609E7">
        <w:rPr>
          <w:rFonts w:ascii="Arial" w:hAnsi="Arial" w:cs="Arial"/>
          <w:lang w:val="en-US"/>
        </w:rPr>
        <w:fldChar w:fldCharType="separate"/>
      </w:r>
      <w:r w:rsidR="00F729C5">
        <w:rPr>
          <w:rFonts w:ascii="Arial" w:hAnsi="Arial" w:cs="Arial"/>
          <w:noProof/>
          <w:lang w:val="en-US"/>
        </w:rPr>
        <w:t>6</w:t>
      </w:r>
      <w:r w:rsidR="00053F6D" w:rsidRPr="00E609E7">
        <w:rPr>
          <w:rFonts w:ascii="Arial" w:hAnsi="Arial" w:cs="Arial"/>
          <w:lang w:val="en-US"/>
        </w:rPr>
        <w:fldChar w:fldCharType="end"/>
      </w:r>
      <w:bookmarkEnd w:id="6"/>
      <w:r w:rsidRPr="00E609E7">
        <w:rPr>
          <w:rFonts w:ascii="Arial" w:hAnsi="Arial"/>
          <w:lang w:val="en-US"/>
        </w:rPr>
        <w:t xml:space="preserve"> Difference in differences by business sizes, age group 30-44, </w:t>
      </w:r>
      <w:proofErr w:type="gramStart"/>
      <w:r w:rsidRPr="00E609E7">
        <w:rPr>
          <w:rFonts w:ascii="Arial" w:hAnsi="Arial"/>
          <w:lang w:val="en-US"/>
        </w:rPr>
        <w:t>formal</w:t>
      </w:r>
      <w:proofErr w:type="gramEnd"/>
      <w:r w:rsidRPr="00E609E7">
        <w:rPr>
          <w:rFonts w:ascii="Arial" w:hAnsi="Arial"/>
          <w:lang w:val="en-US"/>
        </w:rPr>
        <w:t xml:space="preserve"> employment </w:t>
      </w:r>
    </w:p>
    <w:p w:rsidR="001175DB" w:rsidRPr="00E609E7" w:rsidRDefault="00B067D4" w:rsidP="001175DB">
      <w:pPr>
        <w:rPr>
          <w:rFonts w:ascii="Arial" w:hAnsi="Arial" w:cs="Arial"/>
          <w:sz w:val="20"/>
          <w:szCs w:val="20"/>
          <w:lang w:val="en-US"/>
        </w:rPr>
      </w:pPr>
      <w:r>
        <w:rPr>
          <w:rFonts w:ascii="Arial" w:hAnsi="Arial" w:cs="Arial"/>
          <w:noProof/>
          <w:sz w:val="20"/>
          <w:szCs w:val="20"/>
          <w:lang w:val="en-US" w:eastAsia="en-US" w:bidi="ar-SA"/>
        </w:rPr>
        <w:drawing>
          <wp:inline distT="0" distB="0" distL="0" distR="0">
            <wp:extent cx="5760720" cy="3500120"/>
            <wp:effectExtent l="19050" t="0" r="0" b="0"/>
            <wp:docPr id="9" name="Picture 8" descr="firmsize_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size_english.jpg"/>
                    <pic:cNvPicPr/>
                  </pic:nvPicPr>
                  <pic:blipFill>
                    <a:blip r:embed="rId14"/>
                    <a:stretch>
                      <a:fillRect/>
                    </a:stretch>
                  </pic:blipFill>
                  <pic:spPr>
                    <a:xfrm>
                      <a:off x="0" y="0"/>
                      <a:ext cx="5760720" cy="3500120"/>
                    </a:xfrm>
                    <a:prstGeom prst="rect">
                      <a:avLst/>
                    </a:prstGeom>
                  </pic:spPr>
                </pic:pic>
              </a:graphicData>
            </a:graphic>
          </wp:inline>
        </w:drawing>
      </w:r>
    </w:p>
    <w:p w:rsidR="00993751" w:rsidRPr="00E609E7" w:rsidRDefault="00993751" w:rsidP="00993751">
      <w:pPr>
        <w:rPr>
          <w:rFonts w:ascii="Arial" w:hAnsi="Arial" w:cs="Arial"/>
          <w:sz w:val="20"/>
          <w:szCs w:val="20"/>
          <w:lang w:val="en-US"/>
        </w:rPr>
      </w:pPr>
      <w:r w:rsidRPr="00E609E7">
        <w:rPr>
          <w:rFonts w:ascii="Arial" w:hAnsi="Arial"/>
          <w:sz w:val="20"/>
          <w:lang w:val="en-US"/>
        </w:rPr>
        <w:t xml:space="preserve"> </w:t>
      </w:r>
    </w:p>
    <w:p w:rsidR="001175DB" w:rsidRPr="00E609E7" w:rsidRDefault="00993751" w:rsidP="001175DB">
      <w:pPr>
        <w:rPr>
          <w:rFonts w:ascii="Arial" w:hAnsi="Arial" w:cs="Arial"/>
          <w:sz w:val="20"/>
          <w:szCs w:val="20"/>
          <w:lang w:val="en-US"/>
        </w:rPr>
      </w:pPr>
      <w:r w:rsidRPr="00E609E7">
        <w:rPr>
          <w:rFonts w:ascii="Arial" w:hAnsi="Arial"/>
          <w:sz w:val="20"/>
          <w:lang w:val="en-US"/>
        </w:rPr>
        <w:t xml:space="preserve">Figure 7 and Figure 8 give the </w:t>
      </w:r>
      <w:proofErr w:type="spellStart"/>
      <w:proofErr w:type="gramStart"/>
      <w:r w:rsidRPr="00E609E7">
        <w:rPr>
          <w:rFonts w:ascii="Arial" w:hAnsi="Arial"/>
          <w:sz w:val="20"/>
          <w:lang w:val="en-US"/>
        </w:rPr>
        <w:t>DiD</w:t>
      </w:r>
      <w:proofErr w:type="spellEnd"/>
      <w:proofErr w:type="gramEnd"/>
      <w:r w:rsidRPr="00E609E7">
        <w:rPr>
          <w:rFonts w:ascii="Arial" w:hAnsi="Arial"/>
          <w:sz w:val="20"/>
          <w:lang w:val="en-US"/>
        </w:rPr>
        <w:t xml:space="preserve"> statistics for education and marital statuses of women. When </w:t>
      </w:r>
      <w:r w:rsidR="00BE508D">
        <w:rPr>
          <w:rFonts w:ascii="Arial" w:hAnsi="Arial"/>
          <w:sz w:val="20"/>
          <w:lang w:val="en-US"/>
        </w:rPr>
        <w:t>disaggregated</w:t>
      </w:r>
      <w:r w:rsidRPr="00E609E7">
        <w:rPr>
          <w:rFonts w:ascii="Arial" w:hAnsi="Arial"/>
          <w:sz w:val="20"/>
          <w:lang w:val="en-US"/>
        </w:rPr>
        <w:t xml:space="preserve"> by education, incentives </w:t>
      </w:r>
      <w:r w:rsidR="00D7168C">
        <w:rPr>
          <w:rFonts w:ascii="Arial" w:hAnsi="Arial"/>
          <w:sz w:val="20"/>
          <w:lang w:val="en-US"/>
        </w:rPr>
        <w:t>seem to be</w:t>
      </w:r>
      <w:r w:rsidRPr="00E609E7">
        <w:rPr>
          <w:rFonts w:ascii="Arial" w:hAnsi="Arial"/>
          <w:sz w:val="20"/>
          <w:lang w:val="en-US"/>
        </w:rPr>
        <w:t xml:space="preserve"> more effective on women </w:t>
      </w:r>
      <w:r w:rsidR="0032793A">
        <w:rPr>
          <w:rFonts w:ascii="Arial" w:hAnsi="Arial"/>
          <w:sz w:val="20"/>
          <w:lang w:val="en-US"/>
        </w:rPr>
        <w:t>who do not hold</w:t>
      </w:r>
      <w:r w:rsidRPr="00E609E7">
        <w:rPr>
          <w:rFonts w:ascii="Arial" w:hAnsi="Arial"/>
          <w:sz w:val="20"/>
          <w:lang w:val="en-US"/>
        </w:rPr>
        <w:t xml:space="preserve"> </w:t>
      </w:r>
      <w:r w:rsidR="0032793A">
        <w:rPr>
          <w:rFonts w:ascii="Arial" w:hAnsi="Arial"/>
          <w:sz w:val="20"/>
          <w:lang w:val="en-US"/>
        </w:rPr>
        <w:t xml:space="preserve">a </w:t>
      </w:r>
      <w:r w:rsidRPr="00E609E7">
        <w:rPr>
          <w:rFonts w:ascii="Arial" w:hAnsi="Arial"/>
          <w:sz w:val="20"/>
          <w:lang w:val="en-US"/>
        </w:rPr>
        <w:t>high school</w:t>
      </w:r>
      <w:r w:rsidR="0032793A">
        <w:rPr>
          <w:rFonts w:ascii="Arial" w:hAnsi="Arial"/>
          <w:sz w:val="20"/>
          <w:lang w:val="en-US"/>
        </w:rPr>
        <w:t xml:space="preserve"> degree</w:t>
      </w:r>
      <w:r w:rsidRPr="00E609E7">
        <w:rPr>
          <w:rFonts w:ascii="Arial" w:hAnsi="Arial"/>
          <w:sz w:val="20"/>
          <w:lang w:val="en-US"/>
        </w:rPr>
        <w:t>. Between July 2008 and August 2009, an improvement was seen in the formal employment of women with lower than high school education levels compared to men's, yet this improvement was replaced with relative lo</w:t>
      </w:r>
      <w:r w:rsidR="00A06E3B" w:rsidRPr="00E609E7">
        <w:rPr>
          <w:rFonts w:ascii="Arial" w:hAnsi="Arial"/>
          <w:sz w:val="20"/>
          <w:lang w:val="en-US"/>
        </w:rPr>
        <w:t>s</w:t>
      </w:r>
      <w:r w:rsidRPr="00E609E7">
        <w:rPr>
          <w:rFonts w:ascii="Arial" w:hAnsi="Arial"/>
          <w:sz w:val="20"/>
          <w:lang w:val="en-US"/>
        </w:rPr>
        <w:t xml:space="preserve">ses in the period after August 2009. Another striking development is the strong relative improvement in the formal employment of women with lower than high school education levels after June 2011. </w:t>
      </w:r>
    </w:p>
    <w:p w:rsidR="00A06E3B" w:rsidRPr="00E609E7" w:rsidRDefault="00A06E3B" w:rsidP="00646444">
      <w:pPr>
        <w:rPr>
          <w:rFonts w:ascii="Arial" w:hAnsi="Arial"/>
          <w:sz w:val="20"/>
          <w:lang w:val="en-US"/>
        </w:rPr>
      </w:pPr>
    </w:p>
    <w:p w:rsidR="00646444" w:rsidRPr="00E609E7" w:rsidRDefault="001175DB" w:rsidP="00646444">
      <w:pPr>
        <w:rPr>
          <w:rFonts w:ascii="Arial" w:hAnsi="Arial" w:cs="Arial"/>
          <w:lang w:val="en-US"/>
        </w:rPr>
      </w:pPr>
      <w:r w:rsidRPr="00E609E7">
        <w:rPr>
          <w:rFonts w:ascii="Arial" w:hAnsi="Arial"/>
          <w:sz w:val="20"/>
          <w:lang w:val="en-US"/>
        </w:rPr>
        <w:t xml:space="preserve">An improvement can be seen after July 2008 in the employment of women who are high school graduates, though this improvement is not marked. However, what is really remarkable is the sharp decline in August 2009. For graduates of vocational high schools and universities, no incentive-associated movement is </w:t>
      </w:r>
      <w:r w:rsidR="00F75F64">
        <w:rPr>
          <w:rFonts w:ascii="Arial" w:hAnsi="Arial"/>
          <w:sz w:val="20"/>
          <w:lang w:val="en-US"/>
        </w:rPr>
        <w:t>observed</w:t>
      </w:r>
      <w:r w:rsidRPr="00E609E7">
        <w:rPr>
          <w:rFonts w:ascii="Arial" w:hAnsi="Arial"/>
          <w:sz w:val="20"/>
          <w:lang w:val="en-US"/>
        </w:rPr>
        <w:t xml:space="preserve">. </w:t>
      </w:r>
      <w:bookmarkStart w:id="7" w:name="_Ref356488652"/>
    </w:p>
    <w:p w:rsidR="001175DB" w:rsidRPr="00E609E7" w:rsidRDefault="001175DB" w:rsidP="001175DB">
      <w:pPr>
        <w:pStyle w:val="Caption"/>
        <w:keepNext/>
        <w:rPr>
          <w:rFonts w:ascii="Arial" w:hAnsi="Arial" w:cs="Arial"/>
          <w:lang w:val="en-US"/>
        </w:rPr>
      </w:pPr>
      <w:r w:rsidRPr="00E609E7">
        <w:rPr>
          <w:rFonts w:ascii="Arial" w:hAnsi="Arial"/>
          <w:lang w:val="en-US"/>
        </w:rPr>
        <w:lastRenderedPageBreak/>
        <w:t xml:space="preserve">Figure </w:t>
      </w:r>
      <w:r w:rsidR="00053F6D" w:rsidRPr="00E609E7">
        <w:rPr>
          <w:rFonts w:ascii="Arial" w:hAnsi="Arial" w:cs="Arial"/>
          <w:lang w:val="en-US"/>
        </w:rPr>
        <w:fldChar w:fldCharType="begin"/>
      </w:r>
      <w:r w:rsidRPr="00E609E7">
        <w:rPr>
          <w:rFonts w:ascii="Arial" w:hAnsi="Arial" w:cs="Arial"/>
          <w:lang w:val="en-US"/>
        </w:rPr>
        <w:instrText xml:space="preserve"> SEQ Figure \* ARABIC </w:instrText>
      </w:r>
      <w:r w:rsidR="00053F6D" w:rsidRPr="00E609E7">
        <w:rPr>
          <w:rFonts w:ascii="Arial" w:hAnsi="Arial" w:cs="Arial"/>
          <w:lang w:val="en-US"/>
        </w:rPr>
        <w:fldChar w:fldCharType="separate"/>
      </w:r>
      <w:r w:rsidR="00F729C5">
        <w:rPr>
          <w:rFonts w:ascii="Arial" w:hAnsi="Arial" w:cs="Arial"/>
          <w:noProof/>
          <w:lang w:val="en-US"/>
        </w:rPr>
        <w:t>7</w:t>
      </w:r>
      <w:r w:rsidR="00053F6D" w:rsidRPr="00E609E7">
        <w:rPr>
          <w:rFonts w:ascii="Arial" w:hAnsi="Arial" w:cs="Arial"/>
          <w:lang w:val="en-US"/>
        </w:rPr>
        <w:fldChar w:fldCharType="end"/>
      </w:r>
      <w:bookmarkEnd w:id="7"/>
      <w:r w:rsidRPr="00E609E7">
        <w:rPr>
          <w:rFonts w:ascii="Arial" w:hAnsi="Arial"/>
          <w:lang w:val="en-US"/>
        </w:rPr>
        <w:t xml:space="preserve"> Difference in differences by education, age group 30-44, formal employment</w:t>
      </w:r>
    </w:p>
    <w:p w:rsidR="001175DB" w:rsidRPr="00E609E7" w:rsidRDefault="00A072A8" w:rsidP="001175DB">
      <w:pPr>
        <w:rPr>
          <w:rFonts w:ascii="Arial" w:hAnsi="Arial" w:cs="Arial"/>
          <w:sz w:val="20"/>
          <w:szCs w:val="20"/>
          <w:lang w:val="en-US"/>
        </w:rPr>
      </w:pPr>
      <w:r>
        <w:rPr>
          <w:rFonts w:ascii="Arial" w:hAnsi="Arial" w:cs="Arial"/>
          <w:noProof/>
          <w:sz w:val="20"/>
          <w:szCs w:val="20"/>
          <w:lang w:val="en-US" w:eastAsia="en-US" w:bidi="ar-SA"/>
        </w:rPr>
        <w:drawing>
          <wp:inline distT="0" distB="0" distL="0" distR="0">
            <wp:extent cx="5760720" cy="3477895"/>
            <wp:effectExtent l="19050" t="0" r="0" b="0"/>
            <wp:docPr id="8" name="Picture 7" descr="education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_eng.jpg"/>
                    <pic:cNvPicPr/>
                  </pic:nvPicPr>
                  <pic:blipFill>
                    <a:blip r:embed="rId15"/>
                    <a:stretch>
                      <a:fillRect/>
                    </a:stretch>
                  </pic:blipFill>
                  <pic:spPr>
                    <a:xfrm>
                      <a:off x="0" y="0"/>
                      <a:ext cx="5760720" cy="3477895"/>
                    </a:xfrm>
                    <a:prstGeom prst="rect">
                      <a:avLst/>
                    </a:prstGeom>
                  </pic:spPr>
                </pic:pic>
              </a:graphicData>
            </a:graphic>
          </wp:inline>
        </w:drawing>
      </w:r>
    </w:p>
    <w:p w:rsidR="001175DB" w:rsidRPr="00E609E7" w:rsidRDefault="001175DB" w:rsidP="001175DB">
      <w:pPr>
        <w:rPr>
          <w:rFonts w:ascii="Arial" w:hAnsi="Arial" w:cs="Arial"/>
          <w:sz w:val="20"/>
          <w:szCs w:val="20"/>
          <w:lang w:val="en-US"/>
        </w:rPr>
      </w:pPr>
      <w:r w:rsidRPr="00E609E7">
        <w:rPr>
          <w:rFonts w:ascii="Arial" w:hAnsi="Arial"/>
          <w:sz w:val="20"/>
          <w:lang w:val="en-US"/>
        </w:rPr>
        <w:t xml:space="preserve">When </w:t>
      </w:r>
      <w:proofErr w:type="spellStart"/>
      <w:r w:rsidRPr="00E609E7">
        <w:rPr>
          <w:rFonts w:ascii="Arial" w:hAnsi="Arial"/>
          <w:sz w:val="20"/>
          <w:lang w:val="en-US"/>
        </w:rPr>
        <w:t>the</w:t>
      </w:r>
      <w:proofErr w:type="spellEnd"/>
      <w:r w:rsidRPr="00E609E7">
        <w:rPr>
          <w:rFonts w:ascii="Arial" w:hAnsi="Arial"/>
          <w:sz w:val="20"/>
          <w:lang w:val="en-US"/>
        </w:rPr>
        <w:t xml:space="preserve"> </w:t>
      </w:r>
      <w:proofErr w:type="spellStart"/>
      <w:proofErr w:type="gramStart"/>
      <w:r w:rsidRPr="00E609E7">
        <w:rPr>
          <w:rFonts w:ascii="Arial" w:hAnsi="Arial"/>
          <w:sz w:val="20"/>
          <w:lang w:val="en-US"/>
        </w:rPr>
        <w:t>DiD</w:t>
      </w:r>
      <w:proofErr w:type="spellEnd"/>
      <w:proofErr w:type="gramEnd"/>
      <w:r w:rsidRPr="00E609E7">
        <w:rPr>
          <w:rFonts w:ascii="Arial" w:hAnsi="Arial"/>
          <w:sz w:val="20"/>
          <w:lang w:val="en-US"/>
        </w:rPr>
        <w:t xml:space="preserve"> statistics are examined according to marital status, it becomes evident that the incentives had a significant effect particularly on the employment of married women (Figure 8). Almost 40% of the formal payroll employment consists of unmarried women. Hence, it is quite surprising how formal employment of women can differentiate so much on the axis of marital status.  It is also clearly seen that married women benefit more from the </w:t>
      </w:r>
      <w:r w:rsidR="00670399">
        <w:rPr>
          <w:rFonts w:ascii="Arial" w:hAnsi="Arial"/>
          <w:sz w:val="20"/>
          <w:lang w:val="en-US"/>
        </w:rPr>
        <w:t>social security</w:t>
      </w:r>
      <w:r w:rsidRPr="00E609E7">
        <w:rPr>
          <w:rFonts w:ascii="Arial" w:hAnsi="Arial"/>
          <w:sz w:val="20"/>
          <w:lang w:val="en-US"/>
        </w:rPr>
        <w:t xml:space="preserve"> premium </w:t>
      </w:r>
      <w:r w:rsidR="006F1D68">
        <w:rPr>
          <w:rFonts w:ascii="Arial" w:hAnsi="Arial"/>
          <w:sz w:val="20"/>
          <w:lang w:val="en-US"/>
        </w:rPr>
        <w:t>incentives</w:t>
      </w:r>
      <w:r w:rsidRPr="00E609E7">
        <w:rPr>
          <w:rFonts w:ascii="Arial" w:hAnsi="Arial"/>
          <w:sz w:val="20"/>
          <w:lang w:val="en-US"/>
        </w:rPr>
        <w:t xml:space="preserve"> introduced to </w:t>
      </w:r>
      <w:r w:rsidR="006F1D68">
        <w:rPr>
          <w:rFonts w:ascii="Arial" w:hAnsi="Arial"/>
          <w:sz w:val="20"/>
          <w:lang w:val="en-US"/>
        </w:rPr>
        <w:t>increase</w:t>
      </w:r>
      <w:r w:rsidRPr="00E609E7">
        <w:rPr>
          <w:rFonts w:ascii="Arial" w:hAnsi="Arial"/>
          <w:sz w:val="20"/>
          <w:lang w:val="en-US"/>
        </w:rPr>
        <w:t xml:space="preserve"> women's employment. </w:t>
      </w:r>
    </w:p>
    <w:p w:rsidR="00646444" w:rsidRPr="00E609E7" w:rsidRDefault="00646444" w:rsidP="001175DB">
      <w:pPr>
        <w:rPr>
          <w:rFonts w:ascii="Arial" w:hAnsi="Arial" w:cs="Arial"/>
          <w:sz w:val="20"/>
          <w:szCs w:val="20"/>
          <w:lang w:val="en-US"/>
        </w:rPr>
      </w:pPr>
    </w:p>
    <w:p w:rsidR="001175DB" w:rsidRPr="00E609E7" w:rsidRDefault="001175DB" w:rsidP="001175DB">
      <w:pPr>
        <w:rPr>
          <w:rFonts w:ascii="Arial" w:hAnsi="Arial" w:cs="Arial"/>
          <w:sz w:val="20"/>
          <w:szCs w:val="20"/>
          <w:lang w:val="en-US"/>
        </w:rPr>
      </w:pPr>
      <w:r w:rsidRPr="00E609E7">
        <w:rPr>
          <w:rFonts w:ascii="Arial" w:hAnsi="Arial"/>
          <w:sz w:val="20"/>
          <w:lang w:val="en-US"/>
        </w:rPr>
        <w:t xml:space="preserve">The low level of women's participation in </w:t>
      </w:r>
      <w:r w:rsidR="00F4480B">
        <w:rPr>
          <w:rFonts w:ascii="Arial" w:hAnsi="Arial"/>
          <w:sz w:val="20"/>
          <w:lang w:val="en-US"/>
        </w:rPr>
        <w:t>labor</w:t>
      </w:r>
      <w:r w:rsidRPr="00E609E7">
        <w:rPr>
          <w:rFonts w:ascii="Arial" w:hAnsi="Arial"/>
          <w:sz w:val="20"/>
          <w:lang w:val="en-US"/>
        </w:rPr>
        <w:t xml:space="preserve">, which is an important structural </w:t>
      </w:r>
      <w:r w:rsidR="00A06E3B" w:rsidRPr="00E609E7">
        <w:rPr>
          <w:rFonts w:ascii="Arial" w:hAnsi="Arial"/>
          <w:sz w:val="20"/>
          <w:lang w:val="en-US"/>
        </w:rPr>
        <w:t>characteristic</w:t>
      </w:r>
      <w:r w:rsidRPr="00E609E7">
        <w:rPr>
          <w:rFonts w:ascii="Arial" w:hAnsi="Arial"/>
          <w:sz w:val="20"/>
          <w:lang w:val="en-US"/>
        </w:rPr>
        <w:t xml:space="preserve"> of the Turkish </w:t>
      </w:r>
      <w:r w:rsidR="00F4480B">
        <w:rPr>
          <w:rFonts w:ascii="Arial" w:hAnsi="Arial"/>
          <w:sz w:val="20"/>
          <w:lang w:val="en-US"/>
        </w:rPr>
        <w:t>labor</w:t>
      </w:r>
      <w:r w:rsidRPr="00E609E7">
        <w:rPr>
          <w:rFonts w:ascii="Arial" w:hAnsi="Arial"/>
          <w:sz w:val="20"/>
          <w:lang w:val="en-US"/>
        </w:rPr>
        <w:t xml:space="preserve"> market, reveals itself as a strong added worker effect in crisis periods.</w:t>
      </w:r>
      <w:r w:rsidRPr="00E609E7">
        <w:rPr>
          <w:rStyle w:val="FootnoteReference"/>
          <w:rFonts w:ascii="Arial" w:hAnsi="Arial"/>
          <w:sz w:val="20"/>
          <w:lang w:val="en-US"/>
        </w:rPr>
        <w:footnoteReference w:id="7"/>
      </w:r>
      <w:r w:rsidRPr="00E609E7">
        <w:rPr>
          <w:rFonts w:ascii="Arial" w:hAnsi="Arial"/>
          <w:sz w:val="20"/>
          <w:lang w:val="en-US"/>
        </w:rPr>
        <w:t xml:space="preserve"> The global economic crisis affected the Turkish </w:t>
      </w:r>
      <w:r w:rsidR="00F4480B">
        <w:rPr>
          <w:rFonts w:ascii="Arial" w:hAnsi="Arial"/>
          <w:sz w:val="20"/>
          <w:lang w:val="en-US"/>
        </w:rPr>
        <w:t>labor</w:t>
      </w:r>
      <w:r w:rsidRPr="00E609E7">
        <w:rPr>
          <w:rFonts w:ascii="Arial" w:hAnsi="Arial"/>
          <w:sz w:val="20"/>
          <w:lang w:val="en-US"/>
        </w:rPr>
        <w:t xml:space="preserve"> market particularly in the second half of 2008 and the fir</w:t>
      </w:r>
      <w:r w:rsidR="00C772CA">
        <w:rPr>
          <w:rFonts w:ascii="Arial" w:hAnsi="Arial"/>
          <w:sz w:val="20"/>
          <w:lang w:val="en-US"/>
        </w:rPr>
        <w:t>st half of 2009, and non-farm</w:t>
      </w:r>
      <w:r w:rsidRPr="00E609E7">
        <w:rPr>
          <w:rFonts w:ascii="Arial" w:hAnsi="Arial"/>
          <w:sz w:val="20"/>
          <w:lang w:val="en-US"/>
        </w:rPr>
        <w:t xml:space="preserve"> unemployment rates rapidly increased during that period. However, it was not until 2011 that non-farm unemployment rates were able to return to pre-crisis levels. It is expected that added worker effect will coincide with the period in which the effects of the crisis on the </w:t>
      </w:r>
      <w:r w:rsidR="00F4480B">
        <w:rPr>
          <w:rFonts w:ascii="Arial" w:hAnsi="Arial"/>
          <w:sz w:val="20"/>
          <w:lang w:val="en-US"/>
        </w:rPr>
        <w:t>labor</w:t>
      </w:r>
      <w:r w:rsidRPr="00E609E7">
        <w:rPr>
          <w:rFonts w:ascii="Arial" w:hAnsi="Arial"/>
          <w:sz w:val="20"/>
          <w:lang w:val="en-US"/>
        </w:rPr>
        <w:t xml:space="preserve"> market were most </w:t>
      </w:r>
      <w:r w:rsidR="00E80699">
        <w:rPr>
          <w:rFonts w:ascii="Arial" w:hAnsi="Arial"/>
          <w:sz w:val="20"/>
          <w:lang w:val="en-US"/>
        </w:rPr>
        <w:t>strongly</w:t>
      </w:r>
      <w:r w:rsidRPr="00E609E7">
        <w:rPr>
          <w:rFonts w:ascii="Arial" w:hAnsi="Arial"/>
          <w:sz w:val="20"/>
          <w:lang w:val="en-US"/>
        </w:rPr>
        <w:t xml:space="preserve"> felt. </w:t>
      </w:r>
      <w:proofErr w:type="spellStart"/>
      <w:r w:rsidRPr="00E609E7">
        <w:rPr>
          <w:rFonts w:ascii="Arial" w:hAnsi="Arial"/>
          <w:sz w:val="20"/>
          <w:lang w:val="en-US"/>
        </w:rPr>
        <w:t>DiD</w:t>
      </w:r>
      <w:proofErr w:type="spellEnd"/>
      <w:r w:rsidRPr="00E609E7">
        <w:rPr>
          <w:rFonts w:ascii="Arial" w:hAnsi="Arial"/>
          <w:sz w:val="20"/>
          <w:lang w:val="en-US"/>
        </w:rPr>
        <w:t xml:space="preserve"> statistics also indicate that there were significant improvements in th</w:t>
      </w:r>
      <w:r w:rsidR="00B45B6F">
        <w:rPr>
          <w:rFonts w:ascii="Arial" w:hAnsi="Arial"/>
          <w:sz w:val="20"/>
          <w:lang w:val="en-US"/>
        </w:rPr>
        <w:t>e employment of married women</w:t>
      </w:r>
      <w:r w:rsidR="00ED3C1A">
        <w:rPr>
          <w:rFonts w:ascii="Arial" w:hAnsi="Arial"/>
          <w:sz w:val="20"/>
          <w:lang w:val="en-US"/>
        </w:rPr>
        <w:t>,</w:t>
      </w:r>
      <w:r w:rsidRPr="00E609E7">
        <w:rPr>
          <w:rFonts w:ascii="Arial" w:hAnsi="Arial"/>
          <w:sz w:val="20"/>
          <w:lang w:val="en-US"/>
        </w:rPr>
        <w:t xml:space="preserve"> particular</w:t>
      </w:r>
      <w:r w:rsidR="00B45B6F">
        <w:rPr>
          <w:rFonts w:ascii="Arial" w:hAnsi="Arial"/>
          <w:sz w:val="20"/>
          <w:lang w:val="en-US"/>
        </w:rPr>
        <w:t>ly</w:t>
      </w:r>
      <w:r w:rsidR="003914E6">
        <w:rPr>
          <w:rFonts w:ascii="Arial" w:hAnsi="Arial"/>
          <w:sz w:val="20"/>
          <w:lang w:val="en-US"/>
        </w:rPr>
        <w:t xml:space="preserve"> when </w:t>
      </w:r>
      <w:r w:rsidR="00ED3C1A">
        <w:rPr>
          <w:rFonts w:ascii="Arial" w:hAnsi="Arial"/>
          <w:sz w:val="20"/>
          <w:lang w:val="en-US"/>
        </w:rPr>
        <w:t xml:space="preserve">the incentives were </w:t>
      </w:r>
      <w:r w:rsidR="004A0751">
        <w:rPr>
          <w:rFonts w:ascii="Arial" w:hAnsi="Arial"/>
          <w:sz w:val="20"/>
          <w:lang w:val="en-US"/>
        </w:rPr>
        <w:t xml:space="preserve">in </w:t>
      </w:r>
      <w:proofErr w:type="gramStart"/>
      <w:r w:rsidR="004A0751">
        <w:rPr>
          <w:rFonts w:ascii="Arial" w:hAnsi="Arial"/>
          <w:sz w:val="20"/>
          <w:lang w:val="en-US"/>
        </w:rPr>
        <w:t>effect</w:t>
      </w:r>
      <w:r w:rsidRPr="00E609E7">
        <w:rPr>
          <w:rFonts w:ascii="Arial" w:hAnsi="Arial"/>
          <w:sz w:val="20"/>
          <w:lang w:val="en-US"/>
        </w:rPr>
        <w:t>.</w:t>
      </w:r>
      <w:proofErr w:type="gramEnd"/>
      <w:r w:rsidRPr="00E609E7">
        <w:rPr>
          <w:rFonts w:ascii="Arial" w:hAnsi="Arial"/>
          <w:sz w:val="20"/>
          <w:lang w:val="en-US"/>
        </w:rPr>
        <w:t xml:space="preserve"> Hence, it can be concluded that some of the women entering the </w:t>
      </w:r>
      <w:r w:rsidR="00F4480B">
        <w:rPr>
          <w:rFonts w:ascii="Arial" w:hAnsi="Arial"/>
          <w:sz w:val="20"/>
          <w:lang w:val="en-US"/>
        </w:rPr>
        <w:t>labor</w:t>
      </w:r>
      <w:r w:rsidRPr="00E609E7">
        <w:rPr>
          <w:rFonts w:ascii="Arial" w:hAnsi="Arial"/>
          <w:sz w:val="20"/>
          <w:lang w:val="en-US"/>
        </w:rPr>
        <w:t xml:space="preserve"> market </w:t>
      </w:r>
      <w:r w:rsidR="004A0751">
        <w:rPr>
          <w:rFonts w:ascii="Arial" w:hAnsi="Arial"/>
          <w:sz w:val="20"/>
          <w:lang w:val="en-US"/>
        </w:rPr>
        <w:t>due to</w:t>
      </w:r>
      <w:r w:rsidRPr="00E609E7">
        <w:rPr>
          <w:rFonts w:ascii="Arial" w:hAnsi="Arial"/>
          <w:sz w:val="20"/>
          <w:lang w:val="en-US"/>
        </w:rPr>
        <w:t xml:space="preserve"> an added worker effect in this period have benefited from the incentives. </w:t>
      </w:r>
    </w:p>
    <w:p w:rsidR="00646444" w:rsidRPr="00E609E7" w:rsidRDefault="00646444" w:rsidP="001175DB">
      <w:pPr>
        <w:pStyle w:val="Caption"/>
        <w:keepNext/>
        <w:rPr>
          <w:rFonts w:ascii="Arial" w:hAnsi="Arial" w:cs="Arial"/>
          <w:lang w:val="en-US"/>
        </w:rPr>
      </w:pPr>
      <w:bookmarkStart w:id="8" w:name="_Ref356488655"/>
    </w:p>
    <w:p w:rsidR="001175DB" w:rsidRPr="00E609E7" w:rsidRDefault="001175DB" w:rsidP="001175DB">
      <w:pPr>
        <w:pStyle w:val="Caption"/>
        <w:keepNext/>
        <w:rPr>
          <w:rFonts w:ascii="Arial" w:hAnsi="Arial" w:cs="Arial"/>
          <w:lang w:val="en-US"/>
        </w:rPr>
      </w:pPr>
      <w:r w:rsidRPr="00E609E7">
        <w:rPr>
          <w:rFonts w:ascii="Arial" w:hAnsi="Arial"/>
          <w:lang w:val="en-US"/>
        </w:rPr>
        <w:t xml:space="preserve">Figure </w:t>
      </w:r>
      <w:r w:rsidR="00053F6D" w:rsidRPr="00E609E7">
        <w:rPr>
          <w:rFonts w:ascii="Arial" w:hAnsi="Arial" w:cs="Arial"/>
          <w:lang w:val="en-US"/>
        </w:rPr>
        <w:fldChar w:fldCharType="begin"/>
      </w:r>
      <w:r w:rsidRPr="00E609E7">
        <w:rPr>
          <w:rFonts w:ascii="Arial" w:hAnsi="Arial" w:cs="Arial"/>
          <w:lang w:val="en-US"/>
        </w:rPr>
        <w:instrText xml:space="preserve"> SEQ Figure \* ARABIC </w:instrText>
      </w:r>
      <w:r w:rsidR="00053F6D" w:rsidRPr="00E609E7">
        <w:rPr>
          <w:rFonts w:ascii="Arial" w:hAnsi="Arial" w:cs="Arial"/>
          <w:lang w:val="en-US"/>
        </w:rPr>
        <w:fldChar w:fldCharType="separate"/>
      </w:r>
      <w:r w:rsidR="00F729C5">
        <w:rPr>
          <w:rFonts w:ascii="Arial" w:hAnsi="Arial" w:cs="Arial"/>
          <w:noProof/>
          <w:lang w:val="en-US"/>
        </w:rPr>
        <w:t>8</w:t>
      </w:r>
      <w:r w:rsidR="00053F6D" w:rsidRPr="00E609E7">
        <w:rPr>
          <w:rFonts w:ascii="Arial" w:hAnsi="Arial" w:cs="Arial"/>
          <w:lang w:val="en-US"/>
        </w:rPr>
        <w:fldChar w:fldCharType="end"/>
      </w:r>
      <w:bookmarkEnd w:id="8"/>
      <w:r w:rsidRPr="00E609E7">
        <w:rPr>
          <w:rFonts w:ascii="Arial" w:hAnsi="Arial"/>
          <w:lang w:val="en-US"/>
        </w:rPr>
        <w:t xml:space="preserve"> Difference in differences by marital status, age group 30-44, formal employment</w:t>
      </w:r>
    </w:p>
    <w:p w:rsidR="001175DB" w:rsidRPr="00E609E7" w:rsidRDefault="00F80C89" w:rsidP="001175DB">
      <w:pPr>
        <w:rPr>
          <w:rFonts w:ascii="Arial" w:hAnsi="Arial" w:cs="Arial"/>
          <w:sz w:val="20"/>
          <w:szCs w:val="20"/>
          <w:lang w:val="en-US"/>
        </w:rPr>
      </w:pPr>
      <w:r w:rsidRPr="00F80C89">
        <w:rPr>
          <w:rFonts w:ascii="Arial" w:hAnsi="Arial" w:cs="Arial"/>
          <w:noProof/>
          <w:sz w:val="20"/>
          <w:szCs w:val="20"/>
          <w:lang w:val="en-US" w:eastAsia="en-US" w:bidi="ar-SA"/>
        </w:rPr>
        <w:drawing>
          <wp:inline distT="0" distB="0" distL="0" distR="0">
            <wp:extent cx="5760720" cy="2367738"/>
            <wp:effectExtent l="0" t="0" r="0" b="0"/>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729C5" w:rsidRPr="00924A87" w:rsidRDefault="00053F6D" w:rsidP="001175DB">
      <w:pPr>
        <w:pStyle w:val="Caption"/>
        <w:keepNext/>
        <w:rPr>
          <w:rFonts w:ascii="Arial" w:hAnsi="Arial" w:cs="Arial"/>
          <w:lang w:val="en-US"/>
        </w:rPr>
      </w:pPr>
      <w:r w:rsidRPr="00924A87">
        <w:rPr>
          <w:rFonts w:ascii="Arial" w:hAnsi="Arial" w:cs="Arial"/>
          <w:lang w:val="en-US"/>
        </w:rPr>
        <w:fldChar w:fldCharType="begin"/>
      </w:r>
      <w:r w:rsidR="001175DB" w:rsidRPr="00924A87">
        <w:rPr>
          <w:rFonts w:ascii="Arial" w:hAnsi="Arial" w:cs="Arial"/>
          <w:lang w:val="en-US"/>
        </w:rPr>
        <w:instrText xml:space="preserve"> REF _Ref360538466 \h  \* MERGEFORMAT </w:instrText>
      </w:r>
      <w:r w:rsidRPr="00924A87">
        <w:rPr>
          <w:rFonts w:ascii="Arial" w:hAnsi="Arial" w:cs="Arial"/>
          <w:lang w:val="en-US"/>
        </w:rPr>
      </w:r>
      <w:r w:rsidRPr="00924A87">
        <w:rPr>
          <w:rFonts w:ascii="Arial" w:hAnsi="Arial" w:cs="Arial"/>
          <w:lang w:val="en-US"/>
        </w:rPr>
        <w:fldChar w:fldCharType="separate"/>
      </w:r>
    </w:p>
    <w:p w:rsidR="001175DB" w:rsidRPr="00E609E7" w:rsidRDefault="00F729C5" w:rsidP="00924A87">
      <w:pPr>
        <w:rPr>
          <w:rFonts w:ascii="Arial" w:hAnsi="Arial" w:cs="Arial"/>
          <w:sz w:val="20"/>
          <w:szCs w:val="20"/>
          <w:lang w:val="en-US"/>
        </w:rPr>
      </w:pPr>
      <w:r w:rsidRPr="00924A87">
        <w:rPr>
          <w:rFonts w:ascii="Arial" w:hAnsi="Arial"/>
          <w:sz w:val="20"/>
          <w:szCs w:val="20"/>
          <w:lang w:val="en-US"/>
        </w:rPr>
        <w:t xml:space="preserve">Figure </w:t>
      </w:r>
      <w:r w:rsidRPr="00924A87">
        <w:rPr>
          <w:rFonts w:ascii="Arial" w:hAnsi="Arial" w:cs="Arial"/>
          <w:noProof/>
          <w:sz w:val="20"/>
          <w:szCs w:val="20"/>
          <w:lang w:val="en-US"/>
        </w:rPr>
        <w:t>9</w:t>
      </w:r>
      <w:r w:rsidR="00053F6D" w:rsidRPr="00924A87">
        <w:rPr>
          <w:rFonts w:ascii="Arial" w:hAnsi="Arial" w:cs="Arial"/>
          <w:sz w:val="20"/>
          <w:szCs w:val="20"/>
          <w:lang w:val="en-US"/>
        </w:rPr>
        <w:fldChar w:fldCharType="end"/>
      </w:r>
      <w:r w:rsidR="00B96158" w:rsidRPr="00D76E27">
        <w:rPr>
          <w:rFonts w:ascii="Arial" w:hAnsi="Arial" w:cs="Arial"/>
          <w:sz w:val="20"/>
          <w:szCs w:val="20"/>
          <w:lang w:val="en-US"/>
        </w:rPr>
        <w:t xml:space="preserve"> shows</w:t>
      </w:r>
      <w:r w:rsidR="00B96158" w:rsidRPr="00E609E7">
        <w:rPr>
          <w:rFonts w:ascii="Arial" w:hAnsi="Arial"/>
          <w:sz w:val="20"/>
          <w:lang w:val="en-US"/>
        </w:rPr>
        <w:t xml:space="preserve"> difference in differences by marital status for formal employment. What is remarkable here is that whether married or not, no significant movements are observed in the informal employment of women compared to men. Both series are horizontal. Although there is some improvement in the informal employment of married women after June 2011, it is difficult</w:t>
      </w:r>
      <w:r w:rsidR="00A06E3B" w:rsidRPr="00E609E7">
        <w:rPr>
          <w:rFonts w:ascii="Arial" w:hAnsi="Arial"/>
          <w:sz w:val="20"/>
          <w:lang w:val="en-US"/>
        </w:rPr>
        <w:t xml:space="preserve"> to associate this improvement with</w:t>
      </w:r>
      <w:r w:rsidR="00B96158" w:rsidRPr="00E609E7">
        <w:rPr>
          <w:rFonts w:ascii="Arial" w:hAnsi="Arial"/>
          <w:sz w:val="20"/>
          <w:lang w:val="en-US"/>
        </w:rPr>
        <w:t xml:space="preserve"> </w:t>
      </w:r>
      <w:r w:rsidR="00670399">
        <w:rPr>
          <w:rFonts w:ascii="Arial" w:hAnsi="Arial"/>
          <w:sz w:val="20"/>
          <w:lang w:val="en-US"/>
        </w:rPr>
        <w:t>social security</w:t>
      </w:r>
      <w:r w:rsidR="00B83920">
        <w:rPr>
          <w:rFonts w:ascii="Arial" w:hAnsi="Arial"/>
          <w:sz w:val="20"/>
          <w:lang w:val="en-US"/>
        </w:rPr>
        <w:t xml:space="preserve"> </w:t>
      </w:r>
      <w:r w:rsidR="00B96158" w:rsidRPr="00E609E7">
        <w:rPr>
          <w:rFonts w:ascii="Arial" w:hAnsi="Arial"/>
          <w:sz w:val="20"/>
          <w:lang w:val="en-US"/>
        </w:rPr>
        <w:t xml:space="preserve">premium incentives. </w:t>
      </w:r>
    </w:p>
    <w:p w:rsidR="00785C2E" w:rsidRPr="00E609E7" w:rsidRDefault="00785C2E" w:rsidP="001175DB">
      <w:pPr>
        <w:pStyle w:val="Caption"/>
        <w:keepNext/>
        <w:rPr>
          <w:rFonts w:ascii="Arial" w:hAnsi="Arial" w:cs="Arial"/>
          <w:lang w:val="en-US"/>
        </w:rPr>
      </w:pPr>
      <w:bookmarkStart w:id="9" w:name="_Ref360538466"/>
    </w:p>
    <w:p w:rsidR="001175DB" w:rsidRPr="00E609E7" w:rsidRDefault="001175DB" w:rsidP="001175DB">
      <w:pPr>
        <w:pStyle w:val="Caption"/>
        <w:keepNext/>
        <w:rPr>
          <w:rFonts w:ascii="Arial" w:hAnsi="Arial" w:cs="Arial"/>
          <w:lang w:val="en-US"/>
        </w:rPr>
      </w:pPr>
      <w:r w:rsidRPr="00E609E7">
        <w:rPr>
          <w:rFonts w:ascii="Arial" w:hAnsi="Arial"/>
          <w:lang w:val="en-US"/>
        </w:rPr>
        <w:t xml:space="preserve">Figure </w:t>
      </w:r>
      <w:r w:rsidR="00053F6D" w:rsidRPr="00E609E7">
        <w:rPr>
          <w:rFonts w:ascii="Arial" w:hAnsi="Arial" w:cs="Arial"/>
          <w:lang w:val="en-US"/>
        </w:rPr>
        <w:fldChar w:fldCharType="begin"/>
      </w:r>
      <w:r w:rsidRPr="00E609E7">
        <w:rPr>
          <w:rFonts w:ascii="Arial" w:hAnsi="Arial" w:cs="Arial"/>
          <w:lang w:val="en-US"/>
        </w:rPr>
        <w:instrText xml:space="preserve"> SEQ Figure \* ARABIC </w:instrText>
      </w:r>
      <w:r w:rsidR="00053F6D" w:rsidRPr="00E609E7">
        <w:rPr>
          <w:rFonts w:ascii="Arial" w:hAnsi="Arial" w:cs="Arial"/>
          <w:lang w:val="en-US"/>
        </w:rPr>
        <w:fldChar w:fldCharType="separate"/>
      </w:r>
      <w:r w:rsidR="00F729C5">
        <w:rPr>
          <w:rFonts w:ascii="Arial" w:hAnsi="Arial" w:cs="Arial"/>
          <w:noProof/>
          <w:lang w:val="en-US"/>
        </w:rPr>
        <w:t>9</w:t>
      </w:r>
      <w:r w:rsidR="00053F6D" w:rsidRPr="00E609E7">
        <w:rPr>
          <w:rFonts w:ascii="Arial" w:hAnsi="Arial" w:cs="Arial"/>
          <w:lang w:val="en-US"/>
        </w:rPr>
        <w:fldChar w:fldCharType="end"/>
      </w:r>
      <w:bookmarkEnd w:id="9"/>
      <w:r w:rsidRPr="00E609E7">
        <w:rPr>
          <w:rFonts w:ascii="Arial" w:hAnsi="Arial"/>
          <w:lang w:val="en-US"/>
        </w:rPr>
        <w:t xml:space="preserve"> Difference in differences by marital status, age group 30-44, informal employment</w:t>
      </w:r>
    </w:p>
    <w:p w:rsidR="001175DB" w:rsidRPr="00E609E7" w:rsidRDefault="00156F22" w:rsidP="001175DB">
      <w:pPr>
        <w:rPr>
          <w:rFonts w:ascii="Arial" w:hAnsi="Arial" w:cs="Arial"/>
          <w:sz w:val="20"/>
          <w:szCs w:val="20"/>
          <w:lang w:val="en-US"/>
        </w:rPr>
      </w:pPr>
      <w:r w:rsidRPr="00156F22">
        <w:rPr>
          <w:rFonts w:ascii="Arial" w:hAnsi="Arial" w:cs="Arial"/>
          <w:noProof/>
          <w:sz w:val="20"/>
          <w:szCs w:val="20"/>
          <w:lang w:val="en-US" w:eastAsia="en-US" w:bidi="ar-SA"/>
        </w:rPr>
        <w:drawing>
          <wp:inline distT="0" distB="0" distL="0" distR="0">
            <wp:extent cx="5667376" cy="2371725"/>
            <wp:effectExtent l="0" t="0" r="0" b="0"/>
            <wp:docPr id="1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175DB" w:rsidRPr="00E609E7" w:rsidRDefault="001175DB" w:rsidP="00646444">
      <w:pPr>
        <w:pStyle w:val="Heading2"/>
        <w:tabs>
          <w:tab w:val="clear" w:pos="576"/>
          <w:tab w:val="num" w:pos="0"/>
        </w:tabs>
        <w:spacing w:after="200"/>
        <w:rPr>
          <w:i w:val="0"/>
          <w:sz w:val="20"/>
          <w:szCs w:val="20"/>
          <w:lang w:val="en-US"/>
        </w:rPr>
      </w:pPr>
      <w:r w:rsidRPr="00E609E7">
        <w:rPr>
          <w:i w:val="0"/>
          <w:sz w:val="20"/>
          <w:lang w:val="en-US"/>
        </w:rPr>
        <w:t xml:space="preserve">Conclusion </w:t>
      </w:r>
    </w:p>
    <w:p w:rsidR="00646444" w:rsidRPr="00E609E7" w:rsidRDefault="001175DB" w:rsidP="001175DB">
      <w:pPr>
        <w:rPr>
          <w:rFonts w:ascii="Arial" w:hAnsi="Arial" w:cs="Arial"/>
          <w:sz w:val="20"/>
          <w:szCs w:val="20"/>
          <w:lang w:val="en-US"/>
        </w:rPr>
      </w:pPr>
      <w:r w:rsidRPr="00E609E7">
        <w:rPr>
          <w:rFonts w:ascii="Arial" w:hAnsi="Arial"/>
          <w:sz w:val="20"/>
          <w:lang w:val="en-US"/>
        </w:rPr>
        <w:t xml:space="preserve">In order to encourage employment of women and </w:t>
      </w:r>
      <w:r w:rsidR="00B83EAA">
        <w:rPr>
          <w:rFonts w:ascii="Arial" w:hAnsi="Arial"/>
          <w:sz w:val="20"/>
          <w:lang w:val="en-US"/>
        </w:rPr>
        <w:t>youth</w:t>
      </w:r>
      <w:r w:rsidRPr="00E609E7">
        <w:rPr>
          <w:rFonts w:ascii="Arial" w:hAnsi="Arial"/>
          <w:sz w:val="20"/>
          <w:lang w:val="en-US"/>
        </w:rPr>
        <w:t xml:space="preserve"> in the Turkish </w:t>
      </w:r>
      <w:r w:rsidR="00F4480B">
        <w:rPr>
          <w:rFonts w:ascii="Arial" w:hAnsi="Arial"/>
          <w:sz w:val="20"/>
          <w:lang w:val="en-US"/>
        </w:rPr>
        <w:t>labor</w:t>
      </w:r>
      <w:r w:rsidRPr="00E609E7">
        <w:rPr>
          <w:rFonts w:ascii="Arial" w:hAnsi="Arial"/>
          <w:sz w:val="20"/>
          <w:lang w:val="en-US"/>
        </w:rPr>
        <w:t xml:space="preserve"> market, </w:t>
      </w:r>
      <w:r w:rsidR="00EC43D1">
        <w:rPr>
          <w:rFonts w:ascii="Arial" w:hAnsi="Arial"/>
          <w:sz w:val="20"/>
          <w:lang w:val="en-US"/>
        </w:rPr>
        <w:t xml:space="preserve">tax incentives </w:t>
      </w:r>
      <w:r w:rsidRPr="00E609E7">
        <w:rPr>
          <w:rFonts w:ascii="Arial" w:hAnsi="Arial"/>
          <w:sz w:val="20"/>
          <w:lang w:val="en-US"/>
        </w:rPr>
        <w:t xml:space="preserve">were </w:t>
      </w:r>
      <w:r w:rsidR="00F95D1E">
        <w:rPr>
          <w:rFonts w:ascii="Arial" w:hAnsi="Arial"/>
          <w:sz w:val="20"/>
          <w:lang w:val="en-US"/>
        </w:rPr>
        <w:t>implemented. According to these regulations,</w:t>
      </w:r>
      <w:r w:rsidRPr="00E609E7">
        <w:rPr>
          <w:rFonts w:ascii="Arial" w:hAnsi="Arial"/>
          <w:sz w:val="20"/>
          <w:lang w:val="en-US"/>
        </w:rPr>
        <w:t xml:space="preserve"> employer contribution shares of </w:t>
      </w:r>
      <w:r w:rsidR="00670399">
        <w:rPr>
          <w:rFonts w:ascii="Arial" w:hAnsi="Arial"/>
          <w:sz w:val="20"/>
          <w:lang w:val="en-US"/>
        </w:rPr>
        <w:t>social security</w:t>
      </w:r>
      <w:r w:rsidRPr="00E609E7">
        <w:rPr>
          <w:rFonts w:ascii="Arial" w:hAnsi="Arial"/>
          <w:sz w:val="20"/>
          <w:lang w:val="en-US"/>
        </w:rPr>
        <w:t xml:space="preserve"> premiums </w:t>
      </w:r>
      <w:r w:rsidR="00F95D1E">
        <w:rPr>
          <w:rFonts w:ascii="Arial" w:hAnsi="Arial"/>
          <w:sz w:val="20"/>
          <w:lang w:val="en-US"/>
        </w:rPr>
        <w:t xml:space="preserve">are to be paid by </w:t>
      </w:r>
      <w:r w:rsidRPr="00E609E7">
        <w:rPr>
          <w:rFonts w:ascii="Arial" w:hAnsi="Arial"/>
          <w:sz w:val="20"/>
          <w:lang w:val="en-US"/>
        </w:rPr>
        <w:t xml:space="preserve">the Unemployment Insurance Fund. The effects of these incentives on the employment of women in the 30-44 age </w:t>
      </w:r>
      <w:proofErr w:type="gramStart"/>
      <w:r w:rsidRPr="00E609E7">
        <w:rPr>
          <w:rFonts w:ascii="Arial" w:hAnsi="Arial"/>
          <w:sz w:val="20"/>
          <w:lang w:val="en-US"/>
        </w:rPr>
        <w:t>group</w:t>
      </w:r>
      <w:proofErr w:type="gramEnd"/>
      <w:r w:rsidRPr="00E609E7">
        <w:rPr>
          <w:rFonts w:ascii="Arial" w:hAnsi="Arial"/>
          <w:sz w:val="20"/>
          <w:lang w:val="en-US"/>
        </w:rPr>
        <w:t xml:space="preserve"> were studied on multiple axes. Research results show that the incentives were effective on formal employment, as expected. </w:t>
      </w:r>
    </w:p>
    <w:p w:rsidR="00646444" w:rsidRPr="00E609E7" w:rsidRDefault="00646444" w:rsidP="001175DB">
      <w:pPr>
        <w:rPr>
          <w:rFonts w:ascii="Arial" w:hAnsi="Arial" w:cs="Arial"/>
          <w:sz w:val="20"/>
          <w:szCs w:val="20"/>
          <w:lang w:val="en-US"/>
        </w:rPr>
      </w:pPr>
    </w:p>
    <w:p w:rsidR="001175DB" w:rsidRPr="00E609E7" w:rsidRDefault="001175DB" w:rsidP="001175DB">
      <w:pPr>
        <w:rPr>
          <w:rFonts w:ascii="Arial" w:hAnsi="Arial" w:cs="Arial"/>
          <w:sz w:val="20"/>
          <w:szCs w:val="20"/>
          <w:lang w:val="en-US"/>
        </w:rPr>
      </w:pPr>
      <w:r w:rsidRPr="00E609E7">
        <w:rPr>
          <w:rFonts w:ascii="Arial" w:hAnsi="Arial"/>
          <w:sz w:val="20"/>
          <w:lang w:val="en-US"/>
        </w:rPr>
        <w:t xml:space="preserve">The incentives were used mostly by relatively large businesses, especially in the industrial sector, in the employment of women in jobs requiring </w:t>
      </w:r>
      <w:r w:rsidR="00877EE8">
        <w:rPr>
          <w:rFonts w:ascii="Arial" w:hAnsi="Arial"/>
          <w:sz w:val="20"/>
          <w:lang w:val="en-US"/>
        </w:rPr>
        <w:t>skilled manual labor</w:t>
      </w:r>
      <w:r w:rsidRPr="00E609E7">
        <w:rPr>
          <w:rFonts w:ascii="Arial" w:hAnsi="Arial"/>
          <w:sz w:val="20"/>
          <w:lang w:val="en-US"/>
        </w:rPr>
        <w:t xml:space="preserve">.  In parallel, it is seen that the employment levels of women with education levels lower than high school relatively increased. Another interesting finding is that, with the involvement of the added worker effect in tandem with the global economic crisis, a relative improvement was observed in the formal employment of married women.  No evident effects of the incentives can be seen on the employment of unmarried women and on informal employment. </w:t>
      </w:r>
    </w:p>
    <w:p w:rsidR="00646444" w:rsidRPr="00E609E7" w:rsidRDefault="00646444" w:rsidP="001175DB">
      <w:pPr>
        <w:rPr>
          <w:rFonts w:ascii="Arial" w:hAnsi="Arial" w:cs="Arial"/>
          <w:sz w:val="20"/>
          <w:szCs w:val="20"/>
          <w:lang w:val="en-US"/>
        </w:rPr>
      </w:pPr>
    </w:p>
    <w:p w:rsidR="009C0008" w:rsidRPr="00E609E7" w:rsidRDefault="001175DB" w:rsidP="00785C2E">
      <w:pPr>
        <w:rPr>
          <w:lang w:val="en-US"/>
        </w:rPr>
      </w:pPr>
      <w:r w:rsidRPr="00E609E7">
        <w:rPr>
          <w:rFonts w:ascii="Arial" w:hAnsi="Arial"/>
          <w:sz w:val="20"/>
          <w:lang w:val="en-US"/>
        </w:rPr>
        <w:lastRenderedPageBreak/>
        <w:t xml:space="preserve">As a conclusion, it is clear that the shouldering of the employer shares of </w:t>
      </w:r>
      <w:r w:rsidR="00670399">
        <w:rPr>
          <w:rFonts w:ascii="Arial" w:hAnsi="Arial"/>
          <w:sz w:val="20"/>
          <w:lang w:val="en-US"/>
        </w:rPr>
        <w:t>social security</w:t>
      </w:r>
      <w:r w:rsidRPr="00E609E7">
        <w:rPr>
          <w:rFonts w:ascii="Arial" w:hAnsi="Arial"/>
          <w:sz w:val="20"/>
          <w:lang w:val="en-US"/>
        </w:rPr>
        <w:t xml:space="preserve"> premiums by the State had positive effects on women's employment. However, the expansion of similar incentives to all newly employed people regardless of age or gender almost cancelled out the positive effects of the incentives on the employment of women and </w:t>
      </w:r>
      <w:r w:rsidR="00B83EAA">
        <w:rPr>
          <w:rFonts w:ascii="Arial" w:hAnsi="Arial"/>
          <w:sz w:val="20"/>
          <w:lang w:val="en-US"/>
        </w:rPr>
        <w:t>youth</w:t>
      </w:r>
      <w:r w:rsidRPr="00E609E7">
        <w:rPr>
          <w:rFonts w:ascii="Arial" w:hAnsi="Arial"/>
          <w:sz w:val="20"/>
          <w:lang w:val="en-US"/>
        </w:rPr>
        <w:t xml:space="preserve">. Policy-makers should take into account all possible </w:t>
      </w:r>
      <w:r w:rsidR="00A06E3B" w:rsidRPr="00E609E7">
        <w:rPr>
          <w:rFonts w:ascii="Arial" w:hAnsi="Arial"/>
          <w:sz w:val="20"/>
          <w:lang w:val="en-US"/>
        </w:rPr>
        <w:t>interactions</w:t>
      </w:r>
      <w:r w:rsidRPr="00E609E7">
        <w:rPr>
          <w:rFonts w:ascii="Arial" w:hAnsi="Arial"/>
          <w:sz w:val="20"/>
          <w:lang w:val="en-US"/>
        </w:rPr>
        <w:t xml:space="preserve"> between incentives when designing laws and regulations. </w:t>
      </w:r>
    </w:p>
    <w:sectPr w:rsidR="009C0008" w:rsidRPr="00E609E7" w:rsidSect="001175DB">
      <w:footerReference w:type="default" r:id="rId18"/>
      <w:footnotePr>
        <w:numStart w:val="3"/>
        <w:numRestart w:val="eachSect"/>
      </w:footnotePr>
      <w:pgSz w:w="11906" w:h="16838"/>
      <w:pgMar w:top="141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F80" w:rsidRDefault="00EE1F80">
      <w:r>
        <w:separator/>
      </w:r>
    </w:p>
  </w:endnote>
  <w:endnote w:type="continuationSeparator" w:id="0">
    <w:p w:rsidR="00EE1F80" w:rsidRDefault="00EE1F8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A2"/>
    <w:family w:val="swiss"/>
    <w:pitch w:val="variable"/>
    <w:sig w:usb0="61002A87" w:usb1="80000000" w:usb2="00000008" w:usb3="00000000" w:csb0="000101FF" w:csb1="00000000"/>
  </w:font>
  <w:font w:name="Calibri">
    <w:panose1 w:val="020F0502020204030204"/>
    <w:charset w:val="A2"/>
    <w:family w:val="swiss"/>
    <w:pitch w:val="variable"/>
    <w:sig w:usb0="A00002EF" w:usb1="4000207B" w:usb2="00000000" w:usb3="00000000" w:csb0="0000009F" w:csb1="00000000"/>
  </w:font>
  <w:font w:name="Courier New">
    <w:panose1 w:val="02070309020205020404"/>
    <w:charset w:val="A2"/>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D6B" w:rsidRPr="00EA46E1" w:rsidRDefault="00053F6D" w:rsidP="00B079FB">
    <w:pPr>
      <w:pStyle w:val="Footer"/>
      <w:framePr w:wrap="auto" w:vAnchor="text" w:hAnchor="margin" w:xAlign="right" w:y="1"/>
      <w:rPr>
        <w:rStyle w:val="PageNumber"/>
        <w:rFonts w:ascii="Calibri" w:hAnsi="Calibri" w:cs="Calibri"/>
        <w:sz w:val="22"/>
        <w:szCs w:val="22"/>
      </w:rPr>
    </w:pPr>
    <w:r w:rsidRPr="00EA46E1">
      <w:rPr>
        <w:rStyle w:val="PageNumber"/>
        <w:rFonts w:ascii="Calibri" w:hAnsi="Calibri" w:cs="Calibri"/>
        <w:sz w:val="22"/>
        <w:szCs w:val="22"/>
      </w:rPr>
      <w:fldChar w:fldCharType="begin"/>
    </w:r>
    <w:r w:rsidR="00D66D6B" w:rsidRPr="00EA46E1">
      <w:rPr>
        <w:rStyle w:val="PageNumber"/>
        <w:rFonts w:ascii="Calibri" w:hAnsi="Calibri" w:cs="Calibri"/>
        <w:sz w:val="22"/>
        <w:szCs w:val="22"/>
      </w:rPr>
      <w:instrText xml:space="preserve">PAGE  </w:instrText>
    </w:r>
    <w:r w:rsidRPr="00EA46E1">
      <w:rPr>
        <w:rStyle w:val="PageNumber"/>
        <w:rFonts w:ascii="Calibri" w:hAnsi="Calibri" w:cs="Calibri"/>
        <w:sz w:val="22"/>
        <w:szCs w:val="22"/>
      </w:rPr>
      <w:fldChar w:fldCharType="separate"/>
    </w:r>
    <w:r w:rsidR="004F6C12">
      <w:rPr>
        <w:rStyle w:val="PageNumber"/>
        <w:rFonts w:ascii="Calibri" w:hAnsi="Calibri" w:cs="Calibri"/>
        <w:noProof/>
        <w:sz w:val="22"/>
        <w:szCs w:val="22"/>
      </w:rPr>
      <w:t>4</w:t>
    </w:r>
    <w:r w:rsidRPr="00EA46E1">
      <w:rPr>
        <w:rStyle w:val="PageNumber"/>
        <w:rFonts w:ascii="Calibri" w:hAnsi="Calibri" w:cs="Calibri"/>
        <w:sz w:val="22"/>
        <w:szCs w:val="22"/>
      </w:rPr>
      <w:fldChar w:fldCharType="end"/>
    </w:r>
  </w:p>
  <w:p w:rsidR="00D66D6B" w:rsidRDefault="00D66D6B" w:rsidP="00AF0B76">
    <w:pPr>
      <w:pStyle w:val="Footer"/>
      <w:ind w:right="360"/>
      <w:jc w:val="center"/>
      <w:rPr>
        <w:rFonts w:ascii="Arial" w:hAnsi="Arial" w:cs="Arial"/>
        <w:b/>
        <w:bCs/>
        <w:i/>
        <w:iCs/>
        <w:sz w:val="20"/>
        <w:szCs w:val="20"/>
      </w:rPr>
    </w:pPr>
    <w:r>
      <w:rPr>
        <w:rFonts w:ascii="Arial" w:hAnsi="Arial"/>
        <w:b/>
        <w:i/>
        <w:sz w:val="20"/>
      </w:rPr>
      <w:t>betam.bahcesehir.edu.tr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F80" w:rsidRDefault="00EE1F80">
      <w:r>
        <w:separator/>
      </w:r>
    </w:p>
  </w:footnote>
  <w:footnote w:type="continuationSeparator" w:id="0">
    <w:p w:rsidR="00EE1F80" w:rsidRDefault="00EE1F80">
      <w:r>
        <w:continuationSeparator/>
      </w:r>
    </w:p>
  </w:footnote>
  <w:footnote w:id="1">
    <w:p w:rsidR="001175DB" w:rsidRPr="00C60522" w:rsidRDefault="001175DB" w:rsidP="001175DB">
      <w:pPr>
        <w:pStyle w:val="FootnoteText"/>
        <w:rPr>
          <w:rFonts w:ascii="Arial" w:hAnsi="Arial" w:cs="Arial"/>
          <w:sz w:val="16"/>
          <w:szCs w:val="16"/>
        </w:rPr>
      </w:pPr>
      <w:r w:rsidRPr="00C60522">
        <w:rPr>
          <w:rStyle w:val="FootnoteReference"/>
          <w:rFonts w:ascii="Arial" w:hAnsi="Arial" w:cs="Arial"/>
          <w:sz w:val="16"/>
          <w:szCs w:val="16"/>
        </w:rPr>
        <w:sym w:font="Symbol" w:char="F02A"/>
      </w:r>
      <w:r>
        <w:rPr>
          <w:rFonts w:ascii="Arial" w:hAnsi="Arial"/>
          <w:sz w:val="16"/>
        </w:rPr>
        <w:t xml:space="preserve"> Asst. Prof. Dr. Gökçe Uysal, </w:t>
      </w:r>
      <w:proofErr w:type="spellStart"/>
      <w:r>
        <w:rPr>
          <w:rFonts w:ascii="Arial" w:hAnsi="Arial"/>
          <w:sz w:val="16"/>
        </w:rPr>
        <w:t>Betam</w:t>
      </w:r>
      <w:proofErr w:type="spellEnd"/>
      <w:r>
        <w:rPr>
          <w:rFonts w:ascii="Arial" w:hAnsi="Arial"/>
          <w:sz w:val="16"/>
        </w:rPr>
        <w:t xml:space="preserve">, Assistant Director, </w:t>
      </w:r>
      <w:hyperlink r:id="rId1">
        <w:r>
          <w:rPr>
            <w:rStyle w:val="Hyperlink"/>
            <w:rFonts w:ascii="Arial" w:hAnsi="Arial"/>
            <w:sz w:val="16"/>
          </w:rPr>
          <w:t>gokce.uysal@bahcesehir.edu.tr</w:t>
        </w:r>
      </w:hyperlink>
      <w:r>
        <w:rPr>
          <w:rFonts w:ascii="Arial" w:hAnsi="Arial"/>
          <w:sz w:val="16"/>
        </w:rPr>
        <w:t xml:space="preserve"> </w:t>
      </w:r>
    </w:p>
  </w:footnote>
  <w:footnote w:id="2">
    <w:p w:rsidR="00F961C4" w:rsidRPr="007577EB" w:rsidRDefault="00F961C4" w:rsidP="00F961C4">
      <w:pPr>
        <w:pStyle w:val="FootnoteText"/>
      </w:pPr>
      <w:r>
        <w:rPr>
          <w:rStyle w:val="FootnoteReference"/>
          <w:rFonts w:ascii="Arial" w:hAnsi="Arial"/>
          <w:sz w:val="16"/>
        </w:rPr>
        <w:footnoteRef/>
      </w:r>
      <w:r>
        <w:rPr>
          <w:rFonts w:ascii="Arial" w:hAnsi="Arial"/>
          <w:sz w:val="16"/>
        </w:rPr>
        <w:t xml:space="preserve"> I would like to thank Murat </w:t>
      </w:r>
      <w:proofErr w:type="spellStart"/>
      <w:r>
        <w:rPr>
          <w:rFonts w:ascii="Arial" w:hAnsi="Arial"/>
          <w:sz w:val="16"/>
        </w:rPr>
        <w:t>Karakaş</w:t>
      </w:r>
      <w:proofErr w:type="spellEnd"/>
      <w:r>
        <w:rPr>
          <w:rFonts w:ascii="Arial" w:hAnsi="Arial"/>
          <w:sz w:val="16"/>
        </w:rPr>
        <w:t xml:space="preserve"> and </w:t>
      </w:r>
      <w:proofErr w:type="spellStart"/>
      <w:r>
        <w:rPr>
          <w:rFonts w:ascii="Arial" w:hAnsi="Arial"/>
          <w:sz w:val="16"/>
        </w:rPr>
        <w:t>TurkStat</w:t>
      </w:r>
      <w:proofErr w:type="spellEnd"/>
      <w:r>
        <w:rPr>
          <w:rFonts w:ascii="Arial" w:hAnsi="Arial"/>
          <w:sz w:val="16"/>
        </w:rPr>
        <w:t xml:space="preserve"> for their help in providing data.</w:t>
      </w:r>
      <w:r>
        <w:t xml:space="preserve"> </w:t>
      </w:r>
    </w:p>
  </w:footnote>
  <w:footnote w:id="3">
    <w:p w:rsidR="001175DB" w:rsidRPr="00D70F7B" w:rsidRDefault="001175DB" w:rsidP="001175DB">
      <w:pPr>
        <w:pStyle w:val="FootnoteText"/>
        <w:rPr>
          <w:rFonts w:ascii="Arial" w:hAnsi="Arial" w:cs="Arial"/>
          <w:sz w:val="16"/>
          <w:szCs w:val="16"/>
        </w:rPr>
      </w:pPr>
      <w:r>
        <w:rPr>
          <w:rStyle w:val="FootnoteReference"/>
          <w:rFonts w:ascii="Arial" w:hAnsi="Arial"/>
          <w:sz w:val="16"/>
        </w:rPr>
        <w:footnoteRef/>
      </w:r>
      <w:r>
        <w:rPr>
          <w:rFonts w:ascii="Arial" w:hAnsi="Arial"/>
          <w:sz w:val="16"/>
        </w:rPr>
        <w:t xml:space="preserve"> The employer contribution shares of </w:t>
      </w:r>
      <w:r w:rsidR="00670399">
        <w:rPr>
          <w:rFonts w:ascii="Arial" w:hAnsi="Arial"/>
          <w:sz w:val="16"/>
        </w:rPr>
        <w:t>social security</w:t>
      </w:r>
      <w:r>
        <w:rPr>
          <w:rFonts w:ascii="Arial" w:hAnsi="Arial"/>
          <w:sz w:val="16"/>
        </w:rPr>
        <w:t xml:space="preserve"> premiums are paid by the State for six months. </w:t>
      </w:r>
    </w:p>
  </w:footnote>
  <w:footnote w:id="4">
    <w:p w:rsidR="0012201E" w:rsidRPr="00646444" w:rsidRDefault="0012201E" w:rsidP="0012201E">
      <w:pPr>
        <w:pStyle w:val="FootnoteText"/>
        <w:rPr>
          <w:rFonts w:ascii="Arial" w:hAnsi="Arial" w:cs="Arial"/>
          <w:sz w:val="16"/>
          <w:szCs w:val="16"/>
        </w:rPr>
      </w:pPr>
      <w:r>
        <w:rPr>
          <w:rStyle w:val="FootnoteReference"/>
          <w:rFonts w:ascii="Arial" w:hAnsi="Arial"/>
          <w:sz w:val="16"/>
        </w:rPr>
        <w:footnoteRef/>
      </w:r>
      <w:r>
        <w:rPr>
          <w:rFonts w:ascii="Arial" w:hAnsi="Arial"/>
          <w:sz w:val="16"/>
        </w:rPr>
        <w:t xml:space="preserve"> In accordance with Law no. 5084, only </w:t>
      </w:r>
      <w:proofErr w:type="spellStart"/>
      <w:r>
        <w:rPr>
          <w:rFonts w:ascii="Arial" w:hAnsi="Arial"/>
          <w:sz w:val="16"/>
        </w:rPr>
        <w:t>Adıyaman</w:t>
      </w:r>
      <w:proofErr w:type="spellEnd"/>
      <w:r>
        <w:rPr>
          <w:rFonts w:ascii="Arial" w:hAnsi="Arial"/>
          <w:sz w:val="16"/>
        </w:rPr>
        <w:t xml:space="preserve">, </w:t>
      </w:r>
      <w:proofErr w:type="spellStart"/>
      <w:r>
        <w:rPr>
          <w:rFonts w:ascii="Arial" w:hAnsi="Arial"/>
          <w:sz w:val="16"/>
        </w:rPr>
        <w:t>Afyon</w:t>
      </w:r>
      <w:proofErr w:type="spellEnd"/>
      <w:r>
        <w:rPr>
          <w:rFonts w:ascii="Arial" w:hAnsi="Arial"/>
          <w:sz w:val="16"/>
        </w:rPr>
        <w:t xml:space="preserve">, </w:t>
      </w:r>
      <w:proofErr w:type="spellStart"/>
      <w:r>
        <w:rPr>
          <w:rFonts w:ascii="Arial" w:hAnsi="Arial"/>
          <w:sz w:val="16"/>
        </w:rPr>
        <w:t>Ağrı</w:t>
      </w:r>
      <w:proofErr w:type="spellEnd"/>
      <w:r>
        <w:rPr>
          <w:rFonts w:ascii="Arial" w:hAnsi="Arial"/>
          <w:sz w:val="16"/>
        </w:rPr>
        <w:t xml:space="preserve">, </w:t>
      </w:r>
      <w:proofErr w:type="spellStart"/>
      <w:r>
        <w:rPr>
          <w:rFonts w:ascii="Arial" w:hAnsi="Arial"/>
          <w:sz w:val="16"/>
        </w:rPr>
        <w:t>Aksaray</w:t>
      </w:r>
      <w:proofErr w:type="spellEnd"/>
      <w:r>
        <w:rPr>
          <w:rFonts w:ascii="Arial" w:hAnsi="Arial"/>
          <w:sz w:val="16"/>
        </w:rPr>
        <w:t xml:space="preserve">, </w:t>
      </w:r>
      <w:proofErr w:type="spellStart"/>
      <w:r>
        <w:rPr>
          <w:rFonts w:ascii="Arial" w:hAnsi="Arial"/>
          <w:sz w:val="16"/>
        </w:rPr>
        <w:t>Amasya</w:t>
      </w:r>
      <w:proofErr w:type="spellEnd"/>
      <w:r>
        <w:rPr>
          <w:rFonts w:ascii="Arial" w:hAnsi="Arial"/>
          <w:sz w:val="16"/>
        </w:rPr>
        <w:t xml:space="preserve">, </w:t>
      </w:r>
      <w:proofErr w:type="spellStart"/>
      <w:r>
        <w:rPr>
          <w:rFonts w:ascii="Arial" w:hAnsi="Arial"/>
          <w:sz w:val="16"/>
        </w:rPr>
        <w:t>Ardahan</w:t>
      </w:r>
      <w:proofErr w:type="spellEnd"/>
      <w:r>
        <w:rPr>
          <w:rFonts w:ascii="Arial" w:hAnsi="Arial"/>
          <w:sz w:val="16"/>
        </w:rPr>
        <w:t xml:space="preserve">, Batman, </w:t>
      </w:r>
      <w:proofErr w:type="spellStart"/>
      <w:r>
        <w:rPr>
          <w:rFonts w:ascii="Arial" w:hAnsi="Arial"/>
          <w:sz w:val="16"/>
        </w:rPr>
        <w:t>Bartın</w:t>
      </w:r>
      <w:proofErr w:type="spellEnd"/>
      <w:r>
        <w:rPr>
          <w:rFonts w:ascii="Arial" w:hAnsi="Arial"/>
          <w:sz w:val="16"/>
        </w:rPr>
        <w:t xml:space="preserve">, </w:t>
      </w:r>
      <w:proofErr w:type="spellStart"/>
      <w:r>
        <w:rPr>
          <w:rFonts w:ascii="Arial" w:hAnsi="Arial"/>
          <w:sz w:val="16"/>
        </w:rPr>
        <w:t>Bayburt</w:t>
      </w:r>
      <w:proofErr w:type="spellEnd"/>
      <w:r>
        <w:rPr>
          <w:rFonts w:ascii="Arial" w:hAnsi="Arial"/>
          <w:sz w:val="16"/>
        </w:rPr>
        <w:t xml:space="preserve">, </w:t>
      </w:r>
      <w:proofErr w:type="spellStart"/>
      <w:r>
        <w:rPr>
          <w:rFonts w:ascii="Arial" w:hAnsi="Arial"/>
          <w:sz w:val="16"/>
        </w:rPr>
        <w:t>Bingöl</w:t>
      </w:r>
      <w:proofErr w:type="spellEnd"/>
      <w:r>
        <w:rPr>
          <w:rFonts w:ascii="Arial" w:hAnsi="Arial"/>
          <w:sz w:val="16"/>
        </w:rPr>
        <w:t xml:space="preserve">, </w:t>
      </w:r>
      <w:proofErr w:type="spellStart"/>
      <w:r>
        <w:rPr>
          <w:rFonts w:ascii="Arial" w:hAnsi="Arial"/>
          <w:sz w:val="16"/>
        </w:rPr>
        <w:t>Bitlis</w:t>
      </w:r>
      <w:proofErr w:type="spellEnd"/>
      <w:r>
        <w:rPr>
          <w:rFonts w:ascii="Arial" w:hAnsi="Arial"/>
          <w:sz w:val="16"/>
        </w:rPr>
        <w:t xml:space="preserve">, </w:t>
      </w:r>
      <w:proofErr w:type="spellStart"/>
      <w:r>
        <w:rPr>
          <w:rFonts w:ascii="Arial" w:hAnsi="Arial"/>
          <w:sz w:val="16"/>
        </w:rPr>
        <w:t>Çankırı</w:t>
      </w:r>
      <w:proofErr w:type="spellEnd"/>
      <w:r>
        <w:rPr>
          <w:rFonts w:ascii="Arial" w:hAnsi="Arial"/>
          <w:sz w:val="16"/>
        </w:rPr>
        <w:t xml:space="preserve">, </w:t>
      </w:r>
      <w:proofErr w:type="spellStart"/>
      <w:r>
        <w:rPr>
          <w:rFonts w:ascii="Arial" w:hAnsi="Arial"/>
          <w:sz w:val="16"/>
        </w:rPr>
        <w:t>Diyarbakır</w:t>
      </w:r>
      <w:proofErr w:type="spellEnd"/>
      <w:r>
        <w:rPr>
          <w:rFonts w:ascii="Arial" w:hAnsi="Arial"/>
          <w:sz w:val="16"/>
        </w:rPr>
        <w:t xml:space="preserve">, </w:t>
      </w:r>
      <w:proofErr w:type="spellStart"/>
      <w:r>
        <w:rPr>
          <w:rFonts w:ascii="Arial" w:hAnsi="Arial"/>
          <w:sz w:val="16"/>
        </w:rPr>
        <w:t>Düzce</w:t>
      </w:r>
      <w:proofErr w:type="spellEnd"/>
      <w:r>
        <w:rPr>
          <w:rFonts w:ascii="Arial" w:hAnsi="Arial"/>
          <w:sz w:val="16"/>
        </w:rPr>
        <w:t xml:space="preserve">, </w:t>
      </w:r>
      <w:proofErr w:type="spellStart"/>
      <w:r>
        <w:rPr>
          <w:rFonts w:ascii="Arial" w:hAnsi="Arial"/>
          <w:sz w:val="16"/>
        </w:rPr>
        <w:t>Erzincan</w:t>
      </w:r>
      <w:proofErr w:type="spellEnd"/>
      <w:r>
        <w:rPr>
          <w:rFonts w:ascii="Arial" w:hAnsi="Arial"/>
          <w:sz w:val="16"/>
        </w:rPr>
        <w:t xml:space="preserve">, Erzurum, </w:t>
      </w:r>
      <w:proofErr w:type="spellStart"/>
      <w:r>
        <w:rPr>
          <w:rFonts w:ascii="Arial" w:hAnsi="Arial"/>
          <w:sz w:val="16"/>
        </w:rPr>
        <w:t>Giresun</w:t>
      </w:r>
      <w:proofErr w:type="spellEnd"/>
      <w:r>
        <w:rPr>
          <w:rFonts w:ascii="Arial" w:hAnsi="Arial"/>
          <w:sz w:val="16"/>
        </w:rPr>
        <w:t xml:space="preserve">, </w:t>
      </w:r>
      <w:proofErr w:type="spellStart"/>
      <w:r>
        <w:rPr>
          <w:rFonts w:ascii="Arial" w:hAnsi="Arial"/>
          <w:sz w:val="16"/>
        </w:rPr>
        <w:t>Gümüşhane</w:t>
      </w:r>
      <w:proofErr w:type="spellEnd"/>
      <w:r>
        <w:rPr>
          <w:rFonts w:ascii="Arial" w:hAnsi="Arial"/>
          <w:sz w:val="16"/>
        </w:rPr>
        <w:t xml:space="preserve">, </w:t>
      </w:r>
      <w:proofErr w:type="spellStart"/>
      <w:r>
        <w:rPr>
          <w:rFonts w:ascii="Arial" w:hAnsi="Arial"/>
          <w:sz w:val="16"/>
        </w:rPr>
        <w:t>Hakkari</w:t>
      </w:r>
      <w:proofErr w:type="spellEnd"/>
      <w:r>
        <w:rPr>
          <w:rFonts w:ascii="Arial" w:hAnsi="Arial"/>
          <w:sz w:val="16"/>
        </w:rPr>
        <w:t xml:space="preserve">, </w:t>
      </w:r>
      <w:proofErr w:type="spellStart"/>
      <w:r>
        <w:rPr>
          <w:rFonts w:ascii="Arial" w:hAnsi="Arial"/>
          <w:sz w:val="16"/>
        </w:rPr>
        <w:t>Iğdır</w:t>
      </w:r>
      <w:proofErr w:type="spellEnd"/>
      <w:r>
        <w:rPr>
          <w:rFonts w:ascii="Arial" w:hAnsi="Arial"/>
          <w:sz w:val="16"/>
        </w:rPr>
        <w:t xml:space="preserve">, Kars, </w:t>
      </w:r>
      <w:proofErr w:type="spellStart"/>
      <w:r>
        <w:rPr>
          <w:rFonts w:ascii="Arial" w:hAnsi="Arial"/>
          <w:sz w:val="16"/>
        </w:rPr>
        <w:t>Kırşehir</w:t>
      </w:r>
      <w:proofErr w:type="spellEnd"/>
      <w:r>
        <w:rPr>
          <w:rFonts w:ascii="Arial" w:hAnsi="Arial"/>
          <w:sz w:val="16"/>
        </w:rPr>
        <w:t xml:space="preserve">, Malatya, </w:t>
      </w:r>
      <w:proofErr w:type="spellStart"/>
      <w:r>
        <w:rPr>
          <w:rFonts w:ascii="Arial" w:hAnsi="Arial"/>
          <w:sz w:val="16"/>
        </w:rPr>
        <w:t>Mardin</w:t>
      </w:r>
      <w:proofErr w:type="spellEnd"/>
      <w:r>
        <w:rPr>
          <w:rFonts w:ascii="Arial" w:hAnsi="Arial"/>
          <w:sz w:val="16"/>
        </w:rPr>
        <w:t xml:space="preserve">, </w:t>
      </w:r>
      <w:proofErr w:type="spellStart"/>
      <w:r>
        <w:rPr>
          <w:rFonts w:ascii="Arial" w:hAnsi="Arial"/>
          <w:sz w:val="16"/>
        </w:rPr>
        <w:t>Muş</w:t>
      </w:r>
      <w:proofErr w:type="spellEnd"/>
      <w:r>
        <w:rPr>
          <w:rFonts w:ascii="Arial" w:hAnsi="Arial"/>
          <w:sz w:val="16"/>
        </w:rPr>
        <w:t xml:space="preserve">, </w:t>
      </w:r>
      <w:proofErr w:type="spellStart"/>
      <w:r>
        <w:rPr>
          <w:rFonts w:ascii="Arial" w:hAnsi="Arial"/>
          <w:sz w:val="16"/>
        </w:rPr>
        <w:t>Ordu</w:t>
      </w:r>
      <w:proofErr w:type="spellEnd"/>
      <w:r>
        <w:rPr>
          <w:rFonts w:ascii="Arial" w:hAnsi="Arial"/>
          <w:sz w:val="16"/>
        </w:rPr>
        <w:t xml:space="preserve">, </w:t>
      </w:r>
      <w:proofErr w:type="spellStart"/>
      <w:r>
        <w:rPr>
          <w:rFonts w:ascii="Arial" w:hAnsi="Arial"/>
          <w:sz w:val="16"/>
        </w:rPr>
        <w:t>Osmaniye</w:t>
      </w:r>
      <w:proofErr w:type="spellEnd"/>
      <w:r>
        <w:rPr>
          <w:rFonts w:ascii="Arial" w:hAnsi="Arial"/>
          <w:sz w:val="16"/>
        </w:rPr>
        <w:t xml:space="preserve">, </w:t>
      </w:r>
      <w:proofErr w:type="spellStart"/>
      <w:r>
        <w:rPr>
          <w:rFonts w:ascii="Arial" w:hAnsi="Arial"/>
          <w:sz w:val="16"/>
        </w:rPr>
        <w:t>Siirt</w:t>
      </w:r>
      <w:proofErr w:type="spellEnd"/>
      <w:r>
        <w:rPr>
          <w:rFonts w:ascii="Arial" w:hAnsi="Arial"/>
          <w:sz w:val="16"/>
        </w:rPr>
        <w:t xml:space="preserve">, </w:t>
      </w:r>
      <w:proofErr w:type="spellStart"/>
      <w:r>
        <w:rPr>
          <w:rFonts w:ascii="Arial" w:hAnsi="Arial"/>
          <w:sz w:val="16"/>
        </w:rPr>
        <w:t>Sinop</w:t>
      </w:r>
      <w:proofErr w:type="spellEnd"/>
      <w:r>
        <w:rPr>
          <w:rFonts w:ascii="Arial" w:hAnsi="Arial"/>
          <w:sz w:val="16"/>
        </w:rPr>
        <w:t xml:space="preserve">, Sivas, </w:t>
      </w:r>
      <w:proofErr w:type="spellStart"/>
      <w:r>
        <w:rPr>
          <w:rFonts w:ascii="Arial" w:hAnsi="Arial"/>
          <w:sz w:val="16"/>
        </w:rPr>
        <w:t>Şanlıurfa</w:t>
      </w:r>
      <w:proofErr w:type="spellEnd"/>
      <w:r>
        <w:rPr>
          <w:rFonts w:ascii="Arial" w:hAnsi="Arial"/>
          <w:sz w:val="16"/>
        </w:rPr>
        <w:t xml:space="preserve">, </w:t>
      </w:r>
      <w:proofErr w:type="spellStart"/>
      <w:r>
        <w:rPr>
          <w:rFonts w:ascii="Arial" w:hAnsi="Arial"/>
          <w:sz w:val="16"/>
        </w:rPr>
        <w:t>Şırnak</w:t>
      </w:r>
      <w:proofErr w:type="spellEnd"/>
      <w:r>
        <w:rPr>
          <w:rFonts w:ascii="Arial" w:hAnsi="Arial"/>
          <w:sz w:val="16"/>
        </w:rPr>
        <w:t xml:space="preserve">, </w:t>
      </w:r>
      <w:proofErr w:type="spellStart"/>
      <w:r>
        <w:rPr>
          <w:rFonts w:ascii="Arial" w:hAnsi="Arial"/>
          <w:sz w:val="16"/>
        </w:rPr>
        <w:t>Tokat</w:t>
      </w:r>
      <w:proofErr w:type="spellEnd"/>
      <w:r>
        <w:rPr>
          <w:rFonts w:ascii="Arial" w:hAnsi="Arial"/>
          <w:sz w:val="16"/>
        </w:rPr>
        <w:t xml:space="preserve">, </w:t>
      </w:r>
      <w:proofErr w:type="spellStart"/>
      <w:r>
        <w:rPr>
          <w:rFonts w:ascii="Arial" w:hAnsi="Arial"/>
          <w:sz w:val="16"/>
        </w:rPr>
        <w:t>Uşak</w:t>
      </w:r>
      <w:proofErr w:type="spellEnd"/>
      <w:r>
        <w:rPr>
          <w:rFonts w:ascii="Arial" w:hAnsi="Arial"/>
          <w:sz w:val="16"/>
        </w:rPr>
        <w:t xml:space="preserve">, Van and </w:t>
      </w:r>
      <w:proofErr w:type="spellStart"/>
      <w:r>
        <w:rPr>
          <w:rFonts w:ascii="Arial" w:hAnsi="Arial"/>
          <w:sz w:val="16"/>
        </w:rPr>
        <w:t>Yozgat</w:t>
      </w:r>
      <w:proofErr w:type="spellEnd"/>
      <w:r>
        <w:rPr>
          <w:rFonts w:ascii="Arial" w:hAnsi="Arial"/>
          <w:sz w:val="16"/>
        </w:rPr>
        <w:t xml:space="preserve"> were included within the scope of the incentives; yet, with Law no 5350, 13 more provinces were included in the scope of incentives starting from 01/04/2005, namely </w:t>
      </w:r>
      <w:proofErr w:type="spellStart"/>
      <w:r>
        <w:rPr>
          <w:rFonts w:ascii="Arial" w:hAnsi="Arial"/>
          <w:sz w:val="16"/>
        </w:rPr>
        <w:t>Kilis</w:t>
      </w:r>
      <w:proofErr w:type="spellEnd"/>
      <w:r>
        <w:rPr>
          <w:rFonts w:ascii="Arial" w:hAnsi="Arial"/>
          <w:sz w:val="16"/>
        </w:rPr>
        <w:t xml:space="preserve">, </w:t>
      </w:r>
      <w:proofErr w:type="spellStart"/>
      <w:r>
        <w:rPr>
          <w:rFonts w:ascii="Arial" w:hAnsi="Arial"/>
          <w:sz w:val="16"/>
        </w:rPr>
        <w:t>Tunceli</w:t>
      </w:r>
      <w:proofErr w:type="spellEnd"/>
      <w:r>
        <w:rPr>
          <w:rFonts w:ascii="Arial" w:hAnsi="Arial"/>
          <w:sz w:val="16"/>
        </w:rPr>
        <w:t xml:space="preserve">, </w:t>
      </w:r>
      <w:proofErr w:type="spellStart"/>
      <w:r>
        <w:rPr>
          <w:rFonts w:ascii="Arial" w:hAnsi="Arial"/>
          <w:sz w:val="16"/>
        </w:rPr>
        <w:t>Kastamonu</w:t>
      </w:r>
      <w:proofErr w:type="spellEnd"/>
      <w:r>
        <w:rPr>
          <w:rFonts w:ascii="Arial" w:hAnsi="Arial"/>
          <w:sz w:val="16"/>
        </w:rPr>
        <w:t xml:space="preserve">, </w:t>
      </w:r>
      <w:proofErr w:type="spellStart"/>
      <w:r>
        <w:rPr>
          <w:rFonts w:ascii="Arial" w:hAnsi="Arial"/>
          <w:sz w:val="16"/>
        </w:rPr>
        <w:t>Niğde</w:t>
      </w:r>
      <w:proofErr w:type="spellEnd"/>
      <w:r>
        <w:rPr>
          <w:rFonts w:ascii="Arial" w:hAnsi="Arial"/>
          <w:sz w:val="16"/>
        </w:rPr>
        <w:t xml:space="preserve">, </w:t>
      </w:r>
      <w:proofErr w:type="spellStart"/>
      <w:r>
        <w:rPr>
          <w:rFonts w:ascii="Arial" w:hAnsi="Arial"/>
          <w:sz w:val="16"/>
        </w:rPr>
        <w:t>Kahramanmaraş</w:t>
      </w:r>
      <w:proofErr w:type="spellEnd"/>
      <w:r>
        <w:rPr>
          <w:rFonts w:ascii="Arial" w:hAnsi="Arial"/>
          <w:sz w:val="16"/>
        </w:rPr>
        <w:t xml:space="preserve">, </w:t>
      </w:r>
      <w:proofErr w:type="spellStart"/>
      <w:r>
        <w:rPr>
          <w:rFonts w:ascii="Arial" w:hAnsi="Arial"/>
          <w:sz w:val="16"/>
        </w:rPr>
        <w:t>Çorum</w:t>
      </w:r>
      <w:proofErr w:type="spellEnd"/>
      <w:r>
        <w:rPr>
          <w:rFonts w:ascii="Arial" w:hAnsi="Arial"/>
          <w:sz w:val="16"/>
        </w:rPr>
        <w:t xml:space="preserve">, </w:t>
      </w:r>
      <w:proofErr w:type="spellStart"/>
      <w:r>
        <w:rPr>
          <w:rFonts w:ascii="Arial" w:hAnsi="Arial"/>
          <w:sz w:val="16"/>
        </w:rPr>
        <w:t>Artvin</w:t>
      </w:r>
      <w:proofErr w:type="spellEnd"/>
      <w:r>
        <w:rPr>
          <w:rFonts w:ascii="Arial" w:hAnsi="Arial"/>
          <w:sz w:val="16"/>
        </w:rPr>
        <w:t xml:space="preserve">, </w:t>
      </w:r>
      <w:proofErr w:type="spellStart"/>
      <w:r>
        <w:rPr>
          <w:rFonts w:ascii="Arial" w:hAnsi="Arial"/>
          <w:sz w:val="16"/>
        </w:rPr>
        <w:t>Kütahya</w:t>
      </w:r>
      <w:proofErr w:type="spellEnd"/>
      <w:r>
        <w:rPr>
          <w:rFonts w:ascii="Arial" w:hAnsi="Arial"/>
          <w:sz w:val="16"/>
        </w:rPr>
        <w:t xml:space="preserve">, Trabzon, </w:t>
      </w:r>
      <w:proofErr w:type="spellStart"/>
      <w:r>
        <w:rPr>
          <w:rFonts w:ascii="Arial" w:hAnsi="Arial"/>
          <w:sz w:val="16"/>
        </w:rPr>
        <w:t>Rize</w:t>
      </w:r>
      <w:proofErr w:type="spellEnd"/>
      <w:r>
        <w:rPr>
          <w:rFonts w:ascii="Arial" w:hAnsi="Arial"/>
          <w:sz w:val="16"/>
        </w:rPr>
        <w:t xml:space="preserve">, </w:t>
      </w:r>
      <w:proofErr w:type="spellStart"/>
      <w:r>
        <w:rPr>
          <w:rFonts w:ascii="Arial" w:hAnsi="Arial"/>
          <w:sz w:val="16"/>
        </w:rPr>
        <w:t>Elazığ</w:t>
      </w:r>
      <w:proofErr w:type="spellEnd"/>
      <w:r>
        <w:rPr>
          <w:rFonts w:ascii="Arial" w:hAnsi="Arial"/>
          <w:sz w:val="16"/>
        </w:rPr>
        <w:t xml:space="preserve">, </w:t>
      </w:r>
      <w:proofErr w:type="spellStart"/>
      <w:r>
        <w:rPr>
          <w:rFonts w:ascii="Arial" w:hAnsi="Arial"/>
          <w:sz w:val="16"/>
        </w:rPr>
        <w:t>Karaman</w:t>
      </w:r>
      <w:proofErr w:type="spellEnd"/>
      <w:r>
        <w:rPr>
          <w:rFonts w:ascii="Arial" w:hAnsi="Arial"/>
          <w:sz w:val="16"/>
        </w:rPr>
        <w:t xml:space="preserve"> and </w:t>
      </w:r>
      <w:proofErr w:type="spellStart"/>
      <w:r>
        <w:rPr>
          <w:rFonts w:ascii="Arial" w:hAnsi="Arial"/>
          <w:sz w:val="16"/>
        </w:rPr>
        <w:t>Nevşehir</w:t>
      </w:r>
      <w:proofErr w:type="spellEnd"/>
      <w:r>
        <w:rPr>
          <w:rFonts w:ascii="Arial" w:hAnsi="Arial"/>
          <w:sz w:val="16"/>
        </w:rPr>
        <w:t xml:space="preserve">; finally, with Law no. 5568, businesses in </w:t>
      </w:r>
      <w:proofErr w:type="spellStart"/>
      <w:r>
        <w:rPr>
          <w:rFonts w:ascii="Arial" w:hAnsi="Arial"/>
          <w:sz w:val="16"/>
        </w:rPr>
        <w:t>Gökçeada</w:t>
      </w:r>
      <w:proofErr w:type="spellEnd"/>
      <w:r>
        <w:rPr>
          <w:rFonts w:ascii="Arial" w:hAnsi="Arial"/>
          <w:sz w:val="16"/>
        </w:rPr>
        <w:t xml:space="preserve"> and Bozcaada in the province of </w:t>
      </w:r>
      <w:proofErr w:type="spellStart"/>
      <w:r>
        <w:rPr>
          <w:rFonts w:ascii="Arial" w:hAnsi="Arial"/>
          <w:sz w:val="16"/>
        </w:rPr>
        <w:t>Çanakkale</w:t>
      </w:r>
      <w:proofErr w:type="spellEnd"/>
      <w:r>
        <w:rPr>
          <w:rFonts w:ascii="Arial" w:hAnsi="Arial"/>
          <w:sz w:val="16"/>
        </w:rPr>
        <w:t xml:space="preserve"> were also included within the scope of the incentives.</w:t>
      </w:r>
    </w:p>
  </w:footnote>
  <w:footnote w:id="5">
    <w:p w:rsidR="001175DB" w:rsidRPr="00C07BC9" w:rsidRDefault="001175DB" w:rsidP="001175DB">
      <w:pPr>
        <w:pStyle w:val="FootnoteText"/>
      </w:pPr>
      <w:r>
        <w:rPr>
          <w:rStyle w:val="FootnoteReference"/>
          <w:rFonts w:ascii="Arial" w:hAnsi="Arial"/>
          <w:sz w:val="16"/>
        </w:rPr>
        <w:footnoteRef/>
      </w:r>
      <w:r>
        <w:rPr>
          <w:rFonts w:ascii="Arial" w:hAnsi="Arial"/>
          <w:sz w:val="16"/>
        </w:rPr>
        <w:t xml:space="preserve"> Monthly macro data were specifically requested from </w:t>
      </w:r>
      <w:proofErr w:type="spellStart"/>
      <w:r>
        <w:rPr>
          <w:rFonts w:ascii="Arial" w:hAnsi="Arial"/>
          <w:sz w:val="16"/>
        </w:rPr>
        <w:t>TurkStat</w:t>
      </w:r>
      <w:proofErr w:type="spellEnd"/>
      <w:r>
        <w:rPr>
          <w:rFonts w:ascii="Arial" w:hAnsi="Arial"/>
          <w:sz w:val="16"/>
        </w:rPr>
        <w:t>.</w:t>
      </w:r>
      <w:r>
        <w:t xml:space="preserve"> </w:t>
      </w:r>
    </w:p>
  </w:footnote>
  <w:footnote w:id="6">
    <w:p w:rsidR="001175DB" w:rsidRPr="00DF40F2" w:rsidRDefault="001175DB" w:rsidP="001175DB">
      <w:pPr>
        <w:pStyle w:val="FootnoteText"/>
        <w:rPr>
          <w:rFonts w:ascii="Arial" w:hAnsi="Arial" w:cs="Arial"/>
          <w:sz w:val="16"/>
          <w:szCs w:val="16"/>
        </w:rPr>
      </w:pPr>
      <w:r>
        <w:rPr>
          <w:rStyle w:val="FootnoteReference"/>
          <w:rFonts w:ascii="Arial" w:hAnsi="Arial"/>
          <w:sz w:val="16"/>
        </w:rPr>
        <w:footnoteRef/>
      </w:r>
      <w:r>
        <w:rPr>
          <w:rFonts w:ascii="Arial" w:hAnsi="Arial"/>
          <w:sz w:val="16"/>
        </w:rPr>
        <w:t xml:space="preserve"> These professions include those employed in qualified farming, animal husbandry, hunting, for</w:t>
      </w:r>
      <w:r w:rsidR="00A06E3B">
        <w:rPr>
          <w:rFonts w:ascii="Arial" w:hAnsi="Arial"/>
          <w:sz w:val="16"/>
        </w:rPr>
        <w:t>estry and aquatic products and associated</w:t>
      </w:r>
      <w:r>
        <w:rPr>
          <w:rFonts w:ascii="Arial" w:hAnsi="Arial"/>
          <w:sz w:val="16"/>
        </w:rPr>
        <w:t xml:space="preserve"> jobs, as well as facility and machine operators and assemblers, as specified in ISCO 88.  </w:t>
      </w:r>
    </w:p>
  </w:footnote>
  <w:footnote w:id="7">
    <w:p w:rsidR="001175DB" w:rsidRPr="00646444" w:rsidRDefault="001175DB" w:rsidP="001175DB">
      <w:pPr>
        <w:pStyle w:val="FootnoteText"/>
        <w:rPr>
          <w:rFonts w:ascii="Arial" w:hAnsi="Arial" w:cs="Arial"/>
          <w:sz w:val="16"/>
          <w:szCs w:val="16"/>
        </w:rPr>
      </w:pPr>
      <w:r>
        <w:rPr>
          <w:rStyle w:val="FootnoteReference"/>
          <w:rFonts w:ascii="Arial" w:hAnsi="Arial"/>
          <w:sz w:val="16"/>
        </w:rPr>
        <w:footnoteRef/>
      </w:r>
      <w:r>
        <w:rPr>
          <w:rFonts w:ascii="Arial" w:hAnsi="Arial"/>
          <w:sz w:val="16"/>
        </w:rPr>
        <w:t xml:space="preserve"> Baslevent C. and O. </w:t>
      </w:r>
      <w:proofErr w:type="spellStart"/>
      <w:r>
        <w:rPr>
          <w:rFonts w:ascii="Arial" w:hAnsi="Arial"/>
          <w:sz w:val="16"/>
        </w:rPr>
        <w:t>Onaran</w:t>
      </w:r>
      <w:proofErr w:type="spellEnd"/>
      <w:r>
        <w:rPr>
          <w:rFonts w:ascii="Arial" w:hAnsi="Arial"/>
          <w:sz w:val="16"/>
        </w:rPr>
        <w:t>, “Are married women in Turkey more likely to become added or discouraged workers?</w:t>
      </w:r>
      <w:proofErr w:type="gramStart"/>
      <w:r>
        <w:rPr>
          <w:rFonts w:ascii="Arial" w:hAnsi="Arial"/>
          <w:sz w:val="16"/>
        </w:rPr>
        <w:t>”,</w:t>
      </w:r>
      <w:proofErr w:type="gramEnd"/>
      <w:r>
        <w:rPr>
          <w:rFonts w:ascii="Arial" w:hAnsi="Arial"/>
          <w:sz w:val="16"/>
        </w:rPr>
        <w:t xml:space="preserve"> </w:t>
      </w:r>
      <w:proofErr w:type="spellStart"/>
      <w:r w:rsidR="00F4480B">
        <w:rPr>
          <w:rFonts w:ascii="Arial" w:hAnsi="Arial"/>
          <w:sz w:val="16"/>
        </w:rPr>
        <w:t>Labor</w:t>
      </w:r>
      <w:proofErr w:type="spellEnd"/>
      <w:r>
        <w:rPr>
          <w:rFonts w:ascii="Arial" w:hAnsi="Arial"/>
          <w:sz w:val="16"/>
        </w:rPr>
        <w:t xml:space="preserve">, Vol. 7, No.3, 2003. </w:t>
      </w:r>
    </w:p>
    <w:p w:rsidR="001175DB" w:rsidRPr="00646444" w:rsidRDefault="001175DB" w:rsidP="001175DB">
      <w:pPr>
        <w:pStyle w:val="FootnoteText"/>
        <w:rPr>
          <w:rFonts w:ascii="Arial" w:hAnsi="Arial" w:cs="Arial"/>
          <w:sz w:val="16"/>
          <w:szCs w:val="16"/>
        </w:rPr>
      </w:pPr>
      <w:r>
        <w:rPr>
          <w:rFonts w:ascii="Arial" w:hAnsi="Arial"/>
          <w:sz w:val="16"/>
        </w:rPr>
        <w:t xml:space="preserve">Degirmenci S. and I. Ilkkaracan, “Economic crises and the added worker effect in the Turkish </w:t>
      </w:r>
      <w:proofErr w:type="spellStart"/>
      <w:r>
        <w:rPr>
          <w:rFonts w:ascii="Arial" w:hAnsi="Arial"/>
          <w:sz w:val="16"/>
        </w:rPr>
        <w:t>labor</w:t>
      </w:r>
      <w:proofErr w:type="spellEnd"/>
      <w:r>
        <w:rPr>
          <w:rFonts w:ascii="Arial" w:hAnsi="Arial"/>
          <w:sz w:val="16"/>
        </w:rPr>
        <w:t xml:space="preserve"> market”, in </w:t>
      </w:r>
      <w:r>
        <w:rPr>
          <w:rFonts w:ascii="Arial" w:hAnsi="Arial"/>
          <w:i/>
          <w:sz w:val="16"/>
        </w:rPr>
        <w:t>Gender Perspectives and Gender Impacts of the Global Economic Crisis</w:t>
      </w:r>
      <w:r>
        <w:rPr>
          <w:rFonts w:ascii="Arial" w:hAnsi="Arial"/>
          <w:sz w:val="16"/>
        </w:rPr>
        <w:t xml:space="preserve">, ed. R. </w:t>
      </w:r>
      <w:proofErr w:type="spellStart"/>
      <w:r>
        <w:rPr>
          <w:rFonts w:ascii="Arial" w:hAnsi="Arial"/>
          <w:sz w:val="16"/>
        </w:rPr>
        <w:t>Antanopoulos</w:t>
      </w:r>
      <w:proofErr w:type="spellEnd"/>
      <w:r>
        <w:rPr>
          <w:rFonts w:ascii="Arial" w:hAnsi="Arial"/>
          <w:sz w:val="16"/>
        </w:rPr>
        <w:t xml:space="preserve">, N. Cagatay and S. Hsu,  </w:t>
      </w:r>
      <w:proofErr w:type="spellStart"/>
      <w:r>
        <w:rPr>
          <w:rFonts w:ascii="Arial" w:hAnsi="Arial"/>
          <w:sz w:val="16"/>
        </w:rPr>
        <w:t>Routledge</w:t>
      </w:r>
      <w:proofErr w:type="spellEnd"/>
      <w:r>
        <w:rPr>
          <w:rFonts w:ascii="Arial" w:hAnsi="Arial"/>
          <w:sz w:val="16"/>
        </w:rPr>
        <w:t>, (forthcoming) 2013.</w:t>
      </w:r>
    </w:p>
    <w:p w:rsidR="001175DB" w:rsidRPr="00646444" w:rsidRDefault="001175DB" w:rsidP="001175DB">
      <w:pPr>
        <w:pStyle w:val="FootnoteText"/>
        <w:rPr>
          <w:rFonts w:ascii="Arial" w:hAnsi="Arial" w:cs="Arial"/>
          <w:sz w:val="16"/>
          <w:szCs w:val="16"/>
        </w:rPr>
      </w:pPr>
      <w:r>
        <w:rPr>
          <w:rFonts w:ascii="Arial" w:hAnsi="Arial"/>
          <w:sz w:val="16"/>
        </w:rPr>
        <w:t xml:space="preserve">Karaoglan D. and C. </w:t>
      </w:r>
      <w:proofErr w:type="spellStart"/>
      <w:r>
        <w:rPr>
          <w:rFonts w:ascii="Arial" w:hAnsi="Arial"/>
          <w:sz w:val="16"/>
        </w:rPr>
        <w:t>Okten</w:t>
      </w:r>
      <w:proofErr w:type="spellEnd"/>
      <w:r>
        <w:rPr>
          <w:rFonts w:ascii="Arial" w:hAnsi="Arial"/>
          <w:sz w:val="16"/>
        </w:rPr>
        <w:t>, 2012, “</w:t>
      </w:r>
      <w:proofErr w:type="spellStart"/>
      <w:r>
        <w:rPr>
          <w:rFonts w:ascii="Arial" w:hAnsi="Arial"/>
          <w:sz w:val="16"/>
        </w:rPr>
        <w:t>Labor</w:t>
      </w:r>
      <w:proofErr w:type="spellEnd"/>
      <w:r>
        <w:rPr>
          <w:rFonts w:ascii="Arial" w:hAnsi="Arial"/>
          <w:sz w:val="16"/>
        </w:rPr>
        <w:t xml:space="preserve"> force participation of married women in Turkey: Is there an added or discouraged worker effect?</w:t>
      </w:r>
      <w:proofErr w:type="gramStart"/>
      <w:r>
        <w:rPr>
          <w:rFonts w:ascii="Arial" w:hAnsi="Arial"/>
          <w:sz w:val="16"/>
        </w:rPr>
        <w:t>”,</w:t>
      </w:r>
      <w:proofErr w:type="gramEnd"/>
      <w:r>
        <w:rPr>
          <w:rFonts w:ascii="Arial" w:hAnsi="Arial"/>
          <w:sz w:val="16"/>
        </w:rPr>
        <w:t xml:space="preserve"> IZA Discussion Paper No.6616.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31ED0F6"/>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2112B2E"/>
    <w:multiLevelType w:val="hybridMultilevel"/>
    <w:tmpl w:val="597420A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235231D4"/>
    <w:multiLevelType w:val="hybridMultilevel"/>
    <w:tmpl w:val="78560256"/>
    <w:lvl w:ilvl="0" w:tplc="F73C8192">
      <w:start w:val="1"/>
      <w:numFmt w:val="bullet"/>
      <w:lvlText w:val=""/>
      <w:lvlJc w:val="left"/>
      <w:pPr>
        <w:tabs>
          <w:tab w:val="num" w:pos="720"/>
        </w:tabs>
        <w:ind w:left="720" w:hanging="360"/>
      </w:pPr>
      <w:rPr>
        <w:rFonts w:ascii="Wingdings" w:hAnsi="Wingdings" w:cs="Wingdings" w:hint="default"/>
      </w:rPr>
    </w:lvl>
    <w:lvl w:ilvl="1" w:tplc="516AD046">
      <w:start w:val="1"/>
      <w:numFmt w:val="bullet"/>
      <w:lvlText w:val=""/>
      <w:lvlJc w:val="left"/>
      <w:pPr>
        <w:tabs>
          <w:tab w:val="num" w:pos="1440"/>
        </w:tabs>
        <w:ind w:left="1440" w:hanging="360"/>
      </w:pPr>
      <w:rPr>
        <w:rFonts w:ascii="Wingdings" w:hAnsi="Wingdings" w:cs="Wingdings" w:hint="default"/>
      </w:rPr>
    </w:lvl>
    <w:lvl w:ilvl="2" w:tplc="922C1BB6">
      <w:start w:val="1"/>
      <w:numFmt w:val="bullet"/>
      <w:lvlText w:val=""/>
      <w:lvlJc w:val="left"/>
      <w:pPr>
        <w:tabs>
          <w:tab w:val="num" w:pos="2160"/>
        </w:tabs>
        <w:ind w:left="2160" w:hanging="360"/>
      </w:pPr>
      <w:rPr>
        <w:rFonts w:ascii="Wingdings" w:hAnsi="Wingdings" w:cs="Wingdings" w:hint="default"/>
      </w:rPr>
    </w:lvl>
    <w:lvl w:ilvl="3" w:tplc="82A8FEF6">
      <w:start w:val="1"/>
      <w:numFmt w:val="bullet"/>
      <w:lvlText w:val=""/>
      <w:lvlJc w:val="left"/>
      <w:pPr>
        <w:tabs>
          <w:tab w:val="num" w:pos="2880"/>
        </w:tabs>
        <w:ind w:left="2880" w:hanging="360"/>
      </w:pPr>
      <w:rPr>
        <w:rFonts w:ascii="Wingdings" w:hAnsi="Wingdings" w:cs="Wingdings" w:hint="default"/>
      </w:rPr>
    </w:lvl>
    <w:lvl w:ilvl="4" w:tplc="A622DDA6">
      <w:start w:val="1"/>
      <w:numFmt w:val="bullet"/>
      <w:lvlText w:val=""/>
      <w:lvlJc w:val="left"/>
      <w:pPr>
        <w:tabs>
          <w:tab w:val="num" w:pos="3600"/>
        </w:tabs>
        <w:ind w:left="3600" w:hanging="360"/>
      </w:pPr>
      <w:rPr>
        <w:rFonts w:ascii="Wingdings" w:hAnsi="Wingdings" w:cs="Wingdings" w:hint="default"/>
      </w:rPr>
    </w:lvl>
    <w:lvl w:ilvl="5" w:tplc="A8A0879C">
      <w:start w:val="1"/>
      <w:numFmt w:val="bullet"/>
      <w:lvlText w:val=""/>
      <w:lvlJc w:val="left"/>
      <w:pPr>
        <w:tabs>
          <w:tab w:val="num" w:pos="4320"/>
        </w:tabs>
        <w:ind w:left="4320" w:hanging="360"/>
      </w:pPr>
      <w:rPr>
        <w:rFonts w:ascii="Wingdings" w:hAnsi="Wingdings" w:cs="Wingdings" w:hint="default"/>
      </w:rPr>
    </w:lvl>
    <w:lvl w:ilvl="6" w:tplc="E8A6CC1A">
      <w:start w:val="1"/>
      <w:numFmt w:val="bullet"/>
      <w:lvlText w:val=""/>
      <w:lvlJc w:val="left"/>
      <w:pPr>
        <w:tabs>
          <w:tab w:val="num" w:pos="5040"/>
        </w:tabs>
        <w:ind w:left="5040" w:hanging="360"/>
      </w:pPr>
      <w:rPr>
        <w:rFonts w:ascii="Wingdings" w:hAnsi="Wingdings" w:cs="Wingdings" w:hint="default"/>
      </w:rPr>
    </w:lvl>
    <w:lvl w:ilvl="7" w:tplc="C0EA463A">
      <w:start w:val="1"/>
      <w:numFmt w:val="bullet"/>
      <w:lvlText w:val=""/>
      <w:lvlJc w:val="left"/>
      <w:pPr>
        <w:tabs>
          <w:tab w:val="num" w:pos="5760"/>
        </w:tabs>
        <w:ind w:left="5760" w:hanging="360"/>
      </w:pPr>
      <w:rPr>
        <w:rFonts w:ascii="Wingdings" w:hAnsi="Wingdings" w:cs="Wingdings" w:hint="default"/>
      </w:rPr>
    </w:lvl>
    <w:lvl w:ilvl="8" w:tplc="7CDC6298">
      <w:start w:val="1"/>
      <w:numFmt w:val="bullet"/>
      <w:lvlText w:val=""/>
      <w:lvlJc w:val="left"/>
      <w:pPr>
        <w:tabs>
          <w:tab w:val="num" w:pos="6480"/>
        </w:tabs>
        <w:ind w:left="6480" w:hanging="360"/>
      </w:pPr>
      <w:rPr>
        <w:rFonts w:ascii="Wingdings" w:hAnsi="Wingdings" w:cs="Wingdings" w:hint="default"/>
      </w:rPr>
    </w:lvl>
  </w:abstractNum>
  <w:abstractNum w:abstractNumId="3">
    <w:nsid w:val="23CD1AB5"/>
    <w:multiLevelType w:val="hybridMultilevel"/>
    <w:tmpl w:val="67FC9C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
    <w:nsid w:val="23EC45D5"/>
    <w:multiLevelType w:val="multilevel"/>
    <w:tmpl w:val="186AF6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C236554"/>
    <w:multiLevelType w:val="hybridMultilevel"/>
    <w:tmpl w:val="422AB97C"/>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nsid w:val="37305D7E"/>
    <w:multiLevelType w:val="hybridMultilevel"/>
    <w:tmpl w:val="FC74865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47025829"/>
    <w:multiLevelType w:val="multilevel"/>
    <w:tmpl w:val="026897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4F7F7DDE"/>
    <w:multiLevelType w:val="hybridMultilevel"/>
    <w:tmpl w:val="F75AC6B2"/>
    <w:lvl w:ilvl="0" w:tplc="43C4467A">
      <w:start w:val="1"/>
      <w:numFmt w:val="bullet"/>
      <w:lvlText w:val=""/>
      <w:lvlJc w:val="left"/>
      <w:pPr>
        <w:tabs>
          <w:tab w:val="num" w:pos="720"/>
        </w:tabs>
        <w:ind w:left="720" w:hanging="360"/>
      </w:pPr>
      <w:rPr>
        <w:rFonts w:ascii="Wingdings" w:hAnsi="Wingdings" w:cs="Wingdings" w:hint="default"/>
      </w:rPr>
    </w:lvl>
    <w:lvl w:ilvl="1" w:tplc="20D85100">
      <w:start w:val="1"/>
      <w:numFmt w:val="bullet"/>
      <w:lvlText w:val=""/>
      <w:lvlJc w:val="left"/>
      <w:pPr>
        <w:tabs>
          <w:tab w:val="num" w:pos="1440"/>
        </w:tabs>
        <w:ind w:left="1440" w:hanging="360"/>
      </w:pPr>
      <w:rPr>
        <w:rFonts w:ascii="Wingdings" w:hAnsi="Wingdings" w:cs="Wingdings" w:hint="default"/>
      </w:rPr>
    </w:lvl>
    <w:lvl w:ilvl="2" w:tplc="F33E1742">
      <w:start w:val="1"/>
      <w:numFmt w:val="bullet"/>
      <w:lvlText w:val=""/>
      <w:lvlJc w:val="left"/>
      <w:pPr>
        <w:tabs>
          <w:tab w:val="num" w:pos="2160"/>
        </w:tabs>
        <w:ind w:left="2160" w:hanging="360"/>
      </w:pPr>
      <w:rPr>
        <w:rFonts w:ascii="Wingdings" w:hAnsi="Wingdings" w:cs="Wingdings" w:hint="default"/>
      </w:rPr>
    </w:lvl>
    <w:lvl w:ilvl="3" w:tplc="B35421A6">
      <w:start w:val="1"/>
      <w:numFmt w:val="bullet"/>
      <w:lvlText w:val=""/>
      <w:lvlJc w:val="left"/>
      <w:pPr>
        <w:tabs>
          <w:tab w:val="num" w:pos="2880"/>
        </w:tabs>
        <w:ind w:left="2880" w:hanging="360"/>
      </w:pPr>
      <w:rPr>
        <w:rFonts w:ascii="Wingdings" w:hAnsi="Wingdings" w:cs="Wingdings" w:hint="default"/>
      </w:rPr>
    </w:lvl>
    <w:lvl w:ilvl="4" w:tplc="69D80A4A">
      <w:start w:val="1"/>
      <w:numFmt w:val="bullet"/>
      <w:lvlText w:val=""/>
      <w:lvlJc w:val="left"/>
      <w:pPr>
        <w:tabs>
          <w:tab w:val="num" w:pos="3600"/>
        </w:tabs>
        <w:ind w:left="3600" w:hanging="360"/>
      </w:pPr>
      <w:rPr>
        <w:rFonts w:ascii="Wingdings" w:hAnsi="Wingdings" w:cs="Wingdings" w:hint="default"/>
      </w:rPr>
    </w:lvl>
    <w:lvl w:ilvl="5" w:tplc="F9527CCE">
      <w:start w:val="1"/>
      <w:numFmt w:val="bullet"/>
      <w:lvlText w:val=""/>
      <w:lvlJc w:val="left"/>
      <w:pPr>
        <w:tabs>
          <w:tab w:val="num" w:pos="4320"/>
        </w:tabs>
        <w:ind w:left="4320" w:hanging="360"/>
      </w:pPr>
      <w:rPr>
        <w:rFonts w:ascii="Wingdings" w:hAnsi="Wingdings" w:cs="Wingdings" w:hint="default"/>
      </w:rPr>
    </w:lvl>
    <w:lvl w:ilvl="6" w:tplc="4C2C9A02">
      <w:start w:val="1"/>
      <w:numFmt w:val="bullet"/>
      <w:lvlText w:val=""/>
      <w:lvlJc w:val="left"/>
      <w:pPr>
        <w:tabs>
          <w:tab w:val="num" w:pos="5040"/>
        </w:tabs>
        <w:ind w:left="5040" w:hanging="360"/>
      </w:pPr>
      <w:rPr>
        <w:rFonts w:ascii="Wingdings" w:hAnsi="Wingdings" w:cs="Wingdings" w:hint="default"/>
      </w:rPr>
    </w:lvl>
    <w:lvl w:ilvl="7" w:tplc="CB423BE8">
      <w:start w:val="1"/>
      <w:numFmt w:val="bullet"/>
      <w:lvlText w:val=""/>
      <w:lvlJc w:val="left"/>
      <w:pPr>
        <w:tabs>
          <w:tab w:val="num" w:pos="5760"/>
        </w:tabs>
        <w:ind w:left="5760" w:hanging="360"/>
      </w:pPr>
      <w:rPr>
        <w:rFonts w:ascii="Wingdings" w:hAnsi="Wingdings" w:cs="Wingdings" w:hint="default"/>
      </w:rPr>
    </w:lvl>
    <w:lvl w:ilvl="8" w:tplc="9F5883D6">
      <w:start w:val="1"/>
      <w:numFmt w:val="bullet"/>
      <w:lvlText w:val=""/>
      <w:lvlJc w:val="left"/>
      <w:pPr>
        <w:tabs>
          <w:tab w:val="num" w:pos="6480"/>
        </w:tabs>
        <w:ind w:left="6480" w:hanging="360"/>
      </w:pPr>
      <w:rPr>
        <w:rFonts w:ascii="Wingdings" w:hAnsi="Wingdings" w:cs="Wingdings" w:hint="default"/>
      </w:rPr>
    </w:lvl>
  </w:abstractNum>
  <w:abstractNum w:abstractNumId="9">
    <w:nsid w:val="4FFE0EB3"/>
    <w:multiLevelType w:val="hybridMultilevel"/>
    <w:tmpl w:val="58C61696"/>
    <w:lvl w:ilvl="0" w:tplc="2DFEF5D4">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0">
    <w:nsid w:val="505219A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6914FCB"/>
    <w:multiLevelType w:val="hybridMultilevel"/>
    <w:tmpl w:val="31B07796"/>
    <w:lvl w:ilvl="0" w:tplc="0C1E517A">
      <w:start w:val="1"/>
      <w:numFmt w:val="upperRoman"/>
      <w:lvlText w:val="%1."/>
      <w:lvlJc w:val="left"/>
      <w:pPr>
        <w:tabs>
          <w:tab w:val="num" w:pos="1287"/>
        </w:tabs>
        <w:ind w:left="1287" w:hanging="720"/>
      </w:pPr>
      <w:rPr>
        <w:rFonts w:hint="default"/>
      </w:r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2">
    <w:nsid w:val="6454281C"/>
    <w:multiLevelType w:val="multilevel"/>
    <w:tmpl w:val="D43A70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
    <w:nsid w:val="77857600"/>
    <w:multiLevelType w:val="hybridMultilevel"/>
    <w:tmpl w:val="EFDED0D4"/>
    <w:lvl w:ilvl="0" w:tplc="8B90B79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11"/>
  </w:num>
  <w:num w:numId="3">
    <w:abstractNumId w:val="9"/>
  </w:num>
  <w:num w:numId="4">
    <w:abstractNumId w:val="12"/>
  </w:num>
  <w:num w:numId="5">
    <w:abstractNumId w:val="6"/>
  </w:num>
  <w:num w:numId="6">
    <w:abstractNumId w:val="3"/>
  </w:num>
  <w:num w:numId="7">
    <w:abstractNumId w:val="5"/>
  </w:num>
  <w:num w:numId="8">
    <w:abstractNumId w:val="1"/>
  </w:num>
  <w:num w:numId="9">
    <w:abstractNumId w:val="13"/>
  </w:num>
  <w:num w:numId="10">
    <w:abstractNumId w:val="10"/>
  </w:num>
  <w:num w:numId="11">
    <w:abstractNumId w:val="7"/>
  </w:num>
  <w:num w:numId="12">
    <w:abstractNumId w:val="4"/>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09"/>
  <w:hyphenationZone w:val="425"/>
  <w:doNotHyphenateCaps/>
  <w:drawingGridHorizontalSpacing w:val="120"/>
  <w:drawingGridVerticalSpacing w:val="0"/>
  <w:displayHorizontalDrawingGridEvery w:val="0"/>
  <w:displayVerticalDrawingGridEvery w:val="0"/>
  <w:characterSpacingControl w:val="doNotCompress"/>
  <w:doNotValidateAgainstSchema/>
  <w:doNotDemarcateInvalidXml/>
  <w:footnotePr>
    <w:numStart w:val="3"/>
    <w:numRestart w:val="eachSect"/>
    <w:footnote w:id="-1"/>
    <w:footnote w:id="0"/>
  </w:footnotePr>
  <w:endnotePr>
    <w:endnote w:id="-1"/>
    <w:endnote w:id="0"/>
  </w:endnotePr>
  <w:compat/>
  <w:rsids>
    <w:rsidRoot w:val="00A5464D"/>
    <w:rsid w:val="000012D8"/>
    <w:rsid w:val="00002384"/>
    <w:rsid w:val="00003BAA"/>
    <w:rsid w:val="000040CB"/>
    <w:rsid w:val="00006183"/>
    <w:rsid w:val="00006AA5"/>
    <w:rsid w:val="00007E52"/>
    <w:rsid w:val="000100BE"/>
    <w:rsid w:val="00011267"/>
    <w:rsid w:val="000116C3"/>
    <w:rsid w:val="00012BDE"/>
    <w:rsid w:val="000137EB"/>
    <w:rsid w:val="000141AB"/>
    <w:rsid w:val="00015EFE"/>
    <w:rsid w:val="000163FB"/>
    <w:rsid w:val="0001735F"/>
    <w:rsid w:val="0002026D"/>
    <w:rsid w:val="00021063"/>
    <w:rsid w:val="00021213"/>
    <w:rsid w:val="00021404"/>
    <w:rsid w:val="00021827"/>
    <w:rsid w:val="00021AFF"/>
    <w:rsid w:val="00022AE9"/>
    <w:rsid w:val="000231A1"/>
    <w:rsid w:val="00023610"/>
    <w:rsid w:val="000239B5"/>
    <w:rsid w:val="00023C91"/>
    <w:rsid w:val="0002468C"/>
    <w:rsid w:val="00030168"/>
    <w:rsid w:val="0003041D"/>
    <w:rsid w:val="000312D6"/>
    <w:rsid w:val="000313AF"/>
    <w:rsid w:val="0003174C"/>
    <w:rsid w:val="00031966"/>
    <w:rsid w:val="0003264F"/>
    <w:rsid w:val="00032FCF"/>
    <w:rsid w:val="000333FC"/>
    <w:rsid w:val="0003467B"/>
    <w:rsid w:val="00035FEC"/>
    <w:rsid w:val="00036E86"/>
    <w:rsid w:val="000372FD"/>
    <w:rsid w:val="00045F48"/>
    <w:rsid w:val="00047106"/>
    <w:rsid w:val="000473E8"/>
    <w:rsid w:val="00050813"/>
    <w:rsid w:val="000508A7"/>
    <w:rsid w:val="00051434"/>
    <w:rsid w:val="0005237D"/>
    <w:rsid w:val="000527AD"/>
    <w:rsid w:val="00052AEB"/>
    <w:rsid w:val="0005303D"/>
    <w:rsid w:val="00053A82"/>
    <w:rsid w:val="00053D37"/>
    <w:rsid w:val="00053F6D"/>
    <w:rsid w:val="00055DF3"/>
    <w:rsid w:val="000562EC"/>
    <w:rsid w:val="00061E0B"/>
    <w:rsid w:val="000621B1"/>
    <w:rsid w:val="000626B3"/>
    <w:rsid w:val="000629AF"/>
    <w:rsid w:val="00062CB4"/>
    <w:rsid w:val="00064968"/>
    <w:rsid w:val="00065B4B"/>
    <w:rsid w:val="00065EE2"/>
    <w:rsid w:val="00070162"/>
    <w:rsid w:val="00070C1C"/>
    <w:rsid w:val="00072050"/>
    <w:rsid w:val="00072286"/>
    <w:rsid w:val="00072945"/>
    <w:rsid w:val="000729AB"/>
    <w:rsid w:val="00072DC3"/>
    <w:rsid w:val="000732A7"/>
    <w:rsid w:val="00073C8F"/>
    <w:rsid w:val="00074625"/>
    <w:rsid w:val="0007676E"/>
    <w:rsid w:val="00077C42"/>
    <w:rsid w:val="00077C55"/>
    <w:rsid w:val="0008112A"/>
    <w:rsid w:val="0008121E"/>
    <w:rsid w:val="000812DE"/>
    <w:rsid w:val="00081619"/>
    <w:rsid w:val="00084A53"/>
    <w:rsid w:val="00085CB9"/>
    <w:rsid w:val="00090EFB"/>
    <w:rsid w:val="00091405"/>
    <w:rsid w:val="00092792"/>
    <w:rsid w:val="00094453"/>
    <w:rsid w:val="000950C0"/>
    <w:rsid w:val="00095783"/>
    <w:rsid w:val="000959E3"/>
    <w:rsid w:val="00095A1F"/>
    <w:rsid w:val="00095AD6"/>
    <w:rsid w:val="00096392"/>
    <w:rsid w:val="000964F4"/>
    <w:rsid w:val="000976AD"/>
    <w:rsid w:val="000A3788"/>
    <w:rsid w:val="000A3A30"/>
    <w:rsid w:val="000A3DF0"/>
    <w:rsid w:val="000A4D0B"/>
    <w:rsid w:val="000A6940"/>
    <w:rsid w:val="000A7CBF"/>
    <w:rsid w:val="000B0C03"/>
    <w:rsid w:val="000B0DB4"/>
    <w:rsid w:val="000B23FE"/>
    <w:rsid w:val="000B2770"/>
    <w:rsid w:val="000B380D"/>
    <w:rsid w:val="000B3862"/>
    <w:rsid w:val="000B5594"/>
    <w:rsid w:val="000B5A40"/>
    <w:rsid w:val="000B60D9"/>
    <w:rsid w:val="000B6451"/>
    <w:rsid w:val="000B7FBA"/>
    <w:rsid w:val="000C0511"/>
    <w:rsid w:val="000C0D3E"/>
    <w:rsid w:val="000C0FB8"/>
    <w:rsid w:val="000C2A9A"/>
    <w:rsid w:val="000C2FBB"/>
    <w:rsid w:val="000C374E"/>
    <w:rsid w:val="000C4429"/>
    <w:rsid w:val="000C50B7"/>
    <w:rsid w:val="000C5935"/>
    <w:rsid w:val="000C5F65"/>
    <w:rsid w:val="000C663D"/>
    <w:rsid w:val="000C76E2"/>
    <w:rsid w:val="000C7BA0"/>
    <w:rsid w:val="000D0265"/>
    <w:rsid w:val="000D1454"/>
    <w:rsid w:val="000D1C2E"/>
    <w:rsid w:val="000D2E52"/>
    <w:rsid w:val="000D37CC"/>
    <w:rsid w:val="000D4567"/>
    <w:rsid w:val="000D4994"/>
    <w:rsid w:val="000D4B6B"/>
    <w:rsid w:val="000D6257"/>
    <w:rsid w:val="000D69FE"/>
    <w:rsid w:val="000D7426"/>
    <w:rsid w:val="000D7B24"/>
    <w:rsid w:val="000E1008"/>
    <w:rsid w:val="000E261E"/>
    <w:rsid w:val="000E2F19"/>
    <w:rsid w:val="000E4068"/>
    <w:rsid w:val="000E46F4"/>
    <w:rsid w:val="000E50DE"/>
    <w:rsid w:val="000E5A09"/>
    <w:rsid w:val="000E5CAB"/>
    <w:rsid w:val="000E5CF3"/>
    <w:rsid w:val="000E763C"/>
    <w:rsid w:val="000F05DD"/>
    <w:rsid w:val="000F0D76"/>
    <w:rsid w:val="000F3ADE"/>
    <w:rsid w:val="000F5A37"/>
    <w:rsid w:val="000F670C"/>
    <w:rsid w:val="000F6F76"/>
    <w:rsid w:val="001002A9"/>
    <w:rsid w:val="00102160"/>
    <w:rsid w:val="00102359"/>
    <w:rsid w:val="00102D0F"/>
    <w:rsid w:val="001043F7"/>
    <w:rsid w:val="00104684"/>
    <w:rsid w:val="00105834"/>
    <w:rsid w:val="00105D47"/>
    <w:rsid w:val="0010623A"/>
    <w:rsid w:val="001079E6"/>
    <w:rsid w:val="00107AF0"/>
    <w:rsid w:val="00107B95"/>
    <w:rsid w:val="0011135B"/>
    <w:rsid w:val="001118F6"/>
    <w:rsid w:val="00112CA0"/>
    <w:rsid w:val="00112F7A"/>
    <w:rsid w:val="001130B0"/>
    <w:rsid w:val="00113219"/>
    <w:rsid w:val="001145AC"/>
    <w:rsid w:val="00116B7D"/>
    <w:rsid w:val="001175DB"/>
    <w:rsid w:val="0012056A"/>
    <w:rsid w:val="00121232"/>
    <w:rsid w:val="001214F2"/>
    <w:rsid w:val="0012201E"/>
    <w:rsid w:val="0012338D"/>
    <w:rsid w:val="001237F2"/>
    <w:rsid w:val="00123AFA"/>
    <w:rsid w:val="00123E0B"/>
    <w:rsid w:val="00124FAF"/>
    <w:rsid w:val="001257F4"/>
    <w:rsid w:val="00125BA9"/>
    <w:rsid w:val="00125EB2"/>
    <w:rsid w:val="0012790F"/>
    <w:rsid w:val="00130FF2"/>
    <w:rsid w:val="00131EE0"/>
    <w:rsid w:val="00132399"/>
    <w:rsid w:val="00133891"/>
    <w:rsid w:val="00134486"/>
    <w:rsid w:val="00134743"/>
    <w:rsid w:val="00134E08"/>
    <w:rsid w:val="0013543D"/>
    <w:rsid w:val="001357F9"/>
    <w:rsid w:val="00135CD6"/>
    <w:rsid w:val="00135E2A"/>
    <w:rsid w:val="00136C92"/>
    <w:rsid w:val="00137CF1"/>
    <w:rsid w:val="00140DD4"/>
    <w:rsid w:val="001420B0"/>
    <w:rsid w:val="001427FE"/>
    <w:rsid w:val="00144C7D"/>
    <w:rsid w:val="001450C3"/>
    <w:rsid w:val="0014563B"/>
    <w:rsid w:val="00147464"/>
    <w:rsid w:val="0015011D"/>
    <w:rsid w:val="00153040"/>
    <w:rsid w:val="001531DD"/>
    <w:rsid w:val="00153615"/>
    <w:rsid w:val="00153787"/>
    <w:rsid w:val="001538DD"/>
    <w:rsid w:val="00153D44"/>
    <w:rsid w:val="001541B3"/>
    <w:rsid w:val="001541EA"/>
    <w:rsid w:val="00154BEB"/>
    <w:rsid w:val="001550F5"/>
    <w:rsid w:val="00156446"/>
    <w:rsid w:val="00156BBA"/>
    <w:rsid w:val="00156DE1"/>
    <w:rsid w:val="00156F22"/>
    <w:rsid w:val="00157FDC"/>
    <w:rsid w:val="00161C29"/>
    <w:rsid w:val="00162D07"/>
    <w:rsid w:val="00164B58"/>
    <w:rsid w:val="00165C13"/>
    <w:rsid w:val="001662F7"/>
    <w:rsid w:val="001700EC"/>
    <w:rsid w:val="00170634"/>
    <w:rsid w:val="00172C54"/>
    <w:rsid w:val="00172CB1"/>
    <w:rsid w:val="00173095"/>
    <w:rsid w:val="00173B40"/>
    <w:rsid w:val="0017427A"/>
    <w:rsid w:val="00175CA9"/>
    <w:rsid w:val="001763AA"/>
    <w:rsid w:val="001777DC"/>
    <w:rsid w:val="00180E59"/>
    <w:rsid w:val="00181C8E"/>
    <w:rsid w:val="00182F22"/>
    <w:rsid w:val="00183E0E"/>
    <w:rsid w:val="001840BF"/>
    <w:rsid w:val="00184A13"/>
    <w:rsid w:val="00185726"/>
    <w:rsid w:val="00185FD6"/>
    <w:rsid w:val="00186D59"/>
    <w:rsid w:val="00190725"/>
    <w:rsid w:val="00190859"/>
    <w:rsid w:val="00191588"/>
    <w:rsid w:val="00191945"/>
    <w:rsid w:val="0019456B"/>
    <w:rsid w:val="001946A8"/>
    <w:rsid w:val="001951C2"/>
    <w:rsid w:val="001955C3"/>
    <w:rsid w:val="00196B15"/>
    <w:rsid w:val="0019766F"/>
    <w:rsid w:val="001A00B1"/>
    <w:rsid w:val="001A1BED"/>
    <w:rsid w:val="001A2260"/>
    <w:rsid w:val="001A397E"/>
    <w:rsid w:val="001A4412"/>
    <w:rsid w:val="001A5038"/>
    <w:rsid w:val="001A563C"/>
    <w:rsid w:val="001A624F"/>
    <w:rsid w:val="001A6319"/>
    <w:rsid w:val="001A7728"/>
    <w:rsid w:val="001B039F"/>
    <w:rsid w:val="001B0745"/>
    <w:rsid w:val="001B19B8"/>
    <w:rsid w:val="001B1A4B"/>
    <w:rsid w:val="001B28BB"/>
    <w:rsid w:val="001B2B8F"/>
    <w:rsid w:val="001B3D21"/>
    <w:rsid w:val="001B3FBF"/>
    <w:rsid w:val="001B40B8"/>
    <w:rsid w:val="001B54B7"/>
    <w:rsid w:val="001B5695"/>
    <w:rsid w:val="001B5D5B"/>
    <w:rsid w:val="001B6FCC"/>
    <w:rsid w:val="001B7990"/>
    <w:rsid w:val="001C0C70"/>
    <w:rsid w:val="001C46C4"/>
    <w:rsid w:val="001C4950"/>
    <w:rsid w:val="001C4954"/>
    <w:rsid w:val="001C4F73"/>
    <w:rsid w:val="001C6656"/>
    <w:rsid w:val="001D1B21"/>
    <w:rsid w:val="001D2511"/>
    <w:rsid w:val="001D339B"/>
    <w:rsid w:val="001D3483"/>
    <w:rsid w:val="001D48D3"/>
    <w:rsid w:val="001D6039"/>
    <w:rsid w:val="001D6BF6"/>
    <w:rsid w:val="001D77AA"/>
    <w:rsid w:val="001D7EA6"/>
    <w:rsid w:val="001E18AC"/>
    <w:rsid w:val="001E2F6C"/>
    <w:rsid w:val="001E3E44"/>
    <w:rsid w:val="001E41AF"/>
    <w:rsid w:val="001E56DF"/>
    <w:rsid w:val="001E5C49"/>
    <w:rsid w:val="001F0777"/>
    <w:rsid w:val="001F08EF"/>
    <w:rsid w:val="001F0E60"/>
    <w:rsid w:val="001F2366"/>
    <w:rsid w:val="001F282D"/>
    <w:rsid w:val="001F2844"/>
    <w:rsid w:val="001F2994"/>
    <w:rsid w:val="001F3BD3"/>
    <w:rsid w:val="001F5017"/>
    <w:rsid w:val="001F6582"/>
    <w:rsid w:val="001F74C8"/>
    <w:rsid w:val="00200AC4"/>
    <w:rsid w:val="00200B66"/>
    <w:rsid w:val="00202321"/>
    <w:rsid w:val="00203116"/>
    <w:rsid w:val="0020561C"/>
    <w:rsid w:val="00205B72"/>
    <w:rsid w:val="00205CCC"/>
    <w:rsid w:val="00205DFC"/>
    <w:rsid w:val="00205E88"/>
    <w:rsid w:val="002065EE"/>
    <w:rsid w:val="00206DCD"/>
    <w:rsid w:val="00207724"/>
    <w:rsid w:val="00207CF7"/>
    <w:rsid w:val="00210021"/>
    <w:rsid w:val="0021241F"/>
    <w:rsid w:val="002134E7"/>
    <w:rsid w:val="00213645"/>
    <w:rsid w:val="0021444D"/>
    <w:rsid w:val="00215426"/>
    <w:rsid w:val="00215B10"/>
    <w:rsid w:val="00215B3C"/>
    <w:rsid w:val="00215D7A"/>
    <w:rsid w:val="00216ABB"/>
    <w:rsid w:val="00216D1F"/>
    <w:rsid w:val="00220F32"/>
    <w:rsid w:val="00223B63"/>
    <w:rsid w:val="002243D2"/>
    <w:rsid w:val="002245E1"/>
    <w:rsid w:val="00224E56"/>
    <w:rsid w:val="00225787"/>
    <w:rsid w:val="00225D81"/>
    <w:rsid w:val="00226A2C"/>
    <w:rsid w:val="00230056"/>
    <w:rsid w:val="002307A3"/>
    <w:rsid w:val="00230DE3"/>
    <w:rsid w:val="00231977"/>
    <w:rsid w:val="00231FAD"/>
    <w:rsid w:val="002323C0"/>
    <w:rsid w:val="0023293F"/>
    <w:rsid w:val="00232FFC"/>
    <w:rsid w:val="002343C3"/>
    <w:rsid w:val="002344C7"/>
    <w:rsid w:val="00234690"/>
    <w:rsid w:val="002366D9"/>
    <w:rsid w:val="00237748"/>
    <w:rsid w:val="0023776A"/>
    <w:rsid w:val="00240E30"/>
    <w:rsid w:val="00241C21"/>
    <w:rsid w:val="0024231B"/>
    <w:rsid w:val="00242A88"/>
    <w:rsid w:val="00242FB4"/>
    <w:rsid w:val="002430A1"/>
    <w:rsid w:val="00245BB6"/>
    <w:rsid w:val="00246D44"/>
    <w:rsid w:val="002472F8"/>
    <w:rsid w:val="00250937"/>
    <w:rsid w:val="00250C3D"/>
    <w:rsid w:val="00252A51"/>
    <w:rsid w:val="002540FA"/>
    <w:rsid w:val="002547C1"/>
    <w:rsid w:val="0025512B"/>
    <w:rsid w:val="00255DE8"/>
    <w:rsid w:val="002561DA"/>
    <w:rsid w:val="00256763"/>
    <w:rsid w:val="0025690C"/>
    <w:rsid w:val="00257129"/>
    <w:rsid w:val="00257842"/>
    <w:rsid w:val="002608EE"/>
    <w:rsid w:val="00260B29"/>
    <w:rsid w:val="00260EBB"/>
    <w:rsid w:val="00261D68"/>
    <w:rsid w:val="00262AB6"/>
    <w:rsid w:val="0026312B"/>
    <w:rsid w:val="00264AC9"/>
    <w:rsid w:val="00265527"/>
    <w:rsid w:val="00265805"/>
    <w:rsid w:val="002659BB"/>
    <w:rsid w:val="002670CE"/>
    <w:rsid w:val="00267D76"/>
    <w:rsid w:val="00267F1C"/>
    <w:rsid w:val="00270900"/>
    <w:rsid w:val="002713BB"/>
    <w:rsid w:val="002717A9"/>
    <w:rsid w:val="0027204A"/>
    <w:rsid w:val="0027312B"/>
    <w:rsid w:val="0027427B"/>
    <w:rsid w:val="00274701"/>
    <w:rsid w:val="00274764"/>
    <w:rsid w:val="00275827"/>
    <w:rsid w:val="00276C5E"/>
    <w:rsid w:val="002770C8"/>
    <w:rsid w:val="0027759C"/>
    <w:rsid w:val="00277853"/>
    <w:rsid w:val="002804D3"/>
    <w:rsid w:val="00281A88"/>
    <w:rsid w:val="0028200D"/>
    <w:rsid w:val="00282383"/>
    <w:rsid w:val="00282448"/>
    <w:rsid w:val="00282515"/>
    <w:rsid w:val="00284C76"/>
    <w:rsid w:val="0028564F"/>
    <w:rsid w:val="00286898"/>
    <w:rsid w:val="0028692C"/>
    <w:rsid w:val="00291544"/>
    <w:rsid w:val="002918B1"/>
    <w:rsid w:val="00291D2D"/>
    <w:rsid w:val="00292A11"/>
    <w:rsid w:val="00292C8F"/>
    <w:rsid w:val="00294585"/>
    <w:rsid w:val="00295CCD"/>
    <w:rsid w:val="0029660A"/>
    <w:rsid w:val="00296A19"/>
    <w:rsid w:val="002979D6"/>
    <w:rsid w:val="00297DBF"/>
    <w:rsid w:val="002A1F4D"/>
    <w:rsid w:val="002A2A80"/>
    <w:rsid w:val="002A3371"/>
    <w:rsid w:val="002A3CE2"/>
    <w:rsid w:val="002A613B"/>
    <w:rsid w:val="002A6716"/>
    <w:rsid w:val="002A7C35"/>
    <w:rsid w:val="002A7E57"/>
    <w:rsid w:val="002B03BB"/>
    <w:rsid w:val="002B165E"/>
    <w:rsid w:val="002B2A35"/>
    <w:rsid w:val="002B2EF7"/>
    <w:rsid w:val="002B3700"/>
    <w:rsid w:val="002B42C1"/>
    <w:rsid w:val="002B5EED"/>
    <w:rsid w:val="002B6C6D"/>
    <w:rsid w:val="002B7426"/>
    <w:rsid w:val="002C015E"/>
    <w:rsid w:val="002C0C7F"/>
    <w:rsid w:val="002C16DE"/>
    <w:rsid w:val="002C191F"/>
    <w:rsid w:val="002C1B98"/>
    <w:rsid w:val="002C3358"/>
    <w:rsid w:val="002C3E23"/>
    <w:rsid w:val="002C4203"/>
    <w:rsid w:val="002C458D"/>
    <w:rsid w:val="002C47F1"/>
    <w:rsid w:val="002C6398"/>
    <w:rsid w:val="002C6AEB"/>
    <w:rsid w:val="002C6EDE"/>
    <w:rsid w:val="002C6FB5"/>
    <w:rsid w:val="002D0178"/>
    <w:rsid w:val="002D018A"/>
    <w:rsid w:val="002D0A67"/>
    <w:rsid w:val="002D35D5"/>
    <w:rsid w:val="002D4A9E"/>
    <w:rsid w:val="002D4D8E"/>
    <w:rsid w:val="002D559E"/>
    <w:rsid w:val="002D73B8"/>
    <w:rsid w:val="002E0FD1"/>
    <w:rsid w:val="002E3436"/>
    <w:rsid w:val="002E3CD5"/>
    <w:rsid w:val="002E44DA"/>
    <w:rsid w:val="002E5B24"/>
    <w:rsid w:val="002E669D"/>
    <w:rsid w:val="002F052D"/>
    <w:rsid w:val="002F0F9A"/>
    <w:rsid w:val="002F210C"/>
    <w:rsid w:val="002F2426"/>
    <w:rsid w:val="002F2582"/>
    <w:rsid w:val="002F2FB3"/>
    <w:rsid w:val="002F3A43"/>
    <w:rsid w:val="00301865"/>
    <w:rsid w:val="00302531"/>
    <w:rsid w:val="00302B4A"/>
    <w:rsid w:val="00303DBF"/>
    <w:rsid w:val="0030471B"/>
    <w:rsid w:val="003054D7"/>
    <w:rsid w:val="00305E99"/>
    <w:rsid w:val="00307929"/>
    <w:rsid w:val="00310C3D"/>
    <w:rsid w:val="00310DAC"/>
    <w:rsid w:val="00311B8E"/>
    <w:rsid w:val="003122B1"/>
    <w:rsid w:val="00313110"/>
    <w:rsid w:val="00314A09"/>
    <w:rsid w:val="003169BE"/>
    <w:rsid w:val="00317CCB"/>
    <w:rsid w:val="00317F92"/>
    <w:rsid w:val="003218FF"/>
    <w:rsid w:val="00325C6C"/>
    <w:rsid w:val="00326BDD"/>
    <w:rsid w:val="0032793A"/>
    <w:rsid w:val="00330799"/>
    <w:rsid w:val="003307F5"/>
    <w:rsid w:val="00331482"/>
    <w:rsid w:val="00332167"/>
    <w:rsid w:val="003326E0"/>
    <w:rsid w:val="0033614E"/>
    <w:rsid w:val="00336CFF"/>
    <w:rsid w:val="003373DA"/>
    <w:rsid w:val="00337662"/>
    <w:rsid w:val="003404F3"/>
    <w:rsid w:val="00340751"/>
    <w:rsid w:val="00341F5A"/>
    <w:rsid w:val="00342315"/>
    <w:rsid w:val="00345577"/>
    <w:rsid w:val="00354559"/>
    <w:rsid w:val="003545AF"/>
    <w:rsid w:val="00355604"/>
    <w:rsid w:val="00355D9B"/>
    <w:rsid w:val="0036048F"/>
    <w:rsid w:val="00360CFC"/>
    <w:rsid w:val="003616D0"/>
    <w:rsid w:val="00363FFB"/>
    <w:rsid w:val="00364039"/>
    <w:rsid w:val="0036478C"/>
    <w:rsid w:val="00364F38"/>
    <w:rsid w:val="003652ED"/>
    <w:rsid w:val="0036629D"/>
    <w:rsid w:val="00366959"/>
    <w:rsid w:val="00366A27"/>
    <w:rsid w:val="00367EB7"/>
    <w:rsid w:val="0037002A"/>
    <w:rsid w:val="003700A3"/>
    <w:rsid w:val="0037156C"/>
    <w:rsid w:val="00371905"/>
    <w:rsid w:val="00372E12"/>
    <w:rsid w:val="0037415C"/>
    <w:rsid w:val="003758F2"/>
    <w:rsid w:val="0037634B"/>
    <w:rsid w:val="00377234"/>
    <w:rsid w:val="0038020D"/>
    <w:rsid w:val="00381C58"/>
    <w:rsid w:val="00382C32"/>
    <w:rsid w:val="00386082"/>
    <w:rsid w:val="0038724D"/>
    <w:rsid w:val="00387BC1"/>
    <w:rsid w:val="003903F4"/>
    <w:rsid w:val="00390D59"/>
    <w:rsid w:val="00391150"/>
    <w:rsid w:val="003914E6"/>
    <w:rsid w:val="00392505"/>
    <w:rsid w:val="00392C1C"/>
    <w:rsid w:val="00392C3F"/>
    <w:rsid w:val="0039408E"/>
    <w:rsid w:val="00394A44"/>
    <w:rsid w:val="00394E4A"/>
    <w:rsid w:val="003A00A0"/>
    <w:rsid w:val="003A06CD"/>
    <w:rsid w:val="003A0AB6"/>
    <w:rsid w:val="003A0AC8"/>
    <w:rsid w:val="003A1286"/>
    <w:rsid w:val="003A19E9"/>
    <w:rsid w:val="003A23EB"/>
    <w:rsid w:val="003A30B6"/>
    <w:rsid w:val="003A3DBE"/>
    <w:rsid w:val="003A3E05"/>
    <w:rsid w:val="003A48BD"/>
    <w:rsid w:val="003A5072"/>
    <w:rsid w:val="003A546E"/>
    <w:rsid w:val="003A566E"/>
    <w:rsid w:val="003A597C"/>
    <w:rsid w:val="003A61D5"/>
    <w:rsid w:val="003A65DA"/>
    <w:rsid w:val="003A73A7"/>
    <w:rsid w:val="003A7BFD"/>
    <w:rsid w:val="003A7ED3"/>
    <w:rsid w:val="003B00EC"/>
    <w:rsid w:val="003B0886"/>
    <w:rsid w:val="003B13F1"/>
    <w:rsid w:val="003B23E4"/>
    <w:rsid w:val="003B38E6"/>
    <w:rsid w:val="003B3ECD"/>
    <w:rsid w:val="003B6AC2"/>
    <w:rsid w:val="003B77E9"/>
    <w:rsid w:val="003B7B3E"/>
    <w:rsid w:val="003B7CB4"/>
    <w:rsid w:val="003C1ACA"/>
    <w:rsid w:val="003C2B0F"/>
    <w:rsid w:val="003C2E29"/>
    <w:rsid w:val="003C447D"/>
    <w:rsid w:val="003C46E0"/>
    <w:rsid w:val="003C4847"/>
    <w:rsid w:val="003C58A3"/>
    <w:rsid w:val="003C6507"/>
    <w:rsid w:val="003C66AF"/>
    <w:rsid w:val="003C6F9E"/>
    <w:rsid w:val="003D028B"/>
    <w:rsid w:val="003D1728"/>
    <w:rsid w:val="003D176E"/>
    <w:rsid w:val="003D1A69"/>
    <w:rsid w:val="003D1B3B"/>
    <w:rsid w:val="003D33A3"/>
    <w:rsid w:val="003D34E9"/>
    <w:rsid w:val="003D4E37"/>
    <w:rsid w:val="003D5F8E"/>
    <w:rsid w:val="003D64A0"/>
    <w:rsid w:val="003D70A5"/>
    <w:rsid w:val="003D77B2"/>
    <w:rsid w:val="003E1472"/>
    <w:rsid w:val="003E14DE"/>
    <w:rsid w:val="003E196A"/>
    <w:rsid w:val="003E2AFA"/>
    <w:rsid w:val="003E3B34"/>
    <w:rsid w:val="003E3F95"/>
    <w:rsid w:val="003E6CC2"/>
    <w:rsid w:val="003F0531"/>
    <w:rsid w:val="003F0548"/>
    <w:rsid w:val="003F07E4"/>
    <w:rsid w:val="003F1865"/>
    <w:rsid w:val="003F30BE"/>
    <w:rsid w:val="003F3CCA"/>
    <w:rsid w:val="003F51FE"/>
    <w:rsid w:val="003F6086"/>
    <w:rsid w:val="003F647A"/>
    <w:rsid w:val="003F73A7"/>
    <w:rsid w:val="004008D6"/>
    <w:rsid w:val="00402315"/>
    <w:rsid w:val="004041CA"/>
    <w:rsid w:val="004069A0"/>
    <w:rsid w:val="004073D0"/>
    <w:rsid w:val="00407FD8"/>
    <w:rsid w:val="00410134"/>
    <w:rsid w:val="00410FD1"/>
    <w:rsid w:val="0041252B"/>
    <w:rsid w:val="00412E50"/>
    <w:rsid w:val="00413984"/>
    <w:rsid w:val="004145C8"/>
    <w:rsid w:val="004146F2"/>
    <w:rsid w:val="00414A8C"/>
    <w:rsid w:val="00414AB8"/>
    <w:rsid w:val="00415327"/>
    <w:rsid w:val="00417138"/>
    <w:rsid w:val="00417933"/>
    <w:rsid w:val="00421919"/>
    <w:rsid w:val="004219D7"/>
    <w:rsid w:val="004220E1"/>
    <w:rsid w:val="004242E6"/>
    <w:rsid w:val="00424C32"/>
    <w:rsid w:val="00425C3C"/>
    <w:rsid w:val="00425FB3"/>
    <w:rsid w:val="00426594"/>
    <w:rsid w:val="0042743C"/>
    <w:rsid w:val="00427CC3"/>
    <w:rsid w:val="00430721"/>
    <w:rsid w:val="00430C71"/>
    <w:rsid w:val="004319DD"/>
    <w:rsid w:val="00432A71"/>
    <w:rsid w:val="00433254"/>
    <w:rsid w:val="004353DA"/>
    <w:rsid w:val="00435C5F"/>
    <w:rsid w:val="004374E1"/>
    <w:rsid w:val="00437644"/>
    <w:rsid w:val="0044013F"/>
    <w:rsid w:val="0044036D"/>
    <w:rsid w:val="00440B08"/>
    <w:rsid w:val="004413C3"/>
    <w:rsid w:val="0044248B"/>
    <w:rsid w:val="00442E2E"/>
    <w:rsid w:val="00443E37"/>
    <w:rsid w:val="00444308"/>
    <w:rsid w:val="004469E4"/>
    <w:rsid w:val="00446EC2"/>
    <w:rsid w:val="0044703C"/>
    <w:rsid w:val="004477F6"/>
    <w:rsid w:val="00447B6B"/>
    <w:rsid w:val="00451104"/>
    <w:rsid w:val="00451822"/>
    <w:rsid w:val="00451988"/>
    <w:rsid w:val="00452996"/>
    <w:rsid w:val="0045345B"/>
    <w:rsid w:val="00453761"/>
    <w:rsid w:val="00453D41"/>
    <w:rsid w:val="00453E8A"/>
    <w:rsid w:val="004543D7"/>
    <w:rsid w:val="004546A7"/>
    <w:rsid w:val="00455DB6"/>
    <w:rsid w:val="00456EF8"/>
    <w:rsid w:val="00457772"/>
    <w:rsid w:val="0046043B"/>
    <w:rsid w:val="00460675"/>
    <w:rsid w:val="004609E7"/>
    <w:rsid w:val="00460CF4"/>
    <w:rsid w:val="00460EA6"/>
    <w:rsid w:val="00461601"/>
    <w:rsid w:val="004631E2"/>
    <w:rsid w:val="004643A6"/>
    <w:rsid w:val="00464502"/>
    <w:rsid w:val="00464A28"/>
    <w:rsid w:val="00464F21"/>
    <w:rsid w:val="00466924"/>
    <w:rsid w:val="004702D9"/>
    <w:rsid w:val="00472CA4"/>
    <w:rsid w:val="004750D5"/>
    <w:rsid w:val="00480970"/>
    <w:rsid w:val="00481A2A"/>
    <w:rsid w:val="00483782"/>
    <w:rsid w:val="00484334"/>
    <w:rsid w:val="00484DE2"/>
    <w:rsid w:val="00487269"/>
    <w:rsid w:val="004876FD"/>
    <w:rsid w:val="00487AB0"/>
    <w:rsid w:val="00487D2B"/>
    <w:rsid w:val="0049007D"/>
    <w:rsid w:val="00490E3E"/>
    <w:rsid w:val="00491158"/>
    <w:rsid w:val="004927AB"/>
    <w:rsid w:val="0049574B"/>
    <w:rsid w:val="00495A57"/>
    <w:rsid w:val="00495BE4"/>
    <w:rsid w:val="00497551"/>
    <w:rsid w:val="004A06AA"/>
    <w:rsid w:val="004A0751"/>
    <w:rsid w:val="004A0A93"/>
    <w:rsid w:val="004A1183"/>
    <w:rsid w:val="004A203E"/>
    <w:rsid w:val="004A22BE"/>
    <w:rsid w:val="004A2B2E"/>
    <w:rsid w:val="004A2E2A"/>
    <w:rsid w:val="004A3405"/>
    <w:rsid w:val="004A37AF"/>
    <w:rsid w:val="004A4F93"/>
    <w:rsid w:val="004A519F"/>
    <w:rsid w:val="004A56CB"/>
    <w:rsid w:val="004A6756"/>
    <w:rsid w:val="004A68B2"/>
    <w:rsid w:val="004A7959"/>
    <w:rsid w:val="004A7EC4"/>
    <w:rsid w:val="004B014F"/>
    <w:rsid w:val="004B1943"/>
    <w:rsid w:val="004B2C95"/>
    <w:rsid w:val="004B351E"/>
    <w:rsid w:val="004B594C"/>
    <w:rsid w:val="004B5DD3"/>
    <w:rsid w:val="004B626D"/>
    <w:rsid w:val="004B681F"/>
    <w:rsid w:val="004B7ACA"/>
    <w:rsid w:val="004B7CFC"/>
    <w:rsid w:val="004C0A48"/>
    <w:rsid w:val="004C0AE4"/>
    <w:rsid w:val="004C0F70"/>
    <w:rsid w:val="004C4324"/>
    <w:rsid w:val="004C50BA"/>
    <w:rsid w:val="004C6336"/>
    <w:rsid w:val="004C68F6"/>
    <w:rsid w:val="004C6AB3"/>
    <w:rsid w:val="004D0270"/>
    <w:rsid w:val="004D09A2"/>
    <w:rsid w:val="004D23BF"/>
    <w:rsid w:val="004D372F"/>
    <w:rsid w:val="004D3C8E"/>
    <w:rsid w:val="004D42DC"/>
    <w:rsid w:val="004D4DC7"/>
    <w:rsid w:val="004D5201"/>
    <w:rsid w:val="004D5EC0"/>
    <w:rsid w:val="004D661A"/>
    <w:rsid w:val="004D78AF"/>
    <w:rsid w:val="004D7A7B"/>
    <w:rsid w:val="004E0036"/>
    <w:rsid w:val="004E0F40"/>
    <w:rsid w:val="004E1CFE"/>
    <w:rsid w:val="004E1D61"/>
    <w:rsid w:val="004E3563"/>
    <w:rsid w:val="004E3852"/>
    <w:rsid w:val="004E5722"/>
    <w:rsid w:val="004E74BE"/>
    <w:rsid w:val="004E7746"/>
    <w:rsid w:val="004F01B4"/>
    <w:rsid w:val="004F1DD1"/>
    <w:rsid w:val="004F1F08"/>
    <w:rsid w:val="004F200A"/>
    <w:rsid w:val="004F3202"/>
    <w:rsid w:val="004F3D50"/>
    <w:rsid w:val="004F3E6A"/>
    <w:rsid w:val="004F5CDA"/>
    <w:rsid w:val="004F6C12"/>
    <w:rsid w:val="004F6C7E"/>
    <w:rsid w:val="004F6D60"/>
    <w:rsid w:val="004F73AA"/>
    <w:rsid w:val="004F7961"/>
    <w:rsid w:val="0050087E"/>
    <w:rsid w:val="00501487"/>
    <w:rsid w:val="00503565"/>
    <w:rsid w:val="00503E38"/>
    <w:rsid w:val="0050449E"/>
    <w:rsid w:val="00504503"/>
    <w:rsid w:val="0050542D"/>
    <w:rsid w:val="00506D91"/>
    <w:rsid w:val="00506FA9"/>
    <w:rsid w:val="005116B9"/>
    <w:rsid w:val="00513969"/>
    <w:rsid w:val="00513CF1"/>
    <w:rsid w:val="00516221"/>
    <w:rsid w:val="00516375"/>
    <w:rsid w:val="00516A85"/>
    <w:rsid w:val="00516C11"/>
    <w:rsid w:val="00520D03"/>
    <w:rsid w:val="00522B5E"/>
    <w:rsid w:val="00522DB9"/>
    <w:rsid w:val="005234AC"/>
    <w:rsid w:val="00524330"/>
    <w:rsid w:val="005251F6"/>
    <w:rsid w:val="0052590F"/>
    <w:rsid w:val="00526178"/>
    <w:rsid w:val="00526456"/>
    <w:rsid w:val="0053128E"/>
    <w:rsid w:val="005316D2"/>
    <w:rsid w:val="00533029"/>
    <w:rsid w:val="005338FF"/>
    <w:rsid w:val="00534501"/>
    <w:rsid w:val="00535D5C"/>
    <w:rsid w:val="00535F6A"/>
    <w:rsid w:val="005369AD"/>
    <w:rsid w:val="00537429"/>
    <w:rsid w:val="00540816"/>
    <w:rsid w:val="005408D5"/>
    <w:rsid w:val="00541DF7"/>
    <w:rsid w:val="00543870"/>
    <w:rsid w:val="00543F31"/>
    <w:rsid w:val="005448AB"/>
    <w:rsid w:val="00545BB4"/>
    <w:rsid w:val="00545E0D"/>
    <w:rsid w:val="00546E1C"/>
    <w:rsid w:val="00551837"/>
    <w:rsid w:val="005519EB"/>
    <w:rsid w:val="00552A79"/>
    <w:rsid w:val="00552CCA"/>
    <w:rsid w:val="00554217"/>
    <w:rsid w:val="00554D2C"/>
    <w:rsid w:val="00556A64"/>
    <w:rsid w:val="00557044"/>
    <w:rsid w:val="00561CF5"/>
    <w:rsid w:val="0056385A"/>
    <w:rsid w:val="005640F7"/>
    <w:rsid w:val="0056521C"/>
    <w:rsid w:val="00565565"/>
    <w:rsid w:val="00565FF7"/>
    <w:rsid w:val="00567166"/>
    <w:rsid w:val="0057043F"/>
    <w:rsid w:val="00571EAA"/>
    <w:rsid w:val="005732BF"/>
    <w:rsid w:val="00573913"/>
    <w:rsid w:val="00574DB0"/>
    <w:rsid w:val="005752C0"/>
    <w:rsid w:val="005752EB"/>
    <w:rsid w:val="00575F08"/>
    <w:rsid w:val="00576A77"/>
    <w:rsid w:val="00576D69"/>
    <w:rsid w:val="005777B6"/>
    <w:rsid w:val="00577DE4"/>
    <w:rsid w:val="00577E0A"/>
    <w:rsid w:val="00580EDA"/>
    <w:rsid w:val="005818A7"/>
    <w:rsid w:val="00587381"/>
    <w:rsid w:val="00590769"/>
    <w:rsid w:val="0059155A"/>
    <w:rsid w:val="00592A6F"/>
    <w:rsid w:val="005952BB"/>
    <w:rsid w:val="0059555E"/>
    <w:rsid w:val="00595F48"/>
    <w:rsid w:val="005964B5"/>
    <w:rsid w:val="00597B35"/>
    <w:rsid w:val="005A0938"/>
    <w:rsid w:val="005A3063"/>
    <w:rsid w:val="005A3A39"/>
    <w:rsid w:val="005A3BB4"/>
    <w:rsid w:val="005A570E"/>
    <w:rsid w:val="005A6A28"/>
    <w:rsid w:val="005A6BA5"/>
    <w:rsid w:val="005A7DBC"/>
    <w:rsid w:val="005B1A36"/>
    <w:rsid w:val="005B2742"/>
    <w:rsid w:val="005B3164"/>
    <w:rsid w:val="005B3231"/>
    <w:rsid w:val="005B4A03"/>
    <w:rsid w:val="005B76F0"/>
    <w:rsid w:val="005C1558"/>
    <w:rsid w:val="005C15D0"/>
    <w:rsid w:val="005C417F"/>
    <w:rsid w:val="005C5183"/>
    <w:rsid w:val="005C5245"/>
    <w:rsid w:val="005C52FD"/>
    <w:rsid w:val="005C62EC"/>
    <w:rsid w:val="005C652B"/>
    <w:rsid w:val="005C71BB"/>
    <w:rsid w:val="005C7D99"/>
    <w:rsid w:val="005D009D"/>
    <w:rsid w:val="005D02D2"/>
    <w:rsid w:val="005D0C83"/>
    <w:rsid w:val="005D0CC6"/>
    <w:rsid w:val="005D1F3D"/>
    <w:rsid w:val="005D22F0"/>
    <w:rsid w:val="005D236B"/>
    <w:rsid w:val="005D2DE9"/>
    <w:rsid w:val="005D3A5F"/>
    <w:rsid w:val="005D51D9"/>
    <w:rsid w:val="005D5237"/>
    <w:rsid w:val="005D571C"/>
    <w:rsid w:val="005D7115"/>
    <w:rsid w:val="005D7272"/>
    <w:rsid w:val="005E027B"/>
    <w:rsid w:val="005E07F1"/>
    <w:rsid w:val="005E0839"/>
    <w:rsid w:val="005E0B74"/>
    <w:rsid w:val="005E2496"/>
    <w:rsid w:val="005E3D36"/>
    <w:rsid w:val="005E489F"/>
    <w:rsid w:val="005E52A8"/>
    <w:rsid w:val="005E5DFB"/>
    <w:rsid w:val="005E64A4"/>
    <w:rsid w:val="005E6CF2"/>
    <w:rsid w:val="005E6DB6"/>
    <w:rsid w:val="005F147B"/>
    <w:rsid w:val="005F1EAD"/>
    <w:rsid w:val="005F29E4"/>
    <w:rsid w:val="005F4847"/>
    <w:rsid w:val="005F4C97"/>
    <w:rsid w:val="005F62A8"/>
    <w:rsid w:val="006012E1"/>
    <w:rsid w:val="00601461"/>
    <w:rsid w:val="00601E08"/>
    <w:rsid w:val="0060202A"/>
    <w:rsid w:val="00602268"/>
    <w:rsid w:val="00602BFF"/>
    <w:rsid w:val="00603B08"/>
    <w:rsid w:val="00604494"/>
    <w:rsid w:val="0060453B"/>
    <w:rsid w:val="0060508F"/>
    <w:rsid w:val="00605DE0"/>
    <w:rsid w:val="00606FAB"/>
    <w:rsid w:val="00607ECF"/>
    <w:rsid w:val="006104AB"/>
    <w:rsid w:val="00611B0A"/>
    <w:rsid w:val="00611C01"/>
    <w:rsid w:val="00612C67"/>
    <w:rsid w:val="00615CE0"/>
    <w:rsid w:val="00615CEE"/>
    <w:rsid w:val="00616D07"/>
    <w:rsid w:val="006202D7"/>
    <w:rsid w:val="006209D0"/>
    <w:rsid w:val="00621774"/>
    <w:rsid w:val="00621B73"/>
    <w:rsid w:val="00623506"/>
    <w:rsid w:val="0062698D"/>
    <w:rsid w:val="00626F4D"/>
    <w:rsid w:val="00630B61"/>
    <w:rsid w:val="00632188"/>
    <w:rsid w:val="0063344E"/>
    <w:rsid w:val="00633B33"/>
    <w:rsid w:val="00633D78"/>
    <w:rsid w:val="00634633"/>
    <w:rsid w:val="00634DE4"/>
    <w:rsid w:val="006357A5"/>
    <w:rsid w:val="00635B79"/>
    <w:rsid w:val="00635E8D"/>
    <w:rsid w:val="00640CE0"/>
    <w:rsid w:val="006416DF"/>
    <w:rsid w:val="0064368B"/>
    <w:rsid w:val="0064470C"/>
    <w:rsid w:val="0064503D"/>
    <w:rsid w:val="00646444"/>
    <w:rsid w:val="00647FAF"/>
    <w:rsid w:val="00650335"/>
    <w:rsid w:val="006509A9"/>
    <w:rsid w:val="00650E30"/>
    <w:rsid w:val="00652040"/>
    <w:rsid w:val="00652848"/>
    <w:rsid w:val="00653EA2"/>
    <w:rsid w:val="00656C10"/>
    <w:rsid w:val="006571F5"/>
    <w:rsid w:val="00657FF3"/>
    <w:rsid w:val="006600A4"/>
    <w:rsid w:val="00660BC2"/>
    <w:rsid w:val="006610B7"/>
    <w:rsid w:val="00661475"/>
    <w:rsid w:val="00662BD2"/>
    <w:rsid w:val="00662F31"/>
    <w:rsid w:val="00663AFC"/>
    <w:rsid w:val="00664C2A"/>
    <w:rsid w:val="0066654C"/>
    <w:rsid w:val="00670399"/>
    <w:rsid w:val="00670B45"/>
    <w:rsid w:val="006715C3"/>
    <w:rsid w:val="00671AB1"/>
    <w:rsid w:val="0067275D"/>
    <w:rsid w:val="00673DA1"/>
    <w:rsid w:val="00674336"/>
    <w:rsid w:val="0067523C"/>
    <w:rsid w:val="006752D2"/>
    <w:rsid w:val="00677EF4"/>
    <w:rsid w:val="00682A9A"/>
    <w:rsid w:val="00683308"/>
    <w:rsid w:val="00684510"/>
    <w:rsid w:val="006846FE"/>
    <w:rsid w:val="00687202"/>
    <w:rsid w:val="0069074B"/>
    <w:rsid w:val="00691072"/>
    <w:rsid w:val="006912A2"/>
    <w:rsid w:val="00692819"/>
    <w:rsid w:val="00692C9B"/>
    <w:rsid w:val="006936C2"/>
    <w:rsid w:val="00693C95"/>
    <w:rsid w:val="00694C89"/>
    <w:rsid w:val="00695DD2"/>
    <w:rsid w:val="006A22F6"/>
    <w:rsid w:val="006A2AC4"/>
    <w:rsid w:val="006A57EC"/>
    <w:rsid w:val="006A6A23"/>
    <w:rsid w:val="006A706B"/>
    <w:rsid w:val="006A7438"/>
    <w:rsid w:val="006A7AB0"/>
    <w:rsid w:val="006A7D13"/>
    <w:rsid w:val="006B0356"/>
    <w:rsid w:val="006B0AC0"/>
    <w:rsid w:val="006B307C"/>
    <w:rsid w:val="006B3A8D"/>
    <w:rsid w:val="006B489E"/>
    <w:rsid w:val="006B61FA"/>
    <w:rsid w:val="006B6DCB"/>
    <w:rsid w:val="006C0BFA"/>
    <w:rsid w:val="006C175D"/>
    <w:rsid w:val="006C1854"/>
    <w:rsid w:val="006C28C8"/>
    <w:rsid w:val="006C2D16"/>
    <w:rsid w:val="006C3626"/>
    <w:rsid w:val="006C4019"/>
    <w:rsid w:val="006C414C"/>
    <w:rsid w:val="006C4927"/>
    <w:rsid w:val="006C5A15"/>
    <w:rsid w:val="006C638C"/>
    <w:rsid w:val="006C7728"/>
    <w:rsid w:val="006D071A"/>
    <w:rsid w:val="006D106B"/>
    <w:rsid w:val="006D15AD"/>
    <w:rsid w:val="006D1C0E"/>
    <w:rsid w:val="006D44CA"/>
    <w:rsid w:val="006D58C8"/>
    <w:rsid w:val="006D59B0"/>
    <w:rsid w:val="006E0AA0"/>
    <w:rsid w:val="006E0E4C"/>
    <w:rsid w:val="006E0EAE"/>
    <w:rsid w:val="006E1512"/>
    <w:rsid w:val="006E1EE3"/>
    <w:rsid w:val="006E4574"/>
    <w:rsid w:val="006E4CD8"/>
    <w:rsid w:val="006E564E"/>
    <w:rsid w:val="006E609A"/>
    <w:rsid w:val="006E731A"/>
    <w:rsid w:val="006E7503"/>
    <w:rsid w:val="006E7885"/>
    <w:rsid w:val="006F0B1D"/>
    <w:rsid w:val="006F0DE9"/>
    <w:rsid w:val="006F1A97"/>
    <w:rsid w:val="006F1D68"/>
    <w:rsid w:val="006F1DAB"/>
    <w:rsid w:val="006F3D2F"/>
    <w:rsid w:val="006F4D52"/>
    <w:rsid w:val="006F527A"/>
    <w:rsid w:val="006F65D4"/>
    <w:rsid w:val="006F705E"/>
    <w:rsid w:val="006F7434"/>
    <w:rsid w:val="00700EB4"/>
    <w:rsid w:val="00701A6C"/>
    <w:rsid w:val="00702BC1"/>
    <w:rsid w:val="007048C5"/>
    <w:rsid w:val="007074F9"/>
    <w:rsid w:val="007101DC"/>
    <w:rsid w:val="00711002"/>
    <w:rsid w:val="0071145E"/>
    <w:rsid w:val="007123B3"/>
    <w:rsid w:val="007124B2"/>
    <w:rsid w:val="0071286C"/>
    <w:rsid w:val="00713873"/>
    <w:rsid w:val="00715EF9"/>
    <w:rsid w:val="007160C9"/>
    <w:rsid w:val="00721F23"/>
    <w:rsid w:val="00722102"/>
    <w:rsid w:val="0072212C"/>
    <w:rsid w:val="007231C5"/>
    <w:rsid w:val="00723CF0"/>
    <w:rsid w:val="007241EB"/>
    <w:rsid w:val="00724357"/>
    <w:rsid w:val="0072484C"/>
    <w:rsid w:val="00724D6F"/>
    <w:rsid w:val="00724E47"/>
    <w:rsid w:val="00725BAA"/>
    <w:rsid w:val="00727BC3"/>
    <w:rsid w:val="00727C74"/>
    <w:rsid w:val="00727E7A"/>
    <w:rsid w:val="0073151F"/>
    <w:rsid w:val="007318F6"/>
    <w:rsid w:val="00731D97"/>
    <w:rsid w:val="0073276C"/>
    <w:rsid w:val="00733655"/>
    <w:rsid w:val="00733FA6"/>
    <w:rsid w:val="00735237"/>
    <w:rsid w:val="00736835"/>
    <w:rsid w:val="00736D2F"/>
    <w:rsid w:val="007376A3"/>
    <w:rsid w:val="00741C60"/>
    <w:rsid w:val="00742117"/>
    <w:rsid w:val="0074224E"/>
    <w:rsid w:val="0074391C"/>
    <w:rsid w:val="00743FFE"/>
    <w:rsid w:val="007440AD"/>
    <w:rsid w:val="00747C4F"/>
    <w:rsid w:val="00751027"/>
    <w:rsid w:val="0075114F"/>
    <w:rsid w:val="007512B2"/>
    <w:rsid w:val="007519FB"/>
    <w:rsid w:val="007541EE"/>
    <w:rsid w:val="00754FCE"/>
    <w:rsid w:val="00756790"/>
    <w:rsid w:val="00756851"/>
    <w:rsid w:val="00756C30"/>
    <w:rsid w:val="00757895"/>
    <w:rsid w:val="007579FC"/>
    <w:rsid w:val="00760DBC"/>
    <w:rsid w:val="00767246"/>
    <w:rsid w:val="007677AC"/>
    <w:rsid w:val="00770764"/>
    <w:rsid w:val="00770EE0"/>
    <w:rsid w:val="00771ECA"/>
    <w:rsid w:val="007724B5"/>
    <w:rsid w:val="00773397"/>
    <w:rsid w:val="00773830"/>
    <w:rsid w:val="007742F6"/>
    <w:rsid w:val="0077478F"/>
    <w:rsid w:val="00774944"/>
    <w:rsid w:val="00774A69"/>
    <w:rsid w:val="007754ED"/>
    <w:rsid w:val="007761BF"/>
    <w:rsid w:val="007779B2"/>
    <w:rsid w:val="00777CC7"/>
    <w:rsid w:val="007803EF"/>
    <w:rsid w:val="00781D76"/>
    <w:rsid w:val="0078259F"/>
    <w:rsid w:val="007839AF"/>
    <w:rsid w:val="0078437E"/>
    <w:rsid w:val="00784B8C"/>
    <w:rsid w:val="0078567E"/>
    <w:rsid w:val="00785C2E"/>
    <w:rsid w:val="00785F1B"/>
    <w:rsid w:val="007860DC"/>
    <w:rsid w:val="0078627E"/>
    <w:rsid w:val="0078657D"/>
    <w:rsid w:val="00786680"/>
    <w:rsid w:val="00786F82"/>
    <w:rsid w:val="007872BF"/>
    <w:rsid w:val="0078774D"/>
    <w:rsid w:val="0079238A"/>
    <w:rsid w:val="0079331A"/>
    <w:rsid w:val="00794426"/>
    <w:rsid w:val="00794841"/>
    <w:rsid w:val="00795059"/>
    <w:rsid w:val="00795E40"/>
    <w:rsid w:val="007A029D"/>
    <w:rsid w:val="007A0892"/>
    <w:rsid w:val="007A2400"/>
    <w:rsid w:val="007A3354"/>
    <w:rsid w:val="007A3C15"/>
    <w:rsid w:val="007A4BE9"/>
    <w:rsid w:val="007A5E1D"/>
    <w:rsid w:val="007A6433"/>
    <w:rsid w:val="007A703D"/>
    <w:rsid w:val="007B1E3E"/>
    <w:rsid w:val="007B22B5"/>
    <w:rsid w:val="007B42F2"/>
    <w:rsid w:val="007B5D2E"/>
    <w:rsid w:val="007B7FD0"/>
    <w:rsid w:val="007C23F1"/>
    <w:rsid w:val="007C28AD"/>
    <w:rsid w:val="007C3667"/>
    <w:rsid w:val="007C4A40"/>
    <w:rsid w:val="007C4F64"/>
    <w:rsid w:val="007C60D5"/>
    <w:rsid w:val="007C670E"/>
    <w:rsid w:val="007C77AC"/>
    <w:rsid w:val="007C7AE4"/>
    <w:rsid w:val="007D1A66"/>
    <w:rsid w:val="007D328D"/>
    <w:rsid w:val="007D3E58"/>
    <w:rsid w:val="007D47E1"/>
    <w:rsid w:val="007D53BE"/>
    <w:rsid w:val="007D5FA3"/>
    <w:rsid w:val="007D5FFB"/>
    <w:rsid w:val="007D7191"/>
    <w:rsid w:val="007D791A"/>
    <w:rsid w:val="007D79E3"/>
    <w:rsid w:val="007D7C81"/>
    <w:rsid w:val="007D7EEA"/>
    <w:rsid w:val="007E0036"/>
    <w:rsid w:val="007E08FF"/>
    <w:rsid w:val="007E0E51"/>
    <w:rsid w:val="007E106A"/>
    <w:rsid w:val="007E1128"/>
    <w:rsid w:val="007E1DCB"/>
    <w:rsid w:val="007E2E2C"/>
    <w:rsid w:val="007E3157"/>
    <w:rsid w:val="007E62F8"/>
    <w:rsid w:val="007E692D"/>
    <w:rsid w:val="007F0E13"/>
    <w:rsid w:val="007F191B"/>
    <w:rsid w:val="007F2628"/>
    <w:rsid w:val="007F36E9"/>
    <w:rsid w:val="007F7565"/>
    <w:rsid w:val="007F7740"/>
    <w:rsid w:val="007F7F89"/>
    <w:rsid w:val="008000E0"/>
    <w:rsid w:val="00800121"/>
    <w:rsid w:val="00800369"/>
    <w:rsid w:val="00804558"/>
    <w:rsid w:val="00804743"/>
    <w:rsid w:val="00804A7E"/>
    <w:rsid w:val="00804FAB"/>
    <w:rsid w:val="00805510"/>
    <w:rsid w:val="008055D3"/>
    <w:rsid w:val="00806384"/>
    <w:rsid w:val="00806A62"/>
    <w:rsid w:val="00806AE9"/>
    <w:rsid w:val="00810CA5"/>
    <w:rsid w:val="0081163F"/>
    <w:rsid w:val="00811FF2"/>
    <w:rsid w:val="008120B0"/>
    <w:rsid w:val="008121C5"/>
    <w:rsid w:val="00812459"/>
    <w:rsid w:val="00812499"/>
    <w:rsid w:val="008125AD"/>
    <w:rsid w:val="00813352"/>
    <w:rsid w:val="008140D9"/>
    <w:rsid w:val="00820581"/>
    <w:rsid w:val="00820D35"/>
    <w:rsid w:val="00822490"/>
    <w:rsid w:val="00825891"/>
    <w:rsid w:val="00825D71"/>
    <w:rsid w:val="00827050"/>
    <w:rsid w:val="008273AD"/>
    <w:rsid w:val="008279F2"/>
    <w:rsid w:val="00827C36"/>
    <w:rsid w:val="0083121E"/>
    <w:rsid w:val="0083139D"/>
    <w:rsid w:val="0083169F"/>
    <w:rsid w:val="008316E7"/>
    <w:rsid w:val="00831886"/>
    <w:rsid w:val="008334A7"/>
    <w:rsid w:val="0083468B"/>
    <w:rsid w:val="00834B77"/>
    <w:rsid w:val="0083548E"/>
    <w:rsid w:val="0083763E"/>
    <w:rsid w:val="008415BA"/>
    <w:rsid w:val="008418B2"/>
    <w:rsid w:val="00842D50"/>
    <w:rsid w:val="008435EE"/>
    <w:rsid w:val="00843BDC"/>
    <w:rsid w:val="008440E4"/>
    <w:rsid w:val="00844502"/>
    <w:rsid w:val="00844BF0"/>
    <w:rsid w:val="00846E7E"/>
    <w:rsid w:val="00847004"/>
    <w:rsid w:val="008474A4"/>
    <w:rsid w:val="00851E47"/>
    <w:rsid w:val="0085363A"/>
    <w:rsid w:val="0085449A"/>
    <w:rsid w:val="008547C6"/>
    <w:rsid w:val="00854D24"/>
    <w:rsid w:val="00854E23"/>
    <w:rsid w:val="00855ADD"/>
    <w:rsid w:val="00855C78"/>
    <w:rsid w:val="00855D16"/>
    <w:rsid w:val="00855E85"/>
    <w:rsid w:val="00857859"/>
    <w:rsid w:val="00857D4A"/>
    <w:rsid w:val="00857DB5"/>
    <w:rsid w:val="0086112B"/>
    <w:rsid w:val="00861583"/>
    <w:rsid w:val="00863693"/>
    <w:rsid w:val="008638EF"/>
    <w:rsid w:val="00864B24"/>
    <w:rsid w:val="008655B6"/>
    <w:rsid w:val="00865615"/>
    <w:rsid w:val="00865AED"/>
    <w:rsid w:val="00867E11"/>
    <w:rsid w:val="00867F4A"/>
    <w:rsid w:val="00867FAA"/>
    <w:rsid w:val="0087063A"/>
    <w:rsid w:val="008709B5"/>
    <w:rsid w:val="00870CD8"/>
    <w:rsid w:val="008711A7"/>
    <w:rsid w:val="00872FDF"/>
    <w:rsid w:val="0087360D"/>
    <w:rsid w:val="00873C24"/>
    <w:rsid w:val="00873CCA"/>
    <w:rsid w:val="008743CD"/>
    <w:rsid w:val="00875F0E"/>
    <w:rsid w:val="008764F1"/>
    <w:rsid w:val="008775D0"/>
    <w:rsid w:val="008779A0"/>
    <w:rsid w:val="00877EAA"/>
    <w:rsid w:val="00877EE8"/>
    <w:rsid w:val="0088080A"/>
    <w:rsid w:val="008817A5"/>
    <w:rsid w:val="008836D4"/>
    <w:rsid w:val="00884082"/>
    <w:rsid w:val="008859D0"/>
    <w:rsid w:val="0088691E"/>
    <w:rsid w:val="00887605"/>
    <w:rsid w:val="0088774E"/>
    <w:rsid w:val="00892A65"/>
    <w:rsid w:val="008977DF"/>
    <w:rsid w:val="008A0307"/>
    <w:rsid w:val="008A0DA4"/>
    <w:rsid w:val="008A2676"/>
    <w:rsid w:val="008A296F"/>
    <w:rsid w:val="008A3CB3"/>
    <w:rsid w:val="008A61D8"/>
    <w:rsid w:val="008A7EA5"/>
    <w:rsid w:val="008B0791"/>
    <w:rsid w:val="008B0B72"/>
    <w:rsid w:val="008B19DD"/>
    <w:rsid w:val="008B1AA9"/>
    <w:rsid w:val="008B228C"/>
    <w:rsid w:val="008B3310"/>
    <w:rsid w:val="008B395A"/>
    <w:rsid w:val="008B490B"/>
    <w:rsid w:val="008B5991"/>
    <w:rsid w:val="008B68C4"/>
    <w:rsid w:val="008B72F8"/>
    <w:rsid w:val="008B77CA"/>
    <w:rsid w:val="008C01D7"/>
    <w:rsid w:val="008C09D0"/>
    <w:rsid w:val="008C1A2B"/>
    <w:rsid w:val="008C302A"/>
    <w:rsid w:val="008C5188"/>
    <w:rsid w:val="008C55A6"/>
    <w:rsid w:val="008C5C2D"/>
    <w:rsid w:val="008D0963"/>
    <w:rsid w:val="008D1FFC"/>
    <w:rsid w:val="008D2C11"/>
    <w:rsid w:val="008D41DE"/>
    <w:rsid w:val="008D56EA"/>
    <w:rsid w:val="008E05B2"/>
    <w:rsid w:val="008E06FB"/>
    <w:rsid w:val="008E0ABA"/>
    <w:rsid w:val="008E1248"/>
    <w:rsid w:val="008E20D0"/>
    <w:rsid w:val="008E3853"/>
    <w:rsid w:val="008E53CF"/>
    <w:rsid w:val="008E6095"/>
    <w:rsid w:val="008E73B7"/>
    <w:rsid w:val="008F0ED3"/>
    <w:rsid w:val="008F1928"/>
    <w:rsid w:val="008F31E9"/>
    <w:rsid w:val="008F3875"/>
    <w:rsid w:val="008F5EB2"/>
    <w:rsid w:val="008F766F"/>
    <w:rsid w:val="008F7967"/>
    <w:rsid w:val="008F797A"/>
    <w:rsid w:val="00903EE6"/>
    <w:rsid w:val="009042CE"/>
    <w:rsid w:val="00905B35"/>
    <w:rsid w:val="00905BC3"/>
    <w:rsid w:val="00906928"/>
    <w:rsid w:val="00906DCC"/>
    <w:rsid w:val="00911034"/>
    <w:rsid w:val="009110B4"/>
    <w:rsid w:val="00911861"/>
    <w:rsid w:val="00912231"/>
    <w:rsid w:val="0091297C"/>
    <w:rsid w:val="0091404A"/>
    <w:rsid w:val="009140FF"/>
    <w:rsid w:val="00914401"/>
    <w:rsid w:val="009156F6"/>
    <w:rsid w:val="00915BA3"/>
    <w:rsid w:val="00917E25"/>
    <w:rsid w:val="009205BB"/>
    <w:rsid w:val="009208C6"/>
    <w:rsid w:val="00920B75"/>
    <w:rsid w:val="0092118A"/>
    <w:rsid w:val="00923608"/>
    <w:rsid w:val="00924A11"/>
    <w:rsid w:val="00924A87"/>
    <w:rsid w:val="009253F2"/>
    <w:rsid w:val="0092649A"/>
    <w:rsid w:val="00926E4E"/>
    <w:rsid w:val="009273EB"/>
    <w:rsid w:val="0092740D"/>
    <w:rsid w:val="009305C0"/>
    <w:rsid w:val="00930672"/>
    <w:rsid w:val="00930B62"/>
    <w:rsid w:val="00930D59"/>
    <w:rsid w:val="00932155"/>
    <w:rsid w:val="009352D7"/>
    <w:rsid w:val="009353E1"/>
    <w:rsid w:val="00935887"/>
    <w:rsid w:val="00936BFA"/>
    <w:rsid w:val="00937080"/>
    <w:rsid w:val="00937484"/>
    <w:rsid w:val="009375CD"/>
    <w:rsid w:val="00937B3B"/>
    <w:rsid w:val="00937E18"/>
    <w:rsid w:val="00937E73"/>
    <w:rsid w:val="00940161"/>
    <w:rsid w:val="009416E5"/>
    <w:rsid w:val="009421E7"/>
    <w:rsid w:val="00942953"/>
    <w:rsid w:val="00942AC4"/>
    <w:rsid w:val="00943509"/>
    <w:rsid w:val="00944069"/>
    <w:rsid w:val="00944414"/>
    <w:rsid w:val="009449C1"/>
    <w:rsid w:val="00945189"/>
    <w:rsid w:val="00946221"/>
    <w:rsid w:val="009462B4"/>
    <w:rsid w:val="009470FC"/>
    <w:rsid w:val="00947400"/>
    <w:rsid w:val="009475E2"/>
    <w:rsid w:val="00950754"/>
    <w:rsid w:val="00950C00"/>
    <w:rsid w:val="009510A4"/>
    <w:rsid w:val="00951116"/>
    <w:rsid w:val="009512CC"/>
    <w:rsid w:val="00951E12"/>
    <w:rsid w:val="00953440"/>
    <w:rsid w:val="00954185"/>
    <w:rsid w:val="0095590D"/>
    <w:rsid w:val="00955C4D"/>
    <w:rsid w:val="00960305"/>
    <w:rsid w:val="00960F1E"/>
    <w:rsid w:val="009611F4"/>
    <w:rsid w:val="0096211B"/>
    <w:rsid w:val="009628AD"/>
    <w:rsid w:val="00962EB5"/>
    <w:rsid w:val="009630BA"/>
    <w:rsid w:val="00963ADF"/>
    <w:rsid w:val="00963EEF"/>
    <w:rsid w:val="0096576C"/>
    <w:rsid w:val="00965C02"/>
    <w:rsid w:val="00966480"/>
    <w:rsid w:val="009669B4"/>
    <w:rsid w:val="009676C1"/>
    <w:rsid w:val="00967788"/>
    <w:rsid w:val="00967981"/>
    <w:rsid w:val="009701B5"/>
    <w:rsid w:val="0097158E"/>
    <w:rsid w:val="00971817"/>
    <w:rsid w:val="0097219F"/>
    <w:rsid w:val="009731A6"/>
    <w:rsid w:val="00974D10"/>
    <w:rsid w:val="00975EF5"/>
    <w:rsid w:val="009767F1"/>
    <w:rsid w:val="00977583"/>
    <w:rsid w:val="009778CE"/>
    <w:rsid w:val="00977DE6"/>
    <w:rsid w:val="009812BC"/>
    <w:rsid w:val="00984AF9"/>
    <w:rsid w:val="009858DD"/>
    <w:rsid w:val="00991AEF"/>
    <w:rsid w:val="0099230C"/>
    <w:rsid w:val="00992710"/>
    <w:rsid w:val="00993478"/>
    <w:rsid w:val="00993751"/>
    <w:rsid w:val="0099452F"/>
    <w:rsid w:val="00994B51"/>
    <w:rsid w:val="00995349"/>
    <w:rsid w:val="00996953"/>
    <w:rsid w:val="00997CD8"/>
    <w:rsid w:val="009A1832"/>
    <w:rsid w:val="009A24A4"/>
    <w:rsid w:val="009A2B3E"/>
    <w:rsid w:val="009A31BF"/>
    <w:rsid w:val="009A450C"/>
    <w:rsid w:val="009A5E4F"/>
    <w:rsid w:val="009A6C07"/>
    <w:rsid w:val="009A725E"/>
    <w:rsid w:val="009A7790"/>
    <w:rsid w:val="009B0912"/>
    <w:rsid w:val="009B0EEE"/>
    <w:rsid w:val="009B10CB"/>
    <w:rsid w:val="009B164C"/>
    <w:rsid w:val="009B1C45"/>
    <w:rsid w:val="009B3A21"/>
    <w:rsid w:val="009B6842"/>
    <w:rsid w:val="009B7570"/>
    <w:rsid w:val="009B7582"/>
    <w:rsid w:val="009C0008"/>
    <w:rsid w:val="009C0428"/>
    <w:rsid w:val="009C0561"/>
    <w:rsid w:val="009C11DA"/>
    <w:rsid w:val="009C1525"/>
    <w:rsid w:val="009C21ED"/>
    <w:rsid w:val="009C279F"/>
    <w:rsid w:val="009C5D0E"/>
    <w:rsid w:val="009C5F60"/>
    <w:rsid w:val="009C6969"/>
    <w:rsid w:val="009C6A8F"/>
    <w:rsid w:val="009D034A"/>
    <w:rsid w:val="009D04AF"/>
    <w:rsid w:val="009D17A5"/>
    <w:rsid w:val="009D27C0"/>
    <w:rsid w:val="009D2917"/>
    <w:rsid w:val="009D36BF"/>
    <w:rsid w:val="009D39A4"/>
    <w:rsid w:val="009D3ECD"/>
    <w:rsid w:val="009D583A"/>
    <w:rsid w:val="009D5E21"/>
    <w:rsid w:val="009D786C"/>
    <w:rsid w:val="009D7DDA"/>
    <w:rsid w:val="009E00FD"/>
    <w:rsid w:val="009E0909"/>
    <w:rsid w:val="009E10B4"/>
    <w:rsid w:val="009E16CC"/>
    <w:rsid w:val="009E22F0"/>
    <w:rsid w:val="009E27B8"/>
    <w:rsid w:val="009E365C"/>
    <w:rsid w:val="009E4394"/>
    <w:rsid w:val="009E4E3C"/>
    <w:rsid w:val="009E54CA"/>
    <w:rsid w:val="009E57B9"/>
    <w:rsid w:val="009E7D18"/>
    <w:rsid w:val="009E7F1F"/>
    <w:rsid w:val="009F218C"/>
    <w:rsid w:val="009F2EAC"/>
    <w:rsid w:val="009F7650"/>
    <w:rsid w:val="009F7766"/>
    <w:rsid w:val="00A002B9"/>
    <w:rsid w:val="00A00ABE"/>
    <w:rsid w:val="00A01AE5"/>
    <w:rsid w:val="00A0316E"/>
    <w:rsid w:val="00A03327"/>
    <w:rsid w:val="00A036E0"/>
    <w:rsid w:val="00A038C6"/>
    <w:rsid w:val="00A03ABC"/>
    <w:rsid w:val="00A0441F"/>
    <w:rsid w:val="00A0449E"/>
    <w:rsid w:val="00A049D3"/>
    <w:rsid w:val="00A060CA"/>
    <w:rsid w:val="00A06E3B"/>
    <w:rsid w:val="00A072A8"/>
    <w:rsid w:val="00A07421"/>
    <w:rsid w:val="00A10C8D"/>
    <w:rsid w:val="00A12044"/>
    <w:rsid w:val="00A1292C"/>
    <w:rsid w:val="00A1311B"/>
    <w:rsid w:val="00A1386A"/>
    <w:rsid w:val="00A13C06"/>
    <w:rsid w:val="00A148E7"/>
    <w:rsid w:val="00A14A5C"/>
    <w:rsid w:val="00A14C54"/>
    <w:rsid w:val="00A15F71"/>
    <w:rsid w:val="00A16523"/>
    <w:rsid w:val="00A16733"/>
    <w:rsid w:val="00A1704B"/>
    <w:rsid w:val="00A17FF2"/>
    <w:rsid w:val="00A22822"/>
    <w:rsid w:val="00A2296F"/>
    <w:rsid w:val="00A24046"/>
    <w:rsid w:val="00A245A8"/>
    <w:rsid w:val="00A26329"/>
    <w:rsid w:val="00A26BE3"/>
    <w:rsid w:val="00A30082"/>
    <w:rsid w:val="00A30CC0"/>
    <w:rsid w:val="00A31AA1"/>
    <w:rsid w:val="00A31EA2"/>
    <w:rsid w:val="00A3232D"/>
    <w:rsid w:val="00A33265"/>
    <w:rsid w:val="00A33A9A"/>
    <w:rsid w:val="00A33F6C"/>
    <w:rsid w:val="00A358E9"/>
    <w:rsid w:val="00A363E0"/>
    <w:rsid w:val="00A408B2"/>
    <w:rsid w:val="00A41C56"/>
    <w:rsid w:val="00A4250E"/>
    <w:rsid w:val="00A42C8A"/>
    <w:rsid w:val="00A42E8B"/>
    <w:rsid w:val="00A42EBA"/>
    <w:rsid w:val="00A431F7"/>
    <w:rsid w:val="00A443CB"/>
    <w:rsid w:val="00A44C00"/>
    <w:rsid w:val="00A45FCF"/>
    <w:rsid w:val="00A47DDA"/>
    <w:rsid w:val="00A50651"/>
    <w:rsid w:val="00A52608"/>
    <w:rsid w:val="00A52959"/>
    <w:rsid w:val="00A52E7E"/>
    <w:rsid w:val="00A537B8"/>
    <w:rsid w:val="00A5464D"/>
    <w:rsid w:val="00A54CD1"/>
    <w:rsid w:val="00A54ED3"/>
    <w:rsid w:val="00A555EF"/>
    <w:rsid w:val="00A5612E"/>
    <w:rsid w:val="00A56F2F"/>
    <w:rsid w:val="00A57556"/>
    <w:rsid w:val="00A60727"/>
    <w:rsid w:val="00A613FB"/>
    <w:rsid w:val="00A61598"/>
    <w:rsid w:val="00A638F8"/>
    <w:rsid w:val="00A646C5"/>
    <w:rsid w:val="00A64A17"/>
    <w:rsid w:val="00A64F6C"/>
    <w:rsid w:val="00A66830"/>
    <w:rsid w:val="00A678F0"/>
    <w:rsid w:val="00A715A9"/>
    <w:rsid w:val="00A720A3"/>
    <w:rsid w:val="00A72163"/>
    <w:rsid w:val="00A727E2"/>
    <w:rsid w:val="00A730DC"/>
    <w:rsid w:val="00A7340A"/>
    <w:rsid w:val="00A73631"/>
    <w:rsid w:val="00A73749"/>
    <w:rsid w:val="00A76764"/>
    <w:rsid w:val="00A77595"/>
    <w:rsid w:val="00A77C71"/>
    <w:rsid w:val="00A830D9"/>
    <w:rsid w:val="00A83221"/>
    <w:rsid w:val="00A8349F"/>
    <w:rsid w:val="00A856AE"/>
    <w:rsid w:val="00A8626F"/>
    <w:rsid w:val="00A86BC9"/>
    <w:rsid w:val="00A87CF2"/>
    <w:rsid w:val="00A87E62"/>
    <w:rsid w:val="00A90892"/>
    <w:rsid w:val="00A91F94"/>
    <w:rsid w:val="00A92522"/>
    <w:rsid w:val="00A92B4E"/>
    <w:rsid w:val="00A9501B"/>
    <w:rsid w:val="00A95997"/>
    <w:rsid w:val="00A96B14"/>
    <w:rsid w:val="00AA17CC"/>
    <w:rsid w:val="00AA29C6"/>
    <w:rsid w:val="00AA5532"/>
    <w:rsid w:val="00AB053C"/>
    <w:rsid w:val="00AB09EA"/>
    <w:rsid w:val="00AB11F6"/>
    <w:rsid w:val="00AB21F9"/>
    <w:rsid w:val="00AB257D"/>
    <w:rsid w:val="00AB317A"/>
    <w:rsid w:val="00AB4500"/>
    <w:rsid w:val="00AB61B5"/>
    <w:rsid w:val="00AB6493"/>
    <w:rsid w:val="00AB7101"/>
    <w:rsid w:val="00AB7F8A"/>
    <w:rsid w:val="00AC0207"/>
    <w:rsid w:val="00AC04B0"/>
    <w:rsid w:val="00AC53D8"/>
    <w:rsid w:val="00AD0270"/>
    <w:rsid w:val="00AD0C47"/>
    <w:rsid w:val="00AD0DF7"/>
    <w:rsid w:val="00AD366F"/>
    <w:rsid w:val="00AD3BA5"/>
    <w:rsid w:val="00AD4F7F"/>
    <w:rsid w:val="00AD5D13"/>
    <w:rsid w:val="00AD60B8"/>
    <w:rsid w:val="00AD610A"/>
    <w:rsid w:val="00AD63EE"/>
    <w:rsid w:val="00AD65A4"/>
    <w:rsid w:val="00AD69CC"/>
    <w:rsid w:val="00AD6D49"/>
    <w:rsid w:val="00AE000C"/>
    <w:rsid w:val="00AE01B0"/>
    <w:rsid w:val="00AE0CEB"/>
    <w:rsid w:val="00AE0DA7"/>
    <w:rsid w:val="00AE21C9"/>
    <w:rsid w:val="00AE2B57"/>
    <w:rsid w:val="00AE3567"/>
    <w:rsid w:val="00AE4125"/>
    <w:rsid w:val="00AE6AD5"/>
    <w:rsid w:val="00AE722A"/>
    <w:rsid w:val="00AE7903"/>
    <w:rsid w:val="00AE7AD0"/>
    <w:rsid w:val="00AE7DAC"/>
    <w:rsid w:val="00AE7EDD"/>
    <w:rsid w:val="00AF0B76"/>
    <w:rsid w:val="00AF1448"/>
    <w:rsid w:val="00AF17DF"/>
    <w:rsid w:val="00AF1A44"/>
    <w:rsid w:val="00AF1CAF"/>
    <w:rsid w:val="00AF22A6"/>
    <w:rsid w:val="00AF3CAC"/>
    <w:rsid w:val="00AF4556"/>
    <w:rsid w:val="00AF47DD"/>
    <w:rsid w:val="00AF4DA2"/>
    <w:rsid w:val="00AF5EB0"/>
    <w:rsid w:val="00AF7308"/>
    <w:rsid w:val="00AF78A3"/>
    <w:rsid w:val="00AF78C8"/>
    <w:rsid w:val="00AF795D"/>
    <w:rsid w:val="00B001D3"/>
    <w:rsid w:val="00B00433"/>
    <w:rsid w:val="00B011FC"/>
    <w:rsid w:val="00B012FD"/>
    <w:rsid w:val="00B01FF1"/>
    <w:rsid w:val="00B0296C"/>
    <w:rsid w:val="00B032AB"/>
    <w:rsid w:val="00B0602E"/>
    <w:rsid w:val="00B067D4"/>
    <w:rsid w:val="00B073FF"/>
    <w:rsid w:val="00B07668"/>
    <w:rsid w:val="00B076EC"/>
    <w:rsid w:val="00B079FB"/>
    <w:rsid w:val="00B103EA"/>
    <w:rsid w:val="00B11263"/>
    <w:rsid w:val="00B1174D"/>
    <w:rsid w:val="00B12793"/>
    <w:rsid w:val="00B14642"/>
    <w:rsid w:val="00B2227D"/>
    <w:rsid w:val="00B22CB5"/>
    <w:rsid w:val="00B2336E"/>
    <w:rsid w:val="00B2358B"/>
    <w:rsid w:val="00B237CF"/>
    <w:rsid w:val="00B23FBA"/>
    <w:rsid w:val="00B244AA"/>
    <w:rsid w:val="00B24665"/>
    <w:rsid w:val="00B24BC1"/>
    <w:rsid w:val="00B25615"/>
    <w:rsid w:val="00B301D7"/>
    <w:rsid w:val="00B3222A"/>
    <w:rsid w:val="00B33BF1"/>
    <w:rsid w:val="00B34451"/>
    <w:rsid w:val="00B349B5"/>
    <w:rsid w:val="00B34F77"/>
    <w:rsid w:val="00B35947"/>
    <w:rsid w:val="00B3737B"/>
    <w:rsid w:val="00B37A83"/>
    <w:rsid w:val="00B40BDC"/>
    <w:rsid w:val="00B41483"/>
    <w:rsid w:val="00B4192C"/>
    <w:rsid w:val="00B42F80"/>
    <w:rsid w:val="00B4342C"/>
    <w:rsid w:val="00B44C6C"/>
    <w:rsid w:val="00B45572"/>
    <w:rsid w:val="00B45B6F"/>
    <w:rsid w:val="00B45BBA"/>
    <w:rsid w:val="00B46033"/>
    <w:rsid w:val="00B462E1"/>
    <w:rsid w:val="00B464DD"/>
    <w:rsid w:val="00B47328"/>
    <w:rsid w:val="00B47CB6"/>
    <w:rsid w:val="00B47CE5"/>
    <w:rsid w:val="00B47D41"/>
    <w:rsid w:val="00B50735"/>
    <w:rsid w:val="00B51636"/>
    <w:rsid w:val="00B51B8C"/>
    <w:rsid w:val="00B51F99"/>
    <w:rsid w:val="00B53638"/>
    <w:rsid w:val="00B53C06"/>
    <w:rsid w:val="00B57895"/>
    <w:rsid w:val="00B57CFA"/>
    <w:rsid w:val="00B60272"/>
    <w:rsid w:val="00B61413"/>
    <w:rsid w:val="00B61D92"/>
    <w:rsid w:val="00B6204C"/>
    <w:rsid w:val="00B62362"/>
    <w:rsid w:val="00B6299F"/>
    <w:rsid w:val="00B630C9"/>
    <w:rsid w:val="00B6419D"/>
    <w:rsid w:val="00B64B83"/>
    <w:rsid w:val="00B6667D"/>
    <w:rsid w:val="00B6679F"/>
    <w:rsid w:val="00B66F41"/>
    <w:rsid w:val="00B67370"/>
    <w:rsid w:val="00B70417"/>
    <w:rsid w:val="00B70421"/>
    <w:rsid w:val="00B7053B"/>
    <w:rsid w:val="00B71C14"/>
    <w:rsid w:val="00B72A13"/>
    <w:rsid w:val="00B7318D"/>
    <w:rsid w:val="00B73A1D"/>
    <w:rsid w:val="00B73D79"/>
    <w:rsid w:val="00B74A22"/>
    <w:rsid w:val="00B80191"/>
    <w:rsid w:val="00B80988"/>
    <w:rsid w:val="00B8153C"/>
    <w:rsid w:val="00B818CF"/>
    <w:rsid w:val="00B823C2"/>
    <w:rsid w:val="00B833BE"/>
    <w:rsid w:val="00B83920"/>
    <w:rsid w:val="00B83EAA"/>
    <w:rsid w:val="00B86096"/>
    <w:rsid w:val="00B911CA"/>
    <w:rsid w:val="00B9366D"/>
    <w:rsid w:val="00B93F5B"/>
    <w:rsid w:val="00B944BD"/>
    <w:rsid w:val="00B9450D"/>
    <w:rsid w:val="00B94D48"/>
    <w:rsid w:val="00B96158"/>
    <w:rsid w:val="00B9647A"/>
    <w:rsid w:val="00B964E5"/>
    <w:rsid w:val="00B969F4"/>
    <w:rsid w:val="00B96AB0"/>
    <w:rsid w:val="00B96FA4"/>
    <w:rsid w:val="00B976F9"/>
    <w:rsid w:val="00BA0EBA"/>
    <w:rsid w:val="00BA1700"/>
    <w:rsid w:val="00BA1AFD"/>
    <w:rsid w:val="00BA5390"/>
    <w:rsid w:val="00BA5A47"/>
    <w:rsid w:val="00BA6434"/>
    <w:rsid w:val="00BA6D4A"/>
    <w:rsid w:val="00BA7811"/>
    <w:rsid w:val="00BB0321"/>
    <w:rsid w:val="00BB0998"/>
    <w:rsid w:val="00BB311D"/>
    <w:rsid w:val="00BB62A8"/>
    <w:rsid w:val="00BB6FB5"/>
    <w:rsid w:val="00BC178D"/>
    <w:rsid w:val="00BC1943"/>
    <w:rsid w:val="00BC1AC3"/>
    <w:rsid w:val="00BC2C90"/>
    <w:rsid w:val="00BC53D0"/>
    <w:rsid w:val="00BC5467"/>
    <w:rsid w:val="00BC74FA"/>
    <w:rsid w:val="00BC7848"/>
    <w:rsid w:val="00BD0E22"/>
    <w:rsid w:val="00BD2B05"/>
    <w:rsid w:val="00BD471A"/>
    <w:rsid w:val="00BD5726"/>
    <w:rsid w:val="00BD675A"/>
    <w:rsid w:val="00BD67A4"/>
    <w:rsid w:val="00BE050A"/>
    <w:rsid w:val="00BE1A83"/>
    <w:rsid w:val="00BE1DCA"/>
    <w:rsid w:val="00BE20BB"/>
    <w:rsid w:val="00BE454E"/>
    <w:rsid w:val="00BE45A7"/>
    <w:rsid w:val="00BE4BE0"/>
    <w:rsid w:val="00BE508D"/>
    <w:rsid w:val="00BE6D48"/>
    <w:rsid w:val="00BF0554"/>
    <w:rsid w:val="00BF199C"/>
    <w:rsid w:val="00BF1B2C"/>
    <w:rsid w:val="00BF40FE"/>
    <w:rsid w:val="00BF6B53"/>
    <w:rsid w:val="00BF7A1F"/>
    <w:rsid w:val="00C0013A"/>
    <w:rsid w:val="00C0122B"/>
    <w:rsid w:val="00C02007"/>
    <w:rsid w:val="00C02353"/>
    <w:rsid w:val="00C03C19"/>
    <w:rsid w:val="00C04625"/>
    <w:rsid w:val="00C053F0"/>
    <w:rsid w:val="00C078B0"/>
    <w:rsid w:val="00C07EFE"/>
    <w:rsid w:val="00C10500"/>
    <w:rsid w:val="00C109D2"/>
    <w:rsid w:val="00C11025"/>
    <w:rsid w:val="00C123D5"/>
    <w:rsid w:val="00C1270E"/>
    <w:rsid w:val="00C1333B"/>
    <w:rsid w:val="00C13791"/>
    <w:rsid w:val="00C14A7A"/>
    <w:rsid w:val="00C14DBC"/>
    <w:rsid w:val="00C15213"/>
    <w:rsid w:val="00C217EA"/>
    <w:rsid w:val="00C24EA0"/>
    <w:rsid w:val="00C24F11"/>
    <w:rsid w:val="00C27ADB"/>
    <w:rsid w:val="00C30F20"/>
    <w:rsid w:val="00C315BE"/>
    <w:rsid w:val="00C31B1D"/>
    <w:rsid w:val="00C32AC9"/>
    <w:rsid w:val="00C33CA7"/>
    <w:rsid w:val="00C33EC4"/>
    <w:rsid w:val="00C34000"/>
    <w:rsid w:val="00C34EDE"/>
    <w:rsid w:val="00C354E7"/>
    <w:rsid w:val="00C404BF"/>
    <w:rsid w:val="00C409A5"/>
    <w:rsid w:val="00C41E85"/>
    <w:rsid w:val="00C42207"/>
    <w:rsid w:val="00C42D63"/>
    <w:rsid w:val="00C434C3"/>
    <w:rsid w:val="00C436A0"/>
    <w:rsid w:val="00C43B7C"/>
    <w:rsid w:val="00C43C27"/>
    <w:rsid w:val="00C4531D"/>
    <w:rsid w:val="00C460CD"/>
    <w:rsid w:val="00C47C29"/>
    <w:rsid w:val="00C510C4"/>
    <w:rsid w:val="00C514E6"/>
    <w:rsid w:val="00C533A7"/>
    <w:rsid w:val="00C54993"/>
    <w:rsid w:val="00C54D58"/>
    <w:rsid w:val="00C550EF"/>
    <w:rsid w:val="00C55667"/>
    <w:rsid w:val="00C55889"/>
    <w:rsid w:val="00C55C4D"/>
    <w:rsid w:val="00C55D2D"/>
    <w:rsid w:val="00C5764D"/>
    <w:rsid w:val="00C57A1E"/>
    <w:rsid w:val="00C603F1"/>
    <w:rsid w:val="00C60522"/>
    <w:rsid w:val="00C60AE0"/>
    <w:rsid w:val="00C61203"/>
    <w:rsid w:val="00C634A3"/>
    <w:rsid w:val="00C634C8"/>
    <w:rsid w:val="00C63AC5"/>
    <w:rsid w:val="00C64405"/>
    <w:rsid w:val="00C6548F"/>
    <w:rsid w:val="00C704F4"/>
    <w:rsid w:val="00C715E9"/>
    <w:rsid w:val="00C71D1A"/>
    <w:rsid w:val="00C7361B"/>
    <w:rsid w:val="00C7388A"/>
    <w:rsid w:val="00C74204"/>
    <w:rsid w:val="00C745E5"/>
    <w:rsid w:val="00C747B4"/>
    <w:rsid w:val="00C763E9"/>
    <w:rsid w:val="00C7674A"/>
    <w:rsid w:val="00C772BB"/>
    <w:rsid w:val="00C772CA"/>
    <w:rsid w:val="00C8141C"/>
    <w:rsid w:val="00C825EE"/>
    <w:rsid w:val="00C832F1"/>
    <w:rsid w:val="00C833E1"/>
    <w:rsid w:val="00C84052"/>
    <w:rsid w:val="00C8466C"/>
    <w:rsid w:val="00C84DD8"/>
    <w:rsid w:val="00C858FC"/>
    <w:rsid w:val="00C85F6E"/>
    <w:rsid w:val="00C86EBB"/>
    <w:rsid w:val="00C8740F"/>
    <w:rsid w:val="00C90394"/>
    <w:rsid w:val="00C91DB7"/>
    <w:rsid w:val="00C925A6"/>
    <w:rsid w:val="00C92B40"/>
    <w:rsid w:val="00C92F1A"/>
    <w:rsid w:val="00C9526B"/>
    <w:rsid w:val="00C95F20"/>
    <w:rsid w:val="00C960DE"/>
    <w:rsid w:val="00C962DA"/>
    <w:rsid w:val="00C978A6"/>
    <w:rsid w:val="00C97ACD"/>
    <w:rsid w:val="00CA03B2"/>
    <w:rsid w:val="00CA1119"/>
    <w:rsid w:val="00CA2303"/>
    <w:rsid w:val="00CA26A1"/>
    <w:rsid w:val="00CA2909"/>
    <w:rsid w:val="00CA4190"/>
    <w:rsid w:val="00CA4E88"/>
    <w:rsid w:val="00CA746A"/>
    <w:rsid w:val="00CA76F6"/>
    <w:rsid w:val="00CB02A9"/>
    <w:rsid w:val="00CB0E9D"/>
    <w:rsid w:val="00CB1254"/>
    <w:rsid w:val="00CB2C98"/>
    <w:rsid w:val="00CB3742"/>
    <w:rsid w:val="00CB387D"/>
    <w:rsid w:val="00CB4E29"/>
    <w:rsid w:val="00CB5246"/>
    <w:rsid w:val="00CB5478"/>
    <w:rsid w:val="00CB575D"/>
    <w:rsid w:val="00CB6F45"/>
    <w:rsid w:val="00CC04A7"/>
    <w:rsid w:val="00CC0639"/>
    <w:rsid w:val="00CC08B3"/>
    <w:rsid w:val="00CC11F3"/>
    <w:rsid w:val="00CC17EB"/>
    <w:rsid w:val="00CC1D53"/>
    <w:rsid w:val="00CC27E5"/>
    <w:rsid w:val="00CC34A9"/>
    <w:rsid w:val="00CC7B8D"/>
    <w:rsid w:val="00CD0784"/>
    <w:rsid w:val="00CD13DD"/>
    <w:rsid w:val="00CD2D09"/>
    <w:rsid w:val="00CD2DC8"/>
    <w:rsid w:val="00CD33C2"/>
    <w:rsid w:val="00CD50B8"/>
    <w:rsid w:val="00CD5887"/>
    <w:rsid w:val="00CD63F2"/>
    <w:rsid w:val="00CD6BE0"/>
    <w:rsid w:val="00CD78D9"/>
    <w:rsid w:val="00CE0558"/>
    <w:rsid w:val="00CE0ACF"/>
    <w:rsid w:val="00CE0EFA"/>
    <w:rsid w:val="00CE207C"/>
    <w:rsid w:val="00CE2107"/>
    <w:rsid w:val="00CE23DE"/>
    <w:rsid w:val="00CE25FF"/>
    <w:rsid w:val="00CE2843"/>
    <w:rsid w:val="00CE2B58"/>
    <w:rsid w:val="00CE2C92"/>
    <w:rsid w:val="00CE498C"/>
    <w:rsid w:val="00CE61CA"/>
    <w:rsid w:val="00CE6537"/>
    <w:rsid w:val="00CE785A"/>
    <w:rsid w:val="00CF01AC"/>
    <w:rsid w:val="00CF2C5D"/>
    <w:rsid w:val="00CF3676"/>
    <w:rsid w:val="00CF37AC"/>
    <w:rsid w:val="00CF3933"/>
    <w:rsid w:val="00CF46AB"/>
    <w:rsid w:val="00CF4A11"/>
    <w:rsid w:val="00CF4A1F"/>
    <w:rsid w:val="00CF4DA4"/>
    <w:rsid w:val="00CF4FDC"/>
    <w:rsid w:val="00CF6A93"/>
    <w:rsid w:val="00D0113A"/>
    <w:rsid w:val="00D022EE"/>
    <w:rsid w:val="00D02921"/>
    <w:rsid w:val="00D03CBD"/>
    <w:rsid w:val="00D054F1"/>
    <w:rsid w:val="00D069E8"/>
    <w:rsid w:val="00D07924"/>
    <w:rsid w:val="00D11458"/>
    <w:rsid w:val="00D119D9"/>
    <w:rsid w:val="00D129A8"/>
    <w:rsid w:val="00D13F8B"/>
    <w:rsid w:val="00D1464B"/>
    <w:rsid w:val="00D1571C"/>
    <w:rsid w:val="00D15831"/>
    <w:rsid w:val="00D1586F"/>
    <w:rsid w:val="00D161B0"/>
    <w:rsid w:val="00D17103"/>
    <w:rsid w:val="00D17237"/>
    <w:rsid w:val="00D17239"/>
    <w:rsid w:val="00D2057D"/>
    <w:rsid w:val="00D20F88"/>
    <w:rsid w:val="00D21238"/>
    <w:rsid w:val="00D24E4C"/>
    <w:rsid w:val="00D252A7"/>
    <w:rsid w:val="00D25602"/>
    <w:rsid w:val="00D25813"/>
    <w:rsid w:val="00D26AAB"/>
    <w:rsid w:val="00D30772"/>
    <w:rsid w:val="00D32B67"/>
    <w:rsid w:val="00D33068"/>
    <w:rsid w:val="00D34C37"/>
    <w:rsid w:val="00D35E3B"/>
    <w:rsid w:val="00D37FD8"/>
    <w:rsid w:val="00D400E2"/>
    <w:rsid w:val="00D408A5"/>
    <w:rsid w:val="00D416B6"/>
    <w:rsid w:val="00D41C6B"/>
    <w:rsid w:val="00D43002"/>
    <w:rsid w:val="00D432A4"/>
    <w:rsid w:val="00D4478C"/>
    <w:rsid w:val="00D451C1"/>
    <w:rsid w:val="00D45518"/>
    <w:rsid w:val="00D45B3C"/>
    <w:rsid w:val="00D46599"/>
    <w:rsid w:val="00D501E4"/>
    <w:rsid w:val="00D5023A"/>
    <w:rsid w:val="00D509AC"/>
    <w:rsid w:val="00D51448"/>
    <w:rsid w:val="00D51538"/>
    <w:rsid w:val="00D517E0"/>
    <w:rsid w:val="00D52142"/>
    <w:rsid w:val="00D52863"/>
    <w:rsid w:val="00D53E87"/>
    <w:rsid w:val="00D54C11"/>
    <w:rsid w:val="00D553EB"/>
    <w:rsid w:val="00D55C0F"/>
    <w:rsid w:val="00D5699C"/>
    <w:rsid w:val="00D56B76"/>
    <w:rsid w:val="00D573D6"/>
    <w:rsid w:val="00D6000A"/>
    <w:rsid w:val="00D604D3"/>
    <w:rsid w:val="00D60EB1"/>
    <w:rsid w:val="00D611C0"/>
    <w:rsid w:val="00D61EF9"/>
    <w:rsid w:val="00D62455"/>
    <w:rsid w:val="00D62CFC"/>
    <w:rsid w:val="00D63168"/>
    <w:rsid w:val="00D63B7E"/>
    <w:rsid w:val="00D647F2"/>
    <w:rsid w:val="00D649B7"/>
    <w:rsid w:val="00D64E1E"/>
    <w:rsid w:val="00D66D6B"/>
    <w:rsid w:val="00D6709B"/>
    <w:rsid w:val="00D706AB"/>
    <w:rsid w:val="00D70F7B"/>
    <w:rsid w:val="00D71662"/>
    <w:rsid w:val="00D7168C"/>
    <w:rsid w:val="00D71705"/>
    <w:rsid w:val="00D719A5"/>
    <w:rsid w:val="00D71D71"/>
    <w:rsid w:val="00D74EC0"/>
    <w:rsid w:val="00D751C2"/>
    <w:rsid w:val="00D761D1"/>
    <w:rsid w:val="00D766ED"/>
    <w:rsid w:val="00D76E27"/>
    <w:rsid w:val="00D77D71"/>
    <w:rsid w:val="00D77F6C"/>
    <w:rsid w:val="00D80CCB"/>
    <w:rsid w:val="00D84EDE"/>
    <w:rsid w:val="00D85135"/>
    <w:rsid w:val="00D8521C"/>
    <w:rsid w:val="00D853CD"/>
    <w:rsid w:val="00D86B29"/>
    <w:rsid w:val="00D87585"/>
    <w:rsid w:val="00D90E5F"/>
    <w:rsid w:val="00D918E4"/>
    <w:rsid w:val="00D9235A"/>
    <w:rsid w:val="00D9361D"/>
    <w:rsid w:val="00D95DB8"/>
    <w:rsid w:val="00D97868"/>
    <w:rsid w:val="00D979A4"/>
    <w:rsid w:val="00DA1000"/>
    <w:rsid w:val="00DA24EE"/>
    <w:rsid w:val="00DA30F7"/>
    <w:rsid w:val="00DA32A7"/>
    <w:rsid w:val="00DA38B9"/>
    <w:rsid w:val="00DA4C5C"/>
    <w:rsid w:val="00DA555B"/>
    <w:rsid w:val="00DA5B85"/>
    <w:rsid w:val="00DA5E13"/>
    <w:rsid w:val="00DA62F5"/>
    <w:rsid w:val="00DA679F"/>
    <w:rsid w:val="00DB2296"/>
    <w:rsid w:val="00DB3E7E"/>
    <w:rsid w:val="00DB4B55"/>
    <w:rsid w:val="00DB5CDC"/>
    <w:rsid w:val="00DB5E37"/>
    <w:rsid w:val="00DB67CC"/>
    <w:rsid w:val="00DB6D4E"/>
    <w:rsid w:val="00DB7118"/>
    <w:rsid w:val="00DB7D8F"/>
    <w:rsid w:val="00DC0727"/>
    <w:rsid w:val="00DC0D82"/>
    <w:rsid w:val="00DC101E"/>
    <w:rsid w:val="00DC151B"/>
    <w:rsid w:val="00DC22E2"/>
    <w:rsid w:val="00DC3F94"/>
    <w:rsid w:val="00DC45BC"/>
    <w:rsid w:val="00DC4AA3"/>
    <w:rsid w:val="00DD07A6"/>
    <w:rsid w:val="00DD07D9"/>
    <w:rsid w:val="00DD089C"/>
    <w:rsid w:val="00DD0A9A"/>
    <w:rsid w:val="00DD0B49"/>
    <w:rsid w:val="00DD44F6"/>
    <w:rsid w:val="00DD4758"/>
    <w:rsid w:val="00DD4E51"/>
    <w:rsid w:val="00DD56DD"/>
    <w:rsid w:val="00DD5F5F"/>
    <w:rsid w:val="00DD79A4"/>
    <w:rsid w:val="00DE05C3"/>
    <w:rsid w:val="00DE0B85"/>
    <w:rsid w:val="00DE3D98"/>
    <w:rsid w:val="00DE6549"/>
    <w:rsid w:val="00DF00D2"/>
    <w:rsid w:val="00DF40F2"/>
    <w:rsid w:val="00DF4FEC"/>
    <w:rsid w:val="00DF5D5E"/>
    <w:rsid w:val="00DF5DCE"/>
    <w:rsid w:val="00DF65F5"/>
    <w:rsid w:val="00DF6AAB"/>
    <w:rsid w:val="00DF74B2"/>
    <w:rsid w:val="00DF7EB5"/>
    <w:rsid w:val="00E00B26"/>
    <w:rsid w:val="00E00C55"/>
    <w:rsid w:val="00E01B7C"/>
    <w:rsid w:val="00E026A4"/>
    <w:rsid w:val="00E02824"/>
    <w:rsid w:val="00E05462"/>
    <w:rsid w:val="00E05820"/>
    <w:rsid w:val="00E06D52"/>
    <w:rsid w:val="00E075BA"/>
    <w:rsid w:val="00E07C39"/>
    <w:rsid w:val="00E10F00"/>
    <w:rsid w:val="00E1177E"/>
    <w:rsid w:val="00E11954"/>
    <w:rsid w:val="00E11F15"/>
    <w:rsid w:val="00E11FC1"/>
    <w:rsid w:val="00E12210"/>
    <w:rsid w:val="00E1352B"/>
    <w:rsid w:val="00E1393E"/>
    <w:rsid w:val="00E13B2A"/>
    <w:rsid w:val="00E152D0"/>
    <w:rsid w:val="00E17559"/>
    <w:rsid w:val="00E20560"/>
    <w:rsid w:val="00E22518"/>
    <w:rsid w:val="00E2337F"/>
    <w:rsid w:val="00E251DE"/>
    <w:rsid w:val="00E258DD"/>
    <w:rsid w:val="00E3054E"/>
    <w:rsid w:val="00E3065C"/>
    <w:rsid w:val="00E308C4"/>
    <w:rsid w:val="00E3185A"/>
    <w:rsid w:val="00E3209F"/>
    <w:rsid w:val="00E33F4F"/>
    <w:rsid w:val="00E34424"/>
    <w:rsid w:val="00E35DDB"/>
    <w:rsid w:val="00E40138"/>
    <w:rsid w:val="00E423C6"/>
    <w:rsid w:val="00E4277C"/>
    <w:rsid w:val="00E43084"/>
    <w:rsid w:val="00E4311B"/>
    <w:rsid w:val="00E447B6"/>
    <w:rsid w:val="00E4577A"/>
    <w:rsid w:val="00E46B8E"/>
    <w:rsid w:val="00E47A6D"/>
    <w:rsid w:val="00E47FEE"/>
    <w:rsid w:val="00E5068A"/>
    <w:rsid w:val="00E5101A"/>
    <w:rsid w:val="00E53064"/>
    <w:rsid w:val="00E531B7"/>
    <w:rsid w:val="00E5391B"/>
    <w:rsid w:val="00E53978"/>
    <w:rsid w:val="00E54B00"/>
    <w:rsid w:val="00E560E9"/>
    <w:rsid w:val="00E567A7"/>
    <w:rsid w:val="00E57E6B"/>
    <w:rsid w:val="00E60490"/>
    <w:rsid w:val="00E609E7"/>
    <w:rsid w:val="00E61F56"/>
    <w:rsid w:val="00E6208B"/>
    <w:rsid w:val="00E62CFB"/>
    <w:rsid w:val="00E63303"/>
    <w:rsid w:val="00E644B2"/>
    <w:rsid w:val="00E64AC3"/>
    <w:rsid w:val="00E6563A"/>
    <w:rsid w:val="00E65758"/>
    <w:rsid w:val="00E657C2"/>
    <w:rsid w:val="00E657F1"/>
    <w:rsid w:val="00E661B0"/>
    <w:rsid w:val="00E67394"/>
    <w:rsid w:val="00E7063B"/>
    <w:rsid w:val="00E70879"/>
    <w:rsid w:val="00E70955"/>
    <w:rsid w:val="00E72223"/>
    <w:rsid w:val="00E73781"/>
    <w:rsid w:val="00E74F93"/>
    <w:rsid w:val="00E75944"/>
    <w:rsid w:val="00E7604A"/>
    <w:rsid w:val="00E76853"/>
    <w:rsid w:val="00E768C7"/>
    <w:rsid w:val="00E76B87"/>
    <w:rsid w:val="00E76CA2"/>
    <w:rsid w:val="00E80256"/>
    <w:rsid w:val="00E80699"/>
    <w:rsid w:val="00E80905"/>
    <w:rsid w:val="00E80D16"/>
    <w:rsid w:val="00E81950"/>
    <w:rsid w:val="00E81C45"/>
    <w:rsid w:val="00E81E9B"/>
    <w:rsid w:val="00E82E8C"/>
    <w:rsid w:val="00E844CB"/>
    <w:rsid w:val="00E84A76"/>
    <w:rsid w:val="00E85A4D"/>
    <w:rsid w:val="00E86FDF"/>
    <w:rsid w:val="00E8718B"/>
    <w:rsid w:val="00E909B0"/>
    <w:rsid w:val="00E912CC"/>
    <w:rsid w:val="00E91B76"/>
    <w:rsid w:val="00E91C54"/>
    <w:rsid w:val="00E922ED"/>
    <w:rsid w:val="00E92B02"/>
    <w:rsid w:val="00E9512F"/>
    <w:rsid w:val="00E960F1"/>
    <w:rsid w:val="00E9640A"/>
    <w:rsid w:val="00EA1698"/>
    <w:rsid w:val="00EA1705"/>
    <w:rsid w:val="00EA3194"/>
    <w:rsid w:val="00EA3A6E"/>
    <w:rsid w:val="00EA3D86"/>
    <w:rsid w:val="00EA4529"/>
    <w:rsid w:val="00EA46E1"/>
    <w:rsid w:val="00EA4AA9"/>
    <w:rsid w:val="00EA4C7A"/>
    <w:rsid w:val="00EA52D8"/>
    <w:rsid w:val="00EA5E75"/>
    <w:rsid w:val="00EA706D"/>
    <w:rsid w:val="00EB0CF8"/>
    <w:rsid w:val="00EB0F01"/>
    <w:rsid w:val="00EB131F"/>
    <w:rsid w:val="00EB3135"/>
    <w:rsid w:val="00EB4D94"/>
    <w:rsid w:val="00EB60AB"/>
    <w:rsid w:val="00EB66AD"/>
    <w:rsid w:val="00EB6BF0"/>
    <w:rsid w:val="00EB7BF1"/>
    <w:rsid w:val="00EC0062"/>
    <w:rsid w:val="00EC030C"/>
    <w:rsid w:val="00EC189D"/>
    <w:rsid w:val="00EC1C2D"/>
    <w:rsid w:val="00EC2D5D"/>
    <w:rsid w:val="00EC3B92"/>
    <w:rsid w:val="00EC43D1"/>
    <w:rsid w:val="00EC44D9"/>
    <w:rsid w:val="00EC4E34"/>
    <w:rsid w:val="00EC52C9"/>
    <w:rsid w:val="00EC7159"/>
    <w:rsid w:val="00EC7AE1"/>
    <w:rsid w:val="00EC7B45"/>
    <w:rsid w:val="00ED35D6"/>
    <w:rsid w:val="00ED3820"/>
    <w:rsid w:val="00ED3C1A"/>
    <w:rsid w:val="00ED3E13"/>
    <w:rsid w:val="00ED44D6"/>
    <w:rsid w:val="00ED4A4D"/>
    <w:rsid w:val="00ED6296"/>
    <w:rsid w:val="00ED64C1"/>
    <w:rsid w:val="00ED7C86"/>
    <w:rsid w:val="00EE0F94"/>
    <w:rsid w:val="00EE1240"/>
    <w:rsid w:val="00EE1F80"/>
    <w:rsid w:val="00EE3168"/>
    <w:rsid w:val="00EE3BC2"/>
    <w:rsid w:val="00EE5157"/>
    <w:rsid w:val="00EE6DA0"/>
    <w:rsid w:val="00EE7BCD"/>
    <w:rsid w:val="00EF076A"/>
    <w:rsid w:val="00EF0A50"/>
    <w:rsid w:val="00EF0D1E"/>
    <w:rsid w:val="00EF1286"/>
    <w:rsid w:val="00EF13E8"/>
    <w:rsid w:val="00EF1B4B"/>
    <w:rsid w:val="00EF1F2C"/>
    <w:rsid w:val="00EF205B"/>
    <w:rsid w:val="00EF2749"/>
    <w:rsid w:val="00EF3264"/>
    <w:rsid w:val="00EF3E29"/>
    <w:rsid w:val="00EF5059"/>
    <w:rsid w:val="00EF5765"/>
    <w:rsid w:val="00EF5936"/>
    <w:rsid w:val="00EF5DD4"/>
    <w:rsid w:val="00EF6611"/>
    <w:rsid w:val="00EF79BF"/>
    <w:rsid w:val="00F00047"/>
    <w:rsid w:val="00F01150"/>
    <w:rsid w:val="00F011E4"/>
    <w:rsid w:val="00F012C7"/>
    <w:rsid w:val="00F04C3D"/>
    <w:rsid w:val="00F04D61"/>
    <w:rsid w:val="00F05D13"/>
    <w:rsid w:val="00F06119"/>
    <w:rsid w:val="00F06A3B"/>
    <w:rsid w:val="00F07265"/>
    <w:rsid w:val="00F11B05"/>
    <w:rsid w:val="00F13185"/>
    <w:rsid w:val="00F1458E"/>
    <w:rsid w:val="00F1585E"/>
    <w:rsid w:val="00F17363"/>
    <w:rsid w:val="00F17517"/>
    <w:rsid w:val="00F17CEC"/>
    <w:rsid w:val="00F205C4"/>
    <w:rsid w:val="00F20D92"/>
    <w:rsid w:val="00F21128"/>
    <w:rsid w:val="00F2159E"/>
    <w:rsid w:val="00F21BB6"/>
    <w:rsid w:val="00F2201B"/>
    <w:rsid w:val="00F22148"/>
    <w:rsid w:val="00F22F39"/>
    <w:rsid w:val="00F236C7"/>
    <w:rsid w:val="00F25E8E"/>
    <w:rsid w:val="00F26647"/>
    <w:rsid w:val="00F30B50"/>
    <w:rsid w:val="00F31B5A"/>
    <w:rsid w:val="00F322EE"/>
    <w:rsid w:val="00F323B8"/>
    <w:rsid w:val="00F328F3"/>
    <w:rsid w:val="00F341E9"/>
    <w:rsid w:val="00F345A6"/>
    <w:rsid w:val="00F34AA6"/>
    <w:rsid w:val="00F34FAD"/>
    <w:rsid w:val="00F34FC2"/>
    <w:rsid w:val="00F35236"/>
    <w:rsid w:val="00F3594C"/>
    <w:rsid w:val="00F36976"/>
    <w:rsid w:val="00F37155"/>
    <w:rsid w:val="00F419A4"/>
    <w:rsid w:val="00F42914"/>
    <w:rsid w:val="00F4295D"/>
    <w:rsid w:val="00F438A9"/>
    <w:rsid w:val="00F4480B"/>
    <w:rsid w:val="00F478FE"/>
    <w:rsid w:val="00F50169"/>
    <w:rsid w:val="00F5157D"/>
    <w:rsid w:val="00F5208A"/>
    <w:rsid w:val="00F526D5"/>
    <w:rsid w:val="00F5376C"/>
    <w:rsid w:val="00F545FE"/>
    <w:rsid w:val="00F54885"/>
    <w:rsid w:val="00F54CF9"/>
    <w:rsid w:val="00F55652"/>
    <w:rsid w:val="00F57DA2"/>
    <w:rsid w:val="00F6062B"/>
    <w:rsid w:val="00F60A0B"/>
    <w:rsid w:val="00F610D5"/>
    <w:rsid w:val="00F613D7"/>
    <w:rsid w:val="00F62D03"/>
    <w:rsid w:val="00F635C3"/>
    <w:rsid w:val="00F6608D"/>
    <w:rsid w:val="00F66E72"/>
    <w:rsid w:val="00F67438"/>
    <w:rsid w:val="00F678C9"/>
    <w:rsid w:val="00F715B2"/>
    <w:rsid w:val="00F729C5"/>
    <w:rsid w:val="00F737BD"/>
    <w:rsid w:val="00F7587E"/>
    <w:rsid w:val="00F75F64"/>
    <w:rsid w:val="00F7641A"/>
    <w:rsid w:val="00F76CAE"/>
    <w:rsid w:val="00F76DF3"/>
    <w:rsid w:val="00F8046D"/>
    <w:rsid w:val="00F80645"/>
    <w:rsid w:val="00F80C89"/>
    <w:rsid w:val="00F840FD"/>
    <w:rsid w:val="00F84392"/>
    <w:rsid w:val="00F84FD3"/>
    <w:rsid w:val="00F8648F"/>
    <w:rsid w:val="00F876EF"/>
    <w:rsid w:val="00F90169"/>
    <w:rsid w:val="00F90670"/>
    <w:rsid w:val="00F923D5"/>
    <w:rsid w:val="00F925D1"/>
    <w:rsid w:val="00F92DAE"/>
    <w:rsid w:val="00F9330F"/>
    <w:rsid w:val="00F93C2E"/>
    <w:rsid w:val="00F949FD"/>
    <w:rsid w:val="00F95448"/>
    <w:rsid w:val="00F95878"/>
    <w:rsid w:val="00F95D1E"/>
    <w:rsid w:val="00F960F4"/>
    <w:rsid w:val="00F961C4"/>
    <w:rsid w:val="00FA3ECC"/>
    <w:rsid w:val="00FA6B8B"/>
    <w:rsid w:val="00FB028C"/>
    <w:rsid w:val="00FB0BFC"/>
    <w:rsid w:val="00FB164D"/>
    <w:rsid w:val="00FB3F16"/>
    <w:rsid w:val="00FB5F38"/>
    <w:rsid w:val="00FB6718"/>
    <w:rsid w:val="00FB7061"/>
    <w:rsid w:val="00FB7566"/>
    <w:rsid w:val="00FB7C4A"/>
    <w:rsid w:val="00FC01A9"/>
    <w:rsid w:val="00FC0479"/>
    <w:rsid w:val="00FC0952"/>
    <w:rsid w:val="00FC12AE"/>
    <w:rsid w:val="00FC50A1"/>
    <w:rsid w:val="00FC576B"/>
    <w:rsid w:val="00FD03D3"/>
    <w:rsid w:val="00FD0559"/>
    <w:rsid w:val="00FD1153"/>
    <w:rsid w:val="00FD1720"/>
    <w:rsid w:val="00FD1D49"/>
    <w:rsid w:val="00FD2202"/>
    <w:rsid w:val="00FD221E"/>
    <w:rsid w:val="00FD329E"/>
    <w:rsid w:val="00FD32B3"/>
    <w:rsid w:val="00FD4A6E"/>
    <w:rsid w:val="00FD51B8"/>
    <w:rsid w:val="00FD5315"/>
    <w:rsid w:val="00FD5FC7"/>
    <w:rsid w:val="00FD75B3"/>
    <w:rsid w:val="00FE0A5A"/>
    <w:rsid w:val="00FE0E90"/>
    <w:rsid w:val="00FE169D"/>
    <w:rsid w:val="00FE1BB6"/>
    <w:rsid w:val="00FE33AC"/>
    <w:rsid w:val="00FE35D0"/>
    <w:rsid w:val="00FE4261"/>
    <w:rsid w:val="00FE4AD8"/>
    <w:rsid w:val="00FF0557"/>
    <w:rsid w:val="00FF08FF"/>
    <w:rsid w:val="00FF0F9E"/>
    <w:rsid w:val="00FF1133"/>
    <w:rsid w:val="00FF3085"/>
    <w:rsid w:val="00FF564D"/>
    <w:rsid w:val="00FF65BA"/>
    <w:rsid w:val="00FF6FDF"/>
    <w:rsid w:val="00FF71E8"/>
    <w:rsid w:val="00FF73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C67"/>
    <w:pPr>
      <w:suppressAutoHyphens/>
    </w:pPr>
    <w:rPr>
      <w:sz w:val="24"/>
      <w:szCs w:val="24"/>
    </w:rPr>
  </w:style>
  <w:style w:type="paragraph" w:styleId="Heading1">
    <w:name w:val="heading 1"/>
    <w:basedOn w:val="Normal"/>
    <w:next w:val="Normal"/>
    <w:link w:val="Heading1Char"/>
    <w:uiPriority w:val="99"/>
    <w:qFormat/>
    <w:rsid w:val="00C60AE0"/>
    <w:pPr>
      <w:keepNext/>
      <w:numPr>
        <w:numId w:val="1"/>
      </w:numPr>
      <w:jc w:val="center"/>
      <w:outlineLvl w:val="0"/>
    </w:pPr>
    <w:rPr>
      <w:rFonts w:ascii="Arial" w:hAnsi="Arial" w:cs="Arial"/>
      <w:b/>
      <w:bCs/>
      <w:sz w:val="18"/>
      <w:szCs w:val="18"/>
    </w:rPr>
  </w:style>
  <w:style w:type="paragraph" w:styleId="Heading2">
    <w:name w:val="heading 2"/>
    <w:basedOn w:val="Normal"/>
    <w:next w:val="Normal"/>
    <w:link w:val="Heading2Char"/>
    <w:uiPriority w:val="99"/>
    <w:qFormat/>
    <w:rsid w:val="00C60AE0"/>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60AE0"/>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9C0008"/>
    <w:pPr>
      <w:keepNext/>
      <w:keepLines/>
      <w:numPr>
        <w:ilvl w:val="3"/>
        <w:numId w:val="12"/>
      </w:numPr>
      <w:suppressAutoHyphens w:val="0"/>
      <w:spacing w:before="200" w:line="276" w:lineRule="auto"/>
      <w:outlineLvl w:val="3"/>
    </w:pPr>
    <w:rPr>
      <w:rFonts w:ascii="Cambria" w:hAnsi="Cambria" w:cs="Cambria"/>
      <w:b/>
      <w:bCs/>
      <w:i/>
      <w:iCs/>
      <w:color w:val="4F81BD"/>
      <w:sz w:val="22"/>
      <w:szCs w:val="22"/>
    </w:rPr>
  </w:style>
  <w:style w:type="paragraph" w:styleId="Heading5">
    <w:name w:val="heading 5"/>
    <w:basedOn w:val="Normal"/>
    <w:next w:val="Normal"/>
    <w:link w:val="Heading5Char"/>
    <w:uiPriority w:val="99"/>
    <w:qFormat/>
    <w:locked/>
    <w:rsid w:val="009C0008"/>
    <w:pPr>
      <w:keepNext/>
      <w:keepLines/>
      <w:numPr>
        <w:ilvl w:val="4"/>
        <w:numId w:val="12"/>
      </w:numPr>
      <w:suppressAutoHyphens w:val="0"/>
      <w:spacing w:before="200" w:line="276" w:lineRule="auto"/>
      <w:outlineLvl w:val="4"/>
    </w:pPr>
    <w:rPr>
      <w:rFonts w:ascii="Cambria" w:hAnsi="Cambria" w:cs="Cambria"/>
      <w:color w:val="243F60"/>
      <w:sz w:val="22"/>
      <w:szCs w:val="22"/>
    </w:rPr>
  </w:style>
  <w:style w:type="paragraph" w:styleId="Heading6">
    <w:name w:val="heading 6"/>
    <w:basedOn w:val="Normal"/>
    <w:next w:val="Normal"/>
    <w:link w:val="Heading6Char"/>
    <w:uiPriority w:val="99"/>
    <w:qFormat/>
    <w:locked/>
    <w:rsid w:val="009C0008"/>
    <w:pPr>
      <w:keepNext/>
      <w:keepLines/>
      <w:numPr>
        <w:ilvl w:val="5"/>
        <w:numId w:val="12"/>
      </w:numPr>
      <w:suppressAutoHyphens w:val="0"/>
      <w:spacing w:before="200" w:line="276" w:lineRule="auto"/>
      <w:outlineLvl w:val="5"/>
    </w:pPr>
    <w:rPr>
      <w:rFonts w:ascii="Cambria" w:hAnsi="Cambria" w:cs="Cambria"/>
      <w:i/>
      <w:iCs/>
      <w:color w:val="243F60"/>
      <w:sz w:val="22"/>
      <w:szCs w:val="22"/>
    </w:rPr>
  </w:style>
  <w:style w:type="paragraph" w:styleId="Heading7">
    <w:name w:val="heading 7"/>
    <w:basedOn w:val="Normal"/>
    <w:next w:val="Normal"/>
    <w:link w:val="Heading7Char"/>
    <w:uiPriority w:val="99"/>
    <w:qFormat/>
    <w:locked/>
    <w:rsid w:val="009C0008"/>
    <w:pPr>
      <w:keepNext/>
      <w:keepLines/>
      <w:numPr>
        <w:ilvl w:val="6"/>
        <w:numId w:val="12"/>
      </w:numPr>
      <w:suppressAutoHyphens w:val="0"/>
      <w:spacing w:before="200" w:line="276" w:lineRule="auto"/>
      <w:outlineLvl w:val="6"/>
    </w:pPr>
    <w:rPr>
      <w:rFonts w:ascii="Cambria" w:hAnsi="Cambria" w:cs="Cambria"/>
      <w:i/>
      <w:iCs/>
      <w:color w:val="404040"/>
      <w:sz w:val="22"/>
      <w:szCs w:val="22"/>
    </w:rPr>
  </w:style>
  <w:style w:type="paragraph" w:styleId="Heading8">
    <w:name w:val="heading 8"/>
    <w:basedOn w:val="Normal"/>
    <w:next w:val="Normal"/>
    <w:link w:val="Heading8Char"/>
    <w:uiPriority w:val="99"/>
    <w:qFormat/>
    <w:locked/>
    <w:rsid w:val="009C0008"/>
    <w:pPr>
      <w:keepNext/>
      <w:keepLines/>
      <w:numPr>
        <w:ilvl w:val="7"/>
        <w:numId w:val="12"/>
      </w:numPr>
      <w:suppressAutoHyphens w:val="0"/>
      <w:spacing w:before="200" w:line="276" w:lineRule="auto"/>
      <w:outlineLvl w:val="7"/>
    </w:pPr>
    <w:rPr>
      <w:rFonts w:ascii="Cambria" w:hAnsi="Cambria" w:cs="Cambria"/>
      <w:color w:val="404040"/>
      <w:sz w:val="20"/>
      <w:szCs w:val="20"/>
    </w:rPr>
  </w:style>
  <w:style w:type="paragraph" w:styleId="Heading9">
    <w:name w:val="heading 9"/>
    <w:basedOn w:val="Normal"/>
    <w:next w:val="Normal"/>
    <w:link w:val="Heading9Char"/>
    <w:uiPriority w:val="99"/>
    <w:qFormat/>
    <w:locked/>
    <w:rsid w:val="009C0008"/>
    <w:pPr>
      <w:keepNext/>
      <w:keepLines/>
      <w:numPr>
        <w:ilvl w:val="8"/>
        <w:numId w:val="12"/>
      </w:numPr>
      <w:suppressAutoHyphens w:val="0"/>
      <w:spacing w:before="200" w:line="276" w:lineRule="auto"/>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F2C61"/>
    <w:rPr>
      <w:rFonts w:ascii="Arial" w:hAnsi="Arial" w:cs="Arial"/>
      <w:b/>
      <w:bCs/>
      <w:sz w:val="18"/>
      <w:szCs w:val="18"/>
      <w:lang w:val="en-GB" w:eastAsia="en-GB"/>
    </w:rPr>
  </w:style>
  <w:style w:type="character" w:customStyle="1" w:styleId="Heading2Char">
    <w:name w:val="Heading 2 Char"/>
    <w:basedOn w:val="DefaultParagraphFont"/>
    <w:link w:val="Heading2"/>
    <w:uiPriority w:val="99"/>
    <w:rsid w:val="00FF2C61"/>
    <w:rPr>
      <w:rFonts w:ascii="Arial" w:hAnsi="Arial" w:cs="Arial"/>
      <w:b/>
      <w:bCs/>
      <w:i/>
      <w:iCs/>
      <w:sz w:val="28"/>
      <w:szCs w:val="28"/>
      <w:lang w:val="en-GB" w:eastAsia="en-GB"/>
    </w:rPr>
  </w:style>
  <w:style w:type="character" w:customStyle="1" w:styleId="Heading3Char">
    <w:name w:val="Heading 3 Char"/>
    <w:basedOn w:val="DefaultParagraphFont"/>
    <w:link w:val="Heading3"/>
    <w:uiPriority w:val="99"/>
    <w:rsid w:val="00FF2C61"/>
    <w:rPr>
      <w:rFonts w:ascii="Arial" w:hAnsi="Arial" w:cs="Arial"/>
      <w:b/>
      <w:bCs/>
      <w:sz w:val="26"/>
      <w:szCs w:val="26"/>
      <w:lang w:val="en-GB" w:eastAsia="en-GB"/>
    </w:rPr>
  </w:style>
  <w:style w:type="character" w:customStyle="1" w:styleId="Absatz-Standardschriftart">
    <w:name w:val="Absatz-Standardschriftart"/>
    <w:uiPriority w:val="99"/>
    <w:rsid w:val="00C60AE0"/>
  </w:style>
  <w:style w:type="character" w:customStyle="1" w:styleId="WW-Absatz-Standardschriftart">
    <w:name w:val="WW-Absatz-Standardschriftart"/>
    <w:uiPriority w:val="99"/>
    <w:rsid w:val="00C60AE0"/>
  </w:style>
  <w:style w:type="character" w:customStyle="1" w:styleId="WW-Absatz-Standardschriftart1">
    <w:name w:val="WW-Absatz-Standardschriftart1"/>
    <w:uiPriority w:val="99"/>
    <w:rsid w:val="00C60AE0"/>
  </w:style>
  <w:style w:type="character" w:customStyle="1" w:styleId="WW8Num1z0">
    <w:name w:val="WW8Num1z0"/>
    <w:uiPriority w:val="99"/>
    <w:rsid w:val="00C60AE0"/>
    <w:rPr>
      <w:sz w:val="20"/>
      <w:szCs w:val="20"/>
    </w:rPr>
  </w:style>
  <w:style w:type="character" w:customStyle="1" w:styleId="FootnoteCharacters">
    <w:name w:val="Footnote Characters"/>
    <w:basedOn w:val="DefaultParagraphFont"/>
    <w:uiPriority w:val="99"/>
    <w:rsid w:val="00C60AE0"/>
    <w:rPr>
      <w:vertAlign w:val="superscript"/>
    </w:rPr>
  </w:style>
  <w:style w:type="character" w:styleId="Strong">
    <w:name w:val="Strong"/>
    <w:basedOn w:val="DefaultParagraphFont"/>
    <w:uiPriority w:val="99"/>
    <w:qFormat/>
    <w:rsid w:val="00C60AE0"/>
    <w:rPr>
      <w:b/>
      <w:bCs/>
    </w:rPr>
  </w:style>
  <w:style w:type="character" w:styleId="Hyperlink">
    <w:name w:val="Hyperlink"/>
    <w:basedOn w:val="DefaultParagraphFont"/>
    <w:uiPriority w:val="99"/>
    <w:rsid w:val="00C60AE0"/>
    <w:rPr>
      <w:color w:val="0000FF"/>
      <w:u w:val="single"/>
    </w:rPr>
  </w:style>
  <w:style w:type="character" w:styleId="FootnoteReference">
    <w:name w:val="footnote reference"/>
    <w:basedOn w:val="DefaultParagraphFont"/>
    <w:uiPriority w:val="99"/>
    <w:semiHidden/>
    <w:rsid w:val="00C60AE0"/>
    <w:rPr>
      <w:vertAlign w:val="superscript"/>
    </w:rPr>
  </w:style>
  <w:style w:type="character" w:customStyle="1" w:styleId="EndnoteCharacters">
    <w:name w:val="Endnote Characters"/>
    <w:uiPriority w:val="99"/>
    <w:rsid w:val="00C60AE0"/>
    <w:rPr>
      <w:vertAlign w:val="superscript"/>
    </w:rPr>
  </w:style>
  <w:style w:type="character" w:customStyle="1" w:styleId="WW-EndnoteCharacters">
    <w:name w:val="WW-Endnote Characters"/>
    <w:uiPriority w:val="99"/>
    <w:rsid w:val="00C60AE0"/>
  </w:style>
  <w:style w:type="character" w:styleId="EndnoteReference">
    <w:name w:val="endnote reference"/>
    <w:basedOn w:val="DefaultParagraphFont"/>
    <w:uiPriority w:val="99"/>
    <w:semiHidden/>
    <w:rsid w:val="00C60AE0"/>
    <w:rPr>
      <w:vertAlign w:val="superscript"/>
    </w:rPr>
  </w:style>
  <w:style w:type="paragraph" w:customStyle="1" w:styleId="Heading">
    <w:name w:val="Heading"/>
    <w:basedOn w:val="Normal"/>
    <w:next w:val="BodyText"/>
    <w:uiPriority w:val="99"/>
    <w:rsid w:val="00C60AE0"/>
    <w:pPr>
      <w:keepNext/>
      <w:spacing w:before="240" w:after="120"/>
    </w:pPr>
    <w:rPr>
      <w:rFonts w:ascii="Liberation Sans" w:eastAsia="DejaVu Sans" w:hAnsi="Liberation Sans" w:cs="Liberation Sans"/>
      <w:sz w:val="28"/>
      <w:szCs w:val="28"/>
    </w:rPr>
  </w:style>
  <w:style w:type="paragraph" w:styleId="BodyText">
    <w:name w:val="Body Text"/>
    <w:basedOn w:val="Normal"/>
    <w:link w:val="BodyTextChar"/>
    <w:uiPriority w:val="99"/>
    <w:rsid w:val="00C60AE0"/>
    <w:pPr>
      <w:spacing w:after="120"/>
    </w:pPr>
  </w:style>
  <w:style w:type="character" w:customStyle="1" w:styleId="BodyTextChar">
    <w:name w:val="Body Text Char"/>
    <w:basedOn w:val="DefaultParagraphFont"/>
    <w:link w:val="BodyText"/>
    <w:uiPriority w:val="99"/>
    <w:semiHidden/>
    <w:rsid w:val="00FF2C61"/>
    <w:rPr>
      <w:sz w:val="24"/>
      <w:szCs w:val="24"/>
      <w:lang w:eastAsia="en-GB"/>
    </w:rPr>
  </w:style>
  <w:style w:type="paragraph" w:styleId="List">
    <w:name w:val="List"/>
    <w:basedOn w:val="BodyText"/>
    <w:uiPriority w:val="99"/>
    <w:rsid w:val="00C60AE0"/>
  </w:style>
  <w:style w:type="paragraph" w:styleId="Caption">
    <w:name w:val="caption"/>
    <w:basedOn w:val="Normal"/>
    <w:next w:val="Normal"/>
    <w:uiPriority w:val="99"/>
    <w:qFormat/>
    <w:rsid w:val="00C60AE0"/>
    <w:rPr>
      <w:b/>
      <w:bCs/>
      <w:sz w:val="20"/>
      <w:szCs w:val="20"/>
    </w:rPr>
  </w:style>
  <w:style w:type="paragraph" w:customStyle="1" w:styleId="Index">
    <w:name w:val="Index"/>
    <w:basedOn w:val="Normal"/>
    <w:uiPriority w:val="99"/>
    <w:rsid w:val="00C60AE0"/>
    <w:pPr>
      <w:suppressLineNumbers/>
    </w:pPr>
  </w:style>
  <w:style w:type="paragraph" w:styleId="FootnoteText">
    <w:name w:val="footnote text"/>
    <w:basedOn w:val="Normal"/>
    <w:link w:val="FootnoteTextChar"/>
    <w:uiPriority w:val="99"/>
    <w:semiHidden/>
    <w:rsid w:val="00C60AE0"/>
    <w:rPr>
      <w:sz w:val="20"/>
      <w:szCs w:val="20"/>
    </w:rPr>
  </w:style>
  <w:style w:type="character" w:customStyle="1" w:styleId="FootnoteTextChar">
    <w:name w:val="Footnote Text Char"/>
    <w:basedOn w:val="DefaultParagraphFont"/>
    <w:link w:val="FootnoteText"/>
    <w:uiPriority w:val="99"/>
    <w:locked/>
    <w:rsid w:val="004374E1"/>
    <w:rPr>
      <w:lang w:val="en-GB" w:eastAsia="en-GB" w:bidi="en-GB"/>
    </w:rPr>
  </w:style>
  <w:style w:type="paragraph" w:styleId="Header">
    <w:name w:val="header"/>
    <w:basedOn w:val="Normal"/>
    <w:link w:val="HeaderChar"/>
    <w:uiPriority w:val="99"/>
    <w:rsid w:val="00C60AE0"/>
    <w:pPr>
      <w:tabs>
        <w:tab w:val="center" w:pos="4536"/>
        <w:tab w:val="right" w:pos="9072"/>
      </w:tabs>
    </w:pPr>
  </w:style>
  <w:style w:type="character" w:customStyle="1" w:styleId="HeaderChar">
    <w:name w:val="Header Char"/>
    <w:basedOn w:val="DefaultParagraphFont"/>
    <w:link w:val="Header"/>
    <w:uiPriority w:val="99"/>
    <w:rsid w:val="00FF2C61"/>
    <w:rPr>
      <w:sz w:val="24"/>
      <w:szCs w:val="24"/>
      <w:lang w:eastAsia="en-GB"/>
    </w:rPr>
  </w:style>
  <w:style w:type="paragraph" w:styleId="Footer">
    <w:name w:val="footer"/>
    <w:basedOn w:val="Normal"/>
    <w:link w:val="FooterChar"/>
    <w:uiPriority w:val="99"/>
    <w:rsid w:val="00C60AE0"/>
    <w:pPr>
      <w:tabs>
        <w:tab w:val="center" w:pos="4536"/>
        <w:tab w:val="right" w:pos="9072"/>
      </w:tabs>
    </w:pPr>
  </w:style>
  <w:style w:type="character" w:customStyle="1" w:styleId="FooterChar">
    <w:name w:val="Footer Char"/>
    <w:basedOn w:val="DefaultParagraphFont"/>
    <w:link w:val="Footer"/>
    <w:uiPriority w:val="99"/>
    <w:rsid w:val="00FF2C61"/>
    <w:rPr>
      <w:sz w:val="24"/>
      <w:szCs w:val="24"/>
      <w:lang w:eastAsia="en-GB"/>
    </w:rPr>
  </w:style>
  <w:style w:type="paragraph" w:customStyle="1" w:styleId="Framecontents">
    <w:name w:val="Frame contents"/>
    <w:basedOn w:val="BodyText"/>
    <w:uiPriority w:val="99"/>
    <w:rsid w:val="00C60AE0"/>
  </w:style>
  <w:style w:type="paragraph" w:styleId="BalloonText">
    <w:name w:val="Balloon Text"/>
    <w:basedOn w:val="Normal"/>
    <w:link w:val="BalloonTextChar"/>
    <w:uiPriority w:val="99"/>
    <w:semiHidden/>
    <w:rsid w:val="0049574B"/>
    <w:rPr>
      <w:rFonts w:ascii="Tahoma" w:hAnsi="Tahoma" w:cs="Tahoma"/>
      <w:sz w:val="16"/>
      <w:szCs w:val="16"/>
    </w:rPr>
  </w:style>
  <w:style w:type="character" w:customStyle="1" w:styleId="BalloonTextChar">
    <w:name w:val="Balloon Text Char"/>
    <w:basedOn w:val="DefaultParagraphFont"/>
    <w:link w:val="BalloonText"/>
    <w:uiPriority w:val="99"/>
    <w:semiHidden/>
    <w:rsid w:val="00FF2C61"/>
    <w:rPr>
      <w:sz w:val="0"/>
      <w:szCs w:val="0"/>
      <w:lang w:eastAsia="en-GB"/>
    </w:rPr>
  </w:style>
  <w:style w:type="character" w:styleId="FollowedHyperlink">
    <w:name w:val="FollowedHyperlink"/>
    <w:basedOn w:val="DefaultParagraphFont"/>
    <w:uiPriority w:val="99"/>
    <w:rsid w:val="00B73A1D"/>
    <w:rPr>
      <w:color w:val="800080"/>
      <w:u w:val="single"/>
    </w:rPr>
  </w:style>
  <w:style w:type="character" w:styleId="PageNumber">
    <w:name w:val="page number"/>
    <w:basedOn w:val="DefaultParagraphFont"/>
    <w:uiPriority w:val="99"/>
    <w:rsid w:val="00AF0B76"/>
  </w:style>
  <w:style w:type="table" w:styleId="TableGrid">
    <w:name w:val="Table Grid"/>
    <w:basedOn w:val="TableNormal"/>
    <w:uiPriority w:val="99"/>
    <w:rsid w:val="005A6BA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basedOn w:val="DefaultParagraphFont"/>
    <w:uiPriority w:val="99"/>
    <w:rsid w:val="001A563C"/>
    <w:rPr>
      <w:lang w:val="en-GB" w:eastAsia="en-GB" w:bidi="en-GB"/>
    </w:rPr>
  </w:style>
  <w:style w:type="paragraph" w:styleId="EndnoteText">
    <w:name w:val="endnote text"/>
    <w:basedOn w:val="Normal"/>
    <w:link w:val="EndnoteTextChar"/>
    <w:uiPriority w:val="99"/>
    <w:semiHidden/>
    <w:rsid w:val="00072050"/>
    <w:rPr>
      <w:sz w:val="20"/>
      <w:szCs w:val="20"/>
    </w:rPr>
  </w:style>
  <w:style w:type="character" w:customStyle="1" w:styleId="EndnoteTextChar">
    <w:name w:val="Endnote Text Char"/>
    <w:basedOn w:val="DefaultParagraphFont"/>
    <w:link w:val="EndnoteText"/>
    <w:uiPriority w:val="99"/>
    <w:locked/>
    <w:rsid w:val="00072050"/>
    <w:rPr>
      <w:lang w:eastAsia="en-GB" w:bidi="en-GB"/>
    </w:rPr>
  </w:style>
  <w:style w:type="character" w:customStyle="1" w:styleId="Heading4Char">
    <w:name w:val="Heading 4 Char"/>
    <w:basedOn w:val="DefaultParagraphFont"/>
    <w:link w:val="Heading4"/>
    <w:uiPriority w:val="99"/>
    <w:rsid w:val="009C0008"/>
    <w:rPr>
      <w:rFonts w:ascii="Cambria" w:hAnsi="Cambria" w:cs="Cambria"/>
      <w:b/>
      <w:bCs/>
      <w:i/>
      <w:iCs/>
      <w:color w:val="4F81BD"/>
      <w:sz w:val="22"/>
      <w:szCs w:val="22"/>
      <w:lang w:val="en-GB"/>
    </w:rPr>
  </w:style>
  <w:style w:type="character" w:customStyle="1" w:styleId="Heading5Char">
    <w:name w:val="Heading 5 Char"/>
    <w:basedOn w:val="DefaultParagraphFont"/>
    <w:link w:val="Heading5"/>
    <w:uiPriority w:val="99"/>
    <w:rsid w:val="009C0008"/>
    <w:rPr>
      <w:rFonts w:ascii="Cambria" w:hAnsi="Cambria" w:cs="Cambria"/>
      <w:color w:val="243F60"/>
      <w:sz w:val="22"/>
      <w:szCs w:val="22"/>
      <w:lang w:val="en-GB"/>
    </w:rPr>
  </w:style>
  <w:style w:type="character" w:customStyle="1" w:styleId="Heading6Char">
    <w:name w:val="Heading 6 Char"/>
    <w:basedOn w:val="DefaultParagraphFont"/>
    <w:link w:val="Heading6"/>
    <w:uiPriority w:val="99"/>
    <w:rsid w:val="009C0008"/>
    <w:rPr>
      <w:rFonts w:ascii="Cambria" w:hAnsi="Cambria" w:cs="Cambria"/>
      <w:i/>
      <w:iCs/>
      <w:color w:val="243F60"/>
      <w:sz w:val="22"/>
      <w:szCs w:val="22"/>
      <w:lang w:val="en-GB"/>
    </w:rPr>
  </w:style>
  <w:style w:type="character" w:customStyle="1" w:styleId="Heading7Char">
    <w:name w:val="Heading 7 Char"/>
    <w:basedOn w:val="DefaultParagraphFont"/>
    <w:link w:val="Heading7"/>
    <w:uiPriority w:val="99"/>
    <w:rsid w:val="009C0008"/>
    <w:rPr>
      <w:rFonts w:ascii="Cambria" w:hAnsi="Cambria" w:cs="Cambria"/>
      <w:i/>
      <w:iCs/>
      <w:color w:val="404040"/>
      <w:sz w:val="22"/>
      <w:szCs w:val="22"/>
      <w:lang w:val="en-GB"/>
    </w:rPr>
  </w:style>
  <w:style w:type="character" w:customStyle="1" w:styleId="Heading8Char">
    <w:name w:val="Heading 8 Char"/>
    <w:basedOn w:val="DefaultParagraphFont"/>
    <w:link w:val="Heading8"/>
    <w:uiPriority w:val="99"/>
    <w:rsid w:val="009C0008"/>
    <w:rPr>
      <w:rFonts w:ascii="Cambria" w:hAnsi="Cambria" w:cs="Cambria"/>
      <w:color w:val="404040"/>
      <w:lang w:val="en-GB"/>
    </w:rPr>
  </w:style>
  <w:style w:type="character" w:customStyle="1" w:styleId="Heading9Char">
    <w:name w:val="Heading 9 Char"/>
    <w:basedOn w:val="DefaultParagraphFont"/>
    <w:link w:val="Heading9"/>
    <w:uiPriority w:val="99"/>
    <w:rsid w:val="009C0008"/>
    <w:rPr>
      <w:rFonts w:ascii="Cambria" w:hAnsi="Cambria" w:cs="Cambria"/>
      <w:i/>
      <w:iCs/>
      <w:color w:val="404040"/>
      <w:lang w:val="en-GB"/>
    </w:rPr>
  </w:style>
  <w:style w:type="character" w:customStyle="1" w:styleId="flagicon">
    <w:name w:val="flagicon"/>
    <w:basedOn w:val="DefaultParagraphFont"/>
    <w:uiPriority w:val="99"/>
    <w:rsid w:val="009C0008"/>
  </w:style>
  <w:style w:type="character" w:customStyle="1" w:styleId="apple-converted-space">
    <w:name w:val="apple-converted-space"/>
    <w:basedOn w:val="DefaultParagraphFont"/>
    <w:uiPriority w:val="99"/>
    <w:rsid w:val="009C0008"/>
  </w:style>
  <w:style w:type="character" w:customStyle="1" w:styleId="citation">
    <w:name w:val="citation"/>
    <w:basedOn w:val="DefaultParagraphFont"/>
    <w:uiPriority w:val="99"/>
    <w:rsid w:val="009C0008"/>
  </w:style>
  <w:style w:type="paragraph" w:styleId="ListParagraph">
    <w:name w:val="List Paragraph"/>
    <w:basedOn w:val="Normal"/>
    <w:uiPriority w:val="99"/>
    <w:qFormat/>
    <w:rsid w:val="009C0008"/>
    <w:pPr>
      <w:suppressAutoHyphens w:val="0"/>
      <w:spacing w:after="200" w:line="276" w:lineRule="auto"/>
      <w:ind w:left="720"/>
    </w:pPr>
    <w:rPr>
      <w:rFonts w:ascii="Calibri" w:eastAsia="Calibri" w:hAnsi="Calibri" w:cs="Calibri"/>
      <w:sz w:val="22"/>
      <w:szCs w:val="22"/>
    </w:rPr>
  </w:style>
  <w:style w:type="paragraph" w:styleId="NormalWeb">
    <w:name w:val="Normal (Web)"/>
    <w:basedOn w:val="Normal"/>
    <w:uiPriority w:val="99"/>
    <w:rsid w:val="009C0008"/>
    <w:pPr>
      <w:suppressAutoHyphens w:val="0"/>
      <w:spacing w:before="100" w:beforeAutospacing="1" w:after="100" w:afterAutospacing="1"/>
    </w:pPr>
  </w:style>
  <w:style w:type="character" w:styleId="HTMLCite">
    <w:name w:val="HTML Cite"/>
    <w:basedOn w:val="DefaultParagraphFont"/>
    <w:uiPriority w:val="99"/>
    <w:semiHidden/>
    <w:rsid w:val="009C0008"/>
    <w:rPr>
      <w:i/>
      <w:iCs/>
    </w:rPr>
  </w:style>
  <w:style w:type="paragraph" w:styleId="HTMLPreformatted">
    <w:name w:val="HTML Preformatted"/>
    <w:basedOn w:val="Normal"/>
    <w:link w:val="HTMLPreformattedChar"/>
    <w:uiPriority w:val="99"/>
    <w:semiHidden/>
    <w:rsid w:val="009C0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C0008"/>
    <w:rPr>
      <w:rFonts w:ascii="Courier New" w:hAnsi="Courier New" w:cs="Courier New"/>
      <w:lang w:val="en-GB" w:eastAsia="en-GB"/>
    </w:rPr>
  </w:style>
  <w:style w:type="paragraph" w:customStyle="1" w:styleId="Default">
    <w:name w:val="Default"/>
    <w:uiPriority w:val="99"/>
    <w:rsid w:val="009C0008"/>
    <w:pPr>
      <w:autoSpaceDE w:val="0"/>
      <w:autoSpaceDN w:val="0"/>
      <w:adjustRightInd w:val="0"/>
    </w:pPr>
    <w:rPr>
      <w:rFonts w:ascii="Arial" w:eastAsia="Calibri" w:hAnsi="Arial" w:cs="Arial"/>
      <w:color w:val="000000"/>
      <w:sz w:val="24"/>
      <w:szCs w:val="24"/>
    </w:rPr>
  </w:style>
  <w:style w:type="paragraph" w:customStyle="1" w:styleId="MTDisplayEquation">
    <w:name w:val="MTDisplayEquation"/>
    <w:basedOn w:val="Normal"/>
    <w:next w:val="Normal"/>
    <w:link w:val="MTDisplayEquationChar"/>
    <w:rsid w:val="009C0008"/>
    <w:pPr>
      <w:tabs>
        <w:tab w:val="center" w:pos="4540"/>
        <w:tab w:val="right" w:pos="9080"/>
      </w:tabs>
      <w:suppressAutoHyphens w:val="0"/>
      <w:autoSpaceDE w:val="0"/>
      <w:autoSpaceDN w:val="0"/>
      <w:adjustRightInd w:val="0"/>
      <w:jc w:val="both"/>
    </w:pPr>
    <w:rPr>
      <w:rFonts w:ascii="Calibri" w:eastAsia="Calibri" w:hAnsi="Calibri" w:cs="Calibri"/>
      <w:sz w:val="22"/>
      <w:szCs w:val="22"/>
    </w:rPr>
  </w:style>
  <w:style w:type="character" w:customStyle="1" w:styleId="MTDisplayEquationChar">
    <w:name w:val="MTDisplayEquation Char"/>
    <w:basedOn w:val="DefaultParagraphFont"/>
    <w:link w:val="MTDisplayEquation"/>
    <w:rsid w:val="009C0008"/>
    <w:rPr>
      <w:rFonts w:ascii="Calibri" w:eastAsia="Calibri" w:hAnsi="Calibri" w:cs="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1275269">
      <w:marLeft w:val="0"/>
      <w:marRight w:val="0"/>
      <w:marTop w:val="0"/>
      <w:marBottom w:val="0"/>
      <w:divBdr>
        <w:top w:val="none" w:sz="0" w:space="0" w:color="auto"/>
        <w:left w:val="none" w:sz="0" w:space="0" w:color="auto"/>
        <w:bottom w:val="none" w:sz="0" w:space="0" w:color="auto"/>
        <w:right w:val="none" w:sz="0" w:space="0" w:color="auto"/>
      </w:divBdr>
    </w:div>
    <w:div w:id="1271275270">
      <w:marLeft w:val="0"/>
      <w:marRight w:val="0"/>
      <w:marTop w:val="0"/>
      <w:marBottom w:val="0"/>
      <w:divBdr>
        <w:top w:val="none" w:sz="0" w:space="0" w:color="auto"/>
        <w:left w:val="none" w:sz="0" w:space="0" w:color="auto"/>
        <w:bottom w:val="none" w:sz="0" w:space="0" w:color="auto"/>
        <w:right w:val="none" w:sz="0" w:space="0" w:color="auto"/>
      </w:divBdr>
    </w:div>
    <w:div w:id="1271275271">
      <w:marLeft w:val="0"/>
      <w:marRight w:val="0"/>
      <w:marTop w:val="0"/>
      <w:marBottom w:val="0"/>
      <w:divBdr>
        <w:top w:val="none" w:sz="0" w:space="0" w:color="auto"/>
        <w:left w:val="none" w:sz="0" w:space="0" w:color="auto"/>
        <w:bottom w:val="none" w:sz="0" w:space="0" w:color="auto"/>
        <w:right w:val="none" w:sz="0" w:space="0" w:color="auto"/>
      </w:divBdr>
    </w:div>
    <w:div w:id="1271275272">
      <w:marLeft w:val="0"/>
      <w:marRight w:val="0"/>
      <w:marTop w:val="0"/>
      <w:marBottom w:val="0"/>
      <w:divBdr>
        <w:top w:val="none" w:sz="0" w:space="0" w:color="auto"/>
        <w:left w:val="none" w:sz="0" w:space="0" w:color="auto"/>
        <w:bottom w:val="none" w:sz="0" w:space="0" w:color="auto"/>
        <w:right w:val="none" w:sz="0" w:space="0" w:color="auto"/>
      </w:divBdr>
    </w:div>
    <w:div w:id="1271275273">
      <w:marLeft w:val="0"/>
      <w:marRight w:val="0"/>
      <w:marTop w:val="0"/>
      <w:marBottom w:val="0"/>
      <w:divBdr>
        <w:top w:val="none" w:sz="0" w:space="0" w:color="auto"/>
        <w:left w:val="none" w:sz="0" w:space="0" w:color="auto"/>
        <w:bottom w:val="none" w:sz="0" w:space="0" w:color="auto"/>
        <w:right w:val="none" w:sz="0" w:space="0" w:color="auto"/>
      </w:divBdr>
    </w:div>
    <w:div w:id="1271275274">
      <w:marLeft w:val="0"/>
      <w:marRight w:val="0"/>
      <w:marTop w:val="0"/>
      <w:marBottom w:val="0"/>
      <w:divBdr>
        <w:top w:val="none" w:sz="0" w:space="0" w:color="auto"/>
        <w:left w:val="none" w:sz="0" w:space="0" w:color="auto"/>
        <w:bottom w:val="none" w:sz="0" w:space="0" w:color="auto"/>
        <w:right w:val="none" w:sz="0" w:space="0" w:color="auto"/>
      </w:divBdr>
    </w:div>
    <w:div w:id="1271275275">
      <w:marLeft w:val="0"/>
      <w:marRight w:val="0"/>
      <w:marTop w:val="0"/>
      <w:marBottom w:val="0"/>
      <w:divBdr>
        <w:top w:val="none" w:sz="0" w:space="0" w:color="auto"/>
        <w:left w:val="none" w:sz="0" w:space="0" w:color="auto"/>
        <w:bottom w:val="none" w:sz="0" w:space="0" w:color="auto"/>
        <w:right w:val="none" w:sz="0" w:space="0" w:color="auto"/>
      </w:divBdr>
    </w:div>
    <w:div w:id="1271275276">
      <w:marLeft w:val="0"/>
      <w:marRight w:val="0"/>
      <w:marTop w:val="0"/>
      <w:marBottom w:val="0"/>
      <w:divBdr>
        <w:top w:val="none" w:sz="0" w:space="0" w:color="auto"/>
        <w:left w:val="none" w:sz="0" w:space="0" w:color="auto"/>
        <w:bottom w:val="none" w:sz="0" w:space="0" w:color="auto"/>
        <w:right w:val="none" w:sz="0" w:space="0" w:color="auto"/>
      </w:divBdr>
    </w:div>
    <w:div w:id="1271275277">
      <w:marLeft w:val="0"/>
      <w:marRight w:val="0"/>
      <w:marTop w:val="0"/>
      <w:marBottom w:val="0"/>
      <w:divBdr>
        <w:top w:val="none" w:sz="0" w:space="0" w:color="auto"/>
        <w:left w:val="none" w:sz="0" w:space="0" w:color="auto"/>
        <w:bottom w:val="none" w:sz="0" w:space="0" w:color="auto"/>
        <w:right w:val="none" w:sz="0" w:space="0" w:color="auto"/>
      </w:divBdr>
    </w:div>
    <w:div w:id="1271275278">
      <w:marLeft w:val="0"/>
      <w:marRight w:val="0"/>
      <w:marTop w:val="0"/>
      <w:marBottom w:val="0"/>
      <w:divBdr>
        <w:top w:val="none" w:sz="0" w:space="0" w:color="auto"/>
        <w:left w:val="none" w:sz="0" w:space="0" w:color="auto"/>
        <w:bottom w:val="none" w:sz="0" w:space="0" w:color="auto"/>
        <w:right w:val="none" w:sz="0" w:space="0" w:color="auto"/>
      </w:divBdr>
    </w:div>
    <w:div w:id="1271275279">
      <w:marLeft w:val="0"/>
      <w:marRight w:val="0"/>
      <w:marTop w:val="0"/>
      <w:marBottom w:val="0"/>
      <w:divBdr>
        <w:top w:val="none" w:sz="0" w:space="0" w:color="auto"/>
        <w:left w:val="none" w:sz="0" w:space="0" w:color="auto"/>
        <w:bottom w:val="none" w:sz="0" w:space="0" w:color="auto"/>
        <w:right w:val="none" w:sz="0" w:space="0" w:color="auto"/>
      </w:divBdr>
    </w:div>
    <w:div w:id="1271275280">
      <w:marLeft w:val="0"/>
      <w:marRight w:val="0"/>
      <w:marTop w:val="0"/>
      <w:marBottom w:val="0"/>
      <w:divBdr>
        <w:top w:val="none" w:sz="0" w:space="0" w:color="auto"/>
        <w:left w:val="none" w:sz="0" w:space="0" w:color="auto"/>
        <w:bottom w:val="none" w:sz="0" w:space="0" w:color="auto"/>
        <w:right w:val="none" w:sz="0" w:space="0" w:color="auto"/>
      </w:divBdr>
    </w:div>
    <w:div w:id="1271275281">
      <w:marLeft w:val="0"/>
      <w:marRight w:val="0"/>
      <w:marTop w:val="0"/>
      <w:marBottom w:val="0"/>
      <w:divBdr>
        <w:top w:val="none" w:sz="0" w:space="0" w:color="auto"/>
        <w:left w:val="none" w:sz="0" w:space="0" w:color="auto"/>
        <w:bottom w:val="none" w:sz="0" w:space="0" w:color="auto"/>
        <w:right w:val="none" w:sz="0" w:space="0" w:color="auto"/>
      </w:divBdr>
    </w:div>
    <w:div w:id="1271275282">
      <w:marLeft w:val="0"/>
      <w:marRight w:val="0"/>
      <w:marTop w:val="0"/>
      <w:marBottom w:val="0"/>
      <w:divBdr>
        <w:top w:val="none" w:sz="0" w:space="0" w:color="auto"/>
        <w:left w:val="none" w:sz="0" w:space="0" w:color="auto"/>
        <w:bottom w:val="none" w:sz="0" w:space="0" w:color="auto"/>
        <w:right w:val="none" w:sz="0" w:space="0" w:color="auto"/>
      </w:divBdr>
    </w:div>
    <w:div w:id="1271275283">
      <w:marLeft w:val="0"/>
      <w:marRight w:val="0"/>
      <w:marTop w:val="0"/>
      <w:marBottom w:val="0"/>
      <w:divBdr>
        <w:top w:val="none" w:sz="0" w:space="0" w:color="auto"/>
        <w:left w:val="none" w:sz="0" w:space="0" w:color="auto"/>
        <w:bottom w:val="none" w:sz="0" w:space="0" w:color="auto"/>
        <w:right w:val="none" w:sz="0" w:space="0" w:color="auto"/>
      </w:divBdr>
    </w:div>
    <w:div w:id="1271275284">
      <w:marLeft w:val="0"/>
      <w:marRight w:val="0"/>
      <w:marTop w:val="0"/>
      <w:marBottom w:val="0"/>
      <w:divBdr>
        <w:top w:val="none" w:sz="0" w:space="0" w:color="auto"/>
        <w:left w:val="none" w:sz="0" w:space="0" w:color="auto"/>
        <w:bottom w:val="none" w:sz="0" w:space="0" w:color="auto"/>
        <w:right w:val="none" w:sz="0" w:space="0" w:color="auto"/>
      </w:divBdr>
    </w:div>
    <w:div w:id="1271275285">
      <w:marLeft w:val="0"/>
      <w:marRight w:val="0"/>
      <w:marTop w:val="0"/>
      <w:marBottom w:val="0"/>
      <w:divBdr>
        <w:top w:val="none" w:sz="0" w:space="0" w:color="auto"/>
        <w:left w:val="none" w:sz="0" w:space="0" w:color="auto"/>
        <w:bottom w:val="none" w:sz="0" w:space="0" w:color="auto"/>
        <w:right w:val="none" w:sz="0" w:space="0" w:color="auto"/>
      </w:divBdr>
    </w:div>
    <w:div w:id="1271275286">
      <w:marLeft w:val="0"/>
      <w:marRight w:val="0"/>
      <w:marTop w:val="0"/>
      <w:marBottom w:val="0"/>
      <w:divBdr>
        <w:top w:val="none" w:sz="0" w:space="0" w:color="auto"/>
        <w:left w:val="none" w:sz="0" w:space="0" w:color="auto"/>
        <w:bottom w:val="none" w:sz="0" w:space="0" w:color="auto"/>
        <w:right w:val="none" w:sz="0" w:space="0" w:color="auto"/>
      </w:divBdr>
    </w:div>
    <w:div w:id="1271275287">
      <w:marLeft w:val="0"/>
      <w:marRight w:val="0"/>
      <w:marTop w:val="0"/>
      <w:marBottom w:val="0"/>
      <w:divBdr>
        <w:top w:val="none" w:sz="0" w:space="0" w:color="auto"/>
        <w:left w:val="none" w:sz="0" w:space="0" w:color="auto"/>
        <w:bottom w:val="none" w:sz="0" w:space="0" w:color="auto"/>
        <w:right w:val="none" w:sz="0" w:space="0" w:color="auto"/>
      </w:divBdr>
    </w:div>
    <w:div w:id="1271275288">
      <w:marLeft w:val="0"/>
      <w:marRight w:val="0"/>
      <w:marTop w:val="0"/>
      <w:marBottom w:val="0"/>
      <w:divBdr>
        <w:top w:val="none" w:sz="0" w:space="0" w:color="auto"/>
        <w:left w:val="none" w:sz="0" w:space="0" w:color="auto"/>
        <w:bottom w:val="none" w:sz="0" w:space="0" w:color="auto"/>
        <w:right w:val="none" w:sz="0" w:space="0" w:color="auto"/>
      </w:divBdr>
    </w:div>
    <w:div w:id="1271275289">
      <w:marLeft w:val="0"/>
      <w:marRight w:val="0"/>
      <w:marTop w:val="0"/>
      <w:marBottom w:val="0"/>
      <w:divBdr>
        <w:top w:val="none" w:sz="0" w:space="0" w:color="auto"/>
        <w:left w:val="none" w:sz="0" w:space="0" w:color="auto"/>
        <w:bottom w:val="none" w:sz="0" w:space="0" w:color="auto"/>
        <w:right w:val="none" w:sz="0" w:space="0" w:color="auto"/>
      </w:divBdr>
    </w:div>
    <w:div w:id="1271275290">
      <w:marLeft w:val="0"/>
      <w:marRight w:val="0"/>
      <w:marTop w:val="0"/>
      <w:marBottom w:val="0"/>
      <w:divBdr>
        <w:top w:val="none" w:sz="0" w:space="0" w:color="auto"/>
        <w:left w:val="none" w:sz="0" w:space="0" w:color="auto"/>
        <w:bottom w:val="none" w:sz="0" w:space="0" w:color="auto"/>
        <w:right w:val="none" w:sz="0" w:space="0" w:color="auto"/>
      </w:divBdr>
    </w:div>
    <w:div w:id="1271275291">
      <w:marLeft w:val="0"/>
      <w:marRight w:val="0"/>
      <w:marTop w:val="0"/>
      <w:marBottom w:val="0"/>
      <w:divBdr>
        <w:top w:val="none" w:sz="0" w:space="0" w:color="auto"/>
        <w:left w:val="none" w:sz="0" w:space="0" w:color="auto"/>
        <w:bottom w:val="none" w:sz="0" w:space="0" w:color="auto"/>
        <w:right w:val="none" w:sz="0" w:space="0" w:color="auto"/>
      </w:divBdr>
    </w:div>
    <w:div w:id="1271275292">
      <w:marLeft w:val="0"/>
      <w:marRight w:val="0"/>
      <w:marTop w:val="0"/>
      <w:marBottom w:val="0"/>
      <w:divBdr>
        <w:top w:val="none" w:sz="0" w:space="0" w:color="auto"/>
        <w:left w:val="none" w:sz="0" w:space="0" w:color="auto"/>
        <w:bottom w:val="none" w:sz="0" w:space="0" w:color="auto"/>
        <w:right w:val="none" w:sz="0" w:space="0" w:color="auto"/>
      </w:divBdr>
    </w:div>
    <w:div w:id="1271275293">
      <w:marLeft w:val="0"/>
      <w:marRight w:val="0"/>
      <w:marTop w:val="0"/>
      <w:marBottom w:val="0"/>
      <w:divBdr>
        <w:top w:val="none" w:sz="0" w:space="0" w:color="auto"/>
        <w:left w:val="none" w:sz="0" w:space="0" w:color="auto"/>
        <w:bottom w:val="none" w:sz="0" w:space="0" w:color="auto"/>
        <w:right w:val="none" w:sz="0" w:space="0" w:color="auto"/>
      </w:divBdr>
    </w:div>
    <w:div w:id="1271275294">
      <w:marLeft w:val="0"/>
      <w:marRight w:val="0"/>
      <w:marTop w:val="0"/>
      <w:marBottom w:val="0"/>
      <w:divBdr>
        <w:top w:val="none" w:sz="0" w:space="0" w:color="auto"/>
        <w:left w:val="none" w:sz="0" w:space="0" w:color="auto"/>
        <w:bottom w:val="none" w:sz="0" w:space="0" w:color="auto"/>
        <w:right w:val="none" w:sz="0" w:space="0" w:color="auto"/>
      </w:divBdr>
    </w:div>
    <w:div w:id="1271275295">
      <w:marLeft w:val="0"/>
      <w:marRight w:val="0"/>
      <w:marTop w:val="0"/>
      <w:marBottom w:val="0"/>
      <w:divBdr>
        <w:top w:val="none" w:sz="0" w:space="0" w:color="auto"/>
        <w:left w:val="none" w:sz="0" w:space="0" w:color="auto"/>
        <w:bottom w:val="none" w:sz="0" w:space="0" w:color="auto"/>
        <w:right w:val="none" w:sz="0" w:space="0" w:color="auto"/>
      </w:divBdr>
    </w:div>
    <w:div w:id="1271275296">
      <w:marLeft w:val="0"/>
      <w:marRight w:val="0"/>
      <w:marTop w:val="0"/>
      <w:marBottom w:val="0"/>
      <w:divBdr>
        <w:top w:val="none" w:sz="0" w:space="0" w:color="auto"/>
        <w:left w:val="none" w:sz="0" w:space="0" w:color="auto"/>
        <w:bottom w:val="none" w:sz="0" w:space="0" w:color="auto"/>
        <w:right w:val="none" w:sz="0" w:space="0" w:color="auto"/>
      </w:divBdr>
    </w:div>
    <w:div w:id="1271275297">
      <w:marLeft w:val="0"/>
      <w:marRight w:val="0"/>
      <w:marTop w:val="0"/>
      <w:marBottom w:val="0"/>
      <w:divBdr>
        <w:top w:val="none" w:sz="0" w:space="0" w:color="auto"/>
        <w:left w:val="none" w:sz="0" w:space="0" w:color="auto"/>
        <w:bottom w:val="none" w:sz="0" w:space="0" w:color="auto"/>
        <w:right w:val="none" w:sz="0" w:space="0" w:color="auto"/>
      </w:divBdr>
    </w:div>
    <w:div w:id="1271275298">
      <w:marLeft w:val="0"/>
      <w:marRight w:val="0"/>
      <w:marTop w:val="0"/>
      <w:marBottom w:val="0"/>
      <w:divBdr>
        <w:top w:val="none" w:sz="0" w:space="0" w:color="auto"/>
        <w:left w:val="none" w:sz="0" w:space="0" w:color="auto"/>
        <w:bottom w:val="none" w:sz="0" w:space="0" w:color="auto"/>
        <w:right w:val="none" w:sz="0" w:space="0" w:color="auto"/>
      </w:divBdr>
    </w:div>
    <w:div w:id="1271275299">
      <w:marLeft w:val="0"/>
      <w:marRight w:val="0"/>
      <w:marTop w:val="0"/>
      <w:marBottom w:val="0"/>
      <w:divBdr>
        <w:top w:val="none" w:sz="0" w:space="0" w:color="auto"/>
        <w:left w:val="none" w:sz="0" w:space="0" w:color="auto"/>
        <w:bottom w:val="none" w:sz="0" w:space="0" w:color="auto"/>
        <w:right w:val="none" w:sz="0" w:space="0" w:color="auto"/>
      </w:divBdr>
    </w:div>
    <w:div w:id="1271275300">
      <w:marLeft w:val="0"/>
      <w:marRight w:val="0"/>
      <w:marTop w:val="0"/>
      <w:marBottom w:val="0"/>
      <w:divBdr>
        <w:top w:val="none" w:sz="0" w:space="0" w:color="auto"/>
        <w:left w:val="none" w:sz="0" w:space="0" w:color="auto"/>
        <w:bottom w:val="none" w:sz="0" w:space="0" w:color="auto"/>
        <w:right w:val="none" w:sz="0" w:space="0" w:color="auto"/>
      </w:divBdr>
    </w:div>
    <w:div w:id="1271275301">
      <w:marLeft w:val="0"/>
      <w:marRight w:val="0"/>
      <w:marTop w:val="0"/>
      <w:marBottom w:val="0"/>
      <w:divBdr>
        <w:top w:val="none" w:sz="0" w:space="0" w:color="auto"/>
        <w:left w:val="none" w:sz="0" w:space="0" w:color="auto"/>
        <w:bottom w:val="none" w:sz="0" w:space="0" w:color="auto"/>
        <w:right w:val="none" w:sz="0" w:space="0" w:color="auto"/>
      </w:divBdr>
    </w:div>
    <w:div w:id="1271275302">
      <w:marLeft w:val="0"/>
      <w:marRight w:val="0"/>
      <w:marTop w:val="0"/>
      <w:marBottom w:val="0"/>
      <w:divBdr>
        <w:top w:val="none" w:sz="0" w:space="0" w:color="auto"/>
        <w:left w:val="none" w:sz="0" w:space="0" w:color="auto"/>
        <w:bottom w:val="none" w:sz="0" w:space="0" w:color="auto"/>
        <w:right w:val="none" w:sz="0" w:space="0" w:color="auto"/>
      </w:divBdr>
    </w:div>
    <w:div w:id="1271275303">
      <w:marLeft w:val="0"/>
      <w:marRight w:val="0"/>
      <w:marTop w:val="0"/>
      <w:marBottom w:val="0"/>
      <w:divBdr>
        <w:top w:val="none" w:sz="0" w:space="0" w:color="auto"/>
        <w:left w:val="none" w:sz="0" w:space="0" w:color="auto"/>
        <w:bottom w:val="none" w:sz="0" w:space="0" w:color="auto"/>
        <w:right w:val="none" w:sz="0" w:space="0" w:color="auto"/>
      </w:divBdr>
    </w:div>
    <w:div w:id="1271275304">
      <w:marLeft w:val="0"/>
      <w:marRight w:val="0"/>
      <w:marTop w:val="0"/>
      <w:marBottom w:val="0"/>
      <w:divBdr>
        <w:top w:val="none" w:sz="0" w:space="0" w:color="auto"/>
        <w:left w:val="none" w:sz="0" w:space="0" w:color="auto"/>
        <w:bottom w:val="none" w:sz="0" w:space="0" w:color="auto"/>
        <w:right w:val="none" w:sz="0" w:space="0" w:color="auto"/>
      </w:divBdr>
    </w:div>
    <w:div w:id="1271275305">
      <w:marLeft w:val="0"/>
      <w:marRight w:val="0"/>
      <w:marTop w:val="0"/>
      <w:marBottom w:val="0"/>
      <w:divBdr>
        <w:top w:val="none" w:sz="0" w:space="0" w:color="auto"/>
        <w:left w:val="none" w:sz="0" w:space="0" w:color="auto"/>
        <w:bottom w:val="none" w:sz="0" w:space="0" w:color="auto"/>
        <w:right w:val="none" w:sz="0" w:space="0" w:color="auto"/>
      </w:divBdr>
    </w:div>
    <w:div w:id="1271275306">
      <w:marLeft w:val="0"/>
      <w:marRight w:val="0"/>
      <w:marTop w:val="0"/>
      <w:marBottom w:val="0"/>
      <w:divBdr>
        <w:top w:val="none" w:sz="0" w:space="0" w:color="auto"/>
        <w:left w:val="none" w:sz="0" w:space="0" w:color="auto"/>
        <w:bottom w:val="none" w:sz="0" w:space="0" w:color="auto"/>
        <w:right w:val="none" w:sz="0" w:space="0" w:color="auto"/>
      </w:divBdr>
    </w:div>
    <w:div w:id="1271275307">
      <w:marLeft w:val="0"/>
      <w:marRight w:val="0"/>
      <w:marTop w:val="0"/>
      <w:marBottom w:val="0"/>
      <w:divBdr>
        <w:top w:val="none" w:sz="0" w:space="0" w:color="auto"/>
        <w:left w:val="none" w:sz="0" w:space="0" w:color="auto"/>
        <w:bottom w:val="none" w:sz="0" w:space="0" w:color="auto"/>
        <w:right w:val="none" w:sz="0" w:space="0" w:color="auto"/>
      </w:divBdr>
    </w:div>
    <w:div w:id="1271275308">
      <w:marLeft w:val="0"/>
      <w:marRight w:val="0"/>
      <w:marTop w:val="0"/>
      <w:marBottom w:val="0"/>
      <w:divBdr>
        <w:top w:val="none" w:sz="0" w:space="0" w:color="auto"/>
        <w:left w:val="none" w:sz="0" w:space="0" w:color="auto"/>
        <w:bottom w:val="none" w:sz="0" w:space="0" w:color="auto"/>
        <w:right w:val="none" w:sz="0" w:space="0" w:color="auto"/>
      </w:divBdr>
    </w:div>
    <w:div w:id="1271275309">
      <w:marLeft w:val="0"/>
      <w:marRight w:val="0"/>
      <w:marTop w:val="0"/>
      <w:marBottom w:val="0"/>
      <w:divBdr>
        <w:top w:val="none" w:sz="0" w:space="0" w:color="auto"/>
        <w:left w:val="none" w:sz="0" w:space="0" w:color="auto"/>
        <w:bottom w:val="none" w:sz="0" w:space="0" w:color="auto"/>
        <w:right w:val="none" w:sz="0" w:space="0" w:color="auto"/>
      </w:divBdr>
    </w:div>
    <w:div w:id="1271275310">
      <w:marLeft w:val="0"/>
      <w:marRight w:val="0"/>
      <w:marTop w:val="0"/>
      <w:marBottom w:val="0"/>
      <w:divBdr>
        <w:top w:val="none" w:sz="0" w:space="0" w:color="auto"/>
        <w:left w:val="none" w:sz="0" w:space="0" w:color="auto"/>
        <w:bottom w:val="none" w:sz="0" w:space="0" w:color="auto"/>
        <w:right w:val="none" w:sz="0" w:space="0" w:color="auto"/>
      </w:divBdr>
    </w:div>
    <w:div w:id="1271275311">
      <w:marLeft w:val="0"/>
      <w:marRight w:val="0"/>
      <w:marTop w:val="0"/>
      <w:marBottom w:val="0"/>
      <w:divBdr>
        <w:top w:val="none" w:sz="0" w:space="0" w:color="auto"/>
        <w:left w:val="none" w:sz="0" w:space="0" w:color="auto"/>
        <w:bottom w:val="none" w:sz="0" w:space="0" w:color="auto"/>
        <w:right w:val="none" w:sz="0" w:space="0" w:color="auto"/>
      </w:divBdr>
    </w:div>
    <w:div w:id="1271275312">
      <w:marLeft w:val="0"/>
      <w:marRight w:val="0"/>
      <w:marTop w:val="0"/>
      <w:marBottom w:val="0"/>
      <w:divBdr>
        <w:top w:val="none" w:sz="0" w:space="0" w:color="auto"/>
        <w:left w:val="none" w:sz="0" w:space="0" w:color="auto"/>
        <w:bottom w:val="none" w:sz="0" w:space="0" w:color="auto"/>
        <w:right w:val="none" w:sz="0" w:space="0" w:color="auto"/>
      </w:divBdr>
    </w:div>
    <w:div w:id="1271275313">
      <w:marLeft w:val="0"/>
      <w:marRight w:val="0"/>
      <w:marTop w:val="0"/>
      <w:marBottom w:val="0"/>
      <w:divBdr>
        <w:top w:val="none" w:sz="0" w:space="0" w:color="auto"/>
        <w:left w:val="none" w:sz="0" w:space="0" w:color="auto"/>
        <w:bottom w:val="none" w:sz="0" w:space="0" w:color="auto"/>
        <w:right w:val="none" w:sz="0" w:space="0" w:color="auto"/>
      </w:divBdr>
    </w:div>
    <w:div w:id="1271275314">
      <w:marLeft w:val="0"/>
      <w:marRight w:val="0"/>
      <w:marTop w:val="0"/>
      <w:marBottom w:val="0"/>
      <w:divBdr>
        <w:top w:val="none" w:sz="0" w:space="0" w:color="auto"/>
        <w:left w:val="none" w:sz="0" w:space="0" w:color="auto"/>
        <w:bottom w:val="none" w:sz="0" w:space="0" w:color="auto"/>
        <w:right w:val="none" w:sz="0" w:space="0" w:color="auto"/>
      </w:divBdr>
    </w:div>
    <w:div w:id="1271275315">
      <w:marLeft w:val="0"/>
      <w:marRight w:val="0"/>
      <w:marTop w:val="0"/>
      <w:marBottom w:val="0"/>
      <w:divBdr>
        <w:top w:val="none" w:sz="0" w:space="0" w:color="auto"/>
        <w:left w:val="none" w:sz="0" w:space="0" w:color="auto"/>
        <w:bottom w:val="none" w:sz="0" w:space="0" w:color="auto"/>
        <w:right w:val="none" w:sz="0" w:space="0" w:color="auto"/>
      </w:divBdr>
    </w:div>
    <w:div w:id="1271275316">
      <w:marLeft w:val="0"/>
      <w:marRight w:val="0"/>
      <w:marTop w:val="0"/>
      <w:marBottom w:val="0"/>
      <w:divBdr>
        <w:top w:val="none" w:sz="0" w:space="0" w:color="auto"/>
        <w:left w:val="none" w:sz="0" w:space="0" w:color="auto"/>
        <w:bottom w:val="none" w:sz="0" w:space="0" w:color="auto"/>
        <w:right w:val="none" w:sz="0" w:space="0" w:color="auto"/>
      </w:divBdr>
    </w:div>
    <w:div w:id="1271275317">
      <w:marLeft w:val="0"/>
      <w:marRight w:val="0"/>
      <w:marTop w:val="0"/>
      <w:marBottom w:val="0"/>
      <w:divBdr>
        <w:top w:val="none" w:sz="0" w:space="0" w:color="auto"/>
        <w:left w:val="none" w:sz="0" w:space="0" w:color="auto"/>
        <w:bottom w:val="none" w:sz="0" w:space="0" w:color="auto"/>
        <w:right w:val="none" w:sz="0" w:space="0" w:color="auto"/>
      </w:divBdr>
    </w:div>
    <w:div w:id="1271275318">
      <w:marLeft w:val="0"/>
      <w:marRight w:val="0"/>
      <w:marTop w:val="0"/>
      <w:marBottom w:val="0"/>
      <w:divBdr>
        <w:top w:val="none" w:sz="0" w:space="0" w:color="auto"/>
        <w:left w:val="none" w:sz="0" w:space="0" w:color="auto"/>
        <w:bottom w:val="none" w:sz="0" w:space="0" w:color="auto"/>
        <w:right w:val="none" w:sz="0" w:space="0" w:color="auto"/>
      </w:divBdr>
    </w:div>
    <w:div w:id="1271275319">
      <w:marLeft w:val="0"/>
      <w:marRight w:val="0"/>
      <w:marTop w:val="0"/>
      <w:marBottom w:val="0"/>
      <w:divBdr>
        <w:top w:val="none" w:sz="0" w:space="0" w:color="auto"/>
        <w:left w:val="none" w:sz="0" w:space="0" w:color="auto"/>
        <w:bottom w:val="none" w:sz="0" w:space="0" w:color="auto"/>
        <w:right w:val="none" w:sz="0" w:space="0" w:color="auto"/>
      </w:divBdr>
    </w:div>
    <w:div w:id="1271275320">
      <w:marLeft w:val="0"/>
      <w:marRight w:val="0"/>
      <w:marTop w:val="0"/>
      <w:marBottom w:val="0"/>
      <w:divBdr>
        <w:top w:val="none" w:sz="0" w:space="0" w:color="auto"/>
        <w:left w:val="none" w:sz="0" w:space="0" w:color="auto"/>
        <w:bottom w:val="none" w:sz="0" w:space="0" w:color="auto"/>
        <w:right w:val="none" w:sz="0" w:space="0" w:color="auto"/>
      </w:divBdr>
    </w:div>
    <w:div w:id="1271275321">
      <w:marLeft w:val="0"/>
      <w:marRight w:val="0"/>
      <w:marTop w:val="0"/>
      <w:marBottom w:val="0"/>
      <w:divBdr>
        <w:top w:val="none" w:sz="0" w:space="0" w:color="auto"/>
        <w:left w:val="none" w:sz="0" w:space="0" w:color="auto"/>
        <w:bottom w:val="none" w:sz="0" w:space="0" w:color="auto"/>
        <w:right w:val="none" w:sz="0" w:space="0" w:color="auto"/>
      </w:divBdr>
    </w:div>
    <w:div w:id="1271275322">
      <w:marLeft w:val="0"/>
      <w:marRight w:val="0"/>
      <w:marTop w:val="0"/>
      <w:marBottom w:val="0"/>
      <w:divBdr>
        <w:top w:val="none" w:sz="0" w:space="0" w:color="auto"/>
        <w:left w:val="none" w:sz="0" w:space="0" w:color="auto"/>
        <w:bottom w:val="none" w:sz="0" w:space="0" w:color="auto"/>
        <w:right w:val="none" w:sz="0" w:space="0" w:color="auto"/>
      </w:divBdr>
    </w:div>
    <w:div w:id="1271275323">
      <w:marLeft w:val="0"/>
      <w:marRight w:val="0"/>
      <w:marTop w:val="0"/>
      <w:marBottom w:val="0"/>
      <w:divBdr>
        <w:top w:val="none" w:sz="0" w:space="0" w:color="auto"/>
        <w:left w:val="none" w:sz="0" w:space="0" w:color="auto"/>
        <w:bottom w:val="none" w:sz="0" w:space="0" w:color="auto"/>
        <w:right w:val="none" w:sz="0" w:space="0" w:color="auto"/>
      </w:divBdr>
    </w:div>
    <w:div w:id="1271275324">
      <w:marLeft w:val="0"/>
      <w:marRight w:val="0"/>
      <w:marTop w:val="0"/>
      <w:marBottom w:val="0"/>
      <w:divBdr>
        <w:top w:val="none" w:sz="0" w:space="0" w:color="auto"/>
        <w:left w:val="none" w:sz="0" w:space="0" w:color="auto"/>
        <w:bottom w:val="none" w:sz="0" w:space="0" w:color="auto"/>
        <w:right w:val="none" w:sz="0" w:space="0" w:color="auto"/>
      </w:divBdr>
    </w:div>
    <w:div w:id="1271275325">
      <w:marLeft w:val="0"/>
      <w:marRight w:val="0"/>
      <w:marTop w:val="0"/>
      <w:marBottom w:val="0"/>
      <w:divBdr>
        <w:top w:val="none" w:sz="0" w:space="0" w:color="auto"/>
        <w:left w:val="none" w:sz="0" w:space="0" w:color="auto"/>
        <w:bottom w:val="none" w:sz="0" w:space="0" w:color="auto"/>
        <w:right w:val="none" w:sz="0" w:space="0" w:color="auto"/>
      </w:divBdr>
    </w:div>
    <w:div w:id="1271275326">
      <w:marLeft w:val="0"/>
      <w:marRight w:val="0"/>
      <w:marTop w:val="0"/>
      <w:marBottom w:val="0"/>
      <w:divBdr>
        <w:top w:val="none" w:sz="0" w:space="0" w:color="auto"/>
        <w:left w:val="none" w:sz="0" w:space="0" w:color="auto"/>
        <w:bottom w:val="none" w:sz="0" w:space="0" w:color="auto"/>
        <w:right w:val="none" w:sz="0" w:space="0" w:color="auto"/>
      </w:divBdr>
    </w:div>
    <w:div w:id="1271275327">
      <w:marLeft w:val="0"/>
      <w:marRight w:val="0"/>
      <w:marTop w:val="0"/>
      <w:marBottom w:val="0"/>
      <w:divBdr>
        <w:top w:val="none" w:sz="0" w:space="0" w:color="auto"/>
        <w:left w:val="none" w:sz="0" w:space="0" w:color="auto"/>
        <w:bottom w:val="none" w:sz="0" w:space="0" w:color="auto"/>
        <w:right w:val="none" w:sz="0" w:space="0" w:color="auto"/>
      </w:divBdr>
    </w:div>
    <w:div w:id="1271275328">
      <w:marLeft w:val="0"/>
      <w:marRight w:val="0"/>
      <w:marTop w:val="0"/>
      <w:marBottom w:val="0"/>
      <w:divBdr>
        <w:top w:val="none" w:sz="0" w:space="0" w:color="auto"/>
        <w:left w:val="none" w:sz="0" w:space="0" w:color="auto"/>
        <w:bottom w:val="none" w:sz="0" w:space="0" w:color="auto"/>
        <w:right w:val="none" w:sz="0" w:space="0" w:color="auto"/>
      </w:divBdr>
    </w:div>
    <w:div w:id="1271275329">
      <w:marLeft w:val="0"/>
      <w:marRight w:val="0"/>
      <w:marTop w:val="0"/>
      <w:marBottom w:val="0"/>
      <w:divBdr>
        <w:top w:val="none" w:sz="0" w:space="0" w:color="auto"/>
        <w:left w:val="none" w:sz="0" w:space="0" w:color="auto"/>
        <w:bottom w:val="none" w:sz="0" w:space="0" w:color="auto"/>
        <w:right w:val="none" w:sz="0" w:space="0" w:color="auto"/>
      </w:divBdr>
    </w:div>
    <w:div w:id="1271275330">
      <w:marLeft w:val="0"/>
      <w:marRight w:val="0"/>
      <w:marTop w:val="0"/>
      <w:marBottom w:val="0"/>
      <w:divBdr>
        <w:top w:val="none" w:sz="0" w:space="0" w:color="auto"/>
        <w:left w:val="none" w:sz="0" w:space="0" w:color="auto"/>
        <w:bottom w:val="none" w:sz="0" w:space="0" w:color="auto"/>
        <w:right w:val="none" w:sz="0" w:space="0" w:color="auto"/>
      </w:divBdr>
    </w:div>
    <w:div w:id="1271275331">
      <w:marLeft w:val="0"/>
      <w:marRight w:val="0"/>
      <w:marTop w:val="0"/>
      <w:marBottom w:val="0"/>
      <w:divBdr>
        <w:top w:val="none" w:sz="0" w:space="0" w:color="auto"/>
        <w:left w:val="none" w:sz="0" w:space="0" w:color="auto"/>
        <w:bottom w:val="none" w:sz="0" w:space="0" w:color="auto"/>
        <w:right w:val="none" w:sz="0" w:space="0" w:color="auto"/>
      </w:divBdr>
    </w:div>
    <w:div w:id="1271275332">
      <w:marLeft w:val="0"/>
      <w:marRight w:val="0"/>
      <w:marTop w:val="0"/>
      <w:marBottom w:val="0"/>
      <w:divBdr>
        <w:top w:val="none" w:sz="0" w:space="0" w:color="auto"/>
        <w:left w:val="none" w:sz="0" w:space="0" w:color="auto"/>
        <w:bottom w:val="none" w:sz="0" w:space="0" w:color="auto"/>
        <w:right w:val="none" w:sz="0" w:space="0" w:color="auto"/>
      </w:divBdr>
    </w:div>
    <w:div w:id="1271275333">
      <w:marLeft w:val="0"/>
      <w:marRight w:val="0"/>
      <w:marTop w:val="0"/>
      <w:marBottom w:val="0"/>
      <w:divBdr>
        <w:top w:val="none" w:sz="0" w:space="0" w:color="auto"/>
        <w:left w:val="none" w:sz="0" w:space="0" w:color="auto"/>
        <w:bottom w:val="none" w:sz="0" w:space="0" w:color="auto"/>
        <w:right w:val="none" w:sz="0" w:space="0" w:color="auto"/>
      </w:divBdr>
    </w:div>
    <w:div w:id="1271275334">
      <w:marLeft w:val="0"/>
      <w:marRight w:val="0"/>
      <w:marTop w:val="0"/>
      <w:marBottom w:val="0"/>
      <w:divBdr>
        <w:top w:val="none" w:sz="0" w:space="0" w:color="auto"/>
        <w:left w:val="none" w:sz="0" w:space="0" w:color="auto"/>
        <w:bottom w:val="none" w:sz="0" w:space="0" w:color="auto"/>
        <w:right w:val="none" w:sz="0" w:space="0" w:color="auto"/>
      </w:divBdr>
    </w:div>
    <w:div w:id="1271275335">
      <w:marLeft w:val="0"/>
      <w:marRight w:val="0"/>
      <w:marTop w:val="0"/>
      <w:marBottom w:val="0"/>
      <w:divBdr>
        <w:top w:val="none" w:sz="0" w:space="0" w:color="auto"/>
        <w:left w:val="none" w:sz="0" w:space="0" w:color="auto"/>
        <w:bottom w:val="none" w:sz="0" w:space="0" w:color="auto"/>
        <w:right w:val="none" w:sz="0" w:space="0" w:color="auto"/>
      </w:divBdr>
    </w:div>
    <w:div w:id="1271275336">
      <w:marLeft w:val="0"/>
      <w:marRight w:val="0"/>
      <w:marTop w:val="0"/>
      <w:marBottom w:val="0"/>
      <w:divBdr>
        <w:top w:val="none" w:sz="0" w:space="0" w:color="auto"/>
        <w:left w:val="none" w:sz="0" w:space="0" w:color="auto"/>
        <w:bottom w:val="none" w:sz="0" w:space="0" w:color="auto"/>
        <w:right w:val="none" w:sz="0" w:space="0" w:color="auto"/>
      </w:divBdr>
    </w:div>
    <w:div w:id="1271275337">
      <w:marLeft w:val="0"/>
      <w:marRight w:val="0"/>
      <w:marTop w:val="0"/>
      <w:marBottom w:val="0"/>
      <w:divBdr>
        <w:top w:val="none" w:sz="0" w:space="0" w:color="auto"/>
        <w:left w:val="none" w:sz="0" w:space="0" w:color="auto"/>
        <w:bottom w:val="none" w:sz="0" w:space="0" w:color="auto"/>
        <w:right w:val="none" w:sz="0" w:space="0" w:color="auto"/>
      </w:divBdr>
    </w:div>
    <w:div w:id="1271275338">
      <w:marLeft w:val="0"/>
      <w:marRight w:val="0"/>
      <w:marTop w:val="0"/>
      <w:marBottom w:val="0"/>
      <w:divBdr>
        <w:top w:val="none" w:sz="0" w:space="0" w:color="auto"/>
        <w:left w:val="none" w:sz="0" w:space="0" w:color="auto"/>
        <w:bottom w:val="none" w:sz="0" w:space="0" w:color="auto"/>
        <w:right w:val="none" w:sz="0" w:space="0" w:color="auto"/>
      </w:divBdr>
    </w:div>
    <w:div w:id="1271275339">
      <w:marLeft w:val="0"/>
      <w:marRight w:val="0"/>
      <w:marTop w:val="0"/>
      <w:marBottom w:val="0"/>
      <w:divBdr>
        <w:top w:val="none" w:sz="0" w:space="0" w:color="auto"/>
        <w:left w:val="none" w:sz="0" w:space="0" w:color="auto"/>
        <w:bottom w:val="none" w:sz="0" w:space="0" w:color="auto"/>
        <w:right w:val="none" w:sz="0" w:space="0" w:color="auto"/>
      </w:divBdr>
    </w:div>
    <w:div w:id="1271275340">
      <w:marLeft w:val="0"/>
      <w:marRight w:val="0"/>
      <w:marTop w:val="0"/>
      <w:marBottom w:val="0"/>
      <w:divBdr>
        <w:top w:val="none" w:sz="0" w:space="0" w:color="auto"/>
        <w:left w:val="none" w:sz="0" w:space="0" w:color="auto"/>
        <w:bottom w:val="none" w:sz="0" w:space="0" w:color="auto"/>
        <w:right w:val="none" w:sz="0" w:space="0" w:color="auto"/>
      </w:divBdr>
    </w:div>
    <w:div w:id="1271275341">
      <w:marLeft w:val="0"/>
      <w:marRight w:val="0"/>
      <w:marTop w:val="0"/>
      <w:marBottom w:val="0"/>
      <w:divBdr>
        <w:top w:val="none" w:sz="0" w:space="0" w:color="auto"/>
        <w:left w:val="none" w:sz="0" w:space="0" w:color="auto"/>
        <w:bottom w:val="none" w:sz="0" w:space="0" w:color="auto"/>
        <w:right w:val="none" w:sz="0" w:space="0" w:color="auto"/>
      </w:divBdr>
    </w:div>
    <w:div w:id="1271275342">
      <w:marLeft w:val="0"/>
      <w:marRight w:val="0"/>
      <w:marTop w:val="0"/>
      <w:marBottom w:val="0"/>
      <w:divBdr>
        <w:top w:val="none" w:sz="0" w:space="0" w:color="auto"/>
        <w:left w:val="none" w:sz="0" w:space="0" w:color="auto"/>
        <w:bottom w:val="none" w:sz="0" w:space="0" w:color="auto"/>
        <w:right w:val="none" w:sz="0" w:space="0" w:color="auto"/>
      </w:divBdr>
    </w:div>
    <w:div w:id="1271275343">
      <w:marLeft w:val="0"/>
      <w:marRight w:val="0"/>
      <w:marTop w:val="0"/>
      <w:marBottom w:val="0"/>
      <w:divBdr>
        <w:top w:val="none" w:sz="0" w:space="0" w:color="auto"/>
        <w:left w:val="none" w:sz="0" w:space="0" w:color="auto"/>
        <w:bottom w:val="none" w:sz="0" w:space="0" w:color="auto"/>
        <w:right w:val="none" w:sz="0" w:space="0" w:color="auto"/>
      </w:divBdr>
    </w:div>
    <w:div w:id="1271275344">
      <w:marLeft w:val="0"/>
      <w:marRight w:val="0"/>
      <w:marTop w:val="0"/>
      <w:marBottom w:val="0"/>
      <w:divBdr>
        <w:top w:val="none" w:sz="0" w:space="0" w:color="auto"/>
        <w:left w:val="none" w:sz="0" w:space="0" w:color="auto"/>
        <w:bottom w:val="none" w:sz="0" w:space="0" w:color="auto"/>
        <w:right w:val="none" w:sz="0" w:space="0" w:color="auto"/>
      </w:divBdr>
    </w:div>
    <w:div w:id="1271275345">
      <w:marLeft w:val="0"/>
      <w:marRight w:val="0"/>
      <w:marTop w:val="0"/>
      <w:marBottom w:val="0"/>
      <w:divBdr>
        <w:top w:val="none" w:sz="0" w:space="0" w:color="auto"/>
        <w:left w:val="none" w:sz="0" w:space="0" w:color="auto"/>
        <w:bottom w:val="none" w:sz="0" w:space="0" w:color="auto"/>
        <w:right w:val="none" w:sz="0" w:space="0" w:color="auto"/>
      </w:divBdr>
    </w:div>
    <w:div w:id="1271275346">
      <w:marLeft w:val="0"/>
      <w:marRight w:val="0"/>
      <w:marTop w:val="0"/>
      <w:marBottom w:val="0"/>
      <w:divBdr>
        <w:top w:val="none" w:sz="0" w:space="0" w:color="auto"/>
        <w:left w:val="none" w:sz="0" w:space="0" w:color="auto"/>
        <w:bottom w:val="none" w:sz="0" w:space="0" w:color="auto"/>
        <w:right w:val="none" w:sz="0" w:space="0" w:color="auto"/>
      </w:divBdr>
    </w:div>
    <w:div w:id="1271275347">
      <w:marLeft w:val="0"/>
      <w:marRight w:val="0"/>
      <w:marTop w:val="0"/>
      <w:marBottom w:val="0"/>
      <w:divBdr>
        <w:top w:val="none" w:sz="0" w:space="0" w:color="auto"/>
        <w:left w:val="none" w:sz="0" w:space="0" w:color="auto"/>
        <w:bottom w:val="none" w:sz="0" w:space="0" w:color="auto"/>
        <w:right w:val="none" w:sz="0" w:space="0" w:color="auto"/>
      </w:divBdr>
    </w:div>
    <w:div w:id="1271275348">
      <w:marLeft w:val="0"/>
      <w:marRight w:val="0"/>
      <w:marTop w:val="0"/>
      <w:marBottom w:val="0"/>
      <w:divBdr>
        <w:top w:val="none" w:sz="0" w:space="0" w:color="auto"/>
        <w:left w:val="none" w:sz="0" w:space="0" w:color="auto"/>
        <w:bottom w:val="none" w:sz="0" w:space="0" w:color="auto"/>
        <w:right w:val="none" w:sz="0" w:space="0" w:color="auto"/>
      </w:divBdr>
    </w:div>
    <w:div w:id="1271275349">
      <w:marLeft w:val="0"/>
      <w:marRight w:val="0"/>
      <w:marTop w:val="0"/>
      <w:marBottom w:val="0"/>
      <w:divBdr>
        <w:top w:val="none" w:sz="0" w:space="0" w:color="auto"/>
        <w:left w:val="none" w:sz="0" w:space="0" w:color="auto"/>
        <w:bottom w:val="none" w:sz="0" w:space="0" w:color="auto"/>
        <w:right w:val="none" w:sz="0" w:space="0" w:color="auto"/>
      </w:divBdr>
    </w:div>
    <w:div w:id="1271275350">
      <w:marLeft w:val="0"/>
      <w:marRight w:val="0"/>
      <w:marTop w:val="0"/>
      <w:marBottom w:val="0"/>
      <w:divBdr>
        <w:top w:val="none" w:sz="0" w:space="0" w:color="auto"/>
        <w:left w:val="none" w:sz="0" w:space="0" w:color="auto"/>
        <w:bottom w:val="none" w:sz="0" w:space="0" w:color="auto"/>
        <w:right w:val="none" w:sz="0" w:space="0" w:color="auto"/>
      </w:divBdr>
    </w:div>
    <w:div w:id="1271275351">
      <w:marLeft w:val="0"/>
      <w:marRight w:val="0"/>
      <w:marTop w:val="0"/>
      <w:marBottom w:val="0"/>
      <w:divBdr>
        <w:top w:val="none" w:sz="0" w:space="0" w:color="auto"/>
        <w:left w:val="none" w:sz="0" w:space="0" w:color="auto"/>
        <w:bottom w:val="none" w:sz="0" w:space="0" w:color="auto"/>
        <w:right w:val="none" w:sz="0" w:space="0" w:color="auto"/>
      </w:divBdr>
    </w:div>
    <w:div w:id="1271275352">
      <w:marLeft w:val="0"/>
      <w:marRight w:val="0"/>
      <w:marTop w:val="0"/>
      <w:marBottom w:val="0"/>
      <w:divBdr>
        <w:top w:val="none" w:sz="0" w:space="0" w:color="auto"/>
        <w:left w:val="none" w:sz="0" w:space="0" w:color="auto"/>
        <w:bottom w:val="none" w:sz="0" w:space="0" w:color="auto"/>
        <w:right w:val="none" w:sz="0" w:space="0" w:color="auto"/>
      </w:divBdr>
    </w:div>
    <w:div w:id="1271275353">
      <w:marLeft w:val="0"/>
      <w:marRight w:val="0"/>
      <w:marTop w:val="0"/>
      <w:marBottom w:val="0"/>
      <w:divBdr>
        <w:top w:val="none" w:sz="0" w:space="0" w:color="auto"/>
        <w:left w:val="none" w:sz="0" w:space="0" w:color="auto"/>
        <w:bottom w:val="none" w:sz="0" w:space="0" w:color="auto"/>
        <w:right w:val="none" w:sz="0" w:space="0" w:color="auto"/>
      </w:divBdr>
    </w:div>
    <w:div w:id="1271275354">
      <w:marLeft w:val="0"/>
      <w:marRight w:val="0"/>
      <w:marTop w:val="0"/>
      <w:marBottom w:val="0"/>
      <w:divBdr>
        <w:top w:val="none" w:sz="0" w:space="0" w:color="auto"/>
        <w:left w:val="none" w:sz="0" w:space="0" w:color="auto"/>
        <w:bottom w:val="none" w:sz="0" w:space="0" w:color="auto"/>
        <w:right w:val="none" w:sz="0" w:space="0" w:color="auto"/>
      </w:divBdr>
    </w:div>
    <w:div w:id="1271275355">
      <w:marLeft w:val="0"/>
      <w:marRight w:val="0"/>
      <w:marTop w:val="0"/>
      <w:marBottom w:val="0"/>
      <w:divBdr>
        <w:top w:val="none" w:sz="0" w:space="0" w:color="auto"/>
        <w:left w:val="none" w:sz="0" w:space="0" w:color="auto"/>
        <w:bottom w:val="none" w:sz="0" w:space="0" w:color="auto"/>
        <w:right w:val="none" w:sz="0" w:space="0" w:color="auto"/>
      </w:divBdr>
    </w:div>
    <w:div w:id="1271275356">
      <w:marLeft w:val="0"/>
      <w:marRight w:val="0"/>
      <w:marTop w:val="0"/>
      <w:marBottom w:val="0"/>
      <w:divBdr>
        <w:top w:val="none" w:sz="0" w:space="0" w:color="auto"/>
        <w:left w:val="none" w:sz="0" w:space="0" w:color="auto"/>
        <w:bottom w:val="none" w:sz="0" w:space="0" w:color="auto"/>
        <w:right w:val="none" w:sz="0" w:space="0" w:color="auto"/>
      </w:divBdr>
    </w:div>
    <w:div w:id="1271275357">
      <w:marLeft w:val="0"/>
      <w:marRight w:val="0"/>
      <w:marTop w:val="0"/>
      <w:marBottom w:val="0"/>
      <w:divBdr>
        <w:top w:val="none" w:sz="0" w:space="0" w:color="auto"/>
        <w:left w:val="none" w:sz="0" w:space="0" w:color="auto"/>
        <w:bottom w:val="none" w:sz="0" w:space="0" w:color="auto"/>
        <w:right w:val="none" w:sz="0" w:space="0" w:color="auto"/>
      </w:divBdr>
    </w:div>
    <w:div w:id="1271275358">
      <w:marLeft w:val="0"/>
      <w:marRight w:val="0"/>
      <w:marTop w:val="0"/>
      <w:marBottom w:val="0"/>
      <w:divBdr>
        <w:top w:val="none" w:sz="0" w:space="0" w:color="auto"/>
        <w:left w:val="none" w:sz="0" w:space="0" w:color="auto"/>
        <w:bottom w:val="none" w:sz="0" w:space="0" w:color="auto"/>
        <w:right w:val="none" w:sz="0" w:space="0" w:color="auto"/>
      </w:divBdr>
    </w:div>
    <w:div w:id="177879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mailto:gokce.uysal@bahcesehir.edu.t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gokce.kolasin\My%20Documents\Dropbox\diff%20in%20diff\July2013_Englis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gokce.kolasin\My%20Documents\Dropbox\diff%20in%20diff\July2013_Englis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gokce.kolasin\My%20Documents\Dropbox\diff%20in%20diff\July2013_Englis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gokce.kolasin\My%20Documents\Dropbox\diff%20in%20diff\July2013_Englis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1"/>
          <c:order val="1"/>
          <c:spPr>
            <a:solidFill>
              <a:schemeClr val="bg1">
                <a:lumMod val="75000"/>
              </a:schemeClr>
            </a:solidFill>
            <a:ln>
              <a:solidFill>
                <a:schemeClr val="bg1">
                  <a:lumMod val="75000"/>
                </a:schemeClr>
              </a:solidFill>
            </a:ln>
          </c:spPr>
          <c:val>
            <c:numRef>
              <c:f>'sigorta durumu'!$AB$19:$AB$104</c:f>
              <c:numCache>
                <c:formatCode>###\ ###</c:formatCode>
                <c:ptCount val="8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1</c:v>
                </c:pt>
                <c:pt idx="31">
                  <c:v>0</c:v>
                </c:pt>
                <c:pt idx="32">
                  <c:v>0</c:v>
                </c:pt>
                <c:pt idx="33">
                  <c:v>0</c:v>
                </c:pt>
                <c:pt idx="34">
                  <c:v>0</c:v>
                </c:pt>
                <c:pt idx="35">
                  <c:v>0</c:v>
                </c:pt>
                <c:pt idx="36">
                  <c:v>0</c:v>
                </c:pt>
                <c:pt idx="37">
                  <c:v>0</c:v>
                </c:pt>
                <c:pt idx="38">
                  <c:v>0</c:v>
                </c:pt>
                <c:pt idx="39">
                  <c:v>0</c:v>
                </c:pt>
                <c:pt idx="40">
                  <c:v>0</c:v>
                </c:pt>
                <c:pt idx="41">
                  <c:v>0</c:v>
                </c:pt>
                <c:pt idx="42">
                  <c:v>0</c:v>
                </c:pt>
                <c:pt idx="43">
                  <c:v>1</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1</c:v>
                </c:pt>
                <c:pt idx="66">
                  <c:v>0</c:v>
                </c:pt>
                <c:pt idx="67">
                  <c:v>0</c:v>
                </c:pt>
                <c:pt idx="68">
                  <c:v>0</c:v>
                </c:pt>
              </c:numCache>
            </c:numRef>
          </c:val>
        </c:ser>
        <c:gapWidth val="90"/>
        <c:axId val="80792960"/>
        <c:axId val="80791424"/>
      </c:barChart>
      <c:lineChart>
        <c:grouping val="standard"/>
        <c:ser>
          <c:idx val="0"/>
          <c:order val="0"/>
          <c:spPr>
            <a:ln>
              <a:solidFill>
                <a:srgbClr val="4BACC6">
                  <a:lumMod val="75000"/>
                </a:srgbClr>
              </a:solidFill>
            </a:ln>
          </c:spPr>
          <c:marker>
            <c:symbol val="none"/>
          </c:marker>
          <c:cat>
            <c:numRef>
              <c:f>'sigorta durumu'!$U$19:$U$104</c:f>
              <c:numCache>
                <c:formatCode>[$-409]mmm\-yy;@</c:formatCode>
                <c:ptCount val="86"/>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numCache>
            </c:numRef>
          </c:cat>
          <c:val>
            <c:numRef>
              <c:f>'sigorta durumu'!$Z$19:$Z$104</c:f>
              <c:numCache>
                <c:formatCode>###\ ###</c:formatCode>
                <c:ptCount val="86"/>
                <c:pt idx="0">
                  <c:v>-13</c:v>
                </c:pt>
                <c:pt idx="1">
                  <c:v>-58</c:v>
                </c:pt>
                <c:pt idx="2">
                  <c:v>-20</c:v>
                </c:pt>
                <c:pt idx="3">
                  <c:v>-48</c:v>
                </c:pt>
                <c:pt idx="4">
                  <c:v>-27</c:v>
                </c:pt>
                <c:pt idx="5">
                  <c:v>-64</c:v>
                </c:pt>
                <c:pt idx="6">
                  <c:v>-81</c:v>
                </c:pt>
                <c:pt idx="7">
                  <c:v>-37</c:v>
                </c:pt>
                <c:pt idx="8">
                  <c:v>-65</c:v>
                </c:pt>
                <c:pt idx="9">
                  <c:v>-27</c:v>
                </c:pt>
                <c:pt idx="10">
                  <c:v>-78</c:v>
                </c:pt>
                <c:pt idx="11">
                  <c:v>-4</c:v>
                </c:pt>
                <c:pt idx="12">
                  <c:v>-32</c:v>
                </c:pt>
                <c:pt idx="13">
                  <c:v>-57</c:v>
                </c:pt>
                <c:pt idx="14">
                  <c:v>-110</c:v>
                </c:pt>
                <c:pt idx="15">
                  <c:v>-132</c:v>
                </c:pt>
                <c:pt idx="16">
                  <c:v>-139</c:v>
                </c:pt>
                <c:pt idx="17">
                  <c:v>-143</c:v>
                </c:pt>
                <c:pt idx="18">
                  <c:v>-154</c:v>
                </c:pt>
                <c:pt idx="19">
                  <c:v>-189</c:v>
                </c:pt>
                <c:pt idx="20">
                  <c:v>-202</c:v>
                </c:pt>
                <c:pt idx="21">
                  <c:v>-198</c:v>
                </c:pt>
                <c:pt idx="22">
                  <c:v>-215</c:v>
                </c:pt>
                <c:pt idx="23">
                  <c:v>-225</c:v>
                </c:pt>
                <c:pt idx="24">
                  <c:v>-219</c:v>
                </c:pt>
                <c:pt idx="25">
                  <c:v>-108</c:v>
                </c:pt>
                <c:pt idx="26">
                  <c:v>-124</c:v>
                </c:pt>
                <c:pt idx="27">
                  <c:v>-107</c:v>
                </c:pt>
                <c:pt idx="28">
                  <c:v>-117</c:v>
                </c:pt>
                <c:pt idx="29">
                  <c:v>-73</c:v>
                </c:pt>
                <c:pt idx="30">
                  <c:v>-56</c:v>
                </c:pt>
                <c:pt idx="31">
                  <c:v>-68</c:v>
                </c:pt>
                <c:pt idx="32">
                  <c:v>-18</c:v>
                </c:pt>
                <c:pt idx="33">
                  <c:v>-14</c:v>
                </c:pt>
                <c:pt idx="34">
                  <c:v>91</c:v>
                </c:pt>
                <c:pt idx="35">
                  <c:v>68</c:v>
                </c:pt>
                <c:pt idx="36">
                  <c:v>123</c:v>
                </c:pt>
                <c:pt idx="37">
                  <c:v>53</c:v>
                </c:pt>
                <c:pt idx="38">
                  <c:v>85</c:v>
                </c:pt>
                <c:pt idx="39">
                  <c:v>117</c:v>
                </c:pt>
                <c:pt idx="40">
                  <c:v>108</c:v>
                </c:pt>
                <c:pt idx="41">
                  <c:v>67</c:v>
                </c:pt>
                <c:pt idx="42">
                  <c:v>37</c:v>
                </c:pt>
                <c:pt idx="43">
                  <c:v>79</c:v>
                </c:pt>
                <c:pt idx="44">
                  <c:v>-42</c:v>
                </c:pt>
                <c:pt idx="45">
                  <c:v>-105</c:v>
                </c:pt>
                <c:pt idx="46">
                  <c:v>-173</c:v>
                </c:pt>
                <c:pt idx="47">
                  <c:v>-140</c:v>
                </c:pt>
                <c:pt idx="48">
                  <c:v>-198</c:v>
                </c:pt>
                <c:pt idx="49">
                  <c:v>-217</c:v>
                </c:pt>
                <c:pt idx="50">
                  <c:v>-168</c:v>
                </c:pt>
                <c:pt idx="51">
                  <c:v>-164</c:v>
                </c:pt>
                <c:pt idx="52">
                  <c:v>-193</c:v>
                </c:pt>
                <c:pt idx="53">
                  <c:v>-195</c:v>
                </c:pt>
                <c:pt idx="54">
                  <c:v>-177</c:v>
                </c:pt>
                <c:pt idx="55">
                  <c:v>-199</c:v>
                </c:pt>
                <c:pt idx="56">
                  <c:v>-162</c:v>
                </c:pt>
                <c:pt idx="57">
                  <c:v>-188</c:v>
                </c:pt>
                <c:pt idx="58">
                  <c:v>-221</c:v>
                </c:pt>
                <c:pt idx="59">
                  <c:v>-265</c:v>
                </c:pt>
                <c:pt idx="60">
                  <c:v>-211</c:v>
                </c:pt>
                <c:pt idx="61">
                  <c:v>-175</c:v>
                </c:pt>
                <c:pt idx="62">
                  <c:v>-180</c:v>
                </c:pt>
                <c:pt idx="63">
                  <c:v>-221</c:v>
                </c:pt>
                <c:pt idx="64">
                  <c:v>-211</c:v>
                </c:pt>
                <c:pt idx="65">
                  <c:v>-194</c:v>
                </c:pt>
                <c:pt idx="66">
                  <c:v>-236</c:v>
                </c:pt>
                <c:pt idx="67">
                  <c:v>-178</c:v>
                </c:pt>
                <c:pt idx="68">
                  <c:v>-116</c:v>
                </c:pt>
                <c:pt idx="69">
                  <c:v>-61</c:v>
                </c:pt>
                <c:pt idx="70">
                  <c:v>-34</c:v>
                </c:pt>
                <c:pt idx="71">
                  <c:v>1</c:v>
                </c:pt>
                <c:pt idx="72">
                  <c:v>-39</c:v>
                </c:pt>
                <c:pt idx="73">
                  <c:v>-14</c:v>
                </c:pt>
                <c:pt idx="74">
                  <c:v>-93</c:v>
                </c:pt>
                <c:pt idx="75">
                  <c:v>-54</c:v>
                </c:pt>
                <c:pt idx="76">
                  <c:v>-48</c:v>
                </c:pt>
                <c:pt idx="77">
                  <c:v>-70</c:v>
                </c:pt>
                <c:pt idx="78">
                  <c:v>-6</c:v>
                </c:pt>
                <c:pt idx="79">
                  <c:v>-99</c:v>
                </c:pt>
                <c:pt idx="80">
                  <c:v>-111</c:v>
                </c:pt>
                <c:pt idx="81">
                  <c:v>-131</c:v>
                </c:pt>
                <c:pt idx="82">
                  <c:v>-112</c:v>
                </c:pt>
                <c:pt idx="83">
                  <c:v>-78</c:v>
                </c:pt>
                <c:pt idx="84">
                  <c:v>-83</c:v>
                </c:pt>
                <c:pt idx="85">
                  <c:v>-34</c:v>
                </c:pt>
              </c:numCache>
            </c:numRef>
          </c:val>
        </c:ser>
        <c:marker val="1"/>
        <c:axId val="80744448"/>
        <c:axId val="80789888"/>
      </c:lineChart>
      <c:dateAx>
        <c:axId val="80744448"/>
        <c:scaling>
          <c:orientation val="minMax"/>
        </c:scaling>
        <c:axPos val="b"/>
        <c:numFmt formatCode="[$-409]mmm\-yy;@" sourceLinked="1"/>
        <c:tickLblPos val="nextTo"/>
        <c:crossAx val="80789888"/>
        <c:crosses val="autoZero"/>
        <c:auto val="1"/>
        <c:lblOffset val="100"/>
      </c:dateAx>
      <c:valAx>
        <c:axId val="80789888"/>
        <c:scaling>
          <c:orientation val="minMax"/>
          <c:max val="200"/>
          <c:min val="-400"/>
        </c:scaling>
        <c:axPos val="l"/>
        <c:numFmt formatCode="###\ ###" sourceLinked="1"/>
        <c:tickLblPos val="nextTo"/>
        <c:crossAx val="80744448"/>
        <c:crosses val="autoZero"/>
        <c:crossBetween val="between"/>
      </c:valAx>
      <c:valAx>
        <c:axId val="80791424"/>
        <c:scaling>
          <c:orientation val="minMax"/>
          <c:max val="1"/>
          <c:min val="0"/>
        </c:scaling>
        <c:axPos val="r"/>
        <c:numFmt formatCode="###\ ###" sourceLinked="1"/>
        <c:majorTickMark val="none"/>
        <c:tickLblPos val="nextTo"/>
        <c:spPr>
          <a:noFill/>
          <a:ln>
            <a:noFill/>
          </a:ln>
        </c:spPr>
        <c:txPr>
          <a:bodyPr/>
          <a:lstStyle/>
          <a:p>
            <a:pPr>
              <a:defRPr>
                <a:solidFill>
                  <a:schemeClr val="bg1"/>
                </a:solidFill>
              </a:defRPr>
            </a:pPr>
            <a:endParaRPr lang="en-US"/>
          </a:p>
        </c:txPr>
        <c:crossAx val="80792960"/>
        <c:crosses val="max"/>
        <c:crossBetween val="between"/>
      </c:valAx>
      <c:catAx>
        <c:axId val="80792960"/>
        <c:scaling>
          <c:orientation val="minMax"/>
        </c:scaling>
        <c:delete val="1"/>
        <c:axPos val="b"/>
        <c:tickLblPos val="none"/>
        <c:crossAx val="80791424"/>
        <c:crosses val="autoZero"/>
        <c:auto val="1"/>
        <c:lblAlgn val="ctr"/>
        <c:lblOffset val="100"/>
      </c:catAx>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1"/>
          <c:order val="1"/>
          <c:spPr>
            <a:solidFill>
              <a:sysClr val="window" lastClr="FFFFFF">
                <a:lumMod val="75000"/>
              </a:sysClr>
            </a:solidFill>
          </c:spPr>
          <c:val>
            <c:numRef>
              <c:f>'sigorta durumu (2)'!$Z$19:$Z$104</c:f>
              <c:numCache>
                <c:formatCode>###\ ###</c:formatCode>
                <c:ptCount val="8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1</c:v>
                </c:pt>
                <c:pt idx="31">
                  <c:v>0</c:v>
                </c:pt>
                <c:pt idx="32">
                  <c:v>0</c:v>
                </c:pt>
                <c:pt idx="33">
                  <c:v>0</c:v>
                </c:pt>
                <c:pt idx="34">
                  <c:v>0</c:v>
                </c:pt>
                <c:pt idx="35">
                  <c:v>0</c:v>
                </c:pt>
                <c:pt idx="36">
                  <c:v>0</c:v>
                </c:pt>
                <c:pt idx="37">
                  <c:v>0</c:v>
                </c:pt>
                <c:pt idx="38">
                  <c:v>0</c:v>
                </c:pt>
                <c:pt idx="39">
                  <c:v>0</c:v>
                </c:pt>
                <c:pt idx="40">
                  <c:v>0</c:v>
                </c:pt>
                <c:pt idx="41">
                  <c:v>0</c:v>
                </c:pt>
                <c:pt idx="42">
                  <c:v>0</c:v>
                </c:pt>
                <c:pt idx="43">
                  <c:v>1</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1</c:v>
                </c:pt>
                <c:pt idx="66">
                  <c:v>0</c:v>
                </c:pt>
                <c:pt idx="67">
                  <c:v>0</c:v>
                </c:pt>
                <c:pt idx="68">
                  <c:v>0</c:v>
                </c:pt>
              </c:numCache>
            </c:numRef>
          </c:val>
        </c:ser>
        <c:gapWidth val="90"/>
        <c:axId val="101602432"/>
        <c:axId val="101580160"/>
      </c:barChart>
      <c:lineChart>
        <c:grouping val="standard"/>
        <c:ser>
          <c:idx val="0"/>
          <c:order val="0"/>
          <c:marker>
            <c:symbol val="none"/>
          </c:marker>
          <c:cat>
            <c:numRef>
              <c:f>'sigorta durumu (2)'!$S$19:$S$104</c:f>
              <c:numCache>
                <c:formatCode>[$-409]mmm\-yy;@</c:formatCode>
                <c:ptCount val="86"/>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numCache>
            </c:numRef>
          </c:cat>
          <c:val>
            <c:numRef>
              <c:f>'sigorta durumu (2)'!$X$19:$X$104</c:f>
              <c:numCache>
                <c:formatCode>###\ ###</c:formatCode>
                <c:ptCount val="86"/>
                <c:pt idx="0">
                  <c:v>3</c:v>
                </c:pt>
                <c:pt idx="1">
                  <c:v>41</c:v>
                </c:pt>
                <c:pt idx="2">
                  <c:v>32</c:v>
                </c:pt>
                <c:pt idx="3">
                  <c:v>29</c:v>
                </c:pt>
                <c:pt idx="4">
                  <c:v>0</c:v>
                </c:pt>
                <c:pt idx="5">
                  <c:v>-18</c:v>
                </c:pt>
                <c:pt idx="6">
                  <c:v>14</c:v>
                </c:pt>
                <c:pt idx="7">
                  <c:v>16</c:v>
                </c:pt>
                <c:pt idx="8">
                  <c:v>43</c:v>
                </c:pt>
                <c:pt idx="9">
                  <c:v>27</c:v>
                </c:pt>
                <c:pt idx="10">
                  <c:v>6</c:v>
                </c:pt>
                <c:pt idx="11">
                  <c:v>-1</c:v>
                </c:pt>
                <c:pt idx="12">
                  <c:v>-4</c:v>
                </c:pt>
                <c:pt idx="13">
                  <c:v>-4</c:v>
                </c:pt>
                <c:pt idx="14">
                  <c:v>-2</c:v>
                </c:pt>
                <c:pt idx="15">
                  <c:v>-24</c:v>
                </c:pt>
                <c:pt idx="16">
                  <c:v>13</c:v>
                </c:pt>
                <c:pt idx="17">
                  <c:v>39</c:v>
                </c:pt>
                <c:pt idx="18">
                  <c:v>16</c:v>
                </c:pt>
                <c:pt idx="19">
                  <c:v>-7</c:v>
                </c:pt>
                <c:pt idx="20">
                  <c:v>5</c:v>
                </c:pt>
                <c:pt idx="21">
                  <c:v>9</c:v>
                </c:pt>
                <c:pt idx="22">
                  <c:v>83</c:v>
                </c:pt>
                <c:pt idx="23">
                  <c:v>47</c:v>
                </c:pt>
                <c:pt idx="24">
                  <c:v>75</c:v>
                </c:pt>
                <c:pt idx="25">
                  <c:v>29</c:v>
                </c:pt>
                <c:pt idx="26">
                  <c:v>74</c:v>
                </c:pt>
                <c:pt idx="27">
                  <c:v>67</c:v>
                </c:pt>
                <c:pt idx="28">
                  <c:v>8</c:v>
                </c:pt>
                <c:pt idx="29">
                  <c:v>-49</c:v>
                </c:pt>
                <c:pt idx="30">
                  <c:v>15</c:v>
                </c:pt>
                <c:pt idx="31">
                  <c:v>61</c:v>
                </c:pt>
                <c:pt idx="32">
                  <c:v>68</c:v>
                </c:pt>
                <c:pt idx="33">
                  <c:v>39</c:v>
                </c:pt>
                <c:pt idx="34">
                  <c:v>5</c:v>
                </c:pt>
                <c:pt idx="35">
                  <c:v>41</c:v>
                </c:pt>
                <c:pt idx="36">
                  <c:v>28</c:v>
                </c:pt>
                <c:pt idx="37">
                  <c:v>56</c:v>
                </c:pt>
                <c:pt idx="38">
                  <c:v>26</c:v>
                </c:pt>
                <c:pt idx="39">
                  <c:v>44</c:v>
                </c:pt>
                <c:pt idx="40">
                  <c:v>38</c:v>
                </c:pt>
                <c:pt idx="41">
                  <c:v>69</c:v>
                </c:pt>
                <c:pt idx="42">
                  <c:v>14</c:v>
                </c:pt>
                <c:pt idx="43">
                  <c:v>31</c:v>
                </c:pt>
                <c:pt idx="44">
                  <c:v>26</c:v>
                </c:pt>
                <c:pt idx="45">
                  <c:v>71</c:v>
                </c:pt>
                <c:pt idx="46">
                  <c:v>37</c:v>
                </c:pt>
                <c:pt idx="47">
                  <c:v>3</c:v>
                </c:pt>
                <c:pt idx="48">
                  <c:v>9</c:v>
                </c:pt>
                <c:pt idx="49">
                  <c:v>23</c:v>
                </c:pt>
                <c:pt idx="50">
                  <c:v>-37</c:v>
                </c:pt>
                <c:pt idx="51">
                  <c:v>-72</c:v>
                </c:pt>
                <c:pt idx="52">
                  <c:v>-52</c:v>
                </c:pt>
                <c:pt idx="53">
                  <c:v>-1</c:v>
                </c:pt>
                <c:pt idx="54">
                  <c:v>15</c:v>
                </c:pt>
                <c:pt idx="55">
                  <c:v>-31</c:v>
                </c:pt>
                <c:pt idx="56">
                  <c:v>-45</c:v>
                </c:pt>
                <c:pt idx="57">
                  <c:v>-52</c:v>
                </c:pt>
                <c:pt idx="58">
                  <c:v>-33</c:v>
                </c:pt>
                <c:pt idx="59">
                  <c:v>-23</c:v>
                </c:pt>
                <c:pt idx="60">
                  <c:v>-11</c:v>
                </c:pt>
                <c:pt idx="61">
                  <c:v>0</c:v>
                </c:pt>
                <c:pt idx="62">
                  <c:v>66</c:v>
                </c:pt>
                <c:pt idx="63">
                  <c:v>91</c:v>
                </c:pt>
                <c:pt idx="64">
                  <c:v>105</c:v>
                </c:pt>
                <c:pt idx="65">
                  <c:v>76</c:v>
                </c:pt>
                <c:pt idx="66">
                  <c:v>85</c:v>
                </c:pt>
                <c:pt idx="67">
                  <c:v>69</c:v>
                </c:pt>
                <c:pt idx="68">
                  <c:v>50</c:v>
                </c:pt>
                <c:pt idx="69">
                  <c:v>55</c:v>
                </c:pt>
                <c:pt idx="70">
                  <c:v>81</c:v>
                </c:pt>
                <c:pt idx="71">
                  <c:v>99</c:v>
                </c:pt>
                <c:pt idx="72">
                  <c:v>63</c:v>
                </c:pt>
                <c:pt idx="73">
                  <c:v>54</c:v>
                </c:pt>
                <c:pt idx="74">
                  <c:v>26</c:v>
                </c:pt>
                <c:pt idx="75">
                  <c:v>45</c:v>
                </c:pt>
                <c:pt idx="76">
                  <c:v>48</c:v>
                </c:pt>
                <c:pt idx="77">
                  <c:v>79</c:v>
                </c:pt>
                <c:pt idx="78">
                  <c:v>83</c:v>
                </c:pt>
                <c:pt idx="79">
                  <c:v>132</c:v>
                </c:pt>
                <c:pt idx="80">
                  <c:v>170</c:v>
                </c:pt>
                <c:pt idx="81">
                  <c:v>162</c:v>
                </c:pt>
                <c:pt idx="82">
                  <c:v>142</c:v>
                </c:pt>
                <c:pt idx="83">
                  <c:v>111</c:v>
                </c:pt>
                <c:pt idx="84">
                  <c:v>84</c:v>
                </c:pt>
                <c:pt idx="85">
                  <c:v>42</c:v>
                </c:pt>
              </c:numCache>
            </c:numRef>
          </c:val>
        </c:ser>
        <c:marker val="1"/>
        <c:axId val="101576704"/>
        <c:axId val="101578240"/>
      </c:lineChart>
      <c:dateAx>
        <c:axId val="101576704"/>
        <c:scaling>
          <c:orientation val="minMax"/>
        </c:scaling>
        <c:axPos val="b"/>
        <c:numFmt formatCode="[$-409]mmm\-yy;@" sourceLinked="1"/>
        <c:tickLblPos val="nextTo"/>
        <c:crossAx val="101578240"/>
        <c:crosses val="autoZero"/>
        <c:auto val="1"/>
        <c:lblOffset val="100"/>
      </c:dateAx>
      <c:valAx>
        <c:axId val="101578240"/>
        <c:scaling>
          <c:orientation val="minMax"/>
          <c:max val="200"/>
          <c:min val="-400"/>
        </c:scaling>
        <c:axPos val="l"/>
        <c:numFmt formatCode="###\ ###" sourceLinked="1"/>
        <c:tickLblPos val="nextTo"/>
        <c:crossAx val="101576704"/>
        <c:crosses val="autoZero"/>
        <c:crossBetween val="between"/>
      </c:valAx>
      <c:valAx>
        <c:axId val="101580160"/>
        <c:scaling>
          <c:orientation val="minMax"/>
          <c:max val="1"/>
          <c:min val="0"/>
        </c:scaling>
        <c:axPos val="r"/>
        <c:numFmt formatCode="###\ ###" sourceLinked="1"/>
        <c:majorTickMark val="none"/>
        <c:tickLblPos val="nextTo"/>
        <c:spPr>
          <a:noFill/>
          <a:ln>
            <a:noFill/>
          </a:ln>
        </c:spPr>
        <c:txPr>
          <a:bodyPr/>
          <a:lstStyle/>
          <a:p>
            <a:pPr>
              <a:defRPr>
                <a:solidFill>
                  <a:schemeClr val="bg1"/>
                </a:solidFill>
              </a:defRPr>
            </a:pPr>
            <a:endParaRPr lang="en-US"/>
          </a:p>
        </c:txPr>
        <c:crossAx val="101602432"/>
        <c:crosses val="max"/>
        <c:crossBetween val="between"/>
      </c:valAx>
      <c:catAx>
        <c:axId val="101602432"/>
        <c:scaling>
          <c:orientation val="minMax"/>
        </c:scaling>
        <c:delete val="1"/>
        <c:axPos val="b"/>
        <c:tickLblPos val="none"/>
        <c:crossAx val="101580160"/>
        <c:crosses val="autoZero"/>
        <c:auto val="1"/>
        <c:lblAlgn val="ctr"/>
        <c:lblOffset val="100"/>
      </c:catAx>
    </c:plotArea>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2"/>
          <c:order val="2"/>
          <c:spPr>
            <a:solidFill>
              <a:sysClr val="window" lastClr="FFFFFF">
                <a:lumMod val="75000"/>
              </a:sysClr>
            </a:solidFill>
          </c:spPr>
          <c:cat>
            <c:numRef>
              <c:f>'Medeni hal'!$B$225:$B$310</c:f>
              <c:numCache>
                <c:formatCode>[$-409]mmm\-yy;@</c:formatCode>
                <c:ptCount val="86"/>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numCache>
            </c:numRef>
          </c:cat>
          <c:val>
            <c:numRef>
              <c:f>'Medeni hal'!$R$225:$R$310</c:f>
              <c:numCache>
                <c:formatCode>###\ ###</c:formatCode>
                <c:ptCount val="8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1</c:v>
                </c:pt>
                <c:pt idx="31">
                  <c:v>0</c:v>
                </c:pt>
                <c:pt idx="32">
                  <c:v>0</c:v>
                </c:pt>
                <c:pt idx="33">
                  <c:v>0</c:v>
                </c:pt>
                <c:pt idx="34">
                  <c:v>0</c:v>
                </c:pt>
                <c:pt idx="35">
                  <c:v>0</c:v>
                </c:pt>
                <c:pt idx="36">
                  <c:v>0</c:v>
                </c:pt>
                <c:pt idx="37">
                  <c:v>0</c:v>
                </c:pt>
                <c:pt idx="38">
                  <c:v>0</c:v>
                </c:pt>
                <c:pt idx="39">
                  <c:v>0</c:v>
                </c:pt>
                <c:pt idx="40">
                  <c:v>0</c:v>
                </c:pt>
                <c:pt idx="41">
                  <c:v>0</c:v>
                </c:pt>
                <c:pt idx="42">
                  <c:v>0</c:v>
                </c:pt>
                <c:pt idx="43">
                  <c:v>1</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1</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numCache>
            </c:numRef>
          </c:val>
        </c:ser>
        <c:axId val="129183104"/>
        <c:axId val="129181184"/>
      </c:barChart>
      <c:lineChart>
        <c:grouping val="standard"/>
        <c:ser>
          <c:idx val="0"/>
          <c:order val="0"/>
          <c:tx>
            <c:strRef>
              <c:f>'Medeni hal'!$P$212</c:f>
              <c:strCache>
                <c:ptCount val="1"/>
                <c:pt idx="0">
                  <c:v>Married</c:v>
                </c:pt>
              </c:strCache>
            </c:strRef>
          </c:tx>
          <c:marker>
            <c:symbol val="none"/>
          </c:marker>
          <c:cat>
            <c:numRef>
              <c:f>'Medeni hal'!$B$225:$B$310</c:f>
              <c:numCache>
                <c:formatCode>[$-409]mmm\-yy;@</c:formatCode>
                <c:ptCount val="86"/>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numCache>
            </c:numRef>
          </c:cat>
          <c:val>
            <c:numRef>
              <c:f>'Medeni hal'!$P$225:$P$310</c:f>
              <c:numCache>
                <c:formatCode>###\ ###</c:formatCode>
                <c:ptCount val="86"/>
                <c:pt idx="0">
                  <c:v>-37</c:v>
                </c:pt>
                <c:pt idx="1">
                  <c:v>-63</c:v>
                </c:pt>
                <c:pt idx="2">
                  <c:v>-45</c:v>
                </c:pt>
                <c:pt idx="3">
                  <c:v>-59</c:v>
                </c:pt>
                <c:pt idx="4">
                  <c:v>-43</c:v>
                </c:pt>
                <c:pt idx="5">
                  <c:v>-67</c:v>
                </c:pt>
                <c:pt idx="6">
                  <c:v>-88</c:v>
                </c:pt>
                <c:pt idx="7">
                  <c:v>-47</c:v>
                </c:pt>
                <c:pt idx="8">
                  <c:v>-73</c:v>
                </c:pt>
                <c:pt idx="9">
                  <c:v>-33</c:v>
                </c:pt>
                <c:pt idx="10">
                  <c:v>-56</c:v>
                </c:pt>
                <c:pt idx="11">
                  <c:v>4</c:v>
                </c:pt>
                <c:pt idx="12">
                  <c:v>-18</c:v>
                </c:pt>
                <c:pt idx="13">
                  <c:v>-62</c:v>
                </c:pt>
                <c:pt idx="14">
                  <c:v>-109</c:v>
                </c:pt>
                <c:pt idx="15">
                  <c:v>-110</c:v>
                </c:pt>
                <c:pt idx="16">
                  <c:v>-101</c:v>
                </c:pt>
                <c:pt idx="17">
                  <c:v>-111</c:v>
                </c:pt>
                <c:pt idx="18">
                  <c:v>-153</c:v>
                </c:pt>
                <c:pt idx="19">
                  <c:v>-188</c:v>
                </c:pt>
                <c:pt idx="20">
                  <c:v>-207</c:v>
                </c:pt>
                <c:pt idx="21">
                  <c:v>-198</c:v>
                </c:pt>
                <c:pt idx="22">
                  <c:v>-237</c:v>
                </c:pt>
                <c:pt idx="23">
                  <c:v>-251</c:v>
                </c:pt>
                <c:pt idx="24">
                  <c:v>-214</c:v>
                </c:pt>
                <c:pt idx="25">
                  <c:v>-99</c:v>
                </c:pt>
                <c:pt idx="26">
                  <c:v>-92</c:v>
                </c:pt>
                <c:pt idx="27">
                  <c:v>-82</c:v>
                </c:pt>
                <c:pt idx="28">
                  <c:v>-97</c:v>
                </c:pt>
                <c:pt idx="29">
                  <c:v>-68</c:v>
                </c:pt>
                <c:pt idx="30">
                  <c:v>-51</c:v>
                </c:pt>
                <c:pt idx="31">
                  <c:v>-66</c:v>
                </c:pt>
                <c:pt idx="32">
                  <c:v>-17</c:v>
                </c:pt>
                <c:pt idx="33">
                  <c:v>-5</c:v>
                </c:pt>
                <c:pt idx="34">
                  <c:v>92</c:v>
                </c:pt>
                <c:pt idx="35">
                  <c:v>102</c:v>
                </c:pt>
                <c:pt idx="36">
                  <c:v>140</c:v>
                </c:pt>
                <c:pt idx="37">
                  <c:v>103</c:v>
                </c:pt>
                <c:pt idx="38">
                  <c:v>132</c:v>
                </c:pt>
                <c:pt idx="39">
                  <c:v>145</c:v>
                </c:pt>
                <c:pt idx="40">
                  <c:v>137</c:v>
                </c:pt>
                <c:pt idx="41">
                  <c:v>81</c:v>
                </c:pt>
                <c:pt idx="42">
                  <c:v>89</c:v>
                </c:pt>
                <c:pt idx="43">
                  <c:v>117</c:v>
                </c:pt>
                <c:pt idx="44">
                  <c:v>-2</c:v>
                </c:pt>
                <c:pt idx="45">
                  <c:v>-93</c:v>
                </c:pt>
                <c:pt idx="46">
                  <c:v>-144</c:v>
                </c:pt>
                <c:pt idx="47">
                  <c:v>-111</c:v>
                </c:pt>
                <c:pt idx="48">
                  <c:v>-187</c:v>
                </c:pt>
                <c:pt idx="49">
                  <c:v>-234</c:v>
                </c:pt>
                <c:pt idx="50">
                  <c:v>-175</c:v>
                </c:pt>
                <c:pt idx="51">
                  <c:v>-136</c:v>
                </c:pt>
                <c:pt idx="52">
                  <c:v>-192</c:v>
                </c:pt>
                <c:pt idx="53">
                  <c:v>-164</c:v>
                </c:pt>
                <c:pt idx="54">
                  <c:v>-158</c:v>
                </c:pt>
                <c:pt idx="55">
                  <c:v>-157</c:v>
                </c:pt>
                <c:pt idx="56">
                  <c:v>-127</c:v>
                </c:pt>
                <c:pt idx="57">
                  <c:v>-137</c:v>
                </c:pt>
                <c:pt idx="58">
                  <c:v>-160</c:v>
                </c:pt>
                <c:pt idx="59">
                  <c:v>-222</c:v>
                </c:pt>
                <c:pt idx="60">
                  <c:v>-152</c:v>
                </c:pt>
                <c:pt idx="61">
                  <c:v>-122</c:v>
                </c:pt>
                <c:pt idx="62">
                  <c:v>-145</c:v>
                </c:pt>
                <c:pt idx="63">
                  <c:v>-188</c:v>
                </c:pt>
                <c:pt idx="64">
                  <c:v>-150</c:v>
                </c:pt>
                <c:pt idx="65">
                  <c:v>-143</c:v>
                </c:pt>
                <c:pt idx="66">
                  <c:v>-186</c:v>
                </c:pt>
                <c:pt idx="67">
                  <c:v>-129</c:v>
                </c:pt>
                <c:pt idx="68">
                  <c:v>-70</c:v>
                </c:pt>
                <c:pt idx="69">
                  <c:v>-10</c:v>
                </c:pt>
                <c:pt idx="70">
                  <c:v>-9</c:v>
                </c:pt>
                <c:pt idx="71">
                  <c:v>25</c:v>
                </c:pt>
                <c:pt idx="72">
                  <c:v>-28</c:v>
                </c:pt>
                <c:pt idx="73">
                  <c:v>-11</c:v>
                </c:pt>
                <c:pt idx="74">
                  <c:v>-100</c:v>
                </c:pt>
                <c:pt idx="75">
                  <c:v>-69</c:v>
                </c:pt>
                <c:pt idx="76">
                  <c:v>-22</c:v>
                </c:pt>
                <c:pt idx="77">
                  <c:v>-28</c:v>
                </c:pt>
                <c:pt idx="78">
                  <c:v>36</c:v>
                </c:pt>
                <c:pt idx="79">
                  <c:v>-48</c:v>
                </c:pt>
                <c:pt idx="80">
                  <c:v>-54</c:v>
                </c:pt>
                <c:pt idx="81">
                  <c:v>-79</c:v>
                </c:pt>
                <c:pt idx="82">
                  <c:v>-82</c:v>
                </c:pt>
                <c:pt idx="83">
                  <c:v>-77</c:v>
                </c:pt>
                <c:pt idx="84">
                  <c:v>-69</c:v>
                </c:pt>
                <c:pt idx="85">
                  <c:v>1</c:v>
                </c:pt>
              </c:numCache>
            </c:numRef>
          </c:val>
        </c:ser>
        <c:ser>
          <c:idx val="1"/>
          <c:order val="1"/>
          <c:tx>
            <c:strRef>
              <c:f>'Medeni hal'!$Q$212</c:f>
              <c:strCache>
                <c:ptCount val="1"/>
                <c:pt idx="0">
                  <c:v>Single</c:v>
                </c:pt>
              </c:strCache>
            </c:strRef>
          </c:tx>
          <c:marker>
            <c:symbol val="none"/>
          </c:marker>
          <c:cat>
            <c:numRef>
              <c:f>'Medeni hal'!$B$225:$B$310</c:f>
              <c:numCache>
                <c:formatCode>[$-409]mmm\-yy;@</c:formatCode>
                <c:ptCount val="86"/>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numCache>
            </c:numRef>
          </c:cat>
          <c:val>
            <c:numRef>
              <c:f>'Medeni hal'!$Q$225:$Q$310</c:f>
              <c:numCache>
                <c:formatCode>###\ ###</c:formatCode>
                <c:ptCount val="86"/>
                <c:pt idx="0">
                  <c:v>26</c:v>
                </c:pt>
                <c:pt idx="1">
                  <c:v>4</c:v>
                </c:pt>
                <c:pt idx="2">
                  <c:v>25</c:v>
                </c:pt>
                <c:pt idx="3">
                  <c:v>12</c:v>
                </c:pt>
                <c:pt idx="4">
                  <c:v>15</c:v>
                </c:pt>
                <c:pt idx="5">
                  <c:v>2</c:v>
                </c:pt>
                <c:pt idx="6">
                  <c:v>8</c:v>
                </c:pt>
                <c:pt idx="7">
                  <c:v>11</c:v>
                </c:pt>
                <c:pt idx="8">
                  <c:v>9</c:v>
                </c:pt>
                <c:pt idx="9">
                  <c:v>7</c:v>
                </c:pt>
                <c:pt idx="10">
                  <c:v>-22</c:v>
                </c:pt>
                <c:pt idx="11">
                  <c:v>-8</c:v>
                </c:pt>
                <c:pt idx="12">
                  <c:v>-14</c:v>
                </c:pt>
                <c:pt idx="13">
                  <c:v>6</c:v>
                </c:pt>
                <c:pt idx="14">
                  <c:v>-3</c:v>
                </c:pt>
                <c:pt idx="15">
                  <c:v>-23</c:v>
                </c:pt>
                <c:pt idx="16">
                  <c:v>-39</c:v>
                </c:pt>
                <c:pt idx="17">
                  <c:v>-33</c:v>
                </c:pt>
                <c:pt idx="18">
                  <c:v>1</c:v>
                </c:pt>
                <c:pt idx="19">
                  <c:v>-3</c:v>
                </c:pt>
                <c:pt idx="20">
                  <c:v>2</c:v>
                </c:pt>
                <c:pt idx="21">
                  <c:v>0</c:v>
                </c:pt>
                <c:pt idx="22">
                  <c:v>22</c:v>
                </c:pt>
                <c:pt idx="23">
                  <c:v>27</c:v>
                </c:pt>
                <c:pt idx="24">
                  <c:v>-5</c:v>
                </c:pt>
                <c:pt idx="25">
                  <c:v>-8</c:v>
                </c:pt>
                <c:pt idx="26">
                  <c:v>-30</c:v>
                </c:pt>
                <c:pt idx="27">
                  <c:v>-24</c:v>
                </c:pt>
                <c:pt idx="28">
                  <c:v>-19</c:v>
                </c:pt>
                <c:pt idx="29">
                  <c:v>-3</c:v>
                </c:pt>
                <c:pt idx="30">
                  <c:v>-6</c:v>
                </c:pt>
                <c:pt idx="31">
                  <c:v>-1</c:v>
                </c:pt>
                <c:pt idx="32">
                  <c:v>1</c:v>
                </c:pt>
                <c:pt idx="33">
                  <c:v>-9</c:v>
                </c:pt>
                <c:pt idx="34">
                  <c:v>-3</c:v>
                </c:pt>
                <c:pt idx="35">
                  <c:v>-34</c:v>
                </c:pt>
                <c:pt idx="36">
                  <c:v>-16</c:v>
                </c:pt>
                <c:pt idx="37">
                  <c:v>-53</c:v>
                </c:pt>
                <c:pt idx="38">
                  <c:v>-48</c:v>
                </c:pt>
                <c:pt idx="39">
                  <c:v>-30</c:v>
                </c:pt>
                <c:pt idx="40">
                  <c:v>-29</c:v>
                </c:pt>
                <c:pt idx="41">
                  <c:v>-14</c:v>
                </c:pt>
                <c:pt idx="42">
                  <c:v>-52</c:v>
                </c:pt>
                <c:pt idx="43">
                  <c:v>-37</c:v>
                </c:pt>
                <c:pt idx="44">
                  <c:v>-42</c:v>
                </c:pt>
                <c:pt idx="45">
                  <c:v>-11</c:v>
                </c:pt>
                <c:pt idx="46">
                  <c:v>-29</c:v>
                </c:pt>
                <c:pt idx="47">
                  <c:v>-29</c:v>
                </c:pt>
                <c:pt idx="48">
                  <c:v>-12</c:v>
                </c:pt>
                <c:pt idx="49">
                  <c:v>17</c:v>
                </c:pt>
                <c:pt idx="50">
                  <c:v>8</c:v>
                </c:pt>
                <c:pt idx="51">
                  <c:v>-29</c:v>
                </c:pt>
                <c:pt idx="52">
                  <c:v>-1</c:v>
                </c:pt>
                <c:pt idx="53">
                  <c:v>-32</c:v>
                </c:pt>
                <c:pt idx="54">
                  <c:v>-18</c:v>
                </c:pt>
                <c:pt idx="55">
                  <c:v>-42</c:v>
                </c:pt>
                <c:pt idx="56">
                  <c:v>-36</c:v>
                </c:pt>
                <c:pt idx="57">
                  <c:v>-52</c:v>
                </c:pt>
                <c:pt idx="58">
                  <c:v>-60</c:v>
                </c:pt>
                <c:pt idx="59">
                  <c:v>-44</c:v>
                </c:pt>
                <c:pt idx="60">
                  <c:v>-58</c:v>
                </c:pt>
                <c:pt idx="61">
                  <c:v>-51</c:v>
                </c:pt>
                <c:pt idx="62">
                  <c:v>-36</c:v>
                </c:pt>
                <c:pt idx="63">
                  <c:v>-31</c:v>
                </c:pt>
                <c:pt idx="64">
                  <c:v>-62</c:v>
                </c:pt>
                <c:pt idx="65">
                  <c:v>-50</c:v>
                </c:pt>
                <c:pt idx="66">
                  <c:v>-52</c:v>
                </c:pt>
                <c:pt idx="67">
                  <c:v>-48</c:v>
                </c:pt>
                <c:pt idx="68">
                  <c:v>-42</c:v>
                </c:pt>
                <c:pt idx="69">
                  <c:v>-50</c:v>
                </c:pt>
                <c:pt idx="70">
                  <c:v>-25</c:v>
                </c:pt>
                <c:pt idx="71">
                  <c:v>-25</c:v>
                </c:pt>
                <c:pt idx="72">
                  <c:v>-11</c:v>
                </c:pt>
                <c:pt idx="73">
                  <c:v>-3</c:v>
                </c:pt>
                <c:pt idx="74">
                  <c:v>9</c:v>
                </c:pt>
                <c:pt idx="75">
                  <c:v>14</c:v>
                </c:pt>
                <c:pt idx="76">
                  <c:v>-27</c:v>
                </c:pt>
                <c:pt idx="77">
                  <c:v>-43</c:v>
                </c:pt>
                <c:pt idx="78">
                  <c:v>-41</c:v>
                </c:pt>
                <c:pt idx="79">
                  <c:v>-53</c:v>
                </c:pt>
                <c:pt idx="80">
                  <c:v>-58</c:v>
                </c:pt>
                <c:pt idx="81">
                  <c:v>-52</c:v>
                </c:pt>
                <c:pt idx="82">
                  <c:v>-30</c:v>
                </c:pt>
                <c:pt idx="83">
                  <c:v>-1</c:v>
                </c:pt>
                <c:pt idx="84">
                  <c:v>-15</c:v>
                </c:pt>
                <c:pt idx="85">
                  <c:v>-36</c:v>
                </c:pt>
              </c:numCache>
            </c:numRef>
          </c:val>
        </c:ser>
        <c:marker val="1"/>
        <c:axId val="116492160"/>
        <c:axId val="129179648"/>
      </c:lineChart>
      <c:dateAx>
        <c:axId val="116492160"/>
        <c:scaling>
          <c:orientation val="minMax"/>
        </c:scaling>
        <c:axPos val="b"/>
        <c:numFmt formatCode="[$-409]mmm\-yy;@" sourceLinked="1"/>
        <c:tickLblPos val="nextTo"/>
        <c:crossAx val="129179648"/>
        <c:crosses val="autoZero"/>
        <c:auto val="1"/>
        <c:lblOffset val="100"/>
      </c:dateAx>
      <c:valAx>
        <c:axId val="129179648"/>
        <c:scaling>
          <c:orientation val="minMax"/>
        </c:scaling>
        <c:axPos val="l"/>
        <c:numFmt formatCode="###\ ###" sourceLinked="1"/>
        <c:tickLblPos val="nextTo"/>
        <c:crossAx val="116492160"/>
        <c:crosses val="autoZero"/>
        <c:crossBetween val="between"/>
      </c:valAx>
      <c:valAx>
        <c:axId val="129181184"/>
        <c:scaling>
          <c:orientation val="minMax"/>
          <c:max val="1"/>
          <c:min val="0"/>
        </c:scaling>
        <c:axPos val="r"/>
        <c:numFmt formatCode="###\ ###" sourceLinked="1"/>
        <c:majorTickMark val="none"/>
        <c:tickLblPos val="nextTo"/>
        <c:spPr>
          <a:ln>
            <a:noFill/>
          </a:ln>
        </c:spPr>
        <c:txPr>
          <a:bodyPr/>
          <a:lstStyle/>
          <a:p>
            <a:pPr>
              <a:defRPr>
                <a:solidFill>
                  <a:schemeClr val="bg1"/>
                </a:solidFill>
              </a:defRPr>
            </a:pPr>
            <a:endParaRPr lang="en-US"/>
          </a:p>
        </c:txPr>
        <c:crossAx val="129183104"/>
        <c:crosses val="max"/>
        <c:crossBetween val="between"/>
      </c:valAx>
      <c:dateAx>
        <c:axId val="129183104"/>
        <c:scaling>
          <c:orientation val="minMax"/>
        </c:scaling>
        <c:delete val="1"/>
        <c:axPos val="b"/>
        <c:numFmt formatCode="[$-409]mmm\-yy;@" sourceLinked="1"/>
        <c:tickLblPos val="none"/>
        <c:crossAx val="129181184"/>
        <c:crosses val="autoZero"/>
        <c:auto val="1"/>
        <c:lblOffset val="100"/>
      </c:dateAx>
    </c:plotArea>
    <c:legend>
      <c:legendPos val="b"/>
      <c:legendEntry>
        <c:idx val="0"/>
        <c:delete val="1"/>
      </c:legendEntry>
    </c:legend>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8.1357580651080855E-2"/>
          <c:y val="5.9451243293383506E-2"/>
          <c:w val="0.8668646654112947"/>
          <c:h val="0.80568699996837745"/>
        </c:manualLayout>
      </c:layout>
      <c:barChart>
        <c:barDir val="col"/>
        <c:grouping val="clustered"/>
        <c:ser>
          <c:idx val="2"/>
          <c:order val="2"/>
          <c:spPr>
            <a:solidFill>
              <a:sysClr val="window" lastClr="FFFFFF">
                <a:lumMod val="75000"/>
              </a:sysClr>
            </a:solidFill>
          </c:spPr>
          <c:val>
            <c:numRef>
              <c:f>'Medeni hal (2)'!$R$225:$R$310</c:f>
              <c:numCache>
                <c:formatCode>###\ ###</c:formatCode>
                <c:ptCount val="8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1</c:v>
                </c:pt>
                <c:pt idx="19">
                  <c:v>0</c:v>
                </c:pt>
                <c:pt idx="20">
                  <c:v>0</c:v>
                </c:pt>
                <c:pt idx="21">
                  <c:v>0</c:v>
                </c:pt>
                <c:pt idx="22">
                  <c:v>0</c:v>
                </c:pt>
                <c:pt idx="23">
                  <c:v>0</c:v>
                </c:pt>
                <c:pt idx="24">
                  <c:v>0</c:v>
                </c:pt>
                <c:pt idx="25">
                  <c:v>0</c:v>
                </c:pt>
                <c:pt idx="26">
                  <c:v>0</c:v>
                </c:pt>
                <c:pt idx="27">
                  <c:v>0</c:v>
                </c:pt>
                <c:pt idx="28">
                  <c:v>0</c:v>
                </c:pt>
                <c:pt idx="29">
                  <c:v>0</c:v>
                </c:pt>
                <c:pt idx="30">
                  <c:v>0</c:v>
                </c:pt>
                <c:pt idx="31">
                  <c:v>1</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65" formatCode="General">
                  <c:v>1</c:v>
                </c:pt>
              </c:numCache>
            </c:numRef>
          </c:val>
        </c:ser>
        <c:gapWidth val="90"/>
        <c:axId val="101458304"/>
        <c:axId val="81226368"/>
      </c:barChart>
      <c:lineChart>
        <c:grouping val="standard"/>
        <c:ser>
          <c:idx val="0"/>
          <c:order val="0"/>
          <c:tx>
            <c:strRef>
              <c:f>'Medeni hal (2)'!$P$212</c:f>
              <c:strCache>
                <c:ptCount val="1"/>
                <c:pt idx="0">
                  <c:v>Married</c:v>
                </c:pt>
              </c:strCache>
            </c:strRef>
          </c:tx>
          <c:marker>
            <c:symbol val="none"/>
          </c:marker>
          <c:cat>
            <c:numRef>
              <c:f>'Medeni hal (2)'!$B$225:$B$310</c:f>
              <c:numCache>
                <c:formatCode>[$-409]mmm\-yy;@</c:formatCode>
                <c:ptCount val="86"/>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numCache>
            </c:numRef>
          </c:cat>
          <c:val>
            <c:numRef>
              <c:f>'Medeni hal (2)'!$P$225:$P$310</c:f>
              <c:numCache>
                <c:formatCode>###\ ###</c:formatCode>
                <c:ptCount val="86"/>
                <c:pt idx="0">
                  <c:v>-18</c:v>
                </c:pt>
                <c:pt idx="1">
                  <c:v>13</c:v>
                </c:pt>
                <c:pt idx="2">
                  <c:v>6</c:v>
                </c:pt>
                <c:pt idx="3">
                  <c:v>14</c:v>
                </c:pt>
                <c:pt idx="4">
                  <c:v>-3</c:v>
                </c:pt>
                <c:pt idx="5">
                  <c:v>-28</c:v>
                </c:pt>
                <c:pt idx="6">
                  <c:v>3</c:v>
                </c:pt>
                <c:pt idx="7">
                  <c:v>-5</c:v>
                </c:pt>
                <c:pt idx="8">
                  <c:v>31</c:v>
                </c:pt>
                <c:pt idx="9">
                  <c:v>32</c:v>
                </c:pt>
                <c:pt idx="10">
                  <c:v>17</c:v>
                </c:pt>
                <c:pt idx="11">
                  <c:v>5</c:v>
                </c:pt>
                <c:pt idx="12">
                  <c:v>13</c:v>
                </c:pt>
                <c:pt idx="13">
                  <c:v>28</c:v>
                </c:pt>
                <c:pt idx="14">
                  <c:v>21</c:v>
                </c:pt>
                <c:pt idx="15">
                  <c:v>4</c:v>
                </c:pt>
                <c:pt idx="16">
                  <c:v>21</c:v>
                </c:pt>
                <c:pt idx="17">
                  <c:v>55</c:v>
                </c:pt>
                <c:pt idx="18">
                  <c:v>24</c:v>
                </c:pt>
                <c:pt idx="19">
                  <c:v>-2</c:v>
                </c:pt>
                <c:pt idx="20">
                  <c:v>-3</c:v>
                </c:pt>
                <c:pt idx="21">
                  <c:v>3</c:v>
                </c:pt>
                <c:pt idx="22">
                  <c:v>76</c:v>
                </c:pt>
                <c:pt idx="23">
                  <c:v>56</c:v>
                </c:pt>
                <c:pt idx="24">
                  <c:v>76</c:v>
                </c:pt>
                <c:pt idx="25">
                  <c:v>38</c:v>
                </c:pt>
                <c:pt idx="26">
                  <c:v>76</c:v>
                </c:pt>
                <c:pt idx="27">
                  <c:v>62</c:v>
                </c:pt>
                <c:pt idx="28">
                  <c:v>14</c:v>
                </c:pt>
                <c:pt idx="29">
                  <c:v>-48</c:v>
                </c:pt>
                <c:pt idx="30">
                  <c:v>34</c:v>
                </c:pt>
                <c:pt idx="31">
                  <c:v>86</c:v>
                </c:pt>
                <c:pt idx="32">
                  <c:v>104</c:v>
                </c:pt>
                <c:pt idx="33">
                  <c:v>60</c:v>
                </c:pt>
                <c:pt idx="34">
                  <c:v>16</c:v>
                </c:pt>
                <c:pt idx="35">
                  <c:v>36</c:v>
                </c:pt>
                <c:pt idx="36">
                  <c:v>22</c:v>
                </c:pt>
                <c:pt idx="37">
                  <c:v>36</c:v>
                </c:pt>
                <c:pt idx="38">
                  <c:v>7</c:v>
                </c:pt>
                <c:pt idx="39">
                  <c:v>28</c:v>
                </c:pt>
                <c:pt idx="40">
                  <c:v>27</c:v>
                </c:pt>
                <c:pt idx="41">
                  <c:v>72</c:v>
                </c:pt>
                <c:pt idx="42">
                  <c:v>16</c:v>
                </c:pt>
                <c:pt idx="43">
                  <c:v>30</c:v>
                </c:pt>
                <c:pt idx="44">
                  <c:v>25</c:v>
                </c:pt>
                <c:pt idx="45">
                  <c:v>59</c:v>
                </c:pt>
                <c:pt idx="46">
                  <c:v>31</c:v>
                </c:pt>
                <c:pt idx="47">
                  <c:v>-4</c:v>
                </c:pt>
                <c:pt idx="48">
                  <c:v>25</c:v>
                </c:pt>
                <c:pt idx="49">
                  <c:v>37</c:v>
                </c:pt>
                <c:pt idx="50">
                  <c:v>-11</c:v>
                </c:pt>
                <c:pt idx="51">
                  <c:v>-62</c:v>
                </c:pt>
                <c:pt idx="52">
                  <c:v>-32</c:v>
                </c:pt>
                <c:pt idx="53">
                  <c:v>4</c:v>
                </c:pt>
                <c:pt idx="54">
                  <c:v>20</c:v>
                </c:pt>
                <c:pt idx="55">
                  <c:v>-22</c:v>
                </c:pt>
                <c:pt idx="56">
                  <c:v>-37</c:v>
                </c:pt>
                <c:pt idx="57">
                  <c:v>-33</c:v>
                </c:pt>
                <c:pt idx="58">
                  <c:v>-14</c:v>
                </c:pt>
                <c:pt idx="59">
                  <c:v>-13</c:v>
                </c:pt>
                <c:pt idx="60">
                  <c:v>-22</c:v>
                </c:pt>
                <c:pt idx="61">
                  <c:v>-19</c:v>
                </c:pt>
                <c:pt idx="62">
                  <c:v>49</c:v>
                </c:pt>
                <c:pt idx="63">
                  <c:v>96</c:v>
                </c:pt>
                <c:pt idx="64">
                  <c:v>107</c:v>
                </c:pt>
                <c:pt idx="65">
                  <c:v>81</c:v>
                </c:pt>
                <c:pt idx="66">
                  <c:v>79</c:v>
                </c:pt>
                <c:pt idx="67">
                  <c:v>63</c:v>
                </c:pt>
                <c:pt idx="68">
                  <c:v>51</c:v>
                </c:pt>
                <c:pt idx="69">
                  <c:v>59</c:v>
                </c:pt>
                <c:pt idx="70">
                  <c:v>87</c:v>
                </c:pt>
                <c:pt idx="71">
                  <c:v>110</c:v>
                </c:pt>
                <c:pt idx="72">
                  <c:v>74</c:v>
                </c:pt>
                <c:pt idx="73">
                  <c:v>74</c:v>
                </c:pt>
                <c:pt idx="74">
                  <c:v>48</c:v>
                </c:pt>
                <c:pt idx="75">
                  <c:v>54</c:v>
                </c:pt>
                <c:pt idx="76">
                  <c:v>34</c:v>
                </c:pt>
                <c:pt idx="77">
                  <c:v>61</c:v>
                </c:pt>
                <c:pt idx="78">
                  <c:v>83</c:v>
                </c:pt>
                <c:pt idx="79">
                  <c:v>129</c:v>
                </c:pt>
                <c:pt idx="80">
                  <c:v>163</c:v>
                </c:pt>
                <c:pt idx="81">
                  <c:v>145</c:v>
                </c:pt>
                <c:pt idx="82">
                  <c:v>128</c:v>
                </c:pt>
                <c:pt idx="83">
                  <c:v>104</c:v>
                </c:pt>
                <c:pt idx="84">
                  <c:v>86</c:v>
                </c:pt>
                <c:pt idx="85">
                  <c:v>53</c:v>
                </c:pt>
              </c:numCache>
            </c:numRef>
          </c:val>
        </c:ser>
        <c:ser>
          <c:idx val="1"/>
          <c:order val="1"/>
          <c:tx>
            <c:strRef>
              <c:f>'Medeni hal (2)'!$Q$212</c:f>
              <c:strCache>
                <c:ptCount val="1"/>
                <c:pt idx="0">
                  <c:v>Single</c:v>
                </c:pt>
              </c:strCache>
            </c:strRef>
          </c:tx>
          <c:marker>
            <c:symbol val="none"/>
          </c:marker>
          <c:cat>
            <c:numRef>
              <c:f>'Medeni hal (2)'!$B$225:$B$310</c:f>
              <c:numCache>
                <c:formatCode>[$-409]mmm\-yy;@</c:formatCode>
                <c:ptCount val="86"/>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numCache>
            </c:numRef>
          </c:cat>
          <c:val>
            <c:numRef>
              <c:f>'Medeni hal (2)'!$Q$225:$Q$310</c:f>
              <c:numCache>
                <c:formatCode>###\ ###</c:formatCode>
                <c:ptCount val="86"/>
                <c:pt idx="0">
                  <c:v>22</c:v>
                </c:pt>
                <c:pt idx="1">
                  <c:v>26</c:v>
                </c:pt>
                <c:pt idx="2">
                  <c:v>25</c:v>
                </c:pt>
                <c:pt idx="3">
                  <c:v>14</c:v>
                </c:pt>
                <c:pt idx="4">
                  <c:v>5</c:v>
                </c:pt>
                <c:pt idx="5">
                  <c:v>8</c:v>
                </c:pt>
                <c:pt idx="6">
                  <c:v>10</c:v>
                </c:pt>
                <c:pt idx="7">
                  <c:v>20</c:v>
                </c:pt>
                <c:pt idx="8">
                  <c:v>13</c:v>
                </c:pt>
                <c:pt idx="9">
                  <c:v>-7</c:v>
                </c:pt>
                <c:pt idx="10">
                  <c:v>-12</c:v>
                </c:pt>
                <c:pt idx="11">
                  <c:v>-5</c:v>
                </c:pt>
                <c:pt idx="12">
                  <c:v>-18</c:v>
                </c:pt>
                <c:pt idx="13">
                  <c:v>-31</c:v>
                </c:pt>
                <c:pt idx="14">
                  <c:v>-22</c:v>
                </c:pt>
                <c:pt idx="15">
                  <c:v>-25</c:v>
                </c:pt>
                <c:pt idx="16">
                  <c:v>-9</c:v>
                </c:pt>
                <c:pt idx="17">
                  <c:v>-14</c:v>
                </c:pt>
                <c:pt idx="18">
                  <c:v>-8</c:v>
                </c:pt>
                <c:pt idx="19">
                  <c:v>-5</c:v>
                </c:pt>
                <c:pt idx="20">
                  <c:v>6</c:v>
                </c:pt>
                <c:pt idx="21">
                  <c:v>8</c:v>
                </c:pt>
                <c:pt idx="22">
                  <c:v>6</c:v>
                </c:pt>
                <c:pt idx="23">
                  <c:v>-8</c:v>
                </c:pt>
                <c:pt idx="24">
                  <c:v>-1</c:v>
                </c:pt>
                <c:pt idx="25">
                  <c:v>-9</c:v>
                </c:pt>
                <c:pt idx="26">
                  <c:v>-3</c:v>
                </c:pt>
                <c:pt idx="27">
                  <c:v>4</c:v>
                </c:pt>
                <c:pt idx="28">
                  <c:v>-7</c:v>
                </c:pt>
                <c:pt idx="29">
                  <c:v>-3</c:v>
                </c:pt>
                <c:pt idx="30">
                  <c:v>-18</c:v>
                </c:pt>
                <c:pt idx="31">
                  <c:v>-25</c:v>
                </c:pt>
                <c:pt idx="32">
                  <c:v>-35</c:v>
                </c:pt>
                <c:pt idx="33">
                  <c:v>-20</c:v>
                </c:pt>
                <c:pt idx="34">
                  <c:v>-9</c:v>
                </c:pt>
                <c:pt idx="35">
                  <c:v>4</c:v>
                </c:pt>
                <c:pt idx="36">
                  <c:v>5</c:v>
                </c:pt>
                <c:pt idx="37">
                  <c:v>20</c:v>
                </c:pt>
                <c:pt idx="38">
                  <c:v>19</c:v>
                </c:pt>
                <c:pt idx="39">
                  <c:v>16</c:v>
                </c:pt>
                <c:pt idx="40">
                  <c:v>12</c:v>
                </c:pt>
                <c:pt idx="41">
                  <c:v>-1</c:v>
                </c:pt>
                <c:pt idx="42">
                  <c:v>-2</c:v>
                </c:pt>
                <c:pt idx="43">
                  <c:v>0</c:v>
                </c:pt>
                <c:pt idx="44">
                  <c:v>1</c:v>
                </c:pt>
                <c:pt idx="45">
                  <c:v>12</c:v>
                </c:pt>
                <c:pt idx="46">
                  <c:v>5</c:v>
                </c:pt>
                <c:pt idx="47">
                  <c:v>7</c:v>
                </c:pt>
                <c:pt idx="48">
                  <c:v>-14</c:v>
                </c:pt>
                <c:pt idx="49">
                  <c:v>-12</c:v>
                </c:pt>
                <c:pt idx="50">
                  <c:v>-25</c:v>
                </c:pt>
                <c:pt idx="51">
                  <c:v>-9</c:v>
                </c:pt>
                <c:pt idx="52">
                  <c:v>-21</c:v>
                </c:pt>
                <c:pt idx="53">
                  <c:v>-4</c:v>
                </c:pt>
                <c:pt idx="54">
                  <c:v>-5</c:v>
                </c:pt>
                <c:pt idx="55">
                  <c:v>-8</c:v>
                </c:pt>
                <c:pt idx="56">
                  <c:v>-7</c:v>
                </c:pt>
                <c:pt idx="57">
                  <c:v>-21</c:v>
                </c:pt>
                <c:pt idx="58">
                  <c:v>-18</c:v>
                </c:pt>
                <c:pt idx="59">
                  <c:v>-10</c:v>
                </c:pt>
                <c:pt idx="60">
                  <c:v>10</c:v>
                </c:pt>
                <c:pt idx="61">
                  <c:v>18</c:v>
                </c:pt>
                <c:pt idx="62">
                  <c:v>16</c:v>
                </c:pt>
                <c:pt idx="63">
                  <c:v>-6</c:v>
                </c:pt>
                <c:pt idx="64">
                  <c:v>-2</c:v>
                </c:pt>
                <c:pt idx="65">
                  <c:v>-7</c:v>
                </c:pt>
                <c:pt idx="66">
                  <c:v>6</c:v>
                </c:pt>
                <c:pt idx="67">
                  <c:v>5</c:v>
                </c:pt>
                <c:pt idx="68">
                  <c:v>-1</c:v>
                </c:pt>
                <c:pt idx="69">
                  <c:v>-3</c:v>
                </c:pt>
                <c:pt idx="70">
                  <c:v>-8</c:v>
                </c:pt>
                <c:pt idx="71">
                  <c:v>-11</c:v>
                </c:pt>
                <c:pt idx="72">
                  <c:v>-10</c:v>
                </c:pt>
                <c:pt idx="73">
                  <c:v>-22</c:v>
                </c:pt>
                <c:pt idx="74">
                  <c:v>-23</c:v>
                </c:pt>
                <c:pt idx="75">
                  <c:v>-10</c:v>
                </c:pt>
                <c:pt idx="76">
                  <c:v>16</c:v>
                </c:pt>
                <c:pt idx="77">
                  <c:v>19</c:v>
                </c:pt>
                <c:pt idx="78">
                  <c:v>0</c:v>
                </c:pt>
                <c:pt idx="79">
                  <c:v>3</c:v>
                </c:pt>
                <c:pt idx="80">
                  <c:v>4</c:v>
                </c:pt>
                <c:pt idx="81">
                  <c:v>17</c:v>
                </c:pt>
                <c:pt idx="82">
                  <c:v>14</c:v>
                </c:pt>
                <c:pt idx="83">
                  <c:v>7</c:v>
                </c:pt>
                <c:pt idx="84">
                  <c:v>-3</c:v>
                </c:pt>
                <c:pt idx="85">
                  <c:v>-10</c:v>
                </c:pt>
              </c:numCache>
            </c:numRef>
          </c:val>
        </c:ser>
        <c:marker val="1"/>
        <c:axId val="80870784"/>
        <c:axId val="81224832"/>
      </c:lineChart>
      <c:dateAx>
        <c:axId val="80870784"/>
        <c:scaling>
          <c:orientation val="minMax"/>
        </c:scaling>
        <c:axPos val="b"/>
        <c:numFmt formatCode="[$-409]mmm\-yy;@" sourceLinked="1"/>
        <c:tickLblPos val="nextTo"/>
        <c:crossAx val="81224832"/>
        <c:crosses val="autoZero"/>
        <c:auto val="1"/>
        <c:lblOffset val="100"/>
      </c:dateAx>
      <c:valAx>
        <c:axId val="81224832"/>
        <c:scaling>
          <c:orientation val="minMax"/>
          <c:max val="200"/>
          <c:min val="-300"/>
        </c:scaling>
        <c:axPos val="l"/>
        <c:numFmt formatCode="###\ ###" sourceLinked="1"/>
        <c:tickLblPos val="nextTo"/>
        <c:crossAx val="80870784"/>
        <c:crosses val="autoZero"/>
        <c:crossBetween val="between"/>
      </c:valAx>
      <c:valAx>
        <c:axId val="81226368"/>
        <c:scaling>
          <c:orientation val="minMax"/>
          <c:max val="1"/>
          <c:min val="0"/>
        </c:scaling>
        <c:axPos val="r"/>
        <c:numFmt formatCode="###\ ###" sourceLinked="1"/>
        <c:majorTickMark val="none"/>
        <c:tickLblPos val="nextTo"/>
        <c:spPr>
          <a:ln>
            <a:noFill/>
          </a:ln>
        </c:spPr>
        <c:txPr>
          <a:bodyPr/>
          <a:lstStyle/>
          <a:p>
            <a:pPr>
              <a:defRPr>
                <a:solidFill>
                  <a:schemeClr val="bg1"/>
                </a:solidFill>
              </a:defRPr>
            </a:pPr>
            <a:endParaRPr lang="en-US"/>
          </a:p>
        </c:txPr>
        <c:crossAx val="101458304"/>
        <c:crosses val="max"/>
        <c:crossBetween val="between"/>
      </c:valAx>
      <c:catAx>
        <c:axId val="101458304"/>
        <c:scaling>
          <c:orientation val="minMax"/>
        </c:scaling>
        <c:delete val="1"/>
        <c:axPos val="b"/>
        <c:tickLblPos val="none"/>
        <c:crossAx val="81226368"/>
        <c:crosses val="autoZero"/>
        <c:auto val="1"/>
        <c:lblAlgn val="ctr"/>
        <c:lblOffset val="100"/>
      </c:catAx>
    </c:plotArea>
    <c:legend>
      <c:legendPos val="b"/>
      <c:legendEntry>
        <c:idx val="0"/>
        <c:delete val="1"/>
      </c:legendEntry>
    </c:legend>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CE1E2-8BFF-41F0-BF8C-C36C1F101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12</Pages>
  <Words>4550</Words>
  <Characters>25937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unv</Company>
  <LinksUpToDate>false</LinksUpToDate>
  <CharactersWithSpaces>30427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gokce.kolasin</dc:creator>
  <cp:keywords/>
  <dc:description/>
  <cp:lastModifiedBy>gokce.kolasin</cp:lastModifiedBy>
  <cp:revision>47</cp:revision>
  <cp:lastPrinted>2013-09-19T08:17:00Z</cp:lastPrinted>
  <dcterms:created xsi:type="dcterms:W3CDTF">2013-09-24T08:59:00Z</dcterms:created>
  <dcterms:modified xsi:type="dcterms:W3CDTF">2013-09-24T13:18:00Z</dcterms:modified>
</cp:coreProperties>
</file>