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1E0A72" w:rsidP="00AE0BBB">
      <w:pPr>
        <w:spacing w:line="288" w:lineRule="auto"/>
        <w:ind w:right="-319"/>
        <w:jc w:val="center"/>
        <w:rPr>
          <w:rFonts w:ascii="Arial" w:hAnsi="Arial" w:cs="Arial"/>
          <w:b/>
          <w:bCs/>
          <w:sz w:val="20"/>
          <w:szCs w:val="20"/>
        </w:rPr>
      </w:pPr>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05F7E" w:rsidP="00803E3E">
                            <w:pPr>
                              <w:pStyle w:val="Heading1"/>
                              <w:rPr>
                                <w:rFonts w:ascii="Times New Roman" w:hAnsi="Times New Roman" w:cs="Times New Roman"/>
                                <w:sz w:val="40"/>
                                <w:szCs w:val="40"/>
                              </w:rPr>
                            </w:pPr>
                            <w:r>
                              <w:rPr>
                                <w:rFonts w:ascii="Times New Roman" w:hAnsi="Times New Roman" w:cs="Times New Roman"/>
                                <w:sz w:val="40"/>
                                <w:szCs w:val="40"/>
                              </w:rPr>
                              <w:t>2015</w:t>
                            </w:r>
                            <w:r w:rsidR="00B834FD">
                              <w:rPr>
                                <w:rFonts w:ascii="Times New Roman" w:hAnsi="Times New Roman" w:cs="Times New Roman"/>
                                <w:sz w:val="40"/>
                                <w:szCs w:val="40"/>
                              </w:rPr>
                              <w:t xml:space="preserve"> </w:t>
                            </w:r>
                            <w:r>
                              <w:rPr>
                                <w:rFonts w:ascii="Times New Roman" w:hAnsi="Times New Roman" w:cs="Times New Roman"/>
                                <w:sz w:val="40"/>
                                <w:szCs w:val="40"/>
                              </w:rPr>
                              <w:t>1</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Odj&#10;M1mIAgAAHQUAAA4AAAAAAAAAAAAAAAAALgIAAGRycy9lMm9Eb2MueG1sUEsBAi0AFAAGAAgAAAAh&#10;ANi+mynaAAAABwEAAA8AAAAAAAAAAAAAAAAA4gQAAGRycy9kb3ducmV2LnhtbFBLBQYAAAAABAAE&#10;APMAAADpBQAAAAA=&#10;" stroked="f">
                <v:fill opacity="0"/>
                <v:textbox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05F7E" w:rsidP="00803E3E">
                      <w:pPr>
                        <w:pStyle w:val="Heading1"/>
                        <w:rPr>
                          <w:rFonts w:ascii="Times New Roman" w:hAnsi="Times New Roman" w:cs="Times New Roman"/>
                          <w:sz w:val="40"/>
                          <w:szCs w:val="40"/>
                        </w:rPr>
                      </w:pPr>
                      <w:r>
                        <w:rPr>
                          <w:rFonts w:ascii="Times New Roman" w:hAnsi="Times New Roman" w:cs="Times New Roman"/>
                          <w:sz w:val="40"/>
                          <w:szCs w:val="40"/>
                        </w:rPr>
                        <w:t>2015</w:t>
                      </w:r>
                      <w:r w:rsidR="00B834FD">
                        <w:rPr>
                          <w:rFonts w:ascii="Times New Roman" w:hAnsi="Times New Roman" w:cs="Times New Roman"/>
                          <w:sz w:val="40"/>
                          <w:szCs w:val="40"/>
                        </w:rPr>
                        <w:t xml:space="preserve"> </w:t>
                      </w:r>
                      <w:r>
                        <w:rPr>
                          <w:rFonts w:ascii="Times New Roman" w:hAnsi="Times New Roman" w:cs="Times New Roman"/>
                          <w:sz w:val="40"/>
                          <w:szCs w:val="40"/>
                        </w:rPr>
                        <w:t>1</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proofErr w:type="spellStart"/>
                            <w:r w:rsidR="00B05F7E">
                              <w:rPr>
                                <w:color w:val="FFFFFF"/>
                                <w:sz w:val="22"/>
                                <w:szCs w:val="22"/>
                              </w:rPr>
                              <w:t>Haziran</w:t>
                            </w:r>
                            <w:proofErr w:type="spellEnd"/>
                            <w:r w:rsidR="00B05F7E">
                              <w:rPr>
                                <w:color w:val="FFFFFF"/>
                                <w:sz w:val="22"/>
                                <w:szCs w:val="22"/>
                              </w:rPr>
                              <w:t xml:space="preserve"> </w:t>
                            </w:r>
                            <w:r w:rsidR="00B05F7E">
                              <w:rPr>
                                <w:color w:val="FFFFFF"/>
                                <w:sz w:val="22"/>
                                <w:szCs w:val="22"/>
                                <w:lang w:val="tr-TR"/>
                              </w:rPr>
                              <w:t>2015</w:t>
                            </w:r>
                          </w:p>
                          <w:p w:rsidR="00B834FD" w:rsidRDefault="00B834FD"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9igIAACQ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BmsDX9igIAACQFAAAOAAAAAAAAAAAAAAAAAC4CAABkcnMvZTJvRG9jLnhtbFBLAQItABQA&#10;BgAIAAAAIQBn+L4p3wAAAAwBAAAPAAAAAAAAAAAAAAAAAOQEAABkcnMvZG93bnJldi54bWxQSwUG&#10;AAAAAAQABADzAAAA8AUAAAAA&#10;" stroked="f">
                <v:fill opacity="0"/>
                <v:textbox inset="0,0,0,0">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proofErr w:type="spellStart"/>
                      <w:r w:rsidR="00B05F7E">
                        <w:rPr>
                          <w:color w:val="FFFFFF"/>
                          <w:sz w:val="22"/>
                          <w:szCs w:val="22"/>
                        </w:rPr>
                        <w:t>Haziran</w:t>
                      </w:r>
                      <w:proofErr w:type="spellEnd"/>
                      <w:r w:rsidR="00B05F7E">
                        <w:rPr>
                          <w:color w:val="FFFFFF"/>
                          <w:sz w:val="22"/>
                          <w:szCs w:val="22"/>
                        </w:rPr>
                        <w:t xml:space="preserve"> </w:t>
                      </w:r>
                      <w:r w:rsidR="00B05F7E">
                        <w:rPr>
                          <w:color w:val="FFFFFF"/>
                          <w:sz w:val="22"/>
                          <w:szCs w:val="22"/>
                          <w:lang w:val="tr-TR"/>
                        </w:rPr>
                        <w:t>2015</w:t>
                      </w:r>
                    </w:p>
                    <w:p w:rsidR="00B834FD" w:rsidRDefault="00B834FD"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FE3990" w:rsidRDefault="00D065A3" w:rsidP="00C805B9">
      <w:pPr>
        <w:spacing w:line="288" w:lineRule="auto"/>
        <w:ind w:right="-319"/>
        <w:jc w:val="center"/>
        <w:outlineLvl w:val="0"/>
        <w:rPr>
          <w:rFonts w:ascii="Arial" w:hAnsi="Arial" w:cs="Arial"/>
          <w:b/>
          <w:bCs/>
          <w:sz w:val="28"/>
          <w:szCs w:val="28"/>
        </w:rPr>
      </w:pPr>
      <w:r w:rsidRPr="00D065A3">
        <w:rPr>
          <w:rFonts w:ascii="Arial" w:hAnsi="Arial" w:cs="Arial"/>
          <w:b/>
          <w:bCs/>
          <w:sz w:val="28"/>
          <w:szCs w:val="28"/>
        </w:rPr>
        <w:t>NET İHRACAT BÜYÜMEYİ SIRTLADI</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 xml:space="preserve">ve </w:t>
      </w:r>
      <w:r w:rsidR="00A62AB4">
        <w:rPr>
          <w:rFonts w:ascii="Arial" w:hAnsi="Arial" w:cs="Arial"/>
          <w:b/>
          <w:bCs/>
          <w:sz w:val="22"/>
          <w:szCs w:val="22"/>
        </w:rPr>
        <w:t>Barış Soybilgen</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w:t>
      </w:r>
      <w:r w:rsidR="00B05F7E">
        <w:rPr>
          <w:rFonts w:ascii="Arial" w:hAnsi="Arial" w:cs="Arial"/>
          <w:sz w:val="20"/>
          <w:szCs w:val="20"/>
        </w:rPr>
        <w:t>5</w:t>
      </w:r>
      <w:r w:rsidRPr="00DD51D1">
        <w:rPr>
          <w:rFonts w:ascii="Arial" w:hAnsi="Arial" w:cs="Arial"/>
          <w:sz w:val="20"/>
          <w:szCs w:val="20"/>
        </w:rPr>
        <w:t xml:space="preserve"> </w:t>
      </w:r>
      <w:r w:rsidR="00B05F7E">
        <w:rPr>
          <w:rFonts w:ascii="Arial" w:hAnsi="Arial" w:cs="Arial"/>
          <w:sz w:val="20"/>
          <w:szCs w:val="20"/>
        </w:rPr>
        <w:t>ilk</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B05F7E">
        <w:rPr>
          <w:rFonts w:ascii="Arial" w:hAnsi="Arial" w:cs="Arial"/>
          <w:sz w:val="20"/>
          <w:szCs w:val="20"/>
        </w:rPr>
        <w:t>2</w:t>
      </w:r>
      <w:r w:rsidR="00D83B77">
        <w:rPr>
          <w:rFonts w:ascii="Arial" w:hAnsi="Arial" w:cs="Arial"/>
          <w:sz w:val="20"/>
          <w:szCs w:val="20"/>
        </w:rPr>
        <w:t>,</w:t>
      </w:r>
      <w:r w:rsidR="00B05F7E">
        <w:rPr>
          <w:rFonts w:ascii="Arial" w:hAnsi="Arial" w:cs="Arial"/>
          <w:sz w:val="20"/>
          <w:szCs w:val="20"/>
        </w:rPr>
        <w:t>3</w:t>
      </w:r>
      <w:r w:rsidRPr="00DD51D1">
        <w:rPr>
          <w:rFonts w:ascii="Arial" w:hAnsi="Arial" w:cs="Arial"/>
          <w:sz w:val="20"/>
          <w:szCs w:val="20"/>
        </w:rPr>
        <w:t xml:space="preserve"> büyüdü. </w:t>
      </w:r>
      <w:r w:rsidR="00EB170C">
        <w:rPr>
          <w:rFonts w:ascii="Arial" w:hAnsi="Arial" w:cs="Arial"/>
          <w:sz w:val="20"/>
          <w:szCs w:val="20"/>
        </w:rPr>
        <w:t>Mevsim ve takvim etkisinden arındırılmış</w:t>
      </w:r>
      <w:r w:rsidR="00531B2C">
        <w:rPr>
          <w:rFonts w:ascii="Arial" w:hAnsi="Arial" w:cs="Arial"/>
          <w:sz w:val="20"/>
          <w:szCs w:val="20"/>
        </w:rPr>
        <w:t xml:space="preserve"> rakamlara göre ise ekonomi </w:t>
      </w:r>
      <w:r w:rsidR="00B05F7E">
        <w:rPr>
          <w:rFonts w:ascii="Arial" w:hAnsi="Arial" w:cs="Arial"/>
          <w:sz w:val="20"/>
          <w:szCs w:val="20"/>
        </w:rPr>
        <w:t>ilk</w:t>
      </w:r>
      <w:r w:rsidR="00531B2C">
        <w:rPr>
          <w:rFonts w:ascii="Arial" w:hAnsi="Arial" w:cs="Arial"/>
          <w:sz w:val="20"/>
          <w:szCs w:val="20"/>
        </w:rPr>
        <w:t xml:space="preserve"> çeyrek</w:t>
      </w:r>
      <w:r w:rsidR="00FB622B">
        <w:rPr>
          <w:rFonts w:ascii="Arial" w:hAnsi="Arial" w:cs="Arial"/>
          <w:sz w:val="20"/>
          <w:szCs w:val="20"/>
        </w:rPr>
        <w:t xml:space="preserve">te </w:t>
      </w:r>
      <w:r w:rsidR="00B05F7E">
        <w:rPr>
          <w:rFonts w:ascii="Arial" w:hAnsi="Arial" w:cs="Arial"/>
          <w:sz w:val="20"/>
          <w:szCs w:val="20"/>
        </w:rPr>
        <w:t xml:space="preserve">önceki </w:t>
      </w:r>
      <w:r w:rsidR="00E70DB2">
        <w:rPr>
          <w:rFonts w:ascii="Arial" w:hAnsi="Arial" w:cs="Arial"/>
          <w:sz w:val="20"/>
          <w:szCs w:val="20"/>
        </w:rPr>
        <w:t xml:space="preserve">çeyreğe kıyasla yüzde </w:t>
      </w:r>
      <w:r w:rsidR="00B05F7E">
        <w:rPr>
          <w:rFonts w:ascii="Arial" w:hAnsi="Arial" w:cs="Arial"/>
          <w:sz w:val="20"/>
          <w:szCs w:val="20"/>
        </w:rPr>
        <w:t>1,3</w:t>
      </w:r>
      <w:r w:rsidR="00531B2C">
        <w:rPr>
          <w:rFonts w:ascii="Arial" w:hAnsi="Arial" w:cs="Arial"/>
          <w:sz w:val="20"/>
          <w:szCs w:val="20"/>
        </w:rPr>
        <w:t xml:space="preserve"> oranında </w:t>
      </w:r>
      <w:bookmarkStart w:id="0" w:name="OLE_LINK1"/>
      <w:bookmarkStart w:id="1" w:name="OLE_LINK2"/>
      <w:bookmarkStart w:id="2" w:name="OLE_LINK3"/>
      <w:r w:rsidR="00E70DB2">
        <w:rPr>
          <w:rFonts w:ascii="Arial" w:hAnsi="Arial" w:cs="Arial"/>
          <w:sz w:val="20"/>
          <w:szCs w:val="20"/>
        </w:rPr>
        <w:t>büyüdü.</w:t>
      </w:r>
      <w:r w:rsidR="00531B2C">
        <w:rPr>
          <w:rFonts w:ascii="Arial" w:hAnsi="Arial" w:cs="Arial"/>
          <w:sz w:val="20"/>
          <w:szCs w:val="20"/>
        </w:rPr>
        <w:t xml:space="preserve"> </w:t>
      </w:r>
      <w:bookmarkEnd w:id="0"/>
      <w:bookmarkEnd w:id="1"/>
      <w:bookmarkEnd w:id="2"/>
      <w:r w:rsidR="00873672">
        <w:rPr>
          <w:rFonts w:ascii="Arial" w:hAnsi="Arial" w:cs="Arial"/>
          <w:sz w:val="20"/>
          <w:szCs w:val="20"/>
        </w:rPr>
        <w:t xml:space="preserve">İlk çeyrekte iç talep zayıf seyretmeye devam ederken, net dış talep büyümeye </w:t>
      </w:r>
      <w:r w:rsidR="00CD673E">
        <w:rPr>
          <w:rFonts w:ascii="Arial" w:hAnsi="Arial" w:cs="Arial"/>
          <w:sz w:val="20"/>
          <w:szCs w:val="20"/>
        </w:rPr>
        <w:t>önemli</w:t>
      </w:r>
      <w:r w:rsidR="00873672">
        <w:rPr>
          <w:rFonts w:ascii="Arial" w:hAnsi="Arial" w:cs="Arial"/>
          <w:sz w:val="20"/>
          <w:szCs w:val="20"/>
        </w:rPr>
        <w:t xml:space="preserve"> katkı yaptı.</w:t>
      </w:r>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600703" w:rsidRDefault="00990D6A"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Bir önceki çeyreğe kıyasla </w:t>
      </w:r>
      <w:r w:rsidR="00B05F7E">
        <w:rPr>
          <w:rFonts w:ascii="Arial" w:hAnsi="Arial" w:cs="Arial"/>
          <w:sz w:val="20"/>
          <w:szCs w:val="20"/>
        </w:rPr>
        <w:t>yatırımlar yüzde 0,5 düşerken, tüketim yüzde 0,9, kamu harcamaları ise yüzde 2,1 oranında arttı. Tüketim</w:t>
      </w:r>
      <w:r w:rsidR="00AD4BFF">
        <w:rPr>
          <w:rFonts w:ascii="Arial" w:hAnsi="Arial" w:cs="Arial"/>
          <w:sz w:val="20"/>
          <w:szCs w:val="20"/>
        </w:rPr>
        <w:t>,</w:t>
      </w:r>
      <w:r w:rsidR="00B05F7E">
        <w:rPr>
          <w:rFonts w:ascii="Arial" w:hAnsi="Arial" w:cs="Arial"/>
          <w:sz w:val="20"/>
          <w:szCs w:val="20"/>
        </w:rPr>
        <w:t xml:space="preserve"> yatırım ve kamu harcamalarının yüzde 1,3 oranındaki çeyreklik büyümeye toplam katkısı 0,8 oldu. Stok değişimleri büyümeye negatif katkı yaparken, net ihracatın çeyreklik katkısı 1,8 yüzde puan oldu. Net ihracat artışı zayıf seyreden iç talep nedeniyle</w:t>
      </w:r>
      <w:r w:rsidR="00EF1140">
        <w:rPr>
          <w:rFonts w:ascii="Arial" w:hAnsi="Arial" w:cs="Arial"/>
          <w:sz w:val="20"/>
          <w:szCs w:val="20"/>
        </w:rPr>
        <w:t xml:space="preserve"> esas olarak</w:t>
      </w:r>
      <w:r w:rsidR="00B05F7E">
        <w:rPr>
          <w:rFonts w:ascii="Arial" w:hAnsi="Arial" w:cs="Arial"/>
          <w:sz w:val="20"/>
          <w:szCs w:val="20"/>
        </w:rPr>
        <w:t xml:space="preserve"> ithalatın düşüyor olmasından kaynaklandı. İthalattaki düşüş gelecek dönemlerdeki üretim açısından da olumsuz bir sinyal oluşturdu.</w:t>
      </w:r>
    </w:p>
    <w:p w:rsidR="00600703" w:rsidRDefault="00600703" w:rsidP="00470351">
      <w:pPr>
        <w:pStyle w:val="NormalWeb"/>
        <w:spacing w:before="0" w:beforeAutospacing="0" w:after="0" w:afterAutospacing="0" w:line="300" w:lineRule="atLeast"/>
        <w:jc w:val="both"/>
        <w:rPr>
          <w:rFonts w:ascii="Arial" w:hAnsi="Arial" w:cs="Arial"/>
          <w:sz w:val="20"/>
          <w:szCs w:val="20"/>
        </w:rPr>
      </w:pPr>
    </w:p>
    <w:p w:rsidR="00B834FD" w:rsidRDefault="00361B32"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A</w:t>
      </w:r>
      <w:r w:rsidR="00600703">
        <w:rPr>
          <w:rFonts w:ascii="Arial" w:hAnsi="Arial" w:cs="Arial"/>
          <w:sz w:val="20"/>
          <w:szCs w:val="20"/>
        </w:rPr>
        <w:t xml:space="preserve">zalan ithalat </w:t>
      </w:r>
      <w:r w:rsidR="00671A37" w:rsidRPr="00FE3990">
        <w:rPr>
          <w:rFonts w:ascii="Arial" w:hAnsi="Arial" w:cs="Arial"/>
          <w:sz w:val="20"/>
          <w:szCs w:val="20"/>
        </w:rPr>
        <w:t xml:space="preserve">cari açığı </w:t>
      </w:r>
      <w:r w:rsidR="00600703">
        <w:rPr>
          <w:rFonts w:ascii="Arial" w:hAnsi="Arial" w:cs="Arial"/>
          <w:sz w:val="20"/>
          <w:szCs w:val="20"/>
        </w:rPr>
        <w:t>azalt</w:t>
      </w:r>
      <w:r>
        <w:rPr>
          <w:rFonts w:ascii="Arial" w:hAnsi="Arial" w:cs="Arial"/>
          <w:sz w:val="20"/>
          <w:szCs w:val="20"/>
        </w:rPr>
        <w:t>ıcı etki yapmaya</w:t>
      </w:r>
      <w:r w:rsidR="00600703">
        <w:rPr>
          <w:rFonts w:ascii="Arial" w:hAnsi="Arial" w:cs="Arial"/>
          <w:sz w:val="20"/>
          <w:szCs w:val="20"/>
        </w:rPr>
        <w:t xml:space="preserve"> devam ediyor</w:t>
      </w:r>
      <w:r w:rsidR="00671A37" w:rsidRPr="00FE3990">
        <w:rPr>
          <w:rFonts w:ascii="Arial" w:hAnsi="Arial" w:cs="Arial"/>
          <w:sz w:val="20"/>
          <w:szCs w:val="20"/>
        </w:rPr>
        <w:t>.</w:t>
      </w:r>
      <w:r w:rsidR="00531B2C" w:rsidRPr="00FE3990">
        <w:rPr>
          <w:rFonts w:ascii="Arial" w:hAnsi="Arial" w:cs="Arial"/>
          <w:sz w:val="20"/>
          <w:szCs w:val="20"/>
        </w:rPr>
        <w:t xml:space="preserve"> </w:t>
      </w:r>
      <w:r>
        <w:rPr>
          <w:rFonts w:ascii="Arial" w:hAnsi="Arial" w:cs="Arial"/>
          <w:sz w:val="20"/>
          <w:szCs w:val="20"/>
        </w:rPr>
        <w:t>İlk</w:t>
      </w:r>
      <w:r w:rsidR="00531B2C" w:rsidRPr="00FE3990">
        <w:rPr>
          <w:rFonts w:ascii="Arial" w:hAnsi="Arial" w:cs="Arial"/>
          <w:sz w:val="20"/>
          <w:szCs w:val="20"/>
        </w:rPr>
        <w:t xml:space="preserve"> çeyrek sonunda</w:t>
      </w:r>
      <w:r w:rsidR="007929BD" w:rsidRPr="00FE3990">
        <w:rPr>
          <w:rFonts w:ascii="Arial" w:hAnsi="Arial" w:cs="Arial"/>
          <w:sz w:val="20"/>
          <w:szCs w:val="20"/>
        </w:rPr>
        <w:t xml:space="preserve"> 12 aylık cari açığın GSYH’a oranı yüzde</w:t>
      </w:r>
      <w:r w:rsidR="00600703">
        <w:rPr>
          <w:rFonts w:ascii="Arial" w:hAnsi="Arial" w:cs="Arial"/>
          <w:sz w:val="20"/>
          <w:szCs w:val="20"/>
        </w:rPr>
        <w:t xml:space="preserve"> </w:t>
      </w:r>
      <w:r w:rsidR="00531B2C" w:rsidRPr="00FE3990">
        <w:rPr>
          <w:rFonts w:ascii="Arial" w:hAnsi="Arial" w:cs="Arial"/>
          <w:sz w:val="20"/>
          <w:szCs w:val="20"/>
        </w:rPr>
        <w:t>5</w:t>
      </w:r>
      <w:r w:rsidR="00600703">
        <w:rPr>
          <w:rFonts w:ascii="Arial" w:hAnsi="Arial" w:cs="Arial"/>
          <w:sz w:val="20"/>
          <w:szCs w:val="20"/>
        </w:rPr>
        <w:t>,</w:t>
      </w:r>
      <w:r>
        <w:rPr>
          <w:rFonts w:ascii="Arial" w:hAnsi="Arial" w:cs="Arial"/>
          <w:sz w:val="20"/>
          <w:szCs w:val="20"/>
        </w:rPr>
        <w:t>7</w:t>
      </w:r>
      <w:r w:rsidR="007929BD" w:rsidRPr="00FE3990">
        <w:rPr>
          <w:rFonts w:ascii="Arial" w:hAnsi="Arial" w:cs="Arial"/>
          <w:sz w:val="20"/>
          <w:szCs w:val="20"/>
        </w:rPr>
        <w:t xml:space="preserve"> olarak gerçekleşti. </w:t>
      </w:r>
      <w:r>
        <w:rPr>
          <w:rFonts w:ascii="Arial" w:hAnsi="Arial" w:cs="Arial"/>
          <w:sz w:val="20"/>
          <w:szCs w:val="20"/>
        </w:rPr>
        <w:t>2014</w:t>
      </w:r>
      <w:r w:rsidR="00531B2C" w:rsidRPr="00FE3990">
        <w:rPr>
          <w:rFonts w:ascii="Arial" w:hAnsi="Arial" w:cs="Arial"/>
          <w:sz w:val="20"/>
          <w:szCs w:val="20"/>
        </w:rPr>
        <w:t xml:space="preserve"> sonunda</w:t>
      </w:r>
      <w:r w:rsidR="007929BD" w:rsidRPr="00FE3990">
        <w:rPr>
          <w:rFonts w:ascii="Arial" w:hAnsi="Arial" w:cs="Arial"/>
          <w:sz w:val="20"/>
          <w:szCs w:val="20"/>
        </w:rPr>
        <w:t xml:space="preserve"> bu rakam </w:t>
      </w:r>
      <w:r w:rsidR="002F7168">
        <w:rPr>
          <w:rFonts w:ascii="Arial" w:hAnsi="Arial" w:cs="Arial"/>
          <w:sz w:val="20"/>
          <w:szCs w:val="20"/>
        </w:rPr>
        <w:t xml:space="preserve">yüzde </w:t>
      </w:r>
      <w:r>
        <w:rPr>
          <w:rFonts w:ascii="Arial" w:hAnsi="Arial" w:cs="Arial"/>
          <w:sz w:val="20"/>
          <w:szCs w:val="20"/>
        </w:rPr>
        <w:t>5</w:t>
      </w:r>
      <w:r w:rsidR="007929BD" w:rsidRPr="00FE3990">
        <w:rPr>
          <w:rFonts w:ascii="Arial" w:hAnsi="Arial" w:cs="Arial"/>
          <w:sz w:val="20"/>
          <w:szCs w:val="20"/>
        </w:rPr>
        <w:t>,</w:t>
      </w:r>
      <w:r>
        <w:rPr>
          <w:rFonts w:ascii="Arial" w:hAnsi="Arial" w:cs="Arial"/>
          <w:sz w:val="20"/>
          <w:szCs w:val="20"/>
        </w:rPr>
        <w:t>8</w:t>
      </w:r>
      <w:r w:rsidR="00382F0E" w:rsidRPr="00FE3990">
        <w:rPr>
          <w:rFonts w:ascii="Arial" w:hAnsi="Arial" w:cs="Arial"/>
          <w:sz w:val="20"/>
          <w:szCs w:val="20"/>
        </w:rPr>
        <w:t xml:space="preserve"> </w:t>
      </w:r>
      <w:r w:rsidR="007929BD" w:rsidRPr="00FE3990">
        <w:rPr>
          <w:rFonts w:ascii="Arial" w:hAnsi="Arial" w:cs="Arial"/>
          <w:sz w:val="20"/>
          <w:szCs w:val="20"/>
        </w:rPr>
        <w:t xml:space="preserve">olmuştu. </w:t>
      </w:r>
      <w:r>
        <w:rPr>
          <w:rFonts w:ascii="Arial" w:hAnsi="Arial" w:cs="Arial"/>
          <w:sz w:val="20"/>
          <w:szCs w:val="20"/>
        </w:rPr>
        <w:t>Ancak ilk çeyrekte altın dışında ihracatta gözlemlenen düşüş a</w:t>
      </w:r>
      <w:r w:rsidR="007929BD" w:rsidRPr="00FE3990">
        <w:rPr>
          <w:rFonts w:ascii="Arial" w:hAnsi="Arial" w:cs="Arial"/>
          <w:sz w:val="20"/>
          <w:szCs w:val="20"/>
        </w:rPr>
        <w:t>ltın hariç</w:t>
      </w:r>
      <w:r w:rsidR="00382F0E" w:rsidRPr="00FE3990">
        <w:rPr>
          <w:rFonts w:ascii="Arial" w:hAnsi="Arial" w:cs="Arial"/>
          <w:sz w:val="20"/>
          <w:szCs w:val="20"/>
        </w:rPr>
        <w:t xml:space="preserve"> cari açı</w:t>
      </w:r>
      <w:r>
        <w:rPr>
          <w:rFonts w:ascii="Arial" w:hAnsi="Arial" w:cs="Arial"/>
          <w:sz w:val="20"/>
          <w:szCs w:val="20"/>
        </w:rPr>
        <w:t>ğı artırdı. 2014 sonunda</w:t>
      </w:r>
      <w:r w:rsidR="00382F0E" w:rsidRPr="00FE3990">
        <w:rPr>
          <w:rFonts w:ascii="Arial" w:hAnsi="Arial" w:cs="Arial"/>
          <w:sz w:val="20"/>
          <w:szCs w:val="20"/>
        </w:rPr>
        <w:t xml:space="preserve"> yüzde </w:t>
      </w:r>
      <w:r w:rsidR="00600703">
        <w:rPr>
          <w:rFonts w:ascii="Arial" w:hAnsi="Arial" w:cs="Arial"/>
          <w:sz w:val="20"/>
          <w:szCs w:val="20"/>
        </w:rPr>
        <w:t>5</w:t>
      </w:r>
      <w:r w:rsidR="00382F0E" w:rsidRPr="00FE3990">
        <w:rPr>
          <w:rFonts w:ascii="Arial" w:hAnsi="Arial" w:cs="Arial"/>
          <w:sz w:val="20"/>
          <w:szCs w:val="20"/>
        </w:rPr>
        <w:t>,</w:t>
      </w:r>
      <w:r>
        <w:rPr>
          <w:rFonts w:ascii="Arial" w:hAnsi="Arial" w:cs="Arial"/>
          <w:sz w:val="20"/>
          <w:szCs w:val="20"/>
        </w:rPr>
        <w:t>3 olan altın hariç cari açık oranı ilk çeyrek sonunda</w:t>
      </w:r>
      <w:r w:rsidR="007929BD" w:rsidRPr="00FE3990">
        <w:rPr>
          <w:rFonts w:ascii="Arial" w:hAnsi="Arial" w:cs="Arial"/>
          <w:sz w:val="20"/>
          <w:szCs w:val="20"/>
        </w:rPr>
        <w:t xml:space="preserve"> yüzde </w:t>
      </w:r>
      <w:r w:rsidR="00382F0E" w:rsidRPr="00FE3990">
        <w:rPr>
          <w:rFonts w:ascii="Arial" w:hAnsi="Arial" w:cs="Arial"/>
          <w:sz w:val="20"/>
          <w:szCs w:val="20"/>
        </w:rPr>
        <w:t>5</w:t>
      </w:r>
      <w:r w:rsidR="007929BD" w:rsidRPr="00FE3990">
        <w:rPr>
          <w:rFonts w:ascii="Arial" w:hAnsi="Arial" w:cs="Arial"/>
          <w:sz w:val="20"/>
          <w:szCs w:val="20"/>
        </w:rPr>
        <w:t>,</w:t>
      </w:r>
      <w:r>
        <w:rPr>
          <w:rFonts w:ascii="Arial" w:hAnsi="Arial" w:cs="Arial"/>
          <w:sz w:val="20"/>
          <w:szCs w:val="20"/>
        </w:rPr>
        <w:t>5</w:t>
      </w:r>
      <w:r w:rsidR="007929BD" w:rsidRPr="00FE3990">
        <w:rPr>
          <w:rFonts w:ascii="Arial" w:hAnsi="Arial" w:cs="Arial"/>
          <w:sz w:val="20"/>
          <w:szCs w:val="20"/>
        </w:rPr>
        <w:t>'</w:t>
      </w:r>
      <w:r w:rsidR="00600703">
        <w:rPr>
          <w:rFonts w:ascii="Arial" w:hAnsi="Arial" w:cs="Arial"/>
          <w:sz w:val="20"/>
          <w:szCs w:val="20"/>
        </w:rPr>
        <w:t>e</w:t>
      </w:r>
      <w:r w:rsidR="007929BD" w:rsidRPr="00FE3990">
        <w:rPr>
          <w:rFonts w:ascii="Arial" w:hAnsi="Arial" w:cs="Arial"/>
          <w:sz w:val="20"/>
          <w:szCs w:val="20"/>
        </w:rPr>
        <w:t xml:space="preserve"> </w:t>
      </w:r>
      <w:r>
        <w:rPr>
          <w:rFonts w:ascii="Arial" w:hAnsi="Arial" w:cs="Arial"/>
          <w:sz w:val="20"/>
          <w:szCs w:val="20"/>
        </w:rPr>
        <w:t>yükseldi</w:t>
      </w:r>
      <w:r w:rsidR="007929BD" w:rsidRPr="00FE3990">
        <w:rPr>
          <w:rFonts w:ascii="Arial" w:hAnsi="Arial" w:cs="Arial"/>
          <w:sz w:val="20"/>
          <w:szCs w:val="20"/>
        </w:rPr>
        <w:t>.</w:t>
      </w:r>
    </w:p>
    <w:p w:rsidR="00B834FD" w:rsidRPr="00F30DA8" w:rsidRDefault="001E0A72" w:rsidP="00A7746C">
      <w:pPr>
        <w:pStyle w:val="NormalWeb"/>
        <w:spacing w:before="0" w:beforeAutospacing="0" w:after="0" w:afterAutospacing="0"/>
        <w:jc w:val="both"/>
        <w:rPr>
          <w:sz w:val="20"/>
          <w:szCs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5A8A1"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seyfettin.gursel@</w:t>
      </w:r>
      <w:r w:rsidR="00492063">
        <w:rPr>
          <w:rFonts w:ascii="Arial" w:hAnsi="Arial" w:cs="Arial"/>
          <w:sz w:val="16"/>
          <w:szCs w:val="16"/>
        </w:rPr>
        <w:t>eas.</w:t>
      </w:r>
      <w:r w:rsidRPr="009D708E">
        <w:rPr>
          <w:rFonts w:ascii="Arial" w:hAnsi="Arial" w:cs="Arial"/>
          <w:sz w:val="16"/>
          <w:szCs w:val="16"/>
        </w:rPr>
        <w:t>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Dr. Zümrüt İmamoğlu, Betam, Uzman Araştırmacı.</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zumrut.imamoglu@</w:t>
      </w:r>
      <w:r w:rsidR="00492063">
        <w:rPr>
          <w:rFonts w:ascii="Arial" w:hAnsi="Arial" w:cs="Arial"/>
          <w:sz w:val="16"/>
          <w:szCs w:val="16"/>
        </w:rPr>
        <w:t>eas.</w:t>
      </w:r>
      <w:r w:rsidRPr="009D708E">
        <w:rPr>
          <w:rFonts w:ascii="Arial" w:hAnsi="Arial" w:cs="Arial"/>
          <w:sz w:val="16"/>
          <w:szCs w:val="16"/>
        </w:rPr>
        <w:t>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r w:rsidR="00A62AB4">
        <w:rPr>
          <w:rFonts w:ascii="Arial" w:hAnsi="Arial" w:cs="Arial"/>
          <w:sz w:val="16"/>
          <w:szCs w:val="16"/>
        </w:rPr>
        <w:t>Barış Soybilgen</w:t>
      </w:r>
      <w:r w:rsidRPr="009D708E">
        <w:rPr>
          <w:rFonts w:ascii="Arial" w:hAnsi="Arial" w:cs="Arial"/>
          <w:sz w:val="16"/>
          <w:szCs w:val="16"/>
        </w:rPr>
        <w:t>, Betam, Araştırma Görevlisi.</w:t>
      </w:r>
    </w:p>
    <w:p w:rsidR="00B834FD"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r w:rsidR="00A631F0">
        <w:rPr>
          <w:rFonts w:ascii="Arial" w:hAnsi="Arial" w:cs="Arial"/>
          <w:sz w:val="16"/>
          <w:szCs w:val="16"/>
        </w:rPr>
        <w:t>b</w:t>
      </w:r>
      <w:r w:rsidR="00A62AB4">
        <w:rPr>
          <w:rFonts w:ascii="Arial" w:hAnsi="Arial" w:cs="Arial"/>
          <w:sz w:val="16"/>
          <w:szCs w:val="16"/>
        </w:rPr>
        <w:t>aris.soybilgen</w:t>
      </w:r>
      <w:r w:rsidRPr="009D708E">
        <w:rPr>
          <w:rFonts w:ascii="Arial" w:hAnsi="Arial" w:cs="Arial"/>
          <w:sz w:val="16"/>
          <w:szCs w:val="16"/>
        </w:rPr>
        <w:t>@</w:t>
      </w:r>
      <w:r w:rsidR="00492063">
        <w:rPr>
          <w:rFonts w:ascii="Arial" w:hAnsi="Arial" w:cs="Arial"/>
          <w:sz w:val="16"/>
          <w:szCs w:val="16"/>
        </w:rPr>
        <w:t>eas.</w:t>
      </w:r>
      <w:r w:rsidRPr="009D708E">
        <w:rPr>
          <w:rFonts w:ascii="Arial" w:hAnsi="Arial" w:cs="Arial"/>
          <w:sz w:val="16"/>
          <w:szCs w:val="16"/>
        </w:rPr>
        <w:t>bahcesehir.edu.tr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E528B1" w:rsidRDefault="00E528B1" w:rsidP="002548F5">
      <w:pPr>
        <w:ind w:right="77"/>
        <w:jc w:val="both"/>
        <w:rPr>
          <w:rFonts w:ascii="Arial" w:hAnsi="Arial" w:cs="Arial"/>
          <w:b/>
          <w:bCs/>
          <w:sz w:val="20"/>
          <w:szCs w:val="20"/>
        </w:rPr>
      </w:pPr>
    </w:p>
    <w:p w:rsidR="00E528B1" w:rsidRDefault="00E528B1"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6F6EBA">
        <w:rPr>
          <w:rFonts w:ascii="Arial" w:hAnsi="Arial" w:cs="Arial"/>
          <w:b/>
          <w:bCs/>
          <w:sz w:val="20"/>
          <w:szCs w:val="20"/>
        </w:rPr>
        <w:t xml:space="preserve">2014 </w:t>
      </w:r>
      <w:r w:rsidR="00E528B1">
        <w:rPr>
          <w:rFonts w:ascii="Arial" w:hAnsi="Arial" w:cs="Arial"/>
          <w:b/>
          <w:bCs/>
          <w:sz w:val="20"/>
          <w:szCs w:val="20"/>
        </w:rPr>
        <w:t>4. çeyrekten 2015</w:t>
      </w:r>
      <w:r w:rsidR="006F6EBA">
        <w:rPr>
          <w:rFonts w:ascii="Arial" w:hAnsi="Arial" w:cs="Arial"/>
          <w:b/>
          <w:bCs/>
          <w:sz w:val="20"/>
          <w:szCs w:val="20"/>
        </w:rPr>
        <w:t xml:space="preserve"> </w:t>
      </w:r>
      <w:r w:rsidR="00E528B1">
        <w:rPr>
          <w:rFonts w:ascii="Arial" w:hAnsi="Arial" w:cs="Arial"/>
          <w:b/>
          <w:bCs/>
          <w:sz w:val="20"/>
          <w:szCs w:val="20"/>
        </w:rPr>
        <w:t>1</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E528B1" w:rsidP="00660DE2">
      <w:pPr>
        <w:ind w:right="77"/>
        <w:jc w:val="both"/>
      </w:pPr>
      <w:r w:rsidRPr="00E528B1">
        <w:rPr>
          <w:noProof/>
        </w:rPr>
        <w:drawing>
          <wp:inline distT="0" distB="0" distL="0" distR="0">
            <wp:extent cx="3020695" cy="189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695" cy="1895685"/>
                    </a:xfrm>
                    <a:prstGeom prst="rect">
                      <a:avLst/>
                    </a:prstGeom>
                    <a:noFill/>
                    <a:ln>
                      <a:noFill/>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E528B1">
        <w:rPr>
          <w:rFonts w:ascii="Arial" w:hAnsi="Arial" w:cs="Arial"/>
          <w:b/>
          <w:bCs/>
          <w:sz w:val="20"/>
          <w:szCs w:val="20"/>
        </w:rPr>
        <w:t xml:space="preserve"> 2014</w:t>
      </w:r>
      <w:r w:rsidR="006F6EBA">
        <w:rPr>
          <w:rFonts w:ascii="Arial" w:hAnsi="Arial" w:cs="Arial"/>
          <w:b/>
          <w:bCs/>
          <w:sz w:val="20"/>
          <w:szCs w:val="20"/>
        </w:rPr>
        <w:t xml:space="preserve"> </w:t>
      </w:r>
      <w:r w:rsidR="00E528B1">
        <w:rPr>
          <w:rFonts w:ascii="Arial" w:hAnsi="Arial" w:cs="Arial"/>
          <w:b/>
          <w:bCs/>
          <w:sz w:val="20"/>
          <w:szCs w:val="20"/>
        </w:rPr>
        <w:t>4</w:t>
      </w:r>
      <w:r w:rsidR="00F11CBF">
        <w:rPr>
          <w:rFonts w:ascii="Arial" w:hAnsi="Arial" w:cs="Arial"/>
          <w:b/>
          <w:bCs/>
          <w:sz w:val="20"/>
          <w:szCs w:val="20"/>
        </w:rPr>
        <w:t>. çeyrekten 201</w:t>
      </w:r>
      <w:r w:rsidR="00E528B1">
        <w:rPr>
          <w:rFonts w:ascii="Arial" w:hAnsi="Arial" w:cs="Arial"/>
          <w:b/>
          <w:bCs/>
          <w:sz w:val="20"/>
          <w:szCs w:val="20"/>
        </w:rPr>
        <w:t>5</w:t>
      </w:r>
      <w:r w:rsidR="006F6EBA">
        <w:rPr>
          <w:rFonts w:ascii="Arial" w:hAnsi="Arial" w:cs="Arial"/>
          <w:b/>
          <w:bCs/>
          <w:sz w:val="20"/>
          <w:szCs w:val="20"/>
        </w:rPr>
        <w:t xml:space="preserve"> </w:t>
      </w:r>
      <w:r w:rsidR="00E528B1">
        <w:rPr>
          <w:rFonts w:ascii="Arial" w:hAnsi="Arial" w:cs="Arial"/>
          <w:b/>
          <w:bCs/>
          <w:sz w:val="20"/>
          <w:szCs w:val="20"/>
        </w:rPr>
        <w:t>1</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E528B1" w:rsidP="001C5776">
      <w:pPr>
        <w:ind w:right="77"/>
        <w:jc w:val="both"/>
      </w:pPr>
      <w:r w:rsidRPr="00E528B1">
        <w:rPr>
          <w:noProof/>
        </w:rPr>
        <w:drawing>
          <wp:inline distT="0" distB="0" distL="0" distR="0">
            <wp:extent cx="3020695" cy="2086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0695" cy="2086549"/>
                    </a:xfrm>
                    <a:prstGeom prst="rect">
                      <a:avLst/>
                    </a:prstGeom>
                    <a:noFill/>
                    <a:ln>
                      <a:noFill/>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77714A" w:rsidRDefault="0077714A" w:rsidP="004E3889">
      <w:pPr>
        <w:pStyle w:val="NormalWeb"/>
        <w:spacing w:before="0" w:beforeAutospacing="0" w:after="0" w:afterAutospacing="0" w:line="360" w:lineRule="auto"/>
        <w:ind w:right="77"/>
        <w:jc w:val="center"/>
        <w:rPr>
          <w:rFonts w:ascii="Arial" w:hAnsi="Arial" w:cs="Arial"/>
          <w:b/>
          <w:bCs/>
          <w:sz w:val="20"/>
          <w:szCs w:val="20"/>
        </w:rPr>
      </w:pPr>
    </w:p>
    <w:p w:rsidR="0077714A" w:rsidRDefault="0077714A" w:rsidP="004E3889">
      <w:pPr>
        <w:pStyle w:val="NormalWeb"/>
        <w:spacing w:before="0" w:beforeAutospacing="0" w:after="0" w:afterAutospacing="0" w:line="360" w:lineRule="auto"/>
        <w:ind w:right="77"/>
        <w:jc w:val="center"/>
        <w:rPr>
          <w:rFonts w:ascii="Arial" w:hAnsi="Arial" w:cs="Arial"/>
          <w:b/>
          <w:bCs/>
          <w:sz w:val="20"/>
          <w:szCs w:val="20"/>
        </w:rPr>
      </w:pPr>
    </w:p>
    <w:p w:rsidR="00D90384" w:rsidRDefault="00A27217" w:rsidP="00701EFF">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t xml:space="preserve">İç talep </w:t>
      </w:r>
      <w:r w:rsidR="00E930BD">
        <w:rPr>
          <w:rFonts w:ascii="Arial" w:hAnsi="Arial" w:cs="Arial"/>
          <w:b/>
          <w:sz w:val="20"/>
          <w:szCs w:val="20"/>
        </w:rPr>
        <w:t>zayıf seyretmeye devam ediyor</w:t>
      </w:r>
    </w:p>
    <w:p w:rsidR="006F6EBA" w:rsidRPr="00701EFF" w:rsidRDefault="006F6EBA" w:rsidP="00701EFF">
      <w:pPr>
        <w:pStyle w:val="NormalWeb"/>
        <w:spacing w:before="0" w:beforeAutospacing="0" w:after="0" w:afterAutospacing="0" w:line="360" w:lineRule="auto"/>
        <w:ind w:right="77"/>
        <w:jc w:val="center"/>
        <w:rPr>
          <w:rFonts w:ascii="Arial" w:hAnsi="Arial" w:cs="Arial"/>
          <w:b/>
          <w:sz w:val="20"/>
          <w:szCs w:val="20"/>
        </w:rPr>
      </w:pPr>
    </w:p>
    <w:p w:rsidR="00A27217" w:rsidRDefault="00A22A10"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w:t>
      </w:r>
      <w:r w:rsidR="00E930BD">
        <w:rPr>
          <w:rFonts w:ascii="Arial" w:hAnsi="Arial" w:cs="Arial"/>
          <w:sz w:val="20"/>
          <w:szCs w:val="20"/>
        </w:rPr>
        <w:t>5</w:t>
      </w:r>
      <w:r w:rsidR="00B834FD" w:rsidRPr="00DD51D1">
        <w:rPr>
          <w:rFonts w:ascii="Arial" w:hAnsi="Arial" w:cs="Arial"/>
          <w:sz w:val="20"/>
          <w:szCs w:val="20"/>
        </w:rPr>
        <w:t xml:space="preserve"> </w:t>
      </w:r>
      <w:r w:rsidR="00E930BD">
        <w:rPr>
          <w:rFonts w:ascii="Arial" w:hAnsi="Arial" w:cs="Arial"/>
          <w:sz w:val="20"/>
          <w:szCs w:val="20"/>
        </w:rPr>
        <w:t>ilk</w:t>
      </w:r>
      <w:r w:rsidR="00FB622B">
        <w:rPr>
          <w:rFonts w:ascii="Arial" w:hAnsi="Arial" w:cs="Arial"/>
          <w:sz w:val="20"/>
          <w:szCs w:val="20"/>
        </w:rPr>
        <w:t xml:space="preserve"> </w:t>
      </w:r>
      <w:r w:rsidR="00B834FD" w:rsidRPr="00DD51D1">
        <w:rPr>
          <w:rFonts w:ascii="Arial" w:hAnsi="Arial" w:cs="Arial"/>
          <w:sz w:val="20"/>
          <w:szCs w:val="20"/>
        </w:rPr>
        <w:t xml:space="preserve">çeyrekte </w:t>
      </w:r>
      <w:r>
        <w:rPr>
          <w:rFonts w:ascii="Arial" w:hAnsi="Arial" w:cs="Arial"/>
          <w:sz w:val="20"/>
          <w:szCs w:val="20"/>
        </w:rPr>
        <w:t xml:space="preserve">Türkiye ekonomisi geçen çeyreğe kıyasla yüzde </w:t>
      </w:r>
      <w:r w:rsidR="00E930BD">
        <w:rPr>
          <w:rFonts w:ascii="Arial" w:hAnsi="Arial" w:cs="Arial"/>
          <w:sz w:val="20"/>
          <w:szCs w:val="20"/>
        </w:rPr>
        <w:t>1</w:t>
      </w:r>
      <w:r>
        <w:rPr>
          <w:rFonts w:ascii="Arial" w:hAnsi="Arial" w:cs="Arial"/>
          <w:sz w:val="20"/>
          <w:szCs w:val="20"/>
        </w:rPr>
        <w:t>,</w:t>
      </w:r>
      <w:r w:rsidR="00E930BD">
        <w:rPr>
          <w:rFonts w:ascii="Arial" w:hAnsi="Arial" w:cs="Arial"/>
          <w:sz w:val="20"/>
          <w:szCs w:val="20"/>
        </w:rPr>
        <w:t>3</w:t>
      </w:r>
      <w:r w:rsidR="00B5451C">
        <w:rPr>
          <w:rFonts w:ascii="Arial" w:hAnsi="Arial" w:cs="Arial"/>
          <w:sz w:val="20"/>
          <w:szCs w:val="20"/>
        </w:rPr>
        <w:t xml:space="preserve"> büyüdü</w:t>
      </w:r>
      <w:r>
        <w:rPr>
          <w:rFonts w:ascii="Arial" w:hAnsi="Arial" w:cs="Arial"/>
          <w:sz w:val="20"/>
          <w:szCs w:val="20"/>
        </w:rPr>
        <w:t xml:space="preserve">. </w:t>
      </w:r>
      <w:r w:rsidR="00E930BD">
        <w:rPr>
          <w:rFonts w:ascii="Arial" w:hAnsi="Arial" w:cs="Arial"/>
          <w:sz w:val="20"/>
          <w:szCs w:val="20"/>
        </w:rPr>
        <w:t xml:space="preserve">Büyüme beklentilerin oldukça üzerinde geldi. Ancak alt kalemlere </w:t>
      </w:r>
      <w:r w:rsidR="00E930BD">
        <w:rPr>
          <w:rFonts w:ascii="Arial" w:hAnsi="Arial" w:cs="Arial"/>
          <w:sz w:val="20"/>
          <w:szCs w:val="20"/>
        </w:rPr>
        <w:lastRenderedPageBreak/>
        <w:t>bakıldığında iç talebin hala zayıf seyrettiği ve yatırımların azaldığı görüldü.</w:t>
      </w:r>
      <w:r w:rsidR="00A30A09">
        <w:rPr>
          <w:rFonts w:ascii="Arial" w:hAnsi="Arial" w:cs="Arial"/>
          <w:sz w:val="20"/>
          <w:szCs w:val="20"/>
        </w:rPr>
        <w:t xml:space="preserve"> </w:t>
      </w:r>
    </w:p>
    <w:p w:rsidR="001B5BDA" w:rsidRDefault="001B5BDA" w:rsidP="00FA1EEF">
      <w:pPr>
        <w:pStyle w:val="NormalWeb"/>
        <w:spacing w:before="0" w:beforeAutospacing="0" w:after="0" w:afterAutospacing="0" w:line="360" w:lineRule="auto"/>
        <w:ind w:right="77"/>
        <w:jc w:val="both"/>
        <w:rPr>
          <w:rFonts w:ascii="Arial" w:hAnsi="Arial" w:cs="Arial"/>
          <w:sz w:val="20"/>
          <w:szCs w:val="20"/>
        </w:rPr>
      </w:pPr>
    </w:p>
    <w:p w:rsidR="0035245B" w:rsidRPr="00DD51D1" w:rsidRDefault="0035245B" w:rsidP="0035245B">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 xml:space="preserve">Tüketim </w:t>
      </w:r>
      <w:r w:rsidR="001009DB">
        <w:rPr>
          <w:rFonts w:ascii="Arial" w:hAnsi="Arial" w:cs="Arial"/>
          <w:b/>
          <w:bCs/>
          <w:sz w:val="20"/>
          <w:szCs w:val="20"/>
        </w:rPr>
        <w:t>zayıflıyor</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D157C3" w:rsidRDefault="0035245B"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Mevsim ve takvim etkilerinden arındırılmış rakamlara göre </w:t>
      </w:r>
      <w:r w:rsidR="001009DB">
        <w:rPr>
          <w:rFonts w:ascii="Arial" w:hAnsi="Arial" w:cs="Arial"/>
          <w:sz w:val="20"/>
          <w:szCs w:val="20"/>
        </w:rPr>
        <w:t>ilk</w:t>
      </w:r>
      <w:r w:rsidR="00FB622B">
        <w:rPr>
          <w:rFonts w:ascii="Arial" w:hAnsi="Arial" w:cs="Arial"/>
          <w:sz w:val="20"/>
          <w:szCs w:val="20"/>
        </w:rPr>
        <w:t xml:space="preserve"> çeyrekte tüketim harcamaları </w:t>
      </w:r>
      <w:r w:rsidR="001009DB">
        <w:rPr>
          <w:rFonts w:ascii="Arial" w:hAnsi="Arial" w:cs="Arial"/>
          <w:sz w:val="20"/>
          <w:szCs w:val="20"/>
        </w:rPr>
        <w:t>önceki</w:t>
      </w:r>
      <w:r>
        <w:rPr>
          <w:rFonts w:ascii="Arial" w:hAnsi="Arial" w:cs="Arial"/>
          <w:sz w:val="20"/>
          <w:szCs w:val="20"/>
        </w:rPr>
        <w:t xml:space="preserve"> çeyreğe kıyasla yüzde </w:t>
      </w:r>
      <w:r w:rsidR="001009DB">
        <w:rPr>
          <w:rFonts w:ascii="Arial" w:hAnsi="Arial" w:cs="Arial"/>
          <w:sz w:val="20"/>
          <w:szCs w:val="20"/>
        </w:rPr>
        <w:t>0</w:t>
      </w:r>
      <w:r w:rsidR="00F37AEE">
        <w:rPr>
          <w:rFonts w:ascii="Arial" w:hAnsi="Arial" w:cs="Arial"/>
          <w:sz w:val="20"/>
          <w:szCs w:val="20"/>
        </w:rPr>
        <w:t>,</w:t>
      </w:r>
      <w:r w:rsidR="001009DB">
        <w:rPr>
          <w:rFonts w:ascii="Arial" w:hAnsi="Arial" w:cs="Arial"/>
          <w:sz w:val="20"/>
          <w:szCs w:val="20"/>
        </w:rPr>
        <w:t>9</w:t>
      </w:r>
      <w:r w:rsidR="00F37AEE">
        <w:rPr>
          <w:rFonts w:ascii="Arial" w:hAnsi="Arial" w:cs="Arial"/>
          <w:sz w:val="20"/>
          <w:szCs w:val="20"/>
        </w:rPr>
        <w:t xml:space="preserve"> arttı</w:t>
      </w:r>
      <w:r w:rsidR="00035FEE">
        <w:rPr>
          <w:rFonts w:ascii="Arial" w:hAnsi="Arial" w:cs="Arial"/>
          <w:sz w:val="20"/>
          <w:szCs w:val="20"/>
        </w:rPr>
        <w:t>.</w:t>
      </w:r>
      <w:r w:rsidR="00B834FD">
        <w:rPr>
          <w:rFonts w:ascii="Arial" w:hAnsi="Arial" w:cs="Arial"/>
          <w:sz w:val="20"/>
          <w:szCs w:val="20"/>
        </w:rPr>
        <w:t xml:space="preserve"> </w:t>
      </w:r>
      <w:r w:rsidR="001009DB">
        <w:rPr>
          <w:rFonts w:ascii="Arial" w:hAnsi="Arial" w:cs="Arial"/>
          <w:sz w:val="20"/>
          <w:szCs w:val="20"/>
        </w:rPr>
        <w:t>2014'ün son iki çeyreğinde ise tüketim harcamaları sırasıyla yüzde 1,9 ve yüzde 1,5 oranında artmıştı. Son üç çeyrektir tüketim harcamalarının büyümeye katkı yaptığını ancak bu katkının</w:t>
      </w:r>
      <w:r w:rsidR="001D5D8E">
        <w:rPr>
          <w:rFonts w:ascii="Arial" w:hAnsi="Arial" w:cs="Arial"/>
          <w:sz w:val="20"/>
          <w:szCs w:val="20"/>
        </w:rPr>
        <w:t xml:space="preserve"> </w:t>
      </w:r>
      <w:r w:rsidR="001D5D8E" w:rsidRPr="001D5D8E">
        <w:rPr>
          <w:rFonts w:ascii="Arial" w:hAnsi="Arial" w:cs="Arial"/>
          <w:sz w:val="20"/>
          <w:szCs w:val="20"/>
        </w:rPr>
        <w:t>giderek</w:t>
      </w:r>
      <w:r w:rsidR="001009DB">
        <w:rPr>
          <w:rFonts w:ascii="Arial" w:hAnsi="Arial" w:cs="Arial"/>
          <w:sz w:val="20"/>
          <w:szCs w:val="20"/>
        </w:rPr>
        <w:t xml:space="preserve"> zayıfladığını görüyoruz. </w:t>
      </w:r>
      <w:r w:rsidR="00696C53">
        <w:rPr>
          <w:rFonts w:ascii="Arial" w:hAnsi="Arial" w:cs="Arial"/>
          <w:sz w:val="20"/>
          <w:szCs w:val="20"/>
        </w:rPr>
        <w:t>Tablo 3</w:t>
      </w:r>
      <w:r w:rsidR="001D5D8E">
        <w:rPr>
          <w:rFonts w:ascii="Arial" w:hAnsi="Arial" w:cs="Arial"/>
          <w:sz w:val="20"/>
          <w:szCs w:val="20"/>
        </w:rPr>
        <w:t>,</w:t>
      </w:r>
      <w:r w:rsidR="00696C53">
        <w:rPr>
          <w:rFonts w:ascii="Arial" w:hAnsi="Arial" w:cs="Arial"/>
          <w:sz w:val="20"/>
          <w:szCs w:val="20"/>
        </w:rPr>
        <w:t xml:space="preserve"> son üç yıl için alt kalemlerin GSYH büyümesine katkılarını gösteriyor. Takip eden şekiller (Şekil 4-7) ise bu katkıları grafik olarak her bir kalem için göstermekte. </w:t>
      </w:r>
      <w:r w:rsidR="001009DB">
        <w:rPr>
          <w:rFonts w:ascii="Arial" w:hAnsi="Arial" w:cs="Arial"/>
          <w:sz w:val="20"/>
          <w:szCs w:val="20"/>
        </w:rPr>
        <w:t>2014 3. çeyrekte tüketimin büyümeye katkısı 1,2 yüzde puan, 2. çeyrekte katkısı 1,0 yüzde puan ve 2015 ilk çeyrekte katk</w:t>
      </w:r>
      <w:r w:rsidR="00696C53">
        <w:rPr>
          <w:rFonts w:ascii="Arial" w:hAnsi="Arial" w:cs="Arial"/>
          <w:sz w:val="20"/>
          <w:szCs w:val="20"/>
        </w:rPr>
        <w:t xml:space="preserve">ısı yalnızca 0,6 puan oldu. </w:t>
      </w:r>
      <w:r w:rsidR="001009DB">
        <w:rPr>
          <w:rFonts w:ascii="Arial" w:hAnsi="Arial" w:cs="Arial"/>
          <w:sz w:val="20"/>
          <w:szCs w:val="20"/>
        </w:rPr>
        <w:t xml:space="preserve"> </w:t>
      </w:r>
    </w:p>
    <w:p w:rsidR="00A27217" w:rsidRDefault="00A27217" w:rsidP="00FA1EEF">
      <w:pPr>
        <w:pStyle w:val="NormalWeb"/>
        <w:spacing w:before="0" w:beforeAutospacing="0" w:after="0" w:afterAutospacing="0" w:line="360" w:lineRule="auto"/>
        <w:ind w:right="77"/>
        <w:jc w:val="both"/>
        <w:rPr>
          <w:rFonts w:ascii="Arial" w:hAnsi="Arial" w:cs="Arial"/>
          <w:sz w:val="20"/>
          <w:szCs w:val="20"/>
        </w:rPr>
      </w:pPr>
    </w:p>
    <w:p w:rsidR="00696C53" w:rsidRDefault="00696C53" w:rsidP="00696C53">
      <w:pPr>
        <w:pStyle w:val="NormalWeb"/>
        <w:spacing w:before="0" w:beforeAutospacing="0" w:after="0" w:afterAutospacing="0" w:line="360" w:lineRule="auto"/>
        <w:ind w:right="77"/>
        <w:jc w:val="center"/>
        <w:rPr>
          <w:rFonts w:ascii="Arial" w:hAnsi="Arial" w:cs="Arial"/>
          <w:b/>
          <w:sz w:val="20"/>
          <w:szCs w:val="20"/>
        </w:rPr>
      </w:pPr>
      <w:r w:rsidRPr="00696C53">
        <w:rPr>
          <w:rFonts w:ascii="Arial" w:hAnsi="Arial" w:cs="Arial"/>
          <w:b/>
          <w:sz w:val="20"/>
          <w:szCs w:val="20"/>
        </w:rPr>
        <w:t xml:space="preserve">Yatırımlar </w:t>
      </w:r>
      <w:r w:rsidR="007C06E9">
        <w:rPr>
          <w:rFonts w:ascii="Arial" w:hAnsi="Arial" w:cs="Arial"/>
          <w:b/>
          <w:sz w:val="20"/>
          <w:szCs w:val="20"/>
        </w:rPr>
        <w:t>azalmaya devam ediyor</w:t>
      </w:r>
    </w:p>
    <w:p w:rsidR="007C06E9" w:rsidRPr="00696C53" w:rsidRDefault="007C06E9" w:rsidP="00696C53">
      <w:pPr>
        <w:pStyle w:val="NormalWeb"/>
        <w:spacing w:before="0" w:beforeAutospacing="0" w:after="0" w:afterAutospacing="0" w:line="360" w:lineRule="auto"/>
        <w:ind w:right="77"/>
        <w:jc w:val="center"/>
        <w:rPr>
          <w:rFonts w:ascii="Arial" w:hAnsi="Arial" w:cs="Arial"/>
          <w:b/>
          <w:sz w:val="20"/>
          <w:szCs w:val="20"/>
        </w:rPr>
      </w:pPr>
    </w:p>
    <w:p w:rsidR="00B123F5" w:rsidRDefault="00757338" w:rsidP="00D157C3">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2015 ilk çeyrekte yatırımlar yüzde 0,5 oranında azaldı ve büyümeden 0,1 yüzde puan eksiltti. </w:t>
      </w:r>
      <w:r w:rsidR="00597E04">
        <w:rPr>
          <w:rFonts w:ascii="Arial" w:hAnsi="Arial" w:cs="Arial"/>
          <w:sz w:val="20"/>
          <w:szCs w:val="20"/>
        </w:rPr>
        <w:t xml:space="preserve">Şekil </w:t>
      </w:r>
      <w:r>
        <w:rPr>
          <w:rFonts w:ascii="Arial" w:hAnsi="Arial" w:cs="Arial"/>
          <w:sz w:val="20"/>
          <w:szCs w:val="20"/>
        </w:rPr>
        <w:t>5</w:t>
      </w:r>
      <w:r w:rsidR="00A00808">
        <w:rPr>
          <w:rFonts w:ascii="Arial" w:hAnsi="Arial" w:cs="Arial"/>
          <w:sz w:val="20"/>
          <w:szCs w:val="20"/>
        </w:rPr>
        <w:t>'t</w:t>
      </w:r>
      <w:r w:rsidR="00597E04">
        <w:rPr>
          <w:rFonts w:ascii="Arial" w:hAnsi="Arial" w:cs="Arial"/>
          <w:sz w:val="20"/>
          <w:szCs w:val="20"/>
        </w:rPr>
        <w:t xml:space="preserve">e </w:t>
      </w:r>
      <w:r>
        <w:rPr>
          <w:rFonts w:ascii="Arial" w:hAnsi="Arial" w:cs="Arial"/>
          <w:sz w:val="20"/>
          <w:szCs w:val="20"/>
        </w:rPr>
        <w:t>özel yatırımların</w:t>
      </w:r>
      <w:r w:rsidR="00597E04">
        <w:rPr>
          <w:rFonts w:ascii="Arial" w:hAnsi="Arial" w:cs="Arial"/>
          <w:sz w:val="20"/>
          <w:szCs w:val="20"/>
        </w:rPr>
        <w:t xml:space="preserve"> </w:t>
      </w:r>
      <w:r>
        <w:rPr>
          <w:rFonts w:ascii="Arial" w:hAnsi="Arial" w:cs="Arial"/>
          <w:sz w:val="20"/>
          <w:szCs w:val="20"/>
        </w:rPr>
        <w:t>son üç yıldır büyümeye hemen hiç katkı yapmadığı gö</w:t>
      </w:r>
      <w:r w:rsidR="007C06E9">
        <w:rPr>
          <w:rFonts w:ascii="Arial" w:hAnsi="Arial" w:cs="Arial"/>
          <w:sz w:val="20"/>
          <w:szCs w:val="20"/>
        </w:rPr>
        <w:t>rülüyor</w:t>
      </w:r>
      <w:r>
        <w:rPr>
          <w:rFonts w:ascii="Arial" w:hAnsi="Arial" w:cs="Arial"/>
          <w:sz w:val="20"/>
          <w:szCs w:val="20"/>
        </w:rPr>
        <w:t xml:space="preserve">. Geçen yıl 3. çeyrekte </w:t>
      </w:r>
      <w:r w:rsidR="007C06E9">
        <w:rPr>
          <w:rFonts w:ascii="Arial" w:hAnsi="Arial" w:cs="Arial"/>
          <w:sz w:val="20"/>
          <w:szCs w:val="20"/>
        </w:rPr>
        <w:t xml:space="preserve">yatırımlarda </w:t>
      </w:r>
      <w:r>
        <w:rPr>
          <w:rFonts w:ascii="Arial" w:hAnsi="Arial" w:cs="Arial"/>
          <w:sz w:val="20"/>
          <w:szCs w:val="20"/>
        </w:rPr>
        <w:t>gördüğümüz kısmi canlanma da yerini son iki çeyrektir azalmaya bıraktı.</w:t>
      </w:r>
    </w:p>
    <w:p w:rsidR="002D1EEA" w:rsidRPr="00D157C3" w:rsidRDefault="002D1EEA" w:rsidP="00D157C3">
      <w:pPr>
        <w:pStyle w:val="NormalWeb"/>
        <w:spacing w:before="0" w:beforeAutospacing="0" w:after="0" w:afterAutospacing="0" w:line="360" w:lineRule="auto"/>
        <w:ind w:right="77"/>
        <w:jc w:val="both"/>
        <w:rPr>
          <w:rFonts w:ascii="Arial" w:hAnsi="Arial" w:cs="Arial"/>
          <w:sz w:val="20"/>
          <w:szCs w:val="20"/>
        </w:rPr>
      </w:pPr>
    </w:p>
    <w:p w:rsidR="002D1EEA"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 xml:space="preserve">mu harcamalarında </w:t>
      </w:r>
      <w:r w:rsidR="00401CFC">
        <w:rPr>
          <w:rFonts w:ascii="Arial" w:hAnsi="Arial" w:cs="Arial"/>
          <w:b/>
          <w:bCs/>
          <w:sz w:val="20"/>
          <w:szCs w:val="20"/>
        </w:rPr>
        <w:t>sınırlı artış</w:t>
      </w:r>
    </w:p>
    <w:p w:rsidR="002D1EEA" w:rsidRPr="00DD51D1" w:rsidRDefault="002D1EEA" w:rsidP="002D1EEA">
      <w:pPr>
        <w:pStyle w:val="NormalWeb"/>
        <w:spacing w:before="0" w:beforeAutospacing="0" w:after="0" w:afterAutospacing="0" w:line="360" w:lineRule="auto"/>
        <w:ind w:right="77"/>
        <w:jc w:val="both"/>
        <w:rPr>
          <w:rFonts w:ascii="Arial" w:hAnsi="Arial" w:cs="Arial"/>
          <w:b/>
          <w:bCs/>
          <w:sz w:val="20"/>
          <w:szCs w:val="20"/>
        </w:rPr>
      </w:pPr>
    </w:p>
    <w:p w:rsidR="000252CE" w:rsidRDefault="00FD27E0" w:rsidP="00C23712">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2014 yılında kamu harcamaları büyümeye neredeyse hiç katkı yapmamıştı. 2015 ilk çeyreğinde de katkı sınırlı oldu. Kamu harcamaları yüzde 2,1 oranında artarak büyümeye 0,3 yüzde puan katkı yaptı. 2014'ün son çeyreğinde bu katkı 0,1 yüzde puan düzeyindeydi.</w:t>
      </w:r>
    </w:p>
    <w:p w:rsidR="00C23712" w:rsidRDefault="00C23712" w:rsidP="00C23712">
      <w:pPr>
        <w:pStyle w:val="NormalWeb"/>
        <w:spacing w:before="0" w:beforeAutospacing="0" w:after="0" w:afterAutospacing="0" w:line="360" w:lineRule="auto"/>
        <w:ind w:right="77"/>
        <w:jc w:val="both"/>
        <w:rPr>
          <w:rFonts w:ascii="Arial" w:hAnsi="Arial" w:cs="Arial"/>
          <w:b/>
          <w:bCs/>
          <w:sz w:val="20"/>
          <w:szCs w:val="20"/>
        </w:rPr>
      </w:pPr>
    </w:p>
    <w:p w:rsidR="00A631F0" w:rsidRDefault="00A631F0" w:rsidP="006F6EBA">
      <w:pPr>
        <w:pStyle w:val="NormalWeb"/>
        <w:spacing w:before="0" w:beforeAutospacing="0" w:after="0" w:afterAutospacing="0" w:line="360" w:lineRule="auto"/>
        <w:ind w:right="77"/>
        <w:jc w:val="center"/>
        <w:rPr>
          <w:rFonts w:ascii="Arial" w:hAnsi="Arial" w:cs="Arial"/>
          <w:b/>
          <w:bCs/>
          <w:sz w:val="20"/>
          <w:szCs w:val="20"/>
        </w:rPr>
      </w:pPr>
    </w:p>
    <w:p w:rsidR="00A631F0" w:rsidRDefault="00A631F0" w:rsidP="006F6EBA">
      <w:pPr>
        <w:pStyle w:val="NormalWeb"/>
        <w:spacing w:before="0" w:beforeAutospacing="0" w:after="0" w:afterAutospacing="0" w:line="360" w:lineRule="auto"/>
        <w:ind w:right="77"/>
        <w:jc w:val="center"/>
        <w:rPr>
          <w:rFonts w:ascii="Arial" w:hAnsi="Arial" w:cs="Arial"/>
          <w:b/>
          <w:bCs/>
          <w:sz w:val="20"/>
          <w:szCs w:val="20"/>
        </w:rPr>
      </w:pPr>
    </w:p>
    <w:p w:rsidR="00B834FD" w:rsidRDefault="007C6AE5" w:rsidP="006F6EBA">
      <w:pPr>
        <w:pStyle w:val="NormalWeb"/>
        <w:spacing w:before="0" w:beforeAutospacing="0" w:after="0" w:afterAutospacing="0" w:line="360" w:lineRule="auto"/>
        <w:ind w:right="77"/>
        <w:jc w:val="center"/>
        <w:rPr>
          <w:rFonts w:ascii="Arial" w:hAnsi="Arial" w:cs="Arial"/>
          <w:b/>
          <w:bCs/>
          <w:sz w:val="20"/>
          <w:szCs w:val="20"/>
        </w:rPr>
      </w:pPr>
      <w:r w:rsidRPr="000046A3">
        <w:rPr>
          <w:rFonts w:ascii="Arial" w:hAnsi="Arial" w:cs="Arial"/>
          <w:b/>
          <w:bCs/>
          <w:sz w:val="20"/>
          <w:szCs w:val="20"/>
        </w:rPr>
        <w:lastRenderedPageBreak/>
        <w:t xml:space="preserve">Dış talep zayıf, </w:t>
      </w:r>
      <w:r w:rsidR="000046A3">
        <w:rPr>
          <w:rFonts w:ascii="Arial" w:hAnsi="Arial" w:cs="Arial"/>
          <w:b/>
          <w:bCs/>
          <w:sz w:val="20"/>
          <w:szCs w:val="20"/>
        </w:rPr>
        <w:t>ithalat azalıyor</w:t>
      </w:r>
    </w:p>
    <w:p w:rsidR="007C6AE5" w:rsidRDefault="007C6AE5" w:rsidP="00FA1EEF">
      <w:pPr>
        <w:pStyle w:val="NormalWeb"/>
        <w:spacing w:before="0" w:beforeAutospacing="0" w:after="0" w:afterAutospacing="0" w:line="360" w:lineRule="auto"/>
        <w:ind w:right="77"/>
        <w:jc w:val="both"/>
        <w:rPr>
          <w:rFonts w:ascii="Arial" w:hAnsi="Arial" w:cs="Arial"/>
          <w:b/>
          <w:bCs/>
          <w:sz w:val="20"/>
          <w:szCs w:val="20"/>
        </w:rPr>
      </w:pPr>
    </w:p>
    <w:p w:rsidR="007C6AE5" w:rsidRDefault="005C34F6" w:rsidP="003632EB">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2014 son çeyrekte yüzde 1,0 oranında azalan ihracat ilk çeyrekte yüzde 3 oranında arttı. Ancak artışın bir kısmı altın ihracatındaki artıştan kaynaklandı.</w:t>
      </w:r>
      <w:r w:rsidR="003632EB">
        <w:rPr>
          <w:rFonts w:ascii="Arial" w:hAnsi="Arial" w:cs="Arial"/>
          <w:bCs/>
          <w:sz w:val="20"/>
          <w:szCs w:val="20"/>
        </w:rPr>
        <w:t xml:space="preserve"> </w:t>
      </w:r>
      <w:r>
        <w:rPr>
          <w:rFonts w:ascii="Arial" w:hAnsi="Arial" w:cs="Arial"/>
          <w:bCs/>
          <w:sz w:val="20"/>
          <w:szCs w:val="20"/>
        </w:rPr>
        <w:t>Son çeyrekte yüzde 9 oranında artan ithalat ise ilk çeyrekte yüzde 3,3 oranında azaldı</w:t>
      </w:r>
      <w:r w:rsidR="007C6AE5">
        <w:rPr>
          <w:rFonts w:ascii="Arial" w:hAnsi="Arial" w:cs="Arial"/>
          <w:bCs/>
          <w:sz w:val="20"/>
          <w:szCs w:val="20"/>
        </w:rPr>
        <w:t>.</w:t>
      </w:r>
      <w:r>
        <w:rPr>
          <w:rFonts w:ascii="Arial" w:hAnsi="Arial" w:cs="Arial"/>
          <w:bCs/>
          <w:sz w:val="20"/>
          <w:szCs w:val="20"/>
        </w:rPr>
        <w:t xml:space="preserve"> Toplamda net ihracat ilk çeyrekte büyümeye 1,8 yüzde puanlık yüksek bir katkı yaptı. Ancak stoklardaki azalış büyümeden 1,3 yüzde puan eksiltti. </w:t>
      </w:r>
      <w:r w:rsidR="00F724E8">
        <w:rPr>
          <w:rFonts w:ascii="Arial" w:hAnsi="Arial" w:cs="Arial"/>
          <w:bCs/>
          <w:sz w:val="20"/>
          <w:szCs w:val="20"/>
        </w:rPr>
        <w:t>2014’ün son çeyreğinde stoklar çok</w:t>
      </w:r>
      <w:r w:rsidR="00A631F0">
        <w:rPr>
          <w:rFonts w:ascii="Arial" w:hAnsi="Arial" w:cs="Arial"/>
          <w:bCs/>
          <w:sz w:val="20"/>
          <w:szCs w:val="20"/>
        </w:rPr>
        <w:t xml:space="preserve"> yüksek bir artış kaydetmişti (T</w:t>
      </w:r>
      <w:r w:rsidR="00F724E8">
        <w:rPr>
          <w:rFonts w:ascii="Arial" w:hAnsi="Arial" w:cs="Arial"/>
          <w:bCs/>
          <w:sz w:val="20"/>
          <w:szCs w:val="20"/>
        </w:rPr>
        <w:t>ablo 3).</w:t>
      </w: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p>
    <w:p w:rsidR="00B834FD" w:rsidRDefault="00F7054C"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Tahminler ve b</w:t>
      </w:r>
      <w:r w:rsidR="00B834FD">
        <w:rPr>
          <w:rFonts w:ascii="Arial" w:hAnsi="Arial" w:cs="Arial"/>
          <w:b/>
          <w:bCs/>
          <w:sz w:val="20"/>
          <w:szCs w:val="20"/>
        </w:rPr>
        <w:t>üyümenin geleceği</w:t>
      </w:r>
    </w:p>
    <w:p w:rsidR="006F6EBA" w:rsidRDefault="006F6EBA" w:rsidP="00FA1EEF">
      <w:pPr>
        <w:pStyle w:val="NormalWeb"/>
        <w:spacing w:before="0" w:beforeAutospacing="0" w:after="0" w:afterAutospacing="0" w:line="360" w:lineRule="auto"/>
        <w:ind w:right="77"/>
        <w:jc w:val="center"/>
        <w:rPr>
          <w:rFonts w:ascii="Arial" w:hAnsi="Arial" w:cs="Arial"/>
          <w:b/>
          <w:bCs/>
          <w:sz w:val="20"/>
          <w:szCs w:val="20"/>
        </w:rPr>
      </w:pPr>
    </w:p>
    <w:p w:rsidR="00EA1EF9" w:rsidRPr="00640AB0" w:rsidRDefault="005C34F6" w:rsidP="00640AB0">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İç talep ilk çeyrekte zayıf seyretmeye devam ederken dış talep büyümeye pozitif katkı yaptı</w:t>
      </w:r>
      <w:r w:rsidR="00D5417D">
        <w:rPr>
          <w:rFonts w:ascii="Arial" w:hAnsi="Arial" w:cs="Arial"/>
          <w:bCs/>
          <w:sz w:val="20"/>
          <w:szCs w:val="20"/>
        </w:rPr>
        <w:t xml:space="preserve"> ve mevsimsellikten arındırılmış rakamlar ile </w:t>
      </w:r>
      <w:r>
        <w:rPr>
          <w:rFonts w:ascii="Arial" w:hAnsi="Arial" w:cs="Arial"/>
          <w:bCs/>
          <w:sz w:val="20"/>
          <w:szCs w:val="20"/>
        </w:rPr>
        <w:t>ilk</w:t>
      </w:r>
      <w:r w:rsidR="00D5417D">
        <w:rPr>
          <w:rFonts w:ascii="Arial" w:hAnsi="Arial" w:cs="Arial"/>
          <w:bCs/>
          <w:sz w:val="20"/>
          <w:szCs w:val="20"/>
        </w:rPr>
        <w:t xml:space="preserve"> çeyrekte Türkiye ekonomisi bir önceki çeyreğe kıyasla yüzde </w:t>
      </w:r>
      <w:r>
        <w:rPr>
          <w:rFonts w:ascii="Arial" w:hAnsi="Arial" w:cs="Arial"/>
          <w:bCs/>
          <w:sz w:val="20"/>
          <w:szCs w:val="20"/>
        </w:rPr>
        <w:t>1</w:t>
      </w:r>
      <w:r w:rsidR="00D5417D">
        <w:rPr>
          <w:rFonts w:ascii="Arial" w:hAnsi="Arial" w:cs="Arial"/>
          <w:bCs/>
          <w:sz w:val="20"/>
          <w:szCs w:val="20"/>
        </w:rPr>
        <w:t>,</w:t>
      </w:r>
      <w:r>
        <w:rPr>
          <w:rFonts w:ascii="Arial" w:hAnsi="Arial" w:cs="Arial"/>
          <w:bCs/>
          <w:sz w:val="20"/>
          <w:szCs w:val="20"/>
        </w:rPr>
        <w:t>3 gibi yüksek bir oranda</w:t>
      </w:r>
      <w:r w:rsidR="00D5417D">
        <w:rPr>
          <w:rFonts w:ascii="Arial" w:hAnsi="Arial" w:cs="Arial"/>
          <w:bCs/>
          <w:sz w:val="20"/>
          <w:szCs w:val="20"/>
        </w:rPr>
        <w:t xml:space="preserve"> büyüdü. Betam'ın çeyreklik bazda büyüme tahmini yüzde 0,</w:t>
      </w:r>
      <w:r>
        <w:rPr>
          <w:rFonts w:ascii="Arial" w:hAnsi="Arial" w:cs="Arial"/>
          <w:bCs/>
          <w:sz w:val="20"/>
          <w:szCs w:val="20"/>
        </w:rPr>
        <w:t>7</w:t>
      </w:r>
      <w:r w:rsidR="00087951">
        <w:rPr>
          <w:rFonts w:ascii="Arial" w:hAnsi="Arial" w:cs="Arial"/>
          <w:bCs/>
          <w:sz w:val="20"/>
          <w:szCs w:val="20"/>
        </w:rPr>
        <w:t>’</w:t>
      </w:r>
      <w:r w:rsidR="00A00808">
        <w:rPr>
          <w:rFonts w:ascii="Arial" w:hAnsi="Arial" w:cs="Arial"/>
          <w:bCs/>
          <w:sz w:val="20"/>
          <w:szCs w:val="20"/>
        </w:rPr>
        <w:t>y</w:t>
      </w:r>
      <w:r w:rsidR="00D5417D">
        <w:rPr>
          <w:rFonts w:ascii="Arial" w:hAnsi="Arial" w:cs="Arial"/>
          <w:bCs/>
          <w:sz w:val="20"/>
          <w:szCs w:val="20"/>
        </w:rPr>
        <w:t>di.</w:t>
      </w:r>
      <w:r w:rsidR="00640AB0">
        <w:rPr>
          <w:rFonts w:ascii="Arial" w:hAnsi="Arial" w:cs="Arial"/>
          <w:bCs/>
          <w:sz w:val="20"/>
          <w:szCs w:val="20"/>
        </w:rPr>
        <w:t xml:space="preserve"> </w:t>
      </w:r>
      <w:r w:rsidR="00D5417D">
        <w:rPr>
          <w:rFonts w:ascii="Arial" w:hAnsi="Arial" w:cs="Arial"/>
          <w:sz w:val="20"/>
          <w:szCs w:val="20"/>
        </w:rPr>
        <w:t xml:space="preserve">Tahminlerdeki sapma </w:t>
      </w:r>
      <w:r w:rsidR="00BF331F">
        <w:rPr>
          <w:rFonts w:ascii="Arial" w:hAnsi="Arial" w:cs="Arial"/>
          <w:sz w:val="20"/>
          <w:szCs w:val="20"/>
        </w:rPr>
        <w:t xml:space="preserve">ağırlıklı olarak </w:t>
      </w:r>
      <w:r w:rsidR="00640AB0">
        <w:rPr>
          <w:rFonts w:ascii="Arial" w:hAnsi="Arial" w:cs="Arial"/>
          <w:sz w:val="20"/>
          <w:szCs w:val="20"/>
        </w:rPr>
        <w:t>ne</w:t>
      </w:r>
      <w:r w:rsidR="00D24BE3">
        <w:rPr>
          <w:rFonts w:ascii="Arial" w:hAnsi="Arial" w:cs="Arial"/>
          <w:sz w:val="20"/>
          <w:szCs w:val="20"/>
        </w:rPr>
        <w:t xml:space="preserve">t ihracatın beklenenin üzerinde </w:t>
      </w:r>
      <w:bookmarkStart w:id="3" w:name="_GoBack"/>
      <w:bookmarkEnd w:id="3"/>
      <w:r w:rsidR="00640AB0">
        <w:rPr>
          <w:rFonts w:ascii="Arial" w:hAnsi="Arial" w:cs="Arial"/>
          <w:sz w:val="20"/>
          <w:szCs w:val="20"/>
        </w:rPr>
        <w:t>katkı yapmasından kaynaklandı</w:t>
      </w:r>
      <w:r w:rsidR="001D5D8E">
        <w:rPr>
          <w:rFonts w:ascii="Arial" w:hAnsi="Arial" w:cs="Arial"/>
          <w:sz w:val="20"/>
          <w:szCs w:val="20"/>
        </w:rPr>
        <w:t>.</w:t>
      </w:r>
      <w:r w:rsidR="00640AB0">
        <w:rPr>
          <w:rFonts w:ascii="Arial" w:hAnsi="Arial" w:cs="Arial"/>
          <w:sz w:val="20"/>
          <w:szCs w:val="20"/>
        </w:rPr>
        <w:t xml:space="preserve"> </w:t>
      </w:r>
      <w:r w:rsidR="00D5417D">
        <w:rPr>
          <w:rFonts w:ascii="Arial" w:hAnsi="Arial" w:cs="Arial"/>
          <w:sz w:val="20"/>
          <w:szCs w:val="20"/>
        </w:rPr>
        <w:t xml:space="preserve">Diğer kalemlerde </w:t>
      </w:r>
      <w:r w:rsidR="001D5D8E">
        <w:rPr>
          <w:rFonts w:ascii="Arial" w:hAnsi="Arial" w:cs="Arial"/>
          <w:sz w:val="20"/>
          <w:szCs w:val="20"/>
        </w:rPr>
        <w:t xml:space="preserve">ise </w:t>
      </w:r>
      <w:r w:rsidR="00D5417D">
        <w:rPr>
          <w:rFonts w:ascii="Arial" w:hAnsi="Arial" w:cs="Arial"/>
          <w:sz w:val="20"/>
          <w:szCs w:val="20"/>
        </w:rPr>
        <w:t>beklediğimi</w:t>
      </w:r>
      <w:r w:rsidR="00BF331F">
        <w:rPr>
          <w:rFonts w:ascii="Arial" w:hAnsi="Arial" w:cs="Arial"/>
          <w:sz w:val="20"/>
          <w:szCs w:val="20"/>
        </w:rPr>
        <w:t xml:space="preserve">z yönde değişimler gerçekleşti. </w:t>
      </w:r>
    </w:p>
    <w:p w:rsidR="005C34F6" w:rsidRDefault="005C34F6" w:rsidP="00FA1EEF">
      <w:pPr>
        <w:pStyle w:val="NormalWeb"/>
        <w:spacing w:before="0" w:beforeAutospacing="0" w:after="0" w:afterAutospacing="0" w:line="360" w:lineRule="auto"/>
        <w:jc w:val="both"/>
        <w:rPr>
          <w:rFonts w:ascii="Arial" w:hAnsi="Arial" w:cs="Arial"/>
          <w:sz w:val="20"/>
          <w:szCs w:val="20"/>
        </w:rPr>
      </w:pPr>
    </w:p>
    <w:p w:rsidR="00EA1EF9" w:rsidRDefault="005C34F6"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İlk </w:t>
      </w:r>
      <w:r w:rsidR="00701EFF">
        <w:rPr>
          <w:rFonts w:ascii="Arial" w:hAnsi="Arial" w:cs="Arial"/>
          <w:sz w:val="20"/>
          <w:szCs w:val="20"/>
        </w:rPr>
        <w:t xml:space="preserve">çeyrek sonunda </w:t>
      </w:r>
      <w:r w:rsidR="00EA1EF9">
        <w:rPr>
          <w:rFonts w:ascii="Arial" w:hAnsi="Arial" w:cs="Arial"/>
          <w:sz w:val="20"/>
          <w:szCs w:val="20"/>
        </w:rPr>
        <w:t xml:space="preserve">beklentilerimize paralel olarak </w:t>
      </w:r>
      <w:r w:rsidR="00701EFF">
        <w:rPr>
          <w:rFonts w:ascii="Arial" w:hAnsi="Arial" w:cs="Arial"/>
          <w:sz w:val="20"/>
          <w:szCs w:val="20"/>
        </w:rPr>
        <w:t xml:space="preserve">cari açık oranı yüzde </w:t>
      </w:r>
      <w:r>
        <w:rPr>
          <w:rFonts w:ascii="Arial" w:hAnsi="Arial" w:cs="Arial"/>
          <w:sz w:val="20"/>
          <w:szCs w:val="20"/>
        </w:rPr>
        <w:t>5</w:t>
      </w:r>
      <w:r w:rsidR="00701EFF">
        <w:rPr>
          <w:rFonts w:ascii="Arial" w:hAnsi="Arial" w:cs="Arial"/>
          <w:sz w:val="20"/>
          <w:szCs w:val="20"/>
        </w:rPr>
        <w:t>,</w:t>
      </w:r>
      <w:r>
        <w:rPr>
          <w:rFonts w:ascii="Arial" w:hAnsi="Arial" w:cs="Arial"/>
          <w:sz w:val="20"/>
          <w:szCs w:val="20"/>
        </w:rPr>
        <w:t>8</w:t>
      </w:r>
      <w:r w:rsidR="00701EFF">
        <w:rPr>
          <w:rFonts w:ascii="Arial" w:hAnsi="Arial" w:cs="Arial"/>
          <w:sz w:val="20"/>
          <w:szCs w:val="20"/>
        </w:rPr>
        <w:t>'</w:t>
      </w:r>
      <w:r>
        <w:rPr>
          <w:rFonts w:ascii="Arial" w:hAnsi="Arial" w:cs="Arial"/>
          <w:sz w:val="20"/>
          <w:szCs w:val="20"/>
        </w:rPr>
        <w:t>d</w:t>
      </w:r>
      <w:r w:rsidR="00EA1EF9">
        <w:rPr>
          <w:rFonts w:ascii="Arial" w:hAnsi="Arial" w:cs="Arial"/>
          <w:sz w:val="20"/>
          <w:szCs w:val="20"/>
        </w:rPr>
        <w:t>en</w:t>
      </w:r>
      <w:r w:rsidR="00701EFF">
        <w:rPr>
          <w:rFonts w:ascii="Arial" w:hAnsi="Arial" w:cs="Arial"/>
          <w:sz w:val="20"/>
          <w:szCs w:val="20"/>
        </w:rPr>
        <w:t xml:space="preserve"> </w:t>
      </w:r>
      <w:r w:rsidR="00D5417D">
        <w:rPr>
          <w:rFonts w:ascii="Arial" w:hAnsi="Arial" w:cs="Arial"/>
          <w:sz w:val="20"/>
          <w:szCs w:val="20"/>
        </w:rPr>
        <w:t>5</w:t>
      </w:r>
      <w:r w:rsidR="00701EFF">
        <w:rPr>
          <w:rFonts w:ascii="Arial" w:hAnsi="Arial" w:cs="Arial"/>
          <w:sz w:val="20"/>
          <w:szCs w:val="20"/>
        </w:rPr>
        <w:t>,</w:t>
      </w:r>
      <w:r>
        <w:rPr>
          <w:rFonts w:ascii="Arial" w:hAnsi="Arial" w:cs="Arial"/>
          <w:sz w:val="20"/>
          <w:szCs w:val="20"/>
        </w:rPr>
        <w:t>7</w:t>
      </w:r>
      <w:r w:rsidR="00701EFF">
        <w:rPr>
          <w:rFonts w:ascii="Arial" w:hAnsi="Arial" w:cs="Arial"/>
          <w:sz w:val="20"/>
          <w:szCs w:val="20"/>
        </w:rPr>
        <w:t>'</w:t>
      </w:r>
      <w:r w:rsidR="001D5D8E">
        <w:rPr>
          <w:rFonts w:ascii="Arial" w:hAnsi="Arial" w:cs="Arial"/>
          <w:sz w:val="20"/>
          <w:szCs w:val="20"/>
        </w:rPr>
        <w:t>y</w:t>
      </w:r>
      <w:r w:rsidR="00701EFF">
        <w:rPr>
          <w:rFonts w:ascii="Arial" w:hAnsi="Arial" w:cs="Arial"/>
          <w:sz w:val="20"/>
          <w:szCs w:val="20"/>
        </w:rPr>
        <w:t>e</w:t>
      </w:r>
      <w:r>
        <w:rPr>
          <w:rFonts w:ascii="Arial" w:hAnsi="Arial" w:cs="Arial"/>
          <w:sz w:val="20"/>
          <w:szCs w:val="20"/>
        </w:rPr>
        <w:t xml:space="preserve"> inerken</w:t>
      </w:r>
      <w:r w:rsidR="00701EFF">
        <w:rPr>
          <w:rFonts w:ascii="Arial" w:hAnsi="Arial" w:cs="Arial"/>
          <w:sz w:val="20"/>
          <w:szCs w:val="20"/>
        </w:rPr>
        <w:t xml:space="preserve">, altın hariç cari açık ise yüzde </w:t>
      </w:r>
      <w:r w:rsidR="00D5417D">
        <w:rPr>
          <w:rFonts w:ascii="Arial" w:hAnsi="Arial" w:cs="Arial"/>
          <w:sz w:val="20"/>
          <w:szCs w:val="20"/>
        </w:rPr>
        <w:t>5</w:t>
      </w:r>
      <w:r w:rsidR="00701EFF">
        <w:rPr>
          <w:rFonts w:ascii="Arial" w:hAnsi="Arial" w:cs="Arial"/>
          <w:sz w:val="20"/>
          <w:szCs w:val="20"/>
        </w:rPr>
        <w:t>,</w:t>
      </w:r>
      <w:r>
        <w:rPr>
          <w:rFonts w:ascii="Arial" w:hAnsi="Arial" w:cs="Arial"/>
          <w:sz w:val="20"/>
          <w:szCs w:val="20"/>
        </w:rPr>
        <w:t>3</w:t>
      </w:r>
      <w:r w:rsidR="00A00808">
        <w:rPr>
          <w:rFonts w:ascii="Arial" w:hAnsi="Arial" w:cs="Arial"/>
          <w:sz w:val="20"/>
          <w:szCs w:val="20"/>
        </w:rPr>
        <w:t>'t</w:t>
      </w:r>
      <w:r>
        <w:rPr>
          <w:rFonts w:ascii="Arial" w:hAnsi="Arial" w:cs="Arial"/>
          <w:sz w:val="20"/>
          <w:szCs w:val="20"/>
        </w:rPr>
        <w:t>e</w:t>
      </w:r>
      <w:r w:rsidR="00701EFF">
        <w:rPr>
          <w:rFonts w:ascii="Arial" w:hAnsi="Arial" w:cs="Arial"/>
          <w:sz w:val="20"/>
          <w:szCs w:val="20"/>
        </w:rPr>
        <w:t xml:space="preserve">n yüzde </w:t>
      </w:r>
      <w:r w:rsidR="00EA1EF9">
        <w:rPr>
          <w:rFonts w:ascii="Arial" w:hAnsi="Arial" w:cs="Arial"/>
          <w:sz w:val="20"/>
          <w:szCs w:val="20"/>
        </w:rPr>
        <w:t>5</w:t>
      </w:r>
      <w:r w:rsidR="00701EFF">
        <w:rPr>
          <w:rFonts w:ascii="Arial" w:hAnsi="Arial" w:cs="Arial"/>
          <w:sz w:val="20"/>
          <w:szCs w:val="20"/>
        </w:rPr>
        <w:t>,</w:t>
      </w:r>
      <w:r>
        <w:rPr>
          <w:rFonts w:ascii="Arial" w:hAnsi="Arial" w:cs="Arial"/>
          <w:sz w:val="20"/>
          <w:szCs w:val="20"/>
        </w:rPr>
        <w:t>5</w:t>
      </w:r>
      <w:r w:rsidR="00701EFF">
        <w:rPr>
          <w:rFonts w:ascii="Arial" w:hAnsi="Arial" w:cs="Arial"/>
          <w:sz w:val="20"/>
          <w:szCs w:val="20"/>
        </w:rPr>
        <w:t>'</w:t>
      </w:r>
      <w:r w:rsidR="00D5417D">
        <w:rPr>
          <w:rFonts w:ascii="Arial" w:hAnsi="Arial" w:cs="Arial"/>
          <w:sz w:val="20"/>
          <w:szCs w:val="20"/>
        </w:rPr>
        <w:t>e</w:t>
      </w:r>
      <w:r w:rsidR="00701EFF">
        <w:rPr>
          <w:rFonts w:ascii="Arial" w:hAnsi="Arial" w:cs="Arial"/>
          <w:sz w:val="20"/>
          <w:szCs w:val="20"/>
        </w:rPr>
        <w:t xml:space="preserve"> </w:t>
      </w:r>
      <w:r>
        <w:rPr>
          <w:rFonts w:ascii="Arial" w:hAnsi="Arial" w:cs="Arial"/>
          <w:sz w:val="20"/>
          <w:szCs w:val="20"/>
        </w:rPr>
        <w:t>çıktı</w:t>
      </w:r>
      <w:r w:rsidR="00701EFF">
        <w:rPr>
          <w:rFonts w:ascii="Arial" w:hAnsi="Arial" w:cs="Arial"/>
          <w:sz w:val="20"/>
          <w:szCs w:val="20"/>
        </w:rPr>
        <w:t>.</w:t>
      </w:r>
      <w:r>
        <w:rPr>
          <w:rFonts w:ascii="Arial" w:hAnsi="Arial" w:cs="Arial"/>
          <w:sz w:val="20"/>
          <w:szCs w:val="20"/>
        </w:rPr>
        <w:t xml:space="preserve"> Altın hariç cari açıktaki yükseliş altın hariç ihracattaki azalıştan kaynaklandı. </w:t>
      </w:r>
    </w:p>
    <w:p w:rsidR="00356DF5" w:rsidRDefault="00356DF5" w:rsidP="00FA1EEF">
      <w:pPr>
        <w:pStyle w:val="NormalWeb"/>
        <w:spacing w:before="0" w:beforeAutospacing="0" w:after="0" w:afterAutospacing="0" w:line="360" w:lineRule="auto"/>
        <w:jc w:val="both"/>
        <w:rPr>
          <w:rFonts w:ascii="Arial" w:hAnsi="Arial" w:cs="Arial"/>
          <w:sz w:val="20"/>
          <w:szCs w:val="20"/>
        </w:rPr>
      </w:pPr>
    </w:p>
    <w:p w:rsidR="00E558A0" w:rsidRDefault="00E558A0"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2015</w:t>
      </w:r>
      <w:r w:rsidR="008E42E2">
        <w:rPr>
          <w:rFonts w:ascii="Arial" w:hAnsi="Arial" w:cs="Arial"/>
          <w:sz w:val="20"/>
          <w:szCs w:val="20"/>
        </w:rPr>
        <w:t xml:space="preserve">'in </w:t>
      </w:r>
      <w:r w:rsidR="00356DF5">
        <w:rPr>
          <w:rFonts w:ascii="Arial" w:hAnsi="Arial" w:cs="Arial"/>
          <w:sz w:val="20"/>
          <w:szCs w:val="20"/>
        </w:rPr>
        <w:t xml:space="preserve">ikinci yarısında </w:t>
      </w:r>
      <w:r>
        <w:rPr>
          <w:rFonts w:ascii="Arial" w:hAnsi="Arial" w:cs="Arial"/>
          <w:sz w:val="20"/>
          <w:szCs w:val="20"/>
        </w:rPr>
        <w:t>ekonomi</w:t>
      </w:r>
      <w:r w:rsidR="00356DF5">
        <w:rPr>
          <w:rFonts w:ascii="Arial" w:hAnsi="Arial" w:cs="Arial"/>
          <w:sz w:val="20"/>
          <w:szCs w:val="20"/>
        </w:rPr>
        <w:t xml:space="preserve"> </w:t>
      </w:r>
      <w:r>
        <w:rPr>
          <w:rFonts w:ascii="Arial" w:hAnsi="Arial" w:cs="Arial"/>
          <w:sz w:val="20"/>
          <w:szCs w:val="20"/>
        </w:rPr>
        <w:t>önemli riskler</w:t>
      </w:r>
      <w:r w:rsidR="00356DF5">
        <w:rPr>
          <w:rFonts w:ascii="Arial" w:hAnsi="Arial" w:cs="Arial"/>
          <w:sz w:val="20"/>
          <w:szCs w:val="20"/>
        </w:rPr>
        <w:t>le karşı</w:t>
      </w:r>
      <w:r w:rsidR="001D5D8E">
        <w:rPr>
          <w:rFonts w:ascii="Arial" w:hAnsi="Arial" w:cs="Arial"/>
          <w:sz w:val="20"/>
          <w:szCs w:val="20"/>
        </w:rPr>
        <w:t xml:space="preserve"> </w:t>
      </w:r>
      <w:r w:rsidR="00356DF5">
        <w:rPr>
          <w:rFonts w:ascii="Arial" w:hAnsi="Arial" w:cs="Arial"/>
          <w:sz w:val="20"/>
          <w:szCs w:val="20"/>
        </w:rPr>
        <w:t>karşıya</w:t>
      </w:r>
      <w:r>
        <w:rPr>
          <w:rFonts w:ascii="Arial" w:hAnsi="Arial" w:cs="Arial"/>
          <w:sz w:val="20"/>
          <w:szCs w:val="20"/>
        </w:rPr>
        <w:t xml:space="preserve">. </w:t>
      </w:r>
      <w:r w:rsidR="008E42E2">
        <w:rPr>
          <w:rFonts w:ascii="Arial" w:hAnsi="Arial" w:cs="Arial"/>
          <w:sz w:val="20"/>
          <w:szCs w:val="20"/>
        </w:rPr>
        <w:t xml:space="preserve">Seçim sonrası oluşan siyasal belirsizlik piyasaları olumsuz etkilerken, Amerikan Merkez Bankası'nın ilk faiz artış adımını hala belirginleştirmemiş olması da endişe yaratıyor. Ancak Avrupa'da miktarsal genişleme adımının sonuç veriyor gözükmesi ve Euro'nun bir miktar değer kazanması yılın ikinci yarısında ekonomiyi olumlu </w:t>
      </w:r>
      <w:r w:rsidR="008E42E2">
        <w:rPr>
          <w:rFonts w:ascii="Arial" w:hAnsi="Arial" w:cs="Arial"/>
          <w:sz w:val="20"/>
          <w:szCs w:val="20"/>
        </w:rPr>
        <w:lastRenderedPageBreak/>
        <w:t xml:space="preserve">yönde etkileyebilir. </w:t>
      </w:r>
      <w:r w:rsidR="00356DF5">
        <w:rPr>
          <w:rFonts w:ascii="Arial" w:hAnsi="Arial" w:cs="Arial"/>
          <w:sz w:val="20"/>
          <w:szCs w:val="20"/>
        </w:rPr>
        <w:t>Bununla birlikte y</w:t>
      </w:r>
      <w:r w:rsidR="008E42E2">
        <w:rPr>
          <w:rFonts w:ascii="Arial" w:hAnsi="Arial" w:cs="Arial"/>
          <w:sz w:val="20"/>
          <w:szCs w:val="20"/>
        </w:rPr>
        <w:t>ıl sonu için Orta Vadeli Program hedefi olan yüzde 4'ün yakalanması zor görün</w:t>
      </w:r>
      <w:r w:rsidR="0064496A">
        <w:rPr>
          <w:rFonts w:ascii="Arial" w:hAnsi="Arial" w:cs="Arial"/>
          <w:sz w:val="20"/>
          <w:szCs w:val="20"/>
        </w:rPr>
        <w:t>üyor</w:t>
      </w:r>
      <w:r w:rsidR="008E42E2">
        <w:rPr>
          <w:rFonts w:ascii="Arial" w:hAnsi="Arial" w:cs="Arial"/>
          <w:sz w:val="20"/>
          <w:szCs w:val="20"/>
        </w:rPr>
        <w:t xml:space="preserve">. </w:t>
      </w:r>
      <w:r w:rsidR="00186207">
        <w:rPr>
          <w:rFonts w:ascii="Arial" w:hAnsi="Arial" w:cs="Arial"/>
          <w:sz w:val="20"/>
          <w:szCs w:val="20"/>
        </w:rPr>
        <w:t xml:space="preserve">Nasıl bir koalisyon hükümetinin kurulacağının belli olmaması, hatta kurulamayıp erken seçime gidilme ihtimali </w:t>
      </w:r>
      <w:r w:rsidR="008E42E2">
        <w:rPr>
          <w:rFonts w:ascii="Arial" w:hAnsi="Arial" w:cs="Arial"/>
          <w:sz w:val="20"/>
          <w:szCs w:val="20"/>
        </w:rPr>
        <w:t xml:space="preserve">yapısal ekonomik reformların </w:t>
      </w:r>
      <w:r w:rsidR="00186207">
        <w:rPr>
          <w:rFonts w:ascii="Arial" w:hAnsi="Arial" w:cs="Arial"/>
          <w:sz w:val="20"/>
          <w:szCs w:val="20"/>
        </w:rPr>
        <w:t>gündeme gelmeme ihtimalini arttırıyor. Bu olgu</w:t>
      </w:r>
      <w:r w:rsidR="008E42E2">
        <w:rPr>
          <w:rFonts w:ascii="Arial" w:hAnsi="Arial" w:cs="Arial"/>
          <w:sz w:val="20"/>
          <w:szCs w:val="20"/>
        </w:rPr>
        <w:t xml:space="preserve"> orta vadede </w:t>
      </w:r>
      <w:r w:rsidR="00186207">
        <w:rPr>
          <w:rFonts w:ascii="Arial" w:hAnsi="Arial" w:cs="Arial"/>
          <w:sz w:val="20"/>
          <w:szCs w:val="20"/>
        </w:rPr>
        <w:t xml:space="preserve">ekonomik </w:t>
      </w:r>
      <w:r w:rsidR="008E42E2">
        <w:rPr>
          <w:rFonts w:ascii="Arial" w:hAnsi="Arial" w:cs="Arial"/>
          <w:sz w:val="20"/>
          <w:szCs w:val="20"/>
        </w:rPr>
        <w:t>büyüme</w:t>
      </w:r>
      <w:r w:rsidR="00186207">
        <w:rPr>
          <w:rFonts w:ascii="Arial" w:hAnsi="Arial" w:cs="Arial"/>
          <w:sz w:val="20"/>
          <w:szCs w:val="20"/>
        </w:rPr>
        <w:t>yi</w:t>
      </w:r>
      <w:r w:rsidR="008E42E2">
        <w:rPr>
          <w:rFonts w:ascii="Arial" w:hAnsi="Arial" w:cs="Arial"/>
          <w:sz w:val="20"/>
          <w:szCs w:val="20"/>
        </w:rPr>
        <w:t xml:space="preserve"> olumsuz etkileyecektir.</w:t>
      </w: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B834FD" w:rsidRDefault="00E528B1" w:rsidP="00572866">
      <w:pPr>
        <w:pStyle w:val="NormalWeb"/>
        <w:spacing w:before="0" w:beforeAutospacing="0" w:after="0" w:afterAutospacing="0"/>
        <w:jc w:val="both"/>
      </w:pPr>
      <w:r w:rsidRPr="00E528B1">
        <w:rPr>
          <w:noProof/>
        </w:rPr>
        <w:drawing>
          <wp:inline distT="0" distB="0" distL="0" distR="0">
            <wp:extent cx="3020695" cy="2606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0695" cy="2606781"/>
                    </a:xfrm>
                    <a:prstGeom prst="rect">
                      <a:avLst/>
                    </a:prstGeom>
                    <a:noFill/>
                    <a:ln>
                      <a:noFill/>
                    </a:ln>
                  </pic:spPr>
                </pic:pic>
              </a:graphicData>
            </a:graphic>
          </wp:inline>
        </w:drawing>
      </w:r>
    </w:p>
    <w:p w:rsidR="00C23712" w:rsidRDefault="00C23712" w:rsidP="000252CE">
      <w:pPr>
        <w:pStyle w:val="NormalWeb"/>
        <w:spacing w:before="0" w:beforeAutospacing="0" w:after="0" w:afterAutospacing="0"/>
        <w:jc w:val="both"/>
        <w:rPr>
          <w:rFonts w:ascii="Arial" w:hAnsi="Arial" w:cs="Arial"/>
          <w:sz w:val="16"/>
          <w:szCs w:val="16"/>
        </w:rPr>
      </w:pPr>
    </w:p>
    <w:p w:rsidR="00062A47" w:rsidRDefault="00B834FD" w:rsidP="000252CE">
      <w:pPr>
        <w:pStyle w:val="NormalWeb"/>
        <w:spacing w:before="0" w:beforeAutospacing="0" w:after="0" w:afterAutospacing="0"/>
        <w:jc w:val="both"/>
        <w:rPr>
          <w:rFonts w:ascii="Arial" w:hAnsi="Arial" w:cs="Arial"/>
          <w:sz w:val="16"/>
          <w:szCs w:val="16"/>
        </w:rPr>
      </w:pPr>
      <w:r w:rsidRPr="00660DE2">
        <w:rPr>
          <w:rFonts w:ascii="Arial" w:hAnsi="Arial" w:cs="Arial"/>
          <w:sz w:val="16"/>
          <w:szCs w:val="16"/>
        </w:rPr>
        <w:t>Kaynak : TÜİK.</w:t>
      </w:r>
    </w:p>
    <w:p w:rsidR="00FE3990" w:rsidRDefault="00FE3990"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FE3990" w:rsidRPr="000252CE" w:rsidRDefault="00FE3990" w:rsidP="000252CE">
      <w:pPr>
        <w:pStyle w:val="NormalWeb"/>
        <w:spacing w:before="0" w:beforeAutospacing="0" w:after="0" w:afterAutospacing="0"/>
        <w:jc w:val="both"/>
        <w:rPr>
          <w:rFonts w:ascii="Arial" w:hAnsi="Arial" w:cs="Arial"/>
          <w:sz w:val="20"/>
          <w:szCs w:val="20"/>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A631F0" w:rsidRDefault="00A631F0" w:rsidP="00D561EE">
      <w:pPr>
        <w:pStyle w:val="NormalWeb"/>
        <w:spacing w:before="0" w:beforeAutospacing="0" w:after="0" w:afterAutospacing="0"/>
        <w:ind w:right="77"/>
        <w:jc w:val="both"/>
        <w:rPr>
          <w:b/>
          <w:bCs/>
          <w:sz w:val="22"/>
          <w:szCs w:val="22"/>
        </w:rPr>
      </w:pPr>
    </w:p>
    <w:p w:rsidR="00A631F0" w:rsidRDefault="00A631F0" w:rsidP="00D561EE">
      <w:pPr>
        <w:pStyle w:val="NormalWeb"/>
        <w:spacing w:before="0" w:beforeAutospacing="0" w:after="0" w:afterAutospacing="0"/>
        <w:ind w:right="77"/>
        <w:jc w:val="both"/>
        <w:rPr>
          <w:b/>
          <w:bCs/>
          <w:sz w:val="22"/>
          <w:szCs w:val="22"/>
        </w:rPr>
      </w:pPr>
    </w:p>
    <w:p w:rsidR="00A631F0" w:rsidRDefault="00A631F0" w:rsidP="00D561EE">
      <w:pPr>
        <w:pStyle w:val="NormalWeb"/>
        <w:spacing w:before="0" w:beforeAutospacing="0" w:after="0" w:afterAutospacing="0"/>
        <w:ind w:right="77"/>
        <w:jc w:val="both"/>
        <w:rPr>
          <w:b/>
          <w:bCs/>
          <w:sz w:val="22"/>
          <w:szCs w:val="22"/>
        </w:rPr>
      </w:pPr>
    </w:p>
    <w:p w:rsidR="00A631F0" w:rsidRDefault="00A631F0" w:rsidP="00D561EE">
      <w:pPr>
        <w:pStyle w:val="NormalWeb"/>
        <w:spacing w:before="0" w:beforeAutospacing="0" w:after="0" w:afterAutospacing="0"/>
        <w:ind w:right="77"/>
        <w:jc w:val="both"/>
        <w:rPr>
          <w:b/>
          <w:bCs/>
          <w:sz w:val="22"/>
          <w:szCs w:val="22"/>
        </w:rPr>
      </w:pPr>
    </w:p>
    <w:p w:rsidR="00A631F0" w:rsidRDefault="00A631F0" w:rsidP="00D561EE">
      <w:pPr>
        <w:pStyle w:val="NormalWeb"/>
        <w:spacing w:before="0" w:beforeAutospacing="0" w:after="0" w:afterAutospacing="0"/>
        <w:ind w:right="77"/>
        <w:jc w:val="both"/>
        <w:rPr>
          <w:b/>
          <w:bCs/>
          <w:sz w:val="22"/>
          <w:szCs w:val="22"/>
        </w:rPr>
      </w:pPr>
    </w:p>
    <w:p w:rsidR="007F3106" w:rsidRDefault="007F3106" w:rsidP="00D561EE">
      <w:pPr>
        <w:pStyle w:val="NormalWeb"/>
        <w:spacing w:before="0" w:beforeAutospacing="0" w:after="0" w:afterAutospacing="0"/>
        <w:ind w:right="77"/>
        <w:jc w:val="both"/>
        <w:rPr>
          <w:b/>
          <w:bCs/>
          <w:sz w:val="22"/>
          <w:szCs w:val="22"/>
        </w:rPr>
      </w:pPr>
    </w:p>
    <w:p w:rsidR="007F3106" w:rsidRDefault="007F3106" w:rsidP="00D561EE">
      <w:pPr>
        <w:pStyle w:val="NormalWeb"/>
        <w:spacing w:before="0" w:beforeAutospacing="0" w:after="0" w:afterAutospacing="0"/>
        <w:ind w:right="77"/>
        <w:jc w:val="both"/>
        <w:rPr>
          <w:b/>
          <w:bCs/>
          <w:sz w:val="22"/>
          <w:szCs w:val="22"/>
        </w:rPr>
      </w:pPr>
    </w:p>
    <w:p w:rsidR="007F3106" w:rsidRDefault="007F3106" w:rsidP="00D561EE">
      <w:pPr>
        <w:pStyle w:val="NormalWeb"/>
        <w:spacing w:before="0" w:beforeAutospacing="0" w:after="0" w:afterAutospacing="0"/>
        <w:ind w:right="77"/>
        <w:jc w:val="both"/>
        <w:rPr>
          <w:b/>
          <w:bCs/>
          <w:sz w:val="22"/>
          <w:szCs w:val="22"/>
        </w:rPr>
      </w:pPr>
    </w:p>
    <w:p w:rsidR="00B834FD" w:rsidRDefault="00062A47" w:rsidP="00D561EE">
      <w:pPr>
        <w:pStyle w:val="NormalWeb"/>
        <w:spacing w:before="0" w:beforeAutospacing="0" w:after="0" w:afterAutospacing="0"/>
        <w:ind w:right="77"/>
        <w:jc w:val="both"/>
        <w:rPr>
          <w:b/>
          <w:bCs/>
          <w:sz w:val="22"/>
          <w:szCs w:val="22"/>
        </w:rPr>
      </w:pPr>
      <w:r>
        <w:rPr>
          <w:b/>
          <w:bCs/>
          <w:sz w:val="22"/>
          <w:szCs w:val="22"/>
        </w:rPr>
        <w:t xml:space="preserve">Tablo 1. 2014 </w:t>
      </w:r>
      <w:r w:rsidR="00E528B1">
        <w:rPr>
          <w:b/>
          <w:bCs/>
          <w:sz w:val="22"/>
          <w:szCs w:val="22"/>
        </w:rPr>
        <w:t>4. çeyrekte ve 2015</w:t>
      </w:r>
      <w:r>
        <w:rPr>
          <w:b/>
          <w:bCs/>
          <w:sz w:val="22"/>
          <w:szCs w:val="22"/>
        </w:rPr>
        <w:t xml:space="preserve"> </w:t>
      </w:r>
      <w:r w:rsidR="00E528B1">
        <w:rPr>
          <w:b/>
          <w:bCs/>
          <w:sz w:val="22"/>
          <w:szCs w:val="22"/>
        </w:rPr>
        <w:t>1</w:t>
      </w:r>
      <w:r w:rsidR="00B834FD">
        <w:rPr>
          <w:b/>
          <w:bCs/>
          <w:sz w:val="22"/>
          <w:szCs w:val="22"/>
        </w:rPr>
        <w:t xml:space="preserve">. çeyrekte GSYH altkalemlerinin, </w:t>
      </w:r>
      <w:r w:rsidR="00B834FD" w:rsidRPr="00002CEE">
        <w:rPr>
          <w:b/>
          <w:bCs/>
          <w:sz w:val="22"/>
          <w:szCs w:val="22"/>
          <w:u w:val="single"/>
        </w:rPr>
        <w:t>bir önceki çeyreğe</w:t>
      </w:r>
      <w:r w:rsidR="00B834FD">
        <w:rPr>
          <w:b/>
          <w:bCs/>
          <w:sz w:val="22"/>
          <w:szCs w:val="22"/>
        </w:rPr>
        <w:t xml:space="preserve"> göre 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E528B1" w:rsidP="0089443A">
            <w:pPr>
              <w:rPr>
                <w:rFonts w:ascii="Arial TUR" w:hAnsi="Arial TUR" w:cs="Arial TUR"/>
                <w:b/>
                <w:bCs/>
                <w:sz w:val="20"/>
                <w:szCs w:val="20"/>
              </w:rPr>
            </w:pPr>
            <w:r>
              <w:rPr>
                <w:rFonts w:ascii="Arial TUR" w:hAnsi="Arial TUR" w:cs="Arial TUR"/>
                <w:b/>
                <w:bCs/>
                <w:sz w:val="20"/>
                <w:szCs w:val="20"/>
              </w:rPr>
              <w:t>2015 – 1</w:t>
            </w:r>
            <w:r w:rsidR="00B834FD">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9%</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1%</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3</w:t>
            </w:r>
            <w:r w:rsidR="00A00808">
              <w:rPr>
                <w:rFonts w:ascii="Arial" w:hAnsi="Arial" w:cs="Arial"/>
                <w:sz w:val="20"/>
                <w:szCs w:val="20"/>
              </w:rPr>
              <w:t>,</w:t>
            </w:r>
            <w:r>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-3</w:t>
            </w:r>
            <w:r w:rsidR="00A00808">
              <w:rPr>
                <w:rFonts w:ascii="Arial" w:hAnsi="Arial" w:cs="Arial"/>
                <w:sz w:val="20"/>
                <w:szCs w:val="20"/>
              </w:rPr>
              <w:t>,</w:t>
            </w:r>
            <w:r>
              <w:rPr>
                <w:rFonts w:ascii="Arial" w:hAnsi="Arial" w:cs="Arial"/>
                <w:sz w:val="20"/>
                <w:szCs w:val="20"/>
              </w:rPr>
              <w:t>3%</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0%</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373FE" w:rsidP="0089443A">
            <w:pPr>
              <w:rPr>
                <w:rFonts w:ascii="Arial TUR" w:hAnsi="Arial TUR" w:cs="Arial TUR"/>
                <w:b/>
                <w:bCs/>
                <w:sz w:val="20"/>
                <w:szCs w:val="20"/>
              </w:rPr>
            </w:pPr>
            <w:r>
              <w:rPr>
                <w:rFonts w:ascii="Arial TUR" w:hAnsi="Arial TUR" w:cs="Arial TUR"/>
                <w:b/>
                <w:bCs/>
                <w:sz w:val="20"/>
                <w:szCs w:val="20"/>
              </w:rPr>
              <w:t>2014</w:t>
            </w:r>
            <w:r w:rsidR="00E528B1">
              <w:rPr>
                <w:rFonts w:ascii="Arial TUR" w:hAnsi="Arial TUR" w:cs="Arial TUR"/>
                <w:b/>
                <w:bCs/>
                <w:sz w:val="20"/>
                <w:szCs w:val="20"/>
              </w:rPr>
              <w:t xml:space="preserve"> – 4</w:t>
            </w:r>
            <w:r w:rsidR="00B834FD">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5%</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0%</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5%</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r>
      <w:tr w:rsidR="00E528B1"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528B1" w:rsidRDefault="00E528B1" w:rsidP="00E528B1">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9</w:t>
            </w:r>
            <w:r w:rsidR="00A00808">
              <w:rPr>
                <w:rFonts w:ascii="Arial" w:hAnsi="Arial" w:cs="Arial"/>
                <w:sz w:val="20"/>
                <w:szCs w:val="20"/>
              </w:rPr>
              <w:t>,</w:t>
            </w:r>
            <w:r>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4%</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ind w:right="77"/>
        <w:rPr>
          <w:b/>
          <w:bCs/>
          <w:sz w:val="22"/>
          <w:szCs w:val="22"/>
        </w:rPr>
      </w:pPr>
    </w:p>
    <w:p w:rsidR="001D5D8E" w:rsidRDefault="00B86B6B" w:rsidP="00D561EE">
      <w:pPr>
        <w:pStyle w:val="NormalWeb"/>
        <w:spacing w:before="0" w:beforeAutospacing="0" w:after="0" w:afterAutospacing="0"/>
        <w:ind w:right="77"/>
        <w:jc w:val="both"/>
        <w:rPr>
          <w:b/>
          <w:bCs/>
          <w:sz w:val="22"/>
          <w:szCs w:val="22"/>
        </w:rPr>
      </w:pPr>
      <w:r>
        <w:rPr>
          <w:b/>
          <w:bCs/>
          <w:sz w:val="22"/>
          <w:szCs w:val="22"/>
        </w:rPr>
        <w:t xml:space="preserve"> </w:t>
      </w:r>
      <w:r w:rsidR="00C23712">
        <w:rPr>
          <w:b/>
          <w:bCs/>
          <w:sz w:val="22"/>
          <w:szCs w:val="22"/>
        </w:rPr>
        <w:br w:type="column"/>
      </w:r>
    </w:p>
    <w:p w:rsidR="00B834FD" w:rsidRDefault="00062A47" w:rsidP="00D561EE">
      <w:pPr>
        <w:pStyle w:val="NormalWeb"/>
        <w:spacing w:before="0" w:beforeAutospacing="0" w:after="0" w:afterAutospacing="0"/>
        <w:ind w:right="77"/>
        <w:jc w:val="both"/>
        <w:rPr>
          <w:b/>
          <w:bCs/>
          <w:sz w:val="22"/>
          <w:szCs w:val="22"/>
        </w:rPr>
      </w:pPr>
      <w:r>
        <w:rPr>
          <w:b/>
          <w:bCs/>
          <w:sz w:val="22"/>
          <w:szCs w:val="22"/>
        </w:rPr>
        <w:t xml:space="preserve">Tablo 2. </w:t>
      </w:r>
      <w:r w:rsidR="00E528B1">
        <w:rPr>
          <w:b/>
          <w:bCs/>
          <w:sz w:val="22"/>
          <w:szCs w:val="22"/>
        </w:rPr>
        <w:t xml:space="preserve">2014 4. çeyrekte ve 2015 1. </w:t>
      </w:r>
      <w:r w:rsidR="00B834FD">
        <w:rPr>
          <w:b/>
          <w:bCs/>
          <w:sz w:val="22"/>
          <w:szCs w:val="22"/>
        </w:rPr>
        <w:t xml:space="preserve">çeyrekte GSYH altkalemlerinin, </w:t>
      </w:r>
      <w:r w:rsidR="00B834FD" w:rsidRPr="00002CEE">
        <w:rPr>
          <w:b/>
          <w:bCs/>
          <w:sz w:val="22"/>
          <w:szCs w:val="22"/>
          <w:u w:val="single"/>
        </w:rPr>
        <w:t xml:space="preserve">bir önceki yılın aynı çeyreğine göre </w:t>
      </w:r>
      <w:r w:rsidR="00B834FD">
        <w:rPr>
          <w:b/>
          <w:bCs/>
          <w:sz w:val="22"/>
          <w:szCs w:val="22"/>
        </w:rPr>
        <w:t>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E528B1" w:rsidP="0089443A">
            <w:pPr>
              <w:rPr>
                <w:rFonts w:ascii="Arial" w:hAnsi="Arial" w:cs="Arial"/>
                <w:b/>
                <w:bCs/>
                <w:sz w:val="20"/>
                <w:szCs w:val="20"/>
              </w:rPr>
            </w:pPr>
            <w:r>
              <w:rPr>
                <w:rFonts w:ascii="Arial TUR" w:hAnsi="Arial TUR" w:cs="Arial TUR"/>
                <w:b/>
                <w:bCs/>
                <w:sz w:val="20"/>
                <w:szCs w:val="20"/>
              </w:rPr>
              <w:t>2015 – 1.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4</w:t>
            </w:r>
            <w:r w:rsidR="00A00808">
              <w:rPr>
                <w:rFonts w:ascii="Arial" w:hAnsi="Arial" w:cs="Arial"/>
                <w:sz w:val="20"/>
                <w:szCs w:val="20"/>
              </w:rPr>
              <w:t>,</w:t>
            </w:r>
            <w:r>
              <w:rPr>
                <w:rFonts w:ascii="Arial" w:hAnsi="Arial" w:cs="Arial"/>
                <w:sz w:val="20"/>
                <w:szCs w:val="20"/>
              </w:rPr>
              <w:t>5%</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3</w:t>
            </w:r>
            <w:r w:rsidR="00A00808">
              <w:rPr>
                <w:rFonts w:ascii="Arial" w:hAnsi="Arial" w:cs="Arial"/>
                <w:sz w:val="20"/>
                <w:szCs w:val="20"/>
              </w:rPr>
              <w:t>,</w:t>
            </w:r>
            <w:r>
              <w:rPr>
                <w:rFonts w:ascii="Arial" w:hAnsi="Arial" w:cs="Arial"/>
                <w:sz w:val="20"/>
                <w:szCs w:val="20"/>
              </w:rPr>
              <w:t>0%</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9%</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4%</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4</w:t>
            </w:r>
            <w:r w:rsidR="00A00808">
              <w:rPr>
                <w:rFonts w:ascii="Arial" w:hAnsi="Arial" w:cs="Arial"/>
                <w:sz w:val="20"/>
                <w:szCs w:val="20"/>
              </w:rPr>
              <w:t>,</w:t>
            </w:r>
            <w:r>
              <w:rPr>
                <w:rFonts w:ascii="Arial" w:hAnsi="Arial" w:cs="Arial"/>
                <w:sz w:val="20"/>
                <w:szCs w:val="20"/>
              </w:rPr>
              <w:t>1%</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E528B1" w:rsidP="0089443A">
            <w:pPr>
              <w:rPr>
                <w:rFonts w:ascii="Arial" w:hAnsi="Arial" w:cs="Arial"/>
                <w:b/>
                <w:bCs/>
                <w:sz w:val="20"/>
                <w:szCs w:val="20"/>
              </w:rPr>
            </w:pPr>
            <w:r>
              <w:rPr>
                <w:rFonts w:ascii="Arial TUR" w:hAnsi="Arial TUR" w:cs="Arial TUR"/>
                <w:b/>
                <w:bCs/>
                <w:sz w:val="20"/>
                <w:szCs w:val="20"/>
              </w:rPr>
              <w:t>2014 – 4.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4%</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6%</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9%</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1%</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4%</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3</w:t>
            </w:r>
            <w:r w:rsidR="00A00808">
              <w:rPr>
                <w:rFonts w:ascii="Arial" w:hAnsi="Arial" w:cs="Arial"/>
                <w:sz w:val="20"/>
                <w:szCs w:val="20"/>
              </w:rPr>
              <w:t>,</w:t>
            </w:r>
            <w:r>
              <w:rPr>
                <w:rFonts w:ascii="Arial" w:hAnsi="Arial" w:cs="Arial"/>
                <w:sz w:val="20"/>
                <w:szCs w:val="20"/>
              </w:rPr>
              <w:t>4%</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9%</w:t>
            </w:r>
          </w:p>
        </w:tc>
      </w:tr>
      <w:tr w:rsidR="00E528B1"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528B1" w:rsidRPr="005E763B" w:rsidRDefault="00E528B1" w:rsidP="00E528B1">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4</w:t>
            </w:r>
            <w:r w:rsidR="00A00808">
              <w:rPr>
                <w:rFonts w:ascii="Arial" w:hAnsi="Arial" w:cs="Arial"/>
                <w:sz w:val="20"/>
                <w:szCs w:val="20"/>
              </w:rPr>
              <w:t>,</w:t>
            </w:r>
            <w:r>
              <w:rPr>
                <w:rFonts w:ascii="Arial" w:hAnsi="Arial" w:cs="Arial"/>
                <w:sz w:val="20"/>
                <w:szCs w:val="20"/>
              </w:rPr>
              <w:t>6%</w:t>
            </w:r>
          </w:p>
        </w:tc>
        <w:tc>
          <w:tcPr>
            <w:tcW w:w="1305" w:type="dxa"/>
            <w:tcBorders>
              <w:top w:val="nil"/>
              <w:left w:val="nil"/>
              <w:bottom w:val="single" w:sz="4" w:space="0" w:color="auto"/>
              <w:right w:val="single" w:sz="4" w:space="0" w:color="auto"/>
            </w:tcBorders>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tbl>
      <w:tblPr>
        <w:tblpPr w:leftFromText="141" w:rightFromText="141" w:vertAnchor="text" w:horzAnchor="margin" w:tblpY="592"/>
        <w:tblW w:w="9437" w:type="dxa"/>
        <w:tblCellMar>
          <w:left w:w="70" w:type="dxa"/>
          <w:right w:w="70" w:type="dxa"/>
        </w:tblCellMar>
        <w:tblLook w:val="04A0" w:firstRow="1" w:lastRow="0" w:firstColumn="1" w:lastColumn="0" w:noHBand="0" w:noVBand="1"/>
      </w:tblPr>
      <w:tblGrid>
        <w:gridCol w:w="1417"/>
        <w:gridCol w:w="960"/>
        <w:gridCol w:w="960"/>
        <w:gridCol w:w="1286"/>
        <w:gridCol w:w="974"/>
        <w:gridCol w:w="960"/>
        <w:gridCol w:w="960"/>
        <w:gridCol w:w="960"/>
        <w:gridCol w:w="960"/>
      </w:tblGrid>
      <w:tr w:rsidR="004131D0" w:rsidRPr="008E5192" w:rsidTr="004131D0">
        <w:trPr>
          <w:trHeight w:val="765"/>
        </w:trPr>
        <w:tc>
          <w:tcPr>
            <w:tcW w:w="9437" w:type="dxa"/>
            <w:gridSpan w:val="9"/>
            <w:tcBorders>
              <w:bottom w:val="single" w:sz="4" w:space="0" w:color="auto"/>
            </w:tcBorders>
            <w:shd w:val="clear" w:color="auto" w:fill="auto"/>
            <w:noWrap/>
            <w:vAlign w:val="bottom"/>
            <w:hideMark/>
          </w:tcPr>
          <w:p w:rsidR="004131D0" w:rsidRDefault="004131D0" w:rsidP="00B86B6B">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 xml:space="preserve">Tablo 3. </w:t>
            </w:r>
            <w:r>
              <w:rPr>
                <w:b/>
                <w:bCs/>
                <w:sz w:val="22"/>
                <w:szCs w:val="22"/>
              </w:rPr>
              <w:t xml:space="preserve">GSYH alt kalemlerinin bir önceki çeyreğe göre büyümeye katkıları ve toplam büyüme </w:t>
            </w:r>
          </w:p>
          <w:p w:rsidR="004131D0" w:rsidRPr="00B123F5" w:rsidRDefault="004131D0" w:rsidP="004131D0">
            <w:pPr>
              <w:pStyle w:val="NormalWeb"/>
              <w:spacing w:before="0" w:beforeAutospacing="0" w:after="0" w:afterAutospacing="0"/>
              <w:jc w:val="both"/>
              <w:rPr>
                <w:rFonts w:ascii="Arial" w:hAnsi="Arial" w:cs="Arial"/>
                <w:b/>
                <w:sz w:val="20"/>
                <w:szCs w:val="20"/>
              </w:rPr>
            </w:pPr>
          </w:p>
        </w:tc>
      </w:tr>
      <w:tr w:rsidR="00B86B6B" w:rsidRPr="008E5192" w:rsidTr="004131D0">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Toplam</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9%</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4%</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-3</w:t>
            </w:r>
            <w:r w:rsidR="00A00808">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7%</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0%</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7%</w:t>
            </w:r>
          </w:p>
        </w:tc>
      </w:tr>
      <w:tr w:rsidR="00E528B1"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r>
      <w:tr w:rsidR="00E528B1"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B1" w:rsidRPr="008E5192" w:rsidRDefault="00E528B1" w:rsidP="00E528B1">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0%</w:t>
            </w:r>
          </w:p>
        </w:tc>
      </w:tr>
      <w:tr w:rsidR="00E528B1"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B1" w:rsidRDefault="00E528B1" w:rsidP="00E528B1">
            <w:pPr>
              <w:rPr>
                <w:rFonts w:ascii="Arial" w:hAnsi="Arial" w:cs="Arial"/>
                <w:b/>
                <w:bCs/>
                <w:sz w:val="20"/>
                <w:szCs w:val="20"/>
              </w:rPr>
            </w:pPr>
            <w:r>
              <w:rPr>
                <w:rFonts w:ascii="Arial" w:hAnsi="Arial" w:cs="Arial"/>
                <w:b/>
                <w:bCs/>
                <w:sz w:val="20"/>
                <w:szCs w:val="20"/>
              </w:rPr>
              <w:t>2014(3)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4%</w:t>
            </w:r>
          </w:p>
        </w:tc>
      </w:tr>
      <w:tr w:rsidR="00E528B1"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8B1" w:rsidRDefault="00E528B1" w:rsidP="00E528B1">
            <w:pPr>
              <w:rPr>
                <w:rFonts w:ascii="Arial" w:hAnsi="Arial" w:cs="Arial"/>
                <w:b/>
                <w:bCs/>
                <w:sz w:val="20"/>
                <w:szCs w:val="20"/>
              </w:rPr>
            </w:pPr>
            <w:r>
              <w:rPr>
                <w:rFonts w:ascii="Arial" w:hAnsi="Arial" w:cs="Arial"/>
                <w:b/>
                <w:bCs/>
                <w:sz w:val="20"/>
                <w:szCs w:val="20"/>
              </w:rPr>
              <w:t>2014(4)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-2</w:t>
            </w:r>
            <w:r w:rsidR="00A00808">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r>
      <w:tr w:rsidR="00E528B1"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8B1" w:rsidRDefault="00E528B1" w:rsidP="00E528B1">
            <w:pPr>
              <w:rPr>
                <w:rFonts w:ascii="Arial" w:hAnsi="Arial" w:cs="Arial"/>
                <w:b/>
                <w:bCs/>
                <w:sz w:val="20"/>
                <w:szCs w:val="20"/>
              </w:rPr>
            </w:pPr>
            <w:r>
              <w:rPr>
                <w:rFonts w:ascii="Arial" w:hAnsi="Arial" w:cs="Arial"/>
                <w:b/>
                <w:bCs/>
                <w:sz w:val="20"/>
                <w:szCs w:val="20"/>
              </w:rPr>
              <w:t>2015(1)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0</w:t>
            </w:r>
            <w:r w:rsidR="00A00808">
              <w:rPr>
                <w:rFonts w:ascii="Arial" w:hAnsi="Arial" w:cs="Arial"/>
                <w:sz w:val="20"/>
                <w:szCs w:val="20"/>
              </w:rPr>
              <w:t>,</w:t>
            </w:r>
            <w:r>
              <w:rPr>
                <w:rFonts w:ascii="Arial" w:hAnsi="Arial"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528B1" w:rsidRDefault="00E528B1" w:rsidP="00E528B1">
            <w:pPr>
              <w:jc w:val="right"/>
              <w:rPr>
                <w:rFonts w:ascii="Arial" w:hAnsi="Arial" w:cs="Arial"/>
                <w:sz w:val="20"/>
                <w:szCs w:val="20"/>
              </w:rPr>
            </w:pPr>
            <w:r>
              <w:rPr>
                <w:rFonts w:ascii="Arial" w:hAnsi="Arial" w:cs="Arial"/>
                <w:sz w:val="20"/>
                <w:szCs w:val="20"/>
              </w:rPr>
              <w:t>1</w:t>
            </w:r>
            <w:r w:rsidR="00A00808">
              <w:rPr>
                <w:rFonts w:ascii="Arial" w:hAnsi="Arial" w:cs="Arial"/>
                <w:sz w:val="20"/>
                <w:szCs w:val="20"/>
              </w:rPr>
              <w:t>,</w:t>
            </w:r>
            <w:r>
              <w:rPr>
                <w:rFonts w:ascii="Arial" w:hAnsi="Arial" w:cs="Arial"/>
                <w:sz w:val="20"/>
                <w:szCs w:val="20"/>
              </w:rPr>
              <w:t>3%</w:t>
            </w:r>
          </w:p>
        </w:tc>
      </w:tr>
      <w:tr w:rsidR="004131D0" w:rsidRPr="008E5192" w:rsidTr="004131D0">
        <w:trPr>
          <w:trHeight w:val="255"/>
        </w:trPr>
        <w:tc>
          <w:tcPr>
            <w:tcW w:w="1417" w:type="dxa"/>
            <w:tcBorders>
              <w:top w:val="single" w:sz="4" w:space="0" w:color="auto"/>
            </w:tcBorders>
            <w:shd w:val="clear" w:color="auto" w:fill="auto"/>
            <w:noWrap/>
            <w:vAlign w:val="bottom"/>
            <w:hideMark/>
          </w:tcPr>
          <w:p w:rsidR="004131D0" w:rsidRDefault="004131D0" w:rsidP="004131D0">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4131D0" w:rsidRDefault="004131D0" w:rsidP="00B86B6B">
            <w:pPr>
              <w:rPr>
                <w:rFonts w:ascii="Arial" w:hAnsi="Arial" w:cs="Arial"/>
                <w:b/>
                <w:bCs/>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r>
    </w:tbl>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3632EB" w:rsidRDefault="003632EB" w:rsidP="00A7746C">
      <w:pPr>
        <w:pStyle w:val="NormalWeb"/>
        <w:spacing w:before="0" w:beforeAutospacing="0" w:after="0" w:afterAutospacing="0" w:line="360" w:lineRule="auto"/>
        <w:ind w:right="77"/>
        <w:rPr>
          <w:rFonts w:ascii="Arial" w:hAnsi="Arial" w:cs="Arial"/>
          <w:b/>
          <w:bCs/>
          <w:sz w:val="20"/>
          <w:szCs w:val="20"/>
        </w:rPr>
        <w:sectPr w:rsidR="003632EB" w:rsidSect="00D90384">
          <w:pgSz w:w="11906" w:h="16838"/>
          <w:pgMar w:top="1417" w:right="1106" w:bottom="1417" w:left="900" w:header="708" w:footer="708" w:gutter="0"/>
          <w:cols w:space="386"/>
          <w:docGrid w:linePitch="360"/>
        </w:sect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C5707D" w:rsidRDefault="00C5707D" w:rsidP="00C5707D">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4. Tüketim, Çeyrekten çeyreğe katkı</w:t>
      </w:r>
    </w:p>
    <w:p w:rsidR="00C5707D" w:rsidRDefault="00E528B1" w:rsidP="00C5707D">
      <w:pPr>
        <w:pStyle w:val="NormalWeb"/>
        <w:spacing w:before="0" w:beforeAutospacing="0" w:after="0" w:afterAutospacing="0"/>
        <w:ind w:right="77"/>
        <w:rPr>
          <w:rFonts w:ascii="Arial" w:hAnsi="Arial" w:cs="Arial"/>
          <w:b/>
          <w:bCs/>
          <w:sz w:val="20"/>
          <w:szCs w:val="20"/>
        </w:rPr>
      </w:pPr>
      <w:r w:rsidRPr="00E528B1">
        <w:rPr>
          <w:noProof/>
        </w:rPr>
        <w:drawing>
          <wp:inline distT="0" distB="0" distL="0" distR="0">
            <wp:extent cx="3020695" cy="18022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695" cy="1802263"/>
                    </a:xfrm>
                    <a:prstGeom prst="rect">
                      <a:avLst/>
                    </a:prstGeom>
                    <a:noFill/>
                    <a:ln>
                      <a:noFill/>
                    </a:ln>
                  </pic:spPr>
                </pic:pic>
              </a:graphicData>
            </a:graphic>
          </wp:inline>
        </w:drawing>
      </w:r>
    </w:p>
    <w:p w:rsidR="00C5707D" w:rsidRDefault="00C5707D" w:rsidP="00C5707D">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C5707D" w:rsidRPr="00C5707D" w:rsidRDefault="00C5707D" w:rsidP="00C5707D">
      <w:pPr>
        <w:pStyle w:val="NormalWeb"/>
        <w:spacing w:before="0" w:beforeAutospacing="0" w:after="0" w:afterAutospacing="0"/>
        <w:jc w:val="both"/>
        <w:rPr>
          <w:rFonts w:ascii="Arial" w:hAnsi="Arial" w:cs="Arial"/>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 xml:space="preserve">Şekil </w:t>
      </w:r>
      <w:r w:rsidR="00C5707D">
        <w:rPr>
          <w:rFonts w:ascii="Arial" w:hAnsi="Arial" w:cs="Arial"/>
          <w:b/>
          <w:bCs/>
          <w:sz w:val="20"/>
          <w:szCs w:val="20"/>
        </w:rPr>
        <w:t>5</w:t>
      </w:r>
      <w:r>
        <w:rPr>
          <w:rFonts w:ascii="Arial" w:hAnsi="Arial" w:cs="Arial"/>
          <w:b/>
          <w:bCs/>
          <w:sz w:val="20"/>
          <w:szCs w:val="20"/>
        </w:rPr>
        <w:t>. Özel Yatırım, Çeyrekten çeyreğe katkı</w:t>
      </w:r>
    </w:p>
    <w:p w:rsidR="00D90384" w:rsidRDefault="00E528B1" w:rsidP="00D90384">
      <w:pPr>
        <w:pStyle w:val="NormalWeb"/>
        <w:spacing w:before="0" w:beforeAutospacing="0" w:after="0" w:afterAutospacing="0"/>
        <w:ind w:right="77"/>
        <w:rPr>
          <w:rFonts w:ascii="Arial" w:hAnsi="Arial" w:cs="Arial"/>
          <w:b/>
          <w:bCs/>
          <w:sz w:val="20"/>
          <w:szCs w:val="20"/>
        </w:rPr>
      </w:pPr>
      <w:r w:rsidRPr="00E528B1">
        <w:rPr>
          <w:noProof/>
        </w:rPr>
        <w:drawing>
          <wp:inline distT="0" distB="0" distL="0" distR="0">
            <wp:extent cx="3020695" cy="17972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0695" cy="1797229"/>
                    </a:xfrm>
                    <a:prstGeom prst="rect">
                      <a:avLst/>
                    </a:prstGeom>
                    <a:noFill/>
                    <a:ln>
                      <a:noFill/>
                    </a:ln>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C5707D"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br w:type="column"/>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 xml:space="preserve">Şekil </w:t>
      </w:r>
      <w:r w:rsidR="00C5707D">
        <w:rPr>
          <w:rFonts w:ascii="Arial" w:hAnsi="Arial" w:cs="Arial"/>
          <w:b/>
          <w:bCs/>
          <w:sz w:val="20"/>
          <w:szCs w:val="20"/>
        </w:rPr>
        <w:t>6</w:t>
      </w:r>
      <w:r>
        <w:rPr>
          <w:rFonts w:ascii="Arial" w:hAnsi="Arial" w:cs="Arial"/>
          <w:b/>
          <w:bCs/>
          <w:sz w:val="20"/>
          <w:szCs w:val="20"/>
        </w:rPr>
        <w:t>. İhracat, Çeyrekten çeyreğe katkı</w:t>
      </w:r>
    </w:p>
    <w:p w:rsidR="00D90384" w:rsidRDefault="00E528B1" w:rsidP="00E528B1">
      <w:pPr>
        <w:pStyle w:val="NormalWeb"/>
        <w:spacing w:before="0" w:beforeAutospacing="0" w:after="0" w:afterAutospacing="0"/>
        <w:ind w:right="77"/>
        <w:rPr>
          <w:rFonts w:ascii="Arial" w:hAnsi="Arial" w:cs="Arial"/>
          <w:sz w:val="20"/>
          <w:szCs w:val="20"/>
        </w:rPr>
      </w:pPr>
      <w:r w:rsidRPr="00E528B1">
        <w:rPr>
          <w:noProof/>
        </w:rPr>
        <w:drawing>
          <wp:inline distT="0" distB="0" distL="0" distR="0">
            <wp:extent cx="3020695" cy="17922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695" cy="1792223"/>
                    </a:xfrm>
                    <a:prstGeom prst="rect">
                      <a:avLst/>
                    </a:prstGeom>
                    <a:noFill/>
                    <a:ln>
                      <a:noFill/>
                    </a:ln>
                  </pic:spPr>
                </pic:pic>
              </a:graphicData>
            </a:graphic>
          </wp:inline>
        </w:drawing>
      </w:r>
      <w:r w:rsidR="00D90384" w:rsidRPr="00660DE2">
        <w:rPr>
          <w:rFonts w:ascii="Arial" w:hAnsi="Arial" w:cs="Arial"/>
          <w:sz w:val="16"/>
          <w:szCs w:val="16"/>
        </w:rPr>
        <w:t>Kaynak : TÜİK.</w:t>
      </w:r>
    </w:p>
    <w:p w:rsidR="00E528B1" w:rsidRPr="00E528B1" w:rsidRDefault="00E528B1" w:rsidP="00E528B1">
      <w:pPr>
        <w:pStyle w:val="NormalWeb"/>
        <w:spacing w:before="0" w:beforeAutospacing="0" w:after="0" w:afterAutospacing="0"/>
        <w:ind w:right="77"/>
        <w:rPr>
          <w:rFonts w:ascii="Arial" w:hAnsi="Arial" w:cs="Arial"/>
          <w:sz w:val="20"/>
          <w:szCs w:val="20"/>
        </w:rPr>
      </w:pPr>
    </w:p>
    <w:p w:rsidR="00C5707D" w:rsidRDefault="00C5707D" w:rsidP="00C5707D">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7. Kamu harcama, Çeyrekten çeyreğe katkı</w:t>
      </w:r>
    </w:p>
    <w:p w:rsidR="00C5707D" w:rsidRDefault="00E528B1" w:rsidP="00C5707D">
      <w:pPr>
        <w:pStyle w:val="NormalWeb"/>
        <w:spacing w:before="0" w:beforeAutospacing="0" w:after="0" w:afterAutospacing="0"/>
        <w:ind w:right="77"/>
        <w:rPr>
          <w:rFonts w:ascii="Arial" w:hAnsi="Arial" w:cs="Arial"/>
          <w:b/>
          <w:bCs/>
          <w:sz w:val="20"/>
          <w:szCs w:val="20"/>
        </w:rPr>
      </w:pPr>
      <w:r w:rsidRPr="00E528B1">
        <w:rPr>
          <w:noProof/>
        </w:rPr>
        <w:drawing>
          <wp:inline distT="0" distB="0" distL="0" distR="0">
            <wp:extent cx="3020695" cy="1787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0695" cy="1787245"/>
                    </a:xfrm>
                    <a:prstGeom prst="rect">
                      <a:avLst/>
                    </a:prstGeom>
                    <a:noFill/>
                    <a:ln>
                      <a:noFill/>
                    </a:ln>
                  </pic:spPr>
                </pic:pic>
              </a:graphicData>
            </a:graphic>
          </wp:inline>
        </w:drawing>
      </w:r>
    </w:p>
    <w:p w:rsidR="00C5707D" w:rsidRDefault="00C5707D" w:rsidP="00C5707D">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E4" w:rsidRDefault="00F30AE4">
      <w:r>
        <w:separator/>
      </w:r>
    </w:p>
  </w:endnote>
  <w:endnote w:type="continuationSeparator" w:id="0">
    <w:p w:rsidR="00F30AE4" w:rsidRDefault="00F3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FD" w:rsidRDefault="00DB0999"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D24BE3">
      <w:rPr>
        <w:rStyle w:val="PageNumber"/>
        <w:noProof/>
      </w:rPr>
      <w:t>5</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E4" w:rsidRDefault="00F30AE4">
      <w:r>
        <w:separator/>
      </w:r>
    </w:p>
  </w:footnote>
  <w:footnote w:type="continuationSeparator" w:id="0">
    <w:p w:rsidR="00F30AE4" w:rsidRDefault="00F3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8DF"/>
    <w:rsid w:val="000046A3"/>
    <w:rsid w:val="0000598D"/>
    <w:rsid w:val="000103E6"/>
    <w:rsid w:val="000129C2"/>
    <w:rsid w:val="00017426"/>
    <w:rsid w:val="00020EB8"/>
    <w:rsid w:val="000231C7"/>
    <w:rsid w:val="000252CE"/>
    <w:rsid w:val="000301E5"/>
    <w:rsid w:val="00033759"/>
    <w:rsid w:val="00034ECF"/>
    <w:rsid w:val="00035FEE"/>
    <w:rsid w:val="00041917"/>
    <w:rsid w:val="000440B1"/>
    <w:rsid w:val="00052B36"/>
    <w:rsid w:val="00054DF2"/>
    <w:rsid w:val="00060E9B"/>
    <w:rsid w:val="00060EC4"/>
    <w:rsid w:val="00062A47"/>
    <w:rsid w:val="0007393F"/>
    <w:rsid w:val="00076A31"/>
    <w:rsid w:val="00076E68"/>
    <w:rsid w:val="00083ED6"/>
    <w:rsid w:val="000847EA"/>
    <w:rsid w:val="00087951"/>
    <w:rsid w:val="00092686"/>
    <w:rsid w:val="000A1C83"/>
    <w:rsid w:val="000A3710"/>
    <w:rsid w:val="000A4BD1"/>
    <w:rsid w:val="000A6CA9"/>
    <w:rsid w:val="000A701D"/>
    <w:rsid w:val="000B1F93"/>
    <w:rsid w:val="000B3E5D"/>
    <w:rsid w:val="000C04C5"/>
    <w:rsid w:val="000C5B7E"/>
    <w:rsid w:val="000C5C8B"/>
    <w:rsid w:val="000D1E9B"/>
    <w:rsid w:val="000D321F"/>
    <w:rsid w:val="000D4F14"/>
    <w:rsid w:val="000D79EC"/>
    <w:rsid w:val="000E10A3"/>
    <w:rsid w:val="000E468B"/>
    <w:rsid w:val="000F0FAB"/>
    <w:rsid w:val="000F4567"/>
    <w:rsid w:val="000F4941"/>
    <w:rsid w:val="001009DB"/>
    <w:rsid w:val="00105A12"/>
    <w:rsid w:val="00107363"/>
    <w:rsid w:val="0010795F"/>
    <w:rsid w:val="001105B2"/>
    <w:rsid w:val="00110EBA"/>
    <w:rsid w:val="00111AD6"/>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9A2"/>
    <w:rsid w:val="00177D70"/>
    <w:rsid w:val="00177FE3"/>
    <w:rsid w:val="00185A12"/>
    <w:rsid w:val="00186207"/>
    <w:rsid w:val="001942E3"/>
    <w:rsid w:val="001A0A58"/>
    <w:rsid w:val="001A1E7D"/>
    <w:rsid w:val="001A2605"/>
    <w:rsid w:val="001A46BF"/>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74A2"/>
    <w:rsid w:val="002063D4"/>
    <w:rsid w:val="00206831"/>
    <w:rsid w:val="0021041C"/>
    <w:rsid w:val="002111EE"/>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84C3D"/>
    <w:rsid w:val="002872E8"/>
    <w:rsid w:val="002A1249"/>
    <w:rsid w:val="002A66ED"/>
    <w:rsid w:val="002C3E28"/>
    <w:rsid w:val="002C664B"/>
    <w:rsid w:val="002D1EEA"/>
    <w:rsid w:val="002D2C9F"/>
    <w:rsid w:val="002E24C3"/>
    <w:rsid w:val="002E4241"/>
    <w:rsid w:val="002E4EBB"/>
    <w:rsid w:val="002E6BBD"/>
    <w:rsid w:val="002F27AE"/>
    <w:rsid w:val="002F4D4C"/>
    <w:rsid w:val="002F5134"/>
    <w:rsid w:val="002F7168"/>
    <w:rsid w:val="00301610"/>
    <w:rsid w:val="00303668"/>
    <w:rsid w:val="0031043B"/>
    <w:rsid w:val="00311DAA"/>
    <w:rsid w:val="00312D10"/>
    <w:rsid w:val="003142BA"/>
    <w:rsid w:val="00315A38"/>
    <w:rsid w:val="00322B46"/>
    <w:rsid w:val="003232C7"/>
    <w:rsid w:val="00323B97"/>
    <w:rsid w:val="003308FF"/>
    <w:rsid w:val="00334029"/>
    <w:rsid w:val="0034543C"/>
    <w:rsid w:val="0035035A"/>
    <w:rsid w:val="003515B5"/>
    <w:rsid w:val="00351ABF"/>
    <w:rsid w:val="00351F97"/>
    <w:rsid w:val="0035245B"/>
    <w:rsid w:val="00355207"/>
    <w:rsid w:val="0035628A"/>
    <w:rsid w:val="00356DF5"/>
    <w:rsid w:val="00361B32"/>
    <w:rsid w:val="003632EB"/>
    <w:rsid w:val="0036512F"/>
    <w:rsid w:val="00370430"/>
    <w:rsid w:val="00373696"/>
    <w:rsid w:val="00380585"/>
    <w:rsid w:val="00382F0E"/>
    <w:rsid w:val="00384835"/>
    <w:rsid w:val="00384C18"/>
    <w:rsid w:val="003858F8"/>
    <w:rsid w:val="00397F47"/>
    <w:rsid w:val="003A0ECD"/>
    <w:rsid w:val="003C0C43"/>
    <w:rsid w:val="003C1ECC"/>
    <w:rsid w:val="003C2E6D"/>
    <w:rsid w:val="003C4A71"/>
    <w:rsid w:val="003D15E0"/>
    <w:rsid w:val="003D29C7"/>
    <w:rsid w:val="003D7E7F"/>
    <w:rsid w:val="003E02D6"/>
    <w:rsid w:val="003E3634"/>
    <w:rsid w:val="003E6684"/>
    <w:rsid w:val="003F0603"/>
    <w:rsid w:val="003F3737"/>
    <w:rsid w:val="00400B76"/>
    <w:rsid w:val="00401CFC"/>
    <w:rsid w:val="00402989"/>
    <w:rsid w:val="00405EC6"/>
    <w:rsid w:val="0040666B"/>
    <w:rsid w:val="0040754A"/>
    <w:rsid w:val="004131D0"/>
    <w:rsid w:val="00414520"/>
    <w:rsid w:val="0041456D"/>
    <w:rsid w:val="00423CB6"/>
    <w:rsid w:val="004254C3"/>
    <w:rsid w:val="00425675"/>
    <w:rsid w:val="004337B1"/>
    <w:rsid w:val="004360BB"/>
    <w:rsid w:val="00444446"/>
    <w:rsid w:val="004458F8"/>
    <w:rsid w:val="00450ACD"/>
    <w:rsid w:val="004529AD"/>
    <w:rsid w:val="00453FA5"/>
    <w:rsid w:val="0046338A"/>
    <w:rsid w:val="00470351"/>
    <w:rsid w:val="004714CD"/>
    <w:rsid w:val="00475519"/>
    <w:rsid w:val="00484F5F"/>
    <w:rsid w:val="00492063"/>
    <w:rsid w:val="004947B8"/>
    <w:rsid w:val="00497E5F"/>
    <w:rsid w:val="004A3A86"/>
    <w:rsid w:val="004A4704"/>
    <w:rsid w:val="004B27BA"/>
    <w:rsid w:val="004B63B3"/>
    <w:rsid w:val="004C2F4B"/>
    <w:rsid w:val="004C6B9A"/>
    <w:rsid w:val="004C7967"/>
    <w:rsid w:val="004C7BD6"/>
    <w:rsid w:val="004D4750"/>
    <w:rsid w:val="004E272F"/>
    <w:rsid w:val="004E3889"/>
    <w:rsid w:val="004E6D54"/>
    <w:rsid w:val="004F40CF"/>
    <w:rsid w:val="004F7017"/>
    <w:rsid w:val="0050593C"/>
    <w:rsid w:val="00510B8E"/>
    <w:rsid w:val="00513310"/>
    <w:rsid w:val="00514BF6"/>
    <w:rsid w:val="0051655D"/>
    <w:rsid w:val="005171AD"/>
    <w:rsid w:val="00520C9F"/>
    <w:rsid w:val="00526178"/>
    <w:rsid w:val="00530734"/>
    <w:rsid w:val="00530EC8"/>
    <w:rsid w:val="00531B2C"/>
    <w:rsid w:val="00542058"/>
    <w:rsid w:val="005458AF"/>
    <w:rsid w:val="00550844"/>
    <w:rsid w:val="00552BF8"/>
    <w:rsid w:val="00572866"/>
    <w:rsid w:val="00576F19"/>
    <w:rsid w:val="005774A6"/>
    <w:rsid w:val="00580A75"/>
    <w:rsid w:val="00585B90"/>
    <w:rsid w:val="0058720D"/>
    <w:rsid w:val="005876F2"/>
    <w:rsid w:val="0058797D"/>
    <w:rsid w:val="00591DB9"/>
    <w:rsid w:val="005943C0"/>
    <w:rsid w:val="00595B85"/>
    <w:rsid w:val="00597E04"/>
    <w:rsid w:val="005A0E4F"/>
    <w:rsid w:val="005A112A"/>
    <w:rsid w:val="005A5C33"/>
    <w:rsid w:val="005A7A25"/>
    <w:rsid w:val="005B3336"/>
    <w:rsid w:val="005C34F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600703"/>
    <w:rsid w:val="00604C1F"/>
    <w:rsid w:val="006057A0"/>
    <w:rsid w:val="00614670"/>
    <w:rsid w:val="00615C7F"/>
    <w:rsid w:val="00630B75"/>
    <w:rsid w:val="00632E2B"/>
    <w:rsid w:val="00633C51"/>
    <w:rsid w:val="00636BAF"/>
    <w:rsid w:val="00640AB0"/>
    <w:rsid w:val="0064496A"/>
    <w:rsid w:val="0065789B"/>
    <w:rsid w:val="00660DE2"/>
    <w:rsid w:val="006641E9"/>
    <w:rsid w:val="00671A37"/>
    <w:rsid w:val="00680D3E"/>
    <w:rsid w:val="0068321E"/>
    <w:rsid w:val="006878CD"/>
    <w:rsid w:val="00692DB0"/>
    <w:rsid w:val="0069530D"/>
    <w:rsid w:val="00696C53"/>
    <w:rsid w:val="00697C0A"/>
    <w:rsid w:val="006A343A"/>
    <w:rsid w:val="006A46FE"/>
    <w:rsid w:val="006A538E"/>
    <w:rsid w:val="006A6263"/>
    <w:rsid w:val="006A6C5B"/>
    <w:rsid w:val="006B4D2C"/>
    <w:rsid w:val="006C2514"/>
    <w:rsid w:val="006C405A"/>
    <w:rsid w:val="006C4458"/>
    <w:rsid w:val="006C59C1"/>
    <w:rsid w:val="006D04DD"/>
    <w:rsid w:val="006D0CA9"/>
    <w:rsid w:val="006D316F"/>
    <w:rsid w:val="006D3857"/>
    <w:rsid w:val="006E0CBB"/>
    <w:rsid w:val="006F40CE"/>
    <w:rsid w:val="006F4A63"/>
    <w:rsid w:val="006F6EBA"/>
    <w:rsid w:val="00700658"/>
    <w:rsid w:val="00701EFF"/>
    <w:rsid w:val="007041DF"/>
    <w:rsid w:val="00710098"/>
    <w:rsid w:val="00712EDE"/>
    <w:rsid w:val="00716632"/>
    <w:rsid w:val="00716BBE"/>
    <w:rsid w:val="00717B60"/>
    <w:rsid w:val="00720EA3"/>
    <w:rsid w:val="0072389D"/>
    <w:rsid w:val="00726749"/>
    <w:rsid w:val="00727963"/>
    <w:rsid w:val="00731175"/>
    <w:rsid w:val="0073287D"/>
    <w:rsid w:val="007344A9"/>
    <w:rsid w:val="007347D7"/>
    <w:rsid w:val="007415A5"/>
    <w:rsid w:val="00744ACB"/>
    <w:rsid w:val="00752C9A"/>
    <w:rsid w:val="00754536"/>
    <w:rsid w:val="0075696F"/>
    <w:rsid w:val="00757338"/>
    <w:rsid w:val="00762F7B"/>
    <w:rsid w:val="0076354F"/>
    <w:rsid w:val="00763C67"/>
    <w:rsid w:val="00773D7C"/>
    <w:rsid w:val="007750EF"/>
    <w:rsid w:val="0077714A"/>
    <w:rsid w:val="007777F0"/>
    <w:rsid w:val="007818BA"/>
    <w:rsid w:val="00783713"/>
    <w:rsid w:val="007848CD"/>
    <w:rsid w:val="007849D7"/>
    <w:rsid w:val="007868A5"/>
    <w:rsid w:val="007929BD"/>
    <w:rsid w:val="00792E44"/>
    <w:rsid w:val="007972B3"/>
    <w:rsid w:val="007A32CF"/>
    <w:rsid w:val="007A35F3"/>
    <w:rsid w:val="007A669F"/>
    <w:rsid w:val="007B0061"/>
    <w:rsid w:val="007B5709"/>
    <w:rsid w:val="007B71AC"/>
    <w:rsid w:val="007C06E9"/>
    <w:rsid w:val="007C2C17"/>
    <w:rsid w:val="007C3006"/>
    <w:rsid w:val="007C5DDE"/>
    <w:rsid w:val="007C6AE5"/>
    <w:rsid w:val="007D27BC"/>
    <w:rsid w:val="007D3FA1"/>
    <w:rsid w:val="007D6427"/>
    <w:rsid w:val="007E2BBD"/>
    <w:rsid w:val="007E6250"/>
    <w:rsid w:val="007F3106"/>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562BF"/>
    <w:rsid w:val="00862742"/>
    <w:rsid w:val="0087093F"/>
    <w:rsid w:val="00873672"/>
    <w:rsid w:val="00876D88"/>
    <w:rsid w:val="0088054E"/>
    <w:rsid w:val="0088409A"/>
    <w:rsid w:val="00886F8E"/>
    <w:rsid w:val="008870E7"/>
    <w:rsid w:val="008905DC"/>
    <w:rsid w:val="00890B1D"/>
    <w:rsid w:val="00893531"/>
    <w:rsid w:val="0089443A"/>
    <w:rsid w:val="008A14F5"/>
    <w:rsid w:val="008A1528"/>
    <w:rsid w:val="008A5FC4"/>
    <w:rsid w:val="008A6647"/>
    <w:rsid w:val="008B6FB2"/>
    <w:rsid w:val="008D2EB9"/>
    <w:rsid w:val="008D3D8C"/>
    <w:rsid w:val="008D5294"/>
    <w:rsid w:val="008D711C"/>
    <w:rsid w:val="008E1AE4"/>
    <w:rsid w:val="008E3765"/>
    <w:rsid w:val="008E42E2"/>
    <w:rsid w:val="008E5192"/>
    <w:rsid w:val="008F1406"/>
    <w:rsid w:val="008F61F6"/>
    <w:rsid w:val="0091124D"/>
    <w:rsid w:val="0091445B"/>
    <w:rsid w:val="009151D5"/>
    <w:rsid w:val="00923AE7"/>
    <w:rsid w:val="00926C28"/>
    <w:rsid w:val="00930D19"/>
    <w:rsid w:val="009344D3"/>
    <w:rsid w:val="00934718"/>
    <w:rsid w:val="009377F5"/>
    <w:rsid w:val="00937D5B"/>
    <w:rsid w:val="00945FFA"/>
    <w:rsid w:val="00952683"/>
    <w:rsid w:val="00953EFF"/>
    <w:rsid w:val="00956784"/>
    <w:rsid w:val="009575C3"/>
    <w:rsid w:val="009608B2"/>
    <w:rsid w:val="00970251"/>
    <w:rsid w:val="0097246B"/>
    <w:rsid w:val="00983059"/>
    <w:rsid w:val="0098521E"/>
    <w:rsid w:val="009860B5"/>
    <w:rsid w:val="00990D6A"/>
    <w:rsid w:val="00995F40"/>
    <w:rsid w:val="00996034"/>
    <w:rsid w:val="009969B5"/>
    <w:rsid w:val="009A0C2F"/>
    <w:rsid w:val="009A0FAF"/>
    <w:rsid w:val="009A13FB"/>
    <w:rsid w:val="009A290D"/>
    <w:rsid w:val="009A38F2"/>
    <w:rsid w:val="009A3A23"/>
    <w:rsid w:val="009A5CBE"/>
    <w:rsid w:val="009B3ADD"/>
    <w:rsid w:val="009B5D1C"/>
    <w:rsid w:val="009C11E1"/>
    <w:rsid w:val="009C7AA9"/>
    <w:rsid w:val="009D0F22"/>
    <w:rsid w:val="009D708E"/>
    <w:rsid w:val="009E0021"/>
    <w:rsid w:val="009E0068"/>
    <w:rsid w:val="009F1285"/>
    <w:rsid w:val="009F61FA"/>
    <w:rsid w:val="009F76E5"/>
    <w:rsid w:val="00A00808"/>
    <w:rsid w:val="00A10419"/>
    <w:rsid w:val="00A132C2"/>
    <w:rsid w:val="00A13AC7"/>
    <w:rsid w:val="00A208D0"/>
    <w:rsid w:val="00A21846"/>
    <w:rsid w:val="00A22A10"/>
    <w:rsid w:val="00A27158"/>
    <w:rsid w:val="00A27217"/>
    <w:rsid w:val="00A30A09"/>
    <w:rsid w:val="00A3171E"/>
    <w:rsid w:val="00A31D44"/>
    <w:rsid w:val="00A45794"/>
    <w:rsid w:val="00A50DE6"/>
    <w:rsid w:val="00A54173"/>
    <w:rsid w:val="00A57199"/>
    <w:rsid w:val="00A610C8"/>
    <w:rsid w:val="00A61B09"/>
    <w:rsid w:val="00A62AB4"/>
    <w:rsid w:val="00A631F0"/>
    <w:rsid w:val="00A70CB2"/>
    <w:rsid w:val="00A76BDF"/>
    <w:rsid w:val="00A7746C"/>
    <w:rsid w:val="00A8325A"/>
    <w:rsid w:val="00A85A9E"/>
    <w:rsid w:val="00A86B36"/>
    <w:rsid w:val="00A95582"/>
    <w:rsid w:val="00AA3B29"/>
    <w:rsid w:val="00AC53E9"/>
    <w:rsid w:val="00AD4BFF"/>
    <w:rsid w:val="00AD7A02"/>
    <w:rsid w:val="00AE0BBB"/>
    <w:rsid w:val="00AE12DE"/>
    <w:rsid w:val="00AE2554"/>
    <w:rsid w:val="00AE26E3"/>
    <w:rsid w:val="00AF0547"/>
    <w:rsid w:val="00AF26BD"/>
    <w:rsid w:val="00AF2B70"/>
    <w:rsid w:val="00AF2D7A"/>
    <w:rsid w:val="00AF3511"/>
    <w:rsid w:val="00B00EBD"/>
    <w:rsid w:val="00B04DBF"/>
    <w:rsid w:val="00B05F7E"/>
    <w:rsid w:val="00B073E3"/>
    <w:rsid w:val="00B10A46"/>
    <w:rsid w:val="00B123F5"/>
    <w:rsid w:val="00B14F53"/>
    <w:rsid w:val="00B157B3"/>
    <w:rsid w:val="00B171D8"/>
    <w:rsid w:val="00B213B6"/>
    <w:rsid w:val="00B2212D"/>
    <w:rsid w:val="00B2242E"/>
    <w:rsid w:val="00B30B41"/>
    <w:rsid w:val="00B32289"/>
    <w:rsid w:val="00B3427A"/>
    <w:rsid w:val="00B34AC5"/>
    <w:rsid w:val="00B373FE"/>
    <w:rsid w:val="00B37C4D"/>
    <w:rsid w:val="00B40C86"/>
    <w:rsid w:val="00B43EAF"/>
    <w:rsid w:val="00B44918"/>
    <w:rsid w:val="00B47CEA"/>
    <w:rsid w:val="00B5451C"/>
    <w:rsid w:val="00B56EE9"/>
    <w:rsid w:val="00B662BD"/>
    <w:rsid w:val="00B70759"/>
    <w:rsid w:val="00B71D85"/>
    <w:rsid w:val="00B71DA7"/>
    <w:rsid w:val="00B72337"/>
    <w:rsid w:val="00B7456E"/>
    <w:rsid w:val="00B75A4B"/>
    <w:rsid w:val="00B80E25"/>
    <w:rsid w:val="00B834FD"/>
    <w:rsid w:val="00B84E62"/>
    <w:rsid w:val="00B86B6B"/>
    <w:rsid w:val="00B92F70"/>
    <w:rsid w:val="00B9586E"/>
    <w:rsid w:val="00BA30B6"/>
    <w:rsid w:val="00BA3435"/>
    <w:rsid w:val="00BA4A96"/>
    <w:rsid w:val="00BA4C88"/>
    <w:rsid w:val="00BA58D1"/>
    <w:rsid w:val="00BB42CE"/>
    <w:rsid w:val="00BB69A7"/>
    <w:rsid w:val="00BB721D"/>
    <w:rsid w:val="00BC0F31"/>
    <w:rsid w:val="00BD3858"/>
    <w:rsid w:val="00BE1028"/>
    <w:rsid w:val="00BE1068"/>
    <w:rsid w:val="00BF099B"/>
    <w:rsid w:val="00BF331F"/>
    <w:rsid w:val="00BF5284"/>
    <w:rsid w:val="00C03A61"/>
    <w:rsid w:val="00C07AB0"/>
    <w:rsid w:val="00C10CAB"/>
    <w:rsid w:val="00C12A4B"/>
    <w:rsid w:val="00C17269"/>
    <w:rsid w:val="00C2177C"/>
    <w:rsid w:val="00C23712"/>
    <w:rsid w:val="00C23AF4"/>
    <w:rsid w:val="00C26C89"/>
    <w:rsid w:val="00C30753"/>
    <w:rsid w:val="00C32546"/>
    <w:rsid w:val="00C335E9"/>
    <w:rsid w:val="00C338A0"/>
    <w:rsid w:val="00C33984"/>
    <w:rsid w:val="00C402A3"/>
    <w:rsid w:val="00C402F7"/>
    <w:rsid w:val="00C5094B"/>
    <w:rsid w:val="00C529B2"/>
    <w:rsid w:val="00C5707D"/>
    <w:rsid w:val="00C6121C"/>
    <w:rsid w:val="00C61305"/>
    <w:rsid w:val="00C63F61"/>
    <w:rsid w:val="00C7064D"/>
    <w:rsid w:val="00C7235A"/>
    <w:rsid w:val="00C805B9"/>
    <w:rsid w:val="00C837A3"/>
    <w:rsid w:val="00C8511A"/>
    <w:rsid w:val="00C87DB6"/>
    <w:rsid w:val="00C90178"/>
    <w:rsid w:val="00C91E59"/>
    <w:rsid w:val="00C9454F"/>
    <w:rsid w:val="00C956D5"/>
    <w:rsid w:val="00CA5BA6"/>
    <w:rsid w:val="00CB111E"/>
    <w:rsid w:val="00CB4BF1"/>
    <w:rsid w:val="00CC2A39"/>
    <w:rsid w:val="00CD4AC2"/>
    <w:rsid w:val="00CD673E"/>
    <w:rsid w:val="00CF1794"/>
    <w:rsid w:val="00CF7EDB"/>
    <w:rsid w:val="00D065A3"/>
    <w:rsid w:val="00D06CBF"/>
    <w:rsid w:val="00D12C47"/>
    <w:rsid w:val="00D139DF"/>
    <w:rsid w:val="00D1509B"/>
    <w:rsid w:val="00D157C3"/>
    <w:rsid w:val="00D16840"/>
    <w:rsid w:val="00D16F40"/>
    <w:rsid w:val="00D24BE3"/>
    <w:rsid w:val="00D31213"/>
    <w:rsid w:val="00D43561"/>
    <w:rsid w:val="00D5417D"/>
    <w:rsid w:val="00D561EE"/>
    <w:rsid w:val="00D61C20"/>
    <w:rsid w:val="00D6349F"/>
    <w:rsid w:val="00D705E1"/>
    <w:rsid w:val="00D74DD4"/>
    <w:rsid w:val="00D77718"/>
    <w:rsid w:val="00D83B77"/>
    <w:rsid w:val="00D87EC4"/>
    <w:rsid w:val="00D90384"/>
    <w:rsid w:val="00D91378"/>
    <w:rsid w:val="00D92555"/>
    <w:rsid w:val="00D97362"/>
    <w:rsid w:val="00DA49D6"/>
    <w:rsid w:val="00DA4A6D"/>
    <w:rsid w:val="00DA7445"/>
    <w:rsid w:val="00DA78DD"/>
    <w:rsid w:val="00DB028A"/>
    <w:rsid w:val="00DB0999"/>
    <w:rsid w:val="00DB315A"/>
    <w:rsid w:val="00DB54D8"/>
    <w:rsid w:val="00DB5757"/>
    <w:rsid w:val="00DB591D"/>
    <w:rsid w:val="00DC4D42"/>
    <w:rsid w:val="00DC523D"/>
    <w:rsid w:val="00DC7F3E"/>
    <w:rsid w:val="00DD51D1"/>
    <w:rsid w:val="00DE0BBF"/>
    <w:rsid w:val="00DE356A"/>
    <w:rsid w:val="00DE3FDF"/>
    <w:rsid w:val="00DE5762"/>
    <w:rsid w:val="00DE7222"/>
    <w:rsid w:val="00DF6F26"/>
    <w:rsid w:val="00E02B7E"/>
    <w:rsid w:val="00E06534"/>
    <w:rsid w:val="00E12EA6"/>
    <w:rsid w:val="00E14F6E"/>
    <w:rsid w:val="00E159A6"/>
    <w:rsid w:val="00E172B6"/>
    <w:rsid w:val="00E22400"/>
    <w:rsid w:val="00E2274D"/>
    <w:rsid w:val="00E23A5D"/>
    <w:rsid w:val="00E33156"/>
    <w:rsid w:val="00E3611F"/>
    <w:rsid w:val="00E416B0"/>
    <w:rsid w:val="00E4342A"/>
    <w:rsid w:val="00E50802"/>
    <w:rsid w:val="00E528B1"/>
    <w:rsid w:val="00E532A7"/>
    <w:rsid w:val="00E558A0"/>
    <w:rsid w:val="00E55FDA"/>
    <w:rsid w:val="00E663A9"/>
    <w:rsid w:val="00E70298"/>
    <w:rsid w:val="00E70DB2"/>
    <w:rsid w:val="00E74A0E"/>
    <w:rsid w:val="00E74B7B"/>
    <w:rsid w:val="00E74CCB"/>
    <w:rsid w:val="00E76458"/>
    <w:rsid w:val="00E76F2B"/>
    <w:rsid w:val="00E81A3A"/>
    <w:rsid w:val="00E83685"/>
    <w:rsid w:val="00E878C3"/>
    <w:rsid w:val="00E930BD"/>
    <w:rsid w:val="00E96583"/>
    <w:rsid w:val="00E96A0A"/>
    <w:rsid w:val="00EA1EF9"/>
    <w:rsid w:val="00EA32A9"/>
    <w:rsid w:val="00EA32FB"/>
    <w:rsid w:val="00EA55F1"/>
    <w:rsid w:val="00EB170C"/>
    <w:rsid w:val="00EB2FE3"/>
    <w:rsid w:val="00EB5E9B"/>
    <w:rsid w:val="00EC19E1"/>
    <w:rsid w:val="00EC6DBA"/>
    <w:rsid w:val="00ED17CA"/>
    <w:rsid w:val="00EE36D3"/>
    <w:rsid w:val="00EE5495"/>
    <w:rsid w:val="00EF1140"/>
    <w:rsid w:val="00F02C52"/>
    <w:rsid w:val="00F04250"/>
    <w:rsid w:val="00F11CBF"/>
    <w:rsid w:val="00F13CED"/>
    <w:rsid w:val="00F26339"/>
    <w:rsid w:val="00F26435"/>
    <w:rsid w:val="00F26692"/>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6727"/>
    <w:rsid w:val="00F7054C"/>
    <w:rsid w:val="00F709AB"/>
    <w:rsid w:val="00F70C3E"/>
    <w:rsid w:val="00F70D82"/>
    <w:rsid w:val="00F724E8"/>
    <w:rsid w:val="00F73EE2"/>
    <w:rsid w:val="00F83753"/>
    <w:rsid w:val="00F86020"/>
    <w:rsid w:val="00FA01C6"/>
    <w:rsid w:val="00FA0645"/>
    <w:rsid w:val="00FA1EEF"/>
    <w:rsid w:val="00FA4BA1"/>
    <w:rsid w:val="00FA7C62"/>
    <w:rsid w:val="00FB3BC1"/>
    <w:rsid w:val="00FB4CD9"/>
    <w:rsid w:val="00FB622B"/>
    <w:rsid w:val="00FB7D81"/>
    <w:rsid w:val="00FB7E08"/>
    <w:rsid w:val="00FC018D"/>
    <w:rsid w:val="00FD0510"/>
    <w:rsid w:val="00FD1FE2"/>
    <w:rsid w:val="00FD2781"/>
    <w:rsid w:val="00FD27E0"/>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B029-C664-443C-893E-1D58CE7D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7</cp:revision>
  <cp:lastPrinted>2014-12-10T11:12:00Z</cp:lastPrinted>
  <dcterms:created xsi:type="dcterms:W3CDTF">2015-06-10T11:21:00Z</dcterms:created>
  <dcterms:modified xsi:type="dcterms:W3CDTF">2015-06-10T11:53:00Z</dcterms:modified>
</cp:coreProperties>
</file>