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51" w:rsidRPr="00091AA8" w:rsidRDefault="003A2C82">
      <w:pPr>
        <w:rPr>
          <w:lang w:val="en-US"/>
        </w:rPr>
      </w:pPr>
      <w:r>
        <w:rPr>
          <w:noProof/>
        </w:rPr>
        <mc:AlternateContent>
          <mc:Choice Requires="wps">
            <w:drawing>
              <wp:anchor distT="0" distB="0" distL="114935" distR="114935" simplePos="0" relativeHeight="251661312" behindDoc="0" locked="0" layoutInCell="1" allowOverlap="1">
                <wp:simplePos x="0" y="0"/>
                <wp:positionH relativeFrom="column">
                  <wp:posOffset>4946650</wp:posOffset>
                </wp:positionH>
                <wp:positionV relativeFrom="paragraph">
                  <wp:posOffset>333375</wp:posOffset>
                </wp:positionV>
                <wp:extent cx="1478280" cy="299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351" w:rsidRDefault="00323351" w:rsidP="00323351">
                            <w:pPr>
                              <w:pStyle w:val="Heading3"/>
                              <w:jc w:val="center"/>
                            </w:pPr>
                            <w:r>
                              <w:rPr>
                                <w:color w:val="FFFFFF"/>
                                <w:sz w:val="22"/>
                                <w:szCs w:val="22"/>
                                <w:lang w:val="tr-TR"/>
                              </w:rPr>
                              <w:t>22 April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5pt;margin-top:26.25pt;width:116.4pt;height:23.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" stroked="f">
                <v:fill opacity="0"/>
                <v:textbox inset="0,0,0,0">
                  <w:txbxContent>
                    <w:p w:rsidR="00323351" w:rsidRDefault="00323351" w:rsidP="00323351">
                      <w:pPr>
                        <w:pStyle w:val="Heading3"/>
                        <w:jc w:val="center"/>
                      </w:pPr>
                      <w:r>
                        <w:rPr>
                          <w:color w:val="FFFFFF"/>
                          <w:sz w:val="22"/>
                          <w:szCs w:val="22"/>
                          <w:lang w:val="tr-TR"/>
                        </w:rPr>
                        <w:t>22 April 2014</w:t>
                      </w:r>
                    </w:p>
                  </w:txbxContent>
                </v:textbox>
              </v:shape>
            </w:pict>
          </mc:Fallback>
        </mc:AlternateContent>
      </w:r>
      <w:r>
        <w:rPr>
          <w:noProof/>
        </w:rPr>
        <mc:AlternateContent>
          <mc:Choice Requires="wps">
            <w:drawing>
              <wp:anchor distT="0" distB="0" distL="114935" distR="114935" simplePos="0" relativeHeight="251660288" behindDoc="0" locked="0" layoutInCell="1" allowOverlap="1">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351" w:rsidRPr="00323351" w:rsidRDefault="00323351" w:rsidP="00323351">
                            <w:pPr>
                              <w:pStyle w:val="Heading1"/>
                              <w:rPr>
                                <w:rFonts w:ascii="Times New Roman" w:hAnsi="Times New Roman"/>
                                <w:sz w:val="52"/>
                                <w:szCs w:val="52"/>
                                <w:lang w:val="en-US"/>
                              </w:rPr>
                            </w:pPr>
                            <w:r w:rsidRPr="00323351">
                              <w:rPr>
                                <w:rFonts w:ascii="Times New Roman" w:hAnsi="Times New Roman"/>
                                <w:sz w:val="52"/>
                                <w:szCs w:val="52"/>
                                <w:lang w:val="en-US"/>
                              </w:rPr>
                              <w:t>Research Brief 14/</w:t>
                            </w:r>
                            <w:r w:rsidR="003A2C82">
                              <w:rPr>
                                <w:rFonts w:ascii="Times New Roman" w:hAnsi="Times New Roman"/>
                                <w:sz w:val="52"/>
                                <w:szCs w:val="52"/>
                                <w:lang w:val="en-US"/>
                              </w:rPr>
                              <w:t>164</w:t>
                            </w:r>
                          </w:p>
                          <w:p w:rsidR="00323351" w:rsidRPr="00323351" w:rsidRDefault="00323351" w:rsidP="00323351">
                            <w:pPr>
                              <w:pStyle w:val="Heading2"/>
                              <w:rPr>
                                <w:b w:val="0"/>
                                <w:bCs w:val="0"/>
                                <w:i w:val="0"/>
                                <w:iCs w:val="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1.6pt;margin-top:-36.3pt;width:312.1pt;height:3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" stroked="f">
                <v:fill opacity="0"/>
                <v:textbox inset="0,0,0,0">
                  <w:txbxContent>
                    <w:p w:rsidR="00323351" w:rsidRPr="00323351" w:rsidRDefault="00323351" w:rsidP="00323351">
                      <w:pPr>
                        <w:pStyle w:val="Heading1"/>
                        <w:rPr>
                          <w:rFonts w:ascii="Times New Roman" w:hAnsi="Times New Roman"/>
                          <w:sz w:val="52"/>
                          <w:szCs w:val="52"/>
                          <w:lang w:val="en-US"/>
                        </w:rPr>
                      </w:pPr>
                      <w:r w:rsidRPr="00323351">
                        <w:rPr>
                          <w:rFonts w:ascii="Times New Roman" w:hAnsi="Times New Roman"/>
                          <w:sz w:val="52"/>
                          <w:szCs w:val="52"/>
                          <w:lang w:val="en-US"/>
                        </w:rPr>
                        <w:t>Research Brief 14/</w:t>
                      </w:r>
                      <w:r w:rsidR="003A2C82">
                        <w:rPr>
                          <w:rFonts w:ascii="Times New Roman" w:hAnsi="Times New Roman"/>
                          <w:sz w:val="52"/>
                          <w:szCs w:val="52"/>
                          <w:lang w:val="en-US"/>
                        </w:rPr>
                        <w:t>164</w:t>
                      </w:r>
                    </w:p>
                    <w:p w:rsidR="00323351" w:rsidRPr="00323351" w:rsidRDefault="00323351" w:rsidP="00323351">
                      <w:pPr>
                        <w:pStyle w:val="Heading2"/>
                        <w:rPr>
                          <w:b w:val="0"/>
                          <w:bCs w:val="0"/>
                          <w:i w:val="0"/>
                          <w:iCs w:val="0"/>
                          <w:lang w:val="en-US"/>
                        </w:rPr>
                      </w:pPr>
                    </w:p>
                  </w:txbxContent>
                </v:textbox>
              </v:shape>
            </w:pict>
          </mc:Fallback>
        </mc:AlternateContent>
      </w:r>
      <w:r w:rsidR="00323351" w:rsidRPr="00091AA8">
        <w:rPr>
          <w:noProof/>
        </w:rPr>
        <w:drawing>
          <wp:anchor distT="0" distB="0" distL="114300" distR="114300" simplePos="0" relativeHeight="251659264" behindDoc="1" locked="0" layoutInCell="1" allowOverlap="1">
            <wp:simplePos x="0" y="0"/>
            <wp:positionH relativeFrom="column">
              <wp:posOffset>-795020</wp:posOffset>
            </wp:positionH>
            <wp:positionV relativeFrom="paragraph">
              <wp:posOffset>-661670</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15200" cy="1333500"/>
                    </a:xfrm>
                    <a:prstGeom prst="rect">
                      <a:avLst/>
                    </a:prstGeom>
                    <a:noFill/>
                  </pic:spPr>
                </pic:pic>
              </a:graphicData>
            </a:graphic>
          </wp:anchor>
        </w:drawing>
      </w:r>
    </w:p>
    <w:p w:rsidR="00323351" w:rsidRPr="00091AA8" w:rsidRDefault="00323351" w:rsidP="00323351">
      <w:pPr>
        <w:rPr>
          <w:lang w:val="en-US"/>
        </w:rPr>
      </w:pPr>
    </w:p>
    <w:p w:rsidR="00323351" w:rsidRPr="00091AA8" w:rsidRDefault="00323351" w:rsidP="00323351">
      <w:pPr>
        <w:spacing w:before="120"/>
        <w:jc w:val="center"/>
        <w:rPr>
          <w:lang w:val="en-US"/>
        </w:rPr>
      </w:pPr>
    </w:p>
    <w:p w:rsidR="00323351" w:rsidRPr="00091AA8" w:rsidRDefault="00323351" w:rsidP="00323351">
      <w:pPr>
        <w:spacing w:before="120"/>
        <w:jc w:val="center"/>
        <w:rPr>
          <w:lang w:val="en-US"/>
        </w:rPr>
      </w:pPr>
    </w:p>
    <w:p w:rsidR="00323351" w:rsidRPr="00091AA8" w:rsidRDefault="00323351" w:rsidP="00323351">
      <w:pPr>
        <w:spacing w:before="120"/>
        <w:jc w:val="center"/>
        <w:rPr>
          <w:b/>
          <w:sz w:val="32"/>
          <w:szCs w:val="32"/>
          <w:lang w:val="en-US"/>
        </w:rPr>
      </w:pPr>
      <w:r w:rsidRPr="00091AA8">
        <w:rPr>
          <w:b/>
          <w:sz w:val="32"/>
          <w:szCs w:val="32"/>
          <w:lang w:val="en-US"/>
        </w:rPr>
        <w:t xml:space="preserve">TWO </w:t>
      </w:r>
      <w:r w:rsidR="00FD648D" w:rsidRPr="00091AA8">
        <w:rPr>
          <w:b/>
          <w:sz w:val="32"/>
          <w:szCs w:val="32"/>
          <w:lang w:val="en-US"/>
        </w:rPr>
        <w:t>IN</w:t>
      </w:r>
      <w:r w:rsidR="00CF1F78" w:rsidRPr="00091AA8">
        <w:rPr>
          <w:b/>
          <w:sz w:val="32"/>
          <w:szCs w:val="32"/>
          <w:lang w:val="en-US"/>
        </w:rPr>
        <w:t xml:space="preserve"> </w:t>
      </w:r>
      <w:r w:rsidRPr="00091AA8">
        <w:rPr>
          <w:b/>
          <w:sz w:val="32"/>
          <w:szCs w:val="32"/>
          <w:lang w:val="en-US"/>
        </w:rPr>
        <w:t xml:space="preserve">THREE CHILDREN </w:t>
      </w:r>
      <w:r w:rsidR="003C62B4">
        <w:rPr>
          <w:b/>
          <w:sz w:val="32"/>
          <w:szCs w:val="32"/>
          <w:lang w:val="en-US"/>
        </w:rPr>
        <w:t>LIVE</w:t>
      </w:r>
      <w:r w:rsidR="00FD648D" w:rsidRPr="00091AA8">
        <w:rPr>
          <w:b/>
          <w:sz w:val="32"/>
          <w:szCs w:val="32"/>
          <w:lang w:val="en-US"/>
        </w:rPr>
        <w:t xml:space="preserve"> </w:t>
      </w:r>
      <w:r w:rsidR="00CF1F78" w:rsidRPr="00091AA8">
        <w:rPr>
          <w:b/>
          <w:sz w:val="32"/>
          <w:szCs w:val="32"/>
          <w:lang w:val="en-US"/>
        </w:rPr>
        <w:t xml:space="preserve">IN </w:t>
      </w:r>
      <w:r w:rsidR="00FD648D" w:rsidRPr="00091AA8">
        <w:rPr>
          <w:b/>
          <w:sz w:val="32"/>
          <w:szCs w:val="32"/>
          <w:lang w:val="en-US"/>
        </w:rPr>
        <w:t>SEVERE</w:t>
      </w:r>
      <w:r w:rsidRPr="00091AA8">
        <w:rPr>
          <w:b/>
          <w:sz w:val="32"/>
          <w:szCs w:val="32"/>
          <w:lang w:val="en-US"/>
        </w:rPr>
        <w:t xml:space="preserve"> MATERIAL DEPRIV</w:t>
      </w:r>
      <w:r w:rsidR="00CF1F78" w:rsidRPr="00091AA8">
        <w:rPr>
          <w:b/>
          <w:sz w:val="32"/>
          <w:szCs w:val="32"/>
          <w:lang w:val="en-US"/>
        </w:rPr>
        <w:t>ATION</w:t>
      </w:r>
    </w:p>
    <w:p w:rsidR="003A2C82" w:rsidRPr="003A2C82" w:rsidRDefault="003A2C82" w:rsidP="003A2C82">
      <w:pPr>
        <w:jc w:val="center"/>
        <w:rPr>
          <w:b/>
          <w:bCs/>
          <w:lang w:val="en-US"/>
        </w:rPr>
      </w:pPr>
      <w:r w:rsidRPr="003A2C82">
        <w:rPr>
          <w:b/>
          <w:bCs/>
          <w:lang w:val="en-US"/>
        </w:rPr>
        <w:t>Seyfettin Gürsel</w:t>
      </w:r>
      <w:r w:rsidRPr="003A2C82">
        <w:rPr>
          <w:b/>
          <w:bCs/>
          <w:vertAlign w:val="superscript"/>
          <w:lang w:val="en-US"/>
        </w:rPr>
        <w:footnoteReference w:customMarkFollows="1" w:id="1"/>
        <w:t>*</w:t>
      </w:r>
      <w:r w:rsidRPr="003A2C82">
        <w:rPr>
          <w:b/>
          <w:bCs/>
          <w:lang w:val="en-US"/>
        </w:rPr>
        <w:t>, Gökçe Uysal</w:t>
      </w:r>
      <w:r w:rsidRPr="003A2C82">
        <w:rPr>
          <w:b/>
          <w:bCs/>
          <w:vertAlign w:val="superscript"/>
          <w:lang w:val="en-US"/>
        </w:rPr>
        <w:footnoteReference w:customMarkFollows="1" w:id="2"/>
        <w:sym w:font="Symbol" w:char="F02A"/>
      </w:r>
      <w:r w:rsidRPr="003A2C82">
        <w:rPr>
          <w:b/>
          <w:bCs/>
          <w:vertAlign w:val="superscript"/>
          <w:lang w:val="en-US"/>
        </w:rPr>
        <w:sym w:font="Symbol" w:char="F02A"/>
      </w:r>
      <w:r w:rsidRPr="003A2C82">
        <w:rPr>
          <w:b/>
          <w:bCs/>
          <w:lang w:val="en-US"/>
        </w:rPr>
        <w:t xml:space="preserve"> and </w:t>
      </w:r>
      <w:r>
        <w:rPr>
          <w:b/>
          <w:bCs/>
          <w:lang w:val="en-US"/>
        </w:rPr>
        <w:t>Melike Kökkızıl</w:t>
      </w:r>
      <w:r w:rsidRPr="003A2C82">
        <w:rPr>
          <w:b/>
          <w:bCs/>
          <w:vertAlign w:val="superscript"/>
          <w:lang w:val="en-US"/>
        </w:rPr>
        <w:footnoteReference w:customMarkFollows="1" w:id="3"/>
        <w:sym w:font="Symbol" w:char="F02A"/>
      </w:r>
      <w:r w:rsidRPr="003A2C82">
        <w:rPr>
          <w:b/>
          <w:bCs/>
          <w:vertAlign w:val="superscript"/>
          <w:lang w:val="en-US"/>
        </w:rPr>
        <w:sym w:font="Symbol" w:char="F02A"/>
      </w:r>
      <w:r w:rsidRPr="003A2C82">
        <w:rPr>
          <w:b/>
          <w:bCs/>
          <w:vertAlign w:val="superscript"/>
          <w:lang w:val="en-US"/>
        </w:rPr>
        <w:sym w:font="Symbol" w:char="F02A"/>
      </w:r>
    </w:p>
    <w:p w:rsidR="00FD648D" w:rsidRPr="00091AA8" w:rsidRDefault="00FD648D" w:rsidP="00FD648D">
      <w:pPr>
        <w:jc w:val="center"/>
        <w:rPr>
          <w:b/>
          <w:bCs/>
          <w:sz w:val="28"/>
          <w:szCs w:val="28"/>
          <w:lang w:val="en-US"/>
        </w:rPr>
      </w:pPr>
      <w:r w:rsidRPr="00091AA8">
        <w:rPr>
          <w:b/>
          <w:bCs/>
          <w:sz w:val="28"/>
          <w:szCs w:val="28"/>
          <w:lang w:val="en-US"/>
        </w:rPr>
        <w:t>Executive Summary</w:t>
      </w:r>
    </w:p>
    <w:p w:rsidR="00696A51" w:rsidRPr="00091AA8" w:rsidRDefault="00FD648D" w:rsidP="00F11CDB">
      <w:pPr>
        <w:rPr>
          <w:lang w:val="en-US"/>
        </w:rPr>
      </w:pPr>
      <w:r w:rsidRPr="00091AA8">
        <w:rPr>
          <w:lang w:val="en-US"/>
        </w:rPr>
        <w:t>According to the European Union</w:t>
      </w:r>
      <w:r w:rsidR="00F10465" w:rsidRPr="00F10465">
        <w:rPr>
          <w:lang w:val="en-US"/>
        </w:rPr>
        <w:t xml:space="preserve"> </w:t>
      </w:r>
      <w:r w:rsidR="00F10465" w:rsidRPr="00091AA8">
        <w:rPr>
          <w:lang w:val="en-US"/>
        </w:rPr>
        <w:t>standards</w:t>
      </w:r>
      <w:r w:rsidRPr="00091AA8">
        <w:rPr>
          <w:lang w:val="en-US"/>
        </w:rPr>
        <w:t xml:space="preserve">, two </w:t>
      </w:r>
      <w:r w:rsidR="00F10465">
        <w:rPr>
          <w:lang w:val="en-US"/>
        </w:rPr>
        <w:t xml:space="preserve">out </w:t>
      </w:r>
      <w:r w:rsidRPr="00091AA8">
        <w:rPr>
          <w:lang w:val="en-US"/>
        </w:rPr>
        <w:t xml:space="preserve">of </w:t>
      </w:r>
      <w:r w:rsidR="00021A2B" w:rsidRPr="00091AA8">
        <w:rPr>
          <w:lang w:val="en-US"/>
        </w:rPr>
        <w:t xml:space="preserve">every </w:t>
      </w:r>
      <w:r w:rsidRPr="00091AA8">
        <w:rPr>
          <w:lang w:val="en-US"/>
        </w:rPr>
        <w:t xml:space="preserve">three children in Turkey </w:t>
      </w:r>
      <w:r w:rsidR="006A6A93">
        <w:rPr>
          <w:lang w:val="en-US"/>
        </w:rPr>
        <w:t>live</w:t>
      </w:r>
      <w:r w:rsidRPr="00091AA8">
        <w:rPr>
          <w:lang w:val="en-US"/>
        </w:rPr>
        <w:t xml:space="preserve"> in severe material deprivation. In terms of severe material deprivation among </w:t>
      </w:r>
      <w:r w:rsidR="0088625F">
        <w:rPr>
          <w:lang w:val="en-US"/>
        </w:rPr>
        <w:t>children, Turkey falls behind</w:t>
      </w:r>
      <w:r w:rsidRPr="00091AA8">
        <w:rPr>
          <w:lang w:val="en-US"/>
        </w:rPr>
        <w:t xml:space="preserve"> Southern Europe countries </w:t>
      </w:r>
      <w:r w:rsidR="009D6051" w:rsidRPr="00091AA8">
        <w:rPr>
          <w:lang w:val="en-US"/>
        </w:rPr>
        <w:t>as well as</w:t>
      </w:r>
      <w:r w:rsidRPr="00091AA8">
        <w:rPr>
          <w:lang w:val="en-US"/>
        </w:rPr>
        <w:t xml:space="preserve"> countries </w:t>
      </w:r>
      <w:r w:rsidR="0088625F">
        <w:rPr>
          <w:lang w:val="en-US"/>
        </w:rPr>
        <w:t xml:space="preserve">that are less developed </w:t>
      </w:r>
      <w:r w:rsidR="009D6051" w:rsidRPr="00091AA8">
        <w:rPr>
          <w:lang w:val="en-US"/>
        </w:rPr>
        <w:t xml:space="preserve">such as  Hungary and Romania. Frequency of severe material deprivation falls to 50-55 percent in western regions in Turkey whereas it </w:t>
      </w:r>
      <w:r w:rsidR="00B570AA">
        <w:rPr>
          <w:lang w:val="en-US"/>
        </w:rPr>
        <w:t>increases</w:t>
      </w:r>
      <w:r w:rsidR="009D6051" w:rsidRPr="00091AA8">
        <w:rPr>
          <w:lang w:val="en-US"/>
        </w:rPr>
        <w:t xml:space="preserve"> to 75 percent in its eastern regions. </w:t>
      </w:r>
      <w:r w:rsidR="00F11CDB">
        <w:rPr>
          <w:lang w:val="en-US"/>
        </w:rPr>
        <w:t>Such high shares make it difficult to pinpoint a high-priority target group for policy, hence, Betam has started using</w:t>
      </w:r>
      <w:r w:rsidR="007479B1" w:rsidRPr="00091AA8">
        <w:rPr>
          <w:lang w:val="en-US"/>
        </w:rPr>
        <w:t xml:space="preserve"> a narrower definition of basic material deprivation.  According to the definition used by Betam, 24.8 percent of children in Turkey </w:t>
      </w:r>
      <w:r w:rsidR="00167825">
        <w:rPr>
          <w:lang w:val="en-US"/>
        </w:rPr>
        <w:t>live in</w:t>
      </w:r>
      <w:r w:rsidR="007479B1" w:rsidRPr="00091AA8">
        <w:rPr>
          <w:lang w:val="en-US"/>
        </w:rPr>
        <w:t xml:space="preserve"> basic material deprivation.  </w:t>
      </w:r>
      <w:r w:rsidR="00CE7E4F">
        <w:rPr>
          <w:lang w:val="en-US"/>
        </w:rPr>
        <w:t>The</w:t>
      </w:r>
      <w:r w:rsidR="007479B1" w:rsidRPr="00D34E48">
        <w:rPr>
          <w:lang w:val="en-US"/>
        </w:rPr>
        <w:t xml:space="preserve"> share</w:t>
      </w:r>
      <w:r w:rsidR="00CE7E4F">
        <w:rPr>
          <w:lang w:val="en-US"/>
        </w:rPr>
        <w:t xml:space="preserve"> of children living in basic material deprivation falls</w:t>
      </w:r>
      <w:r w:rsidR="007479B1" w:rsidRPr="00D34E48">
        <w:rPr>
          <w:lang w:val="en-US"/>
        </w:rPr>
        <w:t xml:space="preserve"> substantially and rapidly from 2006 to </w:t>
      </w:r>
      <w:r w:rsidR="00D34E48" w:rsidRPr="00D34E48">
        <w:rPr>
          <w:lang w:val="en-US"/>
        </w:rPr>
        <w:t>2010</w:t>
      </w:r>
      <w:r w:rsidR="00D13E35" w:rsidRPr="00D34E48">
        <w:rPr>
          <w:lang w:val="en-US"/>
        </w:rPr>
        <w:t xml:space="preserve">, however </w:t>
      </w:r>
      <w:r w:rsidR="00736F7E">
        <w:rPr>
          <w:lang w:val="en-US"/>
        </w:rPr>
        <w:t>there is a small increase in 2011</w:t>
      </w:r>
      <w:r w:rsidR="00D13E35" w:rsidRPr="00091AA8">
        <w:rPr>
          <w:lang w:val="en-US"/>
        </w:rPr>
        <w:t xml:space="preserve">. </w:t>
      </w:r>
      <w:r w:rsidR="00425D54">
        <w:rPr>
          <w:lang w:val="en-US"/>
        </w:rPr>
        <w:t>C</w:t>
      </w:r>
      <w:r w:rsidR="00B35340" w:rsidRPr="00091AA8">
        <w:rPr>
          <w:lang w:val="en-US"/>
        </w:rPr>
        <w:t xml:space="preserve">hild poverty </w:t>
      </w:r>
      <w:r w:rsidR="00102158">
        <w:rPr>
          <w:lang w:val="en-US"/>
        </w:rPr>
        <w:t>indicates dire circumstances for this</w:t>
      </w:r>
      <w:r w:rsidR="00B35340" w:rsidRPr="00091AA8">
        <w:rPr>
          <w:lang w:val="en-US"/>
        </w:rPr>
        <w:t xml:space="preserve"> as well as </w:t>
      </w:r>
      <w:r w:rsidR="00102158">
        <w:rPr>
          <w:lang w:val="en-US"/>
        </w:rPr>
        <w:t xml:space="preserve">the </w:t>
      </w:r>
      <w:r w:rsidR="00B35340" w:rsidRPr="00091AA8">
        <w:rPr>
          <w:lang w:val="en-US"/>
        </w:rPr>
        <w:t xml:space="preserve">upcoming generations and therefore, </w:t>
      </w:r>
      <w:r w:rsidR="00102158">
        <w:rPr>
          <w:lang w:val="en-US"/>
        </w:rPr>
        <w:t>fight</w:t>
      </w:r>
      <w:r w:rsidR="00696A51" w:rsidRPr="00091AA8">
        <w:rPr>
          <w:lang w:val="en-US"/>
        </w:rPr>
        <w:t xml:space="preserve"> against to </w:t>
      </w:r>
      <w:r w:rsidR="00102158">
        <w:rPr>
          <w:lang w:val="en-US"/>
        </w:rPr>
        <w:t>child poverty should move up the priority list among social policies</w:t>
      </w:r>
      <w:r w:rsidR="00696A51" w:rsidRPr="00091AA8">
        <w:rPr>
          <w:lang w:val="en-US"/>
        </w:rPr>
        <w:t>.</w:t>
      </w:r>
    </w:p>
    <w:p w:rsidR="00696A51" w:rsidRPr="00091AA8" w:rsidRDefault="00696A51" w:rsidP="00696A51">
      <w:pPr>
        <w:rPr>
          <w:b/>
          <w:bCs/>
          <w:sz w:val="24"/>
          <w:szCs w:val="24"/>
          <w:lang w:val="en-US"/>
        </w:rPr>
      </w:pPr>
      <w:r w:rsidRPr="00091AA8">
        <w:rPr>
          <w:b/>
          <w:bCs/>
          <w:sz w:val="24"/>
          <w:szCs w:val="24"/>
          <w:lang w:val="en-US"/>
        </w:rPr>
        <w:t>What is severe material deprivation according to the definition of European Union?</w:t>
      </w:r>
    </w:p>
    <w:p w:rsidR="005410E4" w:rsidRPr="00091AA8" w:rsidRDefault="00D759D6" w:rsidP="00F108FB">
      <w:pPr>
        <w:rPr>
          <w:lang w:val="en-US"/>
        </w:rPr>
      </w:pPr>
      <w:r w:rsidRPr="00D759D6">
        <w:rPr>
          <w:lang w:val="en-US"/>
        </w:rPr>
        <w:t>Eurostat defines severe material as "a state of economic strain and durables, defined as the enforced inability (rather than the choice not to do so)</w:t>
      </w:r>
      <w:r w:rsidR="00C45081">
        <w:rPr>
          <w:lang w:val="en-US"/>
        </w:rPr>
        <w:t xml:space="preserve">" </w:t>
      </w:r>
      <w:r w:rsidR="00F672DB">
        <w:rPr>
          <w:lang w:val="en-US"/>
        </w:rPr>
        <w:t>to satisfy</w:t>
      </w:r>
      <w:r w:rsidR="00C45081">
        <w:rPr>
          <w:lang w:val="en-US"/>
        </w:rPr>
        <w:t xml:space="preserve"> certain needs. </w:t>
      </w:r>
      <w:r w:rsidR="00A07AB6">
        <w:rPr>
          <w:lang w:val="en-US"/>
        </w:rPr>
        <w:t>The measure used by Eurostat can be</w:t>
      </w:r>
      <w:r w:rsidR="00035AF2" w:rsidRPr="00091AA8">
        <w:rPr>
          <w:lang w:val="en-US"/>
        </w:rPr>
        <w:t xml:space="preserve"> also calculated for Turkey by using Statistics on Income and Livin</w:t>
      </w:r>
      <w:r w:rsidR="003C48A2">
        <w:rPr>
          <w:lang w:val="en-US"/>
        </w:rPr>
        <w:t>g Conditions. According to this</w:t>
      </w:r>
      <w:r w:rsidR="00035AF2" w:rsidRPr="00091AA8">
        <w:rPr>
          <w:lang w:val="en-US"/>
        </w:rPr>
        <w:t xml:space="preserve"> measure,  </w:t>
      </w:r>
      <w:r w:rsidR="00F108FB" w:rsidRPr="00091AA8">
        <w:rPr>
          <w:lang w:val="en-US"/>
        </w:rPr>
        <w:t xml:space="preserve">people who cannot afford at least four of the following items are severely materially deprived.  </w:t>
      </w:r>
      <w:r w:rsidR="00A21D57">
        <w:rPr>
          <w:lang w:val="en-US"/>
        </w:rPr>
        <w:t xml:space="preserve">(1) </w:t>
      </w:r>
      <w:r w:rsidR="00DD2A7E" w:rsidRPr="00E029A6">
        <w:rPr>
          <w:lang w:val="en-US"/>
        </w:rPr>
        <w:t>to pay their rent, mortgage or utility bills</w:t>
      </w:r>
      <w:r w:rsidR="00A21D57">
        <w:rPr>
          <w:lang w:val="en-US"/>
        </w:rPr>
        <w:t>, (2)</w:t>
      </w:r>
      <w:r w:rsidR="00A21D57" w:rsidRPr="00D759D6">
        <w:rPr>
          <w:lang w:val="en-US"/>
        </w:rPr>
        <w:t xml:space="preserve"> the </w:t>
      </w:r>
      <w:r w:rsidR="00DD2A7E">
        <w:rPr>
          <w:lang w:val="en-US"/>
        </w:rPr>
        <w:t>keep their home adequately warm</w:t>
      </w:r>
      <w:r w:rsidR="00A21D57" w:rsidRPr="00D759D6">
        <w:rPr>
          <w:lang w:val="en-US"/>
        </w:rPr>
        <w:t>,</w:t>
      </w:r>
      <w:r w:rsidR="00A21D57">
        <w:rPr>
          <w:lang w:val="en-US"/>
        </w:rPr>
        <w:t xml:space="preserve"> (3) </w:t>
      </w:r>
      <w:r w:rsidR="00DD2A7E">
        <w:rPr>
          <w:lang w:val="en-US"/>
        </w:rPr>
        <w:t xml:space="preserve">to face </w:t>
      </w:r>
      <w:r w:rsidR="00A21D57" w:rsidRPr="00D759D6">
        <w:rPr>
          <w:lang w:val="en-US"/>
        </w:rPr>
        <w:t>unexpected expenses,</w:t>
      </w:r>
      <w:r w:rsidR="00A21D57">
        <w:rPr>
          <w:lang w:val="en-US"/>
        </w:rPr>
        <w:t xml:space="preserve"> (4)</w:t>
      </w:r>
      <w:r w:rsidR="00C92988">
        <w:rPr>
          <w:lang w:val="en-US"/>
        </w:rPr>
        <w:t xml:space="preserve"> to eat</w:t>
      </w:r>
      <w:r w:rsidR="00A21D57">
        <w:rPr>
          <w:lang w:val="en-US"/>
        </w:rPr>
        <w:t xml:space="preserve"> </w:t>
      </w:r>
      <w:r w:rsidR="00A21D57" w:rsidRPr="00D759D6">
        <w:rPr>
          <w:lang w:val="en-US"/>
        </w:rPr>
        <w:t>a meal involving meat, chicken or fish every second day,</w:t>
      </w:r>
      <w:r w:rsidR="00A21D57">
        <w:rPr>
          <w:lang w:val="en-US"/>
        </w:rPr>
        <w:t xml:space="preserve"> (5) </w:t>
      </w:r>
      <w:r w:rsidR="00E1679B">
        <w:rPr>
          <w:lang w:val="en-US"/>
        </w:rPr>
        <w:t xml:space="preserve">to </w:t>
      </w:r>
      <w:r w:rsidR="00A21D57" w:rsidRPr="00D759D6">
        <w:rPr>
          <w:lang w:val="en-US"/>
        </w:rPr>
        <w:t>afford a one-week annual holiday away from home,</w:t>
      </w:r>
      <w:r w:rsidR="00A21D57">
        <w:rPr>
          <w:lang w:val="en-US"/>
        </w:rPr>
        <w:t xml:space="preserve"> (6)</w:t>
      </w:r>
      <w:r w:rsidR="00A21D57" w:rsidRPr="00D759D6">
        <w:rPr>
          <w:lang w:val="en-US"/>
        </w:rPr>
        <w:t xml:space="preserve"> a washing machine, </w:t>
      </w:r>
      <w:r w:rsidR="00A21D57">
        <w:rPr>
          <w:lang w:val="en-US"/>
        </w:rPr>
        <w:t xml:space="preserve">(7) </w:t>
      </w:r>
      <w:r w:rsidR="00A21D57" w:rsidRPr="00D759D6">
        <w:rPr>
          <w:lang w:val="en-US"/>
        </w:rPr>
        <w:t>color television,</w:t>
      </w:r>
      <w:r w:rsidR="00A21D57">
        <w:rPr>
          <w:lang w:val="en-US"/>
        </w:rPr>
        <w:t xml:space="preserve"> (8)</w:t>
      </w:r>
      <w:r w:rsidR="00A21D57" w:rsidRPr="00D759D6">
        <w:rPr>
          <w:lang w:val="en-US"/>
        </w:rPr>
        <w:t xml:space="preserve"> telephone or </w:t>
      </w:r>
      <w:r w:rsidR="00A21D57">
        <w:rPr>
          <w:lang w:val="en-US"/>
        </w:rPr>
        <w:t xml:space="preserve">(9) </w:t>
      </w:r>
      <w:r w:rsidR="00A21D57" w:rsidRPr="00D759D6">
        <w:rPr>
          <w:lang w:val="en-US"/>
        </w:rPr>
        <w:t>ca</w:t>
      </w:r>
      <w:r w:rsidR="00A21D57">
        <w:rPr>
          <w:lang w:val="en-US"/>
        </w:rPr>
        <w:t>r</w:t>
      </w:r>
      <w:r w:rsidR="00A21D57" w:rsidRPr="00D759D6">
        <w:rPr>
          <w:lang w:val="en-US"/>
        </w:rPr>
        <w:t>.</w:t>
      </w:r>
      <w:bookmarkStart w:id="0" w:name="_GoBack"/>
      <w:bookmarkEnd w:id="0"/>
    </w:p>
    <w:p w:rsidR="006005CA" w:rsidRPr="00091AA8" w:rsidRDefault="00B94500" w:rsidP="001437CA">
      <w:pPr>
        <w:tabs>
          <w:tab w:val="left" w:pos="6375"/>
        </w:tabs>
        <w:rPr>
          <w:lang w:val="en-US"/>
        </w:rPr>
      </w:pPr>
      <w:r w:rsidRPr="00091AA8">
        <w:rPr>
          <w:lang w:val="en-US"/>
        </w:rPr>
        <w:t>Figure 1 shows various countries' severe material deprivation rates among th</w:t>
      </w:r>
      <w:r w:rsidR="003F2F8A">
        <w:rPr>
          <w:lang w:val="en-US"/>
        </w:rPr>
        <w:t>e children aged between 0 and 15</w:t>
      </w:r>
      <w:r w:rsidRPr="00091AA8">
        <w:rPr>
          <w:lang w:val="en-US"/>
        </w:rPr>
        <w:t>. It indicates that two</w:t>
      </w:r>
      <w:r w:rsidR="001335F4">
        <w:rPr>
          <w:lang w:val="en-US"/>
        </w:rPr>
        <w:t xml:space="preserve"> out</w:t>
      </w:r>
      <w:r w:rsidRPr="00091AA8">
        <w:rPr>
          <w:lang w:val="en-US"/>
        </w:rPr>
        <w:t xml:space="preserve"> of every three children in Turkey </w:t>
      </w:r>
      <w:r w:rsidR="00FE525B">
        <w:rPr>
          <w:lang w:val="en-US"/>
        </w:rPr>
        <w:t>are</w:t>
      </w:r>
      <w:r w:rsidRPr="00091AA8">
        <w:rPr>
          <w:lang w:val="en-US"/>
        </w:rPr>
        <w:t xml:space="preserve"> severely m</w:t>
      </w:r>
      <w:r w:rsidR="005354CF">
        <w:rPr>
          <w:lang w:val="en-US"/>
        </w:rPr>
        <w:t>aterially deprived according to the</w:t>
      </w:r>
      <w:r w:rsidR="00FE525B">
        <w:rPr>
          <w:lang w:val="en-US"/>
        </w:rPr>
        <w:t xml:space="preserve"> European </w:t>
      </w:r>
      <w:r w:rsidRPr="00091AA8">
        <w:rPr>
          <w:lang w:val="en-US"/>
        </w:rPr>
        <w:t xml:space="preserve">standards. Another serious implication that data </w:t>
      </w:r>
      <w:r w:rsidR="004B26D7">
        <w:rPr>
          <w:lang w:val="en-US"/>
        </w:rPr>
        <w:t>indicates</w:t>
      </w:r>
      <w:r w:rsidRPr="00091AA8">
        <w:rPr>
          <w:lang w:val="en-US"/>
        </w:rPr>
        <w:t xml:space="preserve"> is </w:t>
      </w:r>
      <w:r w:rsidR="00FD224A">
        <w:rPr>
          <w:lang w:val="en-US"/>
        </w:rPr>
        <w:t xml:space="preserve">that </w:t>
      </w:r>
      <w:r w:rsidRPr="00091AA8">
        <w:rPr>
          <w:lang w:val="en-US"/>
        </w:rPr>
        <w:t xml:space="preserve">the children in Turkey </w:t>
      </w:r>
      <w:r w:rsidR="004F5DD3">
        <w:rPr>
          <w:lang w:val="en-US"/>
        </w:rPr>
        <w:t>are living under worse</w:t>
      </w:r>
      <w:r w:rsidR="0019568C" w:rsidRPr="00091AA8">
        <w:rPr>
          <w:lang w:val="en-US"/>
        </w:rPr>
        <w:t xml:space="preserve"> conditions compared to their peers </w:t>
      </w:r>
      <w:r w:rsidR="00E139DC">
        <w:rPr>
          <w:lang w:val="en-US"/>
        </w:rPr>
        <w:t xml:space="preserve">who </w:t>
      </w:r>
      <w:r w:rsidR="0019568C" w:rsidRPr="00091AA8">
        <w:rPr>
          <w:lang w:val="en-US"/>
        </w:rPr>
        <w:t xml:space="preserve">live in other countries </w:t>
      </w:r>
      <w:r w:rsidR="00E139DC">
        <w:rPr>
          <w:lang w:val="en-US"/>
        </w:rPr>
        <w:t>of</w:t>
      </w:r>
      <w:r w:rsidR="0019568C" w:rsidRPr="00091AA8">
        <w:rPr>
          <w:lang w:val="en-US"/>
        </w:rPr>
        <w:t xml:space="preserve"> Europe.  The countries selected in our sample cover some of European Union countries have higher level</w:t>
      </w:r>
      <w:r w:rsidR="003267EA">
        <w:rPr>
          <w:lang w:val="en-US"/>
        </w:rPr>
        <w:t>s</w:t>
      </w:r>
      <w:r w:rsidR="0019568C" w:rsidRPr="00091AA8">
        <w:rPr>
          <w:lang w:val="en-US"/>
        </w:rPr>
        <w:t xml:space="preserve"> of development such as Germany, France, and United Kingdom as well as </w:t>
      </w:r>
      <w:r w:rsidR="003267EA">
        <w:rPr>
          <w:lang w:val="en-US"/>
        </w:rPr>
        <w:t xml:space="preserve">countries with lower levels of development such as </w:t>
      </w:r>
      <w:r w:rsidR="0019568C" w:rsidRPr="00091AA8">
        <w:rPr>
          <w:lang w:val="en-US"/>
        </w:rPr>
        <w:t>Poland, Hungary, and Romania.</w:t>
      </w:r>
      <w:r w:rsidR="001437CA" w:rsidRPr="00091AA8">
        <w:rPr>
          <w:lang w:val="en-US"/>
        </w:rPr>
        <w:t xml:space="preserve"> </w:t>
      </w:r>
      <w:r w:rsidR="00420B3F" w:rsidRPr="00091AA8">
        <w:rPr>
          <w:lang w:val="en-US"/>
        </w:rPr>
        <w:t xml:space="preserve">Severe </w:t>
      </w:r>
      <w:r w:rsidR="00420B3F" w:rsidRPr="00091AA8">
        <w:rPr>
          <w:lang w:val="en-US"/>
        </w:rPr>
        <w:lastRenderedPageBreak/>
        <w:t xml:space="preserve">material deprivation rate among the children aged between 0 and 15 for Turkey was 63.5 percent  in 2011, however  for Romania, which has the closest rate to Turkey, </w:t>
      </w:r>
      <w:r w:rsidR="00617CB8">
        <w:rPr>
          <w:lang w:val="en-US"/>
        </w:rPr>
        <w:t>the rate</w:t>
      </w:r>
      <w:r w:rsidR="00420B3F" w:rsidRPr="00091AA8">
        <w:rPr>
          <w:lang w:val="en-US"/>
        </w:rPr>
        <w:t xml:space="preserve"> is 36 percent. </w:t>
      </w:r>
      <w:r w:rsidR="00032C62">
        <w:rPr>
          <w:lang w:val="en-US"/>
        </w:rPr>
        <w:t>The same</w:t>
      </w:r>
      <w:r w:rsidR="00420B3F" w:rsidRPr="00091AA8">
        <w:rPr>
          <w:lang w:val="en-US"/>
        </w:rPr>
        <w:t xml:space="preserve"> rate for Gr</w:t>
      </w:r>
      <w:r w:rsidR="00FF4115">
        <w:rPr>
          <w:lang w:val="en-US"/>
        </w:rPr>
        <w:t xml:space="preserve">eece is 16.5 percent whereas it falls to </w:t>
      </w:r>
      <w:r w:rsidR="00420B3F" w:rsidRPr="00091AA8">
        <w:rPr>
          <w:lang w:val="en-US"/>
        </w:rPr>
        <w:t xml:space="preserve">12.4 percent </w:t>
      </w:r>
      <w:r w:rsidR="001437CA" w:rsidRPr="00091AA8">
        <w:rPr>
          <w:lang w:val="en-US"/>
        </w:rPr>
        <w:t>for Italy.</w:t>
      </w:r>
    </w:p>
    <w:p w:rsidR="001437CA" w:rsidRPr="00091AA8" w:rsidRDefault="001437CA" w:rsidP="001437CA">
      <w:pPr>
        <w:pStyle w:val="Caption"/>
        <w:keepNext/>
        <w:rPr>
          <w:color w:val="auto"/>
          <w:sz w:val="22"/>
          <w:szCs w:val="22"/>
          <w:lang w:val="en-US"/>
        </w:rPr>
      </w:pPr>
      <w:r w:rsidRPr="00091AA8">
        <w:rPr>
          <w:color w:val="auto"/>
          <w:sz w:val="22"/>
          <w:szCs w:val="22"/>
          <w:lang w:val="en-US"/>
        </w:rPr>
        <w:t xml:space="preserve">Figure </w:t>
      </w:r>
      <w:r w:rsidR="00570AE4" w:rsidRPr="00091AA8">
        <w:rPr>
          <w:color w:val="auto"/>
          <w:sz w:val="22"/>
          <w:szCs w:val="22"/>
          <w:lang w:val="en-US"/>
        </w:rPr>
        <w:fldChar w:fldCharType="begin"/>
      </w:r>
      <w:r w:rsidRPr="00091AA8">
        <w:rPr>
          <w:color w:val="auto"/>
          <w:sz w:val="22"/>
          <w:szCs w:val="22"/>
          <w:lang w:val="en-US"/>
        </w:rPr>
        <w:instrText xml:space="preserve"> SEQ Şekil \* ARABIC </w:instrText>
      </w:r>
      <w:r w:rsidR="00570AE4" w:rsidRPr="00091AA8">
        <w:rPr>
          <w:color w:val="auto"/>
          <w:sz w:val="22"/>
          <w:szCs w:val="22"/>
          <w:lang w:val="en-US"/>
        </w:rPr>
        <w:fldChar w:fldCharType="separate"/>
      </w:r>
      <w:r w:rsidR="0090581A" w:rsidRPr="00091AA8">
        <w:rPr>
          <w:noProof/>
          <w:color w:val="auto"/>
          <w:sz w:val="22"/>
          <w:szCs w:val="22"/>
          <w:lang w:val="en-US"/>
        </w:rPr>
        <w:t>1</w:t>
      </w:r>
      <w:r w:rsidR="00570AE4" w:rsidRPr="00091AA8">
        <w:rPr>
          <w:color w:val="auto"/>
          <w:sz w:val="22"/>
          <w:szCs w:val="22"/>
          <w:lang w:val="en-US"/>
        </w:rPr>
        <w:fldChar w:fldCharType="end"/>
      </w:r>
      <w:r w:rsidRPr="00091AA8">
        <w:rPr>
          <w:color w:val="auto"/>
          <w:sz w:val="22"/>
          <w:szCs w:val="22"/>
          <w:lang w:val="en-US"/>
        </w:rPr>
        <w:t xml:space="preserve"> Severe material deprivation rate among children aged under 16, 2011</w:t>
      </w:r>
    </w:p>
    <w:p w:rsidR="001437CA" w:rsidRPr="00091AA8" w:rsidRDefault="001437CA" w:rsidP="001437CA">
      <w:pPr>
        <w:rPr>
          <w:lang w:val="en-US"/>
        </w:rPr>
      </w:pPr>
      <w:r w:rsidRPr="00091AA8">
        <w:rPr>
          <w:noProof/>
        </w:rPr>
        <w:drawing>
          <wp:inline distT="0" distB="0" distL="0" distR="0">
            <wp:extent cx="4591050" cy="2933700"/>
            <wp:effectExtent l="19050" t="0" r="0" b="0"/>
            <wp:docPr id="1" name="Picture 0" descr="Figu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01.jpg"/>
                    <pic:cNvPicPr/>
                  </pic:nvPicPr>
                  <pic:blipFill>
                    <a:blip r:embed="rId8" cstate="print"/>
                    <a:stretch>
                      <a:fillRect/>
                    </a:stretch>
                  </pic:blipFill>
                  <pic:spPr>
                    <a:xfrm>
                      <a:off x="0" y="0"/>
                      <a:ext cx="4591050" cy="2933700"/>
                    </a:xfrm>
                    <a:prstGeom prst="rect">
                      <a:avLst/>
                    </a:prstGeom>
                  </pic:spPr>
                </pic:pic>
              </a:graphicData>
            </a:graphic>
          </wp:inline>
        </w:drawing>
      </w:r>
    </w:p>
    <w:p w:rsidR="001437CA" w:rsidRPr="00091AA8" w:rsidRDefault="001437CA" w:rsidP="001437CA">
      <w:pPr>
        <w:keepNext/>
        <w:rPr>
          <w:sz w:val="18"/>
          <w:szCs w:val="18"/>
          <w:lang w:val="en-US"/>
        </w:rPr>
      </w:pPr>
      <w:r w:rsidRPr="00091AA8">
        <w:rPr>
          <w:sz w:val="18"/>
          <w:szCs w:val="18"/>
          <w:lang w:val="en-US"/>
        </w:rPr>
        <w:t>Source: Eurostat ; Turkstat ; Betam</w:t>
      </w:r>
    </w:p>
    <w:p w:rsidR="0019568C" w:rsidRPr="00091AA8" w:rsidRDefault="001437CA" w:rsidP="001437CA">
      <w:pPr>
        <w:rPr>
          <w:b/>
          <w:bCs/>
          <w:sz w:val="24"/>
          <w:szCs w:val="24"/>
          <w:lang w:val="en-US"/>
        </w:rPr>
      </w:pPr>
      <w:r w:rsidRPr="00091AA8">
        <w:rPr>
          <w:b/>
          <w:bCs/>
          <w:sz w:val="24"/>
          <w:szCs w:val="24"/>
          <w:lang w:val="en-US"/>
        </w:rPr>
        <w:t xml:space="preserve">Three </w:t>
      </w:r>
      <w:r w:rsidR="00447621">
        <w:rPr>
          <w:b/>
          <w:bCs/>
          <w:sz w:val="24"/>
          <w:szCs w:val="24"/>
          <w:lang w:val="en-US"/>
        </w:rPr>
        <w:t xml:space="preserve">out </w:t>
      </w:r>
      <w:r w:rsidRPr="00091AA8">
        <w:rPr>
          <w:b/>
          <w:bCs/>
          <w:sz w:val="24"/>
          <w:szCs w:val="24"/>
          <w:lang w:val="en-US"/>
        </w:rPr>
        <w:t xml:space="preserve">of every four children in Eastern regions </w:t>
      </w:r>
      <w:r w:rsidR="000D7F89">
        <w:rPr>
          <w:b/>
          <w:bCs/>
          <w:sz w:val="24"/>
          <w:szCs w:val="24"/>
          <w:lang w:val="en-US"/>
        </w:rPr>
        <w:t>live</w:t>
      </w:r>
      <w:r w:rsidRPr="00091AA8">
        <w:rPr>
          <w:b/>
          <w:bCs/>
          <w:sz w:val="24"/>
          <w:szCs w:val="24"/>
          <w:lang w:val="en-US"/>
        </w:rPr>
        <w:t xml:space="preserve"> in severe material deprivation </w:t>
      </w:r>
    </w:p>
    <w:p w:rsidR="00E313D1" w:rsidRPr="00FF4115" w:rsidRDefault="00DF7332" w:rsidP="001437CA">
      <w:pPr>
        <w:rPr>
          <w:bCs/>
          <w:lang w:val="en-US"/>
        </w:rPr>
      </w:pPr>
      <w:r w:rsidRPr="00FF4115">
        <w:rPr>
          <w:bCs/>
          <w:lang w:val="en-US"/>
        </w:rPr>
        <w:t>Data from</w:t>
      </w:r>
      <w:r w:rsidR="006B042F" w:rsidRPr="00FF4115">
        <w:rPr>
          <w:bCs/>
          <w:lang w:val="en-US"/>
        </w:rPr>
        <w:t xml:space="preserve"> </w:t>
      </w:r>
      <w:r w:rsidR="00EC4EB1">
        <w:rPr>
          <w:bCs/>
          <w:lang w:val="en-US"/>
        </w:rPr>
        <w:t>Survey of</w:t>
      </w:r>
      <w:r w:rsidRPr="00FF4115">
        <w:rPr>
          <w:bCs/>
          <w:lang w:val="en-US"/>
        </w:rPr>
        <w:t xml:space="preserve"> Income and Living Conditions (SILC) </w:t>
      </w:r>
      <w:r w:rsidR="00915743">
        <w:rPr>
          <w:bCs/>
          <w:lang w:val="en-US"/>
        </w:rPr>
        <w:t>conducted</w:t>
      </w:r>
      <w:r w:rsidRPr="00FF4115">
        <w:rPr>
          <w:bCs/>
          <w:lang w:val="en-US"/>
        </w:rPr>
        <w:t xml:space="preserve"> by</w:t>
      </w:r>
      <w:r w:rsidR="002569C2">
        <w:rPr>
          <w:bCs/>
          <w:lang w:val="en-US"/>
        </w:rPr>
        <w:t xml:space="preserve"> the</w:t>
      </w:r>
      <w:r w:rsidRPr="00FF4115">
        <w:rPr>
          <w:bCs/>
          <w:lang w:val="en-US"/>
        </w:rPr>
        <w:t xml:space="preserve"> Turk</w:t>
      </w:r>
      <w:r w:rsidR="00FC0B07">
        <w:rPr>
          <w:bCs/>
          <w:lang w:val="en-US"/>
        </w:rPr>
        <w:t>ish S</w:t>
      </w:r>
      <w:r w:rsidRPr="00FF4115">
        <w:rPr>
          <w:bCs/>
          <w:lang w:val="en-US"/>
        </w:rPr>
        <w:t>tat</w:t>
      </w:r>
      <w:r w:rsidR="00FC0B07">
        <w:rPr>
          <w:bCs/>
          <w:lang w:val="en-US"/>
        </w:rPr>
        <w:t>istical Institute (Turkstat)</w:t>
      </w:r>
      <w:r w:rsidRPr="00FF4115">
        <w:rPr>
          <w:bCs/>
          <w:lang w:val="en-US"/>
        </w:rPr>
        <w:t xml:space="preserve"> enables</w:t>
      </w:r>
      <w:r w:rsidR="00C0570A">
        <w:rPr>
          <w:bCs/>
          <w:lang w:val="en-US"/>
        </w:rPr>
        <w:t xml:space="preserve"> us to study the regional differences in material deprivation. There are</w:t>
      </w:r>
      <w:r w:rsidRPr="00FF4115">
        <w:rPr>
          <w:bCs/>
          <w:lang w:val="en-US"/>
        </w:rPr>
        <w:t xml:space="preserve"> significant </w:t>
      </w:r>
      <w:r w:rsidR="00C0570A">
        <w:rPr>
          <w:bCs/>
          <w:lang w:val="en-US"/>
        </w:rPr>
        <w:t xml:space="preserve">regional </w:t>
      </w:r>
      <w:r w:rsidRPr="00FF4115">
        <w:rPr>
          <w:bCs/>
          <w:lang w:val="en-US"/>
        </w:rPr>
        <w:t>disparities in Turkey in terms of severe material deprivation. Figure 2 indicates the share of severely</w:t>
      </w:r>
      <w:r w:rsidR="00C8599D">
        <w:rPr>
          <w:bCs/>
          <w:lang w:val="en-US"/>
        </w:rPr>
        <w:t xml:space="preserve"> materially deprived children among</w:t>
      </w:r>
      <w:r w:rsidRPr="00FF4115">
        <w:rPr>
          <w:bCs/>
          <w:lang w:val="en-US"/>
        </w:rPr>
        <w:t xml:space="preserve"> their peers by region. </w:t>
      </w:r>
      <w:r w:rsidR="00BA5DB8" w:rsidRPr="00FF4115">
        <w:rPr>
          <w:bCs/>
          <w:lang w:val="en-US"/>
        </w:rPr>
        <w:t xml:space="preserve">At first glance, the depth of differences between West - East </w:t>
      </w:r>
      <w:r w:rsidR="00986F05">
        <w:rPr>
          <w:bCs/>
          <w:lang w:val="en-US"/>
        </w:rPr>
        <w:t>stands</w:t>
      </w:r>
      <w:r w:rsidR="00BA5DB8" w:rsidRPr="00FF4115">
        <w:rPr>
          <w:bCs/>
          <w:lang w:val="en-US"/>
        </w:rPr>
        <w:t xml:space="preserve"> out.</w:t>
      </w:r>
      <w:r w:rsidR="00E313D1" w:rsidRPr="00FF4115">
        <w:rPr>
          <w:bCs/>
          <w:lang w:val="en-US"/>
        </w:rPr>
        <w:t xml:space="preserve"> Severe material deprivation rate among children was 50.9 percent in </w:t>
      </w:r>
      <w:r w:rsidR="007C456E">
        <w:rPr>
          <w:bCs/>
          <w:lang w:val="en-US"/>
        </w:rPr>
        <w:t xml:space="preserve">the </w:t>
      </w:r>
      <w:r w:rsidR="00E313D1" w:rsidRPr="00FF4115">
        <w:rPr>
          <w:bCs/>
          <w:lang w:val="en-US"/>
        </w:rPr>
        <w:t>Aegean</w:t>
      </w:r>
      <w:r w:rsidR="007C456E">
        <w:rPr>
          <w:bCs/>
          <w:lang w:val="en-US"/>
        </w:rPr>
        <w:t xml:space="preserve"> region</w:t>
      </w:r>
      <w:r w:rsidR="007B4F4A">
        <w:rPr>
          <w:bCs/>
          <w:lang w:val="en-US"/>
        </w:rPr>
        <w:t xml:space="preserve"> whereas the rate </w:t>
      </w:r>
      <w:r w:rsidR="00E313D1" w:rsidRPr="00FF4115">
        <w:rPr>
          <w:bCs/>
          <w:lang w:val="en-US"/>
        </w:rPr>
        <w:t xml:space="preserve">for South-East Anatolia </w:t>
      </w:r>
      <w:r w:rsidR="007B4F4A">
        <w:rPr>
          <w:bCs/>
          <w:lang w:val="en-US"/>
        </w:rPr>
        <w:t xml:space="preserve">is </w:t>
      </w:r>
      <w:r w:rsidR="00E313D1" w:rsidRPr="00FF4115">
        <w:rPr>
          <w:bCs/>
          <w:lang w:val="en-US"/>
        </w:rPr>
        <w:t>80.9 percent. The regions of West Black Sea, West Anatolia and East Mar</w:t>
      </w:r>
      <w:r w:rsidR="00D309DE">
        <w:rPr>
          <w:bCs/>
          <w:lang w:val="en-US"/>
        </w:rPr>
        <w:t>mara are below of Turkey average. On the other hand</w:t>
      </w:r>
      <w:r w:rsidR="00E313D1" w:rsidRPr="00FF4115">
        <w:rPr>
          <w:bCs/>
          <w:lang w:val="en-US"/>
        </w:rPr>
        <w:t>, approximately three</w:t>
      </w:r>
      <w:r w:rsidR="0026205D">
        <w:rPr>
          <w:bCs/>
          <w:lang w:val="en-US"/>
        </w:rPr>
        <w:t xml:space="preserve"> out</w:t>
      </w:r>
      <w:r w:rsidR="00E313D1" w:rsidRPr="00FF4115">
        <w:rPr>
          <w:bCs/>
          <w:lang w:val="en-US"/>
        </w:rPr>
        <w:t xml:space="preserve"> of every four children are in severely materially deprived in the regions of North-East Anatolia, Central-East Anatolia, and South-East Anatolia.</w:t>
      </w:r>
    </w:p>
    <w:p w:rsidR="00E313D1" w:rsidRPr="00091AA8" w:rsidRDefault="00E313D1" w:rsidP="00E313D1">
      <w:pPr>
        <w:rPr>
          <w:lang w:val="en-US"/>
        </w:rPr>
      </w:pPr>
      <w:r w:rsidRPr="00091AA8">
        <w:rPr>
          <w:lang w:val="en-US"/>
        </w:rPr>
        <w:t xml:space="preserve">Istanbul and Mediterranean regions are exceptions in </w:t>
      </w:r>
      <w:r w:rsidR="001B1374">
        <w:rPr>
          <w:lang w:val="en-US"/>
        </w:rPr>
        <w:t>the East- We</w:t>
      </w:r>
      <w:r w:rsidRPr="00091AA8">
        <w:rPr>
          <w:lang w:val="en-US"/>
        </w:rPr>
        <w:t xml:space="preserve">st segregation. The frequency of severe material deprivation among children is 61.7 percent </w:t>
      </w:r>
      <w:r w:rsidR="007D526E">
        <w:rPr>
          <w:lang w:val="en-US"/>
        </w:rPr>
        <w:t>in</w:t>
      </w:r>
      <w:r w:rsidRPr="00091AA8">
        <w:rPr>
          <w:lang w:val="en-US"/>
        </w:rPr>
        <w:t xml:space="preserve"> Istanbul and </w:t>
      </w:r>
      <w:r w:rsidR="00F15ECC" w:rsidRPr="00091AA8">
        <w:rPr>
          <w:lang w:val="en-US"/>
        </w:rPr>
        <w:t xml:space="preserve">64.5 percent </w:t>
      </w:r>
      <w:r w:rsidR="007D526E">
        <w:rPr>
          <w:lang w:val="en-US"/>
        </w:rPr>
        <w:t>in the Mediterranean r</w:t>
      </w:r>
      <w:r w:rsidR="00F15ECC" w:rsidRPr="00091AA8">
        <w:rPr>
          <w:lang w:val="en-US"/>
        </w:rPr>
        <w:t xml:space="preserve">egion. </w:t>
      </w:r>
      <w:r w:rsidR="0097683E" w:rsidRPr="00091AA8">
        <w:rPr>
          <w:lang w:val="en-US"/>
        </w:rPr>
        <w:t xml:space="preserve"> </w:t>
      </w:r>
      <w:r w:rsidR="0051083F">
        <w:rPr>
          <w:lang w:val="en-US"/>
        </w:rPr>
        <w:t>High influxes of immigrants</w:t>
      </w:r>
      <w:r w:rsidR="0097683E" w:rsidRPr="00091AA8">
        <w:rPr>
          <w:lang w:val="en-US"/>
        </w:rPr>
        <w:t xml:space="preserve"> to these regions may be one of the factors </w:t>
      </w:r>
      <w:r w:rsidR="0051083F">
        <w:rPr>
          <w:lang w:val="en-US"/>
        </w:rPr>
        <w:t>that cause</w:t>
      </w:r>
      <w:r w:rsidR="0097683E" w:rsidRPr="00091AA8">
        <w:rPr>
          <w:lang w:val="en-US"/>
        </w:rPr>
        <w:t xml:space="preserve"> high rate of severe material deprivation.  High cost of living in Istanbul is also </w:t>
      </w:r>
      <w:r w:rsidR="00FF43C3">
        <w:rPr>
          <w:lang w:val="en-US"/>
        </w:rPr>
        <w:t xml:space="preserve">a </w:t>
      </w:r>
      <w:r w:rsidR="0097683E" w:rsidRPr="00091AA8">
        <w:rPr>
          <w:lang w:val="en-US"/>
        </w:rPr>
        <w:t>determinant</w:t>
      </w:r>
      <w:r w:rsidR="00FF43C3">
        <w:rPr>
          <w:lang w:val="en-US"/>
        </w:rPr>
        <w:t>. In the Mediterranean region, the wide</w:t>
      </w:r>
      <w:r w:rsidR="0097683E" w:rsidRPr="00091AA8">
        <w:rPr>
          <w:lang w:val="en-US"/>
        </w:rPr>
        <w:t xml:space="preserve"> </w:t>
      </w:r>
      <w:r w:rsidR="00FF43C3">
        <w:rPr>
          <w:lang w:val="en-US"/>
        </w:rPr>
        <w:t>i</w:t>
      </w:r>
      <w:r w:rsidR="00672D47" w:rsidRPr="00091AA8">
        <w:rPr>
          <w:lang w:val="en-US"/>
        </w:rPr>
        <w:t>ncome gap between its mountain and coastal areas may cause</w:t>
      </w:r>
      <w:r w:rsidR="00FF43C3">
        <w:rPr>
          <w:lang w:val="en-US"/>
        </w:rPr>
        <w:t xml:space="preserve"> a</w:t>
      </w:r>
      <w:r w:rsidR="00672D47" w:rsidRPr="00091AA8">
        <w:rPr>
          <w:lang w:val="en-US"/>
        </w:rPr>
        <w:t xml:space="preserve"> high </w:t>
      </w:r>
      <w:r w:rsidR="00FF43C3">
        <w:rPr>
          <w:lang w:val="en-US"/>
        </w:rPr>
        <w:t>rate</w:t>
      </w:r>
      <w:r w:rsidR="00672D47" w:rsidRPr="00091AA8">
        <w:rPr>
          <w:lang w:val="en-US"/>
        </w:rPr>
        <w:t xml:space="preserve"> of severe material dep</w:t>
      </w:r>
      <w:r w:rsidR="00FF43C3">
        <w:rPr>
          <w:lang w:val="en-US"/>
        </w:rPr>
        <w:t>rivation</w:t>
      </w:r>
      <w:r w:rsidR="00672D47" w:rsidRPr="00091AA8">
        <w:rPr>
          <w:lang w:val="en-US"/>
        </w:rPr>
        <w:t>.</w:t>
      </w:r>
    </w:p>
    <w:p w:rsidR="00E313D1" w:rsidRPr="00091AA8" w:rsidRDefault="00E313D1" w:rsidP="001437CA">
      <w:pPr>
        <w:rPr>
          <w:bCs/>
          <w:sz w:val="24"/>
          <w:szCs w:val="24"/>
          <w:lang w:val="en-US"/>
        </w:rPr>
      </w:pPr>
    </w:p>
    <w:p w:rsidR="0090581A" w:rsidRPr="00091AA8" w:rsidRDefault="0090581A" w:rsidP="0090581A">
      <w:pPr>
        <w:pStyle w:val="Caption"/>
        <w:keepNext/>
        <w:rPr>
          <w:color w:val="auto"/>
          <w:sz w:val="22"/>
          <w:szCs w:val="22"/>
          <w:lang w:val="en-US"/>
        </w:rPr>
      </w:pPr>
      <w:r w:rsidRPr="00091AA8">
        <w:rPr>
          <w:color w:val="auto"/>
          <w:sz w:val="22"/>
          <w:szCs w:val="22"/>
          <w:lang w:val="en-US"/>
        </w:rPr>
        <w:lastRenderedPageBreak/>
        <w:t xml:space="preserve">Figure </w:t>
      </w:r>
      <w:r w:rsidR="00570AE4" w:rsidRPr="00091AA8">
        <w:rPr>
          <w:color w:val="auto"/>
          <w:sz w:val="22"/>
          <w:szCs w:val="22"/>
          <w:lang w:val="en-US"/>
        </w:rPr>
        <w:fldChar w:fldCharType="begin"/>
      </w:r>
      <w:r w:rsidRPr="00091AA8">
        <w:rPr>
          <w:color w:val="auto"/>
          <w:sz w:val="22"/>
          <w:szCs w:val="22"/>
          <w:lang w:val="en-US"/>
        </w:rPr>
        <w:instrText xml:space="preserve"> SEQ Şekil \* ARABIC </w:instrText>
      </w:r>
      <w:r w:rsidR="00570AE4" w:rsidRPr="00091AA8">
        <w:rPr>
          <w:color w:val="auto"/>
          <w:sz w:val="22"/>
          <w:szCs w:val="22"/>
          <w:lang w:val="en-US"/>
        </w:rPr>
        <w:fldChar w:fldCharType="separate"/>
      </w:r>
      <w:r w:rsidRPr="00091AA8">
        <w:rPr>
          <w:noProof/>
          <w:color w:val="auto"/>
          <w:sz w:val="22"/>
          <w:szCs w:val="22"/>
          <w:lang w:val="en-US"/>
        </w:rPr>
        <w:t>2</w:t>
      </w:r>
      <w:r w:rsidR="00570AE4" w:rsidRPr="00091AA8">
        <w:rPr>
          <w:color w:val="auto"/>
          <w:sz w:val="22"/>
          <w:szCs w:val="22"/>
          <w:lang w:val="en-US"/>
        </w:rPr>
        <w:fldChar w:fldCharType="end"/>
      </w:r>
      <w:r w:rsidR="003B0706" w:rsidRPr="00091AA8">
        <w:rPr>
          <w:color w:val="auto"/>
          <w:sz w:val="22"/>
          <w:szCs w:val="22"/>
          <w:lang w:val="en-US"/>
        </w:rPr>
        <w:t xml:space="preserve"> Severe material deprivation rate among children by region , 2011</w:t>
      </w:r>
    </w:p>
    <w:p w:rsidR="003B0706" w:rsidRPr="00091AA8" w:rsidRDefault="00E313D1" w:rsidP="003B0706">
      <w:pPr>
        <w:rPr>
          <w:sz w:val="20"/>
          <w:szCs w:val="20"/>
          <w:lang w:val="en-US"/>
        </w:rPr>
      </w:pPr>
      <w:r w:rsidRPr="00091AA8">
        <w:rPr>
          <w:b/>
          <w:bCs/>
          <w:noProof/>
          <w:sz w:val="24"/>
          <w:szCs w:val="24"/>
        </w:rPr>
        <w:drawing>
          <wp:inline distT="0" distB="0" distL="0" distR="0">
            <wp:extent cx="5671185" cy="3830320"/>
            <wp:effectExtent l="19050" t="0" r="5715" b="0"/>
            <wp:docPr id="2" name="Picture 1" descr="Figur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02.jpg"/>
                    <pic:cNvPicPr/>
                  </pic:nvPicPr>
                  <pic:blipFill>
                    <a:blip r:embed="rId9" cstate="print"/>
                    <a:stretch>
                      <a:fillRect/>
                    </a:stretch>
                  </pic:blipFill>
                  <pic:spPr>
                    <a:xfrm>
                      <a:off x="0" y="0"/>
                      <a:ext cx="5671185" cy="3830320"/>
                    </a:xfrm>
                    <a:prstGeom prst="rect">
                      <a:avLst/>
                    </a:prstGeom>
                  </pic:spPr>
                </pic:pic>
              </a:graphicData>
            </a:graphic>
          </wp:inline>
        </w:drawing>
      </w:r>
      <w:r w:rsidR="003B0706" w:rsidRPr="00091AA8">
        <w:rPr>
          <w:sz w:val="20"/>
          <w:szCs w:val="20"/>
          <w:lang w:val="en-US"/>
        </w:rPr>
        <w:t xml:space="preserve">Source: Turkstat, 2011 Income and Living </w:t>
      </w:r>
      <w:r w:rsidR="009577C4">
        <w:rPr>
          <w:sz w:val="20"/>
          <w:szCs w:val="20"/>
          <w:lang w:val="en-US"/>
        </w:rPr>
        <w:t>Conditions Survey micro dataset</w:t>
      </w:r>
      <w:r w:rsidR="003B0706" w:rsidRPr="00091AA8">
        <w:rPr>
          <w:sz w:val="20"/>
          <w:szCs w:val="20"/>
          <w:lang w:val="en-US"/>
        </w:rPr>
        <w:t xml:space="preserve">; Betam </w:t>
      </w:r>
    </w:p>
    <w:p w:rsidR="00E850CA" w:rsidRPr="00091AA8" w:rsidRDefault="00AE29D6" w:rsidP="00E850CA">
      <w:pPr>
        <w:rPr>
          <w:b/>
          <w:bCs/>
          <w:sz w:val="24"/>
          <w:szCs w:val="24"/>
          <w:lang w:val="en-US"/>
        </w:rPr>
      </w:pPr>
      <w:r>
        <w:rPr>
          <w:b/>
          <w:bCs/>
          <w:sz w:val="24"/>
          <w:szCs w:val="24"/>
          <w:lang w:val="en-US"/>
        </w:rPr>
        <w:t>Can we use a</w:t>
      </w:r>
      <w:r w:rsidR="00A17E44" w:rsidRPr="00091AA8">
        <w:rPr>
          <w:b/>
          <w:bCs/>
          <w:sz w:val="24"/>
          <w:szCs w:val="24"/>
          <w:lang w:val="en-US"/>
        </w:rPr>
        <w:t>nother measure for material deprivation?</w:t>
      </w:r>
    </w:p>
    <w:p w:rsidR="00CF1F78" w:rsidRPr="00CF4A69" w:rsidRDefault="00CF4A69" w:rsidP="006E6722">
      <w:pPr>
        <w:rPr>
          <w:bCs/>
          <w:lang w:val="en-US"/>
        </w:rPr>
      </w:pPr>
      <w:r>
        <w:rPr>
          <w:bCs/>
          <w:lang w:val="en-US"/>
        </w:rPr>
        <w:t>Using the European Union definition for severe material deprivation allows us to make international comparisons. The relative status of the children in Turkey can be analyzed using such measures. However, for policymaking purposes, such high rates are impractical since researchers and policy makers need to pinpoint those children who are in immediate need of policies that will lift them out of poverty. Betam has developed and started using a new and</w:t>
      </w:r>
      <w:r w:rsidR="00605861" w:rsidRPr="00091AA8">
        <w:rPr>
          <w:bCs/>
          <w:lang w:val="en-US"/>
        </w:rPr>
        <w:t xml:space="preserve"> experimental </w:t>
      </w:r>
      <w:r>
        <w:rPr>
          <w:bCs/>
          <w:lang w:val="en-US"/>
        </w:rPr>
        <w:t>definition</w:t>
      </w:r>
      <w:r w:rsidR="00605861" w:rsidRPr="00091AA8">
        <w:rPr>
          <w:bCs/>
          <w:lang w:val="en-US"/>
        </w:rPr>
        <w:t xml:space="preserve"> in order to measure basic material d</w:t>
      </w:r>
      <w:r>
        <w:rPr>
          <w:bCs/>
          <w:lang w:val="en-US"/>
        </w:rPr>
        <w:t>eprivation</w:t>
      </w:r>
      <w:r w:rsidR="00605861" w:rsidRPr="00091AA8">
        <w:rPr>
          <w:bCs/>
          <w:lang w:val="en-US"/>
        </w:rPr>
        <w:t xml:space="preserve">. </w:t>
      </w:r>
      <w:r>
        <w:rPr>
          <w:bCs/>
          <w:lang w:val="en-US"/>
        </w:rPr>
        <w:t xml:space="preserve">This </w:t>
      </w:r>
      <w:r w:rsidR="00605861" w:rsidRPr="00091AA8">
        <w:rPr>
          <w:bCs/>
          <w:lang w:val="en-US"/>
        </w:rPr>
        <w:t>definition of basic material deprivation con</w:t>
      </w:r>
      <w:r w:rsidR="006E6722" w:rsidRPr="00091AA8">
        <w:rPr>
          <w:bCs/>
          <w:lang w:val="en-US"/>
        </w:rPr>
        <w:t xml:space="preserve">centrates on three basic needs; </w:t>
      </w:r>
      <w:r w:rsidR="00605861" w:rsidRPr="00091AA8">
        <w:rPr>
          <w:lang w:val="en-US"/>
        </w:rPr>
        <w:t xml:space="preserve">to keep their home adequately warm, </w:t>
      </w:r>
      <w:r w:rsidR="00605861" w:rsidRPr="00F108FB">
        <w:rPr>
          <w:lang w:val="en-US"/>
        </w:rPr>
        <w:t>t</w:t>
      </w:r>
      <w:r w:rsidR="000856C6">
        <w:rPr>
          <w:lang w:val="en-US"/>
        </w:rPr>
        <w:t xml:space="preserve">o eat meat, chicken or fish </w:t>
      </w:r>
      <w:r w:rsidR="000B2E5B">
        <w:rPr>
          <w:lang w:val="en-US"/>
        </w:rPr>
        <w:t>every other day</w:t>
      </w:r>
      <w:r w:rsidR="00605861" w:rsidRPr="00091AA8">
        <w:rPr>
          <w:lang w:val="en-US"/>
        </w:rPr>
        <w:t xml:space="preserve">, and to </w:t>
      </w:r>
      <w:r w:rsidR="006E6722" w:rsidRPr="00091AA8">
        <w:rPr>
          <w:lang w:val="en-US"/>
        </w:rPr>
        <w:t xml:space="preserve">replace their </w:t>
      </w:r>
      <w:r w:rsidR="000B2E5B">
        <w:rPr>
          <w:lang w:val="en-US"/>
        </w:rPr>
        <w:t xml:space="preserve">old </w:t>
      </w:r>
      <w:r w:rsidR="006E6722" w:rsidRPr="00091AA8">
        <w:rPr>
          <w:lang w:val="en-US"/>
        </w:rPr>
        <w:t xml:space="preserve">clothes with the new ones. </w:t>
      </w:r>
      <w:r w:rsidR="00AF7D58">
        <w:rPr>
          <w:lang w:val="en-US"/>
        </w:rPr>
        <w:t>People</w:t>
      </w:r>
      <w:r w:rsidR="006E6722" w:rsidRPr="00091AA8">
        <w:rPr>
          <w:lang w:val="en-US"/>
        </w:rPr>
        <w:t xml:space="preserve"> who cannot afford  </w:t>
      </w:r>
      <w:r w:rsidR="00AF7D58">
        <w:rPr>
          <w:lang w:val="en-US"/>
        </w:rPr>
        <w:t>any</w:t>
      </w:r>
      <w:r w:rsidR="006E6722" w:rsidRPr="00091AA8">
        <w:rPr>
          <w:lang w:val="en-US"/>
        </w:rPr>
        <w:t xml:space="preserve"> of these three needs are </w:t>
      </w:r>
      <w:r w:rsidR="00AF7D58">
        <w:rPr>
          <w:lang w:val="en-US"/>
        </w:rPr>
        <w:t>defined</w:t>
      </w:r>
      <w:r w:rsidR="006714EE">
        <w:rPr>
          <w:lang w:val="en-US"/>
        </w:rPr>
        <w:t xml:space="preserve"> to</w:t>
      </w:r>
      <w:r w:rsidR="006E6722" w:rsidRPr="00091AA8">
        <w:rPr>
          <w:lang w:val="en-US"/>
        </w:rPr>
        <w:t xml:space="preserve"> be in basic material deprivation.  </w:t>
      </w:r>
    </w:p>
    <w:p w:rsidR="00CF1F78" w:rsidRPr="00091AA8" w:rsidRDefault="00CF1F78" w:rsidP="00CF1F78">
      <w:pPr>
        <w:pStyle w:val="Caption"/>
        <w:keepNext/>
        <w:rPr>
          <w:color w:val="auto"/>
          <w:sz w:val="22"/>
          <w:szCs w:val="22"/>
          <w:lang w:val="en-US"/>
        </w:rPr>
      </w:pPr>
      <w:r w:rsidRPr="00091AA8">
        <w:rPr>
          <w:color w:val="auto"/>
          <w:sz w:val="22"/>
          <w:szCs w:val="22"/>
          <w:lang w:val="en-US"/>
        </w:rPr>
        <w:t xml:space="preserve">Table </w:t>
      </w:r>
      <w:r w:rsidR="00570AE4" w:rsidRPr="00091AA8">
        <w:rPr>
          <w:color w:val="auto"/>
          <w:sz w:val="22"/>
          <w:szCs w:val="22"/>
          <w:lang w:val="en-US"/>
        </w:rPr>
        <w:fldChar w:fldCharType="begin"/>
      </w:r>
      <w:r w:rsidRPr="00091AA8">
        <w:rPr>
          <w:color w:val="auto"/>
          <w:sz w:val="22"/>
          <w:szCs w:val="22"/>
          <w:lang w:val="en-US"/>
        </w:rPr>
        <w:instrText xml:space="preserve"> SEQ Tablo \* ARABIC </w:instrText>
      </w:r>
      <w:r w:rsidR="00570AE4" w:rsidRPr="00091AA8">
        <w:rPr>
          <w:color w:val="auto"/>
          <w:sz w:val="22"/>
          <w:szCs w:val="22"/>
          <w:lang w:val="en-US"/>
        </w:rPr>
        <w:fldChar w:fldCharType="separate"/>
      </w:r>
      <w:r w:rsidRPr="00091AA8">
        <w:rPr>
          <w:noProof/>
          <w:color w:val="auto"/>
          <w:sz w:val="22"/>
          <w:szCs w:val="22"/>
          <w:lang w:val="en-US"/>
        </w:rPr>
        <w:t>1</w:t>
      </w:r>
      <w:r w:rsidR="00570AE4" w:rsidRPr="00091AA8">
        <w:rPr>
          <w:color w:val="auto"/>
          <w:sz w:val="22"/>
          <w:szCs w:val="22"/>
          <w:lang w:val="en-US"/>
        </w:rPr>
        <w:fldChar w:fldCharType="end"/>
      </w:r>
      <w:r w:rsidRPr="00091AA8">
        <w:rPr>
          <w:color w:val="auto"/>
          <w:sz w:val="22"/>
          <w:szCs w:val="22"/>
          <w:lang w:val="en-US"/>
        </w:rPr>
        <w:t xml:space="preserve"> Basic material deprivation rates among children </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48"/>
        <w:gridCol w:w="984"/>
        <w:gridCol w:w="984"/>
        <w:gridCol w:w="984"/>
        <w:gridCol w:w="984"/>
        <w:gridCol w:w="984"/>
        <w:gridCol w:w="979"/>
      </w:tblGrid>
      <w:tr w:rsidR="00CF1F78" w:rsidRPr="00091AA8" w:rsidTr="00CF4A69">
        <w:trPr>
          <w:trHeight w:val="315"/>
        </w:trPr>
        <w:tc>
          <w:tcPr>
            <w:tcW w:w="1775" w:type="pct"/>
            <w:shd w:val="clear" w:color="auto" w:fill="auto"/>
            <w:noWrap/>
            <w:vAlign w:val="bottom"/>
            <w:hideMark/>
          </w:tcPr>
          <w:p w:rsidR="00CF1F78" w:rsidRPr="00091AA8" w:rsidRDefault="00CF1F78" w:rsidP="00F179C6">
            <w:pPr>
              <w:spacing w:after="0" w:line="240" w:lineRule="auto"/>
              <w:rPr>
                <w:rFonts w:ascii="Calibri" w:eastAsia="Times New Roman" w:hAnsi="Calibri" w:cs="Times New Roman"/>
                <w:color w:val="000000"/>
                <w:lang w:val="en-US"/>
              </w:rPr>
            </w:pPr>
            <w:r w:rsidRPr="00091AA8">
              <w:rPr>
                <w:rFonts w:ascii="Calibri" w:eastAsia="Times New Roman" w:hAnsi="Calibri" w:cs="Times New Roman"/>
                <w:color w:val="000000"/>
                <w:lang w:val="en-US"/>
              </w:rPr>
              <w:t> </w:t>
            </w:r>
          </w:p>
        </w:tc>
        <w:tc>
          <w:tcPr>
            <w:tcW w:w="538" w:type="pct"/>
            <w:shd w:val="clear" w:color="auto" w:fill="auto"/>
            <w:noWrap/>
            <w:vAlign w:val="bottom"/>
            <w:hideMark/>
          </w:tcPr>
          <w:p w:rsidR="00CF1F78" w:rsidRPr="00091AA8" w:rsidRDefault="00CF1F78"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2006</w:t>
            </w:r>
          </w:p>
        </w:tc>
        <w:tc>
          <w:tcPr>
            <w:tcW w:w="538" w:type="pct"/>
            <w:shd w:val="clear" w:color="auto" w:fill="auto"/>
            <w:noWrap/>
            <w:vAlign w:val="bottom"/>
            <w:hideMark/>
          </w:tcPr>
          <w:p w:rsidR="00CF1F78" w:rsidRPr="00091AA8" w:rsidRDefault="00CF1F78"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2007</w:t>
            </w:r>
          </w:p>
        </w:tc>
        <w:tc>
          <w:tcPr>
            <w:tcW w:w="538" w:type="pct"/>
            <w:shd w:val="clear" w:color="auto" w:fill="auto"/>
            <w:noWrap/>
            <w:vAlign w:val="bottom"/>
            <w:hideMark/>
          </w:tcPr>
          <w:p w:rsidR="00CF1F78" w:rsidRPr="00091AA8" w:rsidRDefault="00CF1F78"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2008</w:t>
            </w:r>
          </w:p>
        </w:tc>
        <w:tc>
          <w:tcPr>
            <w:tcW w:w="538" w:type="pct"/>
            <w:shd w:val="clear" w:color="auto" w:fill="auto"/>
            <w:noWrap/>
            <w:vAlign w:val="bottom"/>
            <w:hideMark/>
          </w:tcPr>
          <w:p w:rsidR="00CF1F78" w:rsidRPr="00091AA8" w:rsidRDefault="00CF1F78"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2009</w:t>
            </w:r>
          </w:p>
        </w:tc>
        <w:tc>
          <w:tcPr>
            <w:tcW w:w="538" w:type="pct"/>
            <w:shd w:val="clear" w:color="auto" w:fill="auto"/>
            <w:noWrap/>
            <w:vAlign w:val="bottom"/>
            <w:hideMark/>
          </w:tcPr>
          <w:p w:rsidR="00CF1F78" w:rsidRPr="00091AA8" w:rsidRDefault="00CF1F78"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2010</w:t>
            </w:r>
          </w:p>
        </w:tc>
        <w:tc>
          <w:tcPr>
            <w:tcW w:w="535" w:type="pct"/>
            <w:shd w:val="clear" w:color="auto" w:fill="auto"/>
            <w:noWrap/>
            <w:vAlign w:val="bottom"/>
            <w:hideMark/>
          </w:tcPr>
          <w:p w:rsidR="00CF1F78" w:rsidRPr="00091AA8" w:rsidRDefault="00CF1F78"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2011</w:t>
            </w:r>
          </w:p>
        </w:tc>
      </w:tr>
      <w:tr w:rsidR="00CF1F78" w:rsidRPr="00091AA8" w:rsidTr="00CF4A69">
        <w:trPr>
          <w:trHeight w:val="300"/>
        </w:trPr>
        <w:tc>
          <w:tcPr>
            <w:tcW w:w="1775" w:type="pct"/>
            <w:shd w:val="clear" w:color="auto" w:fill="auto"/>
            <w:noWrap/>
            <w:vAlign w:val="bottom"/>
            <w:hideMark/>
          </w:tcPr>
          <w:p w:rsidR="00CF1F78" w:rsidRPr="00091AA8" w:rsidRDefault="00CF1F78" w:rsidP="00F179C6">
            <w:pPr>
              <w:spacing w:after="0" w:line="240" w:lineRule="auto"/>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Basic material deprivation</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34.</w:t>
            </w:r>
            <w:r w:rsidR="00CF1F78" w:rsidRPr="00091AA8">
              <w:rPr>
                <w:rFonts w:ascii="Calibri" w:eastAsia="Times New Roman" w:hAnsi="Calibri" w:cs="Times New Roman"/>
                <w:b/>
                <w:bCs/>
                <w:color w:val="000000"/>
                <w:lang w:val="en-US"/>
              </w:rPr>
              <w:t>7</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34.</w:t>
            </w:r>
            <w:r w:rsidR="00CF1F78" w:rsidRPr="00091AA8">
              <w:rPr>
                <w:rFonts w:ascii="Calibri" w:eastAsia="Times New Roman" w:hAnsi="Calibri" w:cs="Times New Roman"/>
                <w:b/>
                <w:bCs/>
                <w:color w:val="000000"/>
                <w:lang w:val="en-US"/>
              </w:rPr>
              <w:t>1</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30.</w:t>
            </w:r>
            <w:r w:rsidR="00CF1F78" w:rsidRPr="00091AA8">
              <w:rPr>
                <w:rFonts w:ascii="Calibri" w:eastAsia="Times New Roman" w:hAnsi="Calibri" w:cs="Times New Roman"/>
                <w:b/>
                <w:bCs/>
                <w:color w:val="000000"/>
                <w:lang w:val="en-US"/>
              </w:rPr>
              <w:t>9</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28.</w:t>
            </w:r>
            <w:r w:rsidR="00CF1F78" w:rsidRPr="00091AA8">
              <w:rPr>
                <w:rFonts w:ascii="Calibri" w:eastAsia="Times New Roman" w:hAnsi="Calibri" w:cs="Times New Roman"/>
                <w:b/>
                <w:bCs/>
                <w:color w:val="000000"/>
                <w:lang w:val="en-US"/>
              </w:rPr>
              <w:t>9</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24.</w:t>
            </w:r>
            <w:r w:rsidR="00CF1F78" w:rsidRPr="00091AA8">
              <w:rPr>
                <w:rFonts w:ascii="Calibri" w:eastAsia="Times New Roman" w:hAnsi="Calibri" w:cs="Times New Roman"/>
                <w:b/>
                <w:bCs/>
                <w:color w:val="000000"/>
                <w:lang w:val="en-US"/>
              </w:rPr>
              <w:t>4</w:t>
            </w:r>
          </w:p>
        </w:tc>
        <w:tc>
          <w:tcPr>
            <w:tcW w:w="535"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24.</w:t>
            </w:r>
            <w:r w:rsidR="00CF1F78" w:rsidRPr="00091AA8">
              <w:rPr>
                <w:rFonts w:ascii="Calibri" w:eastAsia="Times New Roman" w:hAnsi="Calibri" w:cs="Times New Roman"/>
                <w:b/>
                <w:bCs/>
                <w:color w:val="000000"/>
                <w:lang w:val="en-US"/>
              </w:rPr>
              <w:t>8</w:t>
            </w:r>
          </w:p>
        </w:tc>
      </w:tr>
      <w:tr w:rsidR="00CF1F78" w:rsidRPr="00091AA8" w:rsidTr="00CF4A69">
        <w:trPr>
          <w:trHeight w:val="300"/>
        </w:trPr>
        <w:tc>
          <w:tcPr>
            <w:tcW w:w="1775" w:type="pct"/>
            <w:shd w:val="clear" w:color="auto" w:fill="auto"/>
            <w:noWrap/>
            <w:vAlign w:val="bottom"/>
            <w:hideMark/>
          </w:tcPr>
          <w:p w:rsidR="00CF1F78" w:rsidRPr="00091AA8" w:rsidRDefault="00091AA8" w:rsidP="00F179C6">
            <w:pPr>
              <w:spacing w:after="0" w:line="240" w:lineRule="auto"/>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Nutrition</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69.</w:t>
            </w:r>
            <w:r w:rsidR="00CF1F78" w:rsidRPr="00091AA8">
              <w:rPr>
                <w:rFonts w:ascii="Calibri" w:eastAsia="Times New Roman" w:hAnsi="Calibri" w:cs="Times New Roman"/>
                <w:color w:val="000000"/>
                <w:lang w:val="en-US"/>
              </w:rPr>
              <w:t>1</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66.</w:t>
            </w:r>
            <w:r w:rsidR="00CF1F78" w:rsidRPr="00091AA8">
              <w:rPr>
                <w:rFonts w:ascii="Calibri" w:eastAsia="Times New Roman" w:hAnsi="Calibri" w:cs="Times New Roman"/>
                <w:color w:val="000000"/>
                <w:lang w:val="en-US"/>
              </w:rPr>
              <w:t>5</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63.</w:t>
            </w:r>
            <w:r w:rsidR="00CF1F78" w:rsidRPr="00091AA8">
              <w:rPr>
                <w:rFonts w:ascii="Calibri" w:eastAsia="Times New Roman" w:hAnsi="Calibri" w:cs="Times New Roman"/>
                <w:color w:val="000000"/>
                <w:lang w:val="en-US"/>
              </w:rPr>
              <w:t>7</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65.</w:t>
            </w:r>
            <w:r w:rsidR="00CF1F78" w:rsidRPr="00091AA8">
              <w:rPr>
                <w:rFonts w:ascii="Calibri" w:eastAsia="Times New Roman" w:hAnsi="Calibri" w:cs="Times New Roman"/>
                <w:color w:val="000000"/>
                <w:lang w:val="en-US"/>
              </w:rPr>
              <w:t>7</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66.</w:t>
            </w:r>
            <w:r w:rsidR="00CF1F78" w:rsidRPr="00091AA8">
              <w:rPr>
                <w:rFonts w:ascii="Calibri" w:eastAsia="Times New Roman" w:hAnsi="Calibri" w:cs="Times New Roman"/>
                <w:color w:val="000000"/>
                <w:lang w:val="en-US"/>
              </w:rPr>
              <w:t>9</w:t>
            </w:r>
          </w:p>
        </w:tc>
        <w:tc>
          <w:tcPr>
            <w:tcW w:w="535"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64.</w:t>
            </w:r>
            <w:r w:rsidR="00CF1F78" w:rsidRPr="00091AA8">
              <w:rPr>
                <w:rFonts w:ascii="Calibri" w:eastAsia="Times New Roman" w:hAnsi="Calibri" w:cs="Times New Roman"/>
                <w:color w:val="000000"/>
                <w:lang w:val="en-US"/>
              </w:rPr>
              <w:t>7</w:t>
            </w:r>
          </w:p>
        </w:tc>
      </w:tr>
      <w:tr w:rsidR="00CF1F78" w:rsidRPr="00091AA8" w:rsidTr="00CF4A69">
        <w:trPr>
          <w:trHeight w:val="300"/>
        </w:trPr>
        <w:tc>
          <w:tcPr>
            <w:tcW w:w="1775" w:type="pct"/>
            <w:shd w:val="clear" w:color="auto" w:fill="auto"/>
            <w:noWrap/>
            <w:vAlign w:val="bottom"/>
            <w:hideMark/>
          </w:tcPr>
          <w:p w:rsidR="00CF1F78" w:rsidRPr="00091AA8" w:rsidRDefault="00CF1F78" w:rsidP="00F179C6">
            <w:pPr>
              <w:spacing w:after="0" w:line="240" w:lineRule="auto"/>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Heating</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45.</w:t>
            </w:r>
            <w:r w:rsidR="00CF1F78" w:rsidRPr="00091AA8">
              <w:rPr>
                <w:rFonts w:ascii="Calibri" w:eastAsia="Times New Roman" w:hAnsi="Calibri" w:cs="Times New Roman"/>
                <w:color w:val="000000"/>
                <w:lang w:val="en-US"/>
              </w:rPr>
              <w:t>2</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45.</w:t>
            </w:r>
            <w:r w:rsidR="00CF1F78" w:rsidRPr="00091AA8">
              <w:rPr>
                <w:rFonts w:ascii="Calibri" w:eastAsia="Times New Roman" w:hAnsi="Calibri" w:cs="Times New Roman"/>
                <w:color w:val="000000"/>
                <w:lang w:val="en-US"/>
              </w:rPr>
              <w:t>3</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46.</w:t>
            </w:r>
            <w:r w:rsidR="00CF1F78" w:rsidRPr="00091AA8">
              <w:rPr>
                <w:rFonts w:ascii="Calibri" w:eastAsia="Times New Roman" w:hAnsi="Calibri" w:cs="Times New Roman"/>
                <w:color w:val="000000"/>
                <w:lang w:val="en-US"/>
              </w:rPr>
              <w:t>1</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43.</w:t>
            </w:r>
            <w:r w:rsidR="00CF1F78" w:rsidRPr="00091AA8">
              <w:rPr>
                <w:rFonts w:ascii="Calibri" w:eastAsia="Times New Roman" w:hAnsi="Calibri" w:cs="Times New Roman"/>
                <w:color w:val="000000"/>
                <w:lang w:val="en-US"/>
              </w:rPr>
              <w:t>0</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40.</w:t>
            </w:r>
            <w:r w:rsidR="00CF1F78" w:rsidRPr="00091AA8">
              <w:rPr>
                <w:rFonts w:ascii="Calibri" w:eastAsia="Times New Roman" w:hAnsi="Calibri" w:cs="Times New Roman"/>
                <w:color w:val="000000"/>
                <w:lang w:val="en-US"/>
              </w:rPr>
              <w:t>3</w:t>
            </w:r>
          </w:p>
        </w:tc>
        <w:tc>
          <w:tcPr>
            <w:tcW w:w="535"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39.</w:t>
            </w:r>
            <w:r w:rsidR="00CF1F78" w:rsidRPr="00091AA8">
              <w:rPr>
                <w:rFonts w:ascii="Calibri" w:eastAsia="Times New Roman" w:hAnsi="Calibri" w:cs="Times New Roman"/>
                <w:color w:val="000000"/>
                <w:lang w:val="en-US"/>
              </w:rPr>
              <w:t>9</w:t>
            </w:r>
          </w:p>
        </w:tc>
      </w:tr>
      <w:tr w:rsidR="00CF1F78" w:rsidRPr="00091AA8" w:rsidTr="00CF4A69">
        <w:trPr>
          <w:trHeight w:val="315"/>
        </w:trPr>
        <w:tc>
          <w:tcPr>
            <w:tcW w:w="1775" w:type="pct"/>
            <w:shd w:val="clear" w:color="auto" w:fill="auto"/>
            <w:noWrap/>
            <w:vAlign w:val="bottom"/>
            <w:hideMark/>
          </w:tcPr>
          <w:p w:rsidR="00CF1F78" w:rsidRPr="00091AA8" w:rsidRDefault="00CF1F78" w:rsidP="00F179C6">
            <w:pPr>
              <w:spacing w:after="0" w:line="240" w:lineRule="auto"/>
              <w:rPr>
                <w:rFonts w:ascii="Calibri" w:eastAsia="Times New Roman" w:hAnsi="Calibri" w:cs="Times New Roman"/>
                <w:b/>
                <w:bCs/>
                <w:color w:val="000000"/>
                <w:lang w:val="en-US"/>
              </w:rPr>
            </w:pPr>
            <w:r w:rsidRPr="00091AA8">
              <w:rPr>
                <w:rFonts w:ascii="Calibri" w:eastAsia="Times New Roman" w:hAnsi="Calibri" w:cs="Times New Roman"/>
                <w:b/>
                <w:bCs/>
                <w:color w:val="000000"/>
                <w:lang w:val="en-US"/>
              </w:rPr>
              <w:t>Clothing</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60.</w:t>
            </w:r>
            <w:r w:rsidR="00CF1F78" w:rsidRPr="00091AA8">
              <w:rPr>
                <w:rFonts w:ascii="Calibri" w:eastAsia="Times New Roman" w:hAnsi="Calibri" w:cs="Times New Roman"/>
                <w:color w:val="000000"/>
                <w:lang w:val="en-US"/>
              </w:rPr>
              <w:t>2</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55.</w:t>
            </w:r>
            <w:r w:rsidR="00CF1F78" w:rsidRPr="00091AA8">
              <w:rPr>
                <w:rFonts w:ascii="Calibri" w:eastAsia="Times New Roman" w:hAnsi="Calibri" w:cs="Times New Roman"/>
                <w:color w:val="000000"/>
                <w:lang w:val="en-US"/>
              </w:rPr>
              <w:t>5</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49.</w:t>
            </w:r>
            <w:r w:rsidR="00CF1F78" w:rsidRPr="00091AA8">
              <w:rPr>
                <w:rFonts w:ascii="Calibri" w:eastAsia="Times New Roman" w:hAnsi="Calibri" w:cs="Times New Roman"/>
                <w:color w:val="000000"/>
                <w:lang w:val="en-US"/>
              </w:rPr>
              <w:t>4</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48.</w:t>
            </w:r>
            <w:r w:rsidR="00CF1F78" w:rsidRPr="00091AA8">
              <w:rPr>
                <w:rFonts w:ascii="Calibri" w:eastAsia="Times New Roman" w:hAnsi="Calibri" w:cs="Times New Roman"/>
                <w:color w:val="000000"/>
                <w:lang w:val="en-US"/>
              </w:rPr>
              <w:t>0</w:t>
            </w:r>
          </w:p>
        </w:tc>
        <w:tc>
          <w:tcPr>
            <w:tcW w:w="538"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40.</w:t>
            </w:r>
            <w:r w:rsidR="00CF1F78" w:rsidRPr="00091AA8">
              <w:rPr>
                <w:rFonts w:ascii="Calibri" w:eastAsia="Times New Roman" w:hAnsi="Calibri" w:cs="Times New Roman"/>
                <w:color w:val="000000"/>
                <w:lang w:val="en-US"/>
              </w:rPr>
              <w:t>8</w:t>
            </w:r>
          </w:p>
        </w:tc>
        <w:tc>
          <w:tcPr>
            <w:tcW w:w="535" w:type="pct"/>
            <w:shd w:val="clear" w:color="auto" w:fill="auto"/>
            <w:noWrap/>
            <w:vAlign w:val="bottom"/>
            <w:hideMark/>
          </w:tcPr>
          <w:p w:rsidR="00CF1F78" w:rsidRPr="00091AA8" w:rsidRDefault="00280ECD" w:rsidP="00F179C6">
            <w:pPr>
              <w:spacing w:after="0" w:line="240" w:lineRule="auto"/>
              <w:jc w:val="center"/>
              <w:rPr>
                <w:rFonts w:ascii="Calibri" w:eastAsia="Times New Roman" w:hAnsi="Calibri" w:cs="Times New Roman"/>
                <w:color w:val="000000"/>
                <w:lang w:val="en-US"/>
              </w:rPr>
            </w:pPr>
            <w:r w:rsidRPr="00091AA8">
              <w:rPr>
                <w:rFonts w:ascii="Calibri" w:eastAsia="Times New Roman" w:hAnsi="Calibri" w:cs="Times New Roman"/>
                <w:color w:val="000000"/>
                <w:lang w:val="en-US"/>
              </w:rPr>
              <w:t>40.</w:t>
            </w:r>
            <w:r w:rsidR="00CF1F78" w:rsidRPr="00091AA8">
              <w:rPr>
                <w:rFonts w:ascii="Calibri" w:eastAsia="Times New Roman" w:hAnsi="Calibri" w:cs="Times New Roman"/>
                <w:color w:val="000000"/>
                <w:lang w:val="en-US"/>
              </w:rPr>
              <w:t>0</w:t>
            </w:r>
          </w:p>
        </w:tc>
      </w:tr>
    </w:tbl>
    <w:p w:rsidR="00CF1F78" w:rsidRPr="00091AA8" w:rsidRDefault="00CF4A69" w:rsidP="00CF1F78">
      <w:pPr>
        <w:rPr>
          <w:lang w:val="en-US"/>
        </w:rPr>
      </w:pPr>
      <w:r w:rsidRPr="00091AA8">
        <w:rPr>
          <w:sz w:val="20"/>
          <w:szCs w:val="20"/>
          <w:lang w:val="en-US"/>
        </w:rPr>
        <w:t xml:space="preserve">Source: Turkstat, 2011 Income and Living </w:t>
      </w:r>
      <w:r>
        <w:rPr>
          <w:sz w:val="20"/>
          <w:szCs w:val="20"/>
          <w:lang w:val="en-US"/>
        </w:rPr>
        <w:t>Conditions Survey micro dataset</w:t>
      </w:r>
      <w:r w:rsidRPr="00091AA8">
        <w:rPr>
          <w:sz w:val="20"/>
          <w:szCs w:val="20"/>
          <w:lang w:val="en-US"/>
        </w:rPr>
        <w:t>; Betam</w:t>
      </w:r>
    </w:p>
    <w:p w:rsidR="00091AA8" w:rsidRDefault="003A31C3" w:rsidP="00C9191B">
      <w:pPr>
        <w:rPr>
          <w:lang w:val="en-US"/>
        </w:rPr>
      </w:pPr>
      <w:r>
        <w:rPr>
          <w:lang w:val="en-US"/>
        </w:rPr>
        <w:t xml:space="preserve">Table 1 indicates the </w:t>
      </w:r>
      <w:r w:rsidR="00893AA6">
        <w:rPr>
          <w:lang w:val="en-US"/>
        </w:rPr>
        <w:t>rate</w:t>
      </w:r>
      <w:r>
        <w:rPr>
          <w:lang w:val="en-US"/>
        </w:rPr>
        <w:t xml:space="preserve"> of basic material deprivation among children in Turkey. </w:t>
      </w:r>
      <w:r w:rsidR="006D0670">
        <w:rPr>
          <w:lang w:val="en-US"/>
        </w:rPr>
        <w:t xml:space="preserve">According to these results calculated again by using Income and Living Conditions Survey dataset, 24.8 percent of </w:t>
      </w:r>
      <w:r w:rsidR="006D0670">
        <w:rPr>
          <w:lang w:val="en-US"/>
        </w:rPr>
        <w:lastRenderedPageBreak/>
        <w:t>the children in Turkey in the year of 2011 cannot kee</w:t>
      </w:r>
      <w:r w:rsidR="00CB17FF">
        <w:rPr>
          <w:lang w:val="en-US"/>
        </w:rPr>
        <w:t xml:space="preserve">p their home adequately warm , cannot eat meat, chicken or fish </w:t>
      </w:r>
      <w:r w:rsidR="006D0670">
        <w:rPr>
          <w:lang w:val="en-US"/>
        </w:rPr>
        <w:t xml:space="preserve">every </w:t>
      </w:r>
      <w:r w:rsidR="00CB17FF">
        <w:rPr>
          <w:lang w:val="en-US"/>
        </w:rPr>
        <w:t>other day</w:t>
      </w:r>
      <w:r w:rsidR="006D0670">
        <w:rPr>
          <w:lang w:val="en-US"/>
        </w:rPr>
        <w:t xml:space="preserve"> and cannot replace their old clothes with the new ones.</w:t>
      </w:r>
      <w:r w:rsidR="006D0670" w:rsidRPr="006D0670">
        <w:rPr>
          <w:rStyle w:val="FootnoteReference"/>
          <w:lang w:val="en-US"/>
        </w:rPr>
        <w:t xml:space="preserve"> </w:t>
      </w:r>
      <w:r w:rsidR="006D0670" w:rsidRPr="00091AA8">
        <w:rPr>
          <w:rStyle w:val="FootnoteReference"/>
          <w:lang w:val="en-US"/>
        </w:rPr>
        <w:footnoteReference w:id="4"/>
      </w:r>
    </w:p>
    <w:p w:rsidR="006D0670" w:rsidRDefault="006D0670" w:rsidP="00AA60FC">
      <w:pPr>
        <w:rPr>
          <w:lang w:val="en-US"/>
        </w:rPr>
      </w:pPr>
      <w:r>
        <w:rPr>
          <w:lang w:val="en-US"/>
        </w:rPr>
        <w:t xml:space="preserve">The rates of children who cannot </w:t>
      </w:r>
      <w:r w:rsidR="0074012F">
        <w:rPr>
          <w:lang w:val="en-US"/>
        </w:rPr>
        <w:t>meet</w:t>
      </w:r>
      <w:r>
        <w:rPr>
          <w:lang w:val="en-US"/>
        </w:rPr>
        <w:t xml:space="preserve"> </w:t>
      </w:r>
      <w:r w:rsidR="0074012F">
        <w:rPr>
          <w:lang w:val="en-US"/>
        </w:rPr>
        <w:t>any</w:t>
      </w:r>
      <w:r>
        <w:rPr>
          <w:lang w:val="en-US"/>
        </w:rPr>
        <w:t xml:space="preserve"> of </w:t>
      </w:r>
      <w:r w:rsidR="0074012F">
        <w:rPr>
          <w:lang w:val="en-US"/>
        </w:rPr>
        <w:t xml:space="preserve">these </w:t>
      </w:r>
      <w:r>
        <w:rPr>
          <w:lang w:val="en-US"/>
        </w:rPr>
        <w:t>three basic needs have substantially and rapidly declined from 2006 to 2010. According to the alternative measurement, basic material deprivation rate among children declined from 34.7 percent in 2006 to 24.4 percent in 2010.</w:t>
      </w:r>
      <w:r w:rsidR="002C4EA8">
        <w:rPr>
          <w:lang w:val="en-US"/>
        </w:rPr>
        <w:t xml:space="preserve"> A decrease of</w:t>
      </w:r>
      <w:r>
        <w:rPr>
          <w:lang w:val="en-US"/>
        </w:rPr>
        <w:t xml:space="preserve"> </w:t>
      </w:r>
      <w:r w:rsidR="00EC3DE6">
        <w:rPr>
          <w:lang w:val="en-US"/>
        </w:rPr>
        <w:t>10 percent</w:t>
      </w:r>
      <w:r w:rsidR="002C4EA8">
        <w:rPr>
          <w:lang w:val="en-US"/>
        </w:rPr>
        <w:t>age</w:t>
      </w:r>
      <w:r w:rsidR="00EC3DE6">
        <w:rPr>
          <w:lang w:val="en-US"/>
        </w:rPr>
        <w:t xml:space="preserve"> point</w:t>
      </w:r>
      <w:r w:rsidR="002C4EA8">
        <w:rPr>
          <w:lang w:val="en-US"/>
        </w:rPr>
        <w:t>s</w:t>
      </w:r>
      <w:r w:rsidR="00EC3DE6">
        <w:rPr>
          <w:lang w:val="en-US"/>
        </w:rPr>
        <w:t xml:space="preserve"> </w:t>
      </w:r>
      <w:r w:rsidR="002C4EA8">
        <w:rPr>
          <w:lang w:val="en-US"/>
        </w:rPr>
        <w:t>in</w:t>
      </w:r>
      <w:r w:rsidR="00EC3DE6">
        <w:rPr>
          <w:lang w:val="en-US"/>
        </w:rPr>
        <w:t xml:space="preserve"> four year</w:t>
      </w:r>
      <w:r w:rsidR="00D100FF">
        <w:rPr>
          <w:lang w:val="en-US"/>
        </w:rPr>
        <w:t>s</w:t>
      </w:r>
      <w:r w:rsidR="00EC3DE6">
        <w:rPr>
          <w:lang w:val="en-US"/>
        </w:rPr>
        <w:t xml:space="preserve"> is an impressive result. </w:t>
      </w:r>
      <w:r w:rsidR="00AA60FC">
        <w:rPr>
          <w:lang w:val="en-US"/>
        </w:rPr>
        <w:t xml:space="preserve">Nevertheless, there is a small increase in 2011 and the rate of basic material deprivation increases to 24.8 percent. </w:t>
      </w:r>
      <w:r w:rsidR="0007767A">
        <w:rPr>
          <w:lang w:val="en-US"/>
        </w:rPr>
        <w:t xml:space="preserve">The </w:t>
      </w:r>
      <w:r w:rsidR="00AA60FC">
        <w:rPr>
          <w:lang w:val="en-US"/>
        </w:rPr>
        <w:t>share</w:t>
      </w:r>
      <w:r w:rsidR="0007767A">
        <w:rPr>
          <w:lang w:val="en-US"/>
        </w:rPr>
        <w:t xml:space="preserve"> of children who cannot meet their own protein needs has declined from 66.9 to 64.7 percent and the </w:t>
      </w:r>
      <w:r w:rsidR="00AA60FC">
        <w:rPr>
          <w:lang w:val="en-US"/>
        </w:rPr>
        <w:t>share</w:t>
      </w:r>
      <w:r w:rsidR="0007767A">
        <w:rPr>
          <w:lang w:val="en-US"/>
        </w:rPr>
        <w:t xml:space="preserve"> of children cannot </w:t>
      </w:r>
      <w:r w:rsidR="00AA60FC">
        <w:rPr>
          <w:lang w:val="en-US"/>
        </w:rPr>
        <w:t>keep their homes warm</w:t>
      </w:r>
      <w:r w:rsidR="0007767A">
        <w:rPr>
          <w:lang w:val="en-US"/>
        </w:rPr>
        <w:t xml:space="preserve"> has decreased from 40.3 to 39.9 </w:t>
      </w:r>
      <w:r w:rsidR="00063386">
        <w:rPr>
          <w:lang w:val="en-US"/>
        </w:rPr>
        <w:t xml:space="preserve">percent, </w:t>
      </w:r>
      <w:r w:rsidR="0007767A">
        <w:rPr>
          <w:lang w:val="en-US"/>
        </w:rPr>
        <w:t xml:space="preserve">and the </w:t>
      </w:r>
      <w:r w:rsidR="00AA60FC">
        <w:rPr>
          <w:lang w:val="en-US"/>
        </w:rPr>
        <w:t>share</w:t>
      </w:r>
      <w:r w:rsidR="0007767A">
        <w:rPr>
          <w:lang w:val="en-US"/>
        </w:rPr>
        <w:t xml:space="preserve"> </w:t>
      </w:r>
      <w:r w:rsidR="00AA60FC">
        <w:rPr>
          <w:lang w:val="en-US"/>
        </w:rPr>
        <w:t xml:space="preserve">of children who cannot meet their </w:t>
      </w:r>
      <w:r w:rsidR="00063386">
        <w:rPr>
          <w:lang w:val="en-US"/>
        </w:rPr>
        <w:t xml:space="preserve">clothing needs has fallen from 40.8 to 40 percent </w:t>
      </w:r>
      <w:r w:rsidR="0007767A">
        <w:rPr>
          <w:lang w:val="en-US"/>
        </w:rPr>
        <w:t xml:space="preserve">between the years of 2010 and 2011. </w:t>
      </w:r>
      <w:r w:rsidR="00063386">
        <w:rPr>
          <w:lang w:val="en-US"/>
        </w:rPr>
        <w:t xml:space="preserve">Nonetheless, the </w:t>
      </w:r>
      <w:r w:rsidR="009D3031">
        <w:rPr>
          <w:lang w:val="en-US"/>
        </w:rPr>
        <w:t>share</w:t>
      </w:r>
      <w:r w:rsidR="00063386">
        <w:rPr>
          <w:lang w:val="en-US"/>
        </w:rPr>
        <w:t xml:space="preserve"> of children who can afford neith</w:t>
      </w:r>
      <w:r w:rsidR="009D3031">
        <w:rPr>
          <w:lang w:val="en-US"/>
        </w:rPr>
        <w:t xml:space="preserve">er of three basic needs </w:t>
      </w:r>
      <w:r w:rsidR="00063386">
        <w:rPr>
          <w:lang w:val="en-US"/>
        </w:rPr>
        <w:t>increase</w:t>
      </w:r>
      <w:r w:rsidR="009D3031">
        <w:rPr>
          <w:lang w:val="en-US"/>
        </w:rPr>
        <w:t>d, albeit slightly</w:t>
      </w:r>
      <w:r w:rsidR="00063386">
        <w:rPr>
          <w:lang w:val="en-US"/>
        </w:rPr>
        <w:t>.</w:t>
      </w:r>
    </w:p>
    <w:p w:rsidR="001437CA" w:rsidRPr="00091AA8" w:rsidRDefault="00063386" w:rsidP="00CF1F78">
      <w:pPr>
        <w:rPr>
          <w:lang w:val="en-US"/>
        </w:rPr>
      </w:pPr>
      <w:r w:rsidRPr="00063386">
        <w:rPr>
          <w:lang w:val="en-US"/>
        </w:rPr>
        <w:t>Both international comparison</w:t>
      </w:r>
      <w:r w:rsidR="00C959AA">
        <w:rPr>
          <w:lang w:val="en-US"/>
        </w:rPr>
        <w:t>s</w:t>
      </w:r>
      <w:r w:rsidRPr="00063386">
        <w:rPr>
          <w:lang w:val="en-US"/>
        </w:rPr>
        <w:t xml:space="preserve"> and </w:t>
      </w:r>
      <w:r w:rsidR="00AB0CCA">
        <w:rPr>
          <w:lang w:val="en-US"/>
        </w:rPr>
        <w:t xml:space="preserve">trends </w:t>
      </w:r>
      <w:r w:rsidRPr="00063386">
        <w:rPr>
          <w:lang w:val="en-US"/>
        </w:rPr>
        <w:t xml:space="preserve">in Turkey </w:t>
      </w:r>
      <w:r w:rsidR="00AB0CCA">
        <w:rPr>
          <w:lang w:val="en-US"/>
        </w:rPr>
        <w:t xml:space="preserve">clearly show </w:t>
      </w:r>
      <w:r w:rsidRPr="00063386">
        <w:rPr>
          <w:lang w:val="en-US"/>
        </w:rPr>
        <w:t xml:space="preserve">that </w:t>
      </w:r>
      <w:r>
        <w:rPr>
          <w:lang w:val="en-US"/>
        </w:rPr>
        <w:t xml:space="preserve">child poverty in Turkey is persistent and severe. </w:t>
      </w:r>
      <w:r w:rsidR="00F65ECF">
        <w:rPr>
          <w:lang w:val="en-US"/>
        </w:rPr>
        <w:t>Since t</w:t>
      </w:r>
      <w:r w:rsidR="005F024F">
        <w:rPr>
          <w:lang w:val="en-US"/>
        </w:rPr>
        <w:t xml:space="preserve">he effects of child poverty </w:t>
      </w:r>
      <w:r w:rsidR="00F65ECF">
        <w:rPr>
          <w:lang w:val="en-US"/>
        </w:rPr>
        <w:t>are</w:t>
      </w:r>
      <w:r w:rsidR="00E955AA">
        <w:rPr>
          <w:lang w:val="en-US"/>
        </w:rPr>
        <w:t xml:space="preserve"> persistent, </w:t>
      </w:r>
      <w:r w:rsidR="00F65ECF">
        <w:rPr>
          <w:lang w:val="en-US"/>
        </w:rPr>
        <w:t>in fact</w:t>
      </w:r>
      <w:r w:rsidR="00E955AA">
        <w:rPr>
          <w:lang w:val="en-US"/>
        </w:rPr>
        <w:t>,</w:t>
      </w:r>
      <w:r w:rsidR="00F65ECF">
        <w:rPr>
          <w:lang w:val="en-US"/>
        </w:rPr>
        <w:t xml:space="preserve"> </w:t>
      </w:r>
      <w:r w:rsidR="005F024F">
        <w:rPr>
          <w:lang w:val="en-US"/>
        </w:rPr>
        <w:t>its</w:t>
      </w:r>
      <w:r w:rsidR="00252CDD">
        <w:rPr>
          <w:lang w:val="en-US"/>
        </w:rPr>
        <w:t xml:space="preserve"> detrimental</w:t>
      </w:r>
      <w:r w:rsidR="005F024F">
        <w:rPr>
          <w:lang w:val="en-US"/>
        </w:rPr>
        <w:t xml:space="preserve"> effect</w:t>
      </w:r>
      <w:r w:rsidR="00252CDD">
        <w:rPr>
          <w:lang w:val="en-US"/>
        </w:rPr>
        <w:t>s</w:t>
      </w:r>
      <w:r w:rsidR="005F024F">
        <w:rPr>
          <w:lang w:val="en-US"/>
        </w:rPr>
        <w:t xml:space="preserve"> </w:t>
      </w:r>
      <w:r w:rsidR="00252CDD">
        <w:rPr>
          <w:lang w:val="en-US"/>
        </w:rPr>
        <w:t>can be long term in</w:t>
      </w:r>
      <w:r w:rsidR="005F024F">
        <w:rPr>
          <w:lang w:val="en-US"/>
        </w:rPr>
        <w:t xml:space="preserve"> case of powerful intergenerational transmission mechanism</w:t>
      </w:r>
      <w:r w:rsidR="00252CDD">
        <w:rPr>
          <w:lang w:val="en-US"/>
        </w:rPr>
        <w:t>s</w:t>
      </w:r>
      <w:r w:rsidR="00F65ECF">
        <w:rPr>
          <w:lang w:val="en-US"/>
        </w:rPr>
        <w:t xml:space="preserve">, </w:t>
      </w:r>
      <w:r w:rsidR="00252CDD">
        <w:rPr>
          <w:lang w:val="en-US"/>
        </w:rPr>
        <w:t xml:space="preserve">designing and implementing </w:t>
      </w:r>
      <w:r w:rsidR="00F65ECF">
        <w:rPr>
          <w:lang w:val="en-US"/>
        </w:rPr>
        <w:t>urgent and active social policies in this subject is a must.</w:t>
      </w:r>
    </w:p>
    <w:sectPr w:rsidR="001437CA" w:rsidRPr="00091AA8" w:rsidSect="00323351">
      <w:pgSz w:w="11906" w:h="16838"/>
      <w:pgMar w:top="1417" w:right="184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E2" w:rsidRDefault="00E902E2" w:rsidP="00FD648D">
      <w:pPr>
        <w:spacing w:after="0" w:line="240" w:lineRule="auto"/>
      </w:pPr>
      <w:r>
        <w:separator/>
      </w:r>
    </w:p>
  </w:endnote>
  <w:endnote w:type="continuationSeparator" w:id="0">
    <w:p w:rsidR="00E902E2" w:rsidRDefault="00E902E2" w:rsidP="00FD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E2" w:rsidRDefault="00E902E2" w:rsidP="00FD648D">
      <w:pPr>
        <w:spacing w:after="0" w:line="240" w:lineRule="auto"/>
      </w:pPr>
      <w:r>
        <w:separator/>
      </w:r>
    </w:p>
  </w:footnote>
  <w:footnote w:type="continuationSeparator" w:id="0">
    <w:p w:rsidR="00E902E2" w:rsidRDefault="00E902E2" w:rsidP="00FD648D">
      <w:pPr>
        <w:spacing w:after="0" w:line="240" w:lineRule="auto"/>
      </w:pPr>
      <w:r>
        <w:continuationSeparator/>
      </w:r>
    </w:p>
  </w:footnote>
  <w:footnote w:id="1">
    <w:p w:rsidR="003A2C82" w:rsidRPr="00F33652" w:rsidRDefault="003A2C82" w:rsidP="003A2C82">
      <w:pPr>
        <w:pStyle w:val="FootnoteText"/>
        <w:rPr>
          <w:lang w:val="en-US"/>
        </w:rPr>
      </w:pPr>
      <w:r w:rsidRPr="00F33652">
        <w:rPr>
          <w:rStyle w:val="FootnoteReference"/>
          <w:rFonts w:ascii="Arial" w:hAnsi="Arial" w:cs="Arial"/>
          <w:b/>
          <w:bCs/>
          <w:sz w:val="16"/>
          <w:szCs w:val="16"/>
        </w:rPr>
        <w:t>*</w:t>
      </w:r>
      <w:r w:rsidRPr="00F33652">
        <w:rPr>
          <w:rFonts w:ascii="Arial" w:hAnsi="Arial" w:cs="Arial"/>
          <w:sz w:val="16"/>
          <w:szCs w:val="16"/>
          <w:lang w:val="en-US"/>
        </w:rPr>
        <w:t>Prof. Dr. Seyfettin Gürsel, Betam, Director, seyfettin.gursel@bahcesehir.edu.tr</w:t>
      </w:r>
    </w:p>
  </w:footnote>
  <w:footnote w:id="2">
    <w:p w:rsidR="003A2C82" w:rsidRPr="00F33652" w:rsidRDefault="003A2C82" w:rsidP="003A2C82">
      <w:pPr>
        <w:pStyle w:val="FootnoteText"/>
        <w:rPr>
          <w:lang w:val="en-US"/>
        </w:rPr>
      </w:pPr>
      <w:r w:rsidRPr="00F33652">
        <w:rPr>
          <w:rStyle w:val="FootnoteReference"/>
          <w:rFonts w:ascii="Arial" w:hAnsi="Arial" w:cs="Arial"/>
          <w:sz w:val="16"/>
          <w:szCs w:val="16"/>
          <w:lang w:val="en-US"/>
        </w:rPr>
        <w:sym w:font="Symbol" w:char="F02A"/>
      </w:r>
      <w:r w:rsidRPr="00F33652">
        <w:rPr>
          <w:rStyle w:val="FootnoteReference"/>
          <w:rFonts w:ascii="Arial" w:hAnsi="Arial" w:cs="Arial"/>
          <w:sz w:val="16"/>
          <w:szCs w:val="16"/>
          <w:lang w:val="en-US"/>
        </w:rPr>
        <w:sym w:font="Symbol" w:char="F02A"/>
      </w:r>
      <w:r>
        <w:rPr>
          <w:rFonts w:ascii="Arial" w:hAnsi="Arial" w:cs="Arial"/>
          <w:sz w:val="16"/>
          <w:szCs w:val="16"/>
          <w:lang w:val="en-US"/>
        </w:rPr>
        <w:t>Asst. Prof</w:t>
      </w:r>
      <w:r w:rsidRPr="00F33652">
        <w:rPr>
          <w:rFonts w:ascii="Arial" w:hAnsi="Arial" w:cs="Arial"/>
          <w:sz w:val="16"/>
          <w:szCs w:val="16"/>
          <w:lang w:val="en-US"/>
        </w:rPr>
        <w:t xml:space="preserve">. Gökçe Uysal, Betam, </w:t>
      </w:r>
      <w:r>
        <w:rPr>
          <w:rFonts w:ascii="Arial" w:hAnsi="Arial" w:cs="Arial"/>
          <w:sz w:val="16"/>
          <w:szCs w:val="16"/>
          <w:lang w:val="en-US"/>
        </w:rPr>
        <w:t>Vice</w:t>
      </w:r>
      <w:r w:rsidRPr="00F33652">
        <w:rPr>
          <w:rFonts w:ascii="Arial" w:hAnsi="Arial" w:cs="Arial"/>
          <w:sz w:val="16"/>
          <w:szCs w:val="16"/>
          <w:lang w:val="en-US"/>
        </w:rPr>
        <w:t xml:space="preserve"> Director, gokce.uysal@bahcesehir.edu.tr</w:t>
      </w:r>
    </w:p>
  </w:footnote>
  <w:footnote w:id="3">
    <w:p w:rsidR="003A2C82" w:rsidRPr="00F33652" w:rsidRDefault="003A2C82" w:rsidP="003A2C82">
      <w:pPr>
        <w:pStyle w:val="FootnoteText"/>
        <w:rPr>
          <w:rFonts w:ascii="Arial" w:hAnsi="Arial" w:cs="Arial"/>
          <w:sz w:val="16"/>
          <w:szCs w:val="16"/>
          <w:lang w:val="en-US"/>
        </w:rPr>
      </w:pPr>
      <w:r w:rsidRPr="00F33652">
        <w:rPr>
          <w:rStyle w:val="FootnoteReference"/>
          <w:rFonts w:ascii="Arial" w:hAnsi="Arial" w:cs="Arial"/>
          <w:sz w:val="16"/>
          <w:szCs w:val="16"/>
          <w:lang w:val="en-US"/>
        </w:rPr>
        <w:sym w:font="Symbol" w:char="F02A"/>
      </w:r>
      <w:r w:rsidRPr="00F33652">
        <w:rPr>
          <w:rStyle w:val="FootnoteReference"/>
          <w:rFonts w:ascii="Arial" w:hAnsi="Arial" w:cs="Arial"/>
          <w:sz w:val="16"/>
          <w:szCs w:val="16"/>
          <w:lang w:val="en-US"/>
        </w:rPr>
        <w:sym w:font="Symbol" w:char="F02A"/>
      </w:r>
      <w:r w:rsidRPr="00F33652">
        <w:rPr>
          <w:rStyle w:val="FootnoteReference"/>
          <w:rFonts w:ascii="Arial" w:hAnsi="Arial" w:cs="Arial"/>
          <w:sz w:val="16"/>
          <w:szCs w:val="16"/>
          <w:lang w:val="en-US"/>
        </w:rPr>
        <w:sym w:font="Symbol" w:char="F02A"/>
      </w:r>
      <w:r>
        <w:rPr>
          <w:rFonts w:ascii="Arial" w:hAnsi="Arial" w:cs="Arial"/>
          <w:sz w:val="16"/>
          <w:szCs w:val="16"/>
          <w:lang w:val="en-US"/>
        </w:rPr>
        <w:t>Melike Kökkızıl</w:t>
      </w:r>
      <w:r w:rsidRPr="00F33652">
        <w:rPr>
          <w:rFonts w:ascii="Arial" w:hAnsi="Arial" w:cs="Arial"/>
          <w:sz w:val="16"/>
          <w:szCs w:val="16"/>
          <w:lang w:val="en-US"/>
        </w:rPr>
        <w:t xml:space="preserve">, Betam, Research Assistant, </w:t>
      </w:r>
      <w:r>
        <w:rPr>
          <w:rFonts w:ascii="Arial" w:hAnsi="Arial" w:cs="Arial"/>
          <w:sz w:val="16"/>
          <w:szCs w:val="16"/>
          <w:lang w:val="en-US"/>
        </w:rPr>
        <w:t>melike</w:t>
      </w:r>
      <w:r w:rsidRPr="00F33652">
        <w:rPr>
          <w:rFonts w:ascii="Arial" w:hAnsi="Arial" w:cs="Arial"/>
          <w:sz w:val="16"/>
          <w:szCs w:val="16"/>
          <w:lang w:val="en-US"/>
        </w:rPr>
        <w:t>.</w:t>
      </w:r>
      <w:r>
        <w:rPr>
          <w:rFonts w:ascii="Arial" w:hAnsi="Arial" w:cs="Arial"/>
          <w:sz w:val="16"/>
          <w:szCs w:val="16"/>
          <w:lang w:val="en-US"/>
        </w:rPr>
        <w:t>kokkizil</w:t>
      </w:r>
      <w:r w:rsidRPr="00F33652">
        <w:rPr>
          <w:rFonts w:ascii="Arial" w:hAnsi="Arial" w:cs="Arial"/>
          <w:sz w:val="16"/>
          <w:szCs w:val="16"/>
          <w:lang w:val="en-US"/>
        </w:rPr>
        <w:t>@bahcesehir.edu.tr</w:t>
      </w:r>
    </w:p>
    <w:p w:rsidR="003A2C82" w:rsidRPr="00F33652" w:rsidRDefault="003A2C82" w:rsidP="003A2C82">
      <w:pPr>
        <w:pStyle w:val="FootnoteText"/>
        <w:rPr>
          <w:lang w:val="en-US"/>
        </w:rPr>
      </w:pPr>
    </w:p>
  </w:footnote>
  <w:footnote w:id="4">
    <w:p w:rsidR="00E15DDC" w:rsidRPr="00DF2AA7" w:rsidRDefault="006D0670" w:rsidP="006D0670">
      <w:pPr>
        <w:pStyle w:val="FootnoteText"/>
        <w:rPr>
          <w:lang w:val="en-US"/>
        </w:rPr>
      </w:pPr>
      <w:r w:rsidRPr="00DF2AA7">
        <w:rPr>
          <w:rStyle w:val="FootnoteReference"/>
          <w:lang w:val="en-US"/>
        </w:rPr>
        <w:footnoteRef/>
      </w:r>
      <w:r w:rsidR="00E15DDC" w:rsidRPr="00DF2AA7">
        <w:rPr>
          <w:lang w:val="en-US"/>
        </w:rPr>
        <w:t xml:space="preserve"> Since</w:t>
      </w:r>
      <w:r w:rsidR="002D5318">
        <w:rPr>
          <w:lang w:val="en-US"/>
        </w:rPr>
        <w:t xml:space="preserve"> the</w:t>
      </w:r>
      <w:r w:rsidR="00E15DDC" w:rsidRPr="00DF2AA7">
        <w:rPr>
          <w:lang w:val="en-US"/>
        </w:rPr>
        <w:t xml:space="preserve"> age variable in the SILC micro dataset is </w:t>
      </w:r>
      <w:r w:rsidR="002D5318">
        <w:rPr>
          <w:lang w:val="en-US"/>
        </w:rPr>
        <w:t>provided in</w:t>
      </w:r>
      <w:r w:rsidR="00E15DDC" w:rsidRPr="00DF2AA7">
        <w:rPr>
          <w:lang w:val="en-US"/>
        </w:rPr>
        <w:t xml:space="preserve"> 5-year </w:t>
      </w:r>
      <w:r w:rsidR="002D5318">
        <w:rPr>
          <w:lang w:val="en-US"/>
        </w:rPr>
        <w:t xml:space="preserve">age </w:t>
      </w:r>
      <w:r w:rsidR="00E15DDC" w:rsidRPr="00DF2AA7">
        <w:rPr>
          <w:lang w:val="en-US"/>
        </w:rPr>
        <w:t>group</w:t>
      </w:r>
      <w:r w:rsidR="002D5318">
        <w:rPr>
          <w:lang w:val="en-US"/>
        </w:rPr>
        <w:t xml:space="preserve">s </w:t>
      </w:r>
      <w:r w:rsidR="002D5318" w:rsidRPr="00DF2AA7">
        <w:rPr>
          <w:lang w:val="en-US"/>
        </w:rPr>
        <w:t>until 2010</w:t>
      </w:r>
      <w:r w:rsidR="00E15DDC" w:rsidRPr="00DF2AA7">
        <w:rPr>
          <w:lang w:val="en-US"/>
        </w:rPr>
        <w:t xml:space="preserve">, results for Turkey </w:t>
      </w:r>
      <w:r w:rsidR="002D5318">
        <w:rPr>
          <w:lang w:val="en-US"/>
        </w:rPr>
        <w:t xml:space="preserve">are </w:t>
      </w:r>
      <w:r w:rsidR="00E15DDC" w:rsidRPr="00DF2AA7">
        <w:rPr>
          <w:lang w:val="en-US"/>
        </w:rPr>
        <w:t xml:space="preserve">calculated for the children between </w:t>
      </w:r>
      <w:r w:rsidR="00551C81" w:rsidRPr="00DF2AA7">
        <w:rPr>
          <w:lang w:val="en-US"/>
        </w:rPr>
        <w:t>the year of 0 and</w:t>
      </w:r>
      <w:r w:rsidR="00E15DDC" w:rsidRPr="00DF2AA7">
        <w:rPr>
          <w:lang w:val="en-US"/>
        </w:rPr>
        <w:t xml:space="preserve"> 14</w:t>
      </w:r>
      <w:r w:rsidR="002D5318">
        <w:rPr>
          <w:lang w:val="en-US"/>
        </w:rPr>
        <w:t xml:space="preserve"> for this section</w:t>
      </w:r>
      <w:r w:rsidR="00551C81" w:rsidRPr="00DF2AA7">
        <w:rPr>
          <w:lang w:val="en-US"/>
        </w:rPr>
        <w:t xml:space="preserve">. </w:t>
      </w:r>
      <w:r w:rsidR="002D5318">
        <w:rPr>
          <w:lang w:val="en-US"/>
        </w:rPr>
        <w:t>Data for 2011 allows us to compute the rates for both 0-14 and 0-15 age groups. The difference is merely 0.</w:t>
      </w:r>
      <w:r w:rsidR="00551C81" w:rsidRPr="00DF2AA7">
        <w:rPr>
          <w:lang w:val="en-US"/>
        </w:rPr>
        <w:t>1 percentage point</w:t>
      </w:r>
      <w:r w:rsidR="002D5318">
        <w:rPr>
          <w:lang w:val="en-US"/>
        </w:rPr>
        <w:t>s</w:t>
      </w:r>
      <w:r w:rsidR="00551C81" w:rsidRPr="00DF2AA7">
        <w:rPr>
          <w:lang w:val="en-US"/>
        </w:rPr>
        <w:t>.</w:t>
      </w:r>
    </w:p>
    <w:p w:rsidR="006D0670" w:rsidRDefault="006D0670" w:rsidP="006D0670">
      <w:pPr>
        <w:pStyle w:val="FootnoteText"/>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51"/>
    <w:rsid w:val="00003CC9"/>
    <w:rsid w:val="000057B7"/>
    <w:rsid w:val="0001178B"/>
    <w:rsid w:val="00021A2B"/>
    <w:rsid w:val="000231F4"/>
    <w:rsid w:val="00032C62"/>
    <w:rsid w:val="00035AF2"/>
    <w:rsid w:val="000367A9"/>
    <w:rsid w:val="00050D44"/>
    <w:rsid w:val="00063386"/>
    <w:rsid w:val="00073ACB"/>
    <w:rsid w:val="0007767A"/>
    <w:rsid w:val="0008204E"/>
    <w:rsid w:val="00082388"/>
    <w:rsid w:val="00083891"/>
    <w:rsid w:val="000856C6"/>
    <w:rsid w:val="00091AA8"/>
    <w:rsid w:val="00094429"/>
    <w:rsid w:val="000A3CF1"/>
    <w:rsid w:val="000B0EDA"/>
    <w:rsid w:val="000B2E5B"/>
    <w:rsid w:val="000B30BA"/>
    <w:rsid w:val="000B3EE8"/>
    <w:rsid w:val="000B52D7"/>
    <w:rsid w:val="000D7F89"/>
    <w:rsid w:val="000F3533"/>
    <w:rsid w:val="001005D5"/>
    <w:rsid w:val="001019A3"/>
    <w:rsid w:val="00102158"/>
    <w:rsid w:val="00114D5A"/>
    <w:rsid w:val="00123024"/>
    <w:rsid w:val="0012329A"/>
    <w:rsid w:val="00131A0C"/>
    <w:rsid w:val="001335F4"/>
    <w:rsid w:val="00133D9F"/>
    <w:rsid w:val="001437CA"/>
    <w:rsid w:val="00162383"/>
    <w:rsid w:val="00167825"/>
    <w:rsid w:val="00167E72"/>
    <w:rsid w:val="00173326"/>
    <w:rsid w:val="00183462"/>
    <w:rsid w:val="00192C37"/>
    <w:rsid w:val="001945A1"/>
    <w:rsid w:val="0019568C"/>
    <w:rsid w:val="001B1374"/>
    <w:rsid w:val="001B206C"/>
    <w:rsid w:val="001C77DC"/>
    <w:rsid w:val="001E5772"/>
    <w:rsid w:val="001F743C"/>
    <w:rsid w:val="001F7FE5"/>
    <w:rsid w:val="00203580"/>
    <w:rsid w:val="002167D1"/>
    <w:rsid w:val="00222EFE"/>
    <w:rsid w:val="00236A7C"/>
    <w:rsid w:val="00242A8F"/>
    <w:rsid w:val="00252CDD"/>
    <w:rsid w:val="002569C2"/>
    <w:rsid w:val="0026205D"/>
    <w:rsid w:val="002710AA"/>
    <w:rsid w:val="00271440"/>
    <w:rsid w:val="002753E4"/>
    <w:rsid w:val="002757B3"/>
    <w:rsid w:val="00280ECD"/>
    <w:rsid w:val="00290F3D"/>
    <w:rsid w:val="00291DB3"/>
    <w:rsid w:val="002923AA"/>
    <w:rsid w:val="002A51A1"/>
    <w:rsid w:val="002C12B1"/>
    <w:rsid w:val="002C4EA8"/>
    <w:rsid w:val="002D5318"/>
    <w:rsid w:val="002E1FDD"/>
    <w:rsid w:val="002E412A"/>
    <w:rsid w:val="00301551"/>
    <w:rsid w:val="00307A13"/>
    <w:rsid w:val="003137CA"/>
    <w:rsid w:val="003157DB"/>
    <w:rsid w:val="00323351"/>
    <w:rsid w:val="003267EA"/>
    <w:rsid w:val="00341A64"/>
    <w:rsid w:val="00345301"/>
    <w:rsid w:val="00356769"/>
    <w:rsid w:val="00375760"/>
    <w:rsid w:val="003A213B"/>
    <w:rsid w:val="003A2C82"/>
    <w:rsid w:val="003A31C3"/>
    <w:rsid w:val="003B0706"/>
    <w:rsid w:val="003C48A2"/>
    <w:rsid w:val="003C62B4"/>
    <w:rsid w:val="003D457A"/>
    <w:rsid w:val="003D5A12"/>
    <w:rsid w:val="003F2F8A"/>
    <w:rsid w:val="003F4910"/>
    <w:rsid w:val="0040149C"/>
    <w:rsid w:val="00416743"/>
    <w:rsid w:val="004173EE"/>
    <w:rsid w:val="004178AF"/>
    <w:rsid w:val="00420B3F"/>
    <w:rsid w:val="00420D12"/>
    <w:rsid w:val="00422C83"/>
    <w:rsid w:val="00425D54"/>
    <w:rsid w:val="004335D8"/>
    <w:rsid w:val="0044014C"/>
    <w:rsid w:val="00446505"/>
    <w:rsid w:val="00447621"/>
    <w:rsid w:val="00456758"/>
    <w:rsid w:val="00456D74"/>
    <w:rsid w:val="00461572"/>
    <w:rsid w:val="00470A43"/>
    <w:rsid w:val="004743A8"/>
    <w:rsid w:val="004748D4"/>
    <w:rsid w:val="00485408"/>
    <w:rsid w:val="004A19AD"/>
    <w:rsid w:val="004B0971"/>
    <w:rsid w:val="004B26D7"/>
    <w:rsid w:val="004E7508"/>
    <w:rsid w:val="004F01BC"/>
    <w:rsid w:val="004F173C"/>
    <w:rsid w:val="004F2666"/>
    <w:rsid w:val="004F5DD3"/>
    <w:rsid w:val="004F7BFF"/>
    <w:rsid w:val="00502FC0"/>
    <w:rsid w:val="00503D43"/>
    <w:rsid w:val="00503EE4"/>
    <w:rsid w:val="00503FF5"/>
    <w:rsid w:val="0051083F"/>
    <w:rsid w:val="00514DE6"/>
    <w:rsid w:val="005151E1"/>
    <w:rsid w:val="00520542"/>
    <w:rsid w:val="0052586C"/>
    <w:rsid w:val="00526C24"/>
    <w:rsid w:val="00531AC3"/>
    <w:rsid w:val="005354CF"/>
    <w:rsid w:val="00540F6E"/>
    <w:rsid w:val="005410E4"/>
    <w:rsid w:val="00541B9F"/>
    <w:rsid w:val="00551C81"/>
    <w:rsid w:val="00570AE4"/>
    <w:rsid w:val="00594A70"/>
    <w:rsid w:val="005A0F9B"/>
    <w:rsid w:val="005B7B2C"/>
    <w:rsid w:val="005C00B1"/>
    <w:rsid w:val="005C657B"/>
    <w:rsid w:val="005F024F"/>
    <w:rsid w:val="005F22A6"/>
    <w:rsid w:val="006005CA"/>
    <w:rsid w:val="0060188B"/>
    <w:rsid w:val="00605861"/>
    <w:rsid w:val="00606A0E"/>
    <w:rsid w:val="00616AC3"/>
    <w:rsid w:val="00617CB8"/>
    <w:rsid w:val="0063341F"/>
    <w:rsid w:val="00644CF9"/>
    <w:rsid w:val="00653F76"/>
    <w:rsid w:val="00655343"/>
    <w:rsid w:val="006714EE"/>
    <w:rsid w:val="00672D47"/>
    <w:rsid w:val="00675D0F"/>
    <w:rsid w:val="00691CAB"/>
    <w:rsid w:val="00696A51"/>
    <w:rsid w:val="006A6A93"/>
    <w:rsid w:val="006B042F"/>
    <w:rsid w:val="006C01D6"/>
    <w:rsid w:val="006C533A"/>
    <w:rsid w:val="006D0670"/>
    <w:rsid w:val="006D51AE"/>
    <w:rsid w:val="006D7E5F"/>
    <w:rsid w:val="006E6722"/>
    <w:rsid w:val="006E706A"/>
    <w:rsid w:val="00700019"/>
    <w:rsid w:val="00700399"/>
    <w:rsid w:val="0070302C"/>
    <w:rsid w:val="007032C1"/>
    <w:rsid w:val="00736F7E"/>
    <w:rsid w:val="0074012F"/>
    <w:rsid w:val="007479B1"/>
    <w:rsid w:val="0075424A"/>
    <w:rsid w:val="00760AAA"/>
    <w:rsid w:val="007845C0"/>
    <w:rsid w:val="00786682"/>
    <w:rsid w:val="007922D7"/>
    <w:rsid w:val="007B4F4A"/>
    <w:rsid w:val="007B5BA8"/>
    <w:rsid w:val="007B76D0"/>
    <w:rsid w:val="007C456E"/>
    <w:rsid w:val="007D38F4"/>
    <w:rsid w:val="007D526E"/>
    <w:rsid w:val="007D7B40"/>
    <w:rsid w:val="007F1353"/>
    <w:rsid w:val="007F5EA6"/>
    <w:rsid w:val="007F7C3A"/>
    <w:rsid w:val="008130F9"/>
    <w:rsid w:val="00833691"/>
    <w:rsid w:val="00836511"/>
    <w:rsid w:val="0084346D"/>
    <w:rsid w:val="00854582"/>
    <w:rsid w:val="00855948"/>
    <w:rsid w:val="00880FE5"/>
    <w:rsid w:val="0088625F"/>
    <w:rsid w:val="0089318F"/>
    <w:rsid w:val="00893AA6"/>
    <w:rsid w:val="0089441F"/>
    <w:rsid w:val="008962CB"/>
    <w:rsid w:val="008A2C7E"/>
    <w:rsid w:val="008A518B"/>
    <w:rsid w:val="008B5DE9"/>
    <w:rsid w:val="008C5640"/>
    <w:rsid w:val="008C79CD"/>
    <w:rsid w:val="008D4522"/>
    <w:rsid w:val="008D5C48"/>
    <w:rsid w:val="008E11F4"/>
    <w:rsid w:val="008F3307"/>
    <w:rsid w:val="008F4276"/>
    <w:rsid w:val="008F6EF9"/>
    <w:rsid w:val="0090581A"/>
    <w:rsid w:val="009112B9"/>
    <w:rsid w:val="00915743"/>
    <w:rsid w:val="00925BE4"/>
    <w:rsid w:val="00927067"/>
    <w:rsid w:val="00934A6D"/>
    <w:rsid w:val="00946555"/>
    <w:rsid w:val="00953338"/>
    <w:rsid w:val="0095741F"/>
    <w:rsid w:val="009577C4"/>
    <w:rsid w:val="009649D6"/>
    <w:rsid w:val="00974F48"/>
    <w:rsid w:val="0097683E"/>
    <w:rsid w:val="00983373"/>
    <w:rsid w:val="00986F05"/>
    <w:rsid w:val="00987050"/>
    <w:rsid w:val="0099013F"/>
    <w:rsid w:val="009C543E"/>
    <w:rsid w:val="009D3031"/>
    <w:rsid w:val="009D6051"/>
    <w:rsid w:val="009E0136"/>
    <w:rsid w:val="009F05BE"/>
    <w:rsid w:val="009F61F6"/>
    <w:rsid w:val="00A04872"/>
    <w:rsid w:val="00A07AB6"/>
    <w:rsid w:val="00A14AAC"/>
    <w:rsid w:val="00A17E44"/>
    <w:rsid w:val="00A21D57"/>
    <w:rsid w:val="00A26973"/>
    <w:rsid w:val="00A37CB4"/>
    <w:rsid w:val="00A40170"/>
    <w:rsid w:val="00A5579D"/>
    <w:rsid w:val="00A62A68"/>
    <w:rsid w:val="00A761F4"/>
    <w:rsid w:val="00A92741"/>
    <w:rsid w:val="00A92E26"/>
    <w:rsid w:val="00AA3CB4"/>
    <w:rsid w:val="00AA60FC"/>
    <w:rsid w:val="00AB0CCA"/>
    <w:rsid w:val="00AD126E"/>
    <w:rsid w:val="00AD3198"/>
    <w:rsid w:val="00AE29D6"/>
    <w:rsid w:val="00AE2F52"/>
    <w:rsid w:val="00AE661A"/>
    <w:rsid w:val="00AE7AAF"/>
    <w:rsid w:val="00AF7D58"/>
    <w:rsid w:val="00B04DAF"/>
    <w:rsid w:val="00B154EF"/>
    <w:rsid w:val="00B266A2"/>
    <w:rsid w:val="00B35340"/>
    <w:rsid w:val="00B37C9E"/>
    <w:rsid w:val="00B570AA"/>
    <w:rsid w:val="00B70DE6"/>
    <w:rsid w:val="00B76ECE"/>
    <w:rsid w:val="00B77BF7"/>
    <w:rsid w:val="00B8071C"/>
    <w:rsid w:val="00B82B20"/>
    <w:rsid w:val="00B94500"/>
    <w:rsid w:val="00B96CC7"/>
    <w:rsid w:val="00BA5DB8"/>
    <w:rsid w:val="00BC7C3D"/>
    <w:rsid w:val="00BF25F3"/>
    <w:rsid w:val="00C01CB4"/>
    <w:rsid w:val="00C04E5F"/>
    <w:rsid w:val="00C0570A"/>
    <w:rsid w:val="00C07229"/>
    <w:rsid w:val="00C10265"/>
    <w:rsid w:val="00C36CEE"/>
    <w:rsid w:val="00C40CE9"/>
    <w:rsid w:val="00C45081"/>
    <w:rsid w:val="00C50FBA"/>
    <w:rsid w:val="00C52FE5"/>
    <w:rsid w:val="00C61A06"/>
    <w:rsid w:val="00C66284"/>
    <w:rsid w:val="00C67205"/>
    <w:rsid w:val="00C8599D"/>
    <w:rsid w:val="00C87CC6"/>
    <w:rsid w:val="00C9191B"/>
    <w:rsid w:val="00C92988"/>
    <w:rsid w:val="00C959AA"/>
    <w:rsid w:val="00CB0FCB"/>
    <w:rsid w:val="00CB17FF"/>
    <w:rsid w:val="00CB71B8"/>
    <w:rsid w:val="00CD6109"/>
    <w:rsid w:val="00CD74E2"/>
    <w:rsid w:val="00CE4DF7"/>
    <w:rsid w:val="00CE7E4F"/>
    <w:rsid w:val="00CF1A0C"/>
    <w:rsid w:val="00CF1F78"/>
    <w:rsid w:val="00CF4A69"/>
    <w:rsid w:val="00D03F14"/>
    <w:rsid w:val="00D100FF"/>
    <w:rsid w:val="00D13377"/>
    <w:rsid w:val="00D13E35"/>
    <w:rsid w:val="00D309DE"/>
    <w:rsid w:val="00D34E48"/>
    <w:rsid w:val="00D53C36"/>
    <w:rsid w:val="00D54552"/>
    <w:rsid w:val="00D60157"/>
    <w:rsid w:val="00D73E12"/>
    <w:rsid w:val="00D759D6"/>
    <w:rsid w:val="00D760C2"/>
    <w:rsid w:val="00DA6F7E"/>
    <w:rsid w:val="00DC6015"/>
    <w:rsid w:val="00DD2A7E"/>
    <w:rsid w:val="00DD607F"/>
    <w:rsid w:val="00DD77D9"/>
    <w:rsid w:val="00DD7CEB"/>
    <w:rsid w:val="00DE7004"/>
    <w:rsid w:val="00DF0D28"/>
    <w:rsid w:val="00DF2881"/>
    <w:rsid w:val="00DF2AA7"/>
    <w:rsid w:val="00DF7332"/>
    <w:rsid w:val="00E029A6"/>
    <w:rsid w:val="00E139DC"/>
    <w:rsid w:val="00E15DDC"/>
    <w:rsid w:val="00E1679B"/>
    <w:rsid w:val="00E313D1"/>
    <w:rsid w:val="00E34042"/>
    <w:rsid w:val="00E670B6"/>
    <w:rsid w:val="00E6796E"/>
    <w:rsid w:val="00E73AE2"/>
    <w:rsid w:val="00E850CA"/>
    <w:rsid w:val="00E902E2"/>
    <w:rsid w:val="00E955AA"/>
    <w:rsid w:val="00E96807"/>
    <w:rsid w:val="00EA0749"/>
    <w:rsid w:val="00EB70C4"/>
    <w:rsid w:val="00EC09F9"/>
    <w:rsid w:val="00EC128A"/>
    <w:rsid w:val="00EC2C6F"/>
    <w:rsid w:val="00EC3DE6"/>
    <w:rsid w:val="00EC4EB1"/>
    <w:rsid w:val="00EC7FE6"/>
    <w:rsid w:val="00ED2D87"/>
    <w:rsid w:val="00EE577F"/>
    <w:rsid w:val="00EE6E34"/>
    <w:rsid w:val="00EF6100"/>
    <w:rsid w:val="00EF6627"/>
    <w:rsid w:val="00EF6785"/>
    <w:rsid w:val="00F048FF"/>
    <w:rsid w:val="00F05EE6"/>
    <w:rsid w:val="00F10465"/>
    <w:rsid w:val="00F108FB"/>
    <w:rsid w:val="00F11CDB"/>
    <w:rsid w:val="00F15ECC"/>
    <w:rsid w:val="00F26C67"/>
    <w:rsid w:val="00F33444"/>
    <w:rsid w:val="00F3778E"/>
    <w:rsid w:val="00F536A5"/>
    <w:rsid w:val="00F621AD"/>
    <w:rsid w:val="00F64883"/>
    <w:rsid w:val="00F65ECF"/>
    <w:rsid w:val="00F667AF"/>
    <w:rsid w:val="00F672DB"/>
    <w:rsid w:val="00F70EEE"/>
    <w:rsid w:val="00F754B5"/>
    <w:rsid w:val="00F76160"/>
    <w:rsid w:val="00F80666"/>
    <w:rsid w:val="00F83CE1"/>
    <w:rsid w:val="00FB0236"/>
    <w:rsid w:val="00FC0B07"/>
    <w:rsid w:val="00FC3982"/>
    <w:rsid w:val="00FC6731"/>
    <w:rsid w:val="00FD224A"/>
    <w:rsid w:val="00FD2C79"/>
    <w:rsid w:val="00FD648D"/>
    <w:rsid w:val="00FE525B"/>
    <w:rsid w:val="00FE6FAE"/>
    <w:rsid w:val="00FF07F3"/>
    <w:rsid w:val="00FF4115"/>
    <w:rsid w:val="00FF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23351"/>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323351"/>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323351"/>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3351"/>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323351"/>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323351"/>
    <w:rPr>
      <w:rFonts w:ascii="Arial" w:eastAsia="Times New Roman" w:hAnsi="Arial" w:cs="Arial"/>
      <w:b/>
      <w:bCs/>
      <w:sz w:val="26"/>
      <w:szCs w:val="26"/>
      <w:lang w:val="en-GB" w:eastAsia="ar-SA"/>
    </w:rPr>
  </w:style>
  <w:style w:type="paragraph" w:styleId="FootnoteText">
    <w:name w:val="footnote text"/>
    <w:basedOn w:val="Normal"/>
    <w:link w:val="FootnoteTextChar"/>
    <w:semiHidden/>
    <w:unhideWhenUsed/>
    <w:rsid w:val="00FD6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8D"/>
    <w:rPr>
      <w:sz w:val="20"/>
      <w:szCs w:val="20"/>
    </w:rPr>
  </w:style>
  <w:style w:type="character" w:styleId="FootnoteReference">
    <w:name w:val="footnote reference"/>
    <w:basedOn w:val="DefaultParagraphFont"/>
    <w:uiPriority w:val="99"/>
    <w:semiHidden/>
    <w:unhideWhenUsed/>
    <w:rsid w:val="00FD648D"/>
    <w:rPr>
      <w:vertAlign w:val="superscript"/>
    </w:rPr>
  </w:style>
  <w:style w:type="character" w:styleId="Hyperlink">
    <w:name w:val="Hyperlink"/>
    <w:basedOn w:val="DefaultParagraphFont"/>
    <w:uiPriority w:val="99"/>
    <w:semiHidden/>
    <w:unhideWhenUsed/>
    <w:rsid w:val="00B35340"/>
    <w:rPr>
      <w:color w:val="0000FF"/>
      <w:u w:val="single"/>
    </w:rPr>
  </w:style>
  <w:style w:type="character" w:styleId="Emphasis">
    <w:name w:val="Emphasis"/>
    <w:basedOn w:val="DefaultParagraphFont"/>
    <w:uiPriority w:val="20"/>
    <w:qFormat/>
    <w:rsid w:val="00035AF2"/>
    <w:rPr>
      <w:i/>
      <w:iCs/>
    </w:rPr>
  </w:style>
  <w:style w:type="paragraph" w:styleId="BalloonText">
    <w:name w:val="Balloon Text"/>
    <w:basedOn w:val="Normal"/>
    <w:link w:val="BalloonTextChar"/>
    <w:uiPriority w:val="99"/>
    <w:semiHidden/>
    <w:unhideWhenUsed/>
    <w:rsid w:val="008F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F9"/>
    <w:rPr>
      <w:rFonts w:ascii="Tahoma" w:hAnsi="Tahoma" w:cs="Tahoma"/>
      <w:sz w:val="16"/>
      <w:szCs w:val="16"/>
    </w:rPr>
  </w:style>
  <w:style w:type="paragraph" w:styleId="Caption">
    <w:name w:val="caption"/>
    <w:basedOn w:val="Normal"/>
    <w:next w:val="Normal"/>
    <w:unhideWhenUsed/>
    <w:qFormat/>
    <w:rsid w:val="001437CA"/>
    <w:pPr>
      <w:spacing w:line="240" w:lineRule="auto"/>
    </w:pPr>
    <w:rPr>
      <w:b/>
      <w:bCs/>
      <w:color w:val="4F81BD" w:themeColor="accent1"/>
      <w:sz w:val="18"/>
      <w:szCs w:val="18"/>
    </w:rPr>
  </w:style>
  <w:style w:type="character" w:customStyle="1" w:styleId="apple-converted-space">
    <w:name w:val="apple-converted-space"/>
    <w:basedOn w:val="DefaultParagraphFont"/>
    <w:rsid w:val="00D75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23351"/>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323351"/>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323351"/>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3351"/>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323351"/>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323351"/>
    <w:rPr>
      <w:rFonts w:ascii="Arial" w:eastAsia="Times New Roman" w:hAnsi="Arial" w:cs="Arial"/>
      <w:b/>
      <w:bCs/>
      <w:sz w:val="26"/>
      <w:szCs w:val="26"/>
      <w:lang w:val="en-GB" w:eastAsia="ar-SA"/>
    </w:rPr>
  </w:style>
  <w:style w:type="paragraph" w:styleId="FootnoteText">
    <w:name w:val="footnote text"/>
    <w:basedOn w:val="Normal"/>
    <w:link w:val="FootnoteTextChar"/>
    <w:semiHidden/>
    <w:unhideWhenUsed/>
    <w:rsid w:val="00FD6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8D"/>
    <w:rPr>
      <w:sz w:val="20"/>
      <w:szCs w:val="20"/>
    </w:rPr>
  </w:style>
  <w:style w:type="character" w:styleId="FootnoteReference">
    <w:name w:val="footnote reference"/>
    <w:basedOn w:val="DefaultParagraphFont"/>
    <w:uiPriority w:val="99"/>
    <w:semiHidden/>
    <w:unhideWhenUsed/>
    <w:rsid w:val="00FD648D"/>
    <w:rPr>
      <w:vertAlign w:val="superscript"/>
    </w:rPr>
  </w:style>
  <w:style w:type="character" w:styleId="Hyperlink">
    <w:name w:val="Hyperlink"/>
    <w:basedOn w:val="DefaultParagraphFont"/>
    <w:uiPriority w:val="99"/>
    <w:semiHidden/>
    <w:unhideWhenUsed/>
    <w:rsid w:val="00B35340"/>
    <w:rPr>
      <w:color w:val="0000FF"/>
      <w:u w:val="single"/>
    </w:rPr>
  </w:style>
  <w:style w:type="character" w:styleId="Emphasis">
    <w:name w:val="Emphasis"/>
    <w:basedOn w:val="DefaultParagraphFont"/>
    <w:uiPriority w:val="20"/>
    <w:qFormat/>
    <w:rsid w:val="00035AF2"/>
    <w:rPr>
      <w:i/>
      <w:iCs/>
    </w:rPr>
  </w:style>
  <w:style w:type="paragraph" w:styleId="BalloonText">
    <w:name w:val="Balloon Text"/>
    <w:basedOn w:val="Normal"/>
    <w:link w:val="BalloonTextChar"/>
    <w:uiPriority w:val="99"/>
    <w:semiHidden/>
    <w:unhideWhenUsed/>
    <w:rsid w:val="008F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F9"/>
    <w:rPr>
      <w:rFonts w:ascii="Tahoma" w:hAnsi="Tahoma" w:cs="Tahoma"/>
      <w:sz w:val="16"/>
      <w:szCs w:val="16"/>
    </w:rPr>
  </w:style>
  <w:style w:type="paragraph" w:styleId="Caption">
    <w:name w:val="caption"/>
    <w:basedOn w:val="Normal"/>
    <w:next w:val="Normal"/>
    <w:unhideWhenUsed/>
    <w:qFormat/>
    <w:rsid w:val="001437CA"/>
    <w:pPr>
      <w:spacing w:line="240" w:lineRule="auto"/>
    </w:pPr>
    <w:rPr>
      <w:b/>
      <w:bCs/>
      <w:color w:val="4F81BD" w:themeColor="accent1"/>
      <w:sz w:val="18"/>
      <w:szCs w:val="18"/>
    </w:rPr>
  </w:style>
  <w:style w:type="character" w:customStyle="1" w:styleId="apple-converted-space">
    <w:name w:val="apple-converted-space"/>
    <w:basedOn w:val="DefaultParagraphFont"/>
    <w:rsid w:val="00D7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348">
      <w:bodyDiv w:val="1"/>
      <w:marLeft w:val="0"/>
      <w:marRight w:val="0"/>
      <w:marTop w:val="0"/>
      <w:marBottom w:val="0"/>
      <w:divBdr>
        <w:top w:val="none" w:sz="0" w:space="0" w:color="auto"/>
        <w:left w:val="none" w:sz="0" w:space="0" w:color="auto"/>
        <w:bottom w:val="none" w:sz="0" w:space="0" w:color="auto"/>
        <w:right w:val="none" w:sz="0" w:space="0" w:color="auto"/>
      </w:divBdr>
    </w:div>
    <w:div w:id="12039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2</cp:revision>
  <dcterms:created xsi:type="dcterms:W3CDTF">2014-04-22T07:43:00Z</dcterms:created>
  <dcterms:modified xsi:type="dcterms:W3CDTF">2014-04-22T07:43:00Z</dcterms:modified>
</cp:coreProperties>
</file>