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5E3" w:rsidRDefault="009E3A32" w:rsidP="00A63533">
      <w:pPr>
        <w:spacing w:before="120"/>
        <w:jc w:val="center"/>
        <w:rPr>
          <w:b/>
          <w:sz w:val="28"/>
          <w:szCs w:val="28"/>
        </w:rPr>
      </w:pPr>
      <w:r>
        <w:rPr>
          <w:b/>
          <w:noProof/>
          <w:sz w:val="28"/>
          <w:szCs w:val="28"/>
          <w:lang w:val="tr-TR" w:eastAsia="tr-TR"/>
        </w:rPr>
        <w:pict>
          <v:shapetype id="_x0000_t202" coordsize="21600,21600" o:spt="202" path="m,l,21600r21600,l21600,xe">
            <v:stroke joinstyle="miter"/>
            <v:path gradientshapeok="t" o:connecttype="rect"/>
          </v:shapetype>
          <v:shape id="Text Box 2" o:spid="_x0000_s1027" type="#_x0000_t202" style="position:absolute;left:0;text-align:left;margin-left:401.8pt;margin-top:13.7pt;width:116.4pt;height:23.5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" stroked="f">
            <v:fill opacity="0"/>
            <v:textbox inset="0,0,0,0">
              <w:txbxContent>
                <w:p w:rsidR="00CC7C41" w:rsidRDefault="00CC7C41" w:rsidP="00CC7C41">
                  <w:pPr>
                    <w:pStyle w:val="Heading3"/>
                    <w:jc w:val="center"/>
                  </w:pPr>
                  <w:r>
                    <w:rPr>
                      <w:color w:val="FFFFFF"/>
                      <w:sz w:val="22"/>
                      <w:szCs w:val="22"/>
                    </w:rPr>
                    <w:t xml:space="preserve">27 December </w:t>
                  </w:r>
                  <w:r>
                    <w:rPr>
                      <w:color w:val="FFFFFF"/>
                      <w:sz w:val="22"/>
                      <w:szCs w:val="22"/>
                      <w:lang w:val="tr-TR"/>
                    </w:rPr>
                    <w:t>2013</w:t>
                  </w:r>
                </w:p>
              </w:txbxContent>
            </v:textbox>
          </v:shape>
        </w:pict>
      </w:r>
      <w:r w:rsidR="00CC7C41">
        <w:rPr>
          <w:b/>
          <w:noProof/>
          <w:sz w:val="28"/>
          <w:szCs w:val="28"/>
          <w:lang w:val="tr-TR" w:eastAsia="tr-TR"/>
        </w:rPr>
        <w:drawing>
          <wp:anchor distT="0" distB="0" distL="114300" distR="114300" simplePos="0" relativeHeight="251659264" behindDoc="1" locked="0" layoutInCell="1" allowOverlap="1">
            <wp:simplePos x="0" y="0"/>
            <wp:positionH relativeFrom="column">
              <wp:posOffset>-673735</wp:posOffset>
            </wp:positionH>
            <wp:positionV relativeFrom="paragraph">
              <wp:posOffset>-825500</wp:posOffset>
            </wp:positionV>
            <wp:extent cx="7315200" cy="1325880"/>
            <wp:effectExtent l="19050" t="0" r="0" b="0"/>
            <wp:wrapNone/>
            <wp:docPr id="2"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0" cy="1325880"/>
                    </a:xfrm>
                    <a:prstGeom prst="rect">
                      <a:avLst/>
                    </a:prstGeom>
                    <a:noFill/>
                  </pic:spPr>
                </pic:pic>
              </a:graphicData>
            </a:graphic>
          </wp:anchor>
        </w:drawing>
      </w:r>
      <w:r>
        <w:rPr>
          <w:b/>
          <w:noProof/>
          <w:sz w:val="28"/>
          <w:szCs w:val="28"/>
          <w:lang w:val="tr-TR" w:eastAsia="tr-TR"/>
        </w:rPr>
        <w:pict>
          <v:shape id="Text Box 3" o:spid="_x0000_s1026" type="#_x0000_t202" style="position:absolute;left:0;text-align:left;margin-left:131.6pt;margin-top:-36.3pt;width:312.1pt;height:36.75pt;z-index:25166028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" stroked="f">
            <v:fill opacity="0"/>
            <v:textbox inset="0,0,0,0">
              <w:txbxContent>
                <w:p w:rsidR="00CC7C41" w:rsidRPr="00CC7C41" w:rsidRDefault="00CC7C41" w:rsidP="00CC7C41">
                  <w:pPr>
                    <w:pStyle w:val="Heading1"/>
                    <w:rPr>
                      <w:rFonts w:cs="Arial"/>
                      <w:sz w:val="52"/>
                      <w:szCs w:val="52"/>
                      <w:lang w:val="en-US"/>
                    </w:rPr>
                  </w:pPr>
                  <w:r w:rsidRPr="00CC7C41">
                    <w:rPr>
                      <w:rFonts w:cs="Arial"/>
                      <w:sz w:val="52"/>
                      <w:szCs w:val="52"/>
                      <w:lang w:val="en-US"/>
                    </w:rPr>
                    <w:t>Research Brief 13/159</w:t>
                  </w:r>
                </w:p>
                <w:p w:rsidR="00CC7C41" w:rsidRPr="00CC7C41" w:rsidRDefault="00CC7C41" w:rsidP="00CC7C41">
                  <w:pPr>
                    <w:pStyle w:val="Heading2"/>
                    <w:rPr>
                      <w:b w:val="0"/>
                      <w:bCs w:val="0"/>
                      <w:i w:val="0"/>
                      <w:iCs w:val="0"/>
                      <w:lang w:val="en-US"/>
                    </w:rPr>
                  </w:pPr>
                </w:p>
              </w:txbxContent>
            </v:textbox>
          </v:shape>
        </w:pict>
      </w:r>
    </w:p>
    <w:p w:rsidR="00CD55E3" w:rsidRDefault="00CD55E3" w:rsidP="00A63533">
      <w:pPr>
        <w:spacing w:before="120"/>
        <w:jc w:val="center"/>
        <w:rPr>
          <w:b/>
          <w:sz w:val="28"/>
          <w:szCs w:val="28"/>
        </w:rPr>
      </w:pPr>
    </w:p>
    <w:p w:rsidR="00CD55E3" w:rsidRDefault="00CD55E3" w:rsidP="00A63533">
      <w:pPr>
        <w:spacing w:before="120"/>
        <w:jc w:val="center"/>
        <w:rPr>
          <w:b/>
          <w:sz w:val="28"/>
          <w:szCs w:val="28"/>
        </w:rPr>
      </w:pPr>
    </w:p>
    <w:p w:rsidR="00A63533" w:rsidRPr="00263B5B" w:rsidRDefault="00A63533" w:rsidP="00A63533">
      <w:pPr>
        <w:spacing w:before="120"/>
        <w:jc w:val="center"/>
        <w:rPr>
          <w:b/>
          <w:bCs/>
          <w:sz w:val="20"/>
          <w:szCs w:val="20"/>
        </w:rPr>
      </w:pPr>
      <w:r w:rsidRPr="00263B5B">
        <w:rPr>
          <w:b/>
          <w:sz w:val="28"/>
          <w:szCs w:val="28"/>
        </w:rPr>
        <w:t xml:space="preserve">1.4 MILLION YOUNG </w:t>
      </w:r>
      <w:r w:rsidR="00551A23" w:rsidRPr="00263B5B">
        <w:rPr>
          <w:b/>
          <w:sz w:val="28"/>
          <w:szCs w:val="28"/>
        </w:rPr>
        <w:t>ARE</w:t>
      </w:r>
      <w:r w:rsidRPr="00263B5B">
        <w:rPr>
          <w:b/>
          <w:sz w:val="28"/>
          <w:szCs w:val="28"/>
        </w:rPr>
        <w:t xml:space="preserve"> NEITHER AT SCHOOL NOR AT WORK</w:t>
      </w:r>
    </w:p>
    <w:p w:rsidR="00A63533" w:rsidRPr="00263B5B" w:rsidRDefault="00A63533" w:rsidP="00A63533">
      <w:pPr>
        <w:spacing w:before="120"/>
        <w:jc w:val="center"/>
        <w:rPr>
          <w:b/>
          <w:bCs/>
          <w:sz w:val="20"/>
          <w:szCs w:val="20"/>
        </w:rPr>
      </w:pPr>
      <w:r w:rsidRPr="00263B5B">
        <w:rPr>
          <w:b/>
          <w:bCs/>
          <w:sz w:val="20"/>
          <w:szCs w:val="20"/>
        </w:rPr>
        <w:t>Seyfettin Gürsel</w:t>
      </w:r>
      <w:r w:rsidRPr="00263B5B">
        <w:rPr>
          <w:b/>
          <w:bCs/>
          <w:sz w:val="20"/>
          <w:szCs w:val="20"/>
          <w:vertAlign w:val="superscript"/>
        </w:rPr>
        <w:footnoteReference w:customMarkFollows="1" w:id="2"/>
        <w:sym w:font="Symbol" w:char="F02A"/>
      </w:r>
      <w:r w:rsidRPr="00263B5B">
        <w:rPr>
          <w:b/>
          <w:bCs/>
          <w:sz w:val="20"/>
          <w:szCs w:val="20"/>
        </w:rPr>
        <w:t>, Gökçe Uysal-Kolaşin</w:t>
      </w:r>
      <w:r w:rsidRPr="00263B5B">
        <w:rPr>
          <w:b/>
          <w:bCs/>
          <w:sz w:val="20"/>
          <w:szCs w:val="20"/>
          <w:vertAlign w:val="superscript"/>
        </w:rPr>
        <w:footnoteReference w:customMarkFollows="1" w:id="3"/>
        <w:sym w:font="Symbol" w:char="F02A"/>
      </w:r>
      <w:r w:rsidRPr="00263B5B">
        <w:rPr>
          <w:b/>
          <w:bCs/>
          <w:sz w:val="20"/>
          <w:szCs w:val="20"/>
          <w:vertAlign w:val="superscript"/>
        </w:rPr>
        <w:sym w:font="Symbol" w:char="F02A"/>
      </w:r>
      <w:r w:rsidRPr="00263B5B">
        <w:rPr>
          <w:b/>
          <w:bCs/>
          <w:sz w:val="20"/>
          <w:szCs w:val="20"/>
        </w:rPr>
        <w:t xml:space="preserve"> and Melike Kökkızıl</w:t>
      </w:r>
      <w:r w:rsidRPr="00263B5B">
        <w:rPr>
          <w:b/>
          <w:bCs/>
          <w:sz w:val="20"/>
          <w:szCs w:val="20"/>
          <w:vertAlign w:val="superscript"/>
        </w:rPr>
        <w:footnoteReference w:customMarkFollows="1" w:id="4"/>
        <w:sym w:font="Symbol" w:char="F02A"/>
      </w:r>
      <w:r w:rsidRPr="00263B5B">
        <w:rPr>
          <w:b/>
          <w:bCs/>
          <w:sz w:val="20"/>
          <w:szCs w:val="20"/>
          <w:vertAlign w:val="superscript"/>
        </w:rPr>
        <w:sym w:font="Symbol" w:char="F02A"/>
      </w:r>
      <w:r w:rsidRPr="00263B5B">
        <w:rPr>
          <w:b/>
          <w:bCs/>
          <w:sz w:val="20"/>
          <w:szCs w:val="20"/>
          <w:vertAlign w:val="superscript"/>
        </w:rPr>
        <w:sym w:font="Symbol" w:char="F02A"/>
      </w:r>
    </w:p>
    <w:p w:rsidR="00A63533" w:rsidRPr="00263B5B" w:rsidRDefault="00A63533" w:rsidP="00A63533">
      <w:pPr>
        <w:spacing w:before="120"/>
        <w:jc w:val="center"/>
        <w:rPr>
          <w:b/>
          <w:bCs/>
          <w:sz w:val="20"/>
          <w:szCs w:val="20"/>
        </w:rPr>
      </w:pPr>
    </w:p>
    <w:p w:rsidR="00A63533" w:rsidRPr="00263B5B" w:rsidRDefault="00A63533" w:rsidP="00A63533">
      <w:pPr>
        <w:spacing w:before="120"/>
        <w:jc w:val="center"/>
        <w:rPr>
          <w:b/>
          <w:bCs/>
          <w:sz w:val="22"/>
          <w:szCs w:val="22"/>
        </w:rPr>
      </w:pPr>
      <w:r w:rsidRPr="00263B5B">
        <w:rPr>
          <w:b/>
          <w:bCs/>
          <w:sz w:val="22"/>
          <w:szCs w:val="22"/>
        </w:rPr>
        <w:t>Executive Summary</w:t>
      </w:r>
    </w:p>
    <w:p w:rsidR="00A735B6" w:rsidRPr="00114157" w:rsidRDefault="00A63533" w:rsidP="00A63533">
      <w:pPr>
        <w:spacing w:before="120"/>
        <w:rPr>
          <w:bCs/>
          <w:sz w:val="20"/>
          <w:szCs w:val="20"/>
        </w:rPr>
      </w:pPr>
      <w:r w:rsidRPr="00114157">
        <w:rPr>
          <w:bCs/>
          <w:sz w:val="20"/>
          <w:szCs w:val="20"/>
        </w:rPr>
        <w:t xml:space="preserve">According to the data from 2012 Household Labor Force Survey (HLFS) published by TURKSTAT, 58.4 percent of </w:t>
      </w:r>
      <w:r w:rsidR="00152BC9" w:rsidRPr="00114157">
        <w:rPr>
          <w:bCs/>
          <w:sz w:val="20"/>
          <w:szCs w:val="20"/>
        </w:rPr>
        <w:t xml:space="preserve">young </w:t>
      </w:r>
      <w:r w:rsidR="00764816" w:rsidRPr="00114157">
        <w:rPr>
          <w:bCs/>
          <w:sz w:val="20"/>
          <w:szCs w:val="20"/>
        </w:rPr>
        <w:t>female</w:t>
      </w:r>
      <w:r w:rsidR="00731BC3" w:rsidRPr="00114157">
        <w:rPr>
          <w:bCs/>
          <w:sz w:val="20"/>
          <w:szCs w:val="20"/>
        </w:rPr>
        <w:t>s</w:t>
      </w:r>
      <w:r w:rsidRPr="00114157">
        <w:rPr>
          <w:bCs/>
          <w:sz w:val="20"/>
          <w:szCs w:val="20"/>
        </w:rPr>
        <w:t xml:space="preserve"> and 61.4 percent of young </w:t>
      </w:r>
      <w:r w:rsidR="00764816" w:rsidRPr="00114157">
        <w:rPr>
          <w:bCs/>
          <w:sz w:val="20"/>
          <w:szCs w:val="20"/>
        </w:rPr>
        <w:t>male</w:t>
      </w:r>
      <w:r w:rsidR="00731BC3" w:rsidRPr="00114157">
        <w:rPr>
          <w:bCs/>
          <w:sz w:val="20"/>
          <w:szCs w:val="20"/>
        </w:rPr>
        <w:t>s</w:t>
      </w:r>
      <w:r w:rsidR="00152BC9" w:rsidRPr="00114157">
        <w:rPr>
          <w:bCs/>
          <w:sz w:val="20"/>
          <w:szCs w:val="20"/>
        </w:rPr>
        <w:t xml:space="preserve"> </w:t>
      </w:r>
      <w:r w:rsidR="00731BC3" w:rsidRPr="00114157">
        <w:rPr>
          <w:bCs/>
          <w:sz w:val="20"/>
          <w:szCs w:val="20"/>
        </w:rPr>
        <w:t xml:space="preserve">aged between 15 and 19 are </w:t>
      </w:r>
      <w:r w:rsidRPr="00114157">
        <w:rPr>
          <w:bCs/>
          <w:sz w:val="20"/>
          <w:szCs w:val="20"/>
        </w:rPr>
        <w:t>register</w:t>
      </w:r>
      <w:r w:rsidR="00731BC3" w:rsidRPr="00114157">
        <w:rPr>
          <w:bCs/>
          <w:sz w:val="20"/>
          <w:szCs w:val="20"/>
        </w:rPr>
        <w:t>ed at</w:t>
      </w:r>
      <w:r w:rsidRPr="00114157">
        <w:rPr>
          <w:bCs/>
          <w:sz w:val="20"/>
          <w:szCs w:val="20"/>
        </w:rPr>
        <w:t xml:space="preserve"> a</w:t>
      </w:r>
      <w:r w:rsidR="00731BC3" w:rsidRPr="00114157">
        <w:rPr>
          <w:bCs/>
          <w:sz w:val="20"/>
          <w:szCs w:val="20"/>
        </w:rPr>
        <w:t>n</w:t>
      </w:r>
      <w:r w:rsidRPr="00114157">
        <w:rPr>
          <w:bCs/>
          <w:sz w:val="20"/>
          <w:szCs w:val="20"/>
        </w:rPr>
        <w:t xml:space="preserve"> educational institution. Even </w:t>
      </w:r>
      <w:r w:rsidR="008433C4" w:rsidRPr="00114157">
        <w:rPr>
          <w:bCs/>
          <w:sz w:val="20"/>
          <w:szCs w:val="20"/>
        </w:rPr>
        <w:t xml:space="preserve">though data indicates an increase </w:t>
      </w:r>
      <w:r w:rsidRPr="00114157">
        <w:rPr>
          <w:bCs/>
          <w:sz w:val="20"/>
          <w:szCs w:val="20"/>
        </w:rPr>
        <w:t xml:space="preserve">relative to </w:t>
      </w:r>
      <w:r w:rsidR="009F5A5E" w:rsidRPr="00114157">
        <w:rPr>
          <w:bCs/>
          <w:sz w:val="20"/>
          <w:szCs w:val="20"/>
        </w:rPr>
        <w:t>2009; the enrollment rates in Turkey</w:t>
      </w:r>
      <w:r w:rsidRPr="00114157">
        <w:rPr>
          <w:bCs/>
          <w:sz w:val="20"/>
          <w:szCs w:val="20"/>
        </w:rPr>
        <w:t xml:space="preserve"> are</w:t>
      </w:r>
      <w:r w:rsidR="009F5A5E" w:rsidRPr="00114157">
        <w:rPr>
          <w:bCs/>
          <w:sz w:val="20"/>
          <w:szCs w:val="20"/>
        </w:rPr>
        <w:t xml:space="preserve"> still</w:t>
      </w:r>
      <w:r w:rsidRPr="00114157">
        <w:rPr>
          <w:bCs/>
          <w:sz w:val="20"/>
          <w:szCs w:val="20"/>
        </w:rPr>
        <w:t xml:space="preserve"> </w:t>
      </w:r>
      <w:r w:rsidR="009F5A5E" w:rsidRPr="00114157">
        <w:rPr>
          <w:bCs/>
          <w:sz w:val="20"/>
          <w:szCs w:val="20"/>
        </w:rPr>
        <w:t>much</w:t>
      </w:r>
      <w:r w:rsidRPr="00114157">
        <w:rPr>
          <w:bCs/>
          <w:sz w:val="20"/>
          <w:szCs w:val="20"/>
        </w:rPr>
        <w:t xml:space="preserve"> lower than the average score</w:t>
      </w:r>
      <w:r w:rsidR="009F5A5E" w:rsidRPr="00114157">
        <w:rPr>
          <w:bCs/>
          <w:sz w:val="20"/>
          <w:szCs w:val="20"/>
        </w:rPr>
        <w:t xml:space="preserve"> of 83.7 percent</w:t>
      </w:r>
      <w:r w:rsidRPr="00114157">
        <w:rPr>
          <w:bCs/>
          <w:sz w:val="20"/>
          <w:szCs w:val="20"/>
        </w:rPr>
        <w:t xml:space="preserve"> of OECD countries. </w:t>
      </w:r>
      <w:r w:rsidR="00551A23" w:rsidRPr="00114157">
        <w:rPr>
          <w:bCs/>
          <w:sz w:val="20"/>
          <w:szCs w:val="20"/>
        </w:rPr>
        <w:t>Among</w:t>
      </w:r>
      <w:r w:rsidR="00FF6C2D" w:rsidRPr="00114157">
        <w:rPr>
          <w:bCs/>
          <w:sz w:val="20"/>
          <w:szCs w:val="20"/>
        </w:rPr>
        <w:t xml:space="preserve"> the</w:t>
      </w:r>
      <w:r w:rsidR="00551A23" w:rsidRPr="00114157">
        <w:rPr>
          <w:bCs/>
          <w:sz w:val="20"/>
          <w:szCs w:val="20"/>
        </w:rPr>
        <w:t xml:space="preserve"> 2.5 million of young who are not </w:t>
      </w:r>
      <w:r w:rsidR="00FF6C2D" w:rsidRPr="00114157">
        <w:rPr>
          <w:bCs/>
          <w:sz w:val="20"/>
          <w:szCs w:val="20"/>
        </w:rPr>
        <w:t>enrolled</w:t>
      </w:r>
      <w:r w:rsidR="00551A23" w:rsidRPr="00114157">
        <w:rPr>
          <w:bCs/>
          <w:sz w:val="20"/>
          <w:szCs w:val="20"/>
        </w:rPr>
        <w:t xml:space="preserve">, 2 million of them are at most primary school </w:t>
      </w:r>
      <w:r w:rsidR="00FF6C2D" w:rsidRPr="00114157">
        <w:rPr>
          <w:bCs/>
          <w:sz w:val="20"/>
          <w:szCs w:val="20"/>
        </w:rPr>
        <w:t xml:space="preserve">graduates </w:t>
      </w:r>
      <w:r w:rsidR="00551A23" w:rsidRPr="00114157">
        <w:rPr>
          <w:bCs/>
          <w:sz w:val="20"/>
          <w:szCs w:val="20"/>
        </w:rPr>
        <w:t xml:space="preserve">and </w:t>
      </w:r>
      <w:r w:rsidR="00152BC9" w:rsidRPr="00114157">
        <w:rPr>
          <w:bCs/>
          <w:sz w:val="20"/>
          <w:szCs w:val="20"/>
        </w:rPr>
        <w:t xml:space="preserve">the </w:t>
      </w:r>
      <w:r w:rsidR="006F6994" w:rsidRPr="00114157">
        <w:rPr>
          <w:bCs/>
          <w:sz w:val="20"/>
          <w:szCs w:val="20"/>
        </w:rPr>
        <w:t>share of those who</w:t>
      </w:r>
      <w:r w:rsidR="00152BC9" w:rsidRPr="00114157">
        <w:rPr>
          <w:bCs/>
          <w:sz w:val="20"/>
          <w:szCs w:val="20"/>
        </w:rPr>
        <w:t xml:space="preserve"> have not graduated </w:t>
      </w:r>
      <w:r w:rsidR="006F6994" w:rsidRPr="00114157">
        <w:rPr>
          <w:bCs/>
          <w:sz w:val="20"/>
          <w:szCs w:val="20"/>
        </w:rPr>
        <w:t>from</w:t>
      </w:r>
      <w:r w:rsidR="00152BC9" w:rsidRPr="00114157">
        <w:rPr>
          <w:bCs/>
          <w:sz w:val="20"/>
          <w:szCs w:val="20"/>
        </w:rPr>
        <w:t xml:space="preserve"> any educational institution </w:t>
      </w:r>
      <w:r w:rsidR="006F6994" w:rsidRPr="00114157">
        <w:rPr>
          <w:bCs/>
          <w:sz w:val="20"/>
          <w:szCs w:val="20"/>
        </w:rPr>
        <w:t xml:space="preserve">is not </w:t>
      </w:r>
      <w:r w:rsidR="002F4E42" w:rsidRPr="00114157">
        <w:rPr>
          <w:bCs/>
          <w:sz w:val="20"/>
          <w:szCs w:val="20"/>
        </w:rPr>
        <w:t>negligible.</w:t>
      </w:r>
      <w:r w:rsidR="00152BC9" w:rsidRPr="00114157">
        <w:rPr>
          <w:bCs/>
          <w:sz w:val="20"/>
          <w:szCs w:val="20"/>
        </w:rPr>
        <w:t xml:space="preserve"> On the other hand, Turkey has made notable progress compared to 2009, especially in educational </w:t>
      </w:r>
      <w:r w:rsidR="00EC6B96" w:rsidRPr="00114157">
        <w:rPr>
          <w:bCs/>
          <w:sz w:val="20"/>
          <w:szCs w:val="20"/>
        </w:rPr>
        <w:t>enroll</w:t>
      </w:r>
      <w:r w:rsidR="00764816" w:rsidRPr="00114157">
        <w:rPr>
          <w:bCs/>
          <w:sz w:val="20"/>
          <w:szCs w:val="20"/>
        </w:rPr>
        <w:t>ment</w:t>
      </w:r>
      <w:r w:rsidR="00C82117" w:rsidRPr="00114157">
        <w:rPr>
          <w:bCs/>
          <w:sz w:val="20"/>
          <w:szCs w:val="20"/>
        </w:rPr>
        <w:t xml:space="preserve"> of</w:t>
      </w:r>
      <w:r w:rsidR="00152BC9" w:rsidRPr="00114157">
        <w:rPr>
          <w:bCs/>
          <w:sz w:val="20"/>
          <w:szCs w:val="20"/>
        </w:rPr>
        <w:t xml:space="preserve"> young </w:t>
      </w:r>
      <w:r w:rsidR="00764816" w:rsidRPr="00114157">
        <w:rPr>
          <w:bCs/>
          <w:sz w:val="20"/>
          <w:szCs w:val="20"/>
        </w:rPr>
        <w:t>female</w:t>
      </w:r>
      <w:r w:rsidR="00C82117" w:rsidRPr="00114157">
        <w:rPr>
          <w:bCs/>
          <w:sz w:val="20"/>
          <w:szCs w:val="20"/>
        </w:rPr>
        <w:t>s</w:t>
      </w:r>
      <w:r w:rsidR="00152BC9" w:rsidRPr="00114157">
        <w:rPr>
          <w:bCs/>
          <w:sz w:val="20"/>
          <w:szCs w:val="20"/>
        </w:rPr>
        <w:t xml:space="preserve">. The </w:t>
      </w:r>
      <w:r w:rsidR="00AD4CDD" w:rsidRPr="00114157">
        <w:rPr>
          <w:bCs/>
          <w:sz w:val="20"/>
          <w:szCs w:val="20"/>
        </w:rPr>
        <w:t xml:space="preserve">share </w:t>
      </w:r>
      <w:r w:rsidR="00152BC9" w:rsidRPr="00114157">
        <w:rPr>
          <w:bCs/>
          <w:sz w:val="20"/>
          <w:szCs w:val="20"/>
        </w:rPr>
        <w:t xml:space="preserve">of </w:t>
      </w:r>
      <w:r w:rsidR="00EE78E6" w:rsidRPr="00114157">
        <w:rPr>
          <w:bCs/>
          <w:sz w:val="20"/>
          <w:szCs w:val="20"/>
        </w:rPr>
        <w:t xml:space="preserve">young </w:t>
      </w:r>
      <w:r w:rsidR="00764816" w:rsidRPr="00114157">
        <w:rPr>
          <w:bCs/>
          <w:sz w:val="20"/>
          <w:szCs w:val="20"/>
        </w:rPr>
        <w:t>female</w:t>
      </w:r>
      <w:r w:rsidR="00AD4CDD" w:rsidRPr="00114157">
        <w:rPr>
          <w:bCs/>
          <w:sz w:val="20"/>
          <w:szCs w:val="20"/>
        </w:rPr>
        <w:t>s</w:t>
      </w:r>
      <w:r w:rsidR="00EE78E6" w:rsidRPr="00114157">
        <w:rPr>
          <w:bCs/>
          <w:sz w:val="20"/>
          <w:szCs w:val="20"/>
        </w:rPr>
        <w:t xml:space="preserve"> </w:t>
      </w:r>
      <w:r w:rsidR="00AD4CDD" w:rsidRPr="00114157">
        <w:rPr>
          <w:bCs/>
          <w:sz w:val="20"/>
          <w:szCs w:val="20"/>
        </w:rPr>
        <w:t>who continue</w:t>
      </w:r>
      <w:r w:rsidR="00EE78E6" w:rsidRPr="00114157">
        <w:rPr>
          <w:bCs/>
          <w:sz w:val="20"/>
          <w:szCs w:val="20"/>
        </w:rPr>
        <w:t xml:space="preserve"> t</w:t>
      </w:r>
      <w:r w:rsidR="00AD4CDD" w:rsidRPr="00114157">
        <w:rPr>
          <w:bCs/>
          <w:sz w:val="20"/>
          <w:szCs w:val="20"/>
        </w:rPr>
        <w:t>heir education and do not participate in the</w:t>
      </w:r>
      <w:r w:rsidR="00EE78E6" w:rsidRPr="00114157">
        <w:rPr>
          <w:bCs/>
          <w:sz w:val="20"/>
          <w:szCs w:val="20"/>
        </w:rPr>
        <w:t xml:space="preserve"> labor market has increased from 50 percent to 54 percent, for the young </w:t>
      </w:r>
      <w:r w:rsidR="00764816" w:rsidRPr="00114157">
        <w:rPr>
          <w:bCs/>
          <w:sz w:val="20"/>
          <w:szCs w:val="20"/>
        </w:rPr>
        <w:t>male</w:t>
      </w:r>
      <w:r w:rsidR="00AD4CDD" w:rsidRPr="00114157">
        <w:rPr>
          <w:bCs/>
          <w:sz w:val="20"/>
          <w:szCs w:val="20"/>
        </w:rPr>
        <w:t>s</w:t>
      </w:r>
      <w:r w:rsidR="00EE78E6" w:rsidRPr="00114157">
        <w:rPr>
          <w:bCs/>
          <w:sz w:val="20"/>
          <w:szCs w:val="20"/>
        </w:rPr>
        <w:t xml:space="preserve"> this </w:t>
      </w:r>
      <w:r w:rsidR="00AD4CDD" w:rsidRPr="00114157">
        <w:rPr>
          <w:bCs/>
          <w:sz w:val="20"/>
          <w:szCs w:val="20"/>
        </w:rPr>
        <w:t>share</w:t>
      </w:r>
      <w:r w:rsidR="00EE78E6" w:rsidRPr="00114157">
        <w:rPr>
          <w:bCs/>
          <w:sz w:val="20"/>
          <w:szCs w:val="20"/>
        </w:rPr>
        <w:t xml:space="preserve"> has increased from 50 percent to 51 percent.</w:t>
      </w:r>
      <w:r w:rsidR="00A735B6" w:rsidRPr="00114157">
        <w:rPr>
          <w:bCs/>
          <w:sz w:val="20"/>
          <w:szCs w:val="20"/>
        </w:rPr>
        <w:t xml:space="preserve"> However, there</w:t>
      </w:r>
      <w:r w:rsidR="00C92064" w:rsidRPr="00114157">
        <w:rPr>
          <w:bCs/>
          <w:sz w:val="20"/>
          <w:szCs w:val="20"/>
        </w:rPr>
        <w:t xml:space="preserve"> are no improvements</w:t>
      </w:r>
      <w:r w:rsidR="00EE78E6" w:rsidRPr="00114157">
        <w:rPr>
          <w:bCs/>
          <w:sz w:val="20"/>
          <w:szCs w:val="20"/>
        </w:rPr>
        <w:t xml:space="preserve"> </w:t>
      </w:r>
      <w:r w:rsidR="00A735B6" w:rsidRPr="00114157">
        <w:rPr>
          <w:bCs/>
          <w:sz w:val="20"/>
          <w:szCs w:val="20"/>
        </w:rPr>
        <w:t>in</w:t>
      </w:r>
      <w:r w:rsidR="00EE78E6" w:rsidRPr="00114157">
        <w:rPr>
          <w:bCs/>
          <w:sz w:val="20"/>
          <w:szCs w:val="20"/>
        </w:rPr>
        <w:t xml:space="preserve"> the number of both young </w:t>
      </w:r>
      <w:r w:rsidR="00764816" w:rsidRPr="00114157">
        <w:rPr>
          <w:bCs/>
          <w:sz w:val="20"/>
          <w:szCs w:val="20"/>
        </w:rPr>
        <w:t>female</w:t>
      </w:r>
      <w:r w:rsidR="00C92064" w:rsidRPr="00114157">
        <w:rPr>
          <w:bCs/>
          <w:sz w:val="20"/>
          <w:szCs w:val="20"/>
        </w:rPr>
        <w:t>s</w:t>
      </w:r>
      <w:r w:rsidR="00EE78E6" w:rsidRPr="00114157">
        <w:rPr>
          <w:bCs/>
          <w:sz w:val="20"/>
          <w:szCs w:val="20"/>
        </w:rPr>
        <w:t xml:space="preserve"> and </w:t>
      </w:r>
      <w:r w:rsidR="00764816" w:rsidRPr="00114157">
        <w:rPr>
          <w:bCs/>
          <w:sz w:val="20"/>
          <w:szCs w:val="20"/>
        </w:rPr>
        <w:t>male</w:t>
      </w:r>
      <w:r w:rsidR="00C92064" w:rsidRPr="00114157">
        <w:rPr>
          <w:bCs/>
          <w:sz w:val="20"/>
          <w:szCs w:val="20"/>
        </w:rPr>
        <w:t>s</w:t>
      </w:r>
      <w:r w:rsidR="00CD55E3" w:rsidRPr="00114157">
        <w:rPr>
          <w:bCs/>
          <w:sz w:val="20"/>
          <w:szCs w:val="20"/>
        </w:rPr>
        <w:t xml:space="preserve"> who </w:t>
      </w:r>
      <w:r w:rsidR="00C92064" w:rsidRPr="00114157">
        <w:rPr>
          <w:bCs/>
          <w:sz w:val="20"/>
          <w:szCs w:val="20"/>
        </w:rPr>
        <w:t xml:space="preserve">are neither </w:t>
      </w:r>
      <w:r w:rsidR="00CD55E3" w:rsidRPr="00114157">
        <w:rPr>
          <w:bCs/>
          <w:sz w:val="20"/>
          <w:szCs w:val="20"/>
        </w:rPr>
        <w:t>enrolled n</w:t>
      </w:r>
      <w:r w:rsidR="005140DB" w:rsidRPr="00114157">
        <w:rPr>
          <w:bCs/>
          <w:sz w:val="20"/>
          <w:szCs w:val="20"/>
        </w:rPr>
        <w:t>or in the labor force</w:t>
      </w:r>
      <w:r w:rsidR="00CD55E3" w:rsidRPr="00114157">
        <w:rPr>
          <w:bCs/>
          <w:sz w:val="20"/>
          <w:szCs w:val="20"/>
        </w:rPr>
        <w:t xml:space="preserve">. </w:t>
      </w:r>
      <w:r w:rsidR="00A735B6" w:rsidRPr="00114157">
        <w:rPr>
          <w:bCs/>
          <w:sz w:val="20"/>
          <w:szCs w:val="20"/>
        </w:rPr>
        <w:t xml:space="preserve">1.4 million young </w:t>
      </w:r>
      <w:r w:rsidR="00F72BDB" w:rsidRPr="00114157">
        <w:rPr>
          <w:bCs/>
          <w:sz w:val="20"/>
          <w:szCs w:val="20"/>
        </w:rPr>
        <w:t>who are already out of the education system and still not participating in the labor force</w:t>
      </w:r>
      <w:r w:rsidR="00A735B6" w:rsidRPr="00114157">
        <w:rPr>
          <w:bCs/>
          <w:sz w:val="20"/>
          <w:szCs w:val="20"/>
        </w:rPr>
        <w:t xml:space="preserve"> at the ages of 15 - 19 </w:t>
      </w:r>
      <w:r w:rsidR="00F72BDB" w:rsidRPr="00114157">
        <w:rPr>
          <w:bCs/>
          <w:sz w:val="20"/>
          <w:szCs w:val="20"/>
        </w:rPr>
        <w:t>indicate</w:t>
      </w:r>
      <w:r w:rsidR="00A735B6" w:rsidRPr="00114157">
        <w:rPr>
          <w:bCs/>
          <w:sz w:val="20"/>
          <w:szCs w:val="20"/>
        </w:rPr>
        <w:t xml:space="preserve"> that develop</w:t>
      </w:r>
      <w:r w:rsidR="00F72BDB" w:rsidRPr="00114157">
        <w:rPr>
          <w:bCs/>
          <w:sz w:val="20"/>
          <w:szCs w:val="20"/>
        </w:rPr>
        <w:t>ing</w:t>
      </w:r>
      <w:r w:rsidR="00A735B6" w:rsidRPr="00114157">
        <w:rPr>
          <w:bCs/>
          <w:sz w:val="20"/>
          <w:szCs w:val="20"/>
        </w:rPr>
        <w:t xml:space="preserve"> relevant policies for our young</w:t>
      </w:r>
      <w:r w:rsidR="00F72BDB" w:rsidRPr="00114157">
        <w:rPr>
          <w:bCs/>
          <w:sz w:val="20"/>
          <w:szCs w:val="20"/>
        </w:rPr>
        <w:t xml:space="preserve"> is urgently needed.</w:t>
      </w:r>
      <w:r w:rsidR="00A735B6" w:rsidRPr="00114157">
        <w:rPr>
          <w:bCs/>
          <w:sz w:val="20"/>
          <w:szCs w:val="20"/>
        </w:rPr>
        <w:t xml:space="preserve"> </w:t>
      </w:r>
    </w:p>
    <w:p w:rsidR="00A735B6" w:rsidRPr="00263B5B" w:rsidRDefault="00A735B6" w:rsidP="00A63533">
      <w:pPr>
        <w:spacing w:before="120"/>
        <w:rPr>
          <w:b/>
          <w:bCs/>
          <w:sz w:val="22"/>
          <w:szCs w:val="22"/>
        </w:rPr>
      </w:pPr>
      <w:r w:rsidRPr="00263B5B">
        <w:rPr>
          <w:b/>
          <w:bCs/>
          <w:sz w:val="22"/>
          <w:szCs w:val="22"/>
        </w:rPr>
        <w:t xml:space="preserve">2.5 million </w:t>
      </w:r>
      <w:r w:rsidR="00583B69" w:rsidRPr="00263B5B">
        <w:rPr>
          <w:b/>
          <w:bCs/>
          <w:sz w:val="22"/>
          <w:szCs w:val="22"/>
        </w:rPr>
        <w:t>young</w:t>
      </w:r>
      <w:r w:rsidRPr="00263B5B">
        <w:rPr>
          <w:b/>
          <w:bCs/>
          <w:sz w:val="22"/>
          <w:szCs w:val="22"/>
        </w:rPr>
        <w:t xml:space="preserve"> </w:t>
      </w:r>
      <w:r w:rsidR="003C7FD9">
        <w:rPr>
          <w:b/>
          <w:sz w:val="22"/>
          <w:szCs w:val="22"/>
        </w:rPr>
        <w:t>are</w:t>
      </w:r>
      <w:r w:rsidRPr="00263B5B">
        <w:rPr>
          <w:b/>
          <w:bCs/>
          <w:sz w:val="22"/>
          <w:szCs w:val="22"/>
        </w:rPr>
        <w:t xml:space="preserve"> not </w:t>
      </w:r>
      <w:r w:rsidR="00EC6B96">
        <w:rPr>
          <w:b/>
          <w:bCs/>
          <w:sz w:val="22"/>
          <w:szCs w:val="22"/>
        </w:rPr>
        <w:t>enroll</w:t>
      </w:r>
      <w:r w:rsidR="003C7FD9">
        <w:rPr>
          <w:b/>
          <w:bCs/>
          <w:sz w:val="22"/>
          <w:szCs w:val="22"/>
        </w:rPr>
        <w:t>ed</w:t>
      </w:r>
    </w:p>
    <w:p w:rsidR="003C20C2" w:rsidRPr="00114157" w:rsidRDefault="004921AA" w:rsidP="00CD55E3">
      <w:pPr>
        <w:spacing w:before="120"/>
        <w:rPr>
          <w:bCs/>
          <w:sz w:val="20"/>
          <w:szCs w:val="20"/>
        </w:rPr>
      </w:pPr>
      <w:r w:rsidRPr="00114157">
        <w:rPr>
          <w:bCs/>
          <w:sz w:val="20"/>
          <w:szCs w:val="20"/>
        </w:rPr>
        <w:t>D</w:t>
      </w:r>
      <w:r w:rsidR="00583B69" w:rsidRPr="00114157">
        <w:rPr>
          <w:bCs/>
          <w:sz w:val="20"/>
          <w:szCs w:val="20"/>
        </w:rPr>
        <w:t xml:space="preserve">ata from 2012 Household Labor force Survey recently published by TURKSTAT </w:t>
      </w:r>
      <w:r w:rsidRPr="00114157">
        <w:rPr>
          <w:bCs/>
          <w:sz w:val="20"/>
          <w:szCs w:val="20"/>
        </w:rPr>
        <w:t xml:space="preserve">allows us to </w:t>
      </w:r>
      <w:r w:rsidR="00583B69" w:rsidRPr="00114157">
        <w:rPr>
          <w:bCs/>
          <w:sz w:val="20"/>
          <w:szCs w:val="20"/>
        </w:rPr>
        <w:t>examine education and labor market conditions of the young aged between the years of 15 and 19. According to the data</w:t>
      </w:r>
      <w:r w:rsidR="007A078B" w:rsidRPr="00114157">
        <w:rPr>
          <w:bCs/>
          <w:sz w:val="20"/>
          <w:szCs w:val="20"/>
        </w:rPr>
        <w:t>,</w:t>
      </w:r>
      <w:r w:rsidR="006573E1" w:rsidRPr="00114157">
        <w:rPr>
          <w:bCs/>
          <w:sz w:val="20"/>
          <w:szCs w:val="20"/>
        </w:rPr>
        <w:t xml:space="preserve"> there has been some improvement since 2009; however, the current data is still far away from satisfactory. </w:t>
      </w:r>
      <w:r w:rsidR="00685740" w:rsidRPr="00114157">
        <w:rPr>
          <w:bCs/>
          <w:sz w:val="20"/>
          <w:szCs w:val="20"/>
        </w:rPr>
        <w:t>The research brief entitled to "The Young Lack Human Capital" published by B</w:t>
      </w:r>
      <w:r w:rsidR="00CD55E3" w:rsidRPr="00114157">
        <w:rPr>
          <w:bCs/>
          <w:sz w:val="20"/>
          <w:szCs w:val="20"/>
        </w:rPr>
        <w:t>ETAM</w:t>
      </w:r>
      <w:r w:rsidR="00685740" w:rsidRPr="00114157">
        <w:rPr>
          <w:bCs/>
          <w:sz w:val="20"/>
          <w:szCs w:val="20"/>
        </w:rPr>
        <w:t xml:space="preserve"> in May 2010</w:t>
      </w:r>
      <w:r w:rsidR="00272F4B" w:rsidRPr="00114157">
        <w:rPr>
          <w:bCs/>
          <w:sz w:val="20"/>
          <w:szCs w:val="20"/>
        </w:rPr>
        <w:t xml:space="preserve"> showed that only 50 percent of young </w:t>
      </w:r>
      <w:r w:rsidR="00764816" w:rsidRPr="00114157">
        <w:rPr>
          <w:bCs/>
          <w:sz w:val="20"/>
          <w:szCs w:val="20"/>
        </w:rPr>
        <w:t>female</w:t>
      </w:r>
      <w:r w:rsidR="006573E1" w:rsidRPr="00114157">
        <w:rPr>
          <w:bCs/>
          <w:sz w:val="20"/>
          <w:szCs w:val="20"/>
        </w:rPr>
        <w:t>s</w:t>
      </w:r>
      <w:r w:rsidR="00272F4B" w:rsidRPr="00114157">
        <w:rPr>
          <w:bCs/>
          <w:sz w:val="20"/>
          <w:szCs w:val="20"/>
        </w:rPr>
        <w:t xml:space="preserve"> and 57 percent of young </w:t>
      </w:r>
      <w:r w:rsidR="00764816" w:rsidRPr="00114157">
        <w:rPr>
          <w:bCs/>
          <w:sz w:val="20"/>
          <w:szCs w:val="20"/>
        </w:rPr>
        <w:t>male</w:t>
      </w:r>
      <w:r w:rsidR="006573E1" w:rsidRPr="00114157">
        <w:rPr>
          <w:bCs/>
          <w:sz w:val="20"/>
          <w:szCs w:val="20"/>
        </w:rPr>
        <w:t>s</w:t>
      </w:r>
      <w:r w:rsidR="00CD55E3" w:rsidRPr="00114157">
        <w:rPr>
          <w:bCs/>
          <w:sz w:val="20"/>
          <w:szCs w:val="20"/>
        </w:rPr>
        <w:t xml:space="preserve"> had </w:t>
      </w:r>
      <w:r w:rsidR="00272F4B" w:rsidRPr="00114157">
        <w:rPr>
          <w:bCs/>
          <w:sz w:val="20"/>
          <w:szCs w:val="20"/>
        </w:rPr>
        <w:t xml:space="preserve">continued their education in 2009. These </w:t>
      </w:r>
      <w:r w:rsidR="006346C2" w:rsidRPr="00114157">
        <w:rPr>
          <w:bCs/>
          <w:sz w:val="20"/>
          <w:szCs w:val="20"/>
        </w:rPr>
        <w:t>shares</w:t>
      </w:r>
      <w:r w:rsidR="00272F4B" w:rsidRPr="00114157">
        <w:rPr>
          <w:bCs/>
          <w:sz w:val="20"/>
          <w:szCs w:val="20"/>
        </w:rPr>
        <w:t xml:space="preserve"> have </w:t>
      </w:r>
      <w:r w:rsidR="006346C2" w:rsidRPr="00114157">
        <w:rPr>
          <w:bCs/>
          <w:sz w:val="20"/>
          <w:szCs w:val="20"/>
        </w:rPr>
        <w:t xml:space="preserve">increased </w:t>
      </w:r>
      <w:r w:rsidR="00272F4B" w:rsidRPr="00114157">
        <w:rPr>
          <w:bCs/>
          <w:sz w:val="20"/>
          <w:szCs w:val="20"/>
        </w:rPr>
        <w:t xml:space="preserve">respectively </w:t>
      </w:r>
      <w:r w:rsidR="006346C2" w:rsidRPr="00114157">
        <w:rPr>
          <w:bCs/>
          <w:sz w:val="20"/>
          <w:szCs w:val="20"/>
        </w:rPr>
        <w:t>to</w:t>
      </w:r>
      <w:r w:rsidR="00272F4B" w:rsidRPr="00114157">
        <w:rPr>
          <w:bCs/>
          <w:sz w:val="20"/>
          <w:szCs w:val="20"/>
        </w:rPr>
        <w:t xml:space="preserve"> 59 percent and 62 percent in 2012.</w:t>
      </w:r>
      <w:r w:rsidR="00272F4B" w:rsidRPr="00114157">
        <w:rPr>
          <w:rStyle w:val="FootnoteReference"/>
          <w:bCs/>
          <w:sz w:val="20"/>
          <w:szCs w:val="20"/>
        </w:rPr>
        <w:footnoteReference w:id="5"/>
      </w:r>
      <w:r w:rsidR="00272F4B" w:rsidRPr="00114157">
        <w:rPr>
          <w:bCs/>
          <w:sz w:val="20"/>
          <w:szCs w:val="20"/>
        </w:rPr>
        <w:t xml:space="preserve"> In other words, the </w:t>
      </w:r>
      <w:r w:rsidR="00452C4A" w:rsidRPr="00114157">
        <w:rPr>
          <w:bCs/>
          <w:sz w:val="20"/>
          <w:szCs w:val="20"/>
        </w:rPr>
        <w:t>share</w:t>
      </w:r>
      <w:r w:rsidR="00272F4B" w:rsidRPr="00114157">
        <w:rPr>
          <w:bCs/>
          <w:sz w:val="20"/>
          <w:szCs w:val="20"/>
        </w:rPr>
        <w:t xml:space="preserve"> of young </w:t>
      </w:r>
      <w:r w:rsidR="00764816" w:rsidRPr="00114157">
        <w:rPr>
          <w:bCs/>
          <w:sz w:val="20"/>
          <w:szCs w:val="20"/>
        </w:rPr>
        <w:t>female</w:t>
      </w:r>
      <w:r w:rsidR="00426DBF" w:rsidRPr="00114157">
        <w:rPr>
          <w:bCs/>
          <w:sz w:val="20"/>
          <w:szCs w:val="20"/>
        </w:rPr>
        <w:t>s</w:t>
      </w:r>
      <w:r w:rsidR="00272F4B" w:rsidRPr="00114157">
        <w:rPr>
          <w:bCs/>
          <w:sz w:val="20"/>
          <w:szCs w:val="20"/>
        </w:rPr>
        <w:t xml:space="preserve"> </w:t>
      </w:r>
      <w:r w:rsidR="00426DBF" w:rsidRPr="00114157">
        <w:rPr>
          <w:bCs/>
          <w:sz w:val="20"/>
          <w:szCs w:val="20"/>
        </w:rPr>
        <w:t>who are enrolled</w:t>
      </w:r>
      <w:r w:rsidR="00CD55E3" w:rsidRPr="00114157">
        <w:rPr>
          <w:bCs/>
          <w:sz w:val="20"/>
          <w:szCs w:val="20"/>
        </w:rPr>
        <w:t xml:space="preserve"> </w:t>
      </w:r>
      <w:r w:rsidR="001E618B" w:rsidRPr="00114157">
        <w:rPr>
          <w:bCs/>
          <w:sz w:val="20"/>
          <w:szCs w:val="20"/>
        </w:rPr>
        <w:t xml:space="preserve">increased 9 </w:t>
      </w:r>
      <w:r w:rsidR="00272F4B" w:rsidRPr="00114157">
        <w:rPr>
          <w:bCs/>
          <w:sz w:val="20"/>
          <w:szCs w:val="20"/>
        </w:rPr>
        <w:t>percentage point</w:t>
      </w:r>
      <w:r w:rsidR="00823994" w:rsidRPr="00114157">
        <w:rPr>
          <w:bCs/>
          <w:sz w:val="20"/>
          <w:szCs w:val="20"/>
        </w:rPr>
        <w:t>s</w:t>
      </w:r>
      <w:r w:rsidR="00272F4B" w:rsidRPr="00114157">
        <w:rPr>
          <w:bCs/>
          <w:sz w:val="20"/>
          <w:szCs w:val="20"/>
        </w:rPr>
        <w:t xml:space="preserve">, </w:t>
      </w:r>
      <w:r w:rsidR="00823994" w:rsidRPr="00114157">
        <w:rPr>
          <w:bCs/>
          <w:sz w:val="20"/>
          <w:szCs w:val="20"/>
        </w:rPr>
        <w:t>the increase in this share</w:t>
      </w:r>
      <w:r w:rsidR="00272F4B" w:rsidRPr="00114157">
        <w:rPr>
          <w:bCs/>
          <w:sz w:val="20"/>
          <w:szCs w:val="20"/>
        </w:rPr>
        <w:t xml:space="preserve"> for </w:t>
      </w:r>
      <w:r w:rsidR="00764816" w:rsidRPr="00114157">
        <w:rPr>
          <w:bCs/>
          <w:sz w:val="20"/>
          <w:szCs w:val="20"/>
        </w:rPr>
        <w:t>male</w:t>
      </w:r>
      <w:r w:rsidR="00823994" w:rsidRPr="00114157">
        <w:rPr>
          <w:bCs/>
          <w:sz w:val="20"/>
          <w:szCs w:val="20"/>
        </w:rPr>
        <w:t>s</w:t>
      </w:r>
      <w:r w:rsidR="00272F4B" w:rsidRPr="00114157">
        <w:rPr>
          <w:bCs/>
          <w:sz w:val="20"/>
          <w:szCs w:val="20"/>
        </w:rPr>
        <w:t xml:space="preserve"> is </w:t>
      </w:r>
      <w:r w:rsidR="00823994" w:rsidRPr="00114157">
        <w:rPr>
          <w:bCs/>
          <w:sz w:val="20"/>
          <w:szCs w:val="20"/>
        </w:rPr>
        <w:t xml:space="preserve">4 </w:t>
      </w:r>
      <w:r w:rsidR="00272F4B" w:rsidRPr="00114157">
        <w:rPr>
          <w:bCs/>
          <w:sz w:val="20"/>
          <w:szCs w:val="20"/>
        </w:rPr>
        <w:t>percentage point</w:t>
      </w:r>
      <w:r w:rsidR="00823994" w:rsidRPr="00114157">
        <w:rPr>
          <w:bCs/>
          <w:sz w:val="20"/>
          <w:szCs w:val="20"/>
        </w:rPr>
        <w:t>s</w:t>
      </w:r>
      <w:r w:rsidR="00272F4B" w:rsidRPr="00114157">
        <w:rPr>
          <w:bCs/>
          <w:sz w:val="20"/>
          <w:szCs w:val="20"/>
        </w:rPr>
        <w:t xml:space="preserve">. Therefore, gender gap </w:t>
      </w:r>
      <w:r w:rsidR="00F85E79" w:rsidRPr="00114157">
        <w:rPr>
          <w:bCs/>
          <w:sz w:val="20"/>
          <w:szCs w:val="20"/>
        </w:rPr>
        <w:t xml:space="preserve">in educational </w:t>
      </w:r>
      <w:r w:rsidR="00EC6B96" w:rsidRPr="00114157">
        <w:rPr>
          <w:bCs/>
          <w:sz w:val="20"/>
          <w:szCs w:val="20"/>
        </w:rPr>
        <w:t>enrollment</w:t>
      </w:r>
      <w:r w:rsidR="00F85E79" w:rsidRPr="00114157">
        <w:rPr>
          <w:bCs/>
          <w:sz w:val="20"/>
          <w:szCs w:val="20"/>
        </w:rPr>
        <w:t xml:space="preserve"> </w:t>
      </w:r>
      <w:r w:rsidR="00272F4B" w:rsidRPr="00114157">
        <w:rPr>
          <w:bCs/>
          <w:sz w:val="20"/>
          <w:szCs w:val="20"/>
        </w:rPr>
        <w:t xml:space="preserve">has declined. </w:t>
      </w:r>
      <w:r w:rsidR="00F85E79" w:rsidRPr="00114157">
        <w:rPr>
          <w:bCs/>
          <w:sz w:val="20"/>
          <w:szCs w:val="20"/>
        </w:rPr>
        <w:t xml:space="preserve">Yet, international comparisons show that education level for young </w:t>
      </w:r>
      <w:r w:rsidR="00913CA1" w:rsidRPr="00114157">
        <w:rPr>
          <w:bCs/>
          <w:sz w:val="20"/>
          <w:szCs w:val="20"/>
        </w:rPr>
        <w:t xml:space="preserve">is </w:t>
      </w:r>
      <w:r w:rsidR="00F85E79" w:rsidRPr="00114157">
        <w:rPr>
          <w:bCs/>
          <w:sz w:val="20"/>
          <w:szCs w:val="20"/>
        </w:rPr>
        <w:t>still</w:t>
      </w:r>
      <w:r w:rsidR="00D67BE1" w:rsidRPr="00114157">
        <w:rPr>
          <w:bCs/>
          <w:sz w:val="20"/>
          <w:szCs w:val="20"/>
        </w:rPr>
        <w:t xml:space="preserve"> too low.</w:t>
      </w:r>
    </w:p>
    <w:p w:rsidR="00322607" w:rsidRPr="00114157" w:rsidRDefault="00322607" w:rsidP="00322607">
      <w:pPr>
        <w:spacing w:before="120"/>
        <w:rPr>
          <w:bCs/>
          <w:sz w:val="20"/>
          <w:szCs w:val="20"/>
        </w:rPr>
      </w:pPr>
      <w:r w:rsidRPr="00114157">
        <w:rPr>
          <w:bCs/>
          <w:sz w:val="20"/>
          <w:szCs w:val="20"/>
        </w:rPr>
        <w:t xml:space="preserve">The results of Figure 1 indicate that Turkey is </w:t>
      </w:r>
      <w:r w:rsidR="002849CB" w:rsidRPr="00114157">
        <w:rPr>
          <w:bCs/>
          <w:sz w:val="20"/>
          <w:szCs w:val="20"/>
        </w:rPr>
        <w:t>still very far</w:t>
      </w:r>
      <w:r w:rsidRPr="00114157">
        <w:rPr>
          <w:bCs/>
          <w:sz w:val="20"/>
          <w:szCs w:val="20"/>
        </w:rPr>
        <w:t xml:space="preserve"> away from </w:t>
      </w:r>
      <w:r w:rsidR="00EA1C30" w:rsidRPr="00114157">
        <w:rPr>
          <w:bCs/>
          <w:sz w:val="20"/>
          <w:szCs w:val="20"/>
        </w:rPr>
        <w:t>the averages of OECD countries</w:t>
      </w:r>
      <w:r w:rsidRPr="00114157">
        <w:rPr>
          <w:bCs/>
          <w:sz w:val="20"/>
          <w:szCs w:val="20"/>
        </w:rPr>
        <w:t xml:space="preserve"> and 21 European Union counties in </w:t>
      </w:r>
      <w:r w:rsidR="00EA1C30" w:rsidRPr="00114157">
        <w:rPr>
          <w:bCs/>
          <w:sz w:val="20"/>
          <w:szCs w:val="20"/>
        </w:rPr>
        <w:t>terms of</w:t>
      </w:r>
      <w:r w:rsidRPr="00114157">
        <w:rPr>
          <w:bCs/>
          <w:sz w:val="20"/>
          <w:szCs w:val="20"/>
        </w:rPr>
        <w:t xml:space="preserve"> educational enrollment</w:t>
      </w:r>
      <w:r w:rsidR="00EA1C30" w:rsidRPr="00114157">
        <w:rPr>
          <w:bCs/>
          <w:sz w:val="20"/>
          <w:szCs w:val="20"/>
        </w:rPr>
        <w:t xml:space="preserve"> rates in the age group of 15 to</w:t>
      </w:r>
      <w:r w:rsidRPr="00114157">
        <w:rPr>
          <w:bCs/>
          <w:sz w:val="20"/>
          <w:szCs w:val="20"/>
        </w:rPr>
        <w:t xml:space="preserve"> 19.  While the enrollment </w:t>
      </w:r>
      <w:r w:rsidR="00416DB1" w:rsidRPr="00114157">
        <w:rPr>
          <w:bCs/>
          <w:sz w:val="20"/>
          <w:szCs w:val="20"/>
        </w:rPr>
        <w:t xml:space="preserve">rate </w:t>
      </w:r>
      <w:r w:rsidRPr="00114157">
        <w:rPr>
          <w:bCs/>
          <w:sz w:val="20"/>
          <w:szCs w:val="20"/>
        </w:rPr>
        <w:t xml:space="preserve">for Turkey at that age group is 59.9 percent, OECD average is 83.7 percent and the average of 21 European Union countries is 87.4 percent. </w:t>
      </w:r>
      <w:r w:rsidR="00906BBC" w:rsidRPr="00114157">
        <w:rPr>
          <w:bCs/>
          <w:sz w:val="20"/>
          <w:szCs w:val="20"/>
        </w:rPr>
        <w:t>Data</w:t>
      </w:r>
      <w:r w:rsidRPr="00114157">
        <w:rPr>
          <w:bCs/>
          <w:sz w:val="20"/>
          <w:szCs w:val="20"/>
        </w:rPr>
        <w:t xml:space="preserve"> shows that the gap between Turkey and OECD and EU c</w:t>
      </w:r>
      <w:r w:rsidR="00906BBC" w:rsidRPr="00114157">
        <w:rPr>
          <w:bCs/>
          <w:sz w:val="20"/>
          <w:szCs w:val="20"/>
        </w:rPr>
        <w:t>ountries in terms of</w:t>
      </w:r>
      <w:r w:rsidRPr="00114157">
        <w:rPr>
          <w:bCs/>
          <w:sz w:val="20"/>
          <w:szCs w:val="20"/>
        </w:rPr>
        <w:t xml:space="preserve"> enrollment ratio</w:t>
      </w:r>
      <w:r w:rsidR="00906BBC" w:rsidRPr="00114157">
        <w:rPr>
          <w:bCs/>
          <w:sz w:val="20"/>
          <w:szCs w:val="20"/>
        </w:rPr>
        <w:t>s</w:t>
      </w:r>
      <w:r w:rsidRPr="00114157">
        <w:rPr>
          <w:bCs/>
          <w:sz w:val="20"/>
          <w:szCs w:val="20"/>
        </w:rPr>
        <w:t xml:space="preserve"> for </w:t>
      </w:r>
      <w:r w:rsidR="00906BBC" w:rsidRPr="00114157">
        <w:rPr>
          <w:bCs/>
          <w:sz w:val="20"/>
          <w:szCs w:val="20"/>
        </w:rPr>
        <w:t xml:space="preserve">the </w:t>
      </w:r>
      <w:r w:rsidR="00211977" w:rsidRPr="00114157">
        <w:rPr>
          <w:bCs/>
          <w:sz w:val="20"/>
          <w:szCs w:val="20"/>
        </w:rPr>
        <w:t>young has been narrowing</w:t>
      </w:r>
      <w:r w:rsidRPr="00114157">
        <w:rPr>
          <w:bCs/>
          <w:sz w:val="20"/>
          <w:szCs w:val="20"/>
        </w:rPr>
        <w:t xml:space="preserve">. </w:t>
      </w:r>
      <w:r w:rsidR="00C36E27" w:rsidRPr="00114157">
        <w:rPr>
          <w:bCs/>
          <w:sz w:val="20"/>
          <w:szCs w:val="20"/>
        </w:rPr>
        <w:t>From 2007 to</w:t>
      </w:r>
      <w:r w:rsidRPr="00114157">
        <w:rPr>
          <w:bCs/>
          <w:sz w:val="20"/>
          <w:szCs w:val="20"/>
        </w:rPr>
        <w:t xml:space="preserve"> 2011, the enrollment ratio for OECD average has raised from 81.3 percent to 83.7 percent with 2.2 percentage point</w:t>
      </w:r>
      <w:r w:rsidR="00FD100F">
        <w:rPr>
          <w:bCs/>
          <w:sz w:val="20"/>
          <w:szCs w:val="20"/>
        </w:rPr>
        <w:t>s</w:t>
      </w:r>
      <w:r w:rsidRPr="00114157">
        <w:rPr>
          <w:bCs/>
          <w:sz w:val="20"/>
          <w:szCs w:val="20"/>
        </w:rPr>
        <w:t xml:space="preserve"> </w:t>
      </w:r>
      <w:r w:rsidR="00C36E27" w:rsidRPr="00114157">
        <w:rPr>
          <w:bCs/>
          <w:sz w:val="20"/>
          <w:szCs w:val="20"/>
        </w:rPr>
        <w:t xml:space="preserve">increase while the increase in Turkey was 6 </w:t>
      </w:r>
      <w:r w:rsidRPr="00114157">
        <w:rPr>
          <w:bCs/>
          <w:sz w:val="20"/>
          <w:szCs w:val="20"/>
        </w:rPr>
        <w:t>percentage point</w:t>
      </w:r>
      <w:r w:rsidR="00C36E27" w:rsidRPr="00114157">
        <w:rPr>
          <w:bCs/>
          <w:sz w:val="20"/>
          <w:szCs w:val="20"/>
        </w:rPr>
        <w:t>s</w:t>
      </w:r>
      <w:r w:rsidRPr="00114157">
        <w:rPr>
          <w:bCs/>
          <w:sz w:val="20"/>
          <w:szCs w:val="20"/>
        </w:rPr>
        <w:t xml:space="preserve"> from 53.9 percent to 59.9 percent. </w:t>
      </w:r>
      <w:r w:rsidR="00100507" w:rsidRPr="00114157">
        <w:rPr>
          <w:bCs/>
          <w:sz w:val="20"/>
          <w:szCs w:val="20"/>
        </w:rPr>
        <w:t>However, closing the gap in a reasonable time frame requires</w:t>
      </w:r>
      <w:r w:rsidRPr="00114157">
        <w:rPr>
          <w:bCs/>
          <w:sz w:val="20"/>
          <w:szCs w:val="20"/>
        </w:rPr>
        <w:t xml:space="preserve"> radical </w:t>
      </w:r>
      <w:r w:rsidR="00FE7972" w:rsidRPr="00114157">
        <w:rPr>
          <w:bCs/>
          <w:sz w:val="20"/>
          <w:szCs w:val="20"/>
        </w:rPr>
        <w:t>policies</w:t>
      </w:r>
      <w:r w:rsidR="00100507" w:rsidRPr="00114157">
        <w:rPr>
          <w:bCs/>
          <w:sz w:val="20"/>
          <w:szCs w:val="20"/>
        </w:rPr>
        <w:t xml:space="preserve"> to increase enrollment rates of the young</w:t>
      </w:r>
      <w:r w:rsidRPr="00114157">
        <w:rPr>
          <w:bCs/>
          <w:sz w:val="20"/>
          <w:szCs w:val="20"/>
        </w:rPr>
        <w:t xml:space="preserve">. </w:t>
      </w:r>
    </w:p>
    <w:p w:rsidR="00114157" w:rsidRDefault="00114157" w:rsidP="003C20C2">
      <w:pPr>
        <w:spacing w:before="120"/>
        <w:jc w:val="both"/>
        <w:rPr>
          <w:b/>
          <w:bCs/>
          <w:sz w:val="20"/>
          <w:szCs w:val="20"/>
        </w:rPr>
      </w:pPr>
    </w:p>
    <w:p w:rsidR="00114157" w:rsidRDefault="00114157" w:rsidP="003C20C2">
      <w:pPr>
        <w:spacing w:before="120"/>
        <w:jc w:val="both"/>
        <w:rPr>
          <w:b/>
          <w:bCs/>
          <w:sz w:val="20"/>
          <w:szCs w:val="20"/>
        </w:rPr>
      </w:pPr>
    </w:p>
    <w:p w:rsidR="00114157" w:rsidRDefault="00114157" w:rsidP="003C20C2">
      <w:pPr>
        <w:spacing w:before="120"/>
        <w:jc w:val="both"/>
        <w:rPr>
          <w:b/>
          <w:bCs/>
          <w:sz w:val="20"/>
          <w:szCs w:val="20"/>
        </w:rPr>
      </w:pPr>
    </w:p>
    <w:p w:rsidR="003C20C2" w:rsidRDefault="003C20C2" w:rsidP="003C20C2">
      <w:pPr>
        <w:spacing w:before="120"/>
        <w:jc w:val="both"/>
        <w:rPr>
          <w:b/>
          <w:bCs/>
          <w:sz w:val="20"/>
          <w:szCs w:val="20"/>
        </w:rPr>
      </w:pPr>
      <w:r w:rsidRPr="00263B5B">
        <w:rPr>
          <w:b/>
          <w:bCs/>
          <w:sz w:val="20"/>
          <w:szCs w:val="20"/>
        </w:rPr>
        <w:lastRenderedPageBreak/>
        <w:t xml:space="preserve">Figure </w:t>
      </w:r>
      <w:r w:rsidR="009E3A32" w:rsidRPr="009E3A32">
        <w:rPr>
          <w:b/>
          <w:bCs/>
          <w:sz w:val="20"/>
          <w:szCs w:val="20"/>
        </w:rPr>
        <w:fldChar w:fldCharType="begin"/>
      </w:r>
      <w:r w:rsidRPr="00263B5B">
        <w:rPr>
          <w:b/>
          <w:bCs/>
          <w:sz w:val="20"/>
          <w:szCs w:val="20"/>
        </w:rPr>
        <w:instrText xml:space="preserve"> SEQ Şekil \* ARABIC </w:instrText>
      </w:r>
      <w:r w:rsidR="009E3A32" w:rsidRPr="009E3A32">
        <w:rPr>
          <w:b/>
          <w:bCs/>
          <w:sz w:val="20"/>
          <w:szCs w:val="20"/>
        </w:rPr>
        <w:fldChar w:fldCharType="separate"/>
      </w:r>
      <w:r w:rsidR="00E550A2">
        <w:rPr>
          <w:b/>
          <w:bCs/>
          <w:noProof/>
          <w:sz w:val="20"/>
          <w:szCs w:val="20"/>
        </w:rPr>
        <w:t>1</w:t>
      </w:r>
      <w:r w:rsidR="009E3A32" w:rsidRPr="00263B5B">
        <w:rPr>
          <w:b/>
          <w:sz w:val="20"/>
          <w:szCs w:val="20"/>
        </w:rPr>
        <w:fldChar w:fldCharType="end"/>
      </w:r>
      <w:r w:rsidRPr="00263B5B">
        <w:rPr>
          <w:b/>
          <w:bCs/>
          <w:sz w:val="20"/>
          <w:szCs w:val="20"/>
        </w:rPr>
        <w:t xml:space="preserve"> E</w:t>
      </w:r>
      <w:r w:rsidR="00EC6B96">
        <w:rPr>
          <w:b/>
          <w:bCs/>
          <w:sz w:val="20"/>
          <w:szCs w:val="20"/>
        </w:rPr>
        <w:t>nrol</w:t>
      </w:r>
      <w:r w:rsidR="00764816" w:rsidRPr="00263B5B">
        <w:rPr>
          <w:b/>
          <w:bCs/>
          <w:sz w:val="20"/>
          <w:szCs w:val="20"/>
        </w:rPr>
        <w:t>ment</w:t>
      </w:r>
      <w:r w:rsidRPr="00263B5B">
        <w:rPr>
          <w:b/>
          <w:bCs/>
          <w:sz w:val="20"/>
          <w:szCs w:val="20"/>
        </w:rPr>
        <w:t xml:space="preserve"> ratios for age group 15-19, 2011</w:t>
      </w:r>
    </w:p>
    <w:p w:rsidR="003C20C2" w:rsidRPr="00DF14A8" w:rsidRDefault="00847D2C" w:rsidP="00DF14A8">
      <w:pPr>
        <w:spacing w:before="120"/>
        <w:jc w:val="both"/>
        <w:rPr>
          <w:b/>
          <w:bCs/>
          <w:sz w:val="20"/>
          <w:szCs w:val="20"/>
        </w:rPr>
      </w:pPr>
      <w:r>
        <w:rPr>
          <w:b/>
          <w:bCs/>
          <w:noProof/>
          <w:sz w:val="20"/>
          <w:szCs w:val="20"/>
          <w:lang w:val="tr-TR" w:eastAsia="tr-TR"/>
        </w:rPr>
        <w:drawing>
          <wp:inline distT="0" distB="0" distL="0" distR="0">
            <wp:extent cx="4797499" cy="2785730"/>
            <wp:effectExtent l="19050" t="0" r="3101"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97525" cy="2785745"/>
                    </a:xfrm>
                    <a:prstGeom prst="rect">
                      <a:avLst/>
                    </a:prstGeom>
                    <a:noFill/>
                    <a:ln w="9525">
                      <a:noFill/>
                      <a:miter lim="800000"/>
                      <a:headEnd/>
                      <a:tailEnd/>
                    </a:ln>
                  </pic:spPr>
                </pic:pic>
              </a:graphicData>
            </a:graphic>
          </wp:inline>
        </w:drawing>
      </w:r>
    </w:p>
    <w:p w:rsidR="00195966" w:rsidRDefault="003C20C2" w:rsidP="00DF14A8">
      <w:pPr>
        <w:jc w:val="both"/>
      </w:pPr>
      <w:r w:rsidRPr="00263B5B">
        <w:t>Source: OECD Education at a Glance2013</w:t>
      </w:r>
    </w:p>
    <w:p w:rsidR="0085153B" w:rsidRPr="00DF14A8" w:rsidRDefault="0085153B" w:rsidP="00DF14A8">
      <w:pPr>
        <w:jc w:val="both"/>
      </w:pPr>
    </w:p>
    <w:p w:rsidR="00195966" w:rsidRPr="00263B5B" w:rsidRDefault="00A031D3" w:rsidP="00A63533">
      <w:pPr>
        <w:spacing w:before="120"/>
        <w:rPr>
          <w:b/>
          <w:bCs/>
          <w:sz w:val="22"/>
          <w:szCs w:val="22"/>
        </w:rPr>
      </w:pPr>
      <w:r w:rsidRPr="00263B5B">
        <w:rPr>
          <w:b/>
          <w:bCs/>
          <w:sz w:val="22"/>
          <w:szCs w:val="22"/>
        </w:rPr>
        <w:t xml:space="preserve">Half of young </w:t>
      </w:r>
      <w:r w:rsidR="0085153B" w:rsidRPr="00263B5B">
        <w:rPr>
          <w:b/>
          <w:bCs/>
          <w:sz w:val="22"/>
          <w:szCs w:val="22"/>
        </w:rPr>
        <w:t>in East an</w:t>
      </w:r>
      <w:r w:rsidR="0085153B">
        <w:rPr>
          <w:b/>
          <w:bCs/>
          <w:sz w:val="22"/>
          <w:szCs w:val="22"/>
        </w:rPr>
        <w:t>d Southe</w:t>
      </w:r>
      <w:r w:rsidR="0085153B" w:rsidRPr="00263B5B">
        <w:rPr>
          <w:b/>
          <w:bCs/>
          <w:sz w:val="22"/>
          <w:szCs w:val="22"/>
        </w:rPr>
        <w:t xml:space="preserve">ast Anatolia </w:t>
      </w:r>
      <w:r w:rsidR="00795EEC">
        <w:rPr>
          <w:b/>
          <w:bCs/>
          <w:sz w:val="22"/>
          <w:szCs w:val="22"/>
        </w:rPr>
        <w:t>are not enrolled</w:t>
      </w:r>
      <w:r w:rsidRPr="00263B5B">
        <w:rPr>
          <w:b/>
          <w:bCs/>
          <w:sz w:val="22"/>
          <w:szCs w:val="22"/>
        </w:rPr>
        <w:t xml:space="preserve"> </w:t>
      </w:r>
    </w:p>
    <w:p w:rsidR="00A031D3" w:rsidRPr="00114157" w:rsidRDefault="00A031D3" w:rsidP="009E6DA9">
      <w:pPr>
        <w:spacing w:before="120"/>
        <w:rPr>
          <w:bCs/>
          <w:sz w:val="20"/>
          <w:szCs w:val="20"/>
        </w:rPr>
      </w:pPr>
      <w:r w:rsidRPr="00114157">
        <w:rPr>
          <w:bCs/>
          <w:sz w:val="20"/>
          <w:szCs w:val="20"/>
        </w:rPr>
        <w:t xml:space="preserve">On the other hand, </w:t>
      </w:r>
      <w:r w:rsidR="0002252B" w:rsidRPr="00114157">
        <w:rPr>
          <w:bCs/>
          <w:sz w:val="20"/>
          <w:szCs w:val="20"/>
        </w:rPr>
        <w:t xml:space="preserve">an acute and persistent problem in Turkey, i.e. </w:t>
      </w:r>
      <w:r w:rsidRPr="00114157">
        <w:rPr>
          <w:bCs/>
          <w:sz w:val="20"/>
          <w:szCs w:val="20"/>
        </w:rPr>
        <w:t>regional differences</w:t>
      </w:r>
      <w:r w:rsidR="0002252B" w:rsidRPr="00114157">
        <w:rPr>
          <w:bCs/>
          <w:sz w:val="20"/>
          <w:szCs w:val="20"/>
        </w:rPr>
        <w:t xml:space="preserve"> remain a serious issue </w:t>
      </w:r>
      <w:r w:rsidRPr="00114157">
        <w:rPr>
          <w:bCs/>
          <w:sz w:val="20"/>
          <w:szCs w:val="20"/>
        </w:rPr>
        <w:t xml:space="preserve">in </w:t>
      </w:r>
      <w:r w:rsidR="00EC6B96" w:rsidRPr="00114157">
        <w:rPr>
          <w:bCs/>
          <w:sz w:val="20"/>
          <w:szCs w:val="20"/>
        </w:rPr>
        <w:t>enrollment</w:t>
      </w:r>
      <w:r w:rsidR="0002252B" w:rsidRPr="00114157">
        <w:rPr>
          <w:bCs/>
          <w:sz w:val="20"/>
          <w:szCs w:val="20"/>
        </w:rPr>
        <w:t xml:space="preserve"> rate</w:t>
      </w:r>
      <w:r w:rsidRPr="00114157">
        <w:rPr>
          <w:bCs/>
          <w:sz w:val="20"/>
          <w:szCs w:val="20"/>
        </w:rPr>
        <w:t>s</w:t>
      </w:r>
      <w:r w:rsidR="0002252B" w:rsidRPr="00114157">
        <w:rPr>
          <w:bCs/>
          <w:sz w:val="20"/>
          <w:szCs w:val="20"/>
        </w:rPr>
        <w:t xml:space="preserve"> as well</w:t>
      </w:r>
      <w:r w:rsidRPr="00114157">
        <w:rPr>
          <w:bCs/>
          <w:sz w:val="20"/>
          <w:szCs w:val="20"/>
        </w:rPr>
        <w:t xml:space="preserve"> (Figure 2). In </w:t>
      </w:r>
      <w:r w:rsidR="00743A23" w:rsidRPr="00114157">
        <w:rPr>
          <w:bCs/>
          <w:sz w:val="20"/>
          <w:szCs w:val="20"/>
        </w:rPr>
        <w:t xml:space="preserve">this age group, </w:t>
      </w:r>
      <w:r w:rsidRPr="00114157">
        <w:rPr>
          <w:bCs/>
          <w:sz w:val="20"/>
          <w:szCs w:val="20"/>
        </w:rPr>
        <w:t xml:space="preserve">the highest </w:t>
      </w:r>
      <w:r w:rsidR="00F43D37" w:rsidRPr="00114157">
        <w:rPr>
          <w:bCs/>
          <w:sz w:val="20"/>
          <w:szCs w:val="20"/>
        </w:rPr>
        <w:t>enrollment rate is in</w:t>
      </w:r>
      <w:r w:rsidRPr="00114157">
        <w:rPr>
          <w:bCs/>
          <w:sz w:val="20"/>
          <w:szCs w:val="20"/>
        </w:rPr>
        <w:t xml:space="preserve"> Istanbul with 67.9 percent. The </w:t>
      </w:r>
      <w:r w:rsidR="00B947DD" w:rsidRPr="00114157">
        <w:rPr>
          <w:bCs/>
          <w:sz w:val="20"/>
          <w:szCs w:val="20"/>
        </w:rPr>
        <w:t>enrollment rate in</w:t>
      </w:r>
      <w:r w:rsidR="00494798" w:rsidRPr="00114157">
        <w:rPr>
          <w:bCs/>
          <w:sz w:val="20"/>
          <w:szCs w:val="20"/>
        </w:rPr>
        <w:t xml:space="preserve"> the </w:t>
      </w:r>
      <w:r w:rsidRPr="00114157">
        <w:rPr>
          <w:bCs/>
          <w:sz w:val="20"/>
          <w:szCs w:val="20"/>
        </w:rPr>
        <w:t>most d</w:t>
      </w:r>
      <w:r w:rsidR="00B947DD" w:rsidRPr="00114157">
        <w:rPr>
          <w:bCs/>
          <w:sz w:val="20"/>
          <w:szCs w:val="20"/>
        </w:rPr>
        <w:t>eveloped region in terms of various</w:t>
      </w:r>
      <w:r w:rsidRPr="00114157">
        <w:rPr>
          <w:bCs/>
          <w:sz w:val="20"/>
          <w:szCs w:val="20"/>
        </w:rPr>
        <w:t xml:space="preserve"> aspects is less than </w:t>
      </w:r>
      <w:r w:rsidR="00494798" w:rsidRPr="00114157">
        <w:rPr>
          <w:bCs/>
          <w:sz w:val="20"/>
          <w:szCs w:val="20"/>
        </w:rPr>
        <w:t xml:space="preserve">its </w:t>
      </w:r>
      <w:r w:rsidR="004B4F92" w:rsidRPr="00114157">
        <w:rPr>
          <w:bCs/>
          <w:sz w:val="20"/>
          <w:szCs w:val="20"/>
        </w:rPr>
        <w:t xml:space="preserve">OECD average by 15.8 </w:t>
      </w:r>
      <w:r w:rsidRPr="00114157">
        <w:rPr>
          <w:bCs/>
          <w:sz w:val="20"/>
          <w:szCs w:val="20"/>
        </w:rPr>
        <w:t>percentage point</w:t>
      </w:r>
      <w:r w:rsidR="004B4F92" w:rsidRPr="00114157">
        <w:rPr>
          <w:bCs/>
          <w:sz w:val="20"/>
          <w:szCs w:val="20"/>
        </w:rPr>
        <w:t>s</w:t>
      </w:r>
      <w:r w:rsidRPr="00114157">
        <w:rPr>
          <w:bCs/>
          <w:sz w:val="20"/>
          <w:szCs w:val="20"/>
        </w:rPr>
        <w:t>.</w:t>
      </w:r>
      <w:r w:rsidR="00494798" w:rsidRPr="00114157">
        <w:rPr>
          <w:bCs/>
          <w:sz w:val="20"/>
          <w:szCs w:val="20"/>
        </w:rPr>
        <w:t xml:space="preserve"> </w:t>
      </w:r>
      <w:r w:rsidRPr="00114157">
        <w:rPr>
          <w:bCs/>
          <w:sz w:val="20"/>
          <w:szCs w:val="20"/>
        </w:rPr>
        <w:t xml:space="preserve"> </w:t>
      </w:r>
      <w:r w:rsidR="00F4630A" w:rsidRPr="00114157">
        <w:rPr>
          <w:bCs/>
          <w:sz w:val="20"/>
          <w:szCs w:val="20"/>
        </w:rPr>
        <w:t>The enrollment rate</w:t>
      </w:r>
      <w:r w:rsidR="00494798" w:rsidRPr="00114157">
        <w:rPr>
          <w:bCs/>
          <w:sz w:val="20"/>
          <w:szCs w:val="20"/>
        </w:rPr>
        <w:t xml:space="preserve"> declines to 45.8 percent in South-East Anatolia region with </w:t>
      </w:r>
      <w:r w:rsidR="00041985" w:rsidRPr="00114157">
        <w:rPr>
          <w:bCs/>
          <w:sz w:val="20"/>
          <w:szCs w:val="20"/>
        </w:rPr>
        <w:t xml:space="preserve">a </w:t>
      </w:r>
      <w:r w:rsidR="00494798" w:rsidRPr="00114157">
        <w:rPr>
          <w:bCs/>
          <w:sz w:val="20"/>
          <w:szCs w:val="20"/>
        </w:rPr>
        <w:t xml:space="preserve">38.1 </w:t>
      </w:r>
      <w:r w:rsidR="00F4630A" w:rsidRPr="00114157">
        <w:rPr>
          <w:bCs/>
          <w:sz w:val="20"/>
          <w:szCs w:val="20"/>
        </w:rPr>
        <w:t>percentage point</w:t>
      </w:r>
      <w:r w:rsidR="00FD100F">
        <w:rPr>
          <w:bCs/>
          <w:sz w:val="20"/>
          <w:szCs w:val="20"/>
        </w:rPr>
        <w:t>s</w:t>
      </w:r>
      <w:r w:rsidR="00F4630A" w:rsidRPr="00114157">
        <w:rPr>
          <w:bCs/>
          <w:sz w:val="20"/>
          <w:szCs w:val="20"/>
        </w:rPr>
        <w:t xml:space="preserve"> gap compared to the </w:t>
      </w:r>
      <w:r w:rsidR="00494798" w:rsidRPr="00114157">
        <w:rPr>
          <w:bCs/>
          <w:sz w:val="20"/>
          <w:szCs w:val="20"/>
        </w:rPr>
        <w:t xml:space="preserve">OECD average. These results </w:t>
      </w:r>
      <w:r w:rsidR="009E6DA9" w:rsidRPr="00114157">
        <w:rPr>
          <w:bCs/>
          <w:sz w:val="20"/>
          <w:szCs w:val="20"/>
        </w:rPr>
        <w:t xml:space="preserve">clearly indicate that policies to increase enrollment rates require additional supportive policies to address regional differences. </w:t>
      </w:r>
    </w:p>
    <w:p w:rsidR="003C20C2" w:rsidRPr="00DF14A8" w:rsidRDefault="003C20C2" w:rsidP="00847D2C">
      <w:pPr>
        <w:spacing w:before="120"/>
        <w:rPr>
          <w:b/>
          <w:bCs/>
          <w:sz w:val="20"/>
          <w:szCs w:val="20"/>
        </w:rPr>
      </w:pPr>
      <w:r w:rsidRPr="00DF14A8">
        <w:rPr>
          <w:b/>
          <w:bCs/>
          <w:sz w:val="20"/>
          <w:szCs w:val="20"/>
        </w:rPr>
        <w:t xml:space="preserve">Figure </w:t>
      </w:r>
      <w:r w:rsidR="009E3A32" w:rsidRPr="00DF14A8">
        <w:rPr>
          <w:b/>
          <w:bCs/>
          <w:sz w:val="20"/>
          <w:szCs w:val="20"/>
        </w:rPr>
        <w:fldChar w:fldCharType="begin"/>
      </w:r>
      <w:r w:rsidRPr="00DF14A8">
        <w:rPr>
          <w:b/>
          <w:bCs/>
          <w:sz w:val="20"/>
          <w:szCs w:val="20"/>
        </w:rPr>
        <w:instrText xml:space="preserve"> SEQ Şekil \* ARABIC </w:instrText>
      </w:r>
      <w:r w:rsidR="009E3A32" w:rsidRPr="00DF14A8">
        <w:rPr>
          <w:b/>
          <w:bCs/>
          <w:sz w:val="20"/>
          <w:szCs w:val="20"/>
        </w:rPr>
        <w:fldChar w:fldCharType="separate"/>
      </w:r>
      <w:r w:rsidR="00E550A2" w:rsidRPr="00DF14A8">
        <w:rPr>
          <w:b/>
          <w:bCs/>
          <w:noProof/>
          <w:sz w:val="20"/>
          <w:szCs w:val="20"/>
        </w:rPr>
        <w:t>2</w:t>
      </w:r>
      <w:r w:rsidR="009E3A32" w:rsidRPr="00DF14A8">
        <w:rPr>
          <w:b/>
          <w:bCs/>
          <w:sz w:val="20"/>
          <w:szCs w:val="20"/>
        </w:rPr>
        <w:fldChar w:fldCharType="end"/>
      </w:r>
      <w:r w:rsidRPr="00DF14A8">
        <w:rPr>
          <w:b/>
          <w:bCs/>
          <w:sz w:val="20"/>
          <w:szCs w:val="20"/>
        </w:rPr>
        <w:t xml:space="preserve"> </w:t>
      </w:r>
      <w:r w:rsidR="00EC6B96" w:rsidRPr="00DF14A8">
        <w:rPr>
          <w:b/>
          <w:bCs/>
          <w:sz w:val="20"/>
          <w:szCs w:val="20"/>
        </w:rPr>
        <w:t>Enrollment</w:t>
      </w:r>
      <w:r w:rsidRPr="00DF14A8">
        <w:rPr>
          <w:b/>
          <w:bCs/>
          <w:sz w:val="20"/>
          <w:szCs w:val="20"/>
        </w:rPr>
        <w:t xml:space="preserve"> ratios by region, 2012</w:t>
      </w:r>
    </w:p>
    <w:p w:rsidR="003C20C2" w:rsidRPr="00263B5B" w:rsidRDefault="00847D2C" w:rsidP="003C20C2">
      <w:pPr>
        <w:spacing w:before="120"/>
        <w:rPr>
          <w:bCs/>
          <w:sz w:val="22"/>
          <w:szCs w:val="22"/>
        </w:rPr>
      </w:pPr>
      <w:r>
        <w:rPr>
          <w:bCs/>
          <w:noProof/>
          <w:sz w:val="22"/>
          <w:szCs w:val="22"/>
          <w:lang w:val="tr-TR" w:eastAsia="tr-TR"/>
        </w:rPr>
        <w:drawing>
          <wp:inline distT="0" distB="0" distL="0" distR="0">
            <wp:extent cx="5760720" cy="2711483"/>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760720" cy="2711483"/>
                    </a:xfrm>
                    <a:prstGeom prst="rect">
                      <a:avLst/>
                    </a:prstGeom>
                    <a:noFill/>
                    <a:ln w="9525">
                      <a:noFill/>
                      <a:miter lim="800000"/>
                      <a:headEnd/>
                      <a:tailEnd/>
                    </a:ln>
                  </pic:spPr>
                </pic:pic>
              </a:graphicData>
            </a:graphic>
          </wp:inline>
        </w:drawing>
      </w:r>
    </w:p>
    <w:p w:rsidR="003C20C2" w:rsidRPr="00263B5B" w:rsidRDefault="003C20C2" w:rsidP="003C20C2">
      <w:pPr>
        <w:spacing w:before="120"/>
      </w:pPr>
      <w:r w:rsidRPr="00263B5B">
        <w:t>Source: HLFS 2012. TURKSTAT; Betam</w:t>
      </w:r>
    </w:p>
    <w:p w:rsidR="00A66EB5" w:rsidRPr="00263B5B" w:rsidRDefault="00A66EB5" w:rsidP="00A63533">
      <w:pPr>
        <w:spacing w:before="120"/>
        <w:rPr>
          <w:bCs/>
          <w:sz w:val="22"/>
          <w:szCs w:val="22"/>
        </w:rPr>
      </w:pPr>
    </w:p>
    <w:p w:rsidR="00A66EB5" w:rsidRPr="00CD55E3" w:rsidRDefault="00A66EB5" w:rsidP="00A63533">
      <w:pPr>
        <w:spacing w:before="120"/>
        <w:rPr>
          <w:b/>
          <w:bCs/>
          <w:sz w:val="22"/>
          <w:szCs w:val="22"/>
        </w:rPr>
      </w:pPr>
      <w:r w:rsidRPr="00263B5B">
        <w:rPr>
          <w:b/>
          <w:bCs/>
          <w:sz w:val="22"/>
          <w:szCs w:val="22"/>
        </w:rPr>
        <w:t xml:space="preserve">There is no significant change in educational levels for who not registered to school </w:t>
      </w:r>
    </w:p>
    <w:p w:rsidR="00AA65F1" w:rsidRPr="00114157" w:rsidRDefault="00A66EB5" w:rsidP="00A63533">
      <w:pPr>
        <w:spacing w:before="120"/>
        <w:rPr>
          <w:bCs/>
          <w:sz w:val="20"/>
          <w:szCs w:val="20"/>
        </w:rPr>
      </w:pPr>
      <w:r w:rsidRPr="00114157">
        <w:rPr>
          <w:bCs/>
          <w:sz w:val="20"/>
          <w:szCs w:val="20"/>
        </w:rPr>
        <w:t xml:space="preserve">According to the results of 2012 Household Labor </w:t>
      </w:r>
      <w:r w:rsidR="00524BEC" w:rsidRPr="00114157">
        <w:rPr>
          <w:bCs/>
          <w:sz w:val="20"/>
          <w:szCs w:val="20"/>
        </w:rPr>
        <w:t>Force Survey (HLFS), there are</w:t>
      </w:r>
      <w:r w:rsidRPr="00114157">
        <w:rPr>
          <w:bCs/>
          <w:sz w:val="20"/>
          <w:szCs w:val="20"/>
        </w:rPr>
        <w:t xml:space="preserve"> 6 million 191 thousand young </w:t>
      </w:r>
      <w:r w:rsidR="00524BEC" w:rsidRPr="00114157">
        <w:rPr>
          <w:bCs/>
          <w:sz w:val="20"/>
          <w:szCs w:val="20"/>
        </w:rPr>
        <w:t>between the ages</w:t>
      </w:r>
      <w:r w:rsidRPr="00114157">
        <w:rPr>
          <w:bCs/>
          <w:sz w:val="20"/>
          <w:szCs w:val="20"/>
        </w:rPr>
        <w:t xml:space="preserve"> of 15 and 19. Unfortunately, 1 million 260</w:t>
      </w:r>
      <w:r w:rsidR="00BC5C97" w:rsidRPr="00114157">
        <w:rPr>
          <w:bCs/>
          <w:sz w:val="20"/>
          <w:szCs w:val="20"/>
        </w:rPr>
        <w:t xml:space="preserve"> thousand young </w:t>
      </w:r>
      <w:r w:rsidR="00764816" w:rsidRPr="00114157">
        <w:rPr>
          <w:bCs/>
          <w:sz w:val="20"/>
          <w:szCs w:val="20"/>
        </w:rPr>
        <w:t>female</w:t>
      </w:r>
      <w:r w:rsidR="003E1101" w:rsidRPr="00114157">
        <w:rPr>
          <w:bCs/>
          <w:sz w:val="20"/>
          <w:szCs w:val="20"/>
        </w:rPr>
        <w:t xml:space="preserve"> (41.6 percent</w:t>
      </w:r>
      <w:r w:rsidR="00BC5C97" w:rsidRPr="00114157">
        <w:rPr>
          <w:bCs/>
          <w:sz w:val="20"/>
          <w:szCs w:val="20"/>
        </w:rPr>
        <w:t xml:space="preserve">) and 1 million 220 thousand young </w:t>
      </w:r>
      <w:r w:rsidR="00764816" w:rsidRPr="00114157">
        <w:rPr>
          <w:bCs/>
          <w:sz w:val="20"/>
          <w:szCs w:val="20"/>
        </w:rPr>
        <w:t>male</w:t>
      </w:r>
      <w:r w:rsidR="00BC5C97" w:rsidRPr="00114157">
        <w:rPr>
          <w:bCs/>
          <w:sz w:val="20"/>
          <w:szCs w:val="20"/>
        </w:rPr>
        <w:t xml:space="preserve"> (38.6</w:t>
      </w:r>
      <w:r w:rsidR="003E1101" w:rsidRPr="00114157">
        <w:rPr>
          <w:bCs/>
          <w:sz w:val="20"/>
          <w:szCs w:val="20"/>
        </w:rPr>
        <w:t xml:space="preserve"> percent</w:t>
      </w:r>
      <w:r w:rsidR="00BC5C97" w:rsidRPr="00114157">
        <w:rPr>
          <w:bCs/>
          <w:sz w:val="20"/>
          <w:szCs w:val="20"/>
        </w:rPr>
        <w:t>) are out of the education</w:t>
      </w:r>
      <w:r w:rsidR="00575CA9" w:rsidRPr="00114157">
        <w:rPr>
          <w:bCs/>
          <w:sz w:val="20"/>
          <w:szCs w:val="20"/>
        </w:rPr>
        <w:t>al</w:t>
      </w:r>
      <w:r w:rsidR="00BC5C97" w:rsidRPr="00114157">
        <w:rPr>
          <w:bCs/>
          <w:sz w:val="20"/>
          <w:szCs w:val="20"/>
        </w:rPr>
        <w:t xml:space="preserve"> </w:t>
      </w:r>
      <w:r w:rsidR="00BC5C97" w:rsidRPr="00114157">
        <w:rPr>
          <w:bCs/>
          <w:sz w:val="20"/>
          <w:szCs w:val="20"/>
        </w:rPr>
        <w:lastRenderedPageBreak/>
        <w:t xml:space="preserve">system. In Table 1, the education levels of young who </w:t>
      </w:r>
      <w:r w:rsidR="00D42B32" w:rsidRPr="00114157">
        <w:rPr>
          <w:bCs/>
          <w:sz w:val="20"/>
          <w:szCs w:val="20"/>
        </w:rPr>
        <w:t>are not enrolled are provided</w:t>
      </w:r>
      <w:r w:rsidR="00BC5C97" w:rsidRPr="00114157">
        <w:rPr>
          <w:bCs/>
          <w:sz w:val="20"/>
          <w:szCs w:val="20"/>
        </w:rPr>
        <w:t>.</w:t>
      </w:r>
      <w:r w:rsidR="00AA65F1" w:rsidRPr="00114157">
        <w:rPr>
          <w:bCs/>
          <w:sz w:val="20"/>
          <w:szCs w:val="20"/>
        </w:rPr>
        <w:t xml:space="preserve"> The young who have not graduated from any educational institution </w:t>
      </w:r>
      <w:r w:rsidR="00FE3A5F" w:rsidRPr="00114157">
        <w:rPr>
          <w:bCs/>
          <w:sz w:val="20"/>
          <w:szCs w:val="20"/>
        </w:rPr>
        <w:t>constitute</w:t>
      </w:r>
      <w:r w:rsidR="00AA65F1" w:rsidRPr="00114157">
        <w:rPr>
          <w:bCs/>
          <w:sz w:val="20"/>
          <w:szCs w:val="20"/>
        </w:rPr>
        <w:t xml:space="preserve"> </w:t>
      </w:r>
      <w:r w:rsidR="00FE3A5F" w:rsidRPr="00114157">
        <w:rPr>
          <w:bCs/>
          <w:sz w:val="20"/>
          <w:szCs w:val="20"/>
        </w:rPr>
        <w:t>1</w:t>
      </w:r>
      <w:r w:rsidR="00AA65F1" w:rsidRPr="00114157">
        <w:rPr>
          <w:bCs/>
          <w:sz w:val="20"/>
          <w:szCs w:val="20"/>
        </w:rPr>
        <w:t xml:space="preserve">7.5 percent of young </w:t>
      </w:r>
      <w:r w:rsidR="00764816" w:rsidRPr="00114157">
        <w:rPr>
          <w:bCs/>
          <w:sz w:val="20"/>
          <w:szCs w:val="20"/>
        </w:rPr>
        <w:t>female</w:t>
      </w:r>
      <w:r w:rsidR="00FE3A5F" w:rsidRPr="00114157">
        <w:rPr>
          <w:bCs/>
          <w:sz w:val="20"/>
          <w:szCs w:val="20"/>
        </w:rPr>
        <w:t>s</w:t>
      </w:r>
      <w:r w:rsidR="00AA65F1" w:rsidRPr="00114157">
        <w:rPr>
          <w:bCs/>
          <w:sz w:val="20"/>
          <w:szCs w:val="20"/>
        </w:rPr>
        <w:t xml:space="preserve"> and 12.5 percent of young </w:t>
      </w:r>
      <w:r w:rsidR="00764816" w:rsidRPr="00114157">
        <w:rPr>
          <w:bCs/>
          <w:sz w:val="20"/>
          <w:szCs w:val="20"/>
        </w:rPr>
        <w:t>male</w:t>
      </w:r>
      <w:r w:rsidR="00FE3A5F" w:rsidRPr="00114157">
        <w:rPr>
          <w:bCs/>
          <w:sz w:val="20"/>
          <w:szCs w:val="20"/>
        </w:rPr>
        <w:t>s.</w:t>
      </w:r>
      <w:r w:rsidR="00FB47A2" w:rsidRPr="00114157">
        <w:rPr>
          <w:bCs/>
          <w:sz w:val="20"/>
          <w:szCs w:val="20"/>
        </w:rPr>
        <w:t xml:space="preserve"> In total,</w:t>
      </w:r>
      <w:r w:rsidR="00AA65F1" w:rsidRPr="00114157">
        <w:rPr>
          <w:bCs/>
          <w:sz w:val="20"/>
          <w:szCs w:val="20"/>
        </w:rPr>
        <w:t xml:space="preserve"> three </w:t>
      </w:r>
      <w:r w:rsidR="00FB47A2" w:rsidRPr="00114157">
        <w:rPr>
          <w:bCs/>
          <w:sz w:val="20"/>
          <w:szCs w:val="20"/>
        </w:rPr>
        <w:t xml:space="preserve">out </w:t>
      </w:r>
      <w:r w:rsidR="00AA65F1" w:rsidRPr="00114157">
        <w:rPr>
          <w:bCs/>
          <w:sz w:val="20"/>
          <w:szCs w:val="20"/>
        </w:rPr>
        <w:t>of four young</w:t>
      </w:r>
      <w:r w:rsidR="00FB47A2" w:rsidRPr="00114157">
        <w:rPr>
          <w:bCs/>
          <w:sz w:val="20"/>
          <w:szCs w:val="20"/>
        </w:rPr>
        <w:t xml:space="preserve"> persons</w:t>
      </w:r>
      <w:r w:rsidR="00AA65F1" w:rsidRPr="00114157">
        <w:rPr>
          <w:bCs/>
          <w:sz w:val="20"/>
          <w:szCs w:val="20"/>
        </w:rPr>
        <w:t xml:space="preserve"> who </w:t>
      </w:r>
      <w:r w:rsidR="00FB47A2" w:rsidRPr="00114157">
        <w:rPr>
          <w:bCs/>
          <w:sz w:val="20"/>
          <w:szCs w:val="20"/>
        </w:rPr>
        <w:t>are</w:t>
      </w:r>
      <w:r w:rsidR="00AA65F1" w:rsidRPr="00114157">
        <w:rPr>
          <w:bCs/>
          <w:sz w:val="20"/>
          <w:szCs w:val="20"/>
        </w:rPr>
        <w:t xml:space="preserve"> not </w:t>
      </w:r>
      <w:r w:rsidR="00EC6B96" w:rsidRPr="00114157">
        <w:rPr>
          <w:bCs/>
          <w:sz w:val="20"/>
          <w:szCs w:val="20"/>
        </w:rPr>
        <w:t>enrol</w:t>
      </w:r>
      <w:r w:rsidR="00CD55E3" w:rsidRPr="00114157">
        <w:rPr>
          <w:bCs/>
          <w:sz w:val="20"/>
          <w:szCs w:val="20"/>
        </w:rPr>
        <w:t>l</w:t>
      </w:r>
      <w:r w:rsidR="00FB47A2" w:rsidRPr="00114157">
        <w:rPr>
          <w:bCs/>
          <w:sz w:val="20"/>
          <w:szCs w:val="20"/>
        </w:rPr>
        <w:t>ed</w:t>
      </w:r>
      <w:r w:rsidR="00AA65F1" w:rsidRPr="00114157">
        <w:rPr>
          <w:bCs/>
          <w:sz w:val="20"/>
          <w:szCs w:val="20"/>
        </w:rPr>
        <w:t xml:space="preserve"> </w:t>
      </w:r>
      <w:r w:rsidR="00FB47A2" w:rsidRPr="00114157">
        <w:rPr>
          <w:bCs/>
          <w:sz w:val="20"/>
          <w:szCs w:val="20"/>
        </w:rPr>
        <w:t xml:space="preserve">at </w:t>
      </w:r>
      <w:r w:rsidR="00AA65F1" w:rsidRPr="00114157">
        <w:rPr>
          <w:bCs/>
          <w:sz w:val="20"/>
          <w:szCs w:val="20"/>
        </w:rPr>
        <w:t>any educational institution have at most graduated from primary school.</w:t>
      </w:r>
    </w:p>
    <w:p w:rsidR="00A80C54" w:rsidRPr="00114157" w:rsidRDefault="002E74AB" w:rsidP="00A63533">
      <w:pPr>
        <w:spacing w:before="120"/>
        <w:rPr>
          <w:bCs/>
          <w:sz w:val="20"/>
          <w:szCs w:val="20"/>
        </w:rPr>
      </w:pPr>
      <w:r w:rsidRPr="00114157">
        <w:rPr>
          <w:bCs/>
          <w:sz w:val="20"/>
          <w:szCs w:val="20"/>
        </w:rPr>
        <w:t>Comparing the data</w:t>
      </w:r>
      <w:r w:rsidR="000A66CC" w:rsidRPr="00114157">
        <w:rPr>
          <w:bCs/>
          <w:sz w:val="20"/>
          <w:szCs w:val="20"/>
        </w:rPr>
        <w:t xml:space="preserve"> of</w:t>
      </w:r>
      <w:r w:rsidRPr="00114157">
        <w:rPr>
          <w:bCs/>
          <w:sz w:val="20"/>
          <w:szCs w:val="20"/>
        </w:rPr>
        <w:t xml:space="preserve"> Table 1 to</w:t>
      </w:r>
      <w:r w:rsidR="00AA65F1" w:rsidRPr="00114157">
        <w:rPr>
          <w:bCs/>
          <w:sz w:val="20"/>
          <w:szCs w:val="20"/>
        </w:rPr>
        <w:t xml:space="preserve"> 2009 HLFS results,</w:t>
      </w:r>
      <w:r w:rsidR="00A80C54" w:rsidRPr="00114157">
        <w:rPr>
          <w:bCs/>
          <w:sz w:val="20"/>
          <w:szCs w:val="20"/>
        </w:rPr>
        <w:t xml:space="preserve"> </w:t>
      </w:r>
      <w:r w:rsidR="00C46338" w:rsidRPr="00114157">
        <w:rPr>
          <w:bCs/>
          <w:sz w:val="20"/>
          <w:szCs w:val="20"/>
        </w:rPr>
        <w:t>note that there is some improvement in the</w:t>
      </w:r>
      <w:r w:rsidR="00AA65F1" w:rsidRPr="00114157">
        <w:rPr>
          <w:bCs/>
          <w:sz w:val="20"/>
          <w:szCs w:val="20"/>
        </w:rPr>
        <w:t xml:space="preserve"> educational levels of both young </w:t>
      </w:r>
      <w:r w:rsidR="00764816" w:rsidRPr="00114157">
        <w:rPr>
          <w:bCs/>
          <w:sz w:val="20"/>
          <w:szCs w:val="20"/>
        </w:rPr>
        <w:t>male</w:t>
      </w:r>
      <w:r w:rsidR="00C46338" w:rsidRPr="00114157">
        <w:rPr>
          <w:bCs/>
          <w:sz w:val="20"/>
          <w:szCs w:val="20"/>
        </w:rPr>
        <w:t>s</w:t>
      </w:r>
      <w:r w:rsidR="00AA65F1" w:rsidRPr="00114157">
        <w:rPr>
          <w:bCs/>
          <w:sz w:val="20"/>
          <w:szCs w:val="20"/>
        </w:rPr>
        <w:t xml:space="preserve"> and young </w:t>
      </w:r>
      <w:r w:rsidR="00764816" w:rsidRPr="00114157">
        <w:rPr>
          <w:bCs/>
          <w:sz w:val="20"/>
          <w:szCs w:val="20"/>
        </w:rPr>
        <w:t>female</w:t>
      </w:r>
      <w:r w:rsidR="00C46338" w:rsidRPr="00114157">
        <w:rPr>
          <w:bCs/>
          <w:sz w:val="20"/>
          <w:szCs w:val="20"/>
        </w:rPr>
        <w:t>s</w:t>
      </w:r>
      <w:r w:rsidR="00AA65F1" w:rsidRPr="00114157">
        <w:rPr>
          <w:bCs/>
          <w:sz w:val="20"/>
          <w:szCs w:val="20"/>
        </w:rPr>
        <w:t xml:space="preserve">. </w:t>
      </w:r>
      <w:r w:rsidR="000A66CC" w:rsidRPr="00114157">
        <w:rPr>
          <w:bCs/>
          <w:sz w:val="20"/>
          <w:szCs w:val="20"/>
        </w:rPr>
        <w:t xml:space="preserve">The numbers of young </w:t>
      </w:r>
      <w:r w:rsidR="00764816" w:rsidRPr="00114157">
        <w:rPr>
          <w:bCs/>
          <w:sz w:val="20"/>
          <w:szCs w:val="20"/>
        </w:rPr>
        <w:t>male</w:t>
      </w:r>
      <w:r w:rsidR="00DC0525" w:rsidRPr="00114157">
        <w:rPr>
          <w:bCs/>
          <w:sz w:val="20"/>
          <w:szCs w:val="20"/>
        </w:rPr>
        <w:t>s</w:t>
      </w:r>
      <w:r w:rsidR="000A66CC" w:rsidRPr="00114157">
        <w:rPr>
          <w:bCs/>
          <w:sz w:val="20"/>
          <w:szCs w:val="20"/>
        </w:rPr>
        <w:t xml:space="preserve"> and </w:t>
      </w:r>
      <w:r w:rsidR="00764816" w:rsidRPr="00114157">
        <w:rPr>
          <w:bCs/>
          <w:sz w:val="20"/>
          <w:szCs w:val="20"/>
        </w:rPr>
        <w:t>female</w:t>
      </w:r>
      <w:r w:rsidR="00DC0525" w:rsidRPr="00114157">
        <w:rPr>
          <w:bCs/>
          <w:sz w:val="20"/>
          <w:szCs w:val="20"/>
        </w:rPr>
        <w:t>s</w:t>
      </w:r>
      <w:r w:rsidR="000A66CC" w:rsidRPr="00114157">
        <w:rPr>
          <w:bCs/>
          <w:sz w:val="20"/>
          <w:szCs w:val="20"/>
        </w:rPr>
        <w:t xml:space="preserve"> </w:t>
      </w:r>
      <w:r w:rsidR="00DC0525" w:rsidRPr="00114157">
        <w:rPr>
          <w:bCs/>
          <w:sz w:val="20"/>
          <w:szCs w:val="20"/>
        </w:rPr>
        <w:t xml:space="preserve">who have graduated </w:t>
      </w:r>
      <w:r w:rsidR="000A66CC" w:rsidRPr="00114157">
        <w:rPr>
          <w:bCs/>
          <w:sz w:val="20"/>
          <w:szCs w:val="20"/>
        </w:rPr>
        <w:t xml:space="preserve">at most from primary school has declined. The number of </w:t>
      </w:r>
      <w:r w:rsidR="00764816" w:rsidRPr="00114157">
        <w:rPr>
          <w:bCs/>
          <w:sz w:val="20"/>
          <w:szCs w:val="20"/>
        </w:rPr>
        <w:t>male</w:t>
      </w:r>
      <w:r w:rsidR="001D6228" w:rsidRPr="00114157">
        <w:rPr>
          <w:bCs/>
          <w:sz w:val="20"/>
          <w:szCs w:val="20"/>
        </w:rPr>
        <w:t>s</w:t>
      </w:r>
      <w:r w:rsidR="000A66CC" w:rsidRPr="00114157">
        <w:rPr>
          <w:bCs/>
          <w:sz w:val="20"/>
          <w:szCs w:val="20"/>
        </w:rPr>
        <w:t xml:space="preserve"> who have not graduated from any educational institution has declined from 194 thousand to 153 thousand, for </w:t>
      </w:r>
      <w:r w:rsidR="00764816" w:rsidRPr="00114157">
        <w:rPr>
          <w:bCs/>
          <w:sz w:val="20"/>
          <w:szCs w:val="20"/>
        </w:rPr>
        <w:t>female</w:t>
      </w:r>
      <w:r w:rsidR="00904215" w:rsidRPr="00114157">
        <w:rPr>
          <w:bCs/>
          <w:sz w:val="20"/>
          <w:szCs w:val="20"/>
        </w:rPr>
        <w:t>s,</w:t>
      </w:r>
      <w:r w:rsidR="000A66CC" w:rsidRPr="00114157">
        <w:rPr>
          <w:bCs/>
          <w:sz w:val="20"/>
          <w:szCs w:val="20"/>
        </w:rPr>
        <w:t xml:space="preserve"> it has declined from 425 thousand to 282 thousand.  The number of young </w:t>
      </w:r>
      <w:r w:rsidR="00764816" w:rsidRPr="00114157">
        <w:rPr>
          <w:bCs/>
          <w:sz w:val="20"/>
          <w:szCs w:val="20"/>
        </w:rPr>
        <w:t>male</w:t>
      </w:r>
      <w:r w:rsidR="006B7ADA" w:rsidRPr="00114157">
        <w:rPr>
          <w:bCs/>
          <w:sz w:val="20"/>
          <w:szCs w:val="20"/>
        </w:rPr>
        <w:t>s</w:t>
      </w:r>
      <w:r w:rsidR="000A66CC" w:rsidRPr="00114157">
        <w:rPr>
          <w:bCs/>
          <w:sz w:val="20"/>
          <w:szCs w:val="20"/>
        </w:rPr>
        <w:t xml:space="preserve"> who are recently graduated from primary school has declined from 825 thousand to 774 thousand, while the number for young </w:t>
      </w:r>
      <w:r w:rsidR="00764816" w:rsidRPr="00114157">
        <w:rPr>
          <w:bCs/>
          <w:sz w:val="20"/>
          <w:szCs w:val="20"/>
        </w:rPr>
        <w:t>female</w:t>
      </w:r>
      <w:r w:rsidR="006B7ADA" w:rsidRPr="00114157">
        <w:rPr>
          <w:bCs/>
          <w:sz w:val="20"/>
          <w:szCs w:val="20"/>
        </w:rPr>
        <w:t>s</w:t>
      </w:r>
      <w:r w:rsidR="000A66CC" w:rsidRPr="00114157">
        <w:rPr>
          <w:bCs/>
          <w:sz w:val="20"/>
          <w:szCs w:val="20"/>
        </w:rPr>
        <w:t xml:space="preserve"> in the same category has decreased from 742 thousand </w:t>
      </w:r>
      <w:r w:rsidR="00CB6D97" w:rsidRPr="00114157">
        <w:rPr>
          <w:bCs/>
          <w:sz w:val="20"/>
          <w:szCs w:val="20"/>
        </w:rPr>
        <w:t>to 688 thousand.  Despite of the</w:t>
      </w:r>
      <w:r w:rsidR="000A66CC" w:rsidRPr="00114157">
        <w:rPr>
          <w:bCs/>
          <w:sz w:val="20"/>
          <w:szCs w:val="20"/>
        </w:rPr>
        <w:t xml:space="preserve">se progresses, the ratio of young who have recently graduated from a primary school has increased. </w:t>
      </w:r>
      <w:r w:rsidR="00A80C54" w:rsidRPr="00114157">
        <w:rPr>
          <w:bCs/>
          <w:sz w:val="20"/>
          <w:szCs w:val="20"/>
        </w:rPr>
        <w:t xml:space="preserve">The ratio of young </w:t>
      </w:r>
      <w:r w:rsidR="00764816" w:rsidRPr="00114157">
        <w:rPr>
          <w:bCs/>
          <w:sz w:val="20"/>
          <w:szCs w:val="20"/>
        </w:rPr>
        <w:t>male</w:t>
      </w:r>
      <w:r w:rsidR="00A80C54" w:rsidRPr="00114157">
        <w:rPr>
          <w:bCs/>
          <w:sz w:val="20"/>
          <w:szCs w:val="20"/>
        </w:rPr>
        <w:t xml:space="preserve"> in that class has increased from 60.3 percent to 63.4 percent, for </w:t>
      </w:r>
      <w:r w:rsidR="00764816" w:rsidRPr="00114157">
        <w:rPr>
          <w:bCs/>
          <w:sz w:val="20"/>
          <w:szCs w:val="20"/>
        </w:rPr>
        <w:t>female</w:t>
      </w:r>
      <w:r w:rsidR="00A80C54" w:rsidRPr="00114157">
        <w:rPr>
          <w:bCs/>
          <w:sz w:val="20"/>
          <w:szCs w:val="20"/>
        </w:rPr>
        <w:t xml:space="preserve"> it has again increased from 50 percent to 54.6 percent. </w:t>
      </w:r>
    </w:p>
    <w:p w:rsidR="00A96935" w:rsidRPr="00114157" w:rsidRDefault="00A80C54" w:rsidP="00A63533">
      <w:pPr>
        <w:spacing w:before="120"/>
        <w:rPr>
          <w:bCs/>
          <w:sz w:val="20"/>
          <w:szCs w:val="20"/>
        </w:rPr>
      </w:pPr>
      <w:r w:rsidRPr="00114157">
        <w:rPr>
          <w:bCs/>
          <w:sz w:val="20"/>
          <w:szCs w:val="20"/>
        </w:rPr>
        <w:t xml:space="preserve">On the other hand, </w:t>
      </w:r>
      <w:r w:rsidR="00A96935" w:rsidRPr="00114157">
        <w:rPr>
          <w:bCs/>
          <w:sz w:val="20"/>
          <w:szCs w:val="20"/>
        </w:rPr>
        <w:t>it shows that the number of young</w:t>
      </w:r>
      <w:r w:rsidR="000E3EFA" w:rsidRPr="00114157">
        <w:rPr>
          <w:bCs/>
          <w:sz w:val="20"/>
          <w:szCs w:val="20"/>
        </w:rPr>
        <w:t xml:space="preserve"> who</w:t>
      </w:r>
      <w:r w:rsidR="00A96935" w:rsidRPr="00114157">
        <w:rPr>
          <w:bCs/>
          <w:sz w:val="20"/>
          <w:szCs w:val="20"/>
        </w:rPr>
        <w:t xml:space="preserve"> graduated from general high school has decline</w:t>
      </w:r>
      <w:r w:rsidR="000E3EFA" w:rsidRPr="00114157">
        <w:rPr>
          <w:bCs/>
          <w:sz w:val="20"/>
          <w:szCs w:val="20"/>
        </w:rPr>
        <w:t>d</w:t>
      </w:r>
      <w:r w:rsidR="00A96935" w:rsidRPr="00114157">
        <w:rPr>
          <w:bCs/>
          <w:sz w:val="20"/>
          <w:szCs w:val="20"/>
        </w:rPr>
        <w:t>, but nonetheless the number of young</w:t>
      </w:r>
      <w:r w:rsidR="000E3EFA" w:rsidRPr="00114157">
        <w:rPr>
          <w:bCs/>
          <w:sz w:val="20"/>
          <w:szCs w:val="20"/>
        </w:rPr>
        <w:t xml:space="preserve"> who</w:t>
      </w:r>
      <w:r w:rsidR="00A96935" w:rsidRPr="00114157">
        <w:rPr>
          <w:bCs/>
          <w:sz w:val="20"/>
          <w:szCs w:val="20"/>
        </w:rPr>
        <w:t xml:space="preserve"> graduated from vocational high school has increased for both </w:t>
      </w:r>
      <w:r w:rsidR="00764816" w:rsidRPr="00114157">
        <w:rPr>
          <w:bCs/>
          <w:sz w:val="20"/>
          <w:szCs w:val="20"/>
        </w:rPr>
        <w:t>female</w:t>
      </w:r>
      <w:r w:rsidR="000E3EFA" w:rsidRPr="00114157">
        <w:rPr>
          <w:bCs/>
          <w:sz w:val="20"/>
          <w:szCs w:val="20"/>
        </w:rPr>
        <w:t>s</w:t>
      </w:r>
      <w:r w:rsidR="00A96935" w:rsidRPr="00114157">
        <w:rPr>
          <w:bCs/>
          <w:sz w:val="20"/>
          <w:szCs w:val="20"/>
        </w:rPr>
        <w:t xml:space="preserve"> and </w:t>
      </w:r>
      <w:r w:rsidR="00764816" w:rsidRPr="00114157">
        <w:rPr>
          <w:bCs/>
          <w:sz w:val="20"/>
          <w:szCs w:val="20"/>
        </w:rPr>
        <w:t>male</w:t>
      </w:r>
      <w:r w:rsidR="000E3EFA" w:rsidRPr="00114157">
        <w:rPr>
          <w:bCs/>
          <w:sz w:val="20"/>
          <w:szCs w:val="20"/>
        </w:rPr>
        <w:t>s</w:t>
      </w:r>
      <w:r w:rsidR="00A96935" w:rsidRPr="00114157">
        <w:rPr>
          <w:bCs/>
          <w:sz w:val="20"/>
          <w:szCs w:val="20"/>
        </w:rPr>
        <w:t>.  It is possible to attribute these progresses to increase in the number of vocational high school</w:t>
      </w:r>
      <w:r w:rsidR="00377D02" w:rsidRPr="00114157">
        <w:rPr>
          <w:bCs/>
          <w:sz w:val="20"/>
          <w:szCs w:val="20"/>
        </w:rPr>
        <w:t>s</w:t>
      </w:r>
      <w:r w:rsidR="00A96935" w:rsidRPr="00114157">
        <w:rPr>
          <w:bCs/>
          <w:sz w:val="20"/>
          <w:szCs w:val="20"/>
        </w:rPr>
        <w:t>.</w:t>
      </w:r>
    </w:p>
    <w:p w:rsidR="00263B5B" w:rsidRPr="00420078" w:rsidRDefault="00263B5B" w:rsidP="00263B5B">
      <w:pPr>
        <w:spacing w:before="120"/>
        <w:rPr>
          <w:b/>
          <w:bCs/>
          <w:sz w:val="20"/>
          <w:szCs w:val="20"/>
        </w:rPr>
      </w:pPr>
      <w:r w:rsidRPr="00420078">
        <w:rPr>
          <w:b/>
          <w:bCs/>
          <w:sz w:val="20"/>
          <w:szCs w:val="20"/>
        </w:rPr>
        <w:t xml:space="preserve">Table </w:t>
      </w:r>
      <w:r w:rsidR="009E3A32" w:rsidRPr="009E3A32">
        <w:rPr>
          <w:b/>
          <w:bCs/>
          <w:sz w:val="20"/>
          <w:szCs w:val="20"/>
        </w:rPr>
        <w:fldChar w:fldCharType="begin"/>
      </w:r>
      <w:r w:rsidRPr="00420078">
        <w:rPr>
          <w:b/>
          <w:bCs/>
          <w:sz w:val="20"/>
          <w:szCs w:val="20"/>
        </w:rPr>
        <w:instrText xml:space="preserve"> SEQ Tablo \* ARABIC </w:instrText>
      </w:r>
      <w:r w:rsidR="009E3A32" w:rsidRPr="009E3A32">
        <w:rPr>
          <w:b/>
          <w:bCs/>
          <w:sz w:val="20"/>
          <w:szCs w:val="20"/>
        </w:rPr>
        <w:fldChar w:fldCharType="separate"/>
      </w:r>
      <w:r w:rsidRPr="00420078">
        <w:rPr>
          <w:b/>
          <w:bCs/>
          <w:noProof/>
          <w:sz w:val="20"/>
          <w:szCs w:val="20"/>
        </w:rPr>
        <w:t>1</w:t>
      </w:r>
      <w:r w:rsidR="009E3A32" w:rsidRPr="00420078">
        <w:rPr>
          <w:b/>
          <w:sz w:val="20"/>
          <w:szCs w:val="20"/>
        </w:rPr>
        <w:fldChar w:fldCharType="end"/>
      </w:r>
      <w:r w:rsidR="00A071DF">
        <w:rPr>
          <w:b/>
          <w:sz w:val="20"/>
          <w:szCs w:val="20"/>
        </w:rPr>
        <w:t xml:space="preserve"> Education levels of those who are not enrolled</w:t>
      </w:r>
    </w:p>
    <w:tbl>
      <w:tblPr>
        <w:tblW w:w="9811" w:type="dxa"/>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CellMar>
          <w:left w:w="70" w:type="dxa"/>
          <w:right w:w="70" w:type="dxa"/>
        </w:tblCellMar>
        <w:tblLook w:val="04A0"/>
      </w:tblPr>
      <w:tblGrid>
        <w:gridCol w:w="3164"/>
        <w:gridCol w:w="1030"/>
        <w:gridCol w:w="1276"/>
        <w:gridCol w:w="1030"/>
        <w:gridCol w:w="1035"/>
        <w:gridCol w:w="1089"/>
        <w:gridCol w:w="1187"/>
      </w:tblGrid>
      <w:tr w:rsidR="00263B5B" w:rsidRPr="00263B5B" w:rsidTr="00263B5B">
        <w:trPr>
          <w:trHeight w:val="319"/>
        </w:trPr>
        <w:tc>
          <w:tcPr>
            <w:tcW w:w="3164" w:type="dxa"/>
            <w:shd w:val="clear" w:color="auto" w:fill="auto"/>
            <w:noWrap/>
            <w:vAlign w:val="bottom"/>
            <w:hideMark/>
          </w:tcPr>
          <w:p w:rsidR="00263B5B" w:rsidRPr="00263B5B" w:rsidRDefault="00263B5B" w:rsidP="000A72AB">
            <w:pPr>
              <w:spacing w:before="120"/>
              <w:rPr>
                <w:sz w:val="20"/>
                <w:szCs w:val="20"/>
              </w:rPr>
            </w:pPr>
            <w:r w:rsidRPr="00263B5B">
              <w:rPr>
                <w:sz w:val="20"/>
                <w:szCs w:val="20"/>
              </w:rPr>
              <w:t> </w:t>
            </w:r>
          </w:p>
        </w:tc>
        <w:tc>
          <w:tcPr>
            <w:tcW w:w="1030" w:type="dxa"/>
            <w:shd w:val="clear" w:color="auto" w:fill="auto"/>
            <w:noWrap/>
            <w:vAlign w:val="bottom"/>
            <w:hideMark/>
          </w:tcPr>
          <w:p w:rsidR="00263B5B" w:rsidRPr="00263B5B" w:rsidRDefault="00263B5B" w:rsidP="000A72AB">
            <w:pPr>
              <w:spacing w:before="120"/>
              <w:jc w:val="center"/>
              <w:rPr>
                <w:b/>
                <w:bCs/>
                <w:sz w:val="20"/>
                <w:szCs w:val="20"/>
              </w:rPr>
            </w:pPr>
            <w:r w:rsidRPr="00263B5B">
              <w:rPr>
                <w:b/>
                <w:bCs/>
                <w:sz w:val="20"/>
                <w:szCs w:val="20"/>
              </w:rPr>
              <w:t>Female</w:t>
            </w:r>
          </w:p>
        </w:tc>
        <w:tc>
          <w:tcPr>
            <w:tcW w:w="1276" w:type="dxa"/>
            <w:shd w:val="clear" w:color="auto" w:fill="auto"/>
            <w:noWrap/>
            <w:vAlign w:val="bottom"/>
            <w:hideMark/>
          </w:tcPr>
          <w:p w:rsidR="00263B5B" w:rsidRPr="00263B5B" w:rsidRDefault="00263B5B" w:rsidP="000A72AB">
            <w:pPr>
              <w:spacing w:before="120"/>
              <w:jc w:val="center"/>
              <w:rPr>
                <w:b/>
                <w:bCs/>
                <w:sz w:val="20"/>
                <w:szCs w:val="20"/>
              </w:rPr>
            </w:pPr>
            <w:r w:rsidRPr="00263B5B">
              <w:rPr>
                <w:b/>
                <w:bCs/>
                <w:sz w:val="20"/>
                <w:szCs w:val="20"/>
              </w:rPr>
              <w:t>Female (%)</w:t>
            </w:r>
          </w:p>
        </w:tc>
        <w:tc>
          <w:tcPr>
            <w:tcW w:w="1030" w:type="dxa"/>
            <w:shd w:val="clear" w:color="auto" w:fill="auto"/>
            <w:noWrap/>
            <w:vAlign w:val="bottom"/>
            <w:hideMark/>
          </w:tcPr>
          <w:p w:rsidR="00263B5B" w:rsidRPr="00263B5B" w:rsidRDefault="00263B5B" w:rsidP="000A72AB">
            <w:pPr>
              <w:spacing w:before="120"/>
              <w:jc w:val="center"/>
              <w:rPr>
                <w:b/>
                <w:bCs/>
                <w:sz w:val="20"/>
                <w:szCs w:val="20"/>
              </w:rPr>
            </w:pPr>
            <w:r w:rsidRPr="00263B5B">
              <w:rPr>
                <w:b/>
                <w:bCs/>
                <w:sz w:val="20"/>
                <w:szCs w:val="20"/>
              </w:rPr>
              <w:t>Male</w:t>
            </w:r>
          </w:p>
        </w:tc>
        <w:tc>
          <w:tcPr>
            <w:tcW w:w="1035" w:type="dxa"/>
            <w:shd w:val="clear" w:color="auto" w:fill="auto"/>
            <w:noWrap/>
            <w:vAlign w:val="bottom"/>
            <w:hideMark/>
          </w:tcPr>
          <w:p w:rsidR="00263B5B" w:rsidRPr="00263B5B" w:rsidRDefault="00263B5B" w:rsidP="000A72AB">
            <w:pPr>
              <w:spacing w:before="120"/>
              <w:jc w:val="center"/>
              <w:rPr>
                <w:b/>
                <w:bCs/>
                <w:sz w:val="20"/>
                <w:szCs w:val="20"/>
              </w:rPr>
            </w:pPr>
            <w:r w:rsidRPr="00263B5B">
              <w:rPr>
                <w:b/>
                <w:bCs/>
                <w:sz w:val="20"/>
                <w:szCs w:val="20"/>
              </w:rPr>
              <w:t>Male (%)</w:t>
            </w:r>
          </w:p>
        </w:tc>
        <w:tc>
          <w:tcPr>
            <w:tcW w:w="1089" w:type="dxa"/>
            <w:shd w:val="clear" w:color="auto" w:fill="auto"/>
            <w:noWrap/>
            <w:vAlign w:val="bottom"/>
            <w:hideMark/>
          </w:tcPr>
          <w:p w:rsidR="00263B5B" w:rsidRPr="00263B5B" w:rsidRDefault="00263B5B" w:rsidP="000A72AB">
            <w:pPr>
              <w:spacing w:before="120"/>
              <w:jc w:val="center"/>
              <w:rPr>
                <w:b/>
                <w:bCs/>
                <w:sz w:val="20"/>
                <w:szCs w:val="20"/>
              </w:rPr>
            </w:pPr>
            <w:r w:rsidRPr="00263B5B">
              <w:rPr>
                <w:b/>
                <w:bCs/>
                <w:sz w:val="20"/>
                <w:szCs w:val="20"/>
              </w:rPr>
              <w:t>Total</w:t>
            </w:r>
          </w:p>
        </w:tc>
        <w:tc>
          <w:tcPr>
            <w:tcW w:w="1187" w:type="dxa"/>
            <w:shd w:val="clear" w:color="auto" w:fill="auto"/>
            <w:noWrap/>
            <w:vAlign w:val="bottom"/>
            <w:hideMark/>
          </w:tcPr>
          <w:p w:rsidR="00263B5B" w:rsidRPr="00263B5B" w:rsidRDefault="00263B5B" w:rsidP="000A72AB">
            <w:pPr>
              <w:spacing w:before="120"/>
              <w:jc w:val="center"/>
              <w:rPr>
                <w:b/>
                <w:bCs/>
                <w:sz w:val="20"/>
                <w:szCs w:val="20"/>
              </w:rPr>
            </w:pPr>
            <w:r w:rsidRPr="00263B5B">
              <w:rPr>
                <w:b/>
                <w:bCs/>
                <w:sz w:val="20"/>
                <w:szCs w:val="20"/>
              </w:rPr>
              <w:t>Total(%)</w:t>
            </w:r>
          </w:p>
        </w:tc>
      </w:tr>
      <w:tr w:rsidR="00263B5B" w:rsidRPr="00263B5B" w:rsidTr="00263B5B">
        <w:trPr>
          <w:trHeight w:val="319"/>
        </w:trPr>
        <w:tc>
          <w:tcPr>
            <w:tcW w:w="3164" w:type="dxa"/>
            <w:shd w:val="clear" w:color="auto" w:fill="auto"/>
            <w:noWrap/>
            <w:vAlign w:val="bottom"/>
            <w:hideMark/>
          </w:tcPr>
          <w:p w:rsidR="00263B5B" w:rsidRPr="00263B5B" w:rsidRDefault="00263B5B" w:rsidP="00420078">
            <w:pPr>
              <w:spacing w:before="120"/>
              <w:rPr>
                <w:b/>
                <w:bCs/>
                <w:sz w:val="20"/>
                <w:szCs w:val="20"/>
              </w:rPr>
            </w:pPr>
            <w:r w:rsidRPr="00263B5B">
              <w:rPr>
                <w:b/>
                <w:bCs/>
                <w:sz w:val="20"/>
                <w:szCs w:val="20"/>
              </w:rPr>
              <w:t>Not graduated from any school</w:t>
            </w:r>
          </w:p>
        </w:tc>
        <w:tc>
          <w:tcPr>
            <w:tcW w:w="1030"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281,579</w:t>
            </w:r>
          </w:p>
        </w:tc>
        <w:tc>
          <w:tcPr>
            <w:tcW w:w="1276"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22.4</w:t>
            </w:r>
          </w:p>
        </w:tc>
        <w:tc>
          <w:tcPr>
            <w:tcW w:w="1030"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152,924</w:t>
            </w:r>
          </w:p>
        </w:tc>
        <w:tc>
          <w:tcPr>
            <w:tcW w:w="1035"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12.5</w:t>
            </w:r>
          </w:p>
        </w:tc>
        <w:tc>
          <w:tcPr>
            <w:tcW w:w="1089"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434,503</w:t>
            </w:r>
          </w:p>
        </w:tc>
        <w:tc>
          <w:tcPr>
            <w:tcW w:w="1187"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17.5</w:t>
            </w:r>
          </w:p>
        </w:tc>
      </w:tr>
      <w:tr w:rsidR="00263B5B" w:rsidRPr="00263B5B" w:rsidTr="00263B5B">
        <w:trPr>
          <w:trHeight w:val="319"/>
        </w:trPr>
        <w:tc>
          <w:tcPr>
            <w:tcW w:w="3164" w:type="dxa"/>
            <w:shd w:val="clear" w:color="auto" w:fill="auto"/>
            <w:noWrap/>
            <w:vAlign w:val="bottom"/>
            <w:hideMark/>
          </w:tcPr>
          <w:p w:rsidR="00263B5B" w:rsidRPr="00263B5B" w:rsidRDefault="00263B5B" w:rsidP="00420078">
            <w:pPr>
              <w:spacing w:before="120"/>
              <w:rPr>
                <w:b/>
                <w:bCs/>
                <w:sz w:val="20"/>
                <w:szCs w:val="20"/>
              </w:rPr>
            </w:pPr>
            <w:r w:rsidRPr="00263B5B">
              <w:rPr>
                <w:b/>
                <w:bCs/>
                <w:sz w:val="20"/>
                <w:szCs w:val="20"/>
              </w:rPr>
              <w:t>Primary school</w:t>
            </w:r>
          </w:p>
        </w:tc>
        <w:tc>
          <w:tcPr>
            <w:tcW w:w="1030"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688,448</w:t>
            </w:r>
          </w:p>
        </w:tc>
        <w:tc>
          <w:tcPr>
            <w:tcW w:w="1276"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54.6</w:t>
            </w:r>
          </w:p>
        </w:tc>
        <w:tc>
          <w:tcPr>
            <w:tcW w:w="1030"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774,084</w:t>
            </w:r>
          </w:p>
        </w:tc>
        <w:tc>
          <w:tcPr>
            <w:tcW w:w="1035"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63.4</w:t>
            </w:r>
          </w:p>
        </w:tc>
        <w:tc>
          <w:tcPr>
            <w:tcW w:w="1089"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1,462,532</w:t>
            </w:r>
          </w:p>
        </w:tc>
        <w:tc>
          <w:tcPr>
            <w:tcW w:w="1187"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59.0</w:t>
            </w:r>
          </w:p>
        </w:tc>
      </w:tr>
      <w:tr w:rsidR="00263B5B" w:rsidRPr="00263B5B" w:rsidTr="00263B5B">
        <w:trPr>
          <w:trHeight w:val="319"/>
        </w:trPr>
        <w:tc>
          <w:tcPr>
            <w:tcW w:w="3164" w:type="dxa"/>
            <w:shd w:val="clear" w:color="auto" w:fill="auto"/>
            <w:noWrap/>
            <w:vAlign w:val="bottom"/>
            <w:hideMark/>
          </w:tcPr>
          <w:p w:rsidR="00263B5B" w:rsidRPr="00263B5B" w:rsidRDefault="00263B5B" w:rsidP="00420078">
            <w:pPr>
              <w:spacing w:before="120"/>
              <w:rPr>
                <w:b/>
                <w:bCs/>
                <w:sz w:val="20"/>
                <w:szCs w:val="20"/>
              </w:rPr>
            </w:pPr>
            <w:r w:rsidRPr="00263B5B">
              <w:rPr>
                <w:b/>
                <w:bCs/>
                <w:sz w:val="20"/>
                <w:szCs w:val="20"/>
              </w:rPr>
              <w:t>General high school</w:t>
            </w:r>
          </w:p>
        </w:tc>
        <w:tc>
          <w:tcPr>
            <w:tcW w:w="1030"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180,925</w:t>
            </w:r>
          </w:p>
        </w:tc>
        <w:tc>
          <w:tcPr>
            <w:tcW w:w="1276"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14.4</w:t>
            </w:r>
          </w:p>
        </w:tc>
        <w:tc>
          <w:tcPr>
            <w:tcW w:w="1030"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172,602</w:t>
            </w:r>
          </w:p>
        </w:tc>
        <w:tc>
          <w:tcPr>
            <w:tcW w:w="1035"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14.1</w:t>
            </w:r>
          </w:p>
        </w:tc>
        <w:tc>
          <w:tcPr>
            <w:tcW w:w="1089"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353,527</w:t>
            </w:r>
          </w:p>
        </w:tc>
        <w:tc>
          <w:tcPr>
            <w:tcW w:w="1187"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14.3</w:t>
            </w:r>
          </w:p>
        </w:tc>
      </w:tr>
      <w:tr w:rsidR="00263B5B" w:rsidRPr="00263B5B" w:rsidTr="00263B5B">
        <w:trPr>
          <w:trHeight w:val="319"/>
        </w:trPr>
        <w:tc>
          <w:tcPr>
            <w:tcW w:w="3164" w:type="dxa"/>
            <w:shd w:val="clear" w:color="auto" w:fill="auto"/>
            <w:noWrap/>
            <w:vAlign w:val="bottom"/>
            <w:hideMark/>
          </w:tcPr>
          <w:p w:rsidR="00263B5B" w:rsidRPr="00263B5B" w:rsidRDefault="00263B5B" w:rsidP="00420078">
            <w:pPr>
              <w:spacing w:before="120"/>
              <w:rPr>
                <w:b/>
                <w:bCs/>
                <w:sz w:val="20"/>
                <w:szCs w:val="20"/>
              </w:rPr>
            </w:pPr>
            <w:r w:rsidRPr="00263B5B">
              <w:rPr>
                <w:b/>
                <w:bCs/>
                <w:sz w:val="20"/>
                <w:szCs w:val="20"/>
              </w:rPr>
              <w:t>Vocational or technical high school</w:t>
            </w:r>
          </w:p>
        </w:tc>
        <w:tc>
          <w:tcPr>
            <w:tcW w:w="1030"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106,700</w:t>
            </w:r>
          </w:p>
        </w:tc>
        <w:tc>
          <w:tcPr>
            <w:tcW w:w="1276"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8.5</w:t>
            </w:r>
          </w:p>
        </w:tc>
        <w:tc>
          <w:tcPr>
            <w:tcW w:w="1030"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118,050</w:t>
            </w:r>
          </w:p>
        </w:tc>
        <w:tc>
          <w:tcPr>
            <w:tcW w:w="1035"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9.7</w:t>
            </w:r>
          </w:p>
        </w:tc>
        <w:tc>
          <w:tcPr>
            <w:tcW w:w="1089"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224,750</w:t>
            </w:r>
          </w:p>
        </w:tc>
        <w:tc>
          <w:tcPr>
            <w:tcW w:w="1187"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9.1</w:t>
            </w:r>
          </w:p>
        </w:tc>
      </w:tr>
      <w:tr w:rsidR="00263B5B" w:rsidRPr="00263B5B" w:rsidTr="00263B5B">
        <w:trPr>
          <w:trHeight w:val="319"/>
        </w:trPr>
        <w:tc>
          <w:tcPr>
            <w:tcW w:w="3164" w:type="dxa"/>
            <w:shd w:val="clear" w:color="auto" w:fill="auto"/>
            <w:noWrap/>
            <w:vAlign w:val="bottom"/>
            <w:hideMark/>
          </w:tcPr>
          <w:p w:rsidR="00263B5B" w:rsidRPr="00263B5B" w:rsidRDefault="00A33965" w:rsidP="00420078">
            <w:pPr>
              <w:spacing w:before="120"/>
              <w:rPr>
                <w:b/>
                <w:bCs/>
                <w:sz w:val="20"/>
                <w:szCs w:val="20"/>
              </w:rPr>
            </w:pPr>
            <w:r>
              <w:rPr>
                <w:b/>
                <w:bCs/>
                <w:sz w:val="20"/>
                <w:szCs w:val="20"/>
              </w:rPr>
              <w:t>Tertiary</w:t>
            </w:r>
            <w:r w:rsidR="00263B5B" w:rsidRPr="00263B5B">
              <w:rPr>
                <w:b/>
                <w:bCs/>
                <w:sz w:val="20"/>
                <w:szCs w:val="20"/>
              </w:rPr>
              <w:t xml:space="preserve"> education</w:t>
            </w:r>
          </w:p>
        </w:tc>
        <w:tc>
          <w:tcPr>
            <w:tcW w:w="1030"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2,415</w:t>
            </w:r>
          </w:p>
        </w:tc>
        <w:tc>
          <w:tcPr>
            <w:tcW w:w="1276"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0.2</w:t>
            </w:r>
          </w:p>
        </w:tc>
        <w:tc>
          <w:tcPr>
            <w:tcW w:w="1030"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2,657</w:t>
            </w:r>
          </w:p>
        </w:tc>
        <w:tc>
          <w:tcPr>
            <w:tcW w:w="1035"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0.2</w:t>
            </w:r>
          </w:p>
        </w:tc>
        <w:tc>
          <w:tcPr>
            <w:tcW w:w="1089"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5,072</w:t>
            </w:r>
          </w:p>
        </w:tc>
        <w:tc>
          <w:tcPr>
            <w:tcW w:w="1187"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0.2</w:t>
            </w:r>
          </w:p>
        </w:tc>
      </w:tr>
      <w:tr w:rsidR="00263B5B" w:rsidRPr="00263B5B" w:rsidTr="00420078">
        <w:trPr>
          <w:trHeight w:val="72"/>
        </w:trPr>
        <w:tc>
          <w:tcPr>
            <w:tcW w:w="3164" w:type="dxa"/>
            <w:shd w:val="clear" w:color="auto" w:fill="auto"/>
            <w:noWrap/>
            <w:vAlign w:val="bottom"/>
            <w:hideMark/>
          </w:tcPr>
          <w:p w:rsidR="00263B5B" w:rsidRPr="00263B5B" w:rsidRDefault="00263B5B" w:rsidP="00420078">
            <w:pPr>
              <w:spacing w:before="120"/>
              <w:rPr>
                <w:b/>
                <w:bCs/>
                <w:sz w:val="20"/>
                <w:szCs w:val="20"/>
              </w:rPr>
            </w:pPr>
            <w:r w:rsidRPr="00263B5B">
              <w:rPr>
                <w:b/>
                <w:bCs/>
                <w:sz w:val="20"/>
                <w:szCs w:val="20"/>
              </w:rPr>
              <w:t>Total</w:t>
            </w:r>
          </w:p>
        </w:tc>
        <w:tc>
          <w:tcPr>
            <w:tcW w:w="1030"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1,260,067</w:t>
            </w:r>
          </w:p>
        </w:tc>
        <w:tc>
          <w:tcPr>
            <w:tcW w:w="1276"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100</w:t>
            </w:r>
          </w:p>
        </w:tc>
        <w:tc>
          <w:tcPr>
            <w:tcW w:w="1030"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1,220,318</w:t>
            </w:r>
          </w:p>
        </w:tc>
        <w:tc>
          <w:tcPr>
            <w:tcW w:w="1035"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100</w:t>
            </w:r>
          </w:p>
        </w:tc>
        <w:tc>
          <w:tcPr>
            <w:tcW w:w="1089"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2,480,385</w:t>
            </w:r>
          </w:p>
        </w:tc>
        <w:tc>
          <w:tcPr>
            <w:tcW w:w="1187" w:type="dxa"/>
            <w:shd w:val="clear" w:color="auto" w:fill="auto"/>
            <w:noWrap/>
            <w:vAlign w:val="bottom"/>
            <w:hideMark/>
          </w:tcPr>
          <w:p w:rsidR="00263B5B" w:rsidRPr="00263B5B" w:rsidRDefault="00263B5B" w:rsidP="000A72AB">
            <w:pPr>
              <w:spacing w:before="120"/>
              <w:jc w:val="center"/>
              <w:rPr>
                <w:sz w:val="20"/>
                <w:szCs w:val="20"/>
              </w:rPr>
            </w:pPr>
            <w:r w:rsidRPr="00263B5B">
              <w:rPr>
                <w:sz w:val="20"/>
                <w:szCs w:val="20"/>
              </w:rPr>
              <w:t>100</w:t>
            </w:r>
          </w:p>
        </w:tc>
      </w:tr>
    </w:tbl>
    <w:p w:rsidR="00263B5B" w:rsidRPr="00263B5B" w:rsidRDefault="00263B5B" w:rsidP="00263B5B">
      <w:pPr>
        <w:spacing w:before="120"/>
      </w:pPr>
      <w:r w:rsidRPr="00263B5B">
        <w:t>Source: HLFS 2012. TURKSTAT; Betam</w:t>
      </w:r>
    </w:p>
    <w:p w:rsidR="00A96935" w:rsidRPr="00263B5B" w:rsidRDefault="00A96935" w:rsidP="00A63533">
      <w:pPr>
        <w:spacing w:before="120"/>
        <w:rPr>
          <w:bCs/>
          <w:sz w:val="22"/>
          <w:szCs w:val="22"/>
        </w:rPr>
      </w:pPr>
    </w:p>
    <w:p w:rsidR="00314C52" w:rsidRPr="00263B5B" w:rsidRDefault="00A96935" w:rsidP="00A63533">
      <w:pPr>
        <w:spacing w:before="120"/>
        <w:rPr>
          <w:b/>
          <w:bCs/>
          <w:sz w:val="22"/>
          <w:szCs w:val="22"/>
        </w:rPr>
      </w:pPr>
      <w:r w:rsidRPr="00263B5B">
        <w:rPr>
          <w:b/>
          <w:bCs/>
          <w:sz w:val="22"/>
          <w:szCs w:val="22"/>
        </w:rPr>
        <w:t xml:space="preserve">1.4 million young are neither at school nor at work </w:t>
      </w:r>
    </w:p>
    <w:p w:rsidR="00B66433" w:rsidRPr="00114157" w:rsidRDefault="0054276B" w:rsidP="00A63533">
      <w:pPr>
        <w:spacing w:before="120"/>
        <w:rPr>
          <w:bCs/>
          <w:sz w:val="20"/>
          <w:szCs w:val="20"/>
        </w:rPr>
      </w:pPr>
      <w:r w:rsidRPr="00114157">
        <w:rPr>
          <w:bCs/>
          <w:sz w:val="20"/>
          <w:szCs w:val="20"/>
        </w:rPr>
        <w:t>Between the ages</w:t>
      </w:r>
      <w:r w:rsidR="00A96935" w:rsidRPr="00114157">
        <w:rPr>
          <w:bCs/>
          <w:sz w:val="20"/>
          <w:szCs w:val="20"/>
        </w:rPr>
        <w:t xml:space="preserve"> of 15 and 19</w:t>
      </w:r>
      <w:r w:rsidR="004327B8" w:rsidRPr="00114157">
        <w:rPr>
          <w:bCs/>
          <w:sz w:val="20"/>
          <w:szCs w:val="20"/>
        </w:rPr>
        <w:t>,</w:t>
      </w:r>
      <w:r w:rsidR="00A96935" w:rsidRPr="00114157">
        <w:rPr>
          <w:bCs/>
          <w:sz w:val="20"/>
          <w:szCs w:val="20"/>
        </w:rPr>
        <w:t xml:space="preserve">1 million 356 thousand young are neither going to school nor </w:t>
      </w:r>
      <w:r w:rsidR="004327B8" w:rsidRPr="00114157">
        <w:rPr>
          <w:bCs/>
          <w:sz w:val="20"/>
          <w:szCs w:val="20"/>
        </w:rPr>
        <w:t>participating in the labor force</w:t>
      </w:r>
      <w:r w:rsidR="00BB51F6" w:rsidRPr="00114157">
        <w:rPr>
          <w:bCs/>
          <w:sz w:val="20"/>
          <w:szCs w:val="20"/>
        </w:rPr>
        <w:t>.</w:t>
      </w:r>
      <w:r w:rsidR="00A96935" w:rsidRPr="00114157">
        <w:rPr>
          <w:bCs/>
          <w:sz w:val="20"/>
          <w:szCs w:val="20"/>
        </w:rPr>
        <w:t xml:space="preserve"> In other words, </w:t>
      </w:r>
      <w:r w:rsidR="00314C52" w:rsidRPr="00114157">
        <w:rPr>
          <w:bCs/>
          <w:sz w:val="20"/>
          <w:szCs w:val="20"/>
        </w:rPr>
        <w:t xml:space="preserve">21.9 percent of young people in the age group </w:t>
      </w:r>
      <w:r w:rsidR="000B392D" w:rsidRPr="00114157">
        <w:rPr>
          <w:bCs/>
          <w:sz w:val="20"/>
          <w:szCs w:val="20"/>
        </w:rPr>
        <w:t>are</w:t>
      </w:r>
      <w:r w:rsidR="00201B71" w:rsidRPr="00114157">
        <w:rPr>
          <w:bCs/>
          <w:sz w:val="20"/>
          <w:szCs w:val="20"/>
        </w:rPr>
        <w:t xml:space="preserve"> idle.</w:t>
      </w:r>
      <w:r w:rsidR="00A96935" w:rsidRPr="00114157">
        <w:rPr>
          <w:bCs/>
          <w:sz w:val="20"/>
          <w:szCs w:val="20"/>
        </w:rPr>
        <w:t xml:space="preserve"> </w:t>
      </w:r>
      <w:r w:rsidR="00533110" w:rsidRPr="00114157">
        <w:rPr>
          <w:bCs/>
          <w:sz w:val="20"/>
          <w:szCs w:val="20"/>
        </w:rPr>
        <w:t>Idleness is more common among the females</w:t>
      </w:r>
      <w:r w:rsidR="00314C52" w:rsidRPr="00114157">
        <w:rPr>
          <w:bCs/>
          <w:sz w:val="20"/>
          <w:szCs w:val="20"/>
        </w:rPr>
        <w:t xml:space="preserve">. 922 thousand of young </w:t>
      </w:r>
      <w:r w:rsidR="00764816" w:rsidRPr="00114157">
        <w:rPr>
          <w:bCs/>
          <w:sz w:val="20"/>
          <w:szCs w:val="20"/>
        </w:rPr>
        <w:t>female</w:t>
      </w:r>
      <w:r w:rsidR="00533110" w:rsidRPr="00114157">
        <w:rPr>
          <w:bCs/>
          <w:sz w:val="20"/>
          <w:szCs w:val="20"/>
        </w:rPr>
        <w:t>s</w:t>
      </w:r>
      <w:r w:rsidR="00314C52" w:rsidRPr="00114157">
        <w:rPr>
          <w:bCs/>
          <w:sz w:val="20"/>
          <w:szCs w:val="20"/>
        </w:rPr>
        <w:t xml:space="preserve">, that is, one third of young </w:t>
      </w:r>
      <w:r w:rsidR="00764816" w:rsidRPr="00114157">
        <w:rPr>
          <w:bCs/>
          <w:sz w:val="20"/>
          <w:szCs w:val="20"/>
        </w:rPr>
        <w:t>female</w:t>
      </w:r>
      <w:r w:rsidR="00533110" w:rsidRPr="00114157">
        <w:rPr>
          <w:bCs/>
          <w:sz w:val="20"/>
          <w:szCs w:val="20"/>
        </w:rPr>
        <w:t>s</w:t>
      </w:r>
      <w:r w:rsidR="00314C52" w:rsidRPr="00114157">
        <w:rPr>
          <w:bCs/>
          <w:sz w:val="20"/>
          <w:szCs w:val="20"/>
        </w:rPr>
        <w:t xml:space="preserve"> in this age group </w:t>
      </w:r>
      <w:r w:rsidR="00005FE2" w:rsidRPr="00114157">
        <w:rPr>
          <w:bCs/>
          <w:sz w:val="20"/>
          <w:szCs w:val="20"/>
        </w:rPr>
        <w:t>are</w:t>
      </w:r>
      <w:r w:rsidR="00314C52" w:rsidRPr="00114157">
        <w:rPr>
          <w:bCs/>
          <w:sz w:val="20"/>
          <w:szCs w:val="20"/>
        </w:rPr>
        <w:t xml:space="preserve"> already </w:t>
      </w:r>
      <w:r w:rsidR="00533110" w:rsidRPr="00114157">
        <w:rPr>
          <w:bCs/>
          <w:sz w:val="20"/>
          <w:szCs w:val="20"/>
        </w:rPr>
        <w:t>out of the educational system and not in the labor force</w:t>
      </w:r>
      <w:r w:rsidR="00314C52" w:rsidRPr="00114157">
        <w:rPr>
          <w:bCs/>
          <w:sz w:val="20"/>
          <w:szCs w:val="20"/>
        </w:rPr>
        <w:t xml:space="preserve">. </w:t>
      </w:r>
      <w:r w:rsidR="00005FE2" w:rsidRPr="00114157">
        <w:rPr>
          <w:bCs/>
          <w:sz w:val="20"/>
          <w:szCs w:val="20"/>
        </w:rPr>
        <w:t xml:space="preserve">One third of </w:t>
      </w:r>
      <w:r w:rsidR="00764816" w:rsidRPr="00114157">
        <w:rPr>
          <w:bCs/>
          <w:sz w:val="20"/>
          <w:szCs w:val="20"/>
        </w:rPr>
        <w:t>female</w:t>
      </w:r>
      <w:r w:rsidR="00533110" w:rsidRPr="00114157">
        <w:rPr>
          <w:bCs/>
          <w:sz w:val="20"/>
          <w:szCs w:val="20"/>
        </w:rPr>
        <w:t>s</w:t>
      </w:r>
      <w:r w:rsidR="00005FE2" w:rsidRPr="00114157">
        <w:rPr>
          <w:bCs/>
          <w:sz w:val="20"/>
          <w:szCs w:val="20"/>
        </w:rPr>
        <w:t xml:space="preserve"> who have just </w:t>
      </w:r>
      <w:r w:rsidR="00533110" w:rsidRPr="00114157">
        <w:rPr>
          <w:bCs/>
          <w:sz w:val="20"/>
          <w:szCs w:val="20"/>
        </w:rPr>
        <w:t>entered</w:t>
      </w:r>
      <w:r w:rsidR="00005FE2" w:rsidRPr="00114157">
        <w:rPr>
          <w:bCs/>
          <w:sz w:val="20"/>
          <w:szCs w:val="20"/>
        </w:rPr>
        <w:t xml:space="preserve"> adulthood </w:t>
      </w:r>
      <w:r w:rsidR="008A2662" w:rsidRPr="00114157">
        <w:rPr>
          <w:bCs/>
          <w:sz w:val="20"/>
          <w:szCs w:val="20"/>
        </w:rPr>
        <w:t>have already taken on the role of</w:t>
      </w:r>
      <w:r w:rsidR="00005FE2" w:rsidRPr="00114157">
        <w:rPr>
          <w:bCs/>
          <w:sz w:val="20"/>
          <w:szCs w:val="20"/>
        </w:rPr>
        <w:t xml:space="preserve"> </w:t>
      </w:r>
      <w:r w:rsidR="001B13F7" w:rsidRPr="00114157">
        <w:rPr>
          <w:bCs/>
          <w:sz w:val="20"/>
          <w:szCs w:val="20"/>
        </w:rPr>
        <w:t>housewife</w:t>
      </w:r>
      <w:r w:rsidR="008A2662" w:rsidRPr="00114157">
        <w:rPr>
          <w:bCs/>
          <w:sz w:val="20"/>
          <w:szCs w:val="20"/>
        </w:rPr>
        <w:t xml:space="preserve"> as a life </w:t>
      </w:r>
      <w:r w:rsidR="00005FE2" w:rsidRPr="00114157">
        <w:rPr>
          <w:bCs/>
          <w:sz w:val="20"/>
          <w:szCs w:val="20"/>
        </w:rPr>
        <w:t>style</w:t>
      </w:r>
      <w:r w:rsidR="008A2662" w:rsidRPr="00114157">
        <w:rPr>
          <w:bCs/>
          <w:sz w:val="20"/>
          <w:szCs w:val="20"/>
        </w:rPr>
        <w:t>. The high share of females in this group</w:t>
      </w:r>
      <w:r w:rsidR="00005FE2" w:rsidRPr="00114157">
        <w:rPr>
          <w:bCs/>
          <w:sz w:val="20"/>
          <w:szCs w:val="20"/>
        </w:rPr>
        <w:t xml:space="preserve"> indicate that </w:t>
      </w:r>
      <w:r w:rsidR="008A2662" w:rsidRPr="00114157">
        <w:rPr>
          <w:bCs/>
          <w:sz w:val="20"/>
          <w:szCs w:val="20"/>
        </w:rPr>
        <w:t xml:space="preserve">low female labor force participation rates in Turkey will continue to be discussed for a long time in Turkey. Furthermore, note that idleness among young males is not negligible, either. </w:t>
      </w:r>
      <w:r w:rsidR="001B13F7" w:rsidRPr="00114157">
        <w:rPr>
          <w:bCs/>
          <w:sz w:val="20"/>
          <w:szCs w:val="20"/>
        </w:rPr>
        <w:t xml:space="preserve">434 thousand young </w:t>
      </w:r>
      <w:r w:rsidR="00764816" w:rsidRPr="00114157">
        <w:rPr>
          <w:bCs/>
          <w:sz w:val="20"/>
          <w:szCs w:val="20"/>
        </w:rPr>
        <w:t>male</w:t>
      </w:r>
      <w:r w:rsidR="008A2662" w:rsidRPr="00114157">
        <w:rPr>
          <w:bCs/>
          <w:sz w:val="20"/>
          <w:szCs w:val="20"/>
        </w:rPr>
        <w:t xml:space="preserve">s, that is, 13.7 percent of </w:t>
      </w:r>
      <w:r w:rsidR="00764816" w:rsidRPr="00114157">
        <w:rPr>
          <w:bCs/>
          <w:sz w:val="20"/>
          <w:szCs w:val="20"/>
        </w:rPr>
        <w:t>male</w:t>
      </w:r>
      <w:r w:rsidR="008A2662" w:rsidRPr="00114157">
        <w:rPr>
          <w:bCs/>
          <w:sz w:val="20"/>
          <w:szCs w:val="20"/>
        </w:rPr>
        <w:t>s in this age group are</w:t>
      </w:r>
      <w:r w:rsidR="001B13F7" w:rsidRPr="00114157">
        <w:rPr>
          <w:bCs/>
          <w:sz w:val="20"/>
          <w:szCs w:val="20"/>
        </w:rPr>
        <w:t xml:space="preserve"> neithe</w:t>
      </w:r>
      <w:r w:rsidR="00FD100F">
        <w:rPr>
          <w:bCs/>
          <w:sz w:val="20"/>
          <w:szCs w:val="20"/>
        </w:rPr>
        <w:t>r continuing their education nor</w:t>
      </w:r>
      <w:r w:rsidR="001B13F7" w:rsidRPr="00114157">
        <w:rPr>
          <w:bCs/>
          <w:sz w:val="20"/>
          <w:szCs w:val="20"/>
        </w:rPr>
        <w:t xml:space="preserve"> participating in the labor market. </w:t>
      </w:r>
      <w:r w:rsidR="008A2662" w:rsidRPr="00114157">
        <w:rPr>
          <w:bCs/>
          <w:sz w:val="20"/>
          <w:szCs w:val="20"/>
        </w:rPr>
        <w:t>Unfortunately idleness rates in this</w:t>
      </w:r>
      <w:r w:rsidR="001B13F7" w:rsidRPr="00114157">
        <w:rPr>
          <w:bCs/>
          <w:sz w:val="20"/>
          <w:szCs w:val="20"/>
        </w:rPr>
        <w:t xml:space="preserve"> age </w:t>
      </w:r>
      <w:r w:rsidR="00206C68" w:rsidRPr="00114157">
        <w:rPr>
          <w:bCs/>
          <w:sz w:val="20"/>
          <w:szCs w:val="20"/>
        </w:rPr>
        <w:t>group have not</w:t>
      </w:r>
      <w:r w:rsidR="001B13F7" w:rsidRPr="00114157">
        <w:rPr>
          <w:bCs/>
          <w:sz w:val="20"/>
          <w:szCs w:val="20"/>
        </w:rPr>
        <w:t xml:space="preserve"> shown any recovery since 2009</w:t>
      </w:r>
      <w:r w:rsidR="00206C68" w:rsidRPr="00114157">
        <w:rPr>
          <w:bCs/>
          <w:sz w:val="20"/>
          <w:szCs w:val="20"/>
        </w:rPr>
        <w:t xml:space="preserve">. Although the ratio of idle young </w:t>
      </w:r>
      <w:r w:rsidR="00764816" w:rsidRPr="00114157">
        <w:rPr>
          <w:bCs/>
          <w:sz w:val="20"/>
          <w:szCs w:val="20"/>
        </w:rPr>
        <w:t>female</w:t>
      </w:r>
      <w:r w:rsidR="00206C68" w:rsidRPr="00114157">
        <w:rPr>
          <w:bCs/>
          <w:sz w:val="20"/>
          <w:szCs w:val="20"/>
        </w:rPr>
        <w:t xml:space="preserve"> in young </w:t>
      </w:r>
      <w:r w:rsidR="00764816" w:rsidRPr="00114157">
        <w:rPr>
          <w:bCs/>
          <w:sz w:val="20"/>
          <w:szCs w:val="20"/>
        </w:rPr>
        <w:t>female</w:t>
      </w:r>
      <w:r w:rsidR="00206C68" w:rsidRPr="00114157">
        <w:rPr>
          <w:bCs/>
          <w:sz w:val="20"/>
          <w:szCs w:val="20"/>
        </w:rPr>
        <w:t xml:space="preserve"> has declined, there is no change in their number. </w:t>
      </w:r>
    </w:p>
    <w:p w:rsidR="008B512F" w:rsidRPr="00114157" w:rsidRDefault="00206C68" w:rsidP="00A63533">
      <w:pPr>
        <w:spacing w:before="120"/>
        <w:rPr>
          <w:bCs/>
          <w:sz w:val="20"/>
          <w:szCs w:val="20"/>
        </w:rPr>
      </w:pPr>
      <w:r w:rsidRPr="00114157">
        <w:rPr>
          <w:bCs/>
          <w:sz w:val="20"/>
          <w:szCs w:val="20"/>
        </w:rPr>
        <w:t xml:space="preserve">In Figure 3, education and labor market status </w:t>
      </w:r>
      <w:r w:rsidR="00F92FD7" w:rsidRPr="00114157">
        <w:rPr>
          <w:bCs/>
          <w:sz w:val="20"/>
          <w:szCs w:val="20"/>
        </w:rPr>
        <w:t xml:space="preserve">are indicated separately for </w:t>
      </w:r>
      <w:r w:rsidRPr="00114157">
        <w:rPr>
          <w:bCs/>
          <w:sz w:val="20"/>
          <w:szCs w:val="20"/>
        </w:rPr>
        <w:t xml:space="preserve">young </w:t>
      </w:r>
      <w:r w:rsidR="00764816" w:rsidRPr="00114157">
        <w:rPr>
          <w:bCs/>
          <w:sz w:val="20"/>
          <w:szCs w:val="20"/>
        </w:rPr>
        <w:t>males</w:t>
      </w:r>
      <w:r w:rsidRPr="00114157">
        <w:rPr>
          <w:bCs/>
          <w:sz w:val="20"/>
          <w:szCs w:val="20"/>
        </w:rPr>
        <w:t xml:space="preserve"> and </w:t>
      </w:r>
      <w:r w:rsidR="00764816" w:rsidRPr="00114157">
        <w:rPr>
          <w:bCs/>
          <w:sz w:val="20"/>
          <w:szCs w:val="20"/>
        </w:rPr>
        <w:t>females</w:t>
      </w:r>
      <w:r w:rsidRPr="00114157">
        <w:rPr>
          <w:bCs/>
          <w:sz w:val="20"/>
          <w:szCs w:val="20"/>
        </w:rPr>
        <w:t xml:space="preserve">. The data shows that more than </w:t>
      </w:r>
      <w:r w:rsidR="00952332" w:rsidRPr="00114157">
        <w:rPr>
          <w:bCs/>
          <w:sz w:val="20"/>
          <w:szCs w:val="20"/>
        </w:rPr>
        <w:t>one-half</w:t>
      </w:r>
      <w:r w:rsidRPr="00114157">
        <w:rPr>
          <w:bCs/>
          <w:sz w:val="20"/>
          <w:szCs w:val="20"/>
        </w:rPr>
        <w:t xml:space="preserve"> of the young </w:t>
      </w:r>
      <w:r w:rsidR="00764816" w:rsidRPr="00114157">
        <w:rPr>
          <w:bCs/>
          <w:sz w:val="20"/>
          <w:szCs w:val="20"/>
        </w:rPr>
        <w:t>females</w:t>
      </w:r>
      <w:r w:rsidRPr="00114157">
        <w:rPr>
          <w:bCs/>
          <w:sz w:val="20"/>
          <w:szCs w:val="20"/>
        </w:rPr>
        <w:t xml:space="preserve"> </w:t>
      </w:r>
      <w:r w:rsidR="00952332" w:rsidRPr="00114157">
        <w:rPr>
          <w:bCs/>
          <w:sz w:val="20"/>
          <w:szCs w:val="20"/>
        </w:rPr>
        <w:t>continue their</w:t>
      </w:r>
      <w:r w:rsidR="00FD100F">
        <w:rPr>
          <w:bCs/>
          <w:sz w:val="20"/>
          <w:szCs w:val="20"/>
        </w:rPr>
        <w:t xml:space="preserve"> education and they do not </w:t>
      </w:r>
      <w:r w:rsidR="0099291A" w:rsidRPr="00114157">
        <w:rPr>
          <w:bCs/>
          <w:sz w:val="20"/>
          <w:szCs w:val="20"/>
        </w:rPr>
        <w:t>participate</w:t>
      </w:r>
      <w:r w:rsidR="00952332" w:rsidRPr="00114157">
        <w:rPr>
          <w:bCs/>
          <w:sz w:val="20"/>
          <w:szCs w:val="20"/>
        </w:rPr>
        <w:t xml:space="preserve"> in labor </w:t>
      </w:r>
      <w:r w:rsidR="00C34212" w:rsidRPr="00114157">
        <w:rPr>
          <w:bCs/>
          <w:sz w:val="20"/>
          <w:szCs w:val="20"/>
        </w:rPr>
        <w:t>force</w:t>
      </w:r>
      <w:r w:rsidR="00952332" w:rsidRPr="00114157">
        <w:rPr>
          <w:bCs/>
          <w:sz w:val="20"/>
          <w:szCs w:val="20"/>
        </w:rPr>
        <w:t xml:space="preserve">. The </w:t>
      </w:r>
      <w:r w:rsidR="004C0E24" w:rsidRPr="00114157">
        <w:rPr>
          <w:bCs/>
          <w:sz w:val="20"/>
          <w:szCs w:val="20"/>
        </w:rPr>
        <w:t>share</w:t>
      </w:r>
      <w:r w:rsidR="00952332" w:rsidRPr="00114157">
        <w:rPr>
          <w:bCs/>
          <w:sz w:val="20"/>
          <w:szCs w:val="20"/>
        </w:rPr>
        <w:t xml:space="preserve"> of young </w:t>
      </w:r>
      <w:r w:rsidR="00764816" w:rsidRPr="00114157">
        <w:rPr>
          <w:bCs/>
          <w:sz w:val="20"/>
          <w:szCs w:val="20"/>
        </w:rPr>
        <w:t>female</w:t>
      </w:r>
      <w:r w:rsidR="004C0E24" w:rsidRPr="00114157">
        <w:rPr>
          <w:bCs/>
          <w:sz w:val="20"/>
          <w:szCs w:val="20"/>
        </w:rPr>
        <w:t>s</w:t>
      </w:r>
      <w:r w:rsidR="00952332" w:rsidRPr="00114157">
        <w:rPr>
          <w:bCs/>
          <w:sz w:val="20"/>
          <w:szCs w:val="20"/>
        </w:rPr>
        <w:t xml:space="preserve"> who </w:t>
      </w:r>
      <w:r w:rsidR="00A3530F" w:rsidRPr="00114157">
        <w:rPr>
          <w:bCs/>
          <w:sz w:val="20"/>
          <w:szCs w:val="20"/>
        </w:rPr>
        <w:t>are enrolled</w:t>
      </w:r>
      <w:r w:rsidR="00952332" w:rsidRPr="00114157">
        <w:rPr>
          <w:bCs/>
          <w:sz w:val="20"/>
          <w:szCs w:val="20"/>
        </w:rPr>
        <w:t xml:space="preserve"> and do not participate in the labor market is </w:t>
      </w:r>
      <w:r w:rsidR="00732DF3" w:rsidRPr="00114157">
        <w:rPr>
          <w:bCs/>
          <w:sz w:val="20"/>
          <w:szCs w:val="20"/>
        </w:rPr>
        <w:t>54</w:t>
      </w:r>
      <w:r w:rsidR="00952332" w:rsidRPr="00114157">
        <w:rPr>
          <w:bCs/>
          <w:sz w:val="20"/>
          <w:szCs w:val="20"/>
        </w:rPr>
        <w:t xml:space="preserve"> percent. </w:t>
      </w:r>
      <w:r w:rsidR="00732DF3" w:rsidRPr="00114157">
        <w:rPr>
          <w:bCs/>
          <w:sz w:val="20"/>
          <w:szCs w:val="20"/>
        </w:rPr>
        <w:t xml:space="preserve">The </w:t>
      </w:r>
      <w:r w:rsidR="004C0E24" w:rsidRPr="00114157">
        <w:rPr>
          <w:bCs/>
          <w:sz w:val="20"/>
          <w:szCs w:val="20"/>
        </w:rPr>
        <w:t>share</w:t>
      </w:r>
      <w:r w:rsidR="00732DF3" w:rsidRPr="00114157">
        <w:rPr>
          <w:bCs/>
          <w:sz w:val="20"/>
          <w:szCs w:val="20"/>
        </w:rPr>
        <w:t xml:space="preserve"> for young </w:t>
      </w:r>
      <w:r w:rsidR="00764816" w:rsidRPr="00114157">
        <w:rPr>
          <w:bCs/>
          <w:sz w:val="20"/>
          <w:szCs w:val="20"/>
        </w:rPr>
        <w:t>male</w:t>
      </w:r>
      <w:r w:rsidR="004C0E24" w:rsidRPr="00114157">
        <w:rPr>
          <w:bCs/>
          <w:sz w:val="20"/>
          <w:szCs w:val="20"/>
        </w:rPr>
        <w:t>s</w:t>
      </w:r>
      <w:r w:rsidR="00732DF3" w:rsidRPr="00114157">
        <w:rPr>
          <w:bCs/>
          <w:sz w:val="20"/>
          <w:szCs w:val="20"/>
        </w:rPr>
        <w:t xml:space="preserve"> is just 51 percent. </w:t>
      </w:r>
      <w:r w:rsidR="00B524F9" w:rsidRPr="00114157">
        <w:rPr>
          <w:bCs/>
          <w:sz w:val="20"/>
          <w:szCs w:val="20"/>
        </w:rPr>
        <w:t>The fact that the female</w:t>
      </w:r>
      <w:r w:rsidR="00A40B85" w:rsidRPr="00114157">
        <w:rPr>
          <w:bCs/>
          <w:sz w:val="20"/>
          <w:szCs w:val="20"/>
        </w:rPr>
        <w:t>s'</w:t>
      </w:r>
      <w:r w:rsidR="00B524F9" w:rsidRPr="00114157">
        <w:rPr>
          <w:bCs/>
          <w:sz w:val="20"/>
          <w:szCs w:val="20"/>
        </w:rPr>
        <w:t xml:space="preserve"> share is higher than that of males' is an important development. </w:t>
      </w:r>
      <w:r w:rsidR="00732DF3" w:rsidRPr="00114157">
        <w:rPr>
          <w:bCs/>
          <w:sz w:val="20"/>
          <w:szCs w:val="20"/>
        </w:rPr>
        <w:t xml:space="preserve">On the other hand, the </w:t>
      </w:r>
      <w:r w:rsidR="00B0644C" w:rsidRPr="00114157">
        <w:rPr>
          <w:bCs/>
          <w:sz w:val="20"/>
          <w:szCs w:val="20"/>
        </w:rPr>
        <w:t>share</w:t>
      </w:r>
      <w:r w:rsidR="00732DF3" w:rsidRPr="00114157">
        <w:rPr>
          <w:bCs/>
          <w:sz w:val="20"/>
          <w:szCs w:val="20"/>
        </w:rPr>
        <w:t xml:space="preserve"> of young </w:t>
      </w:r>
      <w:r w:rsidR="00764816" w:rsidRPr="00114157">
        <w:rPr>
          <w:bCs/>
          <w:sz w:val="20"/>
          <w:szCs w:val="20"/>
        </w:rPr>
        <w:t>female</w:t>
      </w:r>
      <w:r w:rsidR="00B0644C" w:rsidRPr="00114157">
        <w:rPr>
          <w:bCs/>
          <w:sz w:val="20"/>
          <w:szCs w:val="20"/>
        </w:rPr>
        <w:t>s</w:t>
      </w:r>
      <w:r w:rsidR="00732DF3" w:rsidRPr="00114157">
        <w:rPr>
          <w:bCs/>
          <w:sz w:val="20"/>
          <w:szCs w:val="20"/>
        </w:rPr>
        <w:t xml:space="preserve"> neither at school nor at work is 30 percent while this </w:t>
      </w:r>
      <w:r w:rsidR="00B0644C" w:rsidRPr="00114157">
        <w:rPr>
          <w:bCs/>
          <w:sz w:val="20"/>
          <w:szCs w:val="20"/>
        </w:rPr>
        <w:t>share</w:t>
      </w:r>
      <w:r w:rsidR="00732DF3" w:rsidRPr="00114157">
        <w:rPr>
          <w:bCs/>
          <w:sz w:val="20"/>
          <w:szCs w:val="20"/>
        </w:rPr>
        <w:t xml:space="preserve"> for young </w:t>
      </w:r>
      <w:r w:rsidR="00764816" w:rsidRPr="00114157">
        <w:rPr>
          <w:bCs/>
          <w:sz w:val="20"/>
          <w:szCs w:val="20"/>
        </w:rPr>
        <w:t>male</w:t>
      </w:r>
      <w:r w:rsidR="00B0644C" w:rsidRPr="00114157">
        <w:rPr>
          <w:bCs/>
          <w:sz w:val="20"/>
          <w:szCs w:val="20"/>
        </w:rPr>
        <w:t>s</w:t>
      </w:r>
      <w:r w:rsidR="00732DF3" w:rsidRPr="00114157">
        <w:rPr>
          <w:bCs/>
          <w:sz w:val="20"/>
          <w:szCs w:val="20"/>
        </w:rPr>
        <w:t xml:space="preserve"> is just 14 percent. </w:t>
      </w:r>
      <w:r w:rsidR="008B512F" w:rsidRPr="00114157">
        <w:rPr>
          <w:bCs/>
          <w:sz w:val="20"/>
          <w:szCs w:val="20"/>
        </w:rPr>
        <w:t xml:space="preserve">In this age group, the </w:t>
      </w:r>
      <w:r w:rsidR="00B0644C" w:rsidRPr="00114157">
        <w:rPr>
          <w:bCs/>
          <w:sz w:val="20"/>
          <w:szCs w:val="20"/>
        </w:rPr>
        <w:t>share</w:t>
      </w:r>
      <w:r w:rsidR="008B512F" w:rsidRPr="00114157">
        <w:rPr>
          <w:bCs/>
          <w:sz w:val="20"/>
          <w:szCs w:val="20"/>
        </w:rPr>
        <w:t xml:space="preserve"> of </w:t>
      </w:r>
      <w:r w:rsidR="00764816" w:rsidRPr="00114157">
        <w:rPr>
          <w:bCs/>
          <w:sz w:val="20"/>
          <w:szCs w:val="20"/>
        </w:rPr>
        <w:t>male</w:t>
      </w:r>
      <w:r w:rsidR="00B0644C" w:rsidRPr="00114157">
        <w:rPr>
          <w:bCs/>
          <w:sz w:val="20"/>
          <w:szCs w:val="20"/>
        </w:rPr>
        <w:t>s</w:t>
      </w:r>
      <w:r w:rsidR="008B512F" w:rsidRPr="00114157">
        <w:rPr>
          <w:bCs/>
          <w:sz w:val="20"/>
          <w:szCs w:val="20"/>
        </w:rPr>
        <w:t xml:space="preserve"> in the labor force is 35 percent (the </w:t>
      </w:r>
      <w:r w:rsidR="00B0644C" w:rsidRPr="00114157">
        <w:rPr>
          <w:bCs/>
          <w:sz w:val="20"/>
          <w:szCs w:val="20"/>
        </w:rPr>
        <w:t>share</w:t>
      </w:r>
      <w:r w:rsidR="008B512F" w:rsidRPr="00114157">
        <w:rPr>
          <w:bCs/>
          <w:sz w:val="20"/>
          <w:szCs w:val="20"/>
        </w:rPr>
        <w:t xml:space="preserve"> of </w:t>
      </w:r>
      <w:r w:rsidR="00764816" w:rsidRPr="00114157">
        <w:rPr>
          <w:bCs/>
          <w:sz w:val="20"/>
          <w:szCs w:val="20"/>
        </w:rPr>
        <w:t>male</w:t>
      </w:r>
      <w:r w:rsidR="00B0644C" w:rsidRPr="00114157">
        <w:rPr>
          <w:bCs/>
          <w:sz w:val="20"/>
          <w:szCs w:val="20"/>
        </w:rPr>
        <w:t>s</w:t>
      </w:r>
      <w:r w:rsidR="008B512F" w:rsidRPr="00114157">
        <w:rPr>
          <w:bCs/>
          <w:sz w:val="20"/>
          <w:szCs w:val="20"/>
        </w:rPr>
        <w:t xml:space="preserve"> </w:t>
      </w:r>
      <w:r w:rsidR="00B0644C" w:rsidRPr="00114157">
        <w:rPr>
          <w:bCs/>
          <w:sz w:val="20"/>
          <w:szCs w:val="20"/>
        </w:rPr>
        <w:t>enrolled</w:t>
      </w:r>
      <w:r w:rsidR="008B512F" w:rsidRPr="00114157">
        <w:rPr>
          <w:bCs/>
          <w:sz w:val="20"/>
          <w:szCs w:val="20"/>
        </w:rPr>
        <w:t xml:space="preserve"> is 10 percent, </w:t>
      </w:r>
      <w:r w:rsidR="00B0644C" w:rsidRPr="00114157">
        <w:rPr>
          <w:bCs/>
          <w:sz w:val="20"/>
          <w:szCs w:val="20"/>
        </w:rPr>
        <w:t>not enrolled</w:t>
      </w:r>
      <w:r w:rsidR="008B512F" w:rsidRPr="00114157">
        <w:rPr>
          <w:bCs/>
          <w:sz w:val="20"/>
          <w:szCs w:val="20"/>
        </w:rPr>
        <w:t xml:space="preserve"> is 25 percent), for </w:t>
      </w:r>
      <w:r w:rsidR="00764816" w:rsidRPr="00114157">
        <w:rPr>
          <w:bCs/>
          <w:sz w:val="20"/>
          <w:szCs w:val="20"/>
        </w:rPr>
        <w:t>female</w:t>
      </w:r>
      <w:r w:rsidR="008B512F" w:rsidRPr="00114157">
        <w:rPr>
          <w:bCs/>
          <w:sz w:val="20"/>
          <w:szCs w:val="20"/>
        </w:rPr>
        <w:t xml:space="preserve"> it is just 16 percent. These ratios seem consistent with gender roles in Turkey. </w:t>
      </w:r>
    </w:p>
    <w:p w:rsidR="00F063C6" w:rsidRPr="00114157" w:rsidRDefault="008B512F" w:rsidP="00A63533">
      <w:pPr>
        <w:spacing w:before="120"/>
        <w:rPr>
          <w:bCs/>
          <w:sz w:val="20"/>
          <w:szCs w:val="20"/>
        </w:rPr>
      </w:pPr>
      <w:r w:rsidRPr="00114157">
        <w:rPr>
          <w:bCs/>
          <w:sz w:val="20"/>
          <w:szCs w:val="20"/>
        </w:rPr>
        <w:t>Compared to 2009 HLFS, there are significant improve</w:t>
      </w:r>
      <w:r w:rsidR="00764816" w:rsidRPr="00114157">
        <w:rPr>
          <w:bCs/>
          <w:sz w:val="20"/>
          <w:szCs w:val="20"/>
        </w:rPr>
        <w:t>men</w:t>
      </w:r>
      <w:r w:rsidRPr="00114157">
        <w:rPr>
          <w:bCs/>
          <w:sz w:val="20"/>
          <w:szCs w:val="20"/>
        </w:rPr>
        <w:t xml:space="preserve">ts especially for young </w:t>
      </w:r>
      <w:r w:rsidR="00764816" w:rsidRPr="00114157">
        <w:rPr>
          <w:bCs/>
          <w:sz w:val="20"/>
          <w:szCs w:val="20"/>
        </w:rPr>
        <w:t>female</w:t>
      </w:r>
      <w:r w:rsidR="00CB488F" w:rsidRPr="00114157">
        <w:rPr>
          <w:bCs/>
          <w:sz w:val="20"/>
          <w:szCs w:val="20"/>
        </w:rPr>
        <w:t>s</w:t>
      </w:r>
      <w:r w:rsidRPr="00114157">
        <w:rPr>
          <w:bCs/>
          <w:sz w:val="20"/>
          <w:szCs w:val="20"/>
        </w:rPr>
        <w:t xml:space="preserve">. The </w:t>
      </w:r>
      <w:r w:rsidR="003B4454" w:rsidRPr="00114157">
        <w:rPr>
          <w:bCs/>
          <w:sz w:val="20"/>
          <w:szCs w:val="20"/>
        </w:rPr>
        <w:t>share</w:t>
      </w:r>
      <w:r w:rsidRPr="00114157">
        <w:rPr>
          <w:bCs/>
          <w:sz w:val="20"/>
          <w:szCs w:val="20"/>
        </w:rPr>
        <w:t xml:space="preserve"> of young </w:t>
      </w:r>
      <w:r w:rsidR="00764816" w:rsidRPr="00114157">
        <w:rPr>
          <w:bCs/>
          <w:sz w:val="20"/>
          <w:szCs w:val="20"/>
        </w:rPr>
        <w:t>female</w:t>
      </w:r>
      <w:r w:rsidR="003B4454" w:rsidRPr="00114157">
        <w:rPr>
          <w:bCs/>
          <w:sz w:val="20"/>
          <w:szCs w:val="20"/>
        </w:rPr>
        <w:t>s</w:t>
      </w:r>
      <w:r w:rsidRPr="00114157">
        <w:rPr>
          <w:bCs/>
          <w:sz w:val="20"/>
          <w:szCs w:val="20"/>
        </w:rPr>
        <w:t xml:space="preserve"> who</w:t>
      </w:r>
      <w:r w:rsidR="003B4454" w:rsidRPr="00114157">
        <w:rPr>
          <w:bCs/>
          <w:sz w:val="20"/>
          <w:szCs w:val="20"/>
        </w:rPr>
        <w:t xml:space="preserve"> are enrolled and who</w:t>
      </w:r>
      <w:r w:rsidRPr="00114157">
        <w:rPr>
          <w:bCs/>
          <w:sz w:val="20"/>
          <w:szCs w:val="20"/>
        </w:rPr>
        <w:t xml:space="preserve"> are not at work </w:t>
      </w:r>
      <w:r w:rsidR="003B4454" w:rsidRPr="00114157">
        <w:rPr>
          <w:bCs/>
          <w:sz w:val="20"/>
          <w:szCs w:val="20"/>
        </w:rPr>
        <w:t xml:space="preserve">increased </w:t>
      </w:r>
      <w:r w:rsidRPr="00114157">
        <w:rPr>
          <w:bCs/>
          <w:sz w:val="20"/>
          <w:szCs w:val="20"/>
        </w:rPr>
        <w:t xml:space="preserve">from 47.4 percent to 50 percent. </w:t>
      </w:r>
      <w:r w:rsidRPr="00114157">
        <w:rPr>
          <w:bCs/>
          <w:sz w:val="20"/>
          <w:szCs w:val="20"/>
        </w:rPr>
        <w:lastRenderedPageBreak/>
        <w:t xml:space="preserve">Moreover, the ratio of </w:t>
      </w:r>
      <w:r w:rsidR="00764816" w:rsidRPr="00114157">
        <w:rPr>
          <w:bCs/>
          <w:sz w:val="20"/>
          <w:szCs w:val="20"/>
        </w:rPr>
        <w:t>female</w:t>
      </w:r>
      <w:r w:rsidRPr="00114157">
        <w:rPr>
          <w:bCs/>
          <w:sz w:val="20"/>
          <w:szCs w:val="20"/>
        </w:rPr>
        <w:t xml:space="preserve"> neither at school nor at work declined from 35.3 percent to 30 percent. For young </w:t>
      </w:r>
      <w:r w:rsidR="00764816" w:rsidRPr="00114157">
        <w:rPr>
          <w:bCs/>
          <w:sz w:val="20"/>
          <w:szCs w:val="20"/>
        </w:rPr>
        <w:t>male</w:t>
      </w:r>
      <w:r w:rsidR="0098288B" w:rsidRPr="00114157">
        <w:rPr>
          <w:bCs/>
          <w:sz w:val="20"/>
          <w:szCs w:val="20"/>
        </w:rPr>
        <w:t>s</w:t>
      </w:r>
      <w:r w:rsidRPr="00114157">
        <w:rPr>
          <w:bCs/>
          <w:sz w:val="20"/>
          <w:szCs w:val="20"/>
        </w:rPr>
        <w:t xml:space="preserve">, </w:t>
      </w:r>
      <w:r w:rsidR="0098288B" w:rsidRPr="00114157">
        <w:rPr>
          <w:bCs/>
          <w:sz w:val="20"/>
          <w:szCs w:val="20"/>
        </w:rPr>
        <w:t xml:space="preserve">there is an important increase in the share of those who are both enrolled and participating in the labor market from 7.1 percent to 10 percent. The increase in the number of students in vocational and technical high schools may be the reason behind this increase. </w:t>
      </w:r>
    </w:p>
    <w:p w:rsidR="0098288B" w:rsidRPr="00263B5B" w:rsidRDefault="0098288B" w:rsidP="00A63533">
      <w:pPr>
        <w:spacing w:before="120"/>
        <w:rPr>
          <w:bCs/>
          <w:sz w:val="22"/>
          <w:szCs w:val="22"/>
        </w:rPr>
      </w:pPr>
    </w:p>
    <w:p w:rsidR="00C069F9" w:rsidRPr="00D9763A" w:rsidRDefault="00C069F9" w:rsidP="00C069F9">
      <w:pPr>
        <w:pStyle w:val="Caption"/>
        <w:keepNext/>
        <w:rPr>
          <w:color w:val="auto"/>
          <w:sz w:val="20"/>
          <w:szCs w:val="20"/>
        </w:rPr>
      </w:pPr>
      <w:r w:rsidRPr="00D9763A">
        <w:rPr>
          <w:color w:val="auto"/>
          <w:sz w:val="20"/>
          <w:szCs w:val="20"/>
        </w:rPr>
        <w:t xml:space="preserve">Figure </w:t>
      </w:r>
      <w:r w:rsidR="009E3A32" w:rsidRPr="00D9763A">
        <w:rPr>
          <w:color w:val="auto"/>
          <w:sz w:val="20"/>
          <w:szCs w:val="20"/>
        </w:rPr>
        <w:fldChar w:fldCharType="begin"/>
      </w:r>
      <w:r w:rsidRPr="00D9763A">
        <w:rPr>
          <w:color w:val="auto"/>
          <w:sz w:val="20"/>
          <w:szCs w:val="20"/>
        </w:rPr>
        <w:instrText xml:space="preserve"> SEQ Şekil \* ARABIC </w:instrText>
      </w:r>
      <w:r w:rsidR="009E3A32" w:rsidRPr="00D9763A">
        <w:rPr>
          <w:color w:val="auto"/>
          <w:sz w:val="20"/>
          <w:szCs w:val="20"/>
        </w:rPr>
        <w:fldChar w:fldCharType="separate"/>
      </w:r>
      <w:r w:rsidRPr="00D9763A">
        <w:rPr>
          <w:noProof/>
          <w:color w:val="auto"/>
          <w:sz w:val="20"/>
          <w:szCs w:val="20"/>
        </w:rPr>
        <w:t>3</w:t>
      </w:r>
      <w:r w:rsidR="009E3A32" w:rsidRPr="00D9763A">
        <w:rPr>
          <w:color w:val="auto"/>
          <w:sz w:val="20"/>
          <w:szCs w:val="20"/>
        </w:rPr>
        <w:fldChar w:fldCharType="end"/>
      </w:r>
      <w:r w:rsidRPr="00D9763A">
        <w:rPr>
          <w:color w:val="auto"/>
          <w:sz w:val="20"/>
          <w:szCs w:val="20"/>
        </w:rPr>
        <w:t xml:space="preserve">  Education and labor market status of young</w:t>
      </w:r>
    </w:p>
    <w:p w:rsidR="00C069F9" w:rsidRDefault="00C069F9" w:rsidP="00C069F9">
      <w:pPr>
        <w:spacing w:before="120"/>
        <w:rPr>
          <w:bCs/>
          <w:sz w:val="22"/>
          <w:szCs w:val="22"/>
        </w:rPr>
      </w:pPr>
      <w:r w:rsidRPr="00E550A2">
        <w:rPr>
          <w:noProof/>
          <w:szCs w:val="22"/>
          <w:lang w:val="tr-TR" w:eastAsia="tr-TR"/>
        </w:rPr>
        <w:drawing>
          <wp:inline distT="0" distB="0" distL="0" distR="0">
            <wp:extent cx="5760720" cy="2169022"/>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60720" cy="2169022"/>
                    </a:xfrm>
                    <a:prstGeom prst="rect">
                      <a:avLst/>
                    </a:prstGeom>
                    <a:noFill/>
                    <a:ln w="9525">
                      <a:noFill/>
                      <a:miter lim="800000"/>
                      <a:headEnd/>
                      <a:tailEnd/>
                    </a:ln>
                  </pic:spPr>
                </pic:pic>
              </a:graphicData>
            </a:graphic>
          </wp:inline>
        </w:drawing>
      </w:r>
    </w:p>
    <w:p w:rsidR="00C069F9" w:rsidRPr="00FB66B1" w:rsidRDefault="00C069F9" w:rsidP="00A63533">
      <w:pPr>
        <w:spacing w:before="120"/>
      </w:pPr>
      <w:r w:rsidRPr="00263B5B">
        <w:t>Source: HLFS 2012. TURKSTAT; Betam</w:t>
      </w:r>
    </w:p>
    <w:p w:rsidR="003F1C57" w:rsidRDefault="003F1C57" w:rsidP="00A63533">
      <w:pPr>
        <w:spacing w:before="120"/>
        <w:rPr>
          <w:b/>
          <w:bCs/>
          <w:sz w:val="22"/>
          <w:szCs w:val="22"/>
        </w:rPr>
      </w:pPr>
      <w:r w:rsidRPr="003F1C57">
        <w:rPr>
          <w:b/>
          <w:bCs/>
          <w:sz w:val="22"/>
          <w:szCs w:val="22"/>
        </w:rPr>
        <w:t xml:space="preserve">Gender roles are </w:t>
      </w:r>
      <w:r w:rsidR="00D9763A">
        <w:rPr>
          <w:b/>
          <w:bCs/>
          <w:sz w:val="22"/>
          <w:szCs w:val="22"/>
        </w:rPr>
        <w:t>still playing an important role</w:t>
      </w:r>
    </w:p>
    <w:p w:rsidR="008B6BF8" w:rsidRPr="00114157" w:rsidRDefault="003F1C57" w:rsidP="00A63533">
      <w:pPr>
        <w:spacing w:before="120"/>
        <w:rPr>
          <w:bCs/>
          <w:sz w:val="20"/>
          <w:szCs w:val="20"/>
        </w:rPr>
      </w:pPr>
      <w:r w:rsidRPr="00114157">
        <w:rPr>
          <w:bCs/>
          <w:sz w:val="20"/>
          <w:szCs w:val="20"/>
        </w:rPr>
        <w:t xml:space="preserve">Among 1 million 353 thousand young who are neither </w:t>
      </w:r>
      <w:r w:rsidR="00CD4222" w:rsidRPr="00114157">
        <w:rPr>
          <w:bCs/>
          <w:sz w:val="20"/>
          <w:szCs w:val="20"/>
        </w:rPr>
        <w:t xml:space="preserve">enrolled nor </w:t>
      </w:r>
      <w:r w:rsidRPr="00114157">
        <w:rPr>
          <w:bCs/>
          <w:sz w:val="20"/>
          <w:szCs w:val="20"/>
        </w:rPr>
        <w:t>in</w:t>
      </w:r>
      <w:r w:rsidR="00CD4222" w:rsidRPr="00114157">
        <w:rPr>
          <w:bCs/>
          <w:sz w:val="20"/>
          <w:szCs w:val="20"/>
        </w:rPr>
        <w:t xml:space="preserve"> the</w:t>
      </w:r>
      <w:r w:rsidRPr="00114157">
        <w:rPr>
          <w:bCs/>
          <w:sz w:val="20"/>
          <w:szCs w:val="20"/>
        </w:rPr>
        <w:t xml:space="preserve"> labor market, </w:t>
      </w:r>
      <w:r w:rsidR="0030034B" w:rsidRPr="00114157">
        <w:rPr>
          <w:bCs/>
          <w:sz w:val="20"/>
          <w:szCs w:val="20"/>
        </w:rPr>
        <w:t>325 thousand young state that they continue their education or</w:t>
      </w:r>
      <w:r w:rsidR="004218C4" w:rsidRPr="00114157">
        <w:rPr>
          <w:bCs/>
          <w:sz w:val="20"/>
          <w:szCs w:val="20"/>
        </w:rPr>
        <w:t xml:space="preserve"> training.  81.9 percent of the latter are high school graduates. We assume that these young individuals are </w:t>
      </w:r>
      <w:r w:rsidR="0030034B" w:rsidRPr="00114157">
        <w:rPr>
          <w:bCs/>
          <w:sz w:val="20"/>
          <w:szCs w:val="20"/>
        </w:rPr>
        <w:t>pr</w:t>
      </w:r>
      <w:r w:rsidR="001810FD" w:rsidRPr="00114157">
        <w:rPr>
          <w:bCs/>
          <w:sz w:val="20"/>
          <w:szCs w:val="20"/>
        </w:rPr>
        <w:t>eparing for the university entrance</w:t>
      </w:r>
      <w:r w:rsidR="0030034B" w:rsidRPr="00114157">
        <w:rPr>
          <w:bCs/>
          <w:sz w:val="20"/>
          <w:szCs w:val="20"/>
        </w:rPr>
        <w:t xml:space="preserve"> exams.  </w:t>
      </w:r>
    </w:p>
    <w:p w:rsidR="008B6BF8" w:rsidRPr="009519DC" w:rsidRDefault="008B6BF8" w:rsidP="008B6BF8">
      <w:pPr>
        <w:spacing w:before="120"/>
        <w:rPr>
          <w:b/>
          <w:bCs/>
          <w:sz w:val="20"/>
          <w:szCs w:val="20"/>
        </w:rPr>
      </w:pPr>
      <w:r w:rsidRPr="009519DC">
        <w:rPr>
          <w:b/>
          <w:bCs/>
          <w:sz w:val="20"/>
          <w:szCs w:val="20"/>
        </w:rPr>
        <w:t>Table 2 Main reasons of not looking for a job</w:t>
      </w:r>
      <w:r w:rsidR="009519DC">
        <w:rPr>
          <w:b/>
          <w:bCs/>
          <w:sz w:val="20"/>
          <w:szCs w:val="20"/>
        </w:rPr>
        <w:t>,</w:t>
      </w:r>
      <w:r w:rsidRPr="009519DC">
        <w:rPr>
          <w:b/>
          <w:bCs/>
          <w:sz w:val="20"/>
          <w:szCs w:val="20"/>
        </w:rPr>
        <w:t xml:space="preserve"> </w:t>
      </w:r>
      <w:r w:rsidR="009519DC">
        <w:rPr>
          <w:b/>
          <w:bCs/>
          <w:sz w:val="20"/>
          <w:szCs w:val="20"/>
        </w:rPr>
        <w:t>individuals</w:t>
      </w:r>
      <w:r w:rsidR="009519DC" w:rsidRPr="009519DC">
        <w:rPr>
          <w:b/>
          <w:bCs/>
          <w:sz w:val="20"/>
          <w:szCs w:val="20"/>
        </w:rPr>
        <w:t xml:space="preserve"> neither enrolled nor in the labor market </w:t>
      </w:r>
    </w:p>
    <w:tbl>
      <w:tblPr>
        <w:tblW w:w="8984" w:type="dxa"/>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4A0"/>
      </w:tblPr>
      <w:tblGrid>
        <w:gridCol w:w="4640"/>
        <w:gridCol w:w="1045"/>
        <w:gridCol w:w="1276"/>
        <w:gridCol w:w="992"/>
        <w:gridCol w:w="1031"/>
      </w:tblGrid>
      <w:tr w:rsidR="008B6BF8" w:rsidRPr="00263B5B" w:rsidTr="00C752FC">
        <w:trPr>
          <w:trHeight w:val="310"/>
        </w:trPr>
        <w:tc>
          <w:tcPr>
            <w:tcW w:w="4640" w:type="dxa"/>
            <w:shd w:val="clear" w:color="auto" w:fill="auto"/>
            <w:noWrap/>
            <w:vAlign w:val="bottom"/>
            <w:hideMark/>
          </w:tcPr>
          <w:p w:rsidR="008B6BF8" w:rsidRPr="00263B5B" w:rsidRDefault="008B6BF8" w:rsidP="00C752FC">
            <w:pPr>
              <w:spacing w:before="120"/>
              <w:jc w:val="center"/>
              <w:rPr>
                <w:b/>
                <w:bCs/>
                <w:sz w:val="20"/>
                <w:szCs w:val="20"/>
              </w:rPr>
            </w:pPr>
          </w:p>
        </w:tc>
        <w:tc>
          <w:tcPr>
            <w:tcW w:w="1045" w:type="dxa"/>
            <w:shd w:val="clear" w:color="auto" w:fill="auto"/>
            <w:noWrap/>
            <w:vAlign w:val="bottom"/>
            <w:hideMark/>
          </w:tcPr>
          <w:p w:rsidR="008B6BF8" w:rsidRPr="00263B5B" w:rsidRDefault="008B6BF8" w:rsidP="00C752FC">
            <w:pPr>
              <w:spacing w:before="120"/>
              <w:jc w:val="center"/>
              <w:rPr>
                <w:b/>
                <w:bCs/>
                <w:sz w:val="20"/>
                <w:szCs w:val="20"/>
              </w:rPr>
            </w:pPr>
            <w:r w:rsidRPr="00263B5B">
              <w:rPr>
                <w:b/>
                <w:bCs/>
                <w:sz w:val="20"/>
                <w:szCs w:val="20"/>
              </w:rPr>
              <w:t>Women</w:t>
            </w:r>
          </w:p>
        </w:tc>
        <w:tc>
          <w:tcPr>
            <w:tcW w:w="1276" w:type="dxa"/>
            <w:shd w:val="clear" w:color="auto" w:fill="auto"/>
            <w:noWrap/>
            <w:vAlign w:val="bottom"/>
            <w:hideMark/>
          </w:tcPr>
          <w:p w:rsidR="008B6BF8" w:rsidRPr="00263B5B" w:rsidRDefault="008B6BF8" w:rsidP="00C752FC">
            <w:pPr>
              <w:spacing w:before="120"/>
              <w:jc w:val="center"/>
              <w:rPr>
                <w:b/>
                <w:bCs/>
                <w:sz w:val="20"/>
                <w:szCs w:val="20"/>
              </w:rPr>
            </w:pPr>
            <w:r w:rsidRPr="00263B5B">
              <w:rPr>
                <w:b/>
                <w:bCs/>
                <w:sz w:val="20"/>
                <w:szCs w:val="20"/>
              </w:rPr>
              <w:t>Women(%)</w:t>
            </w:r>
          </w:p>
        </w:tc>
        <w:tc>
          <w:tcPr>
            <w:tcW w:w="992" w:type="dxa"/>
            <w:vAlign w:val="bottom"/>
          </w:tcPr>
          <w:p w:rsidR="008B6BF8" w:rsidRPr="00263B5B" w:rsidRDefault="008B6BF8" w:rsidP="00C752FC">
            <w:pPr>
              <w:spacing w:before="120"/>
              <w:jc w:val="center"/>
              <w:rPr>
                <w:b/>
                <w:bCs/>
                <w:sz w:val="20"/>
                <w:szCs w:val="20"/>
              </w:rPr>
            </w:pPr>
            <w:r w:rsidRPr="00263B5B">
              <w:rPr>
                <w:b/>
                <w:bCs/>
                <w:sz w:val="20"/>
                <w:szCs w:val="20"/>
              </w:rPr>
              <w:t>Men</w:t>
            </w:r>
          </w:p>
        </w:tc>
        <w:tc>
          <w:tcPr>
            <w:tcW w:w="1031" w:type="dxa"/>
            <w:vAlign w:val="bottom"/>
          </w:tcPr>
          <w:p w:rsidR="008B6BF8" w:rsidRPr="00263B5B" w:rsidRDefault="008B6BF8" w:rsidP="00C752FC">
            <w:pPr>
              <w:spacing w:before="120"/>
              <w:jc w:val="center"/>
              <w:rPr>
                <w:b/>
                <w:bCs/>
                <w:sz w:val="20"/>
                <w:szCs w:val="20"/>
              </w:rPr>
            </w:pPr>
            <w:r w:rsidRPr="00263B5B">
              <w:rPr>
                <w:b/>
                <w:bCs/>
                <w:sz w:val="20"/>
                <w:szCs w:val="20"/>
              </w:rPr>
              <w:t>Men(%)</w:t>
            </w:r>
          </w:p>
        </w:tc>
      </w:tr>
      <w:tr w:rsidR="008B6BF8" w:rsidRPr="00263B5B" w:rsidTr="00C752FC">
        <w:trPr>
          <w:trHeight w:val="310"/>
        </w:trPr>
        <w:tc>
          <w:tcPr>
            <w:tcW w:w="4640" w:type="dxa"/>
            <w:shd w:val="clear" w:color="auto" w:fill="auto"/>
            <w:noWrap/>
            <w:vAlign w:val="bottom"/>
            <w:hideMark/>
          </w:tcPr>
          <w:p w:rsidR="008B6BF8" w:rsidRPr="00263B5B" w:rsidRDefault="008B6BF8" w:rsidP="008C190D">
            <w:pPr>
              <w:spacing w:before="120"/>
              <w:rPr>
                <w:b/>
                <w:bCs/>
                <w:sz w:val="20"/>
                <w:szCs w:val="20"/>
              </w:rPr>
            </w:pPr>
            <w:r w:rsidRPr="00263B5B">
              <w:rPr>
                <w:b/>
                <w:bCs/>
                <w:sz w:val="20"/>
                <w:szCs w:val="20"/>
              </w:rPr>
              <w:t xml:space="preserve">Found a job and </w:t>
            </w:r>
            <w:r w:rsidR="008C190D">
              <w:rPr>
                <w:b/>
                <w:bCs/>
                <w:sz w:val="20"/>
                <w:szCs w:val="20"/>
              </w:rPr>
              <w:t>waiting for it to</w:t>
            </w:r>
            <w:r w:rsidRPr="00263B5B">
              <w:rPr>
                <w:b/>
                <w:bCs/>
                <w:sz w:val="20"/>
                <w:szCs w:val="20"/>
              </w:rPr>
              <w:t xml:space="preserve"> start</w:t>
            </w:r>
          </w:p>
        </w:tc>
        <w:tc>
          <w:tcPr>
            <w:tcW w:w="1045"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4,674</w:t>
            </w:r>
          </w:p>
        </w:tc>
        <w:tc>
          <w:tcPr>
            <w:tcW w:w="1276"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0.5</w:t>
            </w:r>
          </w:p>
        </w:tc>
        <w:tc>
          <w:tcPr>
            <w:tcW w:w="992" w:type="dxa"/>
            <w:vAlign w:val="bottom"/>
          </w:tcPr>
          <w:p w:rsidR="008B6BF8" w:rsidRPr="00263B5B" w:rsidRDefault="008B6BF8" w:rsidP="00C752FC">
            <w:pPr>
              <w:spacing w:before="120"/>
              <w:jc w:val="center"/>
              <w:rPr>
                <w:sz w:val="20"/>
                <w:szCs w:val="20"/>
              </w:rPr>
            </w:pPr>
            <w:r w:rsidRPr="00263B5B">
              <w:rPr>
                <w:sz w:val="20"/>
                <w:szCs w:val="20"/>
              </w:rPr>
              <w:t>8,232</w:t>
            </w:r>
          </w:p>
        </w:tc>
        <w:tc>
          <w:tcPr>
            <w:tcW w:w="1031" w:type="dxa"/>
            <w:vAlign w:val="bottom"/>
          </w:tcPr>
          <w:p w:rsidR="008B6BF8" w:rsidRPr="00263B5B" w:rsidRDefault="008B6BF8" w:rsidP="00C752FC">
            <w:pPr>
              <w:spacing w:before="120"/>
              <w:jc w:val="center"/>
              <w:rPr>
                <w:sz w:val="20"/>
                <w:szCs w:val="20"/>
              </w:rPr>
            </w:pPr>
            <w:r w:rsidRPr="00263B5B">
              <w:rPr>
                <w:sz w:val="20"/>
                <w:szCs w:val="20"/>
              </w:rPr>
              <w:t>1.9</w:t>
            </w:r>
          </w:p>
        </w:tc>
      </w:tr>
      <w:tr w:rsidR="008B6BF8" w:rsidRPr="00263B5B" w:rsidTr="00C752FC">
        <w:trPr>
          <w:trHeight w:val="310"/>
        </w:trPr>
        <w:tc>
          <w:tcPr>
            <w:tcW w:w="4640" w:type="dxa"/>
            <w:shd w:val="clear" w:color="auto" w:fill="auto"/>
            <w:noWrap/>
            <w:vAlign w:val="bottom"/>
            <w:hideMark/>
          </w:tcPr>
          <w:p w:rsidR="008B6BF8" w:rsidRPr="00263B5B" w:rsidRDefault="008B6BF8" w:rsidP="008C190D">
            <w:pPr>
              <w:spacing w:before="120"/>
              <w:rPr>
                <w:b/>
                <w:bCs/>
                <w:sz w:val="20"/>
                <w:szCs w:val="20"/>
              </w:rPr>
            </w:pPr>
            <w:r w:rsidRPr="00263B5B">
              <w:rPr>
                <w:b/>
                <w:bCs/>
                <w:sz w:val="20"/>
                <w:szCs w:val="20"/>
              </w:rPr>
              <w:t>Dis</w:t>
            </w:r>
            <w:r w:rsidR="008C190D">
              <w:rPr>
                <w:b/>
                <w:bCs/>
                <w:sz w:val="20"/>
                <w:szCs w:val="20"/>
              </w:rPr>
              <w:t>couraged</w:t>
            </w:r>
          </w:p>
        </w:tc>
        <w:tc>
          <w:tcPr>
            <w:tcW w:w="1045"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22,483</w:t>
            </w:r>
          </w:p>
        </w:tc>
        <w:tc>
          <w:tcPr>
            <w:tcW w:w="1276"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2.5</w:t>
            </w:r>
          </w:p>
        </w:tc>
        <w:tc>
          <w:tcPr>
            <w:tcW w:w="992" w:type="dxa"/>
            <w:vAlign w:val="bottom"/>
          </w:tcPr>
          <w:p w:rsidR="008B6BF8" w:rsidRPr="00263B5B" w:rsidRDefault="008B6BF8" w:rsidP="00C752FC">
            <w:pPr>
              <w:spacing w:before="120"/>
              <w:jc w:val="center"/>
              <w:rPr>
                <w:sz w:val="20"/>
                <w:szCs w:val="20"/>
              </w:rPr>
            </w:pPr>
            <w:r w:rsidRPr="00263B5B">
              <w:rPr>
                <w:sz w:val="20"/>
                <w:szCs w:val="20"/>
              </w:rPr>
              <w:t>102,916</w:t>
            </w:r>
          </w:p>
        </w:tc>
        <w:tc>
          <w:tcPr>
            <w:tcW w:w="1031" w:type="dxa"/>
            <w:vAlign w:val="bottom"/>
          </w:tcPr>
          <w:p w:rsidR="008B6BF8" w:rsidRPr="00263B5B" w:rsidRDefault="008B6BF8" w:rsidP="00C752FC">
            <w:pPr>
              <w:spacing w:before="120"/>
              <w:jc w:val="center"/>
              <w:rPr>
                <w:sz w:val="20"/>
                <w:szCs w:val="20"/>
              </w:rPr>
            </w:pPr>
            <w:r w:rsidRPr="00263B5B">
              <w:rPr>
                <w:sz w:val="20"/>
                <w:szCs w:val="20"/>
              </w:rPr>
              <w:t>23.8</w:t>
            </w:r>
          </w:p>
        </w:tc>
      </w:tr>
      <w:tr w:rsidR="008B6BF8" w:rsidRPr="00263B5B" w:rsidTr="00C752FC">
        <w:trPr>
          <w:trHeight w:val="310"/>
        </w:trPr>
        <w:tc>
          <w:tcPr>
            <w:tcW w:w="4640" w:type="dxa"/>
            <w:shd w:val="clear" w:color="auto" w:fill="auto"/>
            <w:noWrap/>
            <w:vAlign w:val="bottom"/>
            <w:hideMark/>
          </w:tcPr>
          <w:p w:rsidR="008B6BF8" w:rsidRPr="00263B5B" w:rsidRDefault="008B6BF8" w:rsidP="008C190D">
            <w:pPr>
              <w:spacing w:before="120"/>
              <w:rPr>
                <w:b/>
                <w:bCs/>
                <w:sz w:val="20"/>
                <w:szCs w:val="20"/>
              </w:rPr>
            </w:pPr>
            <w:r w:rsidRPr="00263B5B">
              <w:rPr>
                <w:b/>
                <w:bCs/>
                <w:sz w:val="20"/>
                <w:szCs w:val="20"/>
              </w:rPr>
              <w:t>Continuing education</w:t>
            </w:r>
          </w:p>
        </w:tc>
        <w:tc>
          <w:tcPr>
            <w:tcW w:w="1045"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160,737</w:t>
            </w:r>
          </w:p>
        </w:tc>
        <w:tc>
          <w:tcPr>
            <w:tcW w:w="1276"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17.5</w:t>
            </w:r>
          </w:p>
        </w:tc>
        <w:tc>
          <w:tcPr>
            <w:tcW w:w="992" w:type="dxa"/>
            <w:vAlign w:val="bottom"/>
          </w:tcPr>
          <w:p w:rsidR="008B6BF8" w:rsidRPr="00263B5B" w:rsidRDefault="008B6BF8" w:rsidP="00C752FC">
            <w:pPr>
              <w:spacing w:before="120"/>
              <w:jc w:val="center"/>
              <w:rPr>
                <w:sz w:val="20"/>
                <w:szCs w:val="20"/>
              </w:rPr>
            </w:pPr>
            <w:r w:rsidRPr="00263B5B">
              <w:rPr>
                <w:sz w:val="20"/>
                <w:szCs w:val="20"/>
              </w:rPr>
              <w:t>164,848</w:t>
            </w:r>
          </w:p>
        </w:tc>
        <w:tc>
          <w:tcPr>
            <w:tcW w:w="1031" w:type="dxa"/>
            <w:vAlign w:val="bottom"/>
          </w:tcPr>
          <w:p w:rsidR="008B6BF8" w:rsidRPr="00263B5B" w:rsidRDefault="008B6BF8" w:rsidP="00C752FC">
            <w:pPr>
              <w:spacing w:before="120"/>
              <w:jc w:val="center"/>
              <w:rPr>
                <w:sz w:val="20"/>
                <w:szCs w:val="20"/>
              </w:rPr>
            </w:pPr>
            <w:r w:rsidRPr="00263B5B">
              <w:rPr>
                <w:sz w:val="20"/>
                <w:szCs w:val="20"/>
              </w:rPr>
              <w:t>38.1</w:t>
            </w:r>
          </w:p>
        </w:tc>
      </w:tr>
      <w:tr w:rsidR="008B6BF8" w:rsidRPr="00263B5B" w:rsidTr="00C752FC">
        <w:trPr>
          <w:trHeight w:val="310"/>
        </w:trPr>
        <w:tc>
          <w:tcPr>
            <w:tcW w:w="4640" w:type="dxa"/>
            <w:shd w:val="clear" w:color="auto" w:fill="auto"/>
            <w:noWrap/>
            <w:vAlign w:val="bottom"/>
            <w:hideMark/>
          </w:tcPr>
          <w:p w:rsidR="008B6BF8" w:rsidRPr="00263B5B" w:rsidRDefault="008B6BF8" w:rsidP="008C190D">
            <w:pPr>
              <w:spacing w:before="120"/>
              <w:rPr>
                <w:b/>
                <w:bCs/>
                <w:sz w:val="20"/>
                <w:szCs w:val="20"/>
              </w:rPr>
            </w:pPr>
            <w:r w:rsidRPr="00263B5B">
              <w:rPr>
                <w:b/>
                <w:bCs/>
                <w:sz w:val="20"/>
                <w:szCs w:val="20"/>
              </w:rPr>
              <w:t xml:space="preserve">Busy with housework or caring </w:t>
            </w:r>
            <w:r w:rsidR="006235C0">
              <w:rPr>
                <w:b/>
                <w:bCs/>
                <w:sz w:val="20"/>
                <w:szCs w:val="20"/>
              </w:rPr>
              <w:t xml:space="preserve">for </w:t>
            </w:r>
            <w:r w:rsidRPr="00263B5B">
              <w:rPr>
                <w:b/>
                <w:bCs/>
                <w:sz w:val="20"/>
                <w:szCs w:val="20"/>
              </w:rPr>
              <w:t xml:space="preserve">adults/kids </w:t>
            </w:r>
            <w:r w:rsidR="006235C0">
              <w:rPr>
                <w:b/>
                <w:bCs/>
                <w:sz w:val="20"/>
                <w:szCs w:val="20"/>
              </w:rPr>
              <w:t>who require care</w:t>
            </w:r>
          </w:p>
        </w:tc>
        <w:tc>
          <w:tcPr>
            <w:tcW w:w="1045"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623,628</w:t>
            </w:r>
          </w:p>
        </w:tc>
        <w:tc>
          <w:tcPr>
            <w:tcW w:w="1276"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67.8</w:t>
            </w:r>
          </w:p>
        </w:tc>
        <w:tc>
          <w:tcPr>
            <w:tcW w:w="992" w:type="dxa"/>
            <w:vAlign w:val="bottom"/>
          </w:tcPr>
          <w:p w:rsidR="008B6BF8" w:rsidRPr="00263B5B" w:rsidRDefault="008B6BF8" w:rsidP="00C752FC">
            <w:pPr>
              <w:spacing w:before="120"/>
              <w:jc w:val="center"/>
              <w:rPr>
                <w:sz w:val="20"/>
                <w:szCs w:val="20"/>
              </w:rPr>
            </w:pPr>
            <w:r w:rsidRPr="00263B5B">
              <w:rPr>
                <w:sz w:val="20"/>
                <w:szCs w:val="20"/>
              </w:rPr>
              <w:t>106</w:t>
            </w:r>
          </w:p>
        </w:tc>
        <w:tc>
          <w:tcPr>
            <w:tcW w:w="1031" w:type="dxa"/>
            <w:vAlign w:val="bottom"/>
          </w:tcPr>
          <w:p w:rsidR="008B6BF8" w:rsidRPr="00263B5B" w:rsidRDefault="008B6BF8" w:rsidP="00C752FC">
            <w:pPr>
              <w:spacing w:before="120"/>
              <w:jc w:val="center"/>
              <w:rPr>
                <w:sz w:val="20"/>
                <w:szCs w:val="20"/>
              </w:rPr>
            </w:pPr>
            <w:r w:rsidRPr="00263B5B">
              <w:rPr>
                <w:sz w:val="20"/>
                <w:szCs w:val="20"/>
              </w:rPr>
              <w:t>0.0</w:t>
            </w:r>
          </w:p>
        </w:tc>
      </w:tr>
      <w:tr w:rsidR="008B6BF8" w:rsidRPr="00263B5B" w:rsidTr="00C752FC">
        <w:trPr>
          <w:trHeight w:val="310"/>
        </w:trPr>
        <w:tc>
          <w:tcPr>
            <w:tcW w:w="4640" w:type="dxa"/>
            <w:shd w:val="clear" w:color="auto" w:fill="auto"/>
            <w:noWrap/>
            <w:vAlign w:val="bottom"/>
            <w:hideMark/>
          </w:tcPr>
          <w:p w:rsidR="008B6BF8" w:rsidRPr="00263B5B" w:rsidRDefault="008B6BF8" w:rsidP="008C190D">
            <w:pPr>
              <w:spacing w:before="120"/>
              <w:rPr>
                <w:b/>
                <w:bCs/>
                <w:sz w:val="20"/>
                <w:szCs w:val="20"/>
              </w:rPr>
            </w:pPr>
            <w:r w:rsidRPr="00263B5B">
              <w:rPr>
                <w:b/>
                <w:bCs/>
                <w:sz w:val="20"/>
                <w:szCs w:val="20"/>
              </w:rPr>
              <w:t xml:space="preserve">Other family or individual </w:t>
            </w:r>
            <w:r w:rsidR="007022D1">
              <w:rPr>
                <w:b/>
                <w:bCs/>
                <w:sz w:val="20"/>
                <w:szCs w:val="20"/>
              </w:rPr>
              <w:t>reasons</w:t>
            </w:r>
          </w:p>
        </w:tc>
        <w:tc>
          <w:tcPr>
            <w:tcW w:w="1045"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48,606</w:t>
            </w:r>
          </w:p>
        </w:tc>
        <w:tc>
          <w:tcPr>
            <w:tcW w:w="1276"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5.3</w:t>
            </w:r>
          </w:p>
        </w:tc>
        <w:tc>
          <w:tcPr>
            <w:tcW w:w="992" w:type="dxa"/>
            <w:vAlign w:val="bottom"/>
          </w:tcPr>
          <w:p w:rsidR="008B6BF8" w:rsidRPr="00263B5B" w:rsidRDefault="008B6BF8" w:rsidP="00C752FC">
            <w:pPr>
              <w:spacing w:before="120"/>
              <w:jc w:val="center"/>
              <w:rPr>
                <w:sz w:val="20"/>
                <w:szCs w:val="20"/>
              </w:rPr>
            </w:pPr>
            <w:r w:rsidRPr="00263B5B">
              <w:rPr>
                <w:sz w:val="20"/>
                <w:szCs w:val="20"/>
              </w:rPr>
              <w:t>52,427</w:t>
            </w:r>
          </w:p>
        </w:tc>
        <w:tc>
          <w:tcPr>
            <w:tcW w:w="1031" w:type="dxa"/>
            <w:vAlign w:val="bottom"/>
          </w:tcPr>
          <w:p w:rsidR="008B6BF8" w:rsidRPr="00263B5B" w:rsidRDefault="008B6BF8" w:rsidP="00C752FC">
            <w:pPr>
              <w:spacing w:before="120"/>
              <w:jc w:val="center"/>
              <w:rPr>
                <w:sz w:val="20"/>
                <w:szCs w:val="20"/>
              </w:rPr>
            </w:pPr>
            <w:r w:rsidRPr="00263B5B">
              <w:rPr>
                <w:sz w:val="20"/>
                <w:szCs w:val="20"/>
              </w:rPr>
              <w:t>12.1</w:t>
            </w:r>
          </w:p>
        </w:tc>
      </w:tr>
      <w:tr w:rsidR="008B6BF8" w:rsidRPr="00263B5B" w:rsidTr="00C752FC">
        <w:trPr>
          <w:trHeight w:val="310"/>
        </w:trPr>
        <w:tc>
          <w:tcPr>
            <w:tcW w:w="4640" w:type="dxa"/>
            <w:shd w:val="clear" w:color="auto" w:fill="auto"/>
            <w:noWrap/>
            <w:vAlign w:val="bottom"/>
            <w:hideMark/>
          </w:tcPr>
          <w:p w:rsidR="008B6BF8" w:rsidRPr="00263B5B" w:rsidRDefault="008B6BF8" w:rsidP="007022D1">
            <w:pPr>
              <w:spacing w:before="120"/>
              <w:rPr>
                <w:b/>
                <w:bCs/>
                <w:sz w:val="20"/>
                <w:szCs w:val="20"/>
              </w:rPr>
            </w:pPr>
            <w:r w:rsidRPr="00263B5B">
              <w:rPr>
                <w:b/>
                <w:bCs/>
                <w:sz w:val="20"/>
                <w:szCs w:val="20"/>
              </w:rPr>
              <w:t>Disable</w:t>
            </w:r>
            <w:r w:rsidR="007022D1">
              <w:rPr>
                <w:b/>
                <w:bCs/>
                <w:sz w:val="20"/>
                <w:szCs w:val="20"/>
              </w:rPr>
              <w:t>d or ill</w:t>
            </w:r>
          </w:p>
        </w:tc>
        <w:tc>
          <w:tcPr>
            <w:tcW w:w="1045"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33,308</w:t>
            </w:r>
          </w:p>
        </w:tc>
        <w:tc>
          <w:tcPr>
            <w:tcW w:w="1276"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3.6</w:t>
            </w:r>
          </w:p>
        </w:tc>
        <w:tc>
          <w:tcPr>
            <w:tcW w:w="992" w:type="dxa"/>
            <w:vAlign w:val="bottom"/>
          </w:tcPr>
          <w:p w:rsidR="008B6BF8" w:rsidRPr="00263B5B" w:rsidRDefault="008B6BF8" w:rsidP="00C752FC">
            <w:pPr>
              <w:spacing w:before="120"/>
              <w:jc w:val="center"/>
              <w:rPr>
                <w:sz w:val="20"/>
                <w:szCs w:val="20"/>
              </w:rPr>
            </w:pPr>
            <w:r w:rsidRPr="00263B5B">
              <w:rPr>
                <w:sz w:val="20"/>
                <w:szCs w:val="20"/>
              </w:rPr>
              <w:t>55,920</w:t>
            </w:r>
          </w:p>
        </w:tc>
        <w:tc>
          <w:tcPr>
            <w:tcW w:w="1031" w:type="dxa"/>
            <w:vAlign w:val="bottom"/>
          </w:tcPr>
          <w:p w:rsidR="008B6BF8" w:rsidRPr="00263B5B" w:rsidRDefault="008B6BF8" w:rsidP="00C752FC">
            <w:pPr>
              <w:spacing w:before="120"/>
              <w:jc w:val="center"/>
              <w:rPr>
                <w:sz w:val="20"/>
                <w:szCs w:val="20"/>
              </w:rPr>
            </w:pPr>
            <w:r w:rsidRPr="00263B5B">
              <w:rPr>
                <w:sz w:val="20"/>
                <w:szCs w:val="20"/>
              </w:rPr>
              <w:t>12.9</w:t>
            </w:r>
          </w:p>
        </w:tc>
      </w:tr>
      <w:tr w:rsidR="008B6BF8" w:rsidRPr="00263B5B" w:rsidTr="00C752FC">
        <w:trPr>
          <w:trHeight w:val="310"/>
        </w:trPr>
        <w:tc>
          <w:tcPr>
            <w:tcW w:w="4640" w:type="dxa"/>
            <w:shd w:val="clear" w:color="auto" w:fill="auto"/>
            <w:noWrap/>
            <w:vAlign w:val="bottom"/>
            <w:hideMark/>
          </w:tcPr>
          <w:p w:rsidR="008B6BF8" w:rsidRPr="00263B5B" w:rsidRDefault="008B6BF8" w:rsidP="008C190D">
            <w:pPr>
              <w:spacing w:before="120"/>
              <w:rPr>
                <w:b/>
                <w:bCs/>
                <w:sz w:val="20"/>
                <w:szCs w:val="20"/>
              </w:rPr>
            </w:pPr>
            <w:r w:rsidRPr="00263B5B">
              <w:rPr>
                <w:b/>
                <w:bCs/>
                <w:sz w:val="20"/>
                <w:szCs w:val="20"/>
              </w:rPr>
              <w:t>Other</w:t>
            </w:r>
          </w:p>
        </w:tc>
        <w:tc>
          <w:tcPr>
            <w:tcW w:w="1045"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26,977</w:t>
            </w:r>
          </w:p>
        </w:tc>
        <w:tc>
          <w:tcPr>
            <w:tcW w:w="1276"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2.9</w:t>
            </w:r>
          </w:p>
        </w:tc>
        <w:tc>
          <w:tcPr>
            <w:tcW w:w="992" w:type="dxa"/>
            <w:vAlign w:val="bottom"/>
          </w:tcPr>
          <w:p w:rsidR="008B6BF8" w:rsidRPr="00263B5B" w:rsidRDefault="008B6BF8" w:rsidP="00C752FC">
            <w:pPr>
              <w:spacing w:before="120"/>
              <w:jc w:val="center"/>
              <w:rPr>
                <w:sz w:val="20"/>
                <w:szCs w:val="20"/>
              </w:rPr>
            </w:pPr>
            <w:r w:rsidRPr="00263B5B">
              <w:rPr>
                <w:sz w:val="20"/>
                <w:szCs w:val="20"/>
              </w:rPr>
              <w:t>48,045</w:t>
            </w:r>
          </w:p>
        </w:tc>
        <w:tc>
          <w:tcPr>
            <w:tcW w:w="1031" w:type="dxa"/>
            <w:vAlign w:val="bottom"/>
          </w:tcPr>
          <w:p w:rsidR="008B6BF8" w:rsidRPr="00263B5B" w:rsidRDefault="008B6BF8" w:rsidP="00C752FC">
            <w:pPr>
              <w:spacing w:before="120"/>
              <w:jc w:val="center"/>
              <w:rPr>
                <w:sz w:val="20"/>
                <w:szCs w:val="20"/>
              </w:rPr>
            </w:pPr>
            <w:r w:rsidRPr="00263B5B">
              <w:rPr>
                <w:sz w:val="20"/>
                <w:szCs w:val="20"/>
              </w:rPr>
              <w:t>11.1</w:t>
            </w:r>
          </w:p>
        </w:tc>
      </w:tr>
      <w:tr w:rsidR="008B6BF8" w:rsidRPr="00263B5B" w:rsidTr="00C752FC">
        <w:trPr>
          <w:trHeight w:val="310"/>
        </w:trPr>
        <w:tc>
          <w:tcPr>
            <w:tcW w:w="4640" w:type="dxa"/>
            <w:shd w:val="clear" w:color="auto" w:fill="auto"/>
            <w:noWrap/>
            <w:vAlign w:val="bottom"/>
            <w:hideMark/>
          </w:tcPr>
          <w:p w:rsidR="008B6BF8" w:rsidRPr="00263B5B" w:rsidRDefault="008B6BF8" w:rsidP="008C190D">
            <w:pPr>
              <w:spacing w:before="120"/>
              <w:rPr>
                <w:b/>
                <w:bCs/>
                <w:sz w:val="20"/>
                <w:szCs w:val="20"/>
              </w:rPr>
            </w:pPr>
            <w:r w:rsidRPr="00263B5B">
              <w:rPr>
                <w:b/>
                <w:bCs/>
                <w:sz w:val="20"/>
                <w:szCs w:val="20"/>
              </w:rPr>
              <w:t>Total</w:t>
            </w:r>
          </w:p>
        </w:tc>
        <w:tc>
          <w:tcPr>
            <w:tcW w:w="1045"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920,413</w:t>
            </w:r>
          </w:p>
        </w:tc>
        <w:tc>
          <w:tcPr>
            <w:tcW w:w="1276"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100</w:t>
            </w:r>
          </w:p>
        </w:tc>
        <w:tc>
          <w:tcPr>
            <w:tcW w:w="992" w:type="dxa"/>
            <w:vAlign w:val="bottom"/>
          </w:tcPr>
          <w:p w:rsidR="008B6BF8" w:rsidRPr="00263B5B" w:rsidRDefault="008B6BF8" w:rsidP="00C752FC">
            <w:pPr>
              <w:spacing w:before="120"/>
              <w:jc w:val="center"/>
              <w:rPr>
                <w:sz w:val="20"/>
                <w:szCs w:val="20"/>
              </w:rPr>
            </w:pPr>
            <w:r w:rsidRPr="00263B5B">
              <w:rPr>
                <w:sz w:val="20"/>
                <w:szCs w:val="20"/>
              </w:rPr>
              <w:t>432,494</w:t>
            </w:r>
          </w:p>
        </w:tc>
        <w:tc>
          <w:tcPr>
            <w:tcW w:w="1031" w:type="dxa"/>
            <w:vAlign w:val="bottom"/>
          </w:tcPr>
          <w:p w:rsidR="008B6BF8" w:rsidRPr="00263B5B" w:rsidRDefault="008B6BF8" w:rsidP="00C752FC">
            <w:pPr>
              <w:spacing w:before="120"/>
              <w:jc w:val="center"/>
              <w:rPr>
                <w:sz w:val="20"/>
                <w:szCs w:val="20"/>
              </w:rPr>
            </w:pPr>
            <w:r w:rsidRPr="00263B5B">
              <w:rPr>
                <w:sz w:val="20"/>
                <w:szCs w:val="20"/>
              </w:rPr>
              <w:t>100</w:t>
            </w:r>
          </w:p>
        </w:tc>
      </w:tr>
    </w:tbl>
    <w:p w:rsidR="008B6BF8" w:rsidRPr="00263B5B" w:rsidRDefault="008B6BF8" w:rsidP="008B6BF8">
      <w:pPr>
        <w:spacing w:before="120"/>
      </w:pPr>
      <w:r w:rsidRPr="00263B5B">
        <w:t>Source: HLFS 2012. TURKSTAT; Betam</w:t>
      </w:r>
    </w:p>
    <w:p w:rsidR="00C069F9" w:rsidRDefault="00C069F9" w:rsidP="00A63533">
      <w:pPr>
        <w:spacing w:before="120"/>
        <w:rPr>
          <w:bCs/>
          <w:sz w:val="22"/>
          <w:szCs w:val="22"/>
        </w:rPr>
      </w:pPr>
    </w:p>
    <w:p w:rsidR="0058622D" w:rsidRDefault="00072A74" w:rsidP="0058622D">
      <w:pPr>
        <w:spacing w:before="120"/>
        <w:rPr>
          <w:bCs/>
          <w:sz w:val="20"/>
          <w:szCs w:val="20"/>
        </w:rPr>
      </w:pPr>
      <w:r w:rsidRPr="00114157">
        <w:rPr>
          <w:bCs/>
          <w:sz w:val="20"/>
          <w:szCs w:val="20"/>
        </w:rPr>
        <w:t xml:space="preserve">In Table 2, </w:t>
      </w:r>
      <w:r w:rsidR="008017F7">
        <w:rPr>
          <w:bCs/>
          <w:sz w:val="20"/>
          <w:szCs w:val="20"/>
        </w:rPr>
        <w:t xml:space="preserve">data clearly indicates that traditional gender roles are the reason behind low female labor force participation rates in this age group as well. </w:t>
      </w:r>
      <w:r w:rsidRPr="00114157">
        <w:rPr>
          <w:bCs/>
          <w:sz w:val="20"/>
          <w:szCs w:val="20"/>
        </w:rPr>
        <w:t xml:space="preserve">67.8 percent of </w:t>
      </w:r>
      <w:r w:rsidR="008017F7">
        <w:rPr>
          <w:bCs/>
          <w:sz w:val="20"/>
          <w:szCs w:val="20"/>
        </w:rPr>
        <w:t xml:space="preserve">the females in </w:t>
      </w:r>
      <w:r w:rsidRPr="00114157">
        <w:rPr>
          <w:bCs/>
          <w:sz w:val="20"/>
          <w:szCs w:val="20"/>
        </w:rPr>
        <w:t xml:space="preserve">this group state that they do not take part in the labor market because they </w:t>
      </w:r>
      <w:r w:rsidR="008017F7">
        <w:rPr>
          <w:bCs/>
          <w:sz w:val="20"/>
          <w:szCs w:val="20"/>
        </w:rPr>
        <w:t xml:space="preserve">are busy with housework or are care providers for children and adults in the household who need care. The share of females in this group in 2012 is similar to those in 2006 and 2009. </w:t>
      </w:r>
      <w:r w:rsidR="00272EEC" w:rsidRPr="00114157">
        <w:rPr>
          <w:bCs/>
          <w:sz w:val="20"/>
          <w:szCs w:val="20"/>
        </w:rPr>
        <w:t xml:space="preserve">Therefore, these </w:t>
      </w:r>
      <w:r w:rsidR="0058622D">
        <w:rPr>
          <w:bCs/>
          <w:sz w:val="20"/>
          <w:szCs w:val="20"/>
        </w:rPr>
        <w:t>shares</w:t>
      </w:r>
      <w:r w:rsidR="00272EEC" w:rsidRPr="00114157">
        <w:rPr>
          <w:bCs/>
          <w:sz w:val="20"/>
          <w:szCs w:val="20"/>
        </w:rPr>
        <w:t xml:space="preserve"> are supporting evidence for gender roles creating a systematic problem in female labor force participation. </w:t>
      </w:r>
      <w:r w:rsidR="0058622D">
        <w:rPr>
          <w:bCs/>
          <w:sz w:val="20"/>
          <w:szCs w:val="20"/>
        </w:rPr>
        <w:t xml:space="preserve">Research on how to integrate the young females who have already stepped away from education and the labor market, back into the economic life, is dire for the future of this generation and those that follow. Previous studies show that economically empowered women spend a higher share of household income on children's education and health, and the households they live in have higher saving rates. </w:t>
      </w:r>
    </w:p>
    <w:p w:rsidR="00C069F9" w:rsidRPr="00114157" w:rsidRDefault="000F78AF" w:rsidP="00A63533">
      <w:pPr>
        <w:spacing w:before="120"/>
        <w:rPr>
          <w:b/>
          <w:bCs/>
          <w:sz w:val="22"/>
          <w:szCs w:val="22"/>
        </w:rPr>
      </w:pPr>
      <w:r w:rsidRPr="000F78AF">
        <w:rPr>
          <w:b/>
          <w:bCs/>
          <w:sz w:val="22"/>
          <w:szCs w:val="22"/>
        </w:rPr>
        <w:lastRenderedPageBreak/>
        <w:t xml:space="preserve">125 thousand young in 15-19 age group are </w:t>
      </w:r>
      <w:r w:rsidR="00F83618">
        <w:rPr>
          <w:b/>
          <w:bCs/>
          <w:sz w:val="22"/>
          <w:szCs w:val="22"/>
        </w:rPr>
        <w:t>already discouraged</w:t>
      </w:r>
    </w:p>
    <w:p w:rsidR="008B6BF8" w:rsidRPr="00114157" w:rsidRDefault="004A4957" w:rsidP="00A63533">
      <w:pPr>
        <w:spacing w:before="120"/>
        <w:rPr>
          <w:bCs/>
          <w:sz w:val="20"/>
          <w:szCs w:val="20"/>
        </w:rPr>
      </w:pPr>
      <w:r w:rsidRPr="00114157">
        <w:rPr>
          <w:bCs/>
          <w:sz w:val="20"/>
          <w:szCs w:val="20"/>
        </w:rPr>
        <w:t>23.8 percent of males not participating in the labor market state that they had looked for a job many times but eith</w:t>
      </w:r>
      <w:r w:rsidR="004033E3">
        <w:rPr>
          <w:bCs/>
          <w:sz w:val="20"/>
          <w:szCs w:val="20"/>
        </w:rPr>
        <w:t>er they fail to find it or they do not think that there are jobs that match</w:t>
      </w:r>
      <w:r w:rsidRPr="00114157">
        <w:rPr>
          <w:bCs/>
          <w:sz w:val="20"/>
          <w:szCs w:val="20"/>
        </w:rPr>
        <w:t xml:space="preserve"> their qualifications. This group is entitled as "</w:t>
      </w:r>
      <w:r w:rsidR="003165C5">
        <w:rPr>
          <w:bCs/>
          <w:sz w:val="20"/>
          <w:szCs w:val="20"/>
        </w:rPr>
        <w:t>discouraged</w:t>
      </w:r>
      <w:r w:rsidR="00664330">
        <w:rPr>
          <w:bCs/>
          <w:sz w:val="20"/>
          <w:szCs w:val="20"/>
        </w:rPr>
        <w:t xml:space="preserve">" in </w:t>
      </w:r>
      <w:r w:rsidRPr="00114157">
        <w:rPr>
          <w:bCs/>
          <w:sz w:val="20"/>
          <w:szCs w:val="20"/>
        </w:rPr>
        <w:t xml:space="preserve">Table 2. </w:t>
      </w:r>
      <w:r w:rsidR="008B1C8E">
        <w:rPr>
          <w:bCs/>
          <w:sz w:val="20"/>
          <w:szCs w:val="20"/>
        </w:rPr>
        <w:t>Note</w:t>
      </w:r>
      <w:r w:rsidR="00D270CC" w:rsidRPr="00114157">
        <w:rPr>
          <w:bCs/>
          <w:sz w:val="20"/>
          <w:szCs w:val="20"/>
        </w:rPr>
        <w:t xml:space="preserve"> that </w:t>
      </w:r>
      <w:r w:rsidR="008B1C8E">
        <w:rPr>
          <w:bCs/>
          <w:sz w:val="20"/>
          <w:szCs w:val="20"/>
        </w:rPr>
        <w:t xml:space="preserve">the </w:t>
      </w:r>
      <w:r w:rsidR="00D270CC" w:rsidRPr="00114157">
        <w:rPr>
          <w:bCs/>
          <w:sz w:val="20"/>
          <w:szCs w:val="20"/>
        </w:rPr>
        <w:t>v</w:t>
      </w:r>
      <w:r w:rsidRPr="00114157">
        <w:rPr>
          <w:bCs/>
          <w:sz w:val="20"/>
          <w:szCs w:val="20"/>
        </w:rPr>
        <w:t xml:space="preserve">ast majority of </w:t>
      </w:r>
      <w:r w:rsidR="008B1C8E">
        <w:rPr>
          <w:bCs/>
          <w:sz w:val="20"/>
          <w:szCs w:val="20"/>
        </w:rPr>
        <w:t xml:space="preserve">discouraged youth </w:t>
      </w:r>
      <w:r w:rsidR="00D270CC" w:rsidRPr="00114157">
        <w:rPr>
          <w:bCs/>
          <w:sz w:val="20"/>
          <w:szCs w:val="20"/>
        </w:rPr>
        <w:t xml:space="preserve">(92.7 percent of them) graduated at most from primary school. </w:t>
      </w:r>
      <w:r w:rsidR="00C25748" w:rsidRPr="00114157">
        <w:rPr>
          <w:bCs/>
          <w:sz w:val="20"/>
          <w:szCs w:val="20"/>
        </w:rPr>
        <w:t xml:space="preserve">There has been no significant change in the </w:t>
      </w:r>
      <w:r w:rsidR="008B1C8E">
        <w:rPr>
          <w:bCs/>
          <w:sz w:val="20"/>
          <w:szCs w:val="20"/>
        </w:rPr>
        <w:t>share of discouraged young</w:t>
      </w:r>
      <w:r w:rsidR="00C25748" w:rsidRPr="00114157">
        <w:rPr>
          <w:bCs/>
          <w:sz w:val="20"/>
          <w:szCs w:val="20"/>
        </w:rPr>
        <w:t xml:space="preserve"> since 2009.</w:t>
      </w:r>
      <w:r w:rsidR="007E47E5" w:rsidRPr="00114157">
        <w:rPr>
          <w:bCs/>
          <w:sz w:val="20"/>
          <w:szCs w:val="20"/>
        </w:rPr>
        <w:t xml:space="preserve"> The existence of </w:t>
      </w:r>
      <w:r w:rsidR="00E138A3">
        <w:rPr>
          <w:bCs/>
          <w:sz w:val="20"/>
          <w:szCs w:val="20"/>
        </w:rPr>
        <w:t xml:space="preserve">such a </w:t>
      </w:r>
      <w:r w:rsidR="007E47E5" w:rsidRPr="00114157">
        <w:rPr>
          <w:bCs/>
          <w:sz w:val="20"/>
          <w:szCs w:val="20"/>
        </w:rPr>
        <w:t>young</w:t>
      </w:r>
      <w:r w:rsidR="00E138A3">
        <w:rPr>
          <w:bCs/>
          <w:sz w:val="20"/>
          <w:szCs w:val="20"/>
        </w:rPr>
        <w:t xml:space="preserve"> group</w:t>
      </w:r>
      <w:r w:rsidR="007E47E5" w:rsidRPr="00114157">
        <w:rPr>
          <w:bCs/>
          <w:sz w:val="20"/>
          <w:szCs w:val="20"/>
        </w:rPr>
        <w:t xml:space="preserve"> who </w:t>
      </w:r>
      <w:r w:rsidR="00E138A3">
        <w:rPr>
          <w:bCs/>
          <w:sz w:val="20"/>
          <w:szCs w:val="20"/>
        </w:rPr>
        <w:t>are already discouraged about the labor market paints a bleak picture.</w:t>
      </w:r>
      <w:r w:rsidR="007D6E2C">
        <w:rPr>
          <w:bCs/>
          <w:sz w:val="20"/>
          <w:szCs w:val="20"/>
        </w:rPr>
        <w:t xml:space="preserve"> </w:t>
      </w:r>
      <w:r w:rsidR="00AF0152" w:rsidRPr="00114157">
        <w:rPr>
          <w:bCs/>
          <w:sz w:val="20"/>
          <w:szCs w:val="20"/>
        </w:rPr>
        <w:t xml:space="preserve">The labor market </w:t>
      </w:r>
      <w:r w:rsidR="008B6BF8" w:rsidRPr="00114157">
        <w:rPr>
          <w:bCs/>
          <w:sz w:val="20"/>
          <w:szCs w:val="20"/>
        </w:rPr>
        <w:t xml:space="preserve">conditions </w:t>
      </w:r>
      <w:r w:rsidR="00AF0152" w:rsidRPr="00114157">
        <w:rPr>
          <w:bCs/>
          <w:sz w:val="20"/>
          <w:szCs w:val="20"/>
        </w:rPr>
        <w:t>for the young</w:t>
      </w:r>
      <w:r w:rsidR="008B6BF8" w:rsidRPr="00114157">
        <w:rPr>
          <w:bCs/>
          <w:sz w:val="20"/>
          <w:szCs w:val="20"/>
        </w:rPr>
        <w:t>,</w:t>
      </w:r>
      <w:r w:rsidR="00AF0152" w:rsidRPr="00114157">
        <w:rPr>
          <w:bCs/>
          <w:sz w:val="20"/>
          <w:szCs w:val="20"/>
        </w:rPr>
        <w:t xml:space="preserve"> who </w:t>
      </w:r>
      <w:r w:rsidR="007D6E2C">
        <w:rPr>
          <w:bCs/>
          <w:sz w:val="20"/>
          <w:szCs w:val="20"/>
        </w:rPr>
        <w:t>still have a long life ahead of them</w:t>
      </w:r>
      <w:r w:rsidR="008B6BF8" w:rsidRPr="00114157">
        <w:rPr>
          <w:bCs/>
          <w:sz w:val="20"/>
          <w:szCs w:val="20"/>
        </w:rPr>
        <w:t>,</w:t>
      </w:r>
      <w:r w:rsidR="00AF0152" w:rsidRPr="00114157">
        <w:rPr>
          <w:bCs/>
          <w:sz w:val="20"/>
          <w:szCs w:val="20"/>
        </w:rPr>
        <w:t xml:space="preserve"> will gradually </w:t>
      </w:r>
      <w:r w:rsidR="008B6BF8" w:rsidRPr="00114157">
        <w:rPr>
          <w:bCs/>
          <w:sz w:val="20"/>
          <w:szCs w:val="20"/>
        </w:rPr>
        <w:t>worsen because</w:t>
      </w:r>
      <w:r w:rsidR="007D6E2C">
        <w:rPr>
          <w:bCs/>
          <w:sz w:val="20"/>
          <w:szCs w:val="20"/>
        </w:rPr>
        <w:t xml:space="preserve"> of the skill biased technological change</w:t>
      </w:r>
      <w:r w:rsidR="008B6BF8" w:rsidRPr="00114157">
        <w:rPr>
          <w:bCs/>
          <w:sz w:val="20"/>
          <w:szCs w:val="20"/>
        </w:rPr>
        <w:t>.</w:t>
      </w:r>
      <w:r w:rsidR="00AF0152" w:rsidRPr="00114157">
        <w:rPr>
          <w:bCs/>
          <w:sz w:val="20"/>
          <w:szCs w:val="20"/>
        </w:rPr>
        <w:t xml:space="preserve"> </w:t>
      </w:r>
    </w:p>
    <w:p w:rsidR="008B6BF8" w:rsidRPr="00263B5B" w:rsidRDefault="00340A0E" w:rsidP="008B6BF8">
      <w:pPr>
        <w:spacing w:before="120"/>
        <w:rPr>
          <w:b/>
          <w:bCs/>
          <w:sz w:val="20"/>
          <w:szCs w:val="20"/>
        </w:rPr>
      </w:pPr>
      <w:r>
        <w:rPr>
          <w:b/>
          <w:bCs/>
          <w:sz w:val="20"/>
          <w:szCs w:val="20"/>
        </w:rPr>
        <w:t>Table 3 Education level of the discouraged workers</w:t>
      </w:r>
    </w:p>
    <w:tbl>
      <w:tblPr>
        <w:tblW w:w="9903" w:type="dxa"/>
        <w:tblInd w:w="-2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4A0"/>
      </w:tblPr>
      <w:tblGrid>
        <w:gridCol w:w="3545"/>
        <w:gridCol w:w="992"/>
        <w:gridCol w:w="1276"/>
        <w:gridCol w:w="911"/>
        <w:gridCol w:w="1059"/>
        <w:gridCol w:w="1060"/>
        <w:gridCol w:w="1060"/>
      </w:tblGrid>
      <w:tr w:rsidR="008B6BF8" w:rsidRPr="00263B5B" w:rsidTr="00C752FC">
        <w:trPr>
          <w:trHeight w:val="314"/>
        </w:trPr>
        <w:tc>
          <w:tcPr>
            <w:tcW w:w="3545" w:type="dxa"/>
            <w:shd w:val="clear" w:color="auto" w:fill="auto"/>
            <w:noWrap/>
            <w:vAlign w:val="bottom"/>
            <w:hideMark/>
          </w:tcPr>
          <w:p w:rsidR="008B6BF8" w:rsidRPr="00263B5B" w:rsidRDefault="008B6BF8" w:rsidP="00C752FC">
            <w:pPr>
              <w:spacing w:before="120"/>
              <w:jc w:val="center"/>
              <w:rPr>
                <w:bCs/>
                <w:sz w:val="20"/>
                <w:szCs w:val="20"/>
              </w:rPr>
            </w:pPr>
          </w:p>
        </w:tc>
        <w:tc>
          <w:tcPr>
            <w:tcW w:w="992" w:type="dxa"/>
            <w:shd w:val="clear" w:color="auto" w:fill="auto"/>
            <w:noWrap/>
            <w:vAlign w:val="bottom"/>
            <w:hideMark/>
          </w:tcPr>
          <w:p w:rsidR="008B6BF8" w:rsidRPr="00263B5B" w:rsidRDefault="008B6BF8" w:rsidP="00C752FC">
            <w:pPr>
              <w:spacing w:before="120"/>
              <w:jc w:val="center"/>
              <w:rPr>
                <w:b/>
                <w:bCs/>
                <w:sz w:val="20"/>
                <w:szCs w:val="20"/>
              </w:rPr>
            </w:pPr>
            <w:r>
              <w:rPr>
                <w:b/>
                <w:bCs/>
                <w:sz w:val="20"/>
                <w:szCs w:val="20"/>
              </w:rPr>
              <w:t>Female</w:t>
            </w:r>
          </w:p>
        </w:tc>
        <w:tc>
          <w:tcPr>
            <w:tcW w:w="1276" w:type="dxa"/>
            <w:shd w:val="clear" w:color="auto" w:fill="auto"/>
            <w:noWrap/>
            <w:vAlign w:val="bottom"/>
            <w:hideMark/>
          </w:tcPr>
          <w:p w:rsidR="008B6BF8" w:rsidRPr="00263B5B" w:rsidRDefault="008B6BF8" w:rsidP="00C752FC">
            <w:pPr>
              <w:spacing w:before="120"/>
              <w:jc w:val="center"/>
              <w:rPr>
                <w:b/>
                <w:bCs/>
                <w:sz w:val="20"/>
                <w:szCs w:val="20"/>
              </w:rPr>
            </w:pPr>
            <w:r>
              <w:rPr>
                <w:b/>
                <w:bCs/>
                <w:sz w:val="20"/>
                <w:szCs w:val="20"/>
              </w:rPr>
              <w:t>Female (%)</w:t>
            </w:r>
          </w:p>
        </w:tc>
        <w:tc>
          <w:tcPr>
            <w:tcW w:w="911" w:type="dxa"/>
            <w:vAlign w:val="bottom"/>
          </w:tcPr>
          <w:p w:rsidR="008B6BF8" w:rsidRPr="00263B5B" w:rsidRDefault="008B6BF8" w:rsidP="00C752FC">
            <w:pPr>
              <w:spacing w:before="120"/>
              <w:jc w:val="center"/>
              <w:rPr>
                <w:b/>
                <w:bCs/>
                <w:sz w:val="20"/>
                <w:szCs w:val="20"/>
              </w:rPr>
            </w:pPr>
            <w:r>
              <w:rPr>
                <w:b/>
                <w:bCs/>
                <w:sz w:val="20"/>
                <w:szCs w:val="20"/>
              </w:rPr>
              <w:t>Male</w:t>
            </w:r>
          </w:p>
        </w:tc>
        <w:tc>
          <w:tcPr>
            <w:tcW w:w="1059" w:type="dxa"/>
            <w:vAlign w:val="bottom"/>
          </w:tcPr>
          <w:p w:rsidR="008B6BF8" w:rsidRPr="00263B5B" w:rsidRDefault="008B6BF8" w:rsidP="00C752FC">
            <w:pPr>
              <w:spacing w:before="120"/>
              <w:jc w:val="center"/>
              <w:rPr>
                <w:b/>
                <w:bCs/>
                <w:sz w:val="20"/>
                <w:szCs w:val="20"/>
              </w:rPr>
            </w:pPr>
            <w:r>
              <w:rPr>
                <w:b/>
                <w:bCs/>
                <w:sz w:val="20"/>
                <w:szCs w:val="20"/>
              </w:rPr>
              <w:t>Male (%)</w:t>
            </w:r>
          </w:p>
        </w:tc>
        <w:tc>
          <w:tcPr>
            <w:tcW w:w="1060" w:type="dxa"/>
            <w:shd w:val="clear" w:color="auto" w:fill="auto"/>
            <w:noWrap/>
            <w:vAlign w:val="bottom"/>
            <w:hideMark/>
          </w:tcPr>
          <w:p w:rsidR="008B6BF8" w:rsidRPr="00263B5B" w:rsidRDefault="008B6BF8" w:rsidP="00C752FC">
            <w:pPr>
              <w:spacing w:before="120"/>
              <w:jc w:val="center"/>
              <w:rPr>
                <w:b/>
                <w:bCs/>
                <w:sz w:val="20"/>
                <w:szCs w:val="20"/>
              </w:rPr>
            </w:pPr>
            <w:r w:rsidRPr="00263B5B">
              <w:rPr>
                <w:b/>
                <w:bCs/>
                <w:sz w:val="20"/>
                <w:szCs w:val="20"/>
              </w:rPr>
              <w:t>Total</w:t>
            </w:r>
          </w:p>
        </w:tc>
        <w:tc>
          <w:tcPr>
            <w:tcW w:w="1060" w:type="dxa"/>
            <w:shd w:val="clear" w:color="auto" w:fill="auto"/>
            <w:noWrap/>
            <w:vAlign w:val="bottom"/>
            <w:hideMark/>
          </w:tcPr>
          <w:p w:rsidR="008B6BF8" w:rsidRPr="00263B5B" w:rsidRDefault="008B6BF8" w:rsidP="00C752FC">
            <w:pPr>
              <w:spacing w:before="120"/>
              <w:jc w:val="center"/>
              <w:rPr>
                <w:b/>
                <w:bCs/>
                <w:sz w:val="20"/>
                <w:szCs w:val="20"/>
              </w:rPr>
            </w:pPr>
            <w:r w:rsidRPr="00263B5B">
              <w:rPr>
                <w:b/>
                <w:bCs/>
                <w:sz w:val="20"/>
                <w:szCs w:val="20"/>
              </w:rPr>
              <w:t>Total</w:t>
            </w:r>
            <w:r>
              <w:rPr>
                <w:b/>
                <w:bCs/>
                <w:sz w:val="20"/>
                <w:szCs w:val="20"/>
              </w:rPr>
              <w:t xml:space="preserve"> </w:t>
            </w:r>
            <w:r w:rsidRPr="00263B5B">
              <w:rPr>
                <w:b/>
                <w:bCs/>
                <w:sz w:val="20"/>
                <w:szCs w:val="20"/>
              </w:rPr>
              <w:t>(%)</w:t>
            </w:r>
          </w:p>
        </w:tc>
      </w:tr>
      <w:tr w:rsidR="008B6BF8" w:rsidRPr="00263B5B" w:rsidTr="00C752FC">
        <w:trPr>
          <w:trHeight w:val="314"/>
        </w:trPr>
        <w:tc>
          <w:tcPr>
            <w:tcW w:w="3545" w:type="dxa"/>
            <w:shd w:val="clear" w:color="auto" w:fill="auto"/>
            <w:noWrap/>
            <w:vAlign w:val="bottom"/>
            <w:hideMark/>
          </w:tcPr>
          <w:p w:rsidR="008B6BF8" w:rsidRPr="00263B5B" w:rsidRDefault="008B6BF8" w:rsidP="00114157">
            <w:pPr>
              <w:spacing w:before="120"/>
              <w:rPr>
                <w:b/>
                <w:bCs/>
                <w:sz w:val="20"/>
                <w:szCs w:val="20"/>
              </w:rPr>
            </w:pPr>
            <w:r w:rsidRPr="00263B5B">
              <w:rPr>
                <w:b/>
                <w:bCs/>
                <w:sz w:val="20"/>
                <w:szCs w:val="20"/>
              </w:rPr>
              <w:t>Not graduated from any school</w:t>
            </w:r>
          </w:p>
        </w:tc>
        <w:tc>
          <w:tcPr>
            <w:tcW w:w="992"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4,841</w:t>
            </w:r>
          </w:p>
        </w:tc>
        <w:tc>
          <w:tcPr>
            <w:tcW w:w="1276"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21.5</w:t>
            </w:r>
          </w:p>
        </w:tc>
        <w:tc>
          <w:tcPr>
            <w:tcW w:w="911" w:type="dxa"/>
            <w:vAlign w:val="bottom"/>
          </w:tcPr>
          <w:p w:rsidR="008B6BF8" w:rsidRPr="00263B5B" w:rsidRDefault="008B6BF8" w:rsidP="00C752FC">
            <w:pPr>
              <w:spacing w:before="120"/>
              <w:jc w:val="center"/>
              <w:rPr>
                <w:sz w:val="20"/>
                <w:szCs w:val="20"/>
              </w:rPr>
            </w:pPr>
            <w:r w:rsidRPr="00263B5B">
              <w:rPr>
                <w:sz w:val="20"/>
                <w:szCs w:val="20"/>
              </w:rPr>
              <w:t>22,813</w:t>
            </w:r>
          </w:p>
        </w:tc>
        <w:tc>
          <w:tcPr>
            <w:tcW w:w="1059" w:type="dxa"/>
            <w:vAlign w:val="bottom"/>
          </w:tcPr>
          <w:p w:rsidR="008B6BF8" w:rsidRPr="00263B5B" w:rsidRDefault="008B6BF8" w:rsidP="00C752FC">
            <w:pPr>
              <w:spacing w:before="120"/>
              <w:jc w:val="center"/>
              <w:rPr>
                <w:sz w:val="20"/>
                <w:szCs w:val="20"/>
              </w:rPr>
            </w:pPr>
            <w:r w:rsidRPr="00263B5B">
              <w:rPr>
                <w:sz w:val="20"/>
                <w:szCs w:val="20"/>
              </w:rPr>
              <w:t>22.2</w:t>
            </w:r>
          </w:p>
        </w:tc>
        <w:tc>
          <w:tcPr>
            <w:tcW w:w="1060"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27,654</w:t>
            </w:r>
          </w:p>
        </w:tc>
        <w:tc>
          <w:tcPr>
            <w:tcW w:w="1060"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22.1</w:t>
            </w:r>
          </w:p>
        </w:tc>
      </w:tr>
      <w:tr w:rsidR="008B6BF8" w:rsidRPr="00263B5B" w:rsidTr="00C752FC">
        <w:trPr>
          <w:trHeight w:val="314"/>
        </w:trPr>
        <w:tc>
          <w:tcPr>
            <w:tcW w:w="3545" w:type="dxa"/>
            <w:shd w:val="clear" w:color="auto" w:fill="auto"/>
            <w:noWrap/>
            <w:vAlign w:val="bottom"/>
            <w:hideMark/>
          </w:tcPr>
          <w:p w:rsidR="008B6BF8" w:rsidRPr="00263B5B" w:rsidRDefault="008B6BF8" w:rsidP="00114157">
            <w:pPr>
              <w:spacing w:before="120"/>
              <w:rPr>
                <w:b/>
                <w:bCs/>
                <w:sz w:val="20"/>
                <w:szCs w:val="20"/>
              </w:rPr>
            </w:pPr>
            <w:r w:rsidRPr="00263B5B">
              <w:rPr>
                <w:b/>
                <w:bCs/>
                <w:sz w:val="20"/>
                <w:szCs w:val="20"/>
              </w:rPr>
              <w:t>Primary school</w:t>
            </w:r>
          </w:p>
        </w:tc>
        <w:tc>
          <w:tcPr>
            <w:tcW w:w="992"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13,730</w:t>
            </w:r>
          </w:p>
        </w:tc>
        <w:tc>
          <w:tcPr>
            <w:tcW w:w="1276"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61.1</w:t>
            </w:r>
          </w:p>
        </w:tc>
        <w:tc>
          <w:tcPr>
            <w:tcW w:w="911" w:type="dxa"/>
            <w:vAlign w:val="bottom"/>
          </w:tcPr>
          <w:p w:rsidR="008B6BF8" w:rsidRPr="00263B5B" w:rsidRDefault="008B6BF8" w:rsidP="00C752FC">
            <w:pPr>
              <w:spacing w:before="120"/>
              <w:jc w:val="center"/>
              <w:rPr>
                <w:sz w:val="20"/>
                <w:szCs w:val="20"/>
              </w:rPr>
            </w:pPr>
            <w:r w:rsidRPr="00263B5B">
              <w:rPr>
                <w:sz w:val="20"/>
                <w:szCs w:val="20"/>
              </w:rPr>
              <w:t>72,581</w:t>
            </w:r>
          </w:p>
        </w:tc>
        <w:tc>
          <w:tcPr>
            <w:tcW w:w="1059" w:type="dxa"/>
            <w:vAlign w:val="bottom"/>
          </w:tcPr>
          <w:p w:rsidR="008B6BF8" w:rsidRPr="00263B5B" w:rsidRDefault="008B6BF8" w:rsidP="00C752FC">
            <w:pPr>
              <w:spacing w:before="120"/>
              <w:jc w:val="center"/>
              <w:rPr>
                <w:sz w:val="20"/>
                <w:szCs w:val="20"/>
              </w:rPr>
            </w:pPr>
            <w:r w:rsidRPr="00263B5B">
              <w:rPr>
                <w:sz w:val="20"/>
                <w:szCs w:val="20"/>
              </w:rPr>
              <w:t>70.5</w:t>
            </w:r>
          </w:p>
        </w:tc>
        <w:tc>
          <w:tcPr>
            <w:tcW w:w="1060"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86,311</w:t>
            </w:r>
          </w:p>
        </w:tc>
        <w:tc>
          <w:tcPr>
            <w:tcW w:w="1060"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68.8</w:t>
            </w:r>
          </w:p>
        </w:tc>
      </w:tr>
      <w:tr w:rsidR="008B6BF8" w:rsidRPr="00263B5B" w:rsidTr="00C752FC">
        <w:trPr>
          <w:trHeight w:val="314"/>
        </w:trPr>
        <w:tc>
          <w:tcPr>
            <w:tcW w:w="3545" w:type="dxa"/>
            <w:shd w:val="clear" w:color="auto" w:fill="auto"/>
            <w:noWrap/>
            <w:vAlign w:val="bottom"/>
            <w:hideMark/>
          </w:tcPr>
          <w:p w:rsidR="008B6BF8" w:rsidRPr="00263B5B" w:rsidRDefault="008B6BF8" w:rsidP="00114157">
            <w:pPr>
              <w:spacing w:before="120"/>
              <w:rPr>
                <w:b/>
                <w:bCs/>
                <w:sz w:val="20"/>
                <w:szCs w:val="20"/>
              </w:rPr>
            </w:pPr>
            <w:r w:rsidRPr="00263B5B">
              <w:rPr>
                <w:b/>
                <w:bCs/>
                <w:sz w:val="20"/>
                <w:szCs w:val="20"/>
              </w:rPr>
              <w:t>General high school</w:t>
            </w:r>
          </w:p>
        </w:tc>
        <w:tc>
          <w:tcPr>
            <w:tcW w:w="992"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1,594</w:t>
            </w:r>
          </w:p>
        </w:tc>
        <w:tc>
          <w:tcPr>
            <w:tcW w:w="1276"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7.01</w:t>
            </w:r>
          </w:p>
        </w:tc>
        <w:tc>
          <w:tcPr>
            <w:tcW w:w="911" w:type="dxa"/>
            <w:vAlign w:val="bottom"/>
          </w:tcPr>
          <w:p w:rsidR="008B6BF8" w:rsidRPr="00263B5B" w:rsidRDefault="008B6BF8" w:rsidP="00C752FC">
            <w:pPr>
              <w:spacing w:before="120"/>
              <w:jc w:val="center"/>
              <w:rPr>
                <w:sz w:val="20"/>
                <w:szCs w:val="20"/>
              </w:rPr>
            </w:pPr>
            <w:r w:rsidRPr="00263B5B">
              <w:rPr>
                <w:sz w:val="20"/>
                <w:szCs w:val="20"/>
              </w:rPr>
              <w:t>5,657</w:t>
            </w:r>
          </w:p>
        </w:tc>
        <w:tc>
          <w:tcPr>
            <w:tcW w:w="1059" w:type="dxa"/>
            <w:vAlign w:val="bottom"/>
          </w:tcPr>
          <w:p w:rsidR="008B6BF8" w:rsidRPr="00263B5B" w:rsidRDefault="008B6BF8" w:rsidP="00C752FC">
            <w:pPr>
              <w:spacing w:before="120"/>
              <w:jc w:val="center"/>
              <w:rPr>
                <w:sz w:val="20"/>
                <w:szCs w:val="20"/>
              </w:rPr>
            </w:pPr>
            <w:r w:rsidRPr="00263B5B">
              <w:rPr>
                <w:sz w:val="20"/>
                <w:szCs w:val="20"/>
              </w:rPr>
              <w:t>5.5</w:t>
            </w:r>
          </w:p>
        </w:tc>
        <w:tc>
          <w:tcPr>
            <w:tcW w:w="1060"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7,251</w:t>
            </w:r>
          </w:p>
        </w:tc>
        <w:tc>
          <w:tcPr>
            <w:tcW w:w="1060"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5.8</w:t>
            </w:r>
          </w:p>
        </w:tc>
      </w:tr>
      <w:tr w:rsidR="008B6BF8" w:rsidRPr="00263B5B" w:rsidTr="00C752FC">
        <w:trPr>
          <w:trHeight w:val="314"/>
        </w:trPr>
        <w:tc>
          <w:tcPr>
            <w:tcW w:w="3545" w:type="dxa"/>
            <w:shd w:val="clear" w:color="auto" w:fill="auto"/>
            <w:noWrap/>
            <w:vAlign w:val="bottom"/>
            <w:hideMark/>
          </w:tcPr>
          <w:p w:rsidR="008B6BF8" w:rsidRPr="00263B5B" w:rsidRDefault="008B6BF8" w:rsidP="00114157">
            <w:pPr>
              <w:spacing w:before="120"/>
              <w:rPr>
                <w:b/>
                <w:bCs/>
                <w:sz w:val="20"/>
                <w:szCs w:val="20"/>
              </w:rPr>
            </w:pPr>
            <w:r w:rsidRPr="00263B5B">
              <w:rPr>
                <w:b/>
                <w:bCs/>
                <w:sz w:val="20"/>
                <w:szCs w:val="20"/>
              </w:rPr>
              <w:t>Vocational or technical high school</w:t>
            </w:r>
          </w:p>
        </w:tc>
        <w:tc>
          <w:tcPr>
            <w:tcW w:w="992"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2,318</w:t>
            </w:r>
          </w:p>
        </w:tc>
        <w:tc>
          <w:tcPr>
            <w:tcW w:w="1276"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10.3</w:t>
            </w:r>
          </w:p>
        </w:tc>
        <w:tc>
          <w:tcPr>
            <w:tcW w:w="911" w:type="dxa"/>
            <w:vAlign w:val="bottom"/>
          </w:tcPr>
          <w:p w:rsidR="008B6BF8" w:rsidRPr="00263B5B" w:rsidRDefault="008B6BF8" w:rsidP="00C752FC">
            <w:pPr>
              <w:spacing w:before="120"/>
              <w:jc w:val="center"/>
              <w:rPr>
                <w:sz w:val="20"/>
                <w:szCs w:val="20"/>
              </w:rPr>
            </w:pPr>
            <w:r w:rsidRPr="00263B5B">
              <w:rPr>
                <w:sz w:val="20"/>
                <w:szCs w:val="20"/>
              </w:rPr>
              <w:t>1,866</w:t>
            </w:r>
          </w:p>
        </w:tc>
        <w:tc>
          <w:tcPr>
            <w:tcW w:w="1059" w:type="dxa"/>
            <w:vAlign w:val="bottom"/>
          </w:tcPr>
          <w:p w:rsidR="008B6BF8" w:rsidRPr="00263B5B" w:rsidRDefault="008B6BF8" w:rsidP="00C752FC">
            <w:pPr>
              <w:spacing w:before="120"/>
              <w:jc w:val="center"/>
              <w:rPr>
                <w:sz w:val="20"/>
                <w:szCs w:val="20"/>
              </w:rPr>
            </w:pPr>
            <w:r w:rsidRPr="00263B5B">
              <w:rPr>
                <w:sz w:val="20"/>
                <w:szCs w:val="20"/>
              </w:rPr>
              <w:t>1.8</w:t>
            </w:r>
          </w:p>
        </w:tc>
        <w:tc>
          <w:tcPr>
            <w:tcW w:w="1060"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4,183</w:t>
            </w:r>
          </w:p>
        </w:tc>
        <w:tc>
          <w:tcPr>
            <w:tcW w:w="1060"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3.3</w:t>
            </w:r>
          </w:p>
        </w:tc>
      </w:tr>
      <w:tr w:rsidR="008B6BF8" w:rsidRPr="00263B5B" w:rsidTr="00C752FC">
        <w:trPr>
          <w:trHeight w:val="314"/>
        </w:trPr>
        <w:tc>
          <w:tcPr>
            <w:tcW w:w="3545" w:type="dxa"/>
            <w:shd w:val="clear" w:color="auto" w:fill="auto"/>
            <w:noWrap/>
            <w:vAlign w:val="bottom"/>
            <w:hideMark/>
          </w:tcPr>
          <w:p w:rsidR="008B6BF8" w:rsidRPr="00263B5B" w:rsidRDefault="008B6BF8" w:rsidP="00114157">
            <w:pPr>
              <w:spacing w:before="120"/>
              <w:rPr>
                <w:b/>
                <w:bCs/>
                <w:sz w:val="20"/>
                <w:szCs w:val="20"/>
              </w:rPr>
            </w:pPr>
            <w:r w:rsidRPr="00263B5B">
              <w:rPr>
                <w:b/>
                <w:bCs/>
                <w:sz w:val="20"/>
                <w:szCs w:val="20"/>
              </w:rPr>
              <w:t>Higher education</w:t>
            </w:r>
          </w:p>
        </w:tc>
        <w:tc>
          <w:tcPr>
            <w:tcW w:w="992"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22,483</w:t>
            </w:r>
          </w:p>
        </w:tc>
        <w:tc>
          <w:tcPr>
            <w:tcW w:w="1276"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100</w:t>
            </w:r>
          </w:p>
        </w:tc>
        <w:tc>
          <w:tcPr>
            <w:tcW w:w="911" w:type="dxa"/>
            <w:vAlign w:val="bottom"/>
          </w:tcPr>
          <w:p w:rsidR="008B6BF8" w:rsidRPr="00263B5B" w:rsidRDefault="008B6BF8" w:rsidP="00C752FC">
            <w:pPr>
              <w:spacing w:before="120"/>
              <w:jc w:val="center"/>
              <w:rPr>
                <w:sz w:val="20"/>
                <w:szCs w:val="20"/>
              </w:rPr>
            </w:pPr>
            <w:r w:rsidRPr="00263B5B">
              <w:rPr>
                <w:sz w:val="20"/>
                <w:szCs w:val="20"/>
              </w:rPr>
              <w:t>102,916</w:t>
            </w:r>
          </w:p>
        </w:tc>
        <w:tc>
          <w:tcPr>
            <w:tcW w:w="1059" w:type="dxa"/>
            <w:vAlign w:val="bottom"/>
          </w:tcPr>
          <w:p w:rsidR="008B6BF8" w:rsidRPr="00263B5B" w:rsidRDefault="008B6BF8" w:rsidP="00C752FC">
            <w:pPr>
              <w:spacing w:before="120"/>
              <w:jc w:val="center"/>
              <w:rPr>
                <w:sz w:val="20"/>
                <w:szCs w:val="20"/>
              </w:rPr>
            </w:pPr>
            <w:r w:rsidRPr="00263B5B">
              <w:rPr>
                <w:sz w:val="20"/>
                <w:szCs w:val="20"/>
              </w:rPr>
              <w:t>100</w:t>
            </w:r>
          </w:p>
        </w:tc>
        <w:tc>
          <w:tcPr>
            <w:tcW w:w="1060"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125,399</w:t>
            </w:r>
          </w:p>
        </w:tc>
        <w:tc>
          <w:tcPr>
            <w:tcW w:w="1060" w:type="dxa"/>
            <w:shd w:val="clear" w:color="auto" w:fill="auto"/>
            <w:noWrap/>
            <w:vAlign w:val="bottom"/>
            <w:hideMark/>
          </w:tcPr>
          <w:p w:rsidR="008B6BF8" w:rsidRPr="00263B5B" w:rsidRDefault="008B6BF8" w:rsidP="00C752FC">
            <w:pPr>
              <w:spacing w:before="120"/>
              <w:jc w:val="center"/>
              <w:rPr>
                <w:sz w:val="20"/>
                <w:szCs w:val="20"/>
              </w:rPr>
            </w:pPr>
            <w:r w:rsidRPr="00263B5B">
              <w:rPr>
                <w:sz w:val="20"/>
                <w:szCs w:val="20"/>
              </w:rPr>
              <w:t>100</w:t>
            </w:r>
          </w:p>
        </w:tc>
      </w:tr>
    </w:tbl>
    <w:p w:rsidR="008B6BF8" w:rsidRPr="00263B5B" w:rsidRDefault="008B6BF8" w:rsidP="008B6BF8">
      <w:pPr>
        <w:spacing w:before="120"/>
      </w:pPr>
      <w:r w:rsidRPr="00263B5B">
        <w:t>Source: HLFS 2012. TURKSTAT; Betam</w:t>
      </w:r>
    </w:p>
    <w:p w:rsidR="008B6BF8" w:rsidRDefault="008B6BF8" w:rsidP="00A63533">
      <w:pPr>
        <w:spacing w:before="120"/>
        <w:rPr>
          <w:bCs/>
          <w:sz w:val="22"/>
          <w:szCs w:val="22"/>
        </w:rPr>
      </w:pPr>
    </w:p>
    <w:p w:rsidR="00C069F9" w:rsidRPr="008B6BF8" w:rsidRDefault="008B6BF8" w:rsidP="00A63533">
      <w:pPr>
        <w:spacing w:before="120"/>
        <w:rPr>
          <w:b/>
          <w:bCs/>
          <w:sz w:val="22"/>
          <w:szCs w:val="22"/>
        </w:rPr>
      </w:pPr>
      <w:r w:rsidRPr="008B6BF8">
        <w:rPr>
          <w:b/>
          <w:bCs/>
          <w:sz w:val="22"/>
          <w:szCs w:val="22"/>
        </w:rPr>
        <w:t xml:space="preserve">Low </w:t>
      </w:r>
      <w:r w:rsidR="00597547">
        <w:rPr>
          <w:b/>
          <w:bCs/>
          <w:sz w:val="22"/>
          <w:szCs w:val="22"/>
        </w:rPr>
        <w:t>levels of education among the youth</w:t>
      </w:r>
      <w:r w:rsidRPr="008B6BF8">
        <w:rPr>
          <w:b/>
          <w:bCs/>
          <w:sz w:val="22"/>
          <w:szCs w:val="22"/>
        </w:rPr>
        <w:t xml:space="preserve"> </w:t>
      </w:r>
      <w:r w:rsidR="002D741D">
        <w:rPr>
          <w:b/>
          <w:bCs/>
          <w:sz w:val="22"/>
          <w:szCs w:val="22"/>
        </w:rPr>
        <w:t>point to</w:t>
      </w:r>
      <w:r w:rsidR="00597547">
        <w:rPr>
          <w:b/>
          <w:bCs/>
          <w:sz w:val="22"/>
          <w:szCs w:val="22"/>
        </w:rPr>
        <w:t xml:space="preserve"> an immense</w:t>
      </w:r>
      <w:r w:rsidRPr="008B6BF8">
        <w:rPr>
          <w:b/>
          <w:bCs/>
          <w:sz w:val="22"/>
          <w:szCs w:val="22"/>
        </w:rPr>
        <w:t xml:space="preserve"> weakness</w:t>
      </w:r>
    </w:p>
    <w:p w:rsidR="008B6BF8" w:rsidRPr="00114157" w:rsidRDefault="00622C00" w:rsidP="00A63533">
      <w:pPr>
        <w:spacing w:before="120"/>
        <w:rPr>
          <w:bCs/>
          <w:sz w:val="20"/>
          <w:szCs w:val="20"/>
        </w:rPr>
      </w:pPr>
      <w:r>
        <w:rPr>
          <w:bCs/>
          <w:sz w:val="20"/>
          <w:szCs w:val="20"/>
        </w:rPr>
        <w:t xml:space="preserve">The youth </w:t>
      </w:r>
      <w:r w:rsidR="0024474B" w:rsidRPr="00114157">
        <w:rPr>
          <w:bCs/>
          <w:sz w:val="20"/>
          <w:szCs w:val="20"/>
        </w:rPr>
        <w:t>in Turkey have lower enrol</w:t>
      </w:r>
      <w:r>
        <w:rPr>
          <w:bCs/>
          <w:sz w:val="20"/>
          <w:szCs w:val="20"/>
        </w:rPr>
        <w:t>l</w:t>
      </w:r>
      <w:r w:rsidR="0024474B" w:rsidRPr="00114157">
        <w:rPr>
          <w:bCs/>
          <w:sz w:val="20"/>
          <w:szCs w:val="20"/>
        </w:rPr>
        <w:t xml:space="preserve">ment ratios than their peers in other countries. Even </w:t>
      </w:r>
      <w:r w:rsidR="00FB0E1F">
        <w:rPr>
          <w:bCs/>
          <w:sz w:val="20"/>
          <w:szCs w:val="20"/>
        </w:rPr>
        <w:t>though there</w:t>
      </w:r>
      <w:r w:rsidR="0024474B" w:rsidRPr="00114157">
        <w:rPr>
          <w:bCs/>
          <w:sz w:val="20"/>
          <w:szCs w:val="20"/>
        </w:rPr>
        <w:t xml:space="preserve"> has been some improvement since 2009; </w:t>
      </w:r>
      <w:r w:rsidR="00FB0E1F">
        <w:rPr>
          <w:bCs/>
          <w:sz w:val="20"/>
          <w:szCs w:val="20"/>
        </w:rPr>
        <w:t>more effort is needed</w:t>
      </w:r>
      <w:r w:rsidR="0024474B" w:rsidRPr="00114157">
        <w:rPr>
          <w:bCs/>
          <w:sz w:val="20"/>
          <w:szCs w:val="20"/>
        </w:rPr>
        <w:t xml:space="preserve"> to narrow this gap. </w:t>
      </w:r>
      <w:r w:rsidR="00433F94">
        <w:rPr>
          <w:bCs/>
          <w:sz w:val="20"/>
          <w:szCs w:val="20"/>
        </w:rPr>
        <w:t>Data shows that the average education level of the working age population will not increase rapidly enough in the upcoming years. Low education levels constitute</w:t>
      </w:r>
      <w:r w:rsidR="00C648E2" w:rsidRPr="00114157">
        <w:rPr>
          <w:bCs/>
          <w:sz w:val="20"/>
          <w:szCs w:val="20"/>
        </w:rPr>
        <w:t xml:space="preserve"> a significant weakness in terms of rapid economic develop</w:t>
      </w:r>
      <w:r w:rsidR="00433F94">
        <w:rPr>
          <w:bCs/>
          <w:sz w:val="20"/>
          <w:szCs w:val="20"/>
        </w:rPr>
        <w:t>ment as the increases in labor productivity will stay relatively modest and</w:t>
      </w:r>
      <w:r w:rsidR="00C648E2" w:rsidRPr="00114157">
        <w:rPr>
          <w:bCs/>
          <w:sz w:val="20"/>
          <w:szCs w:val="20"/>
        </w:rPr>
        <w:t xml:space="preserve"> </w:t>
      </w:r>
      <w:r w:rsidR="00433F94">
        <w:rPr>
          <w:bCs/>
          <w:sz w:val="20"/>
          <w:szCs w:val="20"/>
        </w:rPr>
        <w:t>will negatively affect the growth rates</w:t>
      </w:r>
      <w:r w:rsidR="00C648E2" w:rsidRPr="00114157">
        <w:rPr>
          <w:bCs/>
          <w:sz w:val="20"/>
          <w:szCs w:val="20"/>
        </w:rPr>
        <w:t>.</w:t>
      </w:r>
    </w:p>
    <w:p w:rsidR="00263B5B" w:rsidRPr="00114157" w:rsidRDefault="00C648E2" w:rsidP="009B3D41">
      <w:pPr>
        <w:spacing w:before="120"/>
        <w:rPr>
          <w:bCs/>
          <w:sz w:val="20"/>
          <w:szCs w:val="20"/>
        </w:rPr>
      </w:pPr>
      <w:r w:rsidRPr="00114157">
        <w:rPr>
          <w:bCs/>
          <w:sz w:val="20"/>
          <w:szCs w:val="20"/>
        </w:rPr>
        <w:t xml:space="preserve">Furthermore, there are 1.4 million young in the age group 15-19 </w:t>
      </w:r>
      <w:r w:rsidR="004257C4">
        <w:rPr>
          <w:bCs/>
          <w:sz w:val="20"/>
          <w:szCs w:val="20"/>
        </w:rPr>
        <w:t>who are neither enrolled nor in the labor market</w:t>
      </w:r>
      <w:r w:rsidRPr="00114157">
        <w:rPr>
          <w:bCs/>
          <w:sz w:val="20"/>
          <w:szCs w:val="20"/>
        </w:rPr>
        <w:t xml:space="preserve">. There </w:t>
      </w:r>
      <w:r w:rsidR="00956602" w:rsidRPr="00114157">
        <w:rPr>
          <w:bCs/>
          <w:sz w:val="20"/>
          <w:szCs w:val="20"/>
        </w:rPr>
        <w:t>has not been</w:t>
      </w:r>
      <w:r w:rsidRPr="00114157">
        <w:rPr>
          <w:bCs/>
          <w:sz w:val="20"/>
          <w:szCs w:val="20"/>
        </w:rPr>
        <w:t xml:space="preserve"> any change in th</w:t>
      </w:r>
      <w:r w:rsidR="00956602" w:rsidRPr="00114157">
        <w:rPr>
          <w:bCs/>
          <w:sz w:val="20"/>
          <w:szCs w:val="20"/>
        </w:rPr>
        <w:t xml:space="preserve">e number of </w:t>
      </w:r>
      <w:r w:rsidR="00A8747C">
        <w:rPr>
          <w:bCs/>
          <w:sz w:val="20"/>
          <w:szCs w:val="20"/>
        </w:rPr>
        <w:t>idle youth</w:t>
      </w:r>
      <w:r w:rsidR="00956602" w:rsidRPr="00114157">
        <w:rPr>
          <w:bCs/>
          <w:sz w:val="20"/>
          <w:szCs w:val="20"/>
        </w:rPr>
        <w:t xml:space="preserve"> since 2009. In other words, Turkey could </w:t>
      </w:r>
      <w:r w:rsidR="001C3631">
        <w:rPr>
          <w:bCs/>
          <w:sz w:val="20"/>
          <w:szCs w:val="20"/>
        </w:rPr>
        <w:t>not develop the essential policies</w:t>
      </w:r>
      <w:r w:rsidR="00956602" w:rsidRPr="00114157">
        <w:rPr>
          <w:bCs/>
          <w:sz w:val="20"/>
          <w:szCs w:val="20"/>
        </w:rPr>
        <w:t xml:space="preserve"> </w:t>
      </w:r>
      <w:r w:rsidR="001C3631">
        <w:rPr>
          <w:bCs/>
          <w:sz w:val="20"/>
          <w:szCs w:val="20"/>
        </w:rPr>
        <w:t>to include the idle youth in education</w:t>
      </w:r>
      <w:r w:rsidR="00956602" w:rsidRPr="00114157">
        <w:rPr>
          <w:bCs/>
          <w:sz w:val="20"/>
          <w:szCs w:val="20"/>
        </w:rPr>
        <w:t xml:space="preserve"> or economic life.</w:t>
      </w:r>
      <w:r w:rsidR="00027F2E" w:rsidRPr="00114157">
        <w:rPr>
          <w:bCs/>
          <w:sz w:val="20"/>
          <w:szCs w:val="20"/>
        </w:rPr>
        <w:t xml:space="preserve"> </w:t>
      </w:r>
      <w:r w:rsidR="009B3D41">
        <w:rPr>
          <w:bCs/>
          <w:sz w:val="20"/>
          <w:szCs w:val="20"/>
        </w:rPr>
        <w:t xml:space="preserve">Given that they are already out of education and out of the labor market, it will be increasingly more difficult to break from a vicious circle as they get older. Therefore, it is essential to integrate the youth in the economic sphere before it is too late. </w:t>
      </w:r>
    </w:p>
    <w:p w:rsidR="00114157" w:rsidRDefault="00114157">
      <w:pPr>
        <w:suppressAutoHyphens w:val="0"/>
        <w:spacing w:after="200" w:line="276" w:lineRule="auto"/>
        <w:rPr>
          <w:bCs/>
          <w:sz w:val="22"/>
          <w:szCs w:val="22"/>
        </w:rPr>
      </w:pPr>
      <w:r>
        <w:rPr>
          <w:bCs/>
          <w:sz w:val="22"/>
          <w:szCs w:val="22"/>
        </w:rPr>
        <w:br w:type="page"/>
      </w:r>
    </w:p>
    <w:p w:rsidR="00764816" w:rsidRPr="00263B5B" w:rsidRDefault="00764816" w:rsidP="00A63533">
      <w:pPr>
        <w:spacing w:before="120"/>
        <w:rPr>
          <w:bCs/>
          <w:sz w:val="22"/>
          <w:szCs w:val="22"/>
        </w:rPr>
      </w:pPr>
    </w:p>
    <w:p w:rsidR="00B66433" w:rsidRPr="00263B5B" w:rsidRDefault="00B66433" w:rsidP="00B66433">
      <w:pPr>
        <w:spacing w:before="120"/>
        <w:rPr>
          <w:b/>
          <w:bCs/>
          <w:sz w:val="20"/>
          <w:szCs w:val="20"/>
        </w:rPr>
      </w:pPr>
      <w:r w:rsidRPr="00263B5B">
        <w:rPr>
          <w:b/>
          <w:bCs/>
          <w:sz w:val="20"/>
          <w:szCs w:val="20"/>
        </w:rPr>
        <w:t xml:space="preserve">Additional Table 1 </w:t>
      </w:r>
      <w:r w:rsidR="000F6ABD">
        <w:rPr>
          <w:b/>
          <w:bCs/>
          <w:sz w:val="20"/>
          <w:szCs w:val="20"/>
        </w:rPr>
        <w:t>Education levels of those who are not enrolled in school, but who are in training</w:t>
      </w:r>
      <w:r w:rsidRPr="00263B5B">
        <w:rPr>
          <w:b/>
          <w:bCs/>
          <w:sz w:val="20"/>
          <w:szCs w:val="20"/>
        </w:rPr>
        <w:t xml:space="preserve"> </w:t>
      </w:r>
    </w:p>
    <w:tbl>
      <w:tblPr>
        <w:tblW w:w="7103" w:type="dxa"/>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4A0"/>
      </w:tblPr>
      <w:tblGrid>
        <w:gridCol w:w="3843"/>
        <w:gridCol w:w="1346"/>
        <w:gridCol w:w="1914"/>
      </w:tblGrid>
      <w:tr w:rsidR="00B66433" w:rsidRPr="00263B5B" w:rsidTr="00B66433">
        <w:trPr>
          <w:trHeight w:val="300"/>
        </w:trPr>
        <w:tc>
          <w:tcPr>
            <w:tcW w:w="3843" w:type="dxa"/>
            <w:shd w:val="clear" w:color="auto" w:fill="auto"/>
            <w:noWrap/>
            <w:vAlign w:val="bottom"/>
            <w:hideMark/>
          </w:tcPr>
          <w:p w:rsidR="00B66433" w:rsidRPr="00263B5B" w:rsidRDefault="00B66433" w:rsidP="003E4F18">
            <w:pPr>
              <w:spacing w:before="120"/>
              <w:jc w:val="center"/>
              <w:rPr>
                <w:sz w:val="20"/>
                <w:szCs w:val="20"/>
              </w:rPr>
            </w:pPr>
            <w:r w:rsidRPr="00263B5B">
              <w:rPr>
                <w:sz w:val="20"/>
                <w:szCs w:val="20"/>
              </w:rPr>
              <w:t> </w:t>
            </w:r>
          </w:p>
        </w:tc>
        <w:tc>
          <w:tcPr>
            <w:tcW w:w="1346" w:type="dxa"/>
            <w:shd w:val="clear" w:color="auto" w:fill="auto"/>
            <w:noWrap/>
            <w:vAlign w:val="bottom"/>
            <w:hideMark/>
          </w:tcPr>
          <w:p w:rsidR="00B66433" w:rsidRPr="00263B5B" w:rsidRDefault="00B66433" w:rsidP="003E4F18">
            <w:pPr>
              <w:spacing w:before="120"/>
              <w:jc w:val="center"/>
              <w:rPr>
                <w:b/>
                <w:bCs/>
                <w:sz w:val="20"/>
                <w:szCs w:val="20"/>
              </w:rPr>
            </w:pPr>
            <w:r w:rsidRPr="00263B5B">
              <w:rPr>
                <w:b/>
                <w:bCs/>
                <w:sz w:val="20"/>
                <w:szCs w:val="20"/>
              </w:rPr>
              <w:t>Trainee</w:t>
            </w:r>
          </w:p>
        </w:tc>
        <w:tc>
          <w:tcPr>
            <w:tcW w:w="1914" w:type="dxa"/>
            <w:shd w:val="clear" w:color="auto" w:fill="auto"/>
            <w:noWrap/>
            <w:vAlign w:val="bottom"/>
            <w:hideMark/>
          </w:tcPr>
          <w:p w:rsidR="00B66433" w:rsidRPr="00263B5B" w:rsidRDefault="00B66433" w:rsidP="00B66433">
            <w:pPr>
              <w:spacing w:before="120"/>
              <w:jc w:val="center"/>
              <w:rPr>
                <w:b/>
                <w:bCs/>
                <w:sz w:val="20"/>
                <w:szCs w:val="20"/>
              </w:rPr>
            </w:pPr>
            <w:r w:rsidRPr="00263B5B">
              <w:rPr>
                <w:b/>
                <w:bCs/>
                <w:sz w:val="20"/>
                <w:szCs w:val="20"/>
              </w:rPr>
              <w:t>(%)Trainee</w:t>
            </w:r>
          </w:p>
        </w:tc>
      </w:tr>
      <w:tr w:rsidR="00B66433" w:rsidRPr="00263B5B" w:rsidTr="00B66433">
        <w:trPr>
          <w:trHeight w:val="300"/>
        </w:trPr>
        <w:tc>
          <w:tcPr>
            <w:tcW w:w="3843" w:type="dxa"/>
            <w:shd w:val="clear" w:color="auto" w:fill="auto"/>
            <w:noWrap/>
            <w:vAlign w:val="bottom"/>
            <w:hideMark/>
          </w:tcPr>
          <w:p w:rsidR="00B66433" w:rsidRPr="00263B5B" w:rsidRDefault="00B66433" w:rsidP="00114157">
            <w:pPr>
              <w:spacing w:before="120"/>
              <w:rPr>
                <w:b/>
                <w:bCs/>
                <w:sz w:val="20"/>
                <w:szCs w:val="20"/>
              </w:rPr>
            </w:pPr>
            <w:r w:rsidRPr="00263B5B">
              <w:rPr>
                <w:b/>
                <w:bCs/>
                <w:sz w:val="20"/>
                <w:szCs w:val="20"/>
              </w:rPr>
              <w:t>Not graduated from any school</w:t>
            </w:r>
          </w:p>
        </w:tc>
        <w:tc>
          <w:tcPr>
            <w:tcW w:w="1346" w:type="dxa"/>
            <w:shd w:val="clear" w:color="auto" w:fill="auto"/>
            <w:noWrap/>
            <w:vAlign w:val="bottom"/>
            <w:hideMark/>
          </w:tcPr>
          <w:p w:rsidR="00B66433" w:rsidRPr="00263B5B" w:rsidRDefault="00263B5B" w:rsidP="003E4F18">
            <w:pPr>
              <w:spacing w:before="120"/>
              <w:jc w:val="center"/>
              <w:rPr>
                <w:sz w:val="20"/>
                <w:szCs w:val="20"/>
              </w:rPr>
            </w:pPr>
            <w:r>
              <w:rPr>
                <w:sz w:val="20"/>
                <w:szCs w:val="20"/>
              </w:rPr>
              <w:t>4,</w:t>
            </w:r>
            <w:r w:rsidR="00B66433" w:rsidRPr="00263B5B">
              <w:rPr>
                <w:sz w:val="20"/>
                <w:szCs w:val="20"/>
              </w:rPr>
              <w:t>432</w:t>
            </w:r>
          </w:p>
        </w:tc>
        <w:tc>
          <w:tcPr>
            <w:tcW w:w="1914" w:type="dxa"/>
            <w:shd w:val="clear" w:color="auto" w:fill="auto"/>
            <w:noWrap/>
            <w:vAlign w:val="bottom"/>
            <w:hideMark/>
          </w:tcPr>
          <w:p w:rsidR="00B66433" w:rsidRPr="00263B5B" w:rsidRDefault="00263B5B" w:rsidP="003E4F18">
            <w:pPr>
              <w:spacing w:before="120"/>
              <w:jc w:val="center"/>
              <w:rPr>
                <w:sz w:val="20"/>
                <w:szCs w:val="20"/>
              </w:rPr>
            </w:pPr>
            <w:r>
              <w:rPr>
                <w:sz w:val="20"/>
                <w:szCs w:val="20"/>
              </w:rPr>
              <w:t>1.</w:t>
            </w:r>
            <w:r w:rsidR="00B66433" w:rsidRPr="00263B5B">
              <w:rPr>
                <w:sz w:val="20"/>
                <w:szCs w:val="20"/>
              </w:rPr>
              <w:t>4</w:t>
            </w:r>
          </w:p>
        </w:tc>
      </w:tr>
      <w:tr w:rsidR="00B66433" w:rsidRPr="00263B5B" w:rsidTr="00B66433">
        <w:trPr>
          <w:trHeight w:val="300"/>
        </w:trPr>
        <w:tc>
          <w:tcPr>
            <w:tcW w:w="3843" w:type="dxa"/>
            <w:shd w:val="clear" w:color="auto" w:fill="auto"/>
            <w:noWrap/>
            <w:vAlign w:val="bottom"/>
            <w:hideMark/>
          </w:tcPr>
          <w:p w:rsidR="00B66433" w:rsidRPr="00263B5B" w:rsidRDefault="00B66433" w:rsidP="00114157">
            <w:pPr>
              <w:spacing w:before="120"/>
              <w:rPr>
                <w:b/>
                <w:bCs/>
                <w:sz w:val="20"/>
                <w:szCs w:val="20"/>
              </w:rPr>
            </w:pPr>
            <w:r w:rsidRPr="00263B5B">
              <w:rPr>
                <w:b/>
                <w:bCs/>
                <w:sz w:val="20"/>
                <w:szCs w:val="20"/>
              </w:rPr>
              <w:t>Primary school</w:t>
            </w:r>
          </w:p>
        </w:tc>
        <w:tc>
          <w:tcPr>
            <w:tcW w:w="1346" w:type="dxa"/>
            <w:shd w:val="clear" w:color="auto" w:fill="auto"/>
            <w:noWrap/>
            <w:vAlign w:val="bottom"/>
            <w:hideMark/>
          </w:tcPr>
          <w:p w:rsidR="00B66433" w:rsidRPr="00263B5B" w:rsidRDefault="00263B5B" w:rsidP="003E4F18">
            <w:pPr>
              <w:spacing w:before="120"/>
              <w:jc w:val="center"/>
              <w:rPr>
                <w:sz w:val="20"/>
                <w:szCs w:val="20"/>
              </w:rPr>
            </w:pPr>
            <w:r>
              <w:rPr>
                <w:sz w:val="20"/>
                <w:szCs w:val="20"/>
              </w:rPr>
              <w:t>53,</w:t>
            </w:r>
            <w:r w:rsidR="00B66433" w:rsidRPr="00263B5B">
              <w:rPr>
                <w:sz w:val="20"/>
                <w:szCs w:val="20"/>
              </w:rPr>
              <w:t>155</w:t>
            </w:r>
          </w:p>
        </w:tc>
        <w:tc>
          <w:tcPr>
            <w:tcW w:w="1914" w:type="dxa"/>
            <w:shd w:val="clear" w:color="auto" w:fill="auto"/>
            <w:noWrap/>
            <w:vAlign w:val="bottom"/>
            <w:hideMark/>
          </w:tcPr>
          <w:p w:rsidR="00B66433" w:rsidRPr="00263B5B" w:rsidRDefault="00263B5B" w:rsidP="003E4F18">
            <w:pPr>
              <w:spacing w:before="120"/>
              <w:jc w:val="center"/>
              <w:rPr>
                <w:sz w:val="20"/>
                <w:szCs w:val="20"/>
              </w:rPr>
            </w:pPr>
            <w:r>
              <w:rPr>
                <w:sz w:val="20"/>
                <w:szCs w:val="20"/>
              </w:rPr>
              <w:t>16.</w:t>
            </w:r>
            <w:r w:rsidR="00B66433" w:rsidRPr="00263B5B">
              <w:rPr>
                <w:sz w:val="20"/>
                <w:szCs w:val="20"/>
              </w:rPr>
              <w:t>3</w:t>
            </w:r>
          </w:p>
        </w:tc>
      </w:tr>
      <w:tr w:rsidR="00B66433" w:rsidRPr="00263B5B" w:rsidTr="00B66433">
        <w:trPr>
          <w:trHeight w:val="300"/>
        </w:trPr>
        <w:tc>
          <w:tcPr>
            <w:tcW w:w="3843" w:type="dxa"/>
            <w:shd w:val="clear" w:color="auto" w:fill="auto"/>
            <w:noWrap/>
            <w:vAlign w:val="bottom"/>
            <w:hideMark/>
          </w:tcPr>
          <w:p w:rsidR="00B66433" w:rsidRPr="00263B5B" w:rsidRDefault="00B66433" w:rsidP="00114157">
            <w:pPr>
              <w:spacing w:before="120"/>
              <w:rPr>
                <w:b/>
                <w:bCs/>
                <w:sz w:val="20"/>
                <w:szCs w:val="20"/>
              </w:rPr>
            </w:pPr>
            <w:r w:rsidRPr="00263B5B">
              <w:rPr>
                <w:b/>
                <w:bCs/>
                <w:sz w:val="20"/>
                <w:szCs w:val="20"/>
              </w:rPr>
              <w:t>General high school</w:t>
            </w:r>
          </w:p>
        </w:tc>
        <w:tc>
          <w:tcPr>
            <w:tcW w:w="1346" w:type="dxa"/>
            <w:shd w:val="clear" w:color="auto" w:fill="auto"/>
            <w:noWrap/>
            <w:vAlign w:val="bottom"/>
            <w:hideMark/>
          </w:tcPr>
          <w:p w:rsidR="00B66433" w:rsidRPr="00263B5B" w:rsidRDefault="00263B5B" w:rsidP="003E4F18">
            <w:pPr>
              <w:spacing w:before="120"/>
              <w:jc w:val="center"/>
              <w:rPr>
                <w:sz w:val="20"/>
                <w:szCs w:val="20"/>
              </w:rPr>
            </w:pPr>
            <w:r>
              <w:rPr>
                <w:sz w:val="20"/>
                <w:szCs w:val="20"/>
              </w:rPr>
              <w:t>187,</w:t>
            </w:r>
            <w:r w:rsidR="00B66433" w:rsidRPr="00263B5B">
              <w:rPr>
                <w:sz w:val="20"/>
                <w:szCs w:val="20"/>
              </w:rPr>
              <w:t>424</w:t>
            </w:r>
          </w:p>
        </w:tc>
        <w:tc>
          <w:tcPr>
            <w:tcW w:w="1914" w:type="dxa"/>
            <w:shd w:val="clear" w:color="auto" w:fill="auto"/>
            <w:noWrap/>
            <w:vAlign w:val="bottom"/>
            <w:hideMark/>
          </w:tcPr>
          <w:p w:rsidR="00B66433" w:rsidRPr="00263B5B" w:rsidRDefault="00263B5B" w:rsidP="003E4F18">
            <w:pPr>
              <w:spacing w:before="120"/>
              <w:jc w:val="center"/>
              <w:rPr>
                <w:sz w:val="20"/>
                <w:szCs w:val="20"/>
              </w:rPr>
            </w:pPr>
            <w:r>
              <w:rPr>
                <w:sz w:val="20"/>
                <w:szCs w:val="20"/>
              </w:rPr>
              <w:t>57.</w:t>
            </w:r>
            <w:r w:rsidR="00B66433" w:rsidRPr="00263B5B">
              <w:rPr>
                <w:sz w:val="20"/>
                <w:szCs w:val="20"/>
              </w:rPr>
              <w:t>6</w:t>
            </w:r>
          </w:p>
        </w:tc>
      </w:tr>
      <w:tr w:rsidR="00B66433" w:rsidRPr="00263B5B" w:rsidTr="00B66433">
        <w:trPr>
          <w:trHeight w:val="300"/>
        </w:trPr>
        <w:tc>
          <w:tcPr>
            <w:tcW w:w="3843" w:type="dxa"/>
            <w:shd w:val="clear" w:color="auto" w:fill="auto"/>
            <w:noWrap/>
            <w:vAlign w:val="bottom"/>
            <w:hideMark/>
          </w:tcPr>
          <w:p w:rsidR="00B66433" w:rsidRPr="00263B5B" w:rsidRDefault="00B66433" w:rsidP="00114157">
            <w:pPr>
              <w:spacing w:before="120"/>
              <w:rPr>
                <w:b/>
                <w:bCs/>
                <w:sz w:val="20"/>
                <w:szCs w:val="20"/>
              </w:rPr>
            </w:pPr>
            <w:r w:rsidRPr="00263B5B">
              <w:rPr>
                <w:b/>
                <w:bCs/>
                <w:sz w:val="20"/>
                <w:szCs w:val="20"/>
              </w:rPr>
              <w:t>Vocational or technical high school</w:t>
            </w:r>
          </w:p>
        </w:tc>
        <w:tc>
          <w:tcPr>
            <w:tcW w:w="1346" w:type="dxa"/>
            <w:shd w:val="clear" w:color="auto" w:fill="auto"/>
            <w:noWrap/>
            <w:vAlign w:val="bottom"/>
            <w:hideMark/>
          </w:tcPr>
          <w:p w:rsidR="00B66433" w:rsidRPr="00263B5B" w:rsidRDefault="00263B5B" w:rsidP="003E4F18">
            <w:pPr>
              <w:spacing w:before="120"/>
              <w:jc w:val="center"/>
              <w:rPr>
                <w:sz w:val="20"/>
                <w:szCs w:val="20"/>
              </w:rPr>
            </w:pPr>
            <w:r>
              <w:rPr>
                <w:sz w:val="20"/>
                <w:szCs w:val="20"/>
              </w:rPr>
              <w:t>79,</w:t>
            </w:r>
            <w:r w:rsidR="00B66433" w:rsidRPr="00263B5B">
              <w:rPr>
                <w:sz w:val="20"/>
                <w:szCs w:val="20"/>
              </w:rPr>
              <w:t>082</w:t>
            </w:r>
          </w:p>
        </w:tc>
        <w:tc>
          <w:tcPr>
            <w:tcW w:w="1914" w:type="dxa"/>
            <w:shd w:val="clear" w:color="auto" w:fill="auto"/>
            <w:noWrap/>
            <w:vAlign w:val="bottom"/>
            <w:hideMark/>
          </w:tcPr>
          <w:p w:rsidR="00B66433" w:rsidRPr="00263B5B" w:rsidRDefault="00263B5B" w:rsidP="003E4F18">
            <w:pPr>
              <w:spacing w:before="120"/>
              <w:jc w:val="center"/>
              <w:rPr>
                <w:sz w:val="20"/>
                <w:szCs w:val="20"/>
              </w:rPr>
            </w:pPr>
            <w:r>
              <w:rPr>
                <w:sz w:val="20"/>
                <w:szCs w:val="20"/>
              </w:rPr>
              <w:t>24.</w:t>
            </w:r>
            <w:r w:rsidR="00B66433" w:rsidRPr="00263B5B">
              <w:rPr>
                <w:sz w:val="20"/>
                <w:szCs w:val="20"/>
              </w:rPr>
              <w:t>3</w:t>
            </w:r>
          </w:p>
        </w:tc>
      </w:tr>
      <w:tr w:rsidR="00B66433" w:rsidRPr="00263B5B" w:rsidTr="00B66433">
        <w:trPr>
          <w:trHeight w:val="300"/>
        </w:trPr>
        <w:tc>
          <w:tcPr>
            <w:tcW w:w="3843" w:type="dxa"/>
            <w:shd w:val="clear" w:color="auto" w:fill="auto"/>
            <w:noWrap/>
            <w:vAlign w:val="bottom"/>
            <w:hideMark/>
          </w:tcPr>
          <w:p w:rsidR="00B66433" w:rsidRPr="00263B5B" w:rsidRDefault="00B66433" w:rsidP="00114157">
            <w:pPr>
              <w:spacing w:before="120"/>
              <w:rPr>
                <w:b/>
                <w:bCs/>
                <w:sz w:val="20"/>
                <w:szCs w:val="20"/>
              </w:rPr>
            </w:pPr>
            <w:r w:rsidRPr="00263B5B">
              <w:rPr>
                <w:b/>
                <w:bCs/>
                <w:sz w:val="20"/>
                <w:szCs w:val="20"/>
              </w:rPr>
              <w:t>Higher education</w:t>
            </w:r>
          </w:p>
        </w:tc>
        <w:tc>
          <w:tcPr>
            <w:tcW w:w="1346" w:type="dxa"/>
            <w:shd w:val="clear" w:color="auto" w:fill="auto"/>
            <w:noWrap/>
            <w:vAlign w:val="bottom"/>
            <w:hideMark/>
          </w:tcPr>
          <w:p w:rsidR="00B66433" w:rsidRPr="00263B5B" w:rsidRDefault="00263B5B" w:rsidP="003E4F18">
            <w:pPr>
              <w:spacing w:before="120"/>
              <w:jc w:val="center"/>
              <w:rPr>
                <w:sz w:val="20"/>
                <w:szCs w:val="20"/>
              </w:rPr>
            </w:pPr>
            <w:r>
              <w:rPr>
                <w:sz w:val="20"/>
                <w:szCs w:val="20"/>
              </w:rPr>
              <w:t>1,</w:t>
            </w:r>
            <w:r w:rsidR="00B66433" w:rsidRPr="00263B5B">
              <w:rPr>
                <w:sz w:val="20"/>
                <w:szCs w:val="20"/>
              </w:rPr>
              <w:t>491</w:t>
            </w:r>
          </w:p>
        </w:tc>
        <w:tc>
          <w:tcPr>
            <w:tcW w:w="1914" w:type="dxa"/>
            <w:shd w:val="clear" w:color="auto" w:fill="auto"/>
            <w:noWrap/>
            <w:vAlign w:val="bottom"/>
            <w:hideMark/>
          </w:tcPr>
          <w:p w:rsidR="00B66433" w:rsidRPr="00263B5B" w:rsidRDefault="00263B5B" w:rsidP="003E4F18">
            <w:pPr>
              <w:spacing w:before="120"/>
              <w:jc w:val="center"/>
              <w:rPr>
                <w:sz w:val="20"/>
                <w:szCs w:val="20"/>
              </w:rPr>
            </w:pPr>
            <w:r>
              <w:rPr>
                <w:sz w:val="20"/>
                <w:szCs w:val="20"/>
              </w:rPr>
              <w:t>0.</w:t>
            </w:r>
            <w:r w:rsidR="00B66433" w:rsidRPr="00263B5B">
              <w:rPr>
                <w:sz w:val="20"/>
                <w:szCs w:val="20"/>
              </w:rPr>
              <w:t>5</w:t>
            </w:r>
          </w:p>
        </w:tc>
      </w:tr>
      <w:tr w:rsidR="00B66433" w:rsidRPr="00263B5B" w:rsidTr="00B66433">
        <w:trPr>
          <w:trHeight w:val="300"/>
        </w:trPr>
        <w:tc>
          <w:tcPr>
            <w:tcW w:w="3843" w:type="dxa"/>
            <w:shd w:val="clear" w:color="auto" w:fill="auto"/>
            <w:noWrap/>
            <w:vAlign w:val="bottom"/>
            <w:hideMark/>
          </w:tcPr>
          <w:p w:rsidR="00B66433" w:rsidRPr="00263B5B" w:rsidRDefault="00B66433" w:rsidP="00114157">
            <w:pPr>
              <w:spacing w:before="120"/>
              <w:rPr>
                <w:b/>
                <w:bCs/>
                <w:sz w:val="20"/>
                <w:szCs w:val="20"/>
              </w:rPr>
            </w:pPr>
            <w:r w:rsidRPr="00263B5B">
              <w:rPr>
                <w:b/>
                <w:bCs/>
                <w:sz w:val="20"/>
                <w:szCs w:val="20"/>
              </w:rPr>
              <w:t>Total</w:t>
            </w:r>
          </w:p>
        </w:tc>
        <w:tc>
          <w:tcPr>
            <w:tcW w:w="1346" w:type="dxa"/>
            <w:shd w:val="clear" w:color="auto" w:fill="auto"/>
            <w:noWrap/>
            <w:vAlign w:val="bottom"/>
            <w:hideMark/>
          </w:tcPr>
          <w:p w:rsidR="00B66433" w:rsidRPr="00263B5B" w:rsidRDefault="00263B5B" w:rsidP="003E4F18">
            <w:pPr>
              <w:spacing w:before="120"/>
              <w:jc w:val="center"/>
              <w:rPr>
                <w:sz w:val="20"/>
                <w:szCs w:val="20"/>
              </w:rPr>
            </w:pPr>
            <w:r>
              <w:rPr>
                <w:sz w:val="20"/>
                <w:szCs w:val="20"/>
              </w:rPr>
              <w:t>325,</w:t>
            </w:r>
            <w:r w:rsidR="00B66433" w:rsidRPr="00263B5B">
              <w:rPr>
                <w:sz w:val="20"/>
                <w:szCs w:val="20"/>
              </w:rPr>
              <w:t>585</w:t>
            </w:r>
          </w:p>
        </w:tc>
        <w:tc>
          <w:tcPr>
            <w:tcW w:w="1914" w:type="dxa"/>
            <w:shd w:val="clear" w:color="auto" w:fill="auto"/>
            <w:noWrap/>
            <w:vAlign w:val="bottom"/>
            <w:hideMark/>
          </w:tcPr>
          <w:p w:rsidR="00B66433" w:rsidRPr="00263B5B" w:rsidRDefault="00B66433" w:rsidP="003E4F18">
            <w:pPr>
              <w:spacing w:before="120"/>
              <w:jc w:val="center"/>
              <w:rPr>
                <w:sz w:val="20"/>
                <w:szCs w:val="20"/>
              </w:rPr>
            </w:pPr>
            <w:r w:rsidRPr="00263B5B">
              <w:rPr>
                <w:sz w:val="20"/>
                <w:szCs w:val="20"/>
              </w:rPr>
              <w:t>100</w:t>
            </w:r>
          </w:p>
        </w:tc>
      </w:tr>
    </w:tbl>
    <w:p w:rsidR="00B66433" w:rsidRPr="00263B5B" w:rsidRDefault="00B66433" w:rsidP="00B66433">
      <w:pPr>
        <w:spacing w:before="120"/>
      </w:pPr>
      <w:r w:rsidRPr="00263B5B">
        <w:t>Source:</w:t>
      </w:r>
      <w:r w:rsidR="008B27B1" w:rsidRPr="00263B5B">
        <w:t xml:space="preserve"> </w:t>
      </w:r>
      <w:r w:rsidRPr="00263B5B">
        <w:t>HLFS 2012. TURKSTAT; Betam</w:t>
      </w:r>
    </w:p>
    <w:p w:rsidR="00B66433" w:rsidRPr="00263B5B" w:rsidRDefault="00B66433" w:rsidP="00B66433">
      <w:pPr>
        <w:spacing w:before="120"/>
        <w:jc w:val="center"/>
        <w:rPr>
          <w:sz w:val="20"/>
          <w:szCs w:val="20"/>
        </w:rPr>
      </w:pPr>
    </w:p>
    <w:p w:rsidR="00B66433" w:rsidRPr="00263B5B" w:rsidRDefault="00B66433" w:rsidP="00B66433">
      <w:pPr>
        <w:spacing w:before="120"/>
        <w:rPr>
          <w:b/>
          <w:bCs/>
          <w:sz w:val="20"/>
          <w:szCs w:val="20"/>
        </w:rPr>
      </w:pPr>
      <w:r w:rsidRPr="00263B5B">
        <w:rPr>
          <w:b/>
          <w:bCs/>
          <w:sz w:val="20"/>
          <w:szCs w:val="20"/>
        </w:rPr>
        <w:t>Additional Table 2 Youth and overall unemploy</w:t>
      </w:r>
      <w:r w:rsidR="00764816" w:rsidRPr="00263B5B">
        <w:rPr>
          <w:b/>
          <w:bCs/>
          <w:sz w:val="20"/>
          <w:szCs w:val="20"/>
        </w:rPr>
        <w:t>ment</w:t>
      </w:r>
      <w:r w:rsidRPr="00263B5B">
        <w:rPr>
          <w:b/>
          <w:bCs/>
          <w:sz w:val="20"/>
          <w:szCs w:val="20"/>
        </w:rPr>
        <w:t xml:space="preserve"> rates</w:t>
      </w:r>
      <w:r w:rsidR="0069672A" w:rsidRPr="00263B5B">
        <w:rPr>
          <w:b/>
          <w:bCs/>
          <w:sz w:val="20"/>
          <w:szCs w:val="20"/>
        </w:rPr>
        <w:t xml:space="preserve"> </w:t>
      </w:r>
      <w:r w:rsidRPr="00263B5B">
        <w:rPr>
          <w:b/>
          <w:bCs/>
          <w:sz w:val="20"/>
          <w:szCs w:val="20"/>
        </w:rPr>
        <w:t>(%)</w:t>
      </w:r>
      <w:r w:rsidR="0069672A" w:rsidRPr="00263B5B">
        <w:rPr>
          <w:b/>
          <w:bCs/>
          <w:sz w:val="20"/>
          <w:szCs w:val="20"/>
        </w:rPr>
        <w:t xml:space="preserve"> </w:t>
      </w:r>
      <w:r w:rsidRPr="00263B5B">
        <w:rPr>
          <w:b/>
          <w:bCs/>
          <w:sz w:val="20"/>
          <w:szCs w:val="20"/>
        </w:rPr>
        <w:t xml:space="preserve">for the years of 2006-2012 </w:t>
      </w:r>
    </w:p>
    <w:tbl>
      <w:tblPr>
        <w:tblW w:w="5326" w:type="dxa"/>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CellMar>
          <w:left w:w="70" w:type="dxa"/>
          <w:right w:w="70" w:type="dxa"/>
        </w:tblCellMar>
        <w:tblLook w:val="04A0"/>
      </w:tblPr>
      <w:tblGrid>
        <w:gridCol w:w="587"/>
        <w:gridCol w:w="1840"/>
        <w:gridCol w:w="1780"/>
        <w:gridCol w:w="1119"/>
      </w:tblGrid>
      <w:tr w:rsidR="00B66433" w:rsidRPr="00263B5B" w:rsidTr="008B27B1">
        <w:trPr>
          <w:trHeight w:val="300"/>
        </w:trPr>
        <w:tc>
          <w:tcPr>
            <w:tcW w:w="587" w:type="dxa"/>
            <w:shd w:val="clear" w:color="auto" w:fill="auto"/>
            <w:noWrap/>
            <w:vAlign w:val="bottom"/>
            <w:hideMark/>
          </w:tcPr>
          <w:p w:rsidR="00B66433" w:rsidRPr="00263B5B" w:rsidRDefault="00B66433" w:rsidP="003E4F18">
            <w:pPr>
              <w:spacing w:before="120"/>
              <w:jc w:val="center"/>
              <w:rPr>
                <w:bCs/>
                <w:sz w:val="20"/>
                <w:szCs w:val="20"/>
              </w:rPr>
            </w:pPr>
            <w:r w:rsidRPr="00263B5B">
              <w:rPr>
                <w:bCs/>
                <w:sz w:val="20"/>
                <w:szCs w:val="20"/>
              </w:rPr>
              <w:t> </w:t>
            </w:r>
          </w:p>
        </w:tc>
        <w:tc>
          <w:tcPr>
            <w:tcW w:w="1840" w:type="dxa"/>
            <w:shd w:val="clear" w:color="auto" w:fill="auto"/>
            <w:noWrap/>
            <w:vAlign w:val="bottom"/>
            <w:hideMark/>
          </w:tcPr>
          <w:p w:rsidR="00B66433" w:rsidRPr="00263B5B" w:rsidRDefault="008B27B1" w:rsidP="00764816">
            <w:pPr>
              <w:spacing w:before="120"/>
              <w:jc w:val="center"/>
              <w:rPr>
                <w:b/>
                <w:bCs/>
                <w:sz w:val="20"/>
                <w:szCs w:val="20"/>
              </w:rPr>
            </w:pPr>
            <w:r w:rsidRPr="00263B5B">
              <w:rPr>
                <w:b/>
                <w:bCs/>
                <w:sz w:val="20"/>
                <w:szCs w:val="20"/>
              </w:rPr>
              <w:t>Overall unemploy</w:t>
            </w:r>
            <w:r w:rsidR="00764816" w:rsidRPr="00263B5B">
              <w:rPr>
                <w:b/>
                <w:bCs/>
                <w:sz w:val="20"/>
                <w:szCs w:val="20"/>
              </w:rPr>
              <w:t>ment</w:t>
            </w:r>
            <w:r w:rsidRPr="00263B5B">
              <w:rPr>
                <w:b/>
                <w:bCs/>
                <w:sz w:val="20"/>
                <w:szCs w:val="20"/>
              </w:rPr>
              <w:t xml:space="preserve"> rate</w:t>
            </w:r>
          </w:p>
        </w:tc>
        <w:tc>
          <w:tcPr>
            <w:tcW w:w="1780" w:type="dxa"/>
            <w:shd w:val="clear" w:color="auto" w:fill="auto"/>
            <w:noWrap/>
            <w:vAlign w:val="bottom"/>
            <w:hideMark/>
          </w:tcPr>
          <w:p w:rsidR="00B66433" w:rsidRPr="00263B5B" w:rsidRDefault="00B66433" w:rsidP="00764816">
            <w:pPr>
              <w:spacing w:before="120"/>
              <w:jc w:val="center"/>
              <w:rPr>
                <w:b/>
                <w:bCs/>
                <w:sz w:val="20"/>
                <w:szCs w:val="20"/>
              </w:rPr>
            </w:pPr>
            <w:r w:rsidRPr="00263B5B">
              <w:rPr>
                <w:b/>
                <w:bCs/>
                <w:sz w:val="20"/>
                <w:szCs w:val="20"/>
              </w:rPr>
              <w:t>Youth unemploy</w:t>
            </w:r>
            <w:r w:rsidR="00764816" w:rsidRPr="00263B5B">
              <w:rPr>
                <w:b/>
                <w:bCs/>
                <w:sz w:val="20"/>
                <w:szCs w:val="20"/>
              </w:rPr>
              <w:t>ment</w:t>
            </w:r>
            <w:r w:rsidRPr="00263B5B">
              <w:rPr>
                <w:b/>
                <w:bCs/>
                <w:sz w:val="20"/>
                <w:szCs w:val="20"/>
              </w:rPr>
              <w:t xml:space="preserve"> rate (15-19)</w:t>
            </w:r>
          </w:p>
        </w:tc>
        <w:tc>
          <w:tcPr>
            <w:tcW w:w="1119" w:type="dxa"/>
            <w:shd w:val="clear" w:color="auto" w:fill="auto"/>
            <w:noWrap/>
            <w:vAlign w:val="bottom"/>
            <w:hideMark/>
          </w:tcPr>
          <w:p w:rsidR="00B66433" w:rsidRPr="00263B5B" w:rsidRDefault="00B66433" w:rsidP="003E4F18">
            <w:pPr>
              <w:spacing w:before="120"/>
              <w:jc w:val="center"/>
              <w:rPr>
                <w:b/>
                <w:bCs/>
                <w:sz w:val="20"/>
                <w:szCs w:val="20"/>
              </w:rPr>
            </w:pPr>
            <w:r w:rsidRPr="00263B5B">
              <w:rPr>
                <w:b/>
                <w:bCs/>
                <w:sz w:val="20"/>
                <w:szCs w:val="20"/>
              </w:rPr>
              <w:t>Difference</w:t>
            </w:r>
          </w:p>
        </w:tc>
      </w:tr>
      <w:tr w:rsidR="00B66433" w:rsidRPr="00263B5B" w:rsidTr="008B27B1">
        <w:trPr>
          <w:trHeight w:val="300"/>
        </w:trPr>
        <w:tc>
          <w:tcPr>
            <w:tcW w:w="587" w:type="dxa"/>
            <w:shd w:val="clear" w:color="auto" w:fill="auto"/>
            <w:noWrap/>
            <w:vAlign w:val="bottom"/>
            <w:hideMark/>
          </w:tcPr>
          <w:p w:rsidR="00B66433" w:rsidRPr="00263B5B" w:rsidRDefault="00B66433" w:rsidP="003E4F18">
            <w:pPr>
              <w:spacing w:before="120"/>
              <w:jc w:val="center"/>
              <w:rPr>
                <w:b/>
                <w:bCs/>
                <w:sz w:val="20"/>
                <w:szCs w:val="20"/>
              </w:rPr>
            </w:pPr>
            <w:r w:rsidRPr="00263B5B">
              <w:rPr>
                <w:b/>
                <w:bCs/>
                <w:sz w:val="20"/>
                <w:szCs w:val="20"/>
              </w:rPr>
              <w:t>2006</w:t>
            </w:r>
          </w:p>
        </w:tc>
        <w:tc>
          <w:tcPr>
            <w:tcW w:w="1840" w:type="dxa"/>
            <w:shd w:val="clear" w:color="auto" w:fill="auto"/>
            <w:noWrap/>
            <w:vAlign w:val="bottom"/>
            <w:hideMark/>
          </w:tcPr>
          <w:p w:rsidR="00B66433" w:rsidRPr="00263B5B" w:rsidRDefault="00B66433" w:rsidP="003E4F18">
            <w:pPr>
              <w:spacing w:before="120"/>
              <w:jc w:val="center"/>
              <w:rPr>
                <w:sz w:val="20"/>
                <w:szCs w:val="20"/>
              </w:rPr>
            </w:pPr>
            <w:r w:rsidRPr="00263B5B">
              <w:rPr>
                <w:sz w:val="20"/>
                <w:szCs w:val="20"/>
              </w:rPr>
              <w:t>10.2</w:t>
            </w:r>
          </w:p>
        </w:tc>
        <w:tc>
          <w:tcPr>
            <w:tcW w:w="1780" w:type="dxa"/>
            <w:shd w:val="clear" w:color="auto" w:fill="auto"/>
            <w:noWrap/>
            <w:vAlign w:val="bottom"/>
            <w:hideMark/>
          </w:tcPr>
          <w:p w:rsidR="00B66433" w:rsidRPr="00263B5B" w:rsidRDefault="008B27B1" w:rsidP="003E4F18">
            <w:pPr>
              <w:spacing w:before="120"/>
              <w:jc w:val="center"/>
              <w:rPr>
                <w:sz w:val="20"/>
                <w:szCs w:val="20"/>
              </w:rPr>
            </w:pPr>
            <w:r w:rsidRPr="00263B5B">
              <w:rPr>
                <w:sz w:val="20"/>
                <w:szCs w:val="20"/>
              </w:rPr>
              <w:t>17.</w:t>
            </w:r>
            <w:r w:rsidR="00B66433" w:rsidRPr="00263B5B">
              <w:rPr>
                <w:sz w:val="20"/>
                <w:szCs w:val="20"/>
              </w:rPr>
              <w:t>0</w:t>
            </w:r>
          </w:p>
        </w:tc>
        <w:tc>
          <w:tcPr>
            <w:tcW w:w="1119" w:type="dxa"/>
            <w:shd w:val="clear" w:color="auto" w:fill="auto"/>
            <w:noWrap/>
            <w:vAlign w:val="bottom"/>
            <w:hideMark/>
          </w:tcPr>
          <w:p w:rsidR="00B66433" w:rsidRPr="00263B5B" w:rsidRDefault="008B27B1" w:rsidP="003E4F18">
            <w:pPr>
              <w:spacing w:before="120"/>
              <w:jc w:val="center"/>
              <w:rPr>
                <w:sz w:val="20"/>
                <w:szCs w:val="20"/>
              </w:rPr>
            </w:pPr>
            <w:r w:rsidRPr="00263B5B">
              <w:rPr>
                <w:sz w:val="20"/>
                <w:szCs w:val="20"/>
              </w:rPr>
              <w:t>6.</w:t>
            </w:r>
            <w:r w:rsidR="00B66433" w:rsidRPr="00263B5B">
              <w:rPr>
                <w:sz w:val="20"/>
                <w:szCs w:val="20"/>
              </w:rPr>
              <w:t>8</w:t>
            </w:r>
          </w:p>
        </w:tc>
      </w:tr>
      <w:tr w:rsidR="00B66433" w:rsidRPr="00263B5B" w:rsidTr="008B27B1">
        <w:trPr>
          <w:trHeight w:val="300"/>
        </w:trPr>
        <w:tc>
          <w:tcPr>
            <w:tcW w:w="587" w:type="dxa"/>
            <w:shd w:val="clear" w:color="auto" w:fill="auto"/>
            <w:noWrap/>
            <w:vAlign w:val="bottom"/>
            <w:hideMark/>
          </w:tcPr>
          <w:p w:rsidR="00B66433" w:rsidRPr="00263B5B" w:rsidRDefault="00B66433" w:rsidP="003E4F18">
            <w:pPr>
              <w:spacing w:before="120"/>
              <w:jc w:val="center"/>
              <w:rPr>
                <w:b/>
                <w:bCs/>
                <w:sz w:val="20"/>
                <w:szCs w:val="20"/>
              </w:rPr>
            </w:pPr>
            <w:r w:rsidRPr="00263B5B">
              <w:rPr>
                <w:b/>
                <w:bCs/>
                <w:sz w:val="20"/>
                <w:szCs w:val="20"/>
              </w:rPr>
              <w:t>2009</w:t>
            </w:r>
          </w:p>
        </w:tc>
        <w:tc>
          <w:tcPr>
            <w:tcW w:w="1840" w:type="dxa"/>
            <w:shd w:val="clear" w:color="auto" w:fill="auto"/>
            <w:noWrap/>
            <w:vAlign w:val="bottom"/>
            <w:hideMark/>
          </w:tcPr>
          <w:p w:rsidR="00B66433" w:rsidRPr="00263B5B" w:rsidRDefault="00B66433" w:rsidP="003E4F18">
            <w:pPr>
              <w:spacing w:before="120"/>
              <w:jc w:val="center"/>
              <w:rPr>
                <w:sz w:val="20"/>
                <w:szCs w:val="20"/>
              </w:rPr>
            </w:pPr>
            <w:r w:rsidRPr="00263B5B">
              <w:rPr>
                <w:sz w:val="20"/>
                <w:szCs w:val="20"/>
              </w:rPr>
              <w:t>14.0</w:t>
            </w:r>
          </w:p>
        </w:tc>
        <w:tc>
          <w:tcPr>
            <w:tcW w:w="1780" w:type="dxa"/>
            <w:shd w:val="clear" w:color="auto" w:fill="auto"/>
            <w:noWrap/>
            <w:vAlign w:val="bottom"/>
            <w:hideMark/>
          </w:tcPr>
          <w:p w:rsidR="00B66433" w:rsidRPr="00263B5B" w:rsidRDefault="008B27B1" w:rsidP="003E4F18">
            <w:pPr>
              <w:spacing w:before="120"/>
              <w:jc w:val="center"/>
              <w:rPr>
                <w:sz w:val="20"/>
                <w:szCs w:val="20"/>
              </w:rPr>
            </w:pPr>
            <w:r w:rsidRPr="00263B5B">
              <w:rPr>
                <w:sz w:val="20"/>
                <w:szCs w:val="20"/>
              </w:rPr>
              <w:t>24.</w:t>
            </w:r>
            <w:r w:rsidR="00B66433" w:rsidRPr="00263B5B">
              <w:rPr>
                <w:sz w:val="20"/>
                <w:szCs w:val="20"/>
              </w:rPr>
              <w:t>3</w:t>
            </w:r>
          </w:p>
        </w:tc>
        <w:tc>
          <w:tcPr>
            <w:tcW w:w="1119" w:type="dxa"/>
            <w:shd w:val="clear" w:color="auto" w:fill="auto"/>
            <w:noWrap/>
            <w:vAlign w:val="bottom"/>
            <w:hideMark/>
          </w:tcPr>
          <w:p w:rsidR="00B66433" w:rsidRPr="00263B5B" w:rsidRDefault="008B27B1" w:rsidP="003E4F18">
            <w:pPr>
              <w:spacing w:before="120"/>
              <w:jc w:val="center"/>
              <w:rPr>
                <w:sz w:val="20"/>
                <w:szCs w:val="20"/>
              </w:rPr>
            </w:pPr>
            <w:r w:rsidRPr="00263B5B">
              <w:rPr>
                <w:sz w:val="20"/>
                <w:szCs w:val="20"/>
              </w:rPr>
              <w:t>10.</w:t>
            </w:r>
            <w:r w:rsidR="00B66433" w:rsidRPr="00263B5B">
              <w:rPr>
                <w:sz w:val="20"/>
                <w:szCs w:val="20"/>
              </w:rPr>
              <w:t>3</w:t>
            </w:r>
          </w:p>
        </w:tc>
      </w:tr>
      <w:tr w:rsidR="00B66433" w:rsidRPr="00263B5B" w:rsidTr="008B27B1">
        <w:trPr>
          <w:trHeight w:val="300"/>
        </w:trPr>
        <w:tc>
          <w:tcPr>
            <w:tcW w:w="587" w:type="dxa"/>
            <w:shd w:val="clear" w:color="auto" w:fill="auto"/>
            <w:noWrap/>
            <w:vAlign w:val="bottom"/>
            <w:hideMark/>
          </w:tcPr>
          <w:p w:rsidR="00B66433" w:rsidRPr="00263B5B" w:rsidRDefault="00B66433" w:rsidP="003E4F18">
            <w:pPr>
              <w:spacing w:before="120"/>
              <w:jc w:val="center"/>
              <w:rPr>
                <w:b/>
                <w:bCs/>
                <w:sz w:val="20"/>
                <w:szCs w:val="20"/>
              </w:rPr>
            </w:pPr>
            <w:r w:rsidRPr="00263B5B">
              <w:rPr>
                <w:b/>
                <w:bCs/>
                <w:sz w:val="20"/>
                <w:szCs w:val="20"/>
              </w:rPr>
              <w:t>2012</w:t>
            </w:r>
          </w:p>
        </w:tc>
        <w:tc>
          <w:tcPr>
            <w:tcW w:w="1840" w:type="dxa"/>
            <w:shd w:val="clear" w:color="auto" w:fill="auto"/>
            <w:noWrap/>
            <w:vAlign w:val="bottom"/>
            <w:hideMark/>
          </w:tcPr>
          <w:p w:rsidR="00B66433" w:rsidRPr="00263B5B" w:rsidRDefault="00B66433" w:rsidP="003E4F18">
            <w:pPr>
              <w:spacing w:before="120"/>
              <w:jc w:val="center"/>
              <w:rPr>
                <w:sz w:val="20"/>
                <w:szCs w:val="20"/>
              </w:rPr>
            </w:pPr>
            <w:r w:rsidRPr="00263B5B">
              <w:rPr>
                <w:sz w:val="20"/>
                <w:szCs w:val="20"/>
              </w:rPr>
              <w:t>9.2</w:t>
            </w:r>
          </w:p>
        </w:tc>
        <w:tc>
          <w:tcPr>
            <w:tcW w:w="1780" w:type="dxa"/>
            <w:shd w:val="clear" w:color="auto" w:fill="auto"/>
            <w:noWrap/>
            <w:vAlign w:val="bottom"/>
            <w:hideMark/>
          </w:tcPr>
          <w:p w:rsidR="00B66433" w:rsidRPr="00263B5B" w:rsidRDefault="008B27B1" w:rsidP="003E4F18">
            <w:pPr>
              <w:spacing w:before="120"/>
              <w:jc w:val="center"/>
              <w:rPr>
                <w:sz w:val="20"/>
                <w:szCs w:val="20"/>
              </w:rPr>
            </w:pPr>
            <w:r w:rsidRPr="00263B5B">
              <w:rPr>
                <w:sz w:val="20"/>
                <w:szCs w:val="20"/>
              </w:rPr>
              <w:t>14.</w:t>
            </w:r>
            <w:r w:rsidR="00B66433" w:rsidRPr="00263B5B">
              <w:rPr>
                <w:sz w:val="20"/>
                <w:szCs w:val="20"/>
              </w:rPr>
              <w:t>9</w:t>
            </w:r>
          </w:p>
        </w:tc>
        <w:tc>
          <w:tcPr>
            <w:tcW w:w="1119" w:type="dxa"/>
            <w:shd w:val="clear" w:color="auto" w:fill="auto"/>
            <w:noWrap/>
            <w:vAlign w:val="bottom"/>
            <w:hideMark/>
          </w:tcPr>
          <w:p w:rsidR="00B66433" w:rsidRPr="00263B5B" w:rsidRDefault="008B27B1" w:rsidP="003E4F18">
            <w:pPr>
              <w:spacing w:before="120"/>
              <w:jc w:val="center"/>
              <w:rPr>
                <w:sz w:val="20"/>
                <w:szCs w:val="20"/>
              </w:rPr>
            </w:pPr>
            <w:r w:rsidRPr="00263B5B">
              <w:rPr>
                <w:sz w:val="20"/>
                <w:szCs w:val="20"/>
              </w:rPr>
              <w:t>5.</w:t>
            </w:r>
            <w:r w:rsidR="00B66433" w:rsidRPr="00263B5B">
              <w:rPr>
                <w:sz w:val="20"/>
                <w:szCs w:val="20"/>
              </w:rPr>
              <w:t>7</w:t>
            </w:r>
          </w:p>
        </w:tc>
      </w:tr>
    </w:tbl>
    <w:p w:rsidR="008B27B1" w:rsidRPr="00263B5B" w:rsidRDefault="008B27B1" w:rsidP="008B27B1">
      <w:pPr>
        <w:spacing w:before="120"/>
      </w:pPr>
      <w:r w:rsidRPr="00263B5B">
        <w:t>Source: HLFS 2012. TURKSTAT; Betam</w:t>
      </w:r>
    </w:p>
    <w:p w:rsidR="00B66433" w:rsidRPr="00263B5B" w:rsidRDefault="00B66433" w:rsidP="00B66433">
      <w:pPr>
        <w:spacing w:before="120"/>
        <w:jc w:val="center"/>
        <w:rPr>
          <w:sz w:val="20"/>
          <w:szCs w:val="20"/>
        </w:rPr>
      </w:pPr>
    </w:p>
    <w:p w:rsidR="00B66433" w:rsidRPr="00263B5B" w:rsidRDefault="008B27B1" w:rsidP="00B66433">
      <w:pPr>
        <w:spacing w:before="120"/>
        <w:rPr>
          <w:b/>
          <w:bCs/>
          <w:sz w:val="20"/>
          <w:szCs w:val="20"/>
        </w:rPr>
      </w:pPr>
      <w:r w:rsidRPr="00263B5B">
        <w:rPr>
          <w:b/>
          <w:bCs/>
          <w:sz w:val="20"/>
          <w:szCs w:val="20"/>
        </w:rPr>
        <w:t>Additional Table</w:t>
      </w:r>
      <w:r w:rsidR="00B66433" w:rsidRPr="00263B5B">
        <w:rPr>
          <w:b/>
          <w:bCs/>
          <w:sz w:val="20"/>
          <w:szCs w:val="20"/>
        </w:rPr>
        <w:t xml:space="preserve"> 3 </w:t>
      </w:r>
      <w:r w:rsidRPr="00263B5B">
        <w:rPr>
          <w:b/>
          <w:bCs/>
          <w:sz w:val="20"/>
          <w:szCs w:val="20"/>
        </w:rPr>
        <w:t>Labor force status of young</w:t>
      </w:r>
    </w:p>
    <w:tbl>
      <w:tblPr>
        <w:tblW w:w="6678" w:type="dxa"/>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CellMar>
          <w:left w:w="70" w:type="dxa"/>
          <w:right w:w="70" w:type="dxa"/>
        </w:tblCellMar>
        <w:tblLook w:val="04A0"/>
      </w:tblPr>
      <w:tblGrid>
        <w:gridCol w:w="2667"/>
        <w:gridCol w:w="1718"/>
        <w:gridCol w:w="2293"/>
      </w:tblGrid>
      <w:tr w:rsidR="00B66433" w:rsidRPr="00263B5B" w:rsidTr="003E4F18">
        <w:trPr>
          <w:trHeight w:val="316"/>
        </w:trPr>
        <w:tc>
          <w:tcPr>
            <w:tcW w:w="2667" w:type="dxa"/>
            <w:shd w:val="clear" w:color="auto" w:fill="auto"/>
            <w:noWrap/>
            <w:vAlign w:val="bottom"/>
            <w:hideMark/>
          </w:tcPr>
          <w:p w:rsidR="00B66433" w:rsidRPr="00263B5B" w:rsidRDefault="00B66433" w:rsidP="003E4F18">
            <w:pPr>
              <w:spacing w:before="120"/>
              <w:jc w:val="center"/>
              <w:rPr>
                <w:sz w:val="20"/>
                <w:szCs w:val="20"/>
              </w:rPr>
            </w:pPr>
            <w:r w:rsidRPr="00263B5B">
              <w:rPr>
                <w:sz w:val="20"/>
                <w:szCs w:val="20"/>
              </w:rPr>
              <w:t> </w:t>
            </w:r>
          </w:p>
        </w:tc>
        <w:tc>
          <w:tcPr>
            <w:tcW w:w="1718" w:type="dxa"/>
            <w:shd w:val="clear" w:color="auto" w:fill="auto"/>
            <w:noWrap/>
            <w:vAlign w:val="bottom"/>
            <w:hideMark/>
          </w:tcPr>
          <w:p w:rsidR="00B66433" w:rsidRPr="00263B5B" w:rsidRDefault="00764816" w:rsidP="008B27B1">
            <w:pPr>
              <w:spacing w:before="120"/>
              <w:jc w:val="center"/>
              <w:rPr>
                <w:b/>
                <w:bCs/>
                <w:sz w:val="20"/>
                <w:szCs w:val="20"/>
              </w:rPr>
            </w:pPr>
            <w:r w:rsidRPr="00263B5B">
              <w:rPr>
                <w:b/>
                <w:bCs/>
                <w:sz w:val="20"/>
                <w:szCs w:val="20"/>
              </w:rPr>
              <w:t xml:space="preserve">Age </w:t>
            </w:r>
            <w:r w:rsidR="00B66433" w:rsidRPr="00263B5B">
              <w:rPr>
                <w:b/>
                <w:bCs/>
                <w:sz w:val="20"/>
                <w:szCs w:val="20"/>
              </w:rPr>
              <w:t xml:space="preserve">15-19 </w:t>
            </w:r>
          </w:p>
        </w:tc>
        <w:tc>
          <w:tcPr>
            <w:tcW w:w="2293" w:type="dxa"/>
            <w:shd w:val="clear" w:color="auto" w:fill="auto"/>
            <w:noWrap/>
            <w:vAlign w:val="bottom"/>
            <w:hideMark/>
          </w:tcPr>
          <w:p w:rsidR="00B66433" w:rsidRPr="00263B5B" w:rsidRDefault="00764816" w:rsidP="008B27B1">
            <w:pPr>
              <w:spacing w:before="120"/>
              <w:jc w:val="center"/>
              <w:rPr>
                <w:b/>
                <w:bCs/>
                <w:sz w:val="20"/>
                <w:szCs w:val="20"/>
              </w:rPr>
            </w:pPr>
            <w:r w:rsidRPr="00263B5B">
              <w:rPr>
                <w:b/>
                <w:bCs/>
                <w:sz w:val="20"/>
                <w:szCs w:val="20"/>
              </w:rPr>
              <w:t>Age</w:t>
            </w:r>
            <w:r w:rsidR="008B27B1" w:rsidRPr="00263B5B">
              <w:rPr>
                <w:b/>
                <w:bCs/>
                <w:sz w:val="20"/>
                <w:szCs w:val="20"/>
              </w:rPr>
              <w:t xml:space="preserve"> </w:t>
            </w:r>
            <w:r w:rsidR="00B66433" w:rsidRPr="00263B5B">
              <w:rPr>
                <w:b/>
                <w:bCs/>
                <w:sz w:val="20"/>
                <w:szCs w:val="20"/>
              </w:rPr>
              <w:t>15-19 (%)</w:t>
            </w:r>
          </w:p>
        </w:tc>
      </w:tr>
      <w:tr w:rsidR="00B66433" w:rsidRPr="00263B5B" w:rsidTr="003E4F18">
        <w:trPr>
          <w:trHeight w:val="316"/>
        </w:trPr>
        <w:tc>
          <w:tcPr>
            <w:tcW w:w="2667" w:type="dxa"/>
            <w:shd w:val="clear" w:color="auto" w:fill="auto"/>
            <w:noWrap/>
            <w:vAlign w:val="bottom"/>
            <w:hideMark/>
          </w:tcPr>
          <w:p w:rsidR="00B66433" w:rsidRPr="00263B5B" w:rsidRDefault="008B27B1" w:rsidP="00114157">
            <w:pPr>
              <w:spacing w:before="120"/>
              <w:rPr>
                <w:b/>
                <w:bCs/>
                <w:sz w:val="20"/>
                <w:szCs w:val="20"/>
              </w:rPr>
            </w:pPr>
            <w:r w:rsidRPr="00263B5B">
              <w:rPr>
                <w:b/>
                <w:bCs/>
                <w:sz w:val="20"/>
                <w:szCs w:val="20"/>
              </w:rPr>
              <w:t>Inactive in labor force</w:t>
            </w:r>
          </w:p>
        </w:tc>
        <w:tc>
          <w:tcPr>
            <w:tcW w:w="1718" w:type="dxa"/>
            <w:shd w:val="clear" w:color="auto" w:fill="auto"/>
            <w:noWrap/>
            <w:vAlign w:val="bottom"/>
            <w:hideMark/>
          </w:tcPr>
          <w:p w:rsidR="00B66433" w:rsidRPr="00263B5B" w:rsidRDefault="00B66433" w:rsidP="003E4F18">
            <w:pPr>
              <w:spacing w:before="120"/>
              <w:jc w:val="center"/>
              <w:rPr>
                <w:sz w:val="20"/>
                <w:szCs w:val="20"/>
              </w:rPr>
            </w:pPr>
            <w:r w:rsidRPr="00263B5B">
              <w:rPr>
                <w:sz w:val="20"/>
                <w:szCs w:val="20"/>
              </w:rPr>
              <w:t>4.618.640</w:t>
            </w:r>
          </w:p>
        </w:tc>
        <w:tc>
          <w:tcPr>
            <w:tcW w:w="2293" w:type="dxa"/>
            <w:shd w:val="clear" w:color="auto" w:fill="auto"/>
            <w:noWrap/>
            <w:vAlign w:val="bottom"/>
            <w:hideMark/>
          </w:tcPr>
          <w:p w:rsidR="00B66433" w:rsidRPr="00263B5B" w:rsidRDefault="00B66433" w:rsidP="003E4F18">
            <w:pPr>
              <w:spacing w:before="120"/>
              <w:jc w:val="center"/>
              <w:rPr>
                <w:sz w:val="20"/>
                <w:szCs w:val="20"/>
              </w:rPr>
            </w:pPr>
            <w:r w:rsidRPr="00263B5B">
              <w:rPr>
                <w:sz w:val="20"/>
                <w:szCs w:val="20"/>
              </w:rPr>
              <w:t>74,6</w:t>
            </w:r>
          </w:p>
        </w:tc>
      </w:tr>
      <w:tr w:rsidR="00B66433" w:rsidRPr="00263B5B" w:rsidTr="003E4F18">
        <w:trPr>
          <w:trHeight w:val="316"/>
        </w:trPr>
        <w:tc>
          <w:tcPr>
            <w:tcW w:w="2667" w:type="dxa"/>
            <w:shd w:val="clear" w:color="auto" w:fill="auto"/>
            <w:noWrap/>
            <w:vAlign w:val="bottom"/>
            <w:hideMark/>
          </w:tcPr>
          <w:p w:rsidR="00B66433" w:rsidRPr="00263B5B" w:rsidRDefault="008B27B1" w:rsidP="00114157">
            <w:pPr>
              <w:spacing w:before="120"/>
              <w:rPr>
                <w:b/>
                <w:bCs/>
                <w:sz w:val="20"/>
                <w:szCs w:val="20"/>
              </w:rPr>
            </w:pPr>
            <w:r w:rsidRPr="00263B5B">
              <w:rPr>
                <w:b/>
                <w:bCs/>
                <w:sz w:val="20"/>
                <w:szCs w:val="20"/>
              </w:rPr>
              <w:t>Employed</w:t>
            </w:r>
          </w:p>
        </w:tc>
        <w:tc>
          <w:tcPr>
            <w:tcW w:w="1718" w:type="dxa"/>
            <w:shd w:val="clear" w:color="auto" w:fill="auto"/>
            <w:noWrap/>
            <w:vAlign w:val="bottom"/>
            <w:hideMark/>
          </w:tcPr>
          <w:p w:rsidR="00B66433" w:rsidRPr="00263B5B" w:rsidRDefault="00B66433" w:rsidP="003E4F18">
            <w:pPr>
              <w:spacing w:before="120"/>
              <w:jc w:val="center"/>
              <w:rPr>
                <w:sz w:val="20"/>
                <w:szCs w:val="20"/>
              </w:rPr>
            </w:pPr>
            <w:r w:rsidRPr="00263B5B">
              <w:rPr>
                <w:sz w:val="20"/>
                <w:szCs w:val="20"/>
              </w:rPr>
              <w:t>1.338.201</w:t>
            </w:r>
          </w:p>
        </w:tc>
        <w:tc>
          <w:tcPr>
            <w:tcW w:w="2293" w:type="dxa"/>
            <w:shd w:val="clear" w:color="auto" w:fill="auto"/>
            <w:noWrap/>
            <w:vAlign w:val="bottom"/>
            <w:hideMark/>
          </w:tcPr>
          <w:p w:rsidR="00B66433" w:rsidRPr="00263B5B" w:rsidRDefault="00B66433" w:rsidP="003E4F18">
            <w:pPr>
              <w:spacing w:before="120"/>
              <w:jc w:val="center"/>
              <w:rPr>
                <w:sz w:val="20"/>
                <w:szCs w:val="20"/>
              </w:rPr>
            </w:pPr>
            <w:r w:rsidRPr="00263B5B">
              <w:rPr>
                <w:sz w:val="20"/>
                <w:szCs w:val="20"/>
              </w:rPr>
              <w:t>21,6</w:t>
            </w:r>
          </w:p>
        </w:tc>
      </w:tr>
      <w:tr w:rsidR="00B66433" w:rsidRPr="00263B5B" w:rsidTr="003E4F18">
        <w:trPr>
          <w:trHeight w:val="316"/>
        </w:trPr>
        <w:tc>
          <w:tcPr>
            <w:tcW w:w="2667" w:type="dxa"/>
            <w:shd w:val="clear" w:color="auto" w:fill="auto"/>
            <w:noWrap/>
            <w:vAlign w:val="bottom"/>
            <w:hideMark/>
          </w:tcPr>
          <w:p w:rsidR="00B66433" w:rsidRPr="00263B5B" w:rsidRDefault="008B27B1" w:rsidP="00114157">
            <w:pPr>
              <w:spacing w:before="120"/>
              <w:rPr>
                <w:b/>
                <w:bCs/>
                <w:sz w:val="20"/>
                <w:szCs w:val="20"/>
              </w:rPr>
            </w:pPr>
            <w:r w:rsidRPr="00263B5B">
              <w:rPr>
                <w:b/>
                <w:bCs/>
                <w:sz w:val="20"/>
                <w:szCs w:val="20"/>
              </w:rPr>
              <w:t>Unemployed</w:t>
            </w:r>
          </w:p>
        </w:tc>
        <w:tc>
          <w:tcPr>
            <w:tcW w:w="1718" w:type="dxa"/>
            <w:shd w:val="clear" w:color="auto" w:fill="auto"/>
            <w:noWrap/>
            <w:vAlign w:val="bottom"/>
            <w:hideMark/>
          </w:tcPr>
          <w:p w:rsidR="00B66433" w:rsidRPr="00263B5B" w:rsidRDefault="00B66433" w:rsidP="003E4F18">
            <w:pPr>
              <w:spacing w:before="120"/>
              <w:jc w:val="center"/>
              <w:rPr>
                <w:sz w:val="20"/>
                <w:szCs w:val="20"/>
              </w:rPr>
            </w:pPr>
            <w:r w:rsidRPr="00263B5B">
              <w:rPr>
                <w:sz w:val="20"/>
                <w:szCs w:val="20"/>
              </w:rPr>
              <w:t>234.471</w:t>
            </w:r>
          </w:p>
        </w:tc>
        <w:tc>
          <w:tcPr>
            <w:tcW w:w="2293" w:type="dxa"/>
            <w:shd w:val="clear" w:color="auto" w:fill="auto"/>
            <w:noWrap/>
            <w:vAlign w:val="bottom"/>
            <w:hideMark/>
          </w:tcPr>
          <w:p w:rsidR="00B66433" w:rsidRPr="00263B5B" w:rsidRDefault="00B66433" w:rsidP="003E4F18">
            <w:pPr>
              <w:spacing w:before="120"/>
              <w:jc w:val="center"/>
              <w:rPr>
                <w:sz w:val="20"/>
                <w:szCs w:val="20"/>
              </w:rPr>
            </w:pPr>
            <w:r w:rsidRPr="00263B5B">
              <w:rPr>
                <w:sz w:val="20"/>
                <w:szCs w:val="20"/>
              </w:rPr>
              <w:t>3,8</w:t>
            </w:r>
          </w:p>
        </w:tc>
      </w:tr>
      <w:tr w:rsidR="00B66433" w:rsidRPr="00263B5B" w:rsidTr="003E4F18">
        <w:trPr>
          <w:trHeight w:val="316"/>
        </w:trPr>
        <w:tc>
          <w:tcPr>
            <w:tcW w:w="2667" w:type="dxa"/>
            <w:shd w:val="clear" w:color="auto" w:fill="auto"/>
            <w:noWrap/>
            <w:vAlign w:val="bottom"/>
            <w:hideMark/>
          </w:tcPr>
          <w:p w:rsidR="00B66433" w:rsidRPr="00263B5B" w:rsidRDefault="00B66433" w:rsidP="00114157">
            <w:pPr>
              <w:spacing w:before="120"/>
              <w:rPr>
                <w:b/>
                <w:bCs/>
                <w:sz w:val="20"/>
                <w:szCs w:val="20"/>
              </w:rPr>
            </w:pPr>
            <w:r w:rsidRPr="00263B5B">
              <w:rPr>
                <w:b/>
                <w:bCs/>
                <w:sz w:val="20"/>
                <w:szCs w:val="20"/>
              </w:rPr>
              <w:t>To</w:t>
            </w:r>
            <w:r w:rsidR="008B27B1" w:rsidRPr="00263B5B">
              <w:rPr>
                <w:b/>
                <w:bCs/>
                <w:sz w:val="20"/>
                <w:szCs w:val="20"/>
              </w:rPr>
              <w:t>tal</w:t>
            </w:r>
          </w:p>
        </w:tc>
        <w:tc>
          <w:tcPr>
            <w:tcW w:w="1718" w:type="dxa"/>
            <w:shd w:val="clear" w:color="auto" w:fill="auto"/>
            <w:noWrap/>
            <w:vAlign w:val="bottom"/>
            <w:hideMark/>
          </w:tcPr>
          <w:p w:rsidR="00B66433" w:rsidRPr="00263B5B" w:rsidRDefault="00B66433" w:rsidP="003E4F18">
            <w:pPr>
              <w:spacing w:before="120"/>
              <w:jc w:val="center"/>
              <w:rPr>
                <w:sz w:val="20"/>
                <w:szCs w:val="20"/>
              </w:rPr>
            </w:pPr>
            <w:r w:rsidRPr="00263B5B">
              <w:rPr>
                <w:sz w:val="20"/>
                <w:szCs w:val="20"/>
              </w:rPr>
              <w:t>6.191.313</w:t>
            </w:r>
          </w:p>
        </w:tc>
        <w:tc>
          <w:tcPr>
            <w:tcW w:w="2293" w:type="dxa"/>
            <w:shd w:val="clear" w:color="auto" w:fill="auto"/>
            <w:noWrap/>
            <w:vAlign w:val="bottom"/>
            <w:hideMark/>
          </w:tcPr>
          <w:p w:rsidR="00B66433" w:rsidRPr="00263B5B" w:rsidRDefault="00B66433" w:rsidP="003E4F18">
            <w:pPr>
              <w:spacing w:before="120"/>
              <w:jc w:val="center"/>
              <w:rPr>
                <w:sz w:val="20"/>
                <w:szCs w:val="20"/>
              </w:rPr>
            </w:pPr>
            <w:r w:rsidRPr="00263B5B">
              <w:rPr>
                <w:sz w:val="20"/>
                <w:szCs w:val="20"/>
              </w:rPr>
              <w:t>100</w:t>
            </w:r>
          </w:p>
        </w:tc>
      </w:tr>
    </w:tbl>
    <w:p w:rsidR="008B27B1" w:rsidRPr="00263B5B" w:rsidRDefault="008B27B1" w:rsidP="008B27B1">
      <w:pPr>
        <w:spacing w:before="120"/>
      </w:pPr>
      <w:r w:rsidRPr="00263B5B">
        <w:t>Source: HLFS 2012. TURKSTAT; Betam</w:t>
      </w:r>
    </w:p>
    <w:p w:rsidR="008B27B1" w:rsidRPr="00263B5B" w:rsidRDefault="008B27B1" w:rsidP="00B66433">
      <w:pPr>
        <w:spacing w:before="120"/>
        <w:rPr>
          <w:sz w:val="20"/>
          <w:szCs w:val="20"/>
        </w:rPr>
      </w:pPr>
      <w:r w:rsidRPr="00263B5B">
        <w:rPr>
          <w:sz w:val="20"/>
          <w:szCs w:val="20"/>
        </w:rPr>
        <w:t>The numbers in Additional Table 2-3 are calculated disregarding educational status for young</w:t>
      </w:r>
    </w:p>
    <w:p w:rsidR="00726489" w:rsidRDefault="00726489" w:rsidP="00263B5B">
      <w:pPr>
        <w:spacing w:before="120"/>
        <w:rPr>
          <w:sz w:val="20"/>
          <w:szCs w:val="20"/>
        </w:rPr>
      </w:pPr>
    </w:p>
    <w:p w:rsidR="00CD55E3" w:rsidRPr="00263B5B" w:rsidRDefault="00CD55E3" w:rsidP="00263B5B">
      <w:pPr>
        <w:spacing w:before="120"/>
        <w:rPr>
          <w:sz w:val="20"/>
          <w:szCs w:val="20"/>
        </w:rPr>
      </w:pPr>
    </w:p>
    <w:p w:rsidR="00B66433" w:rsidRPr="00263B5B" w:rsidRDefault="008B27B1" w:rsidP="00B66433">
      <w:pPr>
        <w:spacing w:before="120"/>
        <w:rPr>
          <w:b/>
          <w:bCs/>
          <w:sz w:val="20"/>
          <w:szCs w:val="20"/>
        </w:rPr>
      </w:pPr>
      <w:r w:rsidRPr="00263B5B">
        <w:rPr>
          <w:b/>
          <w:bCs/>
          <w:sz w:val="20"/>
          <w:szCs w:val="20"/>
        </w:rPr>
        <w:t>Additional Table</w:t>
      </w:r>
      <w:r w:rsidR="00B66433" w:rsidRPr="00263B5B">
        <w:rPr>
          <w:b/>
          <w:bCs/>
          <w:sz w:val="20"/>
          <w:szCs w:val="20"/>
        </w:rPr>
        <w:t xml:space="preserve"> 4</w:t>
      </w:r>
      <w:r w:rsidRPr="00263B5B">
        <w:rPr>
          <w:b/>
          <w:bCs/>
          <w:sz w:val="20"/>
          <w:szCs w:val="20"/>
        </w:rPr>
        <w:t xml:space="preserve"> Unemploy</w:t>
      </w:r>
      <w:r w:rsidR="00764816" w:rsidRPr="00263B5B">
        <w:rPr>
          <w:b/>
          <w:bCs/>
          <w:sz w:val="20"/>
          <w:szCs w:val="20"/>
        </w:rPr>
        <w:t>men</w:t>
      </w:r>
      <w:r w:rsidRPr="00263B5B">
        <w:rPr>
          <w:b/>
          <w:bCs/>
          <w:sz w:val="20"/>
          <w:szCs w:val="20"/>
        </w:rPr>
        <w:t>t rates and la</w:t>
      </w:r>
      <w:r w:rsidR="00847D2C">
        <w:rPr>
          <w:b/>
          <w:bCs/>
          <w:sz w:val="20"/>
          <w:szCs w:val="20"/>
        </w:rPr>
        <w:t>bor market status for young</w:t>
      </w:r>
      <w:r w:rsidR="00EC6B96">
        <w:rPr>
          <w:b/>
          <w:bCs/>
          <w:sz w:val="20"/>
          <w:szCs w:val="20"/>
        </w:rPr>
        <w:t xml:space="preserve"> not enrolled in</w:t>
      </w:r>
      <w:r w:rsidRPr="00263B5B">
        <w:rPr>
          <w:b/>
          <w:bCs/>
          <w:sz w:val="20"/>
          <w:szCs w:val="20"/>
        </w:rPr>
        <w:t xml:space="preserve"> any educational institution</w:t>
      </w:r>
    </w:p>
    <w:tbl>
      <w:tblPr>
        <w:tblW w:w="7787" w:type="dxa"/>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CellMar>
          <w:left w:w="70" w:type="dxa"/>
          <w:right w:w="70" w:type="dxa"/>
        </w:tblCellMar>
        <w:tblLook w:val="04A0"/>
      </w:tblPr>
      <w:tblGrid>
        <w:gridCol w:w="3087"/>
        <w:gridCol w:w="1420"/>
        <w:gridCol w:w="1681"/>
        <w:gridCol w:w="1599"/>
      </w:tblGrid>
      <w:tr w:rsidR="00B66433" w:rsidRPr="00263B5B" w:rsidTr="0069672A">
        <w:trPr>
          <w:trHeight w:val="319"/>
        </w:trPr>
        <w:tc>
          <w:tcPr>
            <w:tcW w:w="3087" w:type="dxa"/>
            <w:shd w:val="clear" w:color="auto" w:fill="auto"/>
            <w:noWrap/>
            <w:vAlign w:val="bottom"/>
            <w:hideMark/>
          </w:tcPr>
          <w:p w:rsidR="00B66433" w:rsidRPr="00263B5B" w:rsidRDefault="00B66433" w:rsidP="003E4F18">
            <w:pPr>
              <w:spacing w:before="120"/>
              <w:jc w:val="center"/>
              <w:rPr>
                <w:sz w:val="20"/>
                <w:szCs w:val="20"/>
              </w:rPr>
            </w:pPr>
            <w:r w:rsidRPr="00263B5B">
              <w:rPr>
                <w:sz w:val="20"/>
                <w:szCs w:val="20"/>
              </w:rPr>
              <w:t> </w:t>
            </w:r>
          </w:p>
        </w:tc>
        <w:tc>
          <w:tcPr>
            <w:tcW w:w="1420" w:type="dxa"/>
            <w:shd w:val="clear" w:color="auto" w:fill="auto"/>
            <w:noWrap/>
            <w:vAlign w:val="bottom"/>
            <w:hideMark/>
          </w:tcPr>
          <w:p w:rsidR="00B66433" w:rsidRPr="00263B5B" w:rsidRDefault="00764816" w:rsidP="003E4F18">
            <w:pPr>
              <w:spacing w:before="120"/>
              <w:jc w:val="center"/>
              <w:rPr>
                <w:b/>
                <w:bCs/>
                <w:sz w:val="20"/>
                <w:szCs w:val="20"/>
              </w:rPr>
            </w:pPr>
            <w:r w:rsidRPr="00263B5B">
              <w:rPr>
                <w:b/>
                <w:bCs/>
                <w:sz w:val="20"/>
                <w:szCs w:val="20"/>
              </w:rPr>
              <w:t>Female</w:t>
            </w:r>
          </w:p>
        </w:tc>
        <w:tc>
          <w:tcPr>
            <w:tcW w:w="1681" w:type="dxa"/>
            <w:shd w:val="clear" w:color="auto" w:fill="auto"/>
            <w:noWrap/>
            <w:vAlign w:val="bottom"/>
            <w:hideMark/>
          </w:tcPr>
          <w:p w:rsidR="00B66433" w:rsidRPr="00263B5B" w:rsidRDefault="00764816" w:rsidP="003E4F18">
            <w:pPr>
              <w:spacing w:before="120"/>
              <w:jc w:val="center"/>
              <w:rPr>
                <w:b/>
                <w:bCs/>
                <w:sz w:val="20"/>
                <w:szCs w:val="20"/>
              </w:rPr>
            </w:pPr>
            <w:r w:rsidRPr="00263B5B">
              <w:rPr>
                <w:b/>
                <w:bCs/>
                <w:sz w:val="20"/>
                <w:szCs w:val="20"/>
              </w:rPr>
              <w:t>Male</w:t>
            </w:r>
          </w:p>
        </w:tc>
        <w:tc>
          <w:tcPr>
            <w:tcW w:w="1599" w:type="dxa"/>
            <w:shd w:val="clear" w:color="auto" w:fill="auto"/>
            <w:noWrap/>
            <w:vAlign w:val="bottom"/>
            <w:hideMark/>
          </w:tcPr>
          <w:p w:rsidR="00B66433" w:rsidRPr="00263B5B" w:rsidRDefault="008B27B1" w:rsidP="003E4F18">
            <w:pPr>
              <w:spacing w:before="120"/>
              <w:jc w:val="center"/>
              <w:rPr>
                <w:b/>
                <w:bCs/>
                <w:sz w:val="20"/>
                <w:szCs w:val="20"/>
              </w:rPr>
            </w:pPr>
            <w:r w:rsidRPr="00263B5B">
              <w:rPr>
                <w:b/>
                <w:bCs/>
                <w:sz w:val="20"/>
                <w:szCs w:val="20"/>
              </w:rPr>
              <w:t>Total</w:t>
            </w:r>
          </w:p>
        </w:tc>
      </w:tr>
      <w:tr w:rsidR="00B66433" w:rsidRPr="00263B5B" w:rsidTr="0069672A">
        <w:trPr>
          <w:trHeight w:val="319"/>
        </w:trPr>
        <w:tc>
          <w:tcPr>
            <w:tcW w:w="3087" w:type="dxa"/>
            <w:shd w:val="clear" w:color="auto" w:fill="auto"/>
            <w:noWrap/>
            <w:vAlign w:val="bottom"/>
            <w:hideMark/>
          </w:tcPr>
          <w:p w:rsidR="00B66433" w:rsidRPr="00263B5B" w:rsidRDefault="0069672A" w:rsidP="00114157">
            <w:pPr>
              <w:spacing w:before="120"/>
              <w:rPr>
                <w:b/>
                <w:bCs/>
                <w:sz w:val="20"/>
                <w:szCs w:val="20"/>
              </w:rPr>
            </w:pPr>
            <w:r w:rsidRPr="00263B5B">
              <w:rPr>
                <w:b/>
                <w:bCs/>
                <w:sz w:val="20"/>
                <w:szCs w:val="20"/>
              </w:rPr>
              <w:t>Employed</w:t>
            </w:r>
          </w:p>
        </w:tc>
        <w:tc>
          <w:tcPr>
            <w:tcW w:w="1420" w:type="dxa"/>
            <w:shd w:val="clear" w:color="auto" w:fill="auto"/>
            <w:noWrap/>
            <w:vAlign w:val="bottom"/>
            <w:hideMark/>
          </w:tcPr>
          <w:p w:rsidR="00B66433" w:rsidRPr="00263B5B" w:rsidRDefault="008B27B1" w:rsidP="003E4F18">
            <w:pPr>
              <w:spacing w:before="120"/>
              <w:jc w:val="center"/>
              <w:rPr>
                <w:sz w:val="20"/>
                <w:szCs w:val="20"/>
              </w:rPr>
            </w:pPr>
            <w:r w:rsidRPr="00263B5B">
              <w:rPr>
                <w:sz w:val="20"/>
                <w:szCs w:val="20"/>
              </w:rPr>
              <w:t>287,</w:t>
            </w:r>
            <w:r w:rsidR="00B66433" w:rsidRPr="00263B5B">
              <w:rPr>
                <w:sz w:val="20"/>
                <w:szCs w:val="20"/>
              </w:rPr>
              <w:t>661</w:t>
            </w:r>
          </w:p>
        </w:tc>
        <w:tc>
          <w:tcPr>
            <w:tcW w:w="1681" w:type="dxa"/>
            <w:shd w:val="clear" w:color="auto" w:fill="auto"/>
            <w:noWrap/>
            <w:vAlign w:val="bottom"/>
            <w:hideMark/>
          </w:tcPr>
          <w:p w:rsidR="00B66433" w:rsidRPr="00263B5B" w:rsidRDefault="0069672A" w:rsidP="003E4F18">
            <w:pPr>
              <w:spacing w:before="120"/>
              <w:jc w:val="center"/>
              <w:rPr>
                <w:sz w:val="20"/>
                <w:szCs w:val="20"/>
              </w:rPr>
            </w:pPr>
            <w:r w:rsidRPr="00263B5B">
              <w:rPr>
                <w:sz w:val="20"/>
                <w:szCs w:val="20"/>
              </w:rPr>
              <w:t>656,</w:t>
            </w:r>
            <w:r w:rsidR="00B66433" w:rsidRPr="00263B5B">
              <w:rPr>
                <w:sz w:val="20"/>
                <w:szCs w:val="20"/>
              </w:rPr>
              <w:t>739</w:t>
            </w:r>
          </w:p>
        </w:tc>
        <w:tc>
          <w:tcPr>
            <w:tcW w:w="1599" w:type="dxa"/>
            <w:shd w:val="clear" w:color="auto" w:fill="auto"/>
            <w:noWrap/>
            <w:vAlign w:val="bottom"/>
            <w:hideMark/>
          </w:tcPr>
          <w:p w:rsidR="00B66433" w:rsidRPr="00263B5B" w:rsidRDefault="0069672A" w:rsidP="003E4F18">
            <w:pPr>
              <w:spacing w:before="120"/>
              <w:jc w:val="center"/>
              <w:rPr>
                <w:sz w:val="20"/>
                <w:szCs w:val="20"/>
              </w:rPr>
            </w:pPr>
            <w:r w:rsidRPr="00263B5B">
              <w:rPr>
                <w:sz w:val="20"/>
                <w:szCs w:val="20"/>
              </w:rPr>
              <w:t>944,</w:t>
            </w:r>
            <w:r w:rsidR="00B66433" w:rsidRPr="00263B5B">
              <w:rPr>
                <w:sz w:val="20"/>
                <w:szCs w:val="20"/>
              </w:rPr>
              <w:t>400</w:t>
            </w:r>
          </w:p>
        </w:tc>
      </w:tr>
      <w:tr w:rsidR="00B66433" w:rsidRPr="00263B5B" w:rsidTr="0069672A">
        <w:trPr>
          <w:trHeight w:val="319"/>
        </w:trPr>
        <w:tc>
          <w:tcPr>
            <w:tcW w:w="3087" w:type="dxa"/>
            <w:shd w:val="clear" w:color="auto" w:fill="auto"/>
            <w:noWrap/>
            <w:vAlign w:val="bottom"/>
            <w:hideMark/>
          </w:tcPr>
          <w:p w:rsidR="00B66433" w:rsidRPr="00263B5B" w:rsidRDefault="0069672A" w:rsidP="00114157">
            <w:pPr>
              <w:spacing w:before="120"/>
              <w:rPr>
                <w:b/>
                <w:bCs/>
                <w:sz w:val="20"/>
                <w:szCs w:val="20"/>
              </w:rPr>
            </w:pPr>
            <w:r w:rsidRPr="00263B5B">
              <w:rPr>
                <w:b/>
                <w:bCs/>
                <w:sz w:val="20"/>
                <w:szCs w:val="20"/>
              </w:rPr>
              <w:t>Unemployed</w:t>
            </w:r>
          </w:p>
        </w:tc>
        <w:tc>
          <w:tcPr>
            <w:tcW w:w="1420" w:type="dxa"/>
            <w:shd w:val="clear" w:color="auto" w:fill="auto"/>
            <w:noWrap/>
            <w:vAlign w:val="bottom"/>
            <w:hideMark/>
          </w:tcPr>
          <w:p w:rsidR="00B66433" w:rsidRPr="00263B5B" w:rsidRDefault="008B27B1" w:rsidP="003E4F18">
            <w:pPr>
              <w:spacing w:before="120"/>
              <w:jc w:val="center"/>
              <w:rPr>
                <w:sz w:val="20"/>
                <w:szCs w:val="20"/>
              </w:rPr>
            </w:pPr>
            <w:r w:rsidRPr="00263B5B">
              <w:rPr>
                <w:sz w:val="20"/>
                <w:szCs w:val="20"/>
              </w:rPr>
              <w:t>50,</w:t>
            </w:r>
            <w:r w:rsidR="00B66433" w:rsidRPr="00263B5B">
              <w:rPr>
                <w:sz w:val="20"/>
                <w:szCs w:val="20"/>
              </w:rPr>
              <w:t>899</w:t>
            </w:r>
          </w:p>
        </w:tc>
        <w:tc>
          <w:tcPr>
            <w:tcW w:w="1681" w:type="dxa"/>
            <w:shd w:val="clear" w:color="auto" w:fill="auto"/>
            <w:noWrap/>
            <w:vAlign w:val="bottom"/>
            <w:hideMark/>
          </w:tcPr>
          <w:p w:rsidR="00B66433" w:rsidRPr="00263B5B" w:rsidRDefault="0069672A" w:rsidP="003E4F18">
            <w:pPr>
              <w:spacing w:before="120"/>
              <w:jc w:val="center"/>
              <w:rPr>
                <w:sz w:val="20"/>
                <w:szCs w:val="20"/>
              </w:rPr>
            </w:pPr>
            <w:r w:rsidRPr="00263B5B">
              <w:rPr>
                <w:sz w:val="20"/>
                <w:szCs w:val="20"/>
              </w:rPr>
              <w:t>129,</w:t>
            </w:r>
            <w:r w:rsidR="00B66433" w:rsidRPr="00263B5B">
              <w:rPr>
                <w:sz w:val="20"/>
                <w:szCs w:val="20"/>
              </w:rPr>
              <w:t>551</w:t>
            </w:r>
          </w:p>
        </w:tc>
        <w:tc>
          <w:tcPr>
            <w:tcW w:w="1599" w:type="dxa"/>
            <w:shd w:val="clear" w:color="auto" w:fill="auto"/>
            <w:noWrap/>
            <w:vAlign w:val="bottom"/>
            <w:hideMark/>
          </w:tcPr>
          <w:p w:rsidR="00B66433" w:rsidRPr="00263B5B" w:rsidRDefault="0069672A" w:rsidP="003E4F18">
            <w:pPr>
              <w:spacing w:before="120"/>
              <w:jc w:val="center"/>
              <w:rPr>
                <w:sz w:val="20"/>
                <w:szCs w:val="20"/>
              </w:rPr>
            </w:pPr>
            <w:r w:rsidRPr="00263B5B">
              <w:rPr>
                <w:sz w:val="20"/>
                <w:szCs w:val="20"/>
              </w:rPr>
              <w:t>180,</w:t>
            </w:r>
            <w:r w:rsidR="00B66433" w:rsidRPr="00263B5B">
              <w:rPr>
                <w:sz w:val="20"/>
                <w:szCs w:val="20"/>
              </w:rPr>
              <w:t>450</w:t>
            </w:r>
          </w:p>
        </w:tc>
      </w:tr>
      <w:tr w:rsidR="00B66433" w:rsidRPr="00263B5B" w:rsidTr="0069672A">
        <w:trPr>
          <w:trHeight w:val="319"/>
        </w:trPr>
        <w:tc>
          <w:tcPr>
            <w:tcW w:w="3087" w:type="dxa"/>
            <w:shd w:val="clear" w:color="auto" w:fill="auto"/>
            <w:noWrap/>
            <w:vAlign w:val="bottom"/>
            <w:hideMark/>
          </w:tcPr>
          <w:p w:rsidR="00B66433" w:rsidRPr="00263B5B" w:rsidRDefault="0069672A" w:rsidP="00114157">
            <w:pPr>
              <w:spacing w:before="120"/>
              <w:rPr>
                <w:b/>
                <w:bCs/>
                <w:sz w:val="20"/>
                <w:szCs w:val="20"/>
              </w:rPr>
            </w:pPr>
            <w:r w:rsidRPr="00263B5B">
              <w:rPr>
                <w:b/>
                <w:bCs/>
                <w:sz w:val="20"/>
                <w:szCs w:val="20"/>
              </w:rPr>
              <w:t>Inactive</w:t>
            </w:r>
          </w:p>
        </w:tc>
        <w:tc>
          <w:tcPr>
            <w:tcW w:w="1420" w:type="dxa"/>
            <w:shd w:val="clear" w:color="auto" w:fill="auto"/>
            <w:noWrap/>
            <w:vAlign w:val="bottom"/>
            <w:hideMark/>
          </w:tcPr>
          <w:p w:rsidR="00B66433" w:rsidRPr="00263B5B" w:rsidRDefault="008B27B1" w:rsidP="003E4F18">
            <w:pPr>
              <w:spacing w:before="120"/>
              <w:jc w:val="center"/>
              <w:rPr>
                <w:sz w:val="20"/>
                <w:szCs w:val="20"/>
              </w:rPr>
            </w:pPr>
            <w:r w:rsidRPr="00263B5B">
              <w:rPr>
                <w:sz w:val="20"/>
                <w:szCs w:val="20"/>
              </w:rPr>
              <w:t>921,</w:t>
            </w:r>
            <w:r w:rsidR="00B66433" w:rsidRPr="00263B5B">
              <w:rPr>
                <w:sz w:val="20"/>
                <w:szCs w:val="20"/>
              </w:rPr>
              <w:t>505</w:t>
            </w:r>
          </w:p>
        </w:tc>
        <w:tc>
          <w:tcPr>
            <w:tcW w:w="1681" w:type="dxa"/>
            <w:shd w:val="clear" w:color="auto" w:fill="auto"/>
            <w:noWrap/>
            <w:vAlign w:val="bottom"/>
            <w:hideMark/>
          </w:tcPr>
          <w:p w:rsidR="00B66433" w:rsidRPr="00263B5B" w:rsidRDefault="0069672A" w:rsidP="003E4F18">
            <w:pPr>
              <w:spacing w:before="120"/>
              <w:jc w:val="center"/>
              <w:rPr>
                <w:sz w:val="20"/>
                <w:szCs w:val="20"/>
              </w:rPr>
            </w:pPr>
            <w:r w:rsidRPr="00263B5B">
              <w:rPr>
                <w:sz w:val="20"/>
                <w:szCs w:val="20"/>
              </w:rPr>
              <w:t>434,</w:t>
            </w:r>
            <w:r w:rsidR="00B66433" w:rsidRPr="00263B5B">
              <w:rPr>
                <w:sz w:val="20"/>
                <w:szCs w:val="20"/>
              </w:rPr>
              <w:t>027</w:t>
            </w:r>
          </w:p>
        </w:tc>
        <w:tc>
          <w:tcPr>
            <w:tcW w:w="1599" w:type="dxa"/>
            <w:shd w:val="clear" w:color="auto" w:fill="auto"/>
            <w:noWrap/>
            <w:vAlign w:val="bottom"/>
            <w:hideMark/>
          </w:tcPr>
          <w:p w:rsidR="00B66433" w:rsidRPr="00263B5B" w:rsidRDefault="0069672A" w:rsidP="003E4F18">
            <w:pPr>
              <w:spacing w:before="120"/>
              <w:jc w:val="center"/>
              <w:rPr>
                <w:sz w:val="20"/>
                <w:szCs w:val="20"/>
              </w:rPr>
            </w:pPr>
            <w:r w:rsidRPr="00263B5B">
              <w:rPr>
                <w:sz w:val="20"/>
                <w:szCs w:val="20"/>
              </w:rPr>
              <w:t>1,355,</w:t>
            </w:r>
            <w:r w:rsidR="00B66433" w:rsidRPr="00263B5B">
              <w:rPr>
                <w:sz w:val="20"/>
                <w:szCs w:val="20"/>
              </w:rPr>
              <w:t>532</w:t>
            </w:r>
          </w:p>
        </w:tc>
      </w:tr>
      <w:tr w:rsidR="00B66433" w:rsidRPr="00263B5B" w:rsidTr="0069672A">
        <w:trPr>
          <w:trHeight w:val="319"/>
        </w:trPr>
        <w:tc>
          <w:tcPr>
            <w:tcW w:w="3087" w:type="dxa"/>
            <w:shd w:val="clear" w:color="auto" w:fill="auto"/>
            <w:noWrap/>
            <w:vAlign w:val="bottom"/>
            <w:hideMark/>
          </w:tcPr>
          <w:p w:rsidR="00B66433" w:rsidRPr="00263B5B" w:rsidRDefault="0069672A" w:rsidP="00114157">
            <w:pPr>
              <w:spacing w:before="120"/>
              <w:rPr>
                <w:b/>
                <w:bCs/>
                <w:sz w:val="20"/>
                <w:szCs w:val="20"/>
              </w:rPr>
            </w:pPr>
            <w:r w:rsidRPr="00263B5B">
              <w:rPr>
                <w:b/>
                <w:bCs/>
                <w:sz w:val="20"/>
                <w:szCs w:val="20"/>
              </w:rPr>
              <w:t>Total</w:t>
            </w:r>
          </w:p>
        </w:tc>
        <w:tc>
          <w:tcPr>
            <w:tcW w:w="1420" w:type="dxa"/>
            <w:shd w:val="clear" w:color="auto" w:fill="auto"/>
            <w:noWrap/>
            <w:vAlign w:val="bottom"/>
            <w:hideMark/>
          </w:tcPr>
          <w:p w:rsidR="00B66433" w:rsidRPr="00263B5B" w:rsidRDefault="008B27B1" w:rsidP="003E4F18">
            <w:pPr>
              <w:spacing w:before="120"/>
              <w:jc w:val="center"/>
              <w:rPr>
                <w:sz w:val="20"/>
                <w:szCs w:val="20"/>
              </w:rPr>
            </w:pPr>
            <w:r w:rsidRPr="00263B5B">
              <w:rPr>
                <w:sz w:val="20"/>
                <w:szCs w:val="20"/>
              </w:rPr>
              <w:t>1,260,</w:t>
            </w:r>
            <w:r w:rsidR="00B66433" w:rsidRPr="00263B5B">
              <w:rPr>
                <w:sz w:val="20"/>
                <w:szCs w:val="20"/>
              </w:rPr>
              <w:t>065</w:t>
            </w:r>
          </w:p>
        </w:tc>
        <w:tc>
          <w:tcPr>
            <w:tcW w:w="1681" w:type="dxa"/>
            <w:shd w:val="clear" w:color="auto" w:fill="auto"/>
            <w:noWrap/>
            <w:vAlign w:val="bottom"/>
            <w:hideMark/>
          </w:tcPr>
          <w:p w:rsidR="00B66433" w:rsidRPr="00263B5B" w:rsidRDefault="0069672A" w:rsidP="003E4F18">
            <w:pPr>
              <w:spacing w:before="120"/>
              <w:jc w:val="center"/>
              <w:rPr>
                <w:sz w:val="20"/>
                <w:szCs w:val="20"/>
              </w:rPr>
            </w:pPr>
            <w:r w:rsidRPr="00263B5B">
              <w:rPr>
                <w:sz w:val="20"/>
                <w:szCs w:val="20"/>
              </w:rPr>
              <w:t>1,220,</w:t>
            </w:r>
            <w:r w:rsidR="00B66433" w:rsidRPr="00263B5B">
              <w:rPr>
                <w:sz w:val="20"/>
                <w:szCs w:val="20"/>
              </w:rPr>
              <w:t>317</w:t>
            </w:r>
          </w:p>
        </w:tc>
        <w:tc>
          <w:tcPr>
            <w:tcW w:w="1599" w:type="dxa"/>
            <w:shd w:val="clear" w:color="auto" w:fill="auto"/>
            <w:noWrap/>
            <w:vAlign w:val="bottom"/>
            <w:hideMark/>
          </w:tcPr>
          <w:p w:rsidR="00B66433" w:rsidRPr="00263B5B" w:rsidRDefault="0069672A" w:rsidP="003E4F18">
            <w:pPr>
              <w:spacing w:before="120"/>
              <w:jc w:val="center"/>
              <w:rPr>
                <w:sz w:val="20"/>
                <w:szCs w:val="20"/>
              </w:rPr>
            </w:pPr>
            <w:r w:rsidRPr="00263B5B">
              <w:rPr>
                <w:sz w:val="20"/>
                <w:szCs w:val="20"/>
              </w:rPr>
              <w:t>2,480,</w:t>
            </w:r>
            <w:r w:rsidR="00B66433" w:rsidRPr="00263B5B">
              <w:rPr>
                <w:sz w:val="20"/>
                <w:szCs w:val="20"/>
              </w:rPr>
              <w:t>382</w:t>
            </w:r>
          </w:p>
        </w:tc>
      </w:tr>
      <w:tr w:rsidR="00B66433" w:rsidRPr="00263B5B" w:rsidTr="0069672A">
        <w:trPr>
          <w:trHeight w:val="319"/>
        </w:trPr>
        <w:tc>
          <w:tcPr>
            <w:tcW w:w="3087" w:type="dxa"/>
            <w:shd w:val="clear" w:color="auto" w:fill="auto"/>
            <w:noWrap/>
            <w:vAlign w:val="bottom"/>
            <w:hideMark/>
          </w:tcPr>
          <w:p w:rsidR="00B66433" w:rsidRPr="00263B5B" w:rsidRDefault="0069672A" w:rsidP="00114157">
            <w:pPr>
              <w:spacing w:before="120"/>
              <w:rPr>
                <w:b/>
                <w:bCs/>
                <w:sz w:val="20"/>
                <w:szCs w:val="20"/>
              </w:rPr>
            </w:pPr>
            <w:r w:rsidRPr="00263B5B">
              <w:rPr>
                <w:b/>
                <w:bCs/>
                <w:sz w:val="20"/>
                <w:szCs w:val="20"/>
              </w:rPr>
              <w:t>Labor force participation rate</w:t>
            </w:r>
          </w:p>
        </w:tc>
        <w:tc>
          <w:tcPr>
            <w:tcW w:w="1420" w:type="dxa"/>
            <w:shd w:val="clear" w:color="auto" w:fill="auto"/>
            <w:noWrap/>
            <w:vAlign w:val="bottom"/>
            <w:hideMark/>
          </w:tcPr>
          <w:p w:rsidR="00B66433" w:rsidRPr="00263B5B" w:rsidRDefault="00B66433" w:rsidP="008B27B1">
            <w:pPr>
              <w:spacing w:before="120"/>
              <w:jc w:val="center"/>
              <w:rPr>
                <w:sz w:val="20"/>
                <w:szCs w:val="20"/>
              </w:rPr>
            </w:pPr>
            <w:r w:rsidRPr="00263B5B">
              <w:rPr>
                <w:sz w:val="20"/>
                <w:szCs w:val="20"/>
              </w:rPr>
              <w:t>26</w:t>
            </w:r>
            <w:r w:rsidR="008B27B1" w:rsidRPr="00263B5B">
              <w:rPr>
                <w:sz w:val="20"/>
                <w:szCs w:val="20"/>
              </w:rPr>
              <w:t>.</w:t>
            </w:r>
            <w:r w:rsidRPr="00263B5B">
              <w:rPr>
                <w:sz w:val="20"/>
                <w:szCs w:val="20"/>
              </w:rPr>
              <w:t>9</w:t>
            </w:r>
            <w:r w:rsidR="008B27B1" w:rsidRPr="00263B5B">
              <w:rPr>
                <w:sz w:val="20"/>
                <w:szCs w:val="20"/>
              </w:rPr>
              <w:t>%</w:t>
            </w:r>
          </w:p>
        </w:tc>
        <w:tc>
          <w:tcPr>
            <w:tcW w:w="1681" w:type="dxa"/>
            <w:shd w:val="clear" w:color="auto" w:fill="auto"/>
            <w:noWrap/>
            <w:vAlign w:val="bottom"/>
            <w:hideMark/>
          </w:tcPr>
          <w:p w:rsidR="00B66433" w:rsidRPr="00263B5B" w:rsidRDefault="00B66433" w:rsidP="008B27B1">
            <w:pPr>
              <w:spacing w:before="120"/>
              <w:jc w:val="center"/>
              <w:rPr>
                <w:sz w:val="20"/>
                <w:szCs w:val="20"/>
              </w:rPr>
            </w:pPr>
            <w:r w:rsidRPr="00263B5B">
              <w:rPr>
                <w:sz w:val="20"/>
                <w:szCs w:val="20"/>
              </w:rPr>
              <w:t>64</w:t>
            </w:r>
            <w:r w:rsidR="008B27B1" w:rsidRPr="00263B5B">
              <w:rPr>
                <w:sz w:val="20"/>
                <w:szCs w:val="20"/>
              </w:rPr>
              <w:t>.</w:t>
            </w:r>
            <w:r w:rsidRPr="00263B5B">
              <w:rPr>
                <w:sz w:val="20"/>
                <w:szCs w:val="20"/>
              </w:rPr>
              <w:t>4</w:t>
            </w:r>
            <w:r w:rsidR="008B27B1" w:rsidRPr="00263B5B">
              <w:rPr>
                <w:sz w:val="20"/>
                <w:szCs w:val="20"/>
              </w:rPr>
              <w:t>%</w:t>
            </w:r>
          </w:p>
        </w:tc>
        <w:tc>
          <w:tcPr>
            <w:tcW w:w="1599" w:type="dxa"/>
            <w:shd w:val="clear" w:color="auto" w:fill="auto"/>
            <w:noWrap/>
            <w:vAlign w:val="bottom"/>
            <w:hideMark/>
          </w:tcPr>
          <w:p w:rsidR="00B66433" w:rsidRPr="00263B5B" w:rsidRDefault="00B66433" w:rsidP="008B27B1">
            <w:pPr>
              <w:spacing w:before="120"/>
              <w:jc w:val="center"/>
              <w:rPr>
                <w:sz w:val="20"/>
                <w:szCs w:val="20"/>
              </w:rPr>
            </w:pPr>
            <w:r w:rsidRPr="00263B5B">
              <w:rPr>
                <w:sz w:val="20"/>
                <w:szCs w:val="20"/>
              </w:rPr>
              <w:t>45</w:t>
            </w:r>
            <w:r w:rsidR="008B27B1" w:rsidRPr="00263B5B">
              <w:rPr>
                <w:sz w:val="20"/>
                <w:szCs w:val="20"/>
              </w:rPr>
              <w:t>.</w:t>
            </w:r>
            <w:r w:rsidRPr="00263B5B">
              <w:rPr>
                <w:sz w:val="20"/>
                <w:szCs w:val="20"/>
              </w:rPr>
              <w:t>3</w:t>
            </w:r>
            <w:r w:rsidR="008B27B1" w:rsidRPr="00263B5B">
              <w:rPr>
                <w:sz w:val="20"/>
                <w:szCs w:val="20"/>
              </w:rPr>
              <w:t>%</w:t>
            </w:r>
          </w:p>
        </w:tc>
      </w:tr>
      <w:tr w:rsidR="00B66433" w:rsidRPr="00263B5B" w:rsidTr="0069672A">
        <w:trPr>
          <w:trHeight w:val="319"/>
        </w:trPr>
        <w:tc>
          <w:tcPr>
            <w:tcW w:w="3087" w:type="dxa"/>
            <w:shd w:val="clear" w:color="auto" w:fill="auto"/>
            <w:noWrap/>
            <w:vAlign w:val="bottom"/>
            <w:hideMark/>
          </w:tcPr>
          <w:p w:rsidR="00B66433" w:rsidRPr="00263B5B" w:rsidRDefault="0069672A" w:rsidP="00114157">
            <w:pPr>
              <w:spacing w:before="120"/>
              <w:rPr>
                <w:b/>
                <w:bCs/>
                <w:sz w:val="20"/>
                <w:szCs w:val="20"/>
              </w:rPr>
            </w:pPr>
            <w:r w:rsidRPr="00263B5B">
              <w:rPr>
                <w:b/>
                <w:bCs/>
                <w:sz w:val="20"/>
                <w:szCs w:val="20"/>
              </w:rPr>
              <w:t>Unemploy</w:t>
            </w:r>
            <w:r w:rsidR="00764816" w:rsidRPr="00263B5B">
              <w:rPr>
                <w:b/>
                <w:bCs/>
                <w:sz w:val="20"/>
                <w:szCs w:val="20"/>
              </w:rPr>
              <w:t>ment</w:t>
            </w:r>
            <w:r w:rsidRPr="00263B5B">
              <w:rPr>
                <w:b/>
                <w:bCs/>
                <w:sz w:val="20"/>
                <w:szCs w:val="20"/>
              </w:rPr>
              <w:t xml:space="preserve"> rate</w:t>
            </w:r>
          </w:p>
        </w:tc>
        <w:tc>
          <w:tcPr>
            <w:tcW w:w="1420" w:type="dxa"/>
            <w:shd w:val="clear" w:color="auto" w:fill="auto"/>
            <w:noWrap/>
            <w:vAlign w:val="bottom"/>
            <w:hideMark/>
          </w:tcPr>
          <w:p w:rsidR="00B66433" w:rsidRPr="00263B5B" w:rsidRDefault="00B66433" w:rsidP="0069672A">
            <w:pPr>
              <w:spacing w:before="120"/>
              <w:jc w:val="center"/>
              <w:rPr>
                <w:sz w:val="20"/>
                <w:szCs w:val="20"/>
              </w:rPr>
            </w:pPr>
            <w:r w:rsidRPr="00263B5B">
              <w:rPr>
                <w:sz w:val="20"/>
                <w:szCs w:val="20"/>
              </w:rPr>
              <w:t>15</w:t>
            </w:r>
            <w:r w:rsidR="008B27B1" w:rsidRPr="00263B5B">
              <w:rPr>
                <w:sz w:val="20"/>
                <w:szCs w:val="20"/>
              </w:rPr>
              <w:t>.</w:t>
            </w:r>
            <w:r w:rsidRPr="00263B5B">
              <w:rPr>
                <w:sz w:val="20"/>
                <w:szCs w:val="20"/>
              </w:rPr>
              <w:t>0</w:t>
            </w:r>
            <w:r w:rsidR="008B27B1" w:rsidRPr="00263B5B">
              <w:rPr>
                <w:sz w:val="20"/>
                <w:szCs w:val="20"/>
              </w:rPr>
              <w:t>%</w:t>
            </w:r>
          </w:p>
        </w:tc>
        <w:tc>
          <w:tcPr>
            <w:tcW w:w="1681" w:type="dxa"/>
            <w:shd w:val="clear" w:color="auto" w:fill="auto"/>
            <w:noWrap/>
            <w:vAlign w:val="bottom"/>
            <w:hideMark/>
          </w:tcPr>
          <w:p w:rsidR="00B66433" w:rsidRPr="00263B5B" w:rsidRDefault="00B66433" w:rsidP="008B27B1">
            <w:pPr>
              <w:spacing w:before="120"/>
              <w:jc w:val="center"/>
              <w:rPr>
                <w:sz w:val="20"/>
                <w:szCs w:val="20"/>
              </w:rPr>
            </w:pPr>
            <w:r w:rsidRPr="00263B5B">
              <w:rPr>
                <w:sz w:val="20"/>
                <w:szCs w:val="20"/>
              </w:rPr>
              <w:t>16</w:t>
            </w:r>
            <w:r w:rsidR="008B27B1" w:rsidRPr="00263B5B">
              <w:rPr>
                <w:sz w:val="20"/>
                <w:szCs w:val="20"/>
              </w:rPr>
              <w:t>.</w:t>
            </w:r>
            <w:r w:rsidRPr="00263B5B">
              <w:rPr>
                <w:sz w:val="20"/>
                <w:szCs w:val="20"/>
              </w:rPr>
              <w:t>5</w:t>
            </w:r>
            <w:r w:rsidR="008B27B1" w:rsidRPr="00263B5B">
              <w:rPr>
                <w:sz w:val="20"/>
                <w:szCs w:val="20"/>
              </w:rPr>
              <w:t>%</w:t>
            </w:r>
          </w:p>
        </w:tc>
        <w:tc>
          <w:tcPr>
            <w:tcW w:w="1599" w:type="dxa"/>
            <w:shd w:val="clear" w:color="auto" w:fill="auto"/>
            <w:noWrap/>
            <w:vAlign w:val="bottom"/>
            <w:hideMark/>
          </w:tcPr>
          <w:p w:rsidR="00B66433" w:rsidRPr="00263B5B" w:rsidRDefault="00B66433" w:rsidP="008B27B1">
            <w:pPr>
              <w:spacing w:before="120"/>
              <w:jc w:val="center"/>
              <w:rPr>
                <w:sz w:val="20"/>
                <w:szCs w:val="20"/>
              </w:rPr>
            </w:pPr>
            <w:r w:rsidRPr="00263B5B">
              <w:rPr>
                <w:sz w:val="20"/>
                <w:szCs w:val="20"/>
              </w:rPr>
              <w:t>16</w:t>
            </w:r>
            <w:r w:rsidR="008B27B1" w:rsidRPr="00263B5B">
              <w:rPr>
                <w:sz w:val="20"/>
                <w:szCs w:val="20"/>
              </w:rPr>
              <w:t>.</w:t>
            </w:r>
            <w:r w:rsidRPr="00263B5B">
              <w:rPr>
                <w:sz w:val="20"/>
                <w:szCs w:val="20"/>
              </w:rPr>
              <w:t>0</w:t>
            </w:r>
            <w:r w:rsidR="008B27B1" w:rsidRPr="00263B5B">
              <w:rPr>
                <w:sz w:val="20"/>
                <w:szCs w:val="20"/>
              </w:rPr>
              <w:t>%</w:t>
            </w:r>
          </w:p>
        </w:tc>
      </w:tr>
    </w:tbl>
    <w:p w:rsidR="00B66433" w:rsidRPr="00263B5B" w:rsidRDefault="0069672A" w:rsidP="00A63533">
      <w:pPr>
        <w:spacing w:before="120"/>
        <w:rPr>
          <w:bCs/>
          <w:sz w:val="22"/>
          <w:szCs w:val="22"/>
        </w:rPr>
      </w:pPr>
      <w:r w:rsidRPr="00263B5B">
        <w:t>Source: HLFS 2012. TURKSTAT; Betam</w:t>
      </w:r>
    </w:p>
    <w:sectPr w:rsidR="00B66433" w:rsidRPr="00263B5B" w:rsidSect="00C278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751" w:rsidRDefault="007E7751" w:rsidP="00A63533">
      <w:r>
        <w:separator/>
      </w:r>
    </w:p>
  </w:endnote>
  <w:endnote w:type="continuationSeparator" w:id="1">
    <w:p w:rsidR="007E7751" w:rsidRDefault="007E7751" w:rsidP="00A635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751" w:rsidRDefault="007E7751" w:rsidP="00A63533">
      <w:r>
        <w:separator/>
      </w:r>
    </w:p>
  </w:footnote>
  <w:footnote w:type="continuationSeparator" w:id="1">
    <w:p w:rsidR="007E7751" w:rsidRDefault="007E7751" w:rsidP="00A63533">
      <w:r>
        <w:continuationSeparator/>
      </w:r>
    </w:p>
  </w:footnote>
  <w:footnote w:id="2">
    <w:p w:rsidR="00A63533" w:rsidRPr="00534701" w:rsidRDefault="00A63533" w:rsidP="00A63533">
      <w:pPr>
        <w:pStyle w:val="FootnoteText"/>
        <w:rPr>
          <w:lang w:val="en-US"/>
        </w:rPr>
      </w:pPr>
      <w:r w:rsidRPr="00CC3D09">
        <w:rPr>
          <w:rStyle w:val="FootnoteReference"/>
          <w:rFonts w:ascii="Arial" w:hAnsi="Arial" w:cs="Arial"/>
        </w:rPr>
        <w:sym w:font="Symbol" w:char="F02A"/>
      </w:r>
      <w:r w:rsidR="00A26143" w:rsidRPr="007125E7">
        <w:rPr>
          <w:rFonts w:ascii="Arial" w:hAnsi="Arial" w:cs="Arial"/>
          <w:b/>
          <w:bCs/>
          <w:sz w:val="16"/>
          <w:szCs w:val="16"/>
          <w:lang w:val="en-US"/>
        </w:rPr>
        <w:t xml:space="preserve"> </w:t>
      </w:r>
      <w:r w:rsidR="00A26143" w:rsidRPr="007125E7">
        <w:rPr>
          <w:rFonts w:ascii="Arial" w:hAnsi="Arial" w:cs="Arial"/>
          <w:sz w:val="16"/>
          <w:szCs w:val="16"/>
          <w:lang w:val="en-US"/>
        </w:rPr>
        <w:t>Prof. Seyfettin Gürsel, Betam, Director, seyfettin.gursel@bahcesehir.edu.tr</w:t>
      </w:r>
    </w:p>
  </w:footnote>
  <w:footnote w:id="3">
    <w:p w:rsidR="00A63533" w:rsidRPr="00534701" w:rsidRDefault="00A63533" w:rsidP="00A63533">
      <w:pPr>
        <w:pStyle w:val="FootnoteText"/>
        <w:rPr>
          <w:rFonts w:ascii="Arial" w:hAnsi="Arial" w:cs="Arial"/>
          <w:sz w:val="16"/>
          <w:szCs w:val="16"/>
          <w:lang w:val="en-US"/>
        </w:rPr>
      </w:pPr>
      <w:r w:rsidRPr="00CC3D09">
        <w:rPr>
          <w:rStyle w:val="FootnoteReference"/>
          <w:rFonts w:ascii="Arial" w:hAnsi="Arial" w:cs="Arial"/>
        </w:rPr>
        <w:sym w:font="Symbol" w:char="F02A"/>
      </w:r>
      <w:r w:rsidRPr="00CC3D09">
        <w:rPr>
          <w:rStyle w:val="FootnoteReference"/>
          <w:rFonts w:ascii="Arial" w:hAnsi="Arial" w:cs="Arial"/>
        </w:rPr>
        <w:sym w:font="Symbol" w:char="F02A"/>
      </w:r>
      <w:r w:rsidRPr="00CC3D09">
        <w:rPr>
          <w:rFonts w:ascii="Arial" w:hAnsi="Arial" w:cs="Arial"/>
        </w:rPr>
        <w:t xml:space="preserve"> </w:t>
      </w:r>
      <w:r w:rsidR="00A26143" w:rsidRPr="007125E7">
        <w:rPr>
          <w:rFonts w:ascii="Arial" w:hAnsi="Arial" w:cs="Arial"/>
          <w:sz w:val="16"/>
          <w:szCs w:val="16"/>
          <w:lang w:val="en-US"/>
        </w:rPr>
        <w:t xml:space="preserve">Asst. Prof. Gökçe Uysal, Betam Vice Director, </w:t>
      </w:r>
      <w:hyperlink r:id="rId1" w:history="1">
        <w:r w:rsidR="00A26143" w:rsidRPr="007125E7">
          <w:rPr>
            <w:rFonts w:ascii="Arial" w:hAnsi="Arial" w:cs="Arial"/>
            <w:sz w:val="16"/>
            <w:szCs w:val="16"/>
            <w:lang w:val="en-US"/>
          </w:rPr>
          <w:t>gokce.uysal@bahcesehir.edu.tr</w:t>
        </w:r>
      </w:hyperlink>
      <w:r w:rsidR="00A26143" w:rsidRPr="007125E7">
        <w:rPr>
          <w:rFonts w:ascii="Arial" w:hAnsi="Arial" w:cs="Arial"/>
          <w:sz w:val="16"/>
          <w:szCs w:val="16"/>
          <w:lang w:val="en-US"/>
        </w:rPr>
        <w:t xml:space="preserve"> </w:t>
      </w:r>
    </w:p>
  </w:footnote>
  <w:footnote w:id="4">
    <w:p w:rsidR="00A63533" w:rsidRPr="00CC3D09" w:rsidRDefault="00A63533" w:rsidP="00A63533">
      <w:pPr>
        <w:pStyle w:val="FootnoteText"/>
        <w:rPr>
          <w:rFonts w:ascii="Arial" w:hAnsi="Arial" w:cs="Arial"/>
          <w:sz w:val="16"/>
          <w:szCs w:val="16"/>
        </w:rPr>
      </w:pPr>
      <w:r w:rsidRPr="00CC3D09">
        <w:rPr>
          <w:rStyle w:val="FootnoteReference"/>
          <w:rFonts w:ascii="Arial" w:hAnsi="Arial" w:cs="Arial"/>
        </w:rPr>
        <w:sym w:font="Symbol" w:char="F02A"/>
      </w:r>
      <w:r w:rsidRPr="00CC3D09">
        <w:rPr>
          <w:rStyle w:val="FootnoteReference"/>
          <w:rFonts w:ascii="Arial" w:hAnsi="Arial" w:cs="Arial"/>
        </w:rPr>
        <w:sym w:font="Symbol" w:char="F02A"/>
      </w:r>
      <w:r w:rsidRPr="00CC3D09">
        <w:rPr>
          <w:rStyle w:val="FootnoteReference"/>
          <w:rFonts w:ascii="Arial" w:hAnsi="Arial" w:cs="Arial"/>
        </w:rPr>
        <w:sym w:font="Symbol" w:char="F02A"/>
      </w:r>
      <w:r w:rsidRPr="00CC3D09">
        <w:rPr>
          <w:rFonts w:ascii="Arial" w:hAnsi="Arial" w:cs="Arial"/>
        </w:rPr>
        <w:t xml:space="preserve"> </w:t>
      </w:r>
      <w:r w:rsidR="00F56188">
        <w:rPr>
          <w:rFonts w:ascii="Arial" w:hAnsi="Arial" w:cs="Arial"/>
          <w:sz w:val="16"/>
          <w:szCs w:val="16"/>
          <w:lang w:val="en-US"/>
        </w:rPr>
        <w:t>Melike Kökkızıl</w:t>
      </w:r>
      <w:r w:rsidR="00F56188" w:rsidRPr="007125E7">
        <w:rPr>
          <w:rFonts w:ascii="Arial" w:hAnsi="Arial" w:cs="Arial"/>
          <w:sz w:val="16"/>
          <w:szCs w:val="16"/>
          <w:lang w:val="en-US"/>
        </w:rPr>
        <w:t xml:space="preserve">, Betam, Research Assistant, </w:t>
      </w:r>
      <w:r w:rsidR="00F56188">
        <w:rPr>
          <w:rFonts w:ascii="Arial" w:hAnsi="Arial" w:cs="Arial"/>
          <w:sz w:val="16"/>
          <w:szCs w:val="16"/>
          <w:lang w:val="en-US"/>
        </w:rPr>
        <w:t>melike.kokkizil</w:t>
      </w:r>
      <w:r w:rsidR="00F56188" w:rsidRPr="007125E7">
        <w:rPr>
          <w:rFonts w:ascii="Arial" w:hAnsi="Arial" w:cs="Arial"/>
          <w:sz w:val="16"/>
          <w:szCs w:val="16"/>
          <w:lang w:val="en-US"/>
        </w:rPr>
        <w:t>@bahcesehir.edu.tr</w:t>
      </w:r>
    </w:p>
  </w:footnote>
  <w:footnote w:id="5">
    <w:p w:rsidR="00CD55E3" w:rsidRPr="00263B5B" w:rsidRDefault="00A26143" w:rsidP="00CD55E3">
      <w:pPr>
        <w:spacing w:before="120"/>
        <w:jc w:val="both"/>
        <w:rPr>
          <w:b/>
          <w:bCs/>
          <w:sz w:val="20"/>
          <w:szCs w:val="20"/>
        </w:rPr>
      </w:pPr>
      <w:r w:rsidRPr="00BB1DA0">
        <w:rPr>
          <w:rStyle w:val="FootnoteReference"/>
          <w:sz w:val="20"/>
          <w:szCs w:val="20"/>
        </w:rPr>
        <w:footnoteRef/>
      </w:r>
      <w:r w:rsidR="00CD55E3">
        <w:t>266 thousand young</w:t>
      </w:r>
      <w:r w:rsidR="008A3233">
        <w:t xml:space="preserve"> who</w:t>
      </w:r>
      <w:r w:rsidR="00CD55E3">
        <w:t xml:space="preserve"> graduated from a high school and</w:t>
      </w:r>
      <w:r w:rsidR="008A3233">
        <w:t xml:space="preserve"> who are</w:t>
      </w:r>
      <w:r w:rsidR="00CD55E3">
        <w:t xml:space="preserve"> not enrolled any school state that they continue their education. </w:t>
      </w:r>
      <w:r w:rsidR="00605BD2">
        <w:t>We think that these individuals are preparing</w:t>
      </w:r>
      <w:r w:rsidR="00CD55E3">
        <w:t xml:space="preserve"> for</w:t>
      </w:r>
      <w:r w:rsidR="00605BD2">
        <w:t xml:space="preserve"> the</w:t>
      </w:r>
      <w:r w:rsidR="00CD55E3">
        <w:t xml:space="preserve"> Higher Education Examination (YGS). When we </w:t>
      </w:r>
      <w:r w:rsidR="00601BD7">
        <w:t>take</w:t>
      </w:r>
      <w:r w:rsidR="00CD55E3">
        <w:t xml:space="preserve"> this group</w:t>
      </w:r>
      <w:r w:rsidR="00601BD7">
        <w:t xml:space="preserve"> that</w:t>
      </w:r>
      <w:r w:rsidR="00CD55E3">
        <w:t xml:space="preserve"> continues their education as </w:t>
      </w:r>
      <w:r w:rsidR="00601BD7">
        <w:t xml:space="preserve">enrolled, </w:t>
      </w:r>
      <w:r w:rsidR="00CD55E3">
        <w:t>the enrolment rate for Turkey increases</w:t>
      </w:r>
      <w:r w:rsidR="00601BD7">
        <w:t xml:space="preserve"> by 3.8 </w:t>
      </w:r>
      <w:r w:rsidR="00CD55E3">
        <w:t>percentage point</w:t>
      </w:r>
      <w:r w:rsidR="00665B03">
        <w:t>s</w:t>
      </w:r>
      <w:r w:rsidR="00CD55E3">
        <w:t xml:space="preserve">. </w:t>
      </w:r>
    </w:p>
    <w:p w:rsidR="00272F4B" w:rsidRDefault="00272F4B" w:rsidP="00A26143">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63533"/>
    <w:rsid w:val="00005FE2"/>
    <w:rsid w:val="0002252B"/>
    <w:rsid w:val="00027F2E"/>
    <w:rsid w:val="00041985"/>
    <w:rsid w:val="00072A74"/>
    <w:rsid w:val="000A66CC"/>
    <w:rsid w:val="000B392D"/>
    <w:rsid w:val="000E3EFA"/>
    <w:rsid w:val="000F6ABD"/>
    <w:rsid w:val="000F78AF"/>
    <w:rsid w:val="00100507"/>
    <w:rsid w:val="00114157"/>
    <w:rsid w:val="00152BC9"/>
    <w:rsid w:val="0016167A"/>
    <w:rsid w:val="001810FD"/>
    <w:rsid w:val="00195966"/>
    <w:rsid w:val="001B13F7"/>
    <w:rsid w:val="001C3631"/>
    <w:rsid w:val="001D6228"/>
    <w:rsid w:val="001E618B"/>
    <w:rsid w:val="00201B71"/>
    <w:rsid w:val="00206C68"/>
    <w:rsid w:val="00211977"/>
    <w:rsid w:val="0024474B"/>
    <w:rsid w:val="00247188"/>
    <w:rsid w:val="00263B5B"/>
    <w:rsid w:val="00272EEC"/>
    <w:rsid w:val="00272F4B"/>
    <w:rsid w:val="00283F7F"/>
    <w:rsid w:val="002849CB"/>
    <w:rsid w:val="002D741D"/>
    <w:rsid w:val="002E74AB"/>
    <w:rsid w:val="002F4E42"/>
    <w:rsid w:val="0030034B"/>
    <w:rsid w:val="00306C26"/>
    <w:rsid w:val="00314C52"/>
    <w:rsid w:val="003165C5"/>
    <w:rsid w:val="00322607"/>
    <w:rsid w:val="00340A0E"/>
    <w:rsid w:val="00373FAF"/>
    <w:rsid w:val="00377D02"/>
    <w:rsid w:val="003B4454"/>
    <w:rsid w:val="003C20C2"/>
    <w:rsid w:val="003C7FD9"/>
    <w:rsid w:val="003E1101"/>
    <w:rsid w:val="003F1C57"/>
    <w:rsid w:val="003F626F"/>
    <w:rsid w:val="004033E3"/>
    <w:rsid w:val="00416DB1"/>
    <w:rsid w:val="00420078"/>
    <w:rsid w:val="004218C4"/>
    <w:rsid w:val="00424ADF"/>
    <w:rsid w:val="004257C4"/>
    <w:rsid w:val="00426DBF"/>
    <w:rsid w:val="004327B8"/>
    <w:rsid w:val="00433F94"/>
    <w:rsid w:val="00452C4A"/>
    <w:rsid w:val="004921AA"/>
    <w:rsid w:val="00494798"/>
    <w:rsid w:val="004A4957"/>
    <w:rsid w:val="004B4F92"/>
    <w:rsid w:val="004C0E24"/>
    <w:rsid w:val="004D1413"/>
    <w:rsid w:val="004F4441"/>
    <w:rsid w:val="005140DB"/>
    <w:rsid w:val="00524BEC"/>
    <w:rsid w:val="00533110"/>
    <w:rsid w:val="00534701"/>
    <w:rsid w:val="0054276B"/>
    <w:rsid w:val="00551A23"/>
    <w:rsid w:val="00555AAC"/>
    <w:rsid w:val="00575CA9"/>
    <w:rsid w:val="00583B69"/>
    <w:rsid w:val="0058622D"/>
    <w:rsid w:val="00597547"/>
    <w:rsid w:val="0060042C"/>
    <w:rsid w:val="00601BD7"/>
    <w:rsid w:val="00605BD2"/>
    <w:rsid w:val="00610D67"/>
    <w:rsid w:val="00622C00"/>
    <w:rsid w:val="006235C0"/>
    <w:rsid w:val="006346C2"/>
    <w:rsid w:val="006573E1"/>
    <w:rsid w:val="00664330"/>
    <w:rsid w:val="00665B03"/>
    <w:rsid w:val="00685740"/>
    <w:rsid w:val="0069672A"/>
    <w:rsid w:val="006B7ADA"/>
    <w:rsid w:val="006E6298"/>
    <w:rsid w:val="006F6994"/>
    <w:rsid w:val="007022D1"/>
    <w:rsid w:val="00721652"/>
    <w:rsid w:val="00726489"/>
    <w:rsid w:val="00731BC3"/>
    <w:rsid w:val="00732DF3"/>
    <w:rsid w:val="00743A23"/>
    <w:rsid w:val="00760EE6"/>
    <w:rsid w:val="00764816"/>
    <w:rsid w:val="00795EEC"/>
    <w:rsid w:val="007A078B"/>
    <w:rsid w:val="007D398B"/>
    <w:rsid w:val="007D6E2C"/>
    <w:rsid w:val="007E47E5"/>
    <w:rsid w:val="007E7751"/>
    <w:rsid w:val="008017F7"/>
    <w:rsid w:val="00804B64"/>
    <w:rsid w:val="00810B52"/>
    <w:rsid w:val="00823994"/>
    <w:rsid w:val="008433C4"/>
    <w:rsid w:val="00847D2C"/>
    <w:rsid w:val="0085153B"/>
    <w:rsid w:val="008A2662"/>
    <w:rsid w:val="008A3233"/>
    <w:rsid w:val="008B1C8E"/>
    <w:rsid w:val="008B27B1"/>
    <w:rsid w:val="008B512F"/>
    <w:rsid w:val="008B6BF8"/>
    <w:rsid w:val="008C190D"/>
    <w:rsid w:val="00904215"/>
    <w:rsid w:val="00906BBC"/>
    <w:rsid w:val="00913CA1"/>
    <w:rsid w:val="009519DC"/>
    <w:rsid w:val="00952332"/>
    <w:rsid w:val="00956602"/>
    <w:rsid w:val="0098288B"/>
    <w:rsid w:val="00983580"/>
    <w:rsid w:val="0099291A"/>
    <w:rsid w:val="009B3D41"/>
    <w:rsid w:val="009B486D"/>
    <w:rsid w:val="009E3A32"/>
    <w:rsid w:val="009E6DA9"/>
    <w:rsid w:val="009F5A5E"/>
    <w:rsid w:val="009F690B"/>
    <w:rsid w:val="00A031D3"/>
    <w:rsid w:val="00A071DF"/>
    <w:rsid w:val="00A11842"/>
    <w:rsid w:val="00A26143"/>
    <w:rsid w:val="00A33965"/>
    <w:rsid w:val="00A3530F"/>
    <w:rsid w:val="00A40B85"/>
    <w:rsid w:val="00A63533"/>
    <w:rsid w:val="00A66EB5"/>
    <w:rsid w:val="00A735B6"/>
    <w:rsid w:val="00A80878"/>
    <w:rsid w:val="00A80C54"/>
    <w:rsid w:val="00A8747C"/>
    <w:rsid w:val="00A96935"/>
    <w:rsid w:val="00AA427A"/>
    <w:rsid w:val="00AA65F1"/>
    <w:rsid w:val="00AA6F31"/>
    <w:rsid w:val="00AC69C8"/>
    <w:rsid w:val="00AD4CDD"/>
    <w:rsid w:val="00AF0152"/>
    <w:rsid w:val="00B0644C"/>
    <w:rsid w:val="00B524F9"/>
    <w:rsid w:val="00B66433"/>
    <w:rsid w:val="00B752CD"/>
    <w:rsid w:val="00B75D53"/>
    <w:rsid w:val="00B947DD"/>
    <w:rsid w:val="00BA4621"/>
    <w:rsid w:val="00BA7F41"/>
    <w:rsid w:val="00BB1DA0"/>
    <w:rsid w:val="00BB51F6"/>
    <w:rsid w:val="00BC5C97"/>
    <w:rsid w:val="00C069F9"/>
    <w:rsid w:val="00C20531"/>
    <w:rsid w:val="00C25748"/>
    <w:rsid w:val="00C27898"/>
    <w:rsid w:val="00C34212"/>
    <w:rsid w:val="00C36E27"/>
    <w:rsid w:val="00C46338"/>
    <w:rsid w:val="00C6036E"/>
    <w:rsid w:val="00C624BE"/>
    <w:rsid w:val="00C648E2"/>
    <w:rsid w:val="00C82117"/>
    <w:rsid w:val="00C92064"/>
    <w:rsid w:val="00C931E4"/>
    <w:rsid w:val="00CB488F"/>
    <w:rsid w:val="00CB6D97"/>
    <w:rsid w:val="00CC7C41"/>
    <w:rsid w:val="00CD4222"/>
    <w:rsid w:val="00CD55E3"/>
    <w:rsid w:val="00CF4AC8"/>
    <w:rsid w:val="00D270CC"/>
    <w:rsid w:val="00D42B32"/>
    <w:rsid w:val="00D67BE1"/>
    <w:rsid w:val="00D75970"/>
    <w:rsid w:val="00D9763A"/>
    <w:rsid w:val="00DC0525"/>
    <w:rsid w:val="00DC4E86"/>
    <w:rsid w:val="00DF14A8"/>
    <w:rsid w:val="00E138A3"/>
    <w:rsid w:val="00E42B31"/>
    <w:rsid w:val="00E550A2"/>
    <w:rsid w:val="00E631CC"/>
    <w:rsid w:val="00EA1C30"/>
    <w:rsid w:val="00EA65F4"/>
    <w:rsid w:val="00EB1CCF"/>
    <w:rsid w:val="00EC6B96"/>
    <w:rsid w:val="00EE78E6"/>
    <w:rsid w:val="00F063C6"/>
    <w:rsid w:val="00F43D37"/>
    <w:rsid w:val="00F4630A"/>
    <w:rsid w:val="00F56188"/>
    <w:rsid w:val="00F72BDB"/>
    <w:rsid w:val="00F83618"/>
    <w:rsid w:val="00F85E79"/>
    <w:rsid w:val="00F8707B"/>
    <w:rsid w:val="00F92FD7"/>
    <w:rsid w:val="00FB0E1F"/>
    <w:rsid w:val="00FB47A2"/>
    <w:rsid w:val="00FB66B1"/>
    <w:rsid w:val="00FC7A05"/>
    <w:rsid w:val="00FD100F"/>
    <w:rsid w:val="00FE3A5F"/>
    <w:rsid w:val="00FE7972"/>
    <w:rsid w:val="00FF4D18"/>
    <w:rsid w:val="00FF6C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533"/>
    <w:pPr>
      <w:suppressAutoHyphens/>
      <w:spacing w:after="0" w:line="240" w:lineRule="auto"/>
    </w:pPr>
    <w:rPr>
      <w:rFonts w:ascii="Arial" w:eastAsia="Times New Roman" w:hAnsi="Arial" w:cs="Arial"/>
      <w:sz w:val="16"/>
      <w:szCs w:val="16"/>
      <w:lang w:val="en-US" w:eastAsia="ar-SA"/>
    </w:rPr>
  </w:style>
  <w:style w:type="paragraph" w:styleId="Heading1">
    <w:name w:val="heading 1"/>
    <w:basedOn w:val="Normal"/>
    <w:next w:val="Normal"/>
    <w:link w:val="Heading1Char"/>
    <w:uiPriority w:val="99"/>
    <w:qFormat/>
    <w:rsid w:val="00CC7C41"/>
    <w:pPr>
      <w:keepNext/>
      <w:jc w:val="center"/>
      <w:outlineLvl w:val="0"/>
    </w:pPr>
    <w:rPr>
      <w:rFonts w:cs="Times New Roman"/>
      <w:b/>
      <w:iCs/>
      <w:sz w:val="18"/>
      <w:szCs w:val="18"/>
      <w:lang w:val="tr-TR"/>
    </w:rPr>
  </w:style>
  <w:style w:type="paragraph" w:styleId="Heading2">
    <w:name w:val="heading 2"/>
    <w:basedOn w:val="Normal"/>
    <w:next w:val="Normal"/>
    <w:link w:val="Heading2Char"/>
    <w:uiPriority w:val="99"/>
    <w:qFormat/>
    <w:rsid w:val="00A26143"/>
    <w:pPr>
      <w:keepNext/>
      <w:spacing w:before="240" w:after="60"/>
      <w:outlineLvl w:val="1"/>
    </w:pPr>
    <w:rPr>
      <w:b/>
      <w:bCs/>
      <w:i/>
      <w:iCs/>
      <w:sz w:val="28"/>
      <w:szCs w:val="28"/>
      <w:lang w:val="en-GB"/>
    </w:rPr>
  </w:style>
  <w:style w:type="paragraph" w:styleId="Heading3">
    <w:name w:val="heading 3"/>
    <w:basedOn w:val="Normal"/>
    <w:next w:val="Normal"/>
    <w:link w:val="Heading3Char"/>
    <w:uiPriority w:val="99"/>
    <w:qFormat/>
    <w:rsid w:val="00CC7C41"/>
    <w:pPr>
      <w:keepNext/>
      <w:spacing w:before="240" w:after="60"/>
      <w:outlineLvl w:val="2"/>
    </w:pPr>
    <w:rPr>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63533"/>
    <w:rPr>
      <w:vertAlign w:val="superscript"/>
    </w:rPr>
  </w:style>
  <w:style w:type="paragraph" w:styleId="FootnoteText">
    <w:name w:val="footnote text"/>
    <w:basedOn w:val="Normal"/>
    <w:link w:val="FootnoteTextChar"/>
    <w:semiHidden/>
    <w:rsid w:val="00A63533"/>
    <w:rPr>
      <w:rFonts w:ascii="Times New Roman" w:hAnsi="Times New Roman" w:cs="Times New Roman"/>
      <w:sz w:val="20"/>
      <w:szCs w:val="20"/>
      <w:lang w:val="tr-TR"/>
    </w:rPr>
  </w:style>
  <w:style w:type="character" w:customStyle="1" w:styleId="FootnoteTextChar">
    <w:name w:val="Footnote Text Char"/>
    <w:basedOn w:val="DefaultParagraphFont"/>
    <w:link w:val="FootnoteText"/>
    <w:uiPriority w:val="99"/>
    <w:semiHidden/>
    <w:rsid w:val="00A63533"/>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721652"/>
    <w:rPr>
      <w:rFonts w:ascii="Tahoma" w:hAnsi="Tahoma" w:cs="Tahoma"/>
    </w:rPr>
  </w:style>
  <w:style w:type="character" w:customStyle="1" w:styleId="BalloonTextChar">
    <w:name w:val="Balloon Text Char"/>
    <w:basedOn w:val="DefaultParagraphFont"/>
    <w:link w:val="BalloonText"/>
    <w:uiPriority w:val="99"/>
    <w:semiHidden/>
    <w:rsid w:val="00721652"/>
    <w:rPr>
      <w:rFonts w:ascii="Tahoma" w:eastAsia="Times New Roman" w:hAnsi="Tahoma" w:cs="Tahoma"/>
      <w:sz w:val="16"/>
      <w:szCs w:val="16"/>
      <w:lang w:val="en-US" w:eastAsia="ar-SA"/>
    </w:rPr>
  </w:style>
  <w:style w:type="paragraph" w:styleId="Caption">
    <w:name w:val="caption"/>
    <w:basedOn w:val="Normal"/>
    <w:next w:val="Normal"/>
    <w:uiPriority w:val="35"/>
    <w:semiHidden/>
    <w:unhideWhenUsed/>
    <w:qFormat/>
    <w:rsid w:val="00721652"/>
    <w:pPr>
      <w:spacing w:after="200"/>
    </w:pPr>
    <w:rPr>
      <w:b/>
      <w:bCs/>
      <w:color w:val="4F81BD" w:themeColor="accent1"/>
      <w:sz w:val="18"/>
      <w:szCs w:val="18"/>
    </w:rPr>
  </w:style>
  <w:style w:type="character" w:customStyle="1" w:styleId="Heading2Char">
    <w:name w:val="Heading 2 Char"/>
    <w:basedOn w:val="DefaultParagraphFont"/>
    <w:link w:val="Heading2"/>
    <w:uiPriority w:val="99"/>
    <w:rsid w:val="00A26143"/>
    <w:rPr>
      <w:rFonts w:ascii="Arial" w:eastAsia="Times New Roman" w:hAnsi="Arial" w:cs="Arial"/>
      <w:b/>
      <w:bCs/>
      <w:i/>
      <w:iCs/>
      <w:sz w:val="28"/>
      <w:szCs w:val="28"/>
      <w:lang w:val="en-GB" w:eastAsia="ar-SA"/>
    </w:rPr>
  </w:style>
  <w:style w:type="character" w:customStyle="1" w:styleId="Heading1Char">
    <w:name w:val="Heading 1 Char"/>
    <w:basedOn w:val="DefaultParagraphFont"/>
    <w:link w:val="Heading1"/>
    <w:uiPriority w:val="99"/>
    <w:rsid w:val="00CC7C41"/>
    <w:rPr>
      <w:rFonts w:ascii="Arial" w:eastAsia="Times New Roman" w:hAnsi="Arial" w:cs="Times New Roman"/>
      <w:b/>
      <w:iCs/>
      <w:sz w:val="18"/>
      <w:szCs w:val="18"/>
      <w:lang w:eastAsia="ar-SA"/>
    </w:rPr>
  </w:style>
  <w:style w:type="character" w:customStyle="1" w:styleId="Heading3Char">
    <w:name w:val="Heading 3 Char"/>
    <w:basedOn w:val="DefaultParagraphFont"/>
    <w:link w:val="Heading3"/>
    <w:uiPriority w:val="99"/>
    <w:rsid w:val="00CC7C41"/>
    <w:rPr>
      <w:rFonts w:ascii="Arial" w:eastAsia="Times New Roman" w:hAnsi="Arial" w:cs="Arial"/>
      <w:b/>
      <w:bCs/>
      <w:sz w:val="26"/>
      <w:szCs w:val="26"/>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mailto:gokce.uysal@bahcesehir.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FC537-0E6C-4CFD-AC31-F5ADB160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6</Pages>
  <Words>2233</Words>
  <Characters>12731</Characters>
  <Application>Microsoft Office Word</Application>
  <DocSecurity>0</DocSecurity>
  <Lines>106</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melike.kokkizil</dc:creator>
  <cp:lastModifiedBy>merve.akgul</cp:lastModifiedBy>
  <cp:revision>160</cp:revision>
  <dcterms:created xsi:type="dcterms:W3CDTF">2013-12-30T08:17:00Z</dcterms:created>
  <dcterms:modified xsi:type="dcterms:W3CDTF">2014-01-03T14:49:00Z</dcterms:modified>
</cp:coreProperties>
</file>