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24" w:rsidRPr="007125E7" w:rsidRDefault="00681024" w:rsidP="00681024">
      <w:pPr>
        <w:pStyle w:val="Balk1"/>
        <w:rPr>
          <w:rFonts w:ascii="Times New Roman" w:hAnsi="Times New Roman" w:cs="Times New Roman"/>
          <w:sz w:val="52"/>
          <w:szCs w:val="52"/>
          <w:lang w:val="en-US"/>
        </w:rPr>
      </w:pPr>
      <w:r w:rsidRPr="007125E7">
        <w:rPr>
          <w:rFonts w:ascii="Times New Roman" w:hAnsi="Times New Roman" w:cs="Times New Roman"/>
          <w:sz w:val="52"/>
          <w:szCs w:val="52"/>
          <w:lang w:val="en-US"/>
        </w:rPr>
        <w:t xml:space="preserve">                 Research Brief 13/155</w:t>
      </w:r>
    </w:p>
    <w:p w:rsidR="008E1A99" w:rsidRPr="00087C8D" w:rsidRDefault="00A0629D" w:rsidP="00087C8D">
      <w:pPr>
        <w:pStyle w:val="Balk3"/>
        <w:ind w:right="-993"/>
        <w:jc w:val="right"/>
        <w:rPr>
          <w:rFonts w:ascii="Arial" w:hAnsi="Arial" w:cs="Arial"/>
          <w:color w:val="FFFFFF"/>
          <w:sz w:val="24"/>
          <w:szCs w:val="24"/>
          <w:lang w:val="en-US"/>
        </w:rPr>
      </w:pPr>
      <w:r w:rsidRPr="007125E7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-661670</wp:posOffset>
            </wp:positionV>
            <wp:extent cx="7315200" cy="1330325"/>
            <wp:effectExtent l="0" t="0" r="0" b="3175"/>
            <wp:wrapNone/>
            <wp:docPr id="8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="00087C8D" w:rsidRPr="00087C8D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087C8D" w:rsidRPr="00087C8D">
        <w:rPr>
          <w:rFonts w:ascii="Arial" w:hAnsi="Arial" w:cs="Arial"/>
          <w:color w:val="FFFFFF"/>
          <w:sz w:val="24"/>
          <w:szCs w:val="24"/>
          <w:lang w:val="en-US"/>
        </w:rPr>
        <w:t>25</w:t>
      </w:r>
      <w:r w:rsidR="00087C8D" w:rsidRPr="00087C8D">
        <w:rPr>
          <w:rFonts w:ascii="Arial" w:hAnsi="Arial" w:cs="Arial"/>
          <w:color w:val="FFFFFF"/>
          <w:sz w:val="24"/>
          <w:szCs w:val="24"/>
          <w:vertAlign w:val="superscript"/>
          <w:lang w:val="en-US"/>
        </w:rPr>
        <w:t xml:space="preserve"> </w:t>
      </w:r>
      <w:r w:rsidR="00087C8D" w:rsidRPr="00087C8D">
        <w:rPr>
          <w:rFonts w:ascii="Arial" w:hAnsi="Arial" w:cs="Arial"/>
          <w:color w:val="FFFFFF"/>
          <w:sz w:val="24"/>
          <w:szCs w:val="24"/>
          <w:lang w:val="en-US"/>
        </w:rPr>
        <w:t>September</w:t>
      </w:r>
      <w:r w:rsidR="00087C8D">
        <w:rPr>
          <w:rFonts w:ascii="Arial" w:hAnsi="Arial" w:cs="Arial"/>
          <w:color w:val="FFFFFF"/>
          <w:sz w:val="24"/>
          <w:szCs w:val="24"/>
          <w:lang w:val="en-US"/>
        </w:rPr>
        <w:t xml:space="preserve"> </w:t>
      </w:r>
      <w:r w:rsidR="00087C8D" w:rsidRPr="00087C8D">
        <w:rPr>
          <w:rFonts w:ascii="Arial" w:hAnsi="Arial" w:cs="Arial"/>
          <w:color w:val="FFFFFF"/>
          <w:sz w:val="24"/>
          <w:szCs w:val="24"/>
          <w:lang w:val="en-US"/>
        </w:rPr>
        <w:t>2013</w:t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Pr="00087C8D">
        <w:rPr>
          <w:rFonts w:ascii="Arial" w:hAnsi="Arial" w:cs="Arial"/>
          <w:sz w:val="24"/>
          <w:szCs w:val="24"/>
          <w:lang w:val="en-US"/>
        </w:rPr>
        <w:tab/>
      </w:r>
      <w:r w:rsidR="008E1A99" w:rsidRPr="00087C8D">
        <w:rPr>
          <w:rFonts w:ascii="Arial" w:hAnsi="Arial" w:cs="Arial"/>
          <w:sz w:val="24"/>
          <w:szCs w:val="24"/>
          <w:lang w:val="en-US"/>
        </w:rPr>
        <w:tab/>
      </w:r>
      <w:r w:rsidR="008E1A99" w:rsidRPr="00087C8D">
        <w:rPr>
          <w:rFonts w:ascii="Arial" w:hAnsi="Arial" w:cs="Arial"/>
          <w:sz w:val="24"/>
          <w:szCs w:val="24"/>
          <w:lang w:val="en-US"/>
        </w:rPr>
        <w:tab/>
      </w:r>
    </w:p>
    <w:p w:rsidR="00A0629D" w:rsidRPr="007125E7" w:rsidRDefault="009E63D9" w:rsidP="009E63D9">
      <w:pPr>
        <w:spacing w:after="0" w:line="240" w:lineRule="auto"/>
        <w:rPr>
          <w:lang w:val="en-US"/>
        </w:rPr>
      </w:pP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  <w:r w:rsidRPr="007125E7">
        <w:rPr>
          <w:lang w:val="en-US"/>
        </w:rPr>
        <w:tab/>
      </w:r>
    </w:p>
    <w:p w:rsidR="00A0629D" w:rsidRPr="007125E7" w:rsidRDefault="00F8047A" w:rsidP="009E63D9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125E7">
        <w:rPr>
          <w:rFonts w:ascii="Arial" w:hAnsi="Arial" w:cs="Arial"/>
          <w:b/>
          <w:sz w:val="28"/>
          <w:szCs w:val="28"/>
          <w:lang w:val="en-US"/>
        </w:rPr>
        <w:t>WE ARE POSTPONING RETIREMENT</w:t>
      </w:r>
    </w:p>
    <w:p w:rsidR="00A0629D" w:rsidRPr="007125E7" w:rsidRDefault="00A0629D" w:rsidP="009E63D9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125E7">
        <w:rPr>
          <w:rFonts w:ascii="Arial" w:hAnsi="Arial" w:cs="Arial"/>
          <w:b/>
          <w:bCs/>
          <w:sz w:val="20"/>
          <w:szCs w:val="20"/>
          <w:lang w:val="en-US"/>
        </w:rPr>
        <w:t>Seyfettin Gürsel</w:t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footnoteReference w:customMarkFollows="1" w:id="2"/>
        <w:t>*</w:t>
      </w:r>
      <w:r w:rsidRPr="007125E7">
        <w:rPr>
          <w:rFonts w:ascii="Arial" w:hAnsi="Arial" w:cs="Arial"/>
          <w:b/>
          <w:bCs/>
          <w:sz w:val="20"/>
          <w:szCs w:val="20"/>
          <w:lang w:val="en-US"/>
        </w:rPr>
        <w:t>, Gökçe Uysal</w:t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footnoteReference w:customMarkFollows="1" w:id="3"/>
        <w:sym w:font="Symbol" w:char="F02A"/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sym w:font="Symbol" w:char="F02A"/>
      </w:r>
      <w:r w:rsidRPr="007125E7">
        <w:rPr>
          <w:rFonts w:ascii="Arial" w:hAnsi="Arial" w:cs="Arial"/>
          <w:b/>
          <w:bCs/>
          <w:sz w:val="20"/>
          <w:szCs w:val="20"/>
          <w:lang w:val="en-US"/>
        </w:rPr>
        <w:t xml:space="preserve"> ve Ayşenur Acar</w:t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sym w:font="Symbol" w:char="F02A"/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sym w:font="Symbol" w:char="F02A"/>
      </w:r>
      <w:r w:rsidRPr="007125E7">
        <w:rPr>
          <w:rStyle w:val="DipnotBavurusu"/>
          <w:rFonts w:ascii="Arial" w:hAnsi="Arial" w:cs="Arial"/>
          <w:b/>
          <w:bCs/>
          <w:sz w:val="20"/>
          <w:szCs w:val="20"/>
          <w:lang w:val="en-US"/>
        </w:rPr>
        <w:sym w:font="Symbol" w:char="F02A"/>
      </w:r>
      <w:r w:rsidRPr="007125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9E63D9" w:rsidRPr="007125E7" w:rsidRDefault="009E63D9" w:rsidP="009E63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ar-SA"/>
        </w:rPr>
      </w:pPr>
    </w:p>
    <w:p w:rsidR="00A0629D" w:rsidRPr="007125E7" w:rsidRDefault="00A0629D" w:rsidP="009E63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ar-SA"/>
        </w:rPr>
      </w:pPr>
      <w:r w:rsidRPr="007125E7">
        <w:rPr>
          <w:rFonts w:ascii="Arial" w:eastAsia="Times New Roman" w:hAnsi="Arial" w:cs="Arial"/>
          <w:b/>
          <w:bCs/>
          <w:lang w:val="en-US" w:eastAsia="ar-SA"/>
        </w:rPr>
        <w:t>Executive Summary</w:t>
      </w:r>
    </w:p>
    <w:p w:rsidR="00A0629D" w:rsidRPr="007125E7" w:rsidRDefault="00A0629D" w:rsidP="009E63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ar-SA"/>
        </w:rPr>
      </w:pPr>
    </w:p>
    <w:p w:rsidR="00A0629D" w:rsidRPr="007125E7" w:rsidRDefault="003B2C6A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regulations </w:t>
      </w:r>
      <w:r w:rsidR="0045621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allowing</w:t>
      </w:r>
      <w:r w:rsidR="00A0629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early retirement in 1990’s had made Turkey a country </w:t>
      </w:r>
      <w:r w:rsidR="0063641C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of young </w:t>
      </w:r>
      <w:r w:rsidR="0045621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and </w:t>
      </w:r>
      <w:r w:rsidR="0063641C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early retired people. </w:t>
      </w:r>
      <w:r w:rsidR="00820C8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We have been seeking for reforms that will provide a solution f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or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this</w:t>
      </w:r>
      <w:r w:rsidR="00A0629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unsustainable </w:t>
      </w:r>
      <w:r w:rsidR="00820C8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problem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since 1999. </w:t>
      </w:r>
      <w:r w:rsidR="00232DC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Using data from the 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Income and Living Conditions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Survey</w:t>
      </w:r>
      <w:r w:rsidR="00232DC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conducted 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by TURKSTAT, </w:t>
      </w:r>
      <w:r w:rsidR="00B037A9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we show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that the regulations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which </w:t>
      </w:r>
      <w:r w:rsidR="007A67B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aim to </w:t>
      </w:r>
      <w:r w:rsidR="00911F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postpone retirement age ha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ve</w:t>
      </w:r>
      <w:r w:rsidR="00C25C2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started to kick in.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C25C2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We can clearly observe their 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impacts </w:t>
      </w:r>
      <w:r w:rsidR="00FE3C7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although still limited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Although the number of retired people above 35 years of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 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has increased from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5.800.000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7.100.000</w:t>
      </w:r>
      <w:r w:rsidR="005C76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between the years of 2006 and 2010, da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ta indicates that both </w:t>
      </w:r>
      <w:r w:rsidR="00820B2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number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</w:t>
      </w:r>
      <w:r w:rsidR="00820B2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="0035388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hare of young retired people have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declined. </w:t>
      </w:r>
      <w:r w:rsidR="0010519C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We observe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that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number of retired </w:t>
      </w:r>
      <w:r w:rsidR="0081178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people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aged </w:t>
      </w:r>
      <w:r w:rsidR="00764E2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between the years of 35 and 49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has fell through 941,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00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0 to 802,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000 </w:t>
      </w:r>
      <w:r w:rsidR="00D20F6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the period under study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and the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ir share in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A77D9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population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has declined </w:t>
      </w:r>
      <w:r w:rsidR="00A77D9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from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7.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1% to 5.5%. It should be highlighted that women have sig</w:t>
      </w:r>
      <w:r w:rsidR="009148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nificant role in this decline. Parallel to this decline in the share of the young, t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he </w:t>
      </w:r>
      <w:r w:rsidR="00693C3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share</w:t>
      </w:r>
      <w:r w:rsidR="00F307E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</w:t>
      </w:r>
      <w:r w:rsidR="00693C3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retired people in </w:t>
      </w:r>
      <w:r w:rsidR="009148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population aged</w:t>
      </w:r>
      <w:r w:rsidR="00693C3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above 50 years </w:t>
      </w:r>
      <w:r w:rsidR="009148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continues</w:t>
      </w:r>
      <w:r w:rsidR="00693C3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increase.</w:t>
      </w:r>
    </w:p>
    <w:p w:rsidR="00693C31" w:rsidRPr="007125E7" w:rsidRDefault="00693C31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693C31" w:rsidRPr="007125E7" w:rsidRDefault="005C00A9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Retirees are more likely to live in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w</w:t>
      </w:r>
      <w:r w:rsidR="00693C3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est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ern</w:t>
      </w:r>
      <w:r w:rsidR="00CC15E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regions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of Turkey as expected as these regions are more populated. W</w:t>
      </w:r>
      <w:r w:rsidR="00364C9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hen we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focus on the ratio </w:t>
      </w:r>
      <w:r w:rsidR="00364C9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of retirees to population 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aged </w:t>
      </w:r>
      <w:r w:rsidR="00364C9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above 35 years as an indicator 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for the density of retirees</w:t>
      </w:r>
      <w:r w:rsidR="0058610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t</w:t>
      </w:r>
      <w:r w:rsidR="00364C9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he highest 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ratio belongs to East Marmara, 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followed by </w:t>
      </w:r>
      <w:r w:rsidR="0058610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Aegean.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lowest 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ratios are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, as expected, </w:t>
      </w:r>
      <w:r w:rsidR="0058610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the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58610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Central 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East and Southeast</w:t>
      </w:r>
      <w:r w:rsidR="00E574F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</w:t>
      </w:r>
      <w:r w:rsidR="00CC541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egions.</w:t>
      </w:r>
    </w:p>
    <w:p w:rsidR="00CC541D" w:rsidRPr="007125E7" w:rsidRDefault="00CC541D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CC541D" w:rsidRPr="007125E7" w:rsidRDefault="00575276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  <w:r w:rsidRPr="007125E7">
        <w:rPr>
          <w:rFonts w:ascii="Arial" w:eastAsia="Times New Roman" w:hAnsi="Arial" w:cs="Arial"/>
          <w:b/>
          <w:lang w:val="en-US" w:eastAsia="ar-SA"/>
        </w:rPr>
        <w:t>Outlook on</w:t>
      </w:r>
      <w:r w:rsidR="00F33143" w:rsidRPr="007125E7">
        <w:rPr>
          <w:rFonts w:ascii="Arial" w:eastAsia="Times New Roman" w:hAnsi="Arial" w:cs="Arial"/>
          <w:b/>
          <w:lang w:val="en-US" w:eastAsia="ar-SA"/>
        </w:rPr>
        <w:t xml:space="preserve"> </w:t>
      </w:r>
      <w:r w:rsidR="0008303B" w:rsidRPr="007125E7">
        <w:rPr>
          <w:rFonts w:ascii="Arial" w:eastAsia="Times New Roman" w:hAnsi="Arial" w:cs="Arial"/>
          <w:b/>
          <w:lang w:val="en-US" w:eastAsia="ar-SA"/>
        </w:rPr>
        <w:t>r</w:t>
      </w:r>
      <w:r w:rsidR="00CC541D" w:rsidRPr="007125E7">
        <w:rPr>
          <w:rFonts w:ascii="Arial" w:eastAsia="Times New Roman" w:hAnsi="Arial" w:cs="Arial"/>
          <w:b/>
          <w:lang w:val="en-US" w:eastAsia="ar-SA"/>
        </w:rPr>
        <w:t>etirement</w:t>
      </w:r>
    </w:p>
    <w:p w:rsidR="00DE063A" w:rsidRPr="007125E7" w:rsidRDefault="00DE063A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CC541D" w:rsidRPr="007125E7" w:rsidRDefault="000A2165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Retirement </w:t>
      </w:r>
      <w:r w:rsidR="005752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was introduced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</w:t>
      </w:r>
      <w:r w:rsidR="005752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economic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agenda</w:t>
      </w:r>
      <w:r w:rsidR="005752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Turkey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by Suleyman Demirel, </w:t>
      </w:r>
      <w:r w:rsidR="00F8201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former prime minister of Turkey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1990’s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with regulations which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lead </w:t>
      </w:r>
      <w:r w:rsidR="00F8201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to</w:t>
      </w:r>
      <w:r w:rsidR="00BA6B3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early retirement</w:t>
      </w:r>
      <w:r w:rsidR="003A51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 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that</w:t>
      </w:r>
      <w:r w:rsidR="003A51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time</w:t>
      </w:r>
      <w:r w:rsidR="00F8201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period, a popular </w:t>
      </w:r>
      <w:r w:rsidR="003A51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slogan </w:t>
      </w:r>
      <w:r w:rsidR="00F8201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used</w:t>
      </w:r>
      <w:r w:rsidR="003A51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by unions was “pension in tomb”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  The government of the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time 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took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this slogan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seriously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allowed women to retire after</w:t>
      </w:r>
      <w:r w:rsidR="009E1DA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15 years 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and men after 20</w:t>
      </w:r>
      <w:r w:rsidR="009E1DA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years</w:t>
      </w:r>
      <w:r w:rsidR="00C84F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employment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Hereafter, it </w:t>
      </w:r>
      <w:r w:rsidR="0008000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became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possible to </w:t>
      </w:r>
      <w:r w:rsidR="0008000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retire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08000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while still at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08000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age</w:t>
      </w:r>
      <w:r w:rsidR="00DD30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35 – 40 </w:t>
      </w:r>
      <w:r w:rsidR="009E1DA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years. In meantime, </w:t>
      </w:r>
      <w:r w:rsidR="00442D1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life expectancy</w:t>
      </w:r>
      <w:r w:rsidR="009E1DA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Turkey was increasi</w:t>
      </w:r>
      <w:r w:rsidR="00190C3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ng towards 70 years</w:t>
      </w:r>
      <w:r w:rsidR="005177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age. The government also declared that early retirement was going </w:t>
      </w:r>
      <w:r w:rsidR="0095698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to </w:t>
      </w:r>
      <w:r w:rsidR="005177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expand job opportunities</w:t>
      </w:r>
      <w:r w:rsidR="0095698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for </w:t>
      </w:r>
      <w:r w:rsidR="005177C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youth.  In the late </w:t>
      </w:r>
      <w:r w:rsidR="0095698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1990’s, fiscal deficit had reached to substantial amount and economic instability </w:t>
      </w:r>
      <w:r w:rsidR="00A240EC" w:rsidRPr="007125E7">
        <w:rPr>
          <w:rFonts w:ascii="Arial" w:eastAsia="Times New Roman" w:hAnsi="Arial" w:cs="Arial"/>
          <w:sz w:val="20"/>
          <w:szCs w:val="20"/>
          <w:lang w:val="en-US" w:eastAsia="ar-SA"/>
        </w:rPr>
        <w:t>had reached</w:t>
      </w:r>
      <w:r w:rsidR="000547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highest levels.</w:t>
      </w:r>
      <w:r w:rsidR="00491D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role of early retirement in</w:t>
      </w:r>
      <w:r w:rsidR="000547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this collapse was not </w:t>
      </w:r>
      <w:r w:rsidR="00491D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substantial</w:t>
      </w:r>
      <w:r w:rsidR="00190C3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but</w:t>
      </w:r>
      <w:r w:rsidR="00491D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</w:t>
      </w:r>
      <w:r w:rsidR="00190C3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new system was absolutely not </w:t>
      </w:r>
      <w:r w:rsidR="000547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sustainable in the long run.  </w:t>
      </w:r>
      <w:r w:rsidR="002E4549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Subsequently</w:t>
      </w:r>
      <w:r w:rsidR="0005477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, IMF 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stipulated the conditions </w:t>
      </w:r>
      <w:r w:rsidR="00566C3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of financial aid to Turkey, i.e.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structural reforms as well as</w:t>
      </w:r>
      <w:r w:rsidR="00566C3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pension reform</w:t>
      </w:r>
      <w:r w:rsidR="00190C3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</w:t>
      </w:r>
      <w:r w:rsidR="00566C3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This 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regulation </w:t>
      </w:r>
      <w:r w:rsidR="00566C3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aimed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defer retir</w:t>
      </w:r>
      <w:r w:rsidR="00190C3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</w:t>
      </w:r>
      <w:r w:rsidR="002B506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ment age.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impacts of the reform 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put into practice 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1999 </w:t>
      </w:r>
      <w:r w:rsidR="00566C3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are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gradually seen 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statistics. Now, t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he number of retiree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increases </w:t>
      </w:r>
      <w:r w:rsidR="004A5C6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rapidly 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but at the same time, we are </w:t>
      </w:r>
      <w:r w:rsidR="004A5C6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postponing retirement</w:t>
      </w:r>
      <w:r w:rsidR="004527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</w:p>
    <w:p w:rsidR="004A5C6E" w:rsidRPr="007125E7" w:rsidRDefault="004A5C6E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2C3074" w:rsidRDefault="002C307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this research brief, we are exploring th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 dynamics of retirement. </w:t>
      </w:r>
      <w:r w:rsidR="00CF3F1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This brief will be followed by o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ther briefs 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which will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tackle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other a</w:t>
      </w:r>
      <w:r w:rsidR="006F540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pects of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issue like working retirees, income of retirees</w:t>
      </w:r>
      <w:r w:rsidR="00CF3F1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etc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In this analysis, we are using both </w:t>
      </w:r>
      <w:r w:rsidR="00127F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EUROSTAT data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compare </w:t>
      </w:r>
      <w:r w:rsidR="00127F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Turkey </w:t>
      </w:r>
      <w:r w:rsidR="00CF3F1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to</w:t>
      </w:r>
      <w:r w:rsidR="00127F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Europe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</w:t>
      </w:r>
      <w:r w:rsidR="00127F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the data from “Income and Living Conditions Survey</w:t>
      </w:r>
      <w:r w:rsidR="00CF3F1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” to study the demographics of retirement in Turkey and its regions. </w:t>
      </w:r>
      <w:r w:rsidR="00127F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</w:p>
    <w:p w:rsidR="00087C8D" w:rsidRDefault="00087C8D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087C8D" w:rsidRPr="007125E7" w:rsidRDefault="00087C8D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8A6CC7" w:rsidRPr="007125E7" w:rsidRDefault="008A6CC7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257FA7" w:rsidRDefault="00257FA7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257FA7" w:rsidRDefault="00257FA7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257FA7" w:rsidRDefault="00257FA7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127F1E" w:rsidRPr="007125E7" w:rsidRDefault="00127F1E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  <w:r w:rsidRPr="007125E7">
        <w:rPr>
          <w:rFonts w:ascii="Arial" w:eastAsia="Times New Roman" w:hAnsi="Arial" w:cs="Arial"/>
          <w:b/>
          <w:lang w:val="en-US" w:eastAsia="ar-SA"/>
        </w:rPr>
        <w:t xml:space="preserve">We </w:t>
      </w:r>
      <w:r w:rsidR="00E428CA" w:rsidRPr="007125E7">
        <w:rPr>
          <w:rFonts w:ascii="Arial" w:eastAsia="Times New Roman" w:hAnsi="Arial" w:cs="Arial"/>
          <w:b/>
          <w:lang w:val="en-US" w:eastAsia="ar-SA"/>
        </w:rPr>
        <w:t>retire</w:t>
      </w:r>
      <w:r w:rsidRPr="007125E7">
        <w:rPr>
          <w:rFonts w:ascii="Arial" w:eastAsia="Times New Roman" w:hAnsi="Arial" w:cs="Arial"/>
          <w:b/>
          <w:lang w:val="en-US" w:eastAsia="ar-SA"/>
        </w:rPr>
        <w:t xml:space="preserve"> earlier </w:t>
      </w:r>
      <w:r w:rsidR="00F33143" w:rsidRPr="007125E7">
        <w:rPr>
          <w:rFonts w:ascii="Arial" w:eastAsia="Times New Roman" w:hAnsi="Arial" w:cs="Arial"/>
          <w:b/>
          <w:lang w:val="en-US" w:eastAsia="ar-SA"/>
        </w:rPr>
        <w:t>than</w:t>
      </w:r>
      <w:r w:rsidRPr="007125E7">
        <w:rPr>
          <w:rFonts w:ascii="Arial" w:eastAsia="Times New Roman" w:hAnsi="Arial" w:cs="Arial"/>
          <w:b/>
          <w:lang w:val="en-US" w:eastAsia="ar-SA"/>
        </w:rPr>
        <w:t xml:space="preserve"> Europe</w:t>
      </w:r>
      <w:r w:rsidR="00E428CA" w:rsidRPr="007125E7">
        <w:rPr>
          <w:rFonts w:ascii="Arial" w:eastAsia="Times New Roman" w:hAnsi="Arial" w:cs="Arial"/>
          <w:b/>
          <w:lang w:val="en-US" w:eastAsia="ar-SA"/>
        </w:rPr>
        <w:t>ans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F33143" w:rsidRPr="007125E7" w:rsidRDefault="00127F1E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Table 1,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share of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retire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es in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both Turkey and Europe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are provided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We are using data from </w:t>
      </w:r>
      <w:r w:rsidR="003B2C6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Eurostat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for this comparison. We use the age groups provided by Eurostat to study early retirement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 W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focus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on the 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retirement ratios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separately 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for the people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aged 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>betw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een 40 and 64 years and 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people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aged 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above 65.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Data shows that</w:t>
      </w:r>
      <w:r w:rsidR="00C1735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retirement ratios for the people above 65 years of age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Turkey (35.2%) are lower than in 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Europe (86%). Large </w:t>
      </w:r>
      <w:r w:rsidR="00B5517A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part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this difference </w:t>
      </w:r>
      <w:r w:rsidR="002B403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is caused by the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2B403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differences in women’s retirement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</w:t>
      </w:r>
      <w:r w:rsidR="009B5829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his is the reflection of </w:t>
      </w:r>
      <w:r w:rsidR="009B5829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very low female labor force particip</w:t>
      </w:r>
      <w:r w:rsidR="00723D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ation rate in Turkey. Nevertheless,</w:t>
      </w:r>
      <w:r w:rsidR="003B2C6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there is</w:t>
      </w:r>
      <w:r w:rsidR="00723D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also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 significant difference betwee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 men</w:t>
      </w:r>
      <w:r w:rsidR="00723D8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Turkey and men in Europe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 The retirement ratio of</w:t>
      </w:r>
      <w:r w:rsidR="003B2C6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</w:t>
      </w:r>
      <w:r w:rsidR="006E3F20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men above 65 years of age is 75.1% in Turkey and 93.4% in Europe.</w:t>
      </w:r>
      <w:r w:rsidR="005973F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This discrepancy is caused by a wider incidence of self-employment and hence </w:t>
      </w:r>
      <w:r w:rsidR="004B7AE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informality.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B66051" w:rsidRPr="007125E7" w:rsidRDefault="006C498F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Population aged between 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40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64, which are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included to our a</w:t>
      </w:r>
      <w:r w:rsidR="004B7AE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nalysis in order to reflect early retirement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4B7AE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point to a very different picture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 In this age group, the retirement ratios for men</w:t>
      </w:r>
      <w:r w:rsidR="00CB5C1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263F5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are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relatively higher </w:t>
      </w:r>
      <w:r w:rsidR="00001E6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compared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Europe. Accord</w:t>
      </w:r>
      <w:r w:rsidR="00263F5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ing to the </w:t>
      </w:r>
      <w:r w:rsidR="00001E6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data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, </w:t>
      </w:r>
      <w:r w:rsidR="00B6605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while t</w:t>
      </w:r>
      <w:r w:rsidR="00F3314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he retirement ratio among the men between 40 and 64 years of age </w:t>
      </w:r>
      <w:r w:rsidR="00B6605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is 72.5% for Turkey, the ratio is 51.4% in Europe. In other words, </w:t>
      </w:r>
      <w:r w:rsidR="00671AF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men in Turkey are</w:t>
      </w:r>
      <w:r w:rsidR="00B6605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still getting retired earlier than </w:t>
      </w:r>
      <w:r w:rsidR="00D212D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</w:t>
      </w:r>
      <w:r w:rsidR="00B6605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Europe.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EF374A" w:rsidRPr="007125E7" w:rsidRDefault="00EF374A" w:rsidP="009E63D9">
      <w:pPr>
        <w:pStyle w:val="ResimYazs"/>
        <w:keepNext/>
        <w:rPr>
          <w:rFonts w:ascii="Arial" w:hAnsi="Arial" w:cs="Arial"/>
          <w:lang w:val="en-US"/>
        </w:rPr>
      </w:pPr>
      <w:r w:rsidRPr="007125E7">
        <w:rPr>
          <w:rFonts w:ascii="Arial" w:hAnsi="Arial" w:cs="Arial"/>
          <w:lang w:val="en-US"/>
        </w:rPr>
        <w:t>Table 1 Share of retirement in the age groups of 40-64 and 65 and above</w:t>
      </w:r>
    </w:p>
    <w:tbl>
      <w:tblPr>
        <w:tblStyle w:val="TabloKlavuzu"/>
        <w:tblW w:w="672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EF374A" w:rsidRPr="007125E7" w:rsidTr="0047241E">
        <w:trPr>
          <w:trHeight w:val="300"/>
        </w:trPr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880" w:type="dxa"/>
            <w:gridSpan w:val="3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 xml:space="preserve">Age 40-64 </w:t>
            </w:r>
          </w:p>
        </w:tc>
        <w:tc>
          <w:tcPr>
            <w:tcW w:w="2880" w:type="dxa"/>
            <w:gridSpan w:val="3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  <w:t>Age 65 and above</w:t>
            </w:r>
          </w:p>
        </w:tc>
      </w:tr>
      <w:tr w:rsidR="00EF374A" w:rsidRPr="007125E7" w:rsidTr="0047241E">
        <w:trPr>
          <w:trHeight w:val="300"/>
        </w:trPr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  <w:t>Total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Male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Female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tr-TR"/>
              </w:rPr>
              <w:t>Total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Male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Female</w:t>
            </w:r>
          </w:p>
        </w:tc>
      </w:tr>
      <w:tr w:rsidR="00EF374A" w:rsidRPr="007125E7" w:rsidTr="0047241E">
        <w:trPr>
          <w:trHeight w:val="300"/>
        </w:trPr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Turkey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25,6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72,5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8,7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35,2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75,1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8,9</w:t>
            </w:r>
          </w:p>
        </w:tc>
      </w:tr>
      <w:tr w:rsidR="00EF374A" w:rsidRPr="007125E7" w:rsidTr="0047241E">
        <w:trPr>
          <w:trHeight w:val="300"/>
        </w:trPr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b/>
                <w:sz w:val="20"/>
                <w:szCs w:val="20"/>
                <w:lang w:val="en-US" w:eastAsia="tr-TR"/>
              </w:rPr>
              <w:t>AB-27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40,5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51,4</w:t>
            </w:r>
          </w:p>
        </w:tc>
        <w:tc>
          <w:tcPr>
            <w:tcW w:w="960" w:type="dxa"/>
            <w:noWrap/>
            <w:hideMark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sz w:val="20"/>
                <w:szCs w:val="20"/>
                <w:lang w:val="en-US" w:eastAsia="tr-TR"/>
              </w:rPr>
              <w:t>34,3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86,0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93,4</w:t>
            </w:r>
          </w:p>
        </w:tc>
        <w:tc>
          <w:tcPr>
            <w:tcW w:w="960" w:type="dxa"/>
          </w:tcPr>
          <w:p w:rsidR="00EF374A" w:rsidRPr="007125E7" w:rsidRDefault="00EF374A" w:rsidP="009E63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7125E7">
              <w:rPr>
                <w:rFonts w:ascii="Arial" w:hAnsi="Arial" w:cs="Arial"/>
                <w:color w:val="000000"/>
                <w:sz w:val="20"/>
                <w:szCs w:val="20"/>
                <w:lang w:val="en-US" w:eastAsia="tr-TR"/>
              </w:rPr>
              <w:t>79,9</w:t>
            </w:r>
          </w:p>
        </w:tc>
      </w:tr>
    </w:tbl>
    <w:p w:rsidR="00263F54" w:rsidRPr="007125E7" w:rsidRDefault="00EF374A" w:rsidP="009E63D9">
      <w:pPr>
        <w:pStyle w:val="ResimYazs"/>
        <w:keepNext/>
        <w:rPr>
          <w:rFonts w:ascii="Arial" w:hAnsi="Arial" w:cs="Arial"/>
          <w:lang w:val="en-US"/>
        </w:rPr>
      </w:pPr>
      <w:r w:rsidRPr="007125E7">
        <w:rPr>
          <w:rFonts w:ascii="Arial" w:hAnsi="Arial" w:cs="Arial"/>
          <w:b w:val="0"/>
          <w:sz w:val="16"/>
          <w:szCs w:val="16"/>
          <w:lang w:val="en-US"/>
        </w:rPr>
        <w:t xml:space="preserve">Source: EuroStat, 2011        </w:t>
      </w:r>
    </w:p>
    <w:p w:rsidR="00263F54" w:rsidRPr="007125E7" w:rsidRDefault="00263F5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B66051" w:rsidRPr="007125E7" w:rsidRDefault="00B66051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  <w:r w:rsidRPr="007125E7">
        <w:rPr>
          <w:rFonts w:ascii="Arial" w:eastAsia="Times New Roman" w:hAnsi="Arial" w:cs="Arial"/>
          <w:b/>
          <w:lang w:val="en-US" w:eastAsia="ar-SA"/>
        </w:rPr>
        <w:t>The number</w:t>
      </w:r>
      <w:r w:rsidR="0029073A" w:rsidRPr="007125E7">
        <w:rPr>
          <w:rFonts w:ascii="Arial" w:eastAsia="Times New Roman" w:hAnsi="Arial" w:cs="Arial"/>
          <w:b/>
          <w:lang w:val="en-US" w:eastAsia="ar-SA"/>
        </w:rPr>
        <w:t xml:space="preserve"> of young retirees </w:t>
      </w:r>
      <w:r w:rsidRPr="007125E7">
        <w:rPr>
          <w:rFonts w:ascii="Arial" w:eastAsia="Times New Roman" w:hAnsi="Arial" w:cs="Arial"/>
          <w:b/>
          <w:lang w:val="en-US" w:eastAsia="ar-SA"/>
        </w:rPr>
        <w:t>i</w:t>
      </w:r>
      <w:r w:rsidR="0029073A" w:rsidRPr="007125E7">
        <w:rPr>
          <w:rFonts w:ascii="Arial" w:eastAsia="Times New Roman" w:hAnsi="Arial" w:cs="Arial"/>
          <w:b/>
          <w:lang w:val="en-US" w:eastAsia="ar-SA"/>
        </w:rPr>
        <w:t>s</w:t>
      </w:r>
      <w:r w:rsidRPr="007125E7">
        <w:rPr>
          <w:rFonts w:ascii="Arial" w:eastAsia="Times New Roman" w:hAnsi="Arial" w:cs="Arial"/>
          <w:b/>
          <w:lang w:val="en-US" w:eastAsia="ar-SA"/>
        </w:rPr>
        <w:t xml:space="preserve"> </w:t>
      </w:r>
      <w:r w:rsidR="0029073A" w:rsidRPr="007125E7">
        <w:rPr>
          <w:rFonts w:ascii="Arial" w:eastAsia="Times New Roman" w:hAnsi="Arial" w:cs="Arial"/>
          <w:b/>
          <w:lang w:val="en-US" w:eastAsia="ar-SA"/>
        </w:rPr>
        <w:t>decreasing</w:t>
      </w:r>
      <w:r w:rsidR="00E27262" w:rsidRPr="007125E7">
        <w:rPr>
          <w:rFonts w:ascii="Arial" w:eastAsia="Times New Roman" w:hAnsi="Arial" w:cs="Arial"/>
          <w:b/>
          <w:lang w:val="en-US" w:eastAsia="ar-SA"/>
        </w:rPr>
        <w:t xml:space="preserve"> in Turkey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ar-SA"/>
        </w:rPr>
      </w:pPr>
    </w:p>
    <w:p w:rsidR="00B66051" w:rsidRPr="007125E7" w:rsidRDefault="00B66051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this resea</w:t>
      </w:r>
      <w:r w:rsidR="003B2C6A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rch brief,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we are expl</w:t>
      </w:r>
      <w:r w:rsidR="00671AF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o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ring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early retirement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from 2006 to 2010 by using data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from the Survey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of Income and Living Cond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itions (SILC), published</w:t>
      </w:r>
      <w:r w:rsidR="00263F5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by TURKS</w:t>
      </w:r>
      <w:r w:rsidR="00671AF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AT since 2006</w:t>
      </w:r>
      <w:r w:rsidR="00671AF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Even though SILC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only goes back to 2006,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it provides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reliable information about retirement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Moreover, 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SILC data allows analysis at the</w:t>
      </w:r>
      <w:r w:rsidR="00604BD1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regional level</w:t>
      </w:r>
      <w:r w:rsidR="00E2726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604BD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(</w:t>
      </w:r>
      <w:r w:rsidR="00203E1E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NUTS </w:t>
      </w:r>
      <w:r w:rsidR="00604BD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1).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0C0DF4" w:rsidRPr="007125E7" w:rsidRDefault="00F86D88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ndividuals who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declare that they are receiving 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pension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income are defined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as retired.</w:t>
      </w:r>
      <w:r w:rsidR="000C0DF4" w:rsidRPr="007125E7">
        <w:rPr>
          <w:rStyle w:val="DipnotBavurusu"/>
          <w:rFonts w:ascii="Arial" w:eastAsia="Times New Roman" w:hAnsi="Arial" w:cs="Arial"/>
          <w:sz w:val="20"/>
          <w:szCs w:val="20"/>
          <w:lang w:val="en-US" w:eastAsia="ar-SA"/>
        </w:rPr>
        <w:footnoteReference w:id="4"/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F3079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This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definition</w:t>
      </w:r>
      <w:r w:rsidR="00F3079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does 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not include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individuals who paid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required premium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also completed 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working day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requirements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for retirement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but who are not receiving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pension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payments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due to the age limit for retirement.  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Unfortunately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, data does not contain the necessary </w:t>
      </w:r>
      <w:r w:rsidR="00CE6BC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information to identify these individuals</w:t>
      </w:r>
      <w:r w:rsidR="000C0DF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 Turkey, the number of retiree</w:t>
      </w:r>
      <w:r w:rsidR="00DD10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above 35 years of ag</w:t>
      </w:r>
      <w:r w:rsidR="008C2777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 approximately increased from 5.8 million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2006 to 7.1</w:t>
      </w:r>
      <w:r w:rsidR="008C277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million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2010 (Additional Table 1). </w:t>
      </w:r>
      <w:r w:rsidR="0069156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umber of retiree</w:t>
      </w:r>
      <w:r w:rsidR="0069156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has increased by 325</w:t>
      </w:r>
      <w:r w:rsidR="0069156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thousand yearly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on average. Furthermore, although the employment rate has increased by 1.5 percent (through 41.5% to 43%) in the years between 2006 and 2010, number of retiree</w:t>
      </w:r>
      <w:r w:rsidR="00B3566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per employee significant</w:t>
      </w:r>
      <w:r w:rsidR="00B3566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ly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increas</w:t>
      </w:r>
      <w:r w:rsidR="00B3566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ed as well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: In four years, the ratio of retirees to total employment </w:t>
      </w:r>
      <w:r w:rsidR="00344C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has risen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344C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from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23.1% to 24.9%. (Figure 1 and Additional Table 2).  These </w:t>
      </w:r>
      <w:r w:rsidR="00344CF2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increases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show that the financial burden of retirement has gradually deepened.</w:t>
      </w:r>
    </w:p>
    <w:p w:rsidR="00257FA7" w:rsidRDefault="00257FA7" w:rsidP="0008303B">
      <w:pPr>
        <w:pStyle w:val="ResimYazs"/>
        <w:keepNext/>
        <w:rPr>
          <w:rFonts w:ascii="Arial" w:hAnsi="Arial" w:cs="Arial"/>
          <w:lang w:val="en-US"/>
        </w:rPr>
      </w:pPr>
    </w:p>
    <w:p w:rsidR="00257FA7" w:rsidRDefault="00257FA7" w:rsidP="0008303B">
      <w:pPr>
        <w:pStyle w:val="ResimYazs"/>
        <w:keepNext/>
        <w:rPr>
          <w:rFonts w:ascii="Arial" w:hAnsi="Arial" w:cs="Arial"/>
          <w:lang w:val="en-US"/>
        </w:rPr>
      </w:pPr>
    </w:p>
    <w:p w:rsidR="00257FA7" w:rsidRDefault="00257FA7" w:rsidP="0008303B">
      <w:pPr>
        <w:pStyle w:val="ResimYazs"/>
        <w:keepNext/>
        <w:rPr>
          <w:rFonts w:ascii="Arial" w:hAnsi="Arial" w:cs="Arial"/>
          <w:lang w:val="en-US"/>
        </w:rPr>
      </w:pPr>
    </w:p>
    <w:p w:rsidR="0008303B" w:rsidRPr="00087C8D" w:rsidRDefault="0008303B" w:rsidP="0008303B">
      <w:pPr>
        <w:pStyle w:val="ResimYazs"/>
        <w:keepNext/>
        <w:rPr>
          <w:rFonts w:ascii="Arial" w:hAnsi="Arial" w:cs="Arial"/>
          <w:lang w:val="en-US"/>
        </w:rPr>
      </w:pPr>
      <w:r w:rsidRPr="00087C8D">
        <w:rPr>
          <w:rFonts w:ascii="Arial" w:hAnsi="Arial" w:cs="Arial"/>
          <w:lang w:val="en-US"/>
        </w:rPr>
        <w:t xml:space="preserve">Figure </w:t>
      </w:r>
      <w:r w:rsidR="007529B8" w:rsidRPr="00087C8D">
        <w:rPr>
          <w:rFonts w:ascii="Arial" w:hAnsi="Arial" w:cs="Arial"/>
          <w:lang w:val="en-US"/>
        </w:rPr>
        <w:fldChar w:fldCharType="begin"/>
      </w:r>
      <w:r w:rsidR="00640841" w:rsidRPr="00087C8D">
        <w:rPr>
          <w:rFonts w:ascii="Arial" w:hAnsi="Arial" w:cs="Arial"/>
          <w:lang w:val="en-US"/>
        </w:rPr>
        <w:instrText xml:space="preserve"> SEQ Şekil \* ARABIC </w:instrText>
      </w:r>
      <w:r w:rsidR="007529B8" w:rsidRPr="00087C8D">
        <w:rPr>
          <w:rFonts w:ascii="Arial" w:hAnsi="Arial" w:cs="Arial"/>
          <w:lang w:val="en-US"/>
        </w:rPr>
        <w:fldChar w:fldCharType="separate"/>
      </w:r>
      <w:r w:rsidR="0047241E">
        <w:rPr>
          <w:rFonts w:ascii="Arial" w:hAnsi="Arial" w:cs="Arial"/>
          <w:noProof/>
          <w:lang w:val="en-US"/>
        </w:rPr>
        <w:t>1</w:t>
      </w:r>
      <w:r w:rsidR="007529B8" w:rsidRPr="00087C8D">
        <w:rPr>
          <w:rFonts w:ascii="Arial" w:hAnsi="Arial" w:cs="Arial"/>
          <w:lang w:val="en-US"/>
        </w:rPr>
        <w:fldChar w:fldCharType="end"/>
      </w:r>
      <w:r w:rsidRPr="00087C8D">
        <w:rPr>
          <w:rFonts w:ascii="Arial" w:hAnsi="Arial" w:cs="Arial"/>
          <w:lang w:val="en-US"/>
        </w:rPr>
        <w:t xml:space="preserve"> The ratio of retirees to population by age</w:t>
      </w:r>
    </w:p>
    <w:p w:rsidR="00681024" w:rsidRPr="007125E7" w:rsidRDefault="0008303B" w:rsidP="009E63D9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drawing>
          <wp:inline distT="0" distB="0" distL="0" distR="0">
            <wp:extent cx="5762625" cy="353377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81024"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0C0DF4" w:rsidRPr="007125E7" w:rsidRDefault="000C0DF4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6E3F20" w:rsidRPr="007125E7" w:rsidRDefault="00BB7F86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However,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if this reform had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no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been 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realized, this burden undoubtedly would have been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much larger and would have increased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more rapi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dly.  An obvious proof is that 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number of young retirees has been dimi</w:t>
      </w:r>
      <w:r w:rsidR="00400C81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ni</w:t>
      </w:r>
      <w:r w:rsidR="00087D4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shing both relatively and absolutely. </w:t>
      </w:r>
      <w:r w:rsidR="00351B8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In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age group between 35 and 49</w:t>
      </w:r>
      <w:r w:rsidR="00351B8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existing number of retirees was 941</w:t>
      </w:r>
      <w:r w:rsidR="00351B8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thousand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</w:t>
      </w:r>
      <w:r w:rsidR="007A030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2006;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this number is decreased to 802</w:t>
      </w:r>
      <w:r w:rsidR="00054812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thousand</w:t>
      </w:r>
      <w:r w:rsidR="007A030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2010. Decreases are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also </w:t>
      </w:r>
      <w:r w:rsidR="007A030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observed within each age group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(35-39</w:t>
      </w:r>
      <w:r w:rsidR="007A030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 40</w:t>
      </w:r>
      <w:r w:rsidR="003B2E5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-44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3B2E5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and 45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-49). Concordantly, the ratio of the number of retiree</w:t>
      </w:r>
      <w:r w:rsidR="003B2E5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s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</w:t>
      </w:r>
      <w:r w:rsidR="008C61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population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is systematically falling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these age groups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As shown in Figure 1, </w:t>
      </w:r>
      <w:r w:rsidR="008C61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curve for 2010 is below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of </w:t>
      </w:r>
      <w:r w:rsidR="003B2E5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that</w:t>
      </w:r>
      <w:r w:rsidR="008C61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2006.</w:t>
      </w:r>
      <w:r w:rsidR="0049752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8C61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total, the share of retirees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the </w:t>
      </w:r>
      <w:r w:rsidR="008C616D" w:rsidRPr="007125E7">
        <w:rPr>
          <w:rFonts w:ascii="Arial" w:eastAsia="Times New Roman" w:hAnsi="Arial" w:cs="Arial"/>
          <w:sz w:val="20"/>
          <w:szCs w:val="20"/>
          <w:lang w:val="en-US" w:eastAsia="ar-SA"/>
        </w:rPr>
        <w:t>population age</w:t>
      </w:r>
      <w:r w:rsidR="006C498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d between 35 and 49 decreases from 7.1% to 5.5%. The impact of the reform </w:t>
      </w:r>
      <w:r w:rsidR="00C32354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implemented in 2000’s </w:t>
      </w:r>
      <w:r w:rsidR="006C498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is </w:t>
      </w:r>
      <w:r w:rsidR="00C32354" w:rsidRPr="007125E7">
        <w:rPr>
          <w:rFonts w:ascii="Arial" w:eastAsia="Times New Roman" w:hAnsi="Arial" w:cs="Arial"/>
          <w:sz w:val="20"/>
          <w:szCs w:val="20"/>
          <w:lang w:val="en-US" w:eastAsia="ar-SA"/>
        </w:rPr>
        <w:t>reflected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in the statistics. However, </w:t>
      </w:r>
      <w:r w:rsidR="0079079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note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that </w:t>
      </w:r>
      <w:r w:rsidR="0079079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age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50 poses </w:t>
      </w:r>
      <w:r w:rsidR="006C498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 break p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oint and beyond this limit, </w:t>
      </w:r>
      <w:r w:rsidR="00790795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both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the number and </w:t>
      </w:r>
      <w:r w:rsidR="00790795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also the share of retirees are increasing</w:t>
      </w:r>
      <w:r w:rsidR="006C498F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(Figur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e </w:t>
      </w:r>
      <w:r w:rsidR="006C498F" w:rsidRPr="007125E7">
        <w:rPr>
          <w:rFonts w:ascii="Arial" w:eastAsia="Times New Roman" w:hAnsi="Arial" w:cs="Arial"/>
          <w:sz w:val="20"/>
          <w:szCs w:val="20"/>
          <w:lang w:val="en-US" w:eastAsia="ar-SA"/>
        </w:rPr>
        <w:t>1 and Additional Table 1).</w:t>
      </w:r>
    </w:p>
    <w:p w:rsidR="006C498F" w:rsidRPr="007125E7" w:rsidRDefault="006C498F" w:rsidP="009E63D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</w:p>
    <w:p w:rsidR="007B7F9E" w:rsidRPr="007125E7" w:rsidRDefault="007B7F9E" w:rsidP="009E63D9">
      <w:pPr>
        <w:spacing w:after="0" w:line="240" w:lineRule="auto"/>
        <w:rPr>
          <w:rFonts w:ascii="Arial" w:hAnsi="Arial" w:cs="Arial"/>
          <w:b/>
          <w:lang w:val="en-US"/>
        </w:rPr>
      </w:pPr>
      <w:r w:rsidRPr="007125E7">
        <w:rPr>
          <w:rFonts w:ascii="Arial" w:hAnsi="Arial" w:cs="Arial"/>
          <w:b/>
          <w:lang w:val="en-US"/>
        </w:rPr>
        <w:t xml:space="preserve">Women </w:t>
      </w:r>
      <w:r w:rsidR="000D615A" w:rsidRPr="007125E7">
        <w:rPr>
          <w:rFonts w:ascii="Arial" w:hAnsi="Arial" w:cs="Arial"/>
          <w:b/>
          <w:lang w:val="en-US"/>
        </w:rPr>
        <w:t>are retiring</w:t>
      </w:r>
      <w:r w:rsidRPr="007125E7">
        <w:rPr>
          <w:rFonts w:ascii="Arial" w:hAnsi="Arial" w:cs="Arial"/>
          <w:b/>
          <w:lang w:val="en-US"/>
        </w:rPr>
        <w:t xml:space="preserve"> </w:t>
      </w:r>
      <w:r w:rsidR="000D615A" w:rsidRPr="007125E7">
        <w:rPr>
          <w:rFonts w:ascii="Arial" w:hAnsi="Arial" w:cs="Arial"/>
          <w:b/>
          <w:lang w:val="en-US"/>
        </w:rPr>
        <w:t>later</w:t>
      </w:r>
      <w:r w:rsidRPr="007125E7">
        <w:rPr>
          <w:rFonts w:ascii="Arial" w:hAnsi="Arial" w:cs="Arial"/>
          <w:b/>
          <w:lang w:val="en-US"/>
        </w:rPr>
        <w:t xml:space="preserve"> than </w:t>
      </w:r>
      <w:r w:rsidR="006E0B5F" w:rsidRPr="007125E7">
        <w:rPr>
          <w:rFonts w:ascii="Arial" w:hAnsi="Arial" w:cs="Arial"/>
          <w:b/>
          <w:lang w:val="en-US"/>
        </w:rPr>
        <w:t>previously</w:t>
      </w:r>
    </w:p>
    <w:p w:rsidR="00BE5C70" w:rsidRPr="007125E7" w:rsidRDefault="00BE5C70" w:rsidP="009E63D9">
      <w:pPr>
        <w:spacing w:after="0" w:line="240" w:lineRule="auto"/>
        <w:rPr>
          <w:rFonts w:ascii="Arial" w:hAnsi="Arial" w:cs="Arial"/>
          <w:b/>
          <w:lang w:val="en-US"/>
        </w:rPr>
      </w:pPr>
    </w:p>
    <w:p w:rsidR="007B7F9E" w:rsidRPr="007125E7" w:rsidRDefault="007B7F9E" w:rsidP="001B70E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When </w:t>
      </w:r>
      <w:r w:rsidR="001B70E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we analyze the retirees by age and gender, we find that the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average </w:t>
      </w:r>
      <w:r w:rsidR="001B70E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age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of retirees </w:t>
      </w:r>
      <w:r w:rsidR="001B70E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is increasing due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women</w:t>
      </w:r>
      <w:r w:rsidR="001B70E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who have started to retire later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(Figure 2).  The number of retired men has decreas</w:t>
      </w:r>
      <w:r w:rsidR="008B09C7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ed from 645 thousand</w:t>
      </w:r>
      <w:r w:rsidR="00C431E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to 575</w:t>
      </w:r>
      <w:r w:rsidR="008B09C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thousand</w:t>
      </w:r>
      <w:r w:rsidR="00C431E6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and </w:t>
      </w:r>
      <w:r w:rsidR="00443500" w:rsidRPr="007125E7">
        <w:rPr>
          <w:rFonts w:ascii="Arial" w:eastAsia="Times New Roman" w:hAnsi="Arial" w:cs="Arial"/>
          <w:sz w:val="20"/>
          <w:szCs w:val="20"/>
          <w:lang w:val="en-US" w:eastAsia="ar-SA"/>
        </w:rPr>
        <w:t>the number of retired women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has decreased from 296</w:t>
      </w:r>
      <w:r w:rsidR="008B09C7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thousand to 227 thousand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6C3428" w:rsidRPr="007125E7">
        <w:rPr>
          <w:rFonts w:ascii="Arial" w:eastAsia="Times New Roman" w:hAnsi="Arial" w:cs="Arial"/>
          <w:sz w:val="20"/>
          <w:szCs w:val="20"/>
          <w:lang w:val="en-US" w:eastAsia="ar-SA"/>
        </w:rPr>
        <w:t>from 2006 to</w:t>
      </w:r>
      <w:r w:rsidR="00C31CB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2010.  Although the declines are similar in magnitude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, </w:t>
      </w:r>
      <w:r w:rsidR="00C31CB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note that the number of retired women is approximately half the number of retired men, marking a remarkable percentage change for women.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In other words, </w:t>
      </w:r>
      <w:r w:rsidR="00C31CBB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we can conclude regulations affected women’s early retirement relatively more. 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>Among men</w:t>
      </w:r>
      <w:r w:rsidR="00C31CBB" w:rsidRPr="007125E7">
        <w:rPr>
          <w:rFonts w:ascii="Arial" w:eastAsia="Times New Roman" w:hAnsi="Arial" w:cs="Arial"/>
          <w:sz w:val="20"/>
          <w:szCs w:val="20"/>
          <w:lang w:val="en-US" w:eastAsia="ar-SA"/>
        </w:rPr>
        <w:t>,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the number of young r</w:t>
      </w:r>
      <w:r w:rsidR="007600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etirees</w:t>
      </w:r>
      <w:r w:rsidR="00684C73"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decreased by 10.7%, 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>while the nu</w:t>
      </w:r>
      <w:r w:rsidR="00C431E6" w:rsidRPr="007125E7">
        <w:rPr>
          <w:rFonts w:ascii="Arial" w:eastAsia="Times New Roman" w:hAnsi="Arial" w:cs="Arial"/>
          <w:sz w:val="20"/>
          <w:szCs w:val="20"/>
          <w:lang w:val="en-US" w:eastAsia="ar-SA"/>
        </w:rPr>
        <w:t>mber of young retirees in women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decrease</w:t>
      </w:r>
      <w:r w:rsidR="007600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d by 23.3%</w:t>
      </w:r>
      <w:r w:rsidRPr="007125E7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(Additional Table 2)</w:t>
      </w:r>
      <w:r w:rsidR="0076007E" w:rsidRPr="007125E7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</w:p>
    <w:p w:rsidR="00163249" w:rsidRPr="007125E7" w:rsidRDefault="00163249" w:rsidP="0016324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20"/>
          <w:szCs w:val="20"/>
          <w:lang w:val="en-US"/>
        </w:rPr>
        <w:t>Note</w:t>
      </w:r>
      <w:r w:rsidR="007B7F9E" w:rsidRPr="007125E7">
        <w:rPr>
          <w:rFonts w:ascii="Arial" w:hAnsi="Arial" w:cs="Arial"/>
          <w:sz w:val="20"/>
          <w:szCs w:val="20"/>
          <w:lang w:val="en-US"/>
        </w:rPr>
        <w:t xml:space="preserve"> that </w:t>
      </w:r>
      <w:r w:rsidRPr="007125E7">
        <w:rPr>
          <w:rFonts w:ascii="Arial" w:hAnsi="Arial" w:cs="Arial"/>
          <w:sz w:val="20"/>
          <w:szCs w:val="20"/>
          <w:lang w:val="en-US"/>
        </w:rPr>
        <w:t>age 50 is an approximate breaking point for both genders. Put differently, the number</w:t>
      </w:r>
      <w:r w:rsidR="00C431E6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7B7F9E" w:rsidRPr="007125E7">
        <w:rPr>
          <w:rFonts w:ascii="Arial" w:hAnsi="Arial" w:cs="Arial"/>
          <w:sz w:val="20"/>
          <w:szCs w:val="20"/>
          <w:lang w:val="en-US"/>
        </w:rPr>
        <w:t xml:space="preserve">and the 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share of retired above the age of 50 increases drastically both for men and women. </w:t>
      </w:r>
      <w:r w:rsidR="007B7F9E" w:rsidRPr="007125E7">
        <w:rPr>
          <w:rFonts w:ascii="Arial" w:hAnsi="Arial" w:cs="Arial"/>
          <w:sz w:val="20"/>
          <w:szCs w:val="20"/>
          <w:lang w:val="en-US"/>
        </w:rPr>
        <w:t xml:space="preserve">The ratio of retirees to population aged above 50 years is persistently increasing from 51.9% to </w:t>
      </w:r>
      <w:r w:rsidRPr="007125E7">
        <w:rPr>
          <w:rFonts w:ascii="Arial" w:hAnsi="Arial" w:cs="Arial"/>
          <w:sz w:val="20"/>
          <w:szCs w:val="20"/>
          <w:lang w:val="en-US"/>
        </w:rPr>
        <w:t>81%. Also,</w:t>
      </w:r>
      <w:r w:rsidR="00C431E6" w:rsidRPr="007125E7">
        <w:rPr>
          <w:rFonts w:ascii="Arial" w:hAnsi="Arial" w:cs="Arial"/>
          <w:sz w:val="20"/>
          <w:szCs w:val="20"/>
          <w:lang w:val="en-US"/>
        </w:rPr>
        <w:t xml:space="preserve"> while </w:t>
      </w:r>
      <w:r w:rsidR="007B7F9E" w:rsidRPr="007125E7">
        <w:rPr>
          <w:rFonts w:ascii="Arial" w:hAnsi="Arial" w:cs="Arial"/>
          <w:sz w:val="20"/>
          <w:szCs w:val="20"/>
          <w:lang w:val="en-US"/>
        </w:rPr>
        <w:t>the ratio of retired women to population aged between the years of 50 and 64 is about 15%, it goes up to 27.4% for its population aged above 65 years.</w:t>
      </w:r>
      <w:r w:rsidR="00C431E6" w:rsidRPr="007125E7">
        <w:rPr>
          <w:rFonts w:ascii="Arial" w:hAnsi="Arial" w:cs="Arial"/>
          <w:sz w:val="20"/>
          <w:szCs w:val="20"/>
          <w:lang w:val="en-US"/>
        </w:rPr>
        <w:t xml:space="preserve">  We suppose that this increase</w:t>
      </w:r>
      <w:r w:rsidR="007B7F9E" w:rsidRPr="007125E7">
        <w:rPr>
          <w:rFonts w:ascii="Arial" w:hAnsi="Arial" w:cs="Arial"/>
          <w:sz w:val="20"/>
          <w:szCs w:val="20"/>
          <w:lang w:val="en-US"/>
        </w:rPr>
        <w:t xml:space="preserve"> comes from the women 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who start receiving pension payments of their husbands’ following the latter’s </w:t>
      </w:r>
      <w:r w:rsidR="006A2165" w:rsidRPr="007125E7">
        <w:rPr>
          <w:rFonts w:ascii="Arial" w:hAnsi="Arial" w:cs="Arial"/>
          <w:sz w:val="20"/>
          <w:szCs w:val="20"/>
          <w:lang w:val="en-US"/>
        </w:rPr>
        <w:t>death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57FA7" w:rsidRDefault="00257FA7" w:rsidP="004878B1">
      <w:pPr>
        <w:pStyle w:val="ResimYazs"/>
        <w:keepNext/>
        <w:rPr>
          <w:rFonts w:ascii="Arial" w:hAnsi="Arial" w:cs="Arial"/>
          <w:lang w:val="en-US"/>
        </w:rPr>
      </w:pPr>
    </w:p>
    <w:p w:rsidR="00257FA7" w:rsidRDefault="00257FA7" w:rsidP="004878B1">
      <w:pPr>
        <w:pStyle w:val="ResimYazs"/>
        <w:keepNext/>
        <w:rPr>
          <w:rFonts w:ascii="Arial" w:hAnsi="Arial" w:cs="Arial"/>
          <w:lang w:val="en-US"/>
        </w:rPr>
      </w:pPr>
    </w:p>
    <w:p w:rsidR="00257FA7" w:rsidRDefault="00257FA7" w:rsidP="004878B1">
      <w:pPr>
        <w:pStyle w:val="ResimYazs"/>
        <w:keepNext/>
        <w:rPr>
          <w:rFonts w:ascii="Arial" w:hAnsi="Arial" w:cs="Arial"/>
          <w:lang w:val="en-US"/>
        </w:rPr>
      </w:pPr>
    </w:p>
    <w:p w:rsidR="004878B1" w:rsidRPr="00087C8D" w:rsidRDefault="004878B1" w:rsidP="004878B1">
      <w:pPr>
        <w:pStyle w:val="ResimYazs"/>
        <w:keepNext/>
        <w:rPr>
          <w:rFonts w:ascii="Arial" w:hAnsi="Arial" w:cs="Arial"/>
          <w:lang w:val="en-US"/>
        </w:rPr>
      </w:pPr>
      <w:r w:rsidRPr="00087C8D">
        <w:rPr>
          <w:rFonts w:ascii="Arial" w:hAnsi="Arial" w:cs="Arial"/>
          <w:lang w:val="en-US"/>
        </w:rPr>
        <w:t xml:space="preserve">Figure </w:t>
      </w:r>
      <w:r w:rsidR="007529B8" w:rsidRPr="00087C8D">
        <w:rPr>
          <w:rFonts w:ascii="Arial" w:hAnsi="Arial" w:cs="Arial"/>
          <w:lang w:val="en-US"/>
        </w:rPr>
        <w:fldChar w:fldCharType="begin"/>
      </w:r>
      <w:r w:rsidR="00640841" w:rsidRPr="00087C8D">
        <w:rPr>
          <w:rFonts w:ascii="Arial" w:hAnsi="Arial" w:cs="Arial"/>
          <w:lang w:val="en-US"/>
        </w:rPr>
        <w:instrText xml:space="preserve"> SEQ Şekil \* ARABIC </w:instrText>
      </w:r>
      <w:r w:rsidR="007529B8" w:rsidRPr="00087C8D">
        <w:rPr>
          <w:rFonts w:ascii="Arial" w:hAnsi="Arial" w:cs="Arial"/>
          <w:lang w:val="en-US"/>
        </w:rPr>
        <w:fldChar w:fldCharType="separate"/>
      </w:r>
      <w:r w:rsidR="0047241E">
        <w:rPr>
          <w:rFonts w:ascii="Arial" w:hAnsi="Arial" w:cs="Arial"/>
          <w:noProof/>
          <w:lang w:val="en-US"/>
        </w:rPr>
        <w:t>2</w:t>
      </w:r>
      <w:r w:rsidR="007529B8" w:rsidRPr="00087C8D">
        <w:rPr>
          <w:rFonts w:ascii="Arial" w:hAnsi="Arial" w:cs="Arial"/>
          <w:lang w:val="en-US"/>
        </w:rPr>
        <w:fldChar w:fldCharType="end"/>
      </w:r>
      <w:r w:rsidR="00B10A51" w:rsidRPr="00087C8D">
        <w:rPr>
          <w:rFonts w:ascii="Arial" w:hAnsi="Arial" w:cs="Arial"/>
          <w:lang w:val="en-US"/>
        </w:rPr>
        <w:t xml:space="preserve"> The share of </w:t>
      </w:r>
      <w:r w:rsidRPr="00087C8D">
        <w:rPr>
          <w:rFonts w:ascii="Arial" w:hAnsi="Arial" w:cs="Arial"/>
          <w:lang w:val="en-US"/>
        </w:rPr>
        <w:t>retirees in population age</w:t>
      </w:r>
    </w:p>
    <w:p w:rsidR="00C95312" w:rsidRPr="007125E7" w:rsidRDefault="004878B1" w:rsidP="009E63D9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7125E7">
        <w:rPr>
          <w:noProof/>
          <w:szCs w:val="16"/>
          <w:lang w:eastAsia="tr-TR"/>
        </w:rPr>
        <w:drawing>
          <wp:inline distT="0" distB="0" distL="0" distR="0">
            <wp:extent cx="5760720" cy="1789738"/>
            <wp:effectExtent l="19050" t="0" r="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F9E"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E00695" w:rsidRPr="007125E7" w:rsidRDefault="00E00695" w:rsidP="009E63D9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7B7F9E" w:rsidRPr="007125E7" w:rsidRDefault="00A50954" w:rsidP="009E63D9">
      <w:pPr>
        <w:spacing w:after="0" w:line="240" w:lineRule="auto"/>
        <w:rPr>
          <w:rFonts w:ascii="Arial" w:hAnsi="Arial" w:cs="Arial"/>
          <w:b/>
          <w:lang w:val="en-US"/>
        </w:rPr>
      </w:pPr>
      <w:r w:rsidRPr="007125E7">
        <w:rPr>
          <w:rFonts w:ascii="Arial" w:hAnsi="Arial" w:cs="Arial"/>
          <w:b/>
          <w:lang w:val="en-US"/>
        </w:rPr>
        <w:t xml:space="preserve">East Marmara </w:t>
      </w:r>
      <w:r w:rsidR="00DF41B6" w:rsidRPr="007125E7">
        <w:rPr>
          <w:rFonts w:ascii="Arial" w:hAnsi="Arial" w:cs="Arial"/>
          <w:b/>
          <w:lang w:val="en-US"/>
        </w:rPr>
        <w:t xml:space="preserve">has the largest share of retirees </w:t>
      </w:r>
      <w:r w:rsidRPr="007125E7">
        <w:rPr>
          <w:rFonts w:ascii="Arial" w:hAnsi="Arial" w:cs="Arial"/>
          <w:b/>
          <w:lang w:val="en-US"/>
        </w:rPr>
        <w:t xml:space="preserve"> </w:t>
      </w:r>
    </w:p>
    <w:p w:rsidR="00E00695" w:rsidRPr="007125E7" w:rsidRDefault="00E00695" w:rsidP="009E63D9">
      <w:pPr>
        <w:spacing w:after="0" w:line="240" w:lineRule="auto"/>
        <w:rPr>
          <w:rFonts w:ascii="Arial" w:hAnsi="Arial" w:cs="Arial"/>
          <w:b/>
          <w:lang w:val="en-US"/>
        </w:rPr>
      </w:pPr>
    </w:p>
    <w:p w:rsidR="00DE063A" w:rsidRPr="007125E7" w:rsidRDefault="007B7F9E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20"/>
          <w:szCs w:val="20"/>
          <w:lang w:val="en-US"/>
        </w:rPr>
        <w:t>As expected, population distrib</w:t>
      </w:r>
      <w:r w:rsidR="00684C73" w:rsidRPr="007125E7">
        <w:rPr>
          <w:rFonts w:ascii="Arial" w:hAnsi="Arial" w:cs="Arial"/>
          <w:sz w:val="20"/>
          <w:szCs w:val="20"/>
          <w:lang w:val="en-US"/>
        </w:rPr>
        <w:t>ution of retirees in Turkey is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A911E9" w:rsidRPr="007125E7">
        <w:rPr>
          <w:rFonts w:ascii="Arial" w:hAnsi="Arial" w:cs="Arial"/>
          <w:sz w:val="20"/>
          <w:szCs w:val="20"/>
          <w:lang w:val="en-US"/>
        </w:rPr>
        <w:t xml:space="preserve">closely </w:t>
      </w:r>
      <w:r w:rsidRPr="007125E7">
        <w:rPr>
          <w:rFonts w:ascii="Arial" w:hAnsi="Arial" w:cs="Arial"/>
          <w:sz w:val="20"/>
          <w:szCs w:val="20"/>
          <w:lang w:val="en-US"/>
        </w:rPr>
        <w:t>related</w:t>
      </w:r>
      <w:r w:rsidR="00A911E9" w:rsidRPr="007125E7">
        <w:rPr>
          <w:rFonts w:ascii="Arial" w:hAnsi="Arial" w:cs="Arial"/>
          <w:sz w:val="20"/>
          <w:szCs w:val="20"/>
          <w:lang w:val="en-US"/>
        </w:rPr>
        <w:t xml:space="preserve"> to the distribution of the general population.</w:t>
      </w:r>
      <w:r w:rsidR="009F376D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684C73" w:rsidRPr="007125E7">
        <w:rPr>
          <w:rFonts w:ascii="Arial" w:hAnsi="Arial" w:cs="Arial"/>
          <w:sz w:val="20"/>
          <w:szCs w:val="20"/>
          <w:lang w:val="en-US"/>
        </w:rPr>
        <w:t xml:space="preserve">In 2010, </w:t>
      </w:r>
      <w:r w:rsidR="00A911E9" w:rsidRPr="007125E7">
        <w:rPr>
          <w:rFonts w:ascii="Arial" w:hAnsi="Arial" w:cs="Arial"/>
          <w:sz w:val="20"/>
          <w:szCs w:val="20"/>
          <w:lang w:val="en-US"/>
        </w:rPr>
        <w:t>1.3 million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of 7</w:t>
      </w:r>
      <w:r w:rsidR="00A911E9" w:rsidRPr="007125E7">
        <w:rPr>
          <w:rFonts w:ascii="Arial" w:hAnsi="Arial" w:cs="Arial"/>
          <w:sz w:val="20"/>
          <w:szCs w:val="20"/>
          <w:lang w:val="en-US"/>
        </w:rPr>
        <w:t>.1 million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retir</w:t>
      </w:r>
      <w:r w:rsidR="009F376D" w:rsidRPr="007125E7">
        <w:rPr>
          <w:rFonts w:ascii="Arial" w:hAnsi="Arial" w:cs="Arial"/>
          <w:sz w:val="20"/>
          <w:szCs w:val="20"/>
          <w:lang w:val="en-US"/>
        </w:rPr>
        <w:t>ees</w:t>
      </w:r>
      <w:r w:rsidR="00684C73" w:rsidRPr="007125E7">
        <w:rPr>
          <w:rFonts w:ascii="Arial" w:hAnsi="Arial" w:cs="Arial"/>
          <w:sz w:val="20"/>
          <w:szCs w:val="20"/>
          <w:lang w:val="en-US"/>
        </w:rPr>
        <w:t xml:space="preserve"> (18.3%) are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living in Istanbul. </w:t>
      </w:r>
      <w:r w:rsidR="001D683C" w:rsidRPr="007125E7">
        <w:rPr>
          <w:rFonts w:ascii="Arial" w:hAnsi="Arial" w:cs="Arial"/>
          <w:sz w:val="20"/>
          <w:szCs w:val="20"/>
          <w:lang w:val="en-US"/>
        </w:rPr>
        <w:t>Northeast</w:t>
      </w:r>
      <w:r w:rsidR="009F376D" w:rsidRPr="007125E7">
        <w:rPr>
          <w:rFonts w:ascii="Arial" w:hAnsi="Arial" w:cs="Arial"/>
          <w:sz w:val="20"/>
          <w:szCs w:val="20"/>
          <w:lang w:val="en-US"/>
        </w:rPr>
        <w:t xml:space="preserve"> Anatolia has the lowest share at 1.9%. However, once we consider the sh</w:t>
      </w:r>
      <w:r w:rsidR="00194B7B" w:rsidRPr="007125E7">
        <w:rPr>
          <w:rFonts w:ascii="Arial" w:hAnsi="Arial" w:cs="Arial"/>
          <w:sz w:val="20"/>
          <w:szCs w:val="20"/>
          <w:lang w:val="en-US"/>
        </w:rPr>
        <w:t>are of retired in the relevant population by region</w:t>
      </w:r>
      <w:r w:rsidR="009F376D" w:rsidRPr="007125E7">
        <w:rPr>
          <w:rFonts w:ascii="Arial" w:hAnsi="Arial" w:cs="Arial"/>
          <w:sz w:val="20"/>
          <w:szCs w:val="20"/>
          <w:lang w:val="en-US"/>
        </w:rPr>
        <w:t>, the picture changes.</w:t>
      </w:r>
      <w:r w:rsidR="00194B7B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Three regions </w:t>
      </w:r>
      <w:r w:rsidR="00194B7B" w:rsidRPr="007125E7">
        <w:rPr>
          <w:rFonts w:ascii="Arial" w:hAnsi="Arial" w:cs="Arial"/>
          <w:sz w:val="20"/>
          <w:szCs w:val="20"/>
          <w:lang w:val="en-US"/>
        </w:rPr>
        <w:t xml:space="preserve">have higher rates than the average, </w:t>
      </w:r>
      <w:r w:rsidR="00DE063A" w:rsidRPr="007125E7">
        <w:rPr>
          <w:rFonts w:ascii="Arial" w:hAnsi="Arial" w:cs="Arial"/>
          <w:sz w:val="20"/>
          <w:szCs w:val="20"/>
          <w:lang w:val="en-US"/>
        </w:rPr>
        <w:t>which is 24.9%.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The highest rate is </w:t>
      </w:r>
      <w:r w:rsidR="004A1AF5" w:rsidRPr="007125E7">
        <w:rPr>
          <w:rFonts w:ascii="Arial" w:hAnsi="Arial" w:cs="Arial"/>
          <w:sz w:val="20"/>
          <w:szCs w:val="20"/>
          <w:lang w:val="en-US"/>
        </w:rPr>
        <w:t>in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East Marmara </w:t>
      </w:r>
      <w:r w:rsidR="004A1AF5" w:rsidRPr="007125E7">
        <w:rPr>
          <w:rFonts w:ascii="Arial" w:hAnsi="Arial" w:cs="Arial"/>
          <w:sz w:val="20"/>
          <w:szCs w:val="20"/>
          <w:lang w:val="en-US"/>
        </w:rPr>
        <w:t>at</w:t>
      </w:r>
      <w:r w:rsidR="00886ADC" w:rsidRPr="007125E7">
        <w:rPr>
          <w:rFonts w:ascii="Arial" w:hAnsi="Arial" w:cs="Arial"/>
          <w:sz w:val="20"/>
          <w:szCs w:val="20"/>
          <w:lang w:val="en-US"/>
        </w:rPr>
        <w:t xml:space="preserve"> 26.6%, followed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by </w:t>
      </w:r>
      <w:r w:rsidR="00886ADC" w:rsidRPr="007125E7">
        <w:rPr>
          <w:rFonts w:ascii="Arial" w:hAnsi="Arial" w:cs="Arial"/>
          <w:sz w:val="20"/>
          <w:szCs w:val="20"/>
          <w:lang w:val="en-US"/>
        </w:rPr>
        <w:t>the Ae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gean Region </w:t>
      </w:r>
      <w:r w:rsidR="00886ADC" w:rsidRPr="007125E7">
        <w:rPr>
          <w:rFonts w:ascii="Arial" w:hAnsi="Arial" w:cs="Arial"/>
          <w:sz w:val="20"/>
          <w:szCs w:val="20"/>
          <w:lang w:val="en-US"/>
        </w:rPr>
        <w:t>at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28.2</w:t>
      </w:r>
      <w:r w:rsidR="00886ADC" w:rsidRPr="007125E7">
        <w:rPr>
          <w:rFonts w:ascii="Arial" w:hAnsi="Arial" w:cs="Arial"/>
          <w:sz w:val="20"/>
          <w:szCs w:val="20"/>
          <w:lang w:val="en-US"/>
        </w:rPr>
        <w:t>%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. The third highest </w:t>
      </w:r>
      <w:r w:rsidR="00886ADC" w:rsidRPr="007125E7">
        <w:rPr>
          <w:rFonts w:ascii="Arial" w:hAnsi="Arial" w:cs="Arial"/>
          <w:sz w:val="20"/>
          <w:szCs w:val="20"/>
          <w:lang w:val="en-US"/>
        </w:rPr>
        <w:t>rate belongs to West Black Sea.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Southeast Anatolia, Northeast Anatolia and Central</w:t>
      </w:r>
      <w:r w:rsidR="00886ADC" w:rsidRPr="007125E7">
        <w:rPr>
          <w:rFonts w:ascii="Arial" w:hAnsi="Arial" w:cs="Arial"/>
          <w:sz w:val="20"/>
          <w:szCs w:val="20"/>
          <w:lang w:val="en-US"/>
        </w:rPr>
        <w:t xml:space="preserve"> E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ast Anatolia take the last three places </w:t>
      </w:r>
      <w:r w:rsidR="00BA3D5C" w:rsidRPr="007125E7">
        <w:rPr>
          <w:rFonts w:ascii="Arial" w:hAnsi="Arial" w:cs="Arial"/>
          <w:sz w:val="20"/>
          <w:szCs w:val="20"/>
          <w:lang w:val="en-US"/>
        </w:rPr>
        <w:t>with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the lowest rate</w:t>
      </w:r>
      <w:r w:rsidR="00BA3D5C" w:rsidRPr="007125E7">
        <w:rPr>
          <w:rFonts w:ascii="Arial" w:hAnsi="Arial" w:cs="Arial"/>
          <w:sz w:val="20"/>
          <w:szCs w:val="20"/>
          <w:lang w:val="en-US"/>
        </w:rPr>
        <w:t>s,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BA3D5C" w:rsidRPr="007125E7">
        <w:rPr>
          <w:rFonts w:ascii="Arial" w:hAnsi="Arial" w:cs="Arial"/>
          <w:sz w:val="20"/>
          <w:szCs w:val="20"/>
          <w:lang w:val="en-US"/>
        </w:rPr>
        <w:t>17.5% , 18.3% and 18.</w:t>
      </w:r>
      <w:r w:rsidR="00DE063A" w:rsidRPr="007125E7">
        <w:rPr>
          <w:rFonts w:ascii="Arial" w:hAnsi="Arial" w:cs="Arial"/>
          <w:sz w:val="20"/>
          <w:szCs w:val="20"/>
          <w:lang w:val="en-US"/>
        </w:rPr>
        <w:t xml:space="preserve">8%, respectively. </w:t>
      </w:r>
    </w:p>
    <w:p w:rsidR="00C95312" w:rsidRPr="007125E7" w:rsidRDefault="00DF4C19" w:rsidP="009E63D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125E7">
        <w:rPr>
          <w:rFonts w:ascii="Arial" w:hAnsi="Arial" w:cs="Arial"/>
          <w:sz w:val="20"/>
          <w:szCs w:val="20"/>
          <w:lang w:val="en-US"/>
        </w:rPr>
        <w:t>This</w:t>
      </w:r>
      <w:r w:rsidR="00B5402C" w:rsidRPr="007125E7">
        <w:rPr>
          <w:rFonts w:ascii="Arial" w:hAnsi="Arial" w:cs="Arial"/>
          <w:sz w:val="20"/>
          <w:szCs w:val="20"/>
          <w:lang w:val="en-US"/>
        </w:rPr>
        <w:t xml:space="preserve"> is an expected </w:t>
      </w:r>
      <w:r w:rsidRPr="007125E7">
        <w:rPr>
          <w:rFonts w:ascii="Arial" w:hAnsi="Arial" w:cs="Arial"/>
          <w:sz w:val="20"/>
          <w:szCs w:val="20"/>
          <w:lang w:val="en-US"/>
        </w:rPr>
        <w:t>finding</w:t>
      </w:r>
      <w:r w:rsidR="00B5402C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Pr="007125E7">
        <w:rPr>
          <w:rFonts w:ascii="Arial" w:hAnsi="Arial" w:cs="Arial"/>
          <w:sz w:val="20"/>
          <w:szCs w:val="20"/>
          <w:lang w:val="en-US"/>
        </w:rPr>
        <w:t>given</w:t>
      </w:r>
      <w:r w:rsidR="00B5402C" w:rsidRPr="007125E7">
        <w:rPr>
          <w:rFonts w:ascii="Arial" w:hAnsi="Arial" w:cs="Arial"/>
          <w:sz w:val="20"/>
          <w:szCs w:val="20"/>
          <w:lang w:val="en-US"/>
        </w:rPr>
        <w:t xml:space="preserve"> the strong relationship between retirement and formal 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work. Note further that </w:t>
      </w:r>
      <w:r w:rsidR="00B5402C" w:rsidRPr="007125E7">
        <w:rPr>
          <w:rFonts w:ascii="Arial" w:hAnsi="Arial" w:cs="Arial"/>
          <w:sz w:val="20"/>
          <w:szCs w:val="20"/>
          <w:lang w:val="en-US"/>
        </w:rPr>
        <w:t xml:space="preserve">retirees’ </w:t>
      </w:r>
      <w:r w:rsidR="00F90521" w:rsidRPr="007125E7">
        <w:rPr>
          <w:rFonts w:ascii="Arial" w:hAnsi="Arial" w:cs="Arial"/>
          <w:sz w:val="20"/>
          <w:szCs w:val="20"/>
          <w:lang w:val="en-US"/>
        </w:rPr>
        <w:t>regional distribution</w:t>
      </w:r>
      <w:r w:rsidR="00466A23" w:rsidRPr="007125E7">
        <w:rPr>
          <w:rFonts w:ascii="Arial" w:hAnsi="Arial" w:cs="Arial"/>
          <w:sz w:val="20"/>
          <w:szCs w:val="20"/>
          <w:lang w:val="en-US"/>
        </w:rPr>
        <w:t xml:space="preserve"> seems </w:t>
      </w:r>
      <w:r w:rsidR="00B5402C" w:rsidRPr="007125E7">
        <w:rPr>
          <w:rFonts w:ascii="Arial" w:hAnsi="Arial" w:cs="Arial"/>
          <w:sz w:val="20"/>
          <w:szCs w:val="20"/>
          <w:lang w:val="en-US"/>
        </w:rPr>
        <w:t xml:space="preserve">less unequal than expected. </w:t>
      </w:r>
    </w:p>
    <w:p w:rsidR="000C0DF4" w:rsidRPr="007125E7" w:rsidRDefault="000C0DF4" w:rsidP="009E63D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A6CC7" w:rsidRPr="00087C8D" w:rsidRDefault="00087C8D" w:rsidP="008A6CC7">
      <w:pPr>
        <w:pStyle w:val="ResimYazs"/>
        <w:keepNext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Table 2</w:t>
      </w:r>
      <w:r w:rsidR="008A6CC7" w:rsidRPr="00087C8D">
        <w:rPr>
          <w:rFonts w:ascii="Arial" w:hAnsi="Arial" w:cs="Arial"/>
          <w:lang w:val="en-US"/>
        </w:rPr>
        <w:t xml:space="preserve"> </w:t>
      </w:r>
      <w:bookmarkStart w:id="0" w:name="_Ref373158283"/>
      <w:r w:rsidR="008A6CC7" w:rsidRPr="00087C8D">
        <w:rPr>
          <w:rFonts w:ascii="Arial" w:hAnsi="Arial" w:cs="Arial"/>
          <w:lang w:val="en-US"/>
        </w:rPr>
        <w:t>Number</w:t>
      </w:r>
      <w:r w:rsidR="00B10A51" w:rsidRPr="00087C8D">
        <w:rPr>
          <w:rFonts w:ascii="Arial" w:hAnsi="Arial" w:cs="Arial"/>
          <w:lang w:val="en-US"/>
        </w:rPr>
        <w:t xml:space="preserve"> of retirees / Population age by</w:t>
      </w:r>
      <w:r w:rsidR="008A6CC7" w:rsidRPr="00087C8D">
        <w:rPr>
          <w:rFonts w:ascii="Arial" w:hAnsi="Arial" w:cs="Arial"/>
          <w:lang w:val="en-US"/>
        </w:rPr>
        <w:t xml:space="preserve"> regions (2010)</w:t>
      </w:r>
      <w:bookmarkEnd w:id="0"/>
      <w:r w:rsidR="008A6CC7" w:rsidRPr="00087C8D">
        <w:rPr>
          <w:rFonts w:ascii="Arial" w:hAnsi="Arial" w:cs="Arial"/>
          <w:lang w:val="en-US"/>
        </w:rPr>
        <w:t xml:space="preserve"> 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960"/>
        <w:gridCol w:w="1700"/>
        <w:gridCol w:w="1720"/>
        <w:gridCol w:w="1300"/>
      </w:tblGrid>
      <w:tr w:rsidR="004878B1" w:rsidRPr="007125E7" w:rsidTr="004878B1">
        <w:trPr>
          <w:trHeight w:val="12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Total of retirees (000)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Regional distribution of retirees (%)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Population (000)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Total of retirees / Population (%)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TR1- İstanbul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1,308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18.3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5,075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25.8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TR2- West Marmara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25.3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TR3- Eagean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17.0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28.2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TR4- East Marmara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821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11.5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29.1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TR5- West Anatolia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686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25.1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TR6- Mediterranean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872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23.1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TR7- Central Anatolia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22.9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TR8- West Black Sea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26.6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TR9- East Black Sea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24.6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TRA- Northeast Anatolia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18.3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TRB- Centraleast Anatolia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18.8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TRC- Southeast Anatolia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17.5</w:t>
            </w:r>
          </w:p>
        </w:tc>
      </w:tr>
      <w:tr w:rsidR="004878B1" w:rsidRPr="007125E7" w:rsidTr="004878B1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Turkey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7,144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28,727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24.9</w:t>
            </w:r>
          </w:p>
        </w:tc>
      </w:tr>
    </w:tbl>
    <w:p w:rsidR="00B5402C" w:rsidRPr="007125E7" w:rsidRDefault="00B5402C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C95312" w:rsidRPr="007125E7" w:rsidRDefault="00C95312" w:rsidP="009E63D9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B5402C" w:rsidRPr="007125E7" w:rsidRDefault="00B5402C" w:rsidP="009E63D9">
      <w:pPr>
        <w:spacing w:after="0" w:line="240" w:lineRule="auto"/>
        <w:rPr>
          <w:rFonts w:ascii="Arial" w:eastAsia="Times New Roman" w:hAnsi="Arial" w:cs="Arial"/>
          <w:b/>
          <w:bCs/>
          <w:lang w:val="en-US" w:eastAsia="ar-SA"/>
        </w:rPr>
      </w:pPr>
      <w:r w:rsidRPr="007125E7">
        <w:rPr>
          <w:rFonts w:ascii="Arial" w:eastAsia="Times New Roman" w:hAnsi="Arial" w:cs="Arial"/>
          <w:b/>
          <w:bCs/>
          <w:lang w:val="en-US" w:eastAsia="ar-SA"/>
        </w:rPr>
        <w:t>Dependent population has been increasing due to early retirement</w:t>
      </w:r>
    </w:p>
    <w:p w:rsidR="005A6940" w:rsidRPr="007125E7" w:rsidRDefault="005A6940" w:rsidP="009E63D9">
      <w:pPr>
        <w:spacing w:after="0" w:line="240" w:lineRule="auto"/>
        <w:rPr>
          <w:rFonts w:ascii="Arial" w:eastAsia="Times New Roman" w:hAnsi="Arial" w:cs="Arial"/>
          <w:b/>
          <w:bCs/>
          <w:lang w:val="en-US" w:eastAsia="ar-SA"/>
        </w:rPr>
      </w:pPr>
    </w:p>
    <w:p w:rsidR="00A0629D" w:rsidRDefault="00B5402C" w:rsidP="00F86B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20"/>
          <w:szCs w:val="20"/>
          <w:lang w:val="en-US"/>
        </w:rPr>
        <w:t xml:space="preserve">Turkish population is aging, rapidly. The burdens of aging population have already started to direct our economic policy.  Early retirement </w:t>
      </w:r>
      <w:r w:rsidR="009F7746" w:rsidRPr="007125E7">
        <w:rPr>
          <w:rFonts w:ascii="Arial" w:hAnsi="Arial" w:cs="Arial"/>
          <w:sz w:val="20"/>
          <w:szCs w:val="20"/>
          <w:lang w:val="en-US"/>
        </w:rPr>
        <w:t>indicates that the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 dependent population may increase faster than </w:t>
      </w:r>
      <w:r w:rsidR="009F7746" w:rsidRPr="007125E7">
        <w:rPr>
          <w:rFonts w:ascii="Arial" w:hAnsi="Arial" w:cs="Arial"/>
          <w:sz w:val="20"/>
          <w:szCs w:val="20"/>
          <w:lang w:val="en-US"/>
        </w:rPr>
        <w:t>the elder population</w:t>
      </w:r>
      <w:r w:rsidRPr="007125E7">
        <w:rPr>
          <w:rFonts w:ascii="Arial" w:hAnsi="Arial" w:cs="Arial"/>
          <w:sz w:val="20"/>
          <w:szCs w:val="20"/>
          <w:lang w:val="en-US"/>
        </w:rPr>
        <w:t xml:space="preserve">. In this sense, we will discuss </w:t>
      </w:r>
      <w:r w:rsidR="0062751F" w:rsidRPr="007125E7">
        <w:rPr>
          <w:rFonts w:ascii="Arial" w:hAnsi="Arial" w:cs="Arial"/>
          <w:sz w:val="20"/>
          <w:szCs w:val="20"/>
          <w:lang w:val="en-US"/>
        </w:rPr>
        <w:t xml:space="preserve">early </w:t>
      </w:r>
      <w:r w:rsidRPr="007125E7">
        <w:rPr>
          <w:rFonts w:ascii="Arial" w:hAnsi="Arial" w:cs="Arial"/>
          <w:sz w:val="20"/>
          <w:szCs w:val="20"/>
          <w:lang w:val="en-US"/>
        </w:rPr>
        <w:t>retirement, retirees, their income and living condi</w:t>
      </w:r>
      <w:r w:rsidR="00684C73" w:rsidRPr="007125E7">
        <w:rPr>
          <w:rFonts w:ascii="Arial" w:hAnsi="Arial" w:cs="Arial"/>
          <w:sz w:val="20"/>
          <w:szCs w:val="20"/>
          <w:lang w:val="en-US"/>
        </w:rPr>
        <w:t>tions</w:t>
      </w:r>
      <w:r w:rsidR="0062751F" w:rsidRPr="007125E7">
        <w:rPr>
          <w:rFonts w:ascii="Arial" w:hAnsi="Arial" w:cs="Arial"/>
          <w:sz w:val="20"/>
          <w:szCs w:val="20"/>
          <w:lang w:val="en-US"/>
        </w:rPr>
        <w:t xml:space="preserve"> </w:t>
      </w:r>
      <w:r w:rsidR="00F86B2F" w:rsidRPr="007125E7">
        <w:rPr>
          <w:rFonts w:ascii="Arial" w:hAnsi="Arial" w:cs="Arial"/>
          <w:sz w:val="20"/>
          <w:szCs w:val="20"/>
          <w:lang w:val="en-US"/>
        </w:rPr>
        <w:t>more</w:t>
      </w:r>
      <w:r w:rsidR="0062751F" w:rsidRPr="007125E7">
        <w:rPr>
          <w:rFonts w:ascii="Arial" w:hAnsi="Arial" w:cs="Arial"/>
          <w:sz w:val="20"/>
          <w:szCs w:val="20"/>
          <w:lang w:val="en-US"/>
        </w:rPr>
        <w:t xml:space="preserve"> in the upcoming years</w:t>
      </w:r>
      <w:r w:rsidR="00F86B2F" w:rsidRPr="007125E7">
        <w:rPr>
          <w:rFonts w:ascii="Arial" w:hAnsi="Arial" w:cs="Arial"/>
          <w:sz w:val="20"/>
          <w:szCs w:val="20"/>
          <w:lang w:val="en-US"/>
        </w:rPr>
        <w:t xml:space="preserve">. Further research and awareness is needed for evidence-based discussions. </w:t>
      </w:r>
    </w:p>
    <w:p w:rsidR="00087C8D" w:rsidRDefault="00087C8D" w:rsidP="00F86B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87C8D" w:rsidRDefault="00087C8D" w:rsidP="00F86B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87C8D" w:rsidRPr="007125E7" w:rsidRDefault="00087C8D" w:rsidP="00F86B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17E1D" w:rsidRPr="007125E7" w:rsidRDefault="0008303B" w:rsidP="009E63D9">
      <w:pPr>
        <w:spacing w:after="0" w:line="240" w:lineRule="auto"/>
        <w:rPr>
          <w:rFonts w:ascii="Arial" w:hAnsi="Arial" w:cs="Arial"/>
          <w:b/>
          <w:lang w:val="en-US"/>
        </w:rPr>
      </w:pPr>
      <w:r w:rsidRPr="007125E7">
        <w:rPr>
          <w:rFonts w:ascii="Arial" w:hAnsi="Arial" w:cs="Arial"/>
          <w:b/>
          <w:lang w:val="en-US"/>
        </w:rPr>
        <w:t>Appendix</w:t>
      </w:r>
    </w:p>
    <w:p w:rsidR="002B30FA" w:rsidRPr="007125E7" w:rsidRDefault="002B30FA" w:rsidP="002B30FA">
      <w:pPr>
        <w:pStyle w:val="ResimYazs"/>
        <w:keepNext/>
        <w:rPr>
          <w:lang w:val="en-US"/>
        </w:rPr>
      </w:pPr>
    </w:p>
    <w:p w:rsidR="002B30FA" w:rsidRPr="007125E7" w:rsidRDefault="002B30FA" w:rsidP="002B30FA">
      <w:pPr>
        <w:pStyle w:val="ResimYazs"/>
        <w:keepNext/>
        <w:rPr>
          <w:lang w:val="en-US"/>
        </w:rPr>
      </w:pPr>
    </w:p>
    <w:p w:rsidR="00E25A2A" w:rsidRPr="00087C8D" w:rsidRDefault="008A6CC7" w:rsidP="008A6C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</w:pPr>
      <w:r w:rsidRPr="00087C8D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Additional Table 1: Number of retirees in age population</w:t>
      </w: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1466"/>
        <w:gridCol w:w="1525"/>
        <w:gridCol w:w="1369"/>
        <w:gridCol w:w="1449"/>
        <w:gridCol w:w="1315"/>
        <w:gridCol w:w="1476"/>
      </w:tblGrid>
      <w:tr w:rsidR="004878B1" w:rsidRPr="007125E7" w:rsidTr="004878B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2006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2010</w:t>
            </w:r>
          </w:p>
        </w:tc>
      </w:tr>
      <w:tr w:rsidR="004878B1" w:rsidRPr="007125E7" w:rsidTr="004878B1">
        <w:trPr>
          <w:trHeight w:val="12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Retirees (000)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Age population (000)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Retiree/Age population (%)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Retirees (000)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Age population (000)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Retiree/Age population (%)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35-40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4,947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0.4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5,374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0.2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40-44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138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4,357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4,843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1.8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45-49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782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3,983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19.6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4,351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16.2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50-54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964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3,030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31.8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3,797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34.5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55-59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968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2,451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39.5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1,311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3,048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43.0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60-64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1,929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41.2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1,071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2,307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46.4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65+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4,331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48.7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2,650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5,007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52.9</w:t>
            </w:r>
          </w:p>
        </w:tc>
      </w:tr>
      <w:tr w:rsidR="004878B1" w:rsidRPr="007125E7" w:rsidTr="004878B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5,778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25,028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23.1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7,144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28,727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B1" w:rsidRPr="00087C8D" w:rsidRDefault="004878B1" w:rsidP="004878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24.9</w:t>
            </w:r>
          </w:p>
        </w:tc>
      </w:tr>
    </w:tbl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D70672" w:rsidRDefault="00D70672" w:rsidP="00D70672">
      <w:pPr>
        <w:pStyle w:val="ResimYazs"/>
        <w:keepNext/>
        <w:rPr>
          <w:lang w:val="en-US"/>
        </w:rPr>
      </w:pPr>
    </w:p>
    <w:p w:rsidR="00D3529C" w:rsidRPr="00D3529C" w:rsidRDefault="00D3529C" w:rsidP="00D3529C">
      <w:pPr>
        <w:rPr>
          <w:lang w:val="en-US" w:eastAsia="ar-SA"/>
        </w:rPr>
      </w:pPr>
    </w:p>
    <w:p w:rsidR="00D70672" w:rsidRPr="00087C8D" w:rsidRDefault="00087C8D" w:rsidP="00D70672">
      <w:pPr>
        <w:pStyle w:val="ResimYazs"/>
        <w:keepNext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Additional Table 2</w:t>
      </w:r>
      <w:r w:rsidR="008A6CC7" w:rsidRPr="00087C8D">
        <w:rPr>
          <w:rFonts w:ascii="Arial" w:hAnsi="Arial" w:cs="Arial"/>
          <w:lang w:val="en-US"/>
        </w:rPr>
        <w:t xml:space="preserve"> </w:t>
      </w:r>
      <w:r w:rsidR="00D70672" w:rsidRPr="00087C8D">
        <w:rPr>
          <w:rFonts w:ascii="Arial" w:hAnsi="Arial" w:cs="Arial"/>
          <w:lang w:val="en-US"/>
        </w:rPr>
        <w:t>Number of retirees in age population by gender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2"/>
        <w:gridCol w:w="1196"/>
        <w:gridCol w:w="927"/>
        <w:gridCol w:w="1199"/>
        <w:gridCol w:w="925"/>
        <w:gridCol w:w="1202"/>
        <w:gridCol w:w="922"/>
        <w:gridCol w:w="1062"/>
        <w:gridCol w:w="11"/>
        <w:gridCol w:w="1051"/>
      </w:tblGrid>
      <w:tr w:rsidR="00D3529C" w:rsidRPr="00D3529C" w:rsidTr="00D3529C">
        <w:trPr>
          <w:trHeight w:val="300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Age group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Male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Female</w:t>
            </w:r>
          </w:p>
        </w:tc>
      </w:tr>
      <w:tr w:rsidR="00D3529C" w:rsidRPr="00D3529C" w:rsidTr="00D3529C">
        <w:trPr>
          <w:trHeight w:val="300"/>
        </w:trPr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2010</w:t>
            </w:r>
          </w:p>
        </w:tc>
      </w:tr>
      <w:tr w:rsidR="00D3529C" w:rsidRPr="00D3529C" w:rsidTr="00D3529C">
        <w:trPr>
          <w:trHeight w:val="990"/>
        </w:trPr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Retirees(000)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Retirees/Age population (%)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Retirees(000)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Retirees/Age population (%)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Retirees(000)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Retirees/Age population (%)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Retirees(000)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Retirees/Age population (%)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35-40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15,855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0.6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9,557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0.4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4,661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0.2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1,761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0.1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40-44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58,935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28,246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78,749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57,240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2.4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45-49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569,722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28.8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537,346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212,676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168,207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7.8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50-54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791,394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51.9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1,041,696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172,353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268,514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14.1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55-59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775,741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1,061,566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192,194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249,044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16.2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60-64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675,187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893,080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119,744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177,642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14.8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65+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1,537,977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1,876,298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86.1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573,148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23.6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773,462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27.4</w:t>
            </w:r>
          </w:p>
        </w:tc>
      </w:tr>
      <w:tr w:rsidR="00D3529C" w:rsidRPr="00D3529C" w:rsidTr="00D3529C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4,424,812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36.5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5,447,789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38.9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1,353,524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1,695,871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9C" w:rsidRPr="00087C8D" w:rsidRDefault="00D3529C" w:rsidP="00D35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11.5</w:t>
            </w:r>
          </w:p>
        </w:tc>
      </w:tr>
    </w:tbl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DB3908" w:rsidRDefault="00DB3908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87C8D" w:rsidRPr="007125E7" w:rsidRDefault="00087C8D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81024" w:rsidRPr="007125E7" w:rsidRDefault="00681024" w:rsidP="00681024">
      <w:pPr>
        <w:pStyle w:val="ResimYazs"/>
        <w:keepNext/>
        <w:rPr>
          <w:lang w:val="en-US"/>
        </w:rPr>
      </w:pPr>
    </w:p>
    <w:p w:rsidR="00681024" w:rsidRPr="00087C8D" w:rsidRDefault="00087C8D" w:rsidP="00681024">
      <w:pPr>
        <w:pStyle w:val="ResimYazs"/>
        <w:keepNext/>
        <w:rPr>
          <w:rFonts w:ascii="Arial" w:hAnsi="Arial" w:cs="Arial"/>
          <w:lang w:val="en-US"/>
        </w:rPr>
      </w:pPr>
      <w:r w:rsidRPr="00087C8D">
        <w:rPr>
          <w:rFonts w:ascii="Arial" w:hAnsi="Arial" w:cs="Arial"/>
          <w:lang w:val="en-US"/>
        </w:rPr>
        <w:t>Additional Table 3</w:t>
      </w:r>
      <w:r w:rsidR="008A6CC7" w:rsidRPr="00087C8D">
        <w:rPr>
          <w:rFonts w:ascii="Arial" w:hAnsi="Arial" w:cs="Arial"/>
          <w:lang w:val="en-US"/>
        </w:rPr>
        <w:t xml:space="preserve"> </w:t>
      </w:r>
      <w:r w:rsidR="00681024" w:rsidRPr="00087C8D">
        <w:rPr>
          <w:rFonts w:ascii="Arial" w:hAnsi="Arial" w:cs="Arial"/>
          <w:lang w:val="en-US"/>
        </w:rPr>
        <w:t>Number of retirees / Total employment</w:t>
      </w:r>
    </w:p>
    <w:tbl>
      <w:tblPr>
        <w:tblW w:w="813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31"/>
        <w:gridCol w:w="1420"/>
        <w:gridCol w:w="1660"/>
        <w:gridCol w:w="1280"/>
        <w:gridCol w:w="1420"/>
        <w:gridCol w:w="1320"/>
      </w:tblGrid>
      <w:tr w:rsidR="00681024" w:rsidRPr="00087C8D" w:rsidTr="00681024">
        <w:trPr>
          <w:trHeight w:val="30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2006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2010</w:t>
            </w:r>
          </w:p>
        </w:tc>
      </w:tr>
      <w:tr w:rsidR="00681024" w:rsidRPr="00087C8D" w:rsidTr="00681024">
        <w:trPr>
          <w:trHeight w:val="15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Retirees (000)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Total employment (000)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Number of retirees / Total employment (%)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Retirees (000)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Total employment (000)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Number of retirees / Total employment (%)</w:t>
            </w:r>
          </w:p>
        </w:tc>
      </w:tr>
      <w:tr w:rsidR="00681024" w:rsidRPr="00087C8D" w:rsidTr="00681024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5,778,336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20,423,000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28.3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7,143,659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22,594,000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31.6</w:t>
            </w:r>
          </w:p>
        </w:tc>
      </w:tr>
    </w:tbl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0C0DF4" w:rsidRPr="007125E7" w:rsidRDefault="000C0DF4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81024" w:rsidRPr="007125E7" w:rsidRDefault="00681024" w:rsidP="009E63D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81024" w:rsidRPr="00087C8D" w:rsidRDefault="008A6CC7" w:rsidP="00681024">
      <w:pPr>
        <w:pStyle w:val="ResimYazs"/>
        <w:keepNext/>
        <w:rPr>
          <w:rFonts w:ascii="Arial" w:hAnsi="Arial" w:cs="Arial"/>
          <w:lang w:val="en-US"/>
        </w:rPr>
      </w:pPr>
      <w:r w:rsidRPr="00087C8D">
        <w:rPr>
          <w:rFonts w:ascii="Arial" w:hAnsi="Arial" w:cs="Arial"/>
          <w:lang w:val="en-US"/>
        </w:rPr>
        <w:t xml:space="preserve">Additional Table 4 </w:t>
      </w:r>
      <w:r w:rsidR="00681024" w:rsidRPr="00087C8D">
        <w:rPr>
          <w:rFonts w:ascii="Arial" w:hAnsi="Arial" w:cs="Arial"/>
          <w:lang w:val="en-US"/>
        </w:rPr>
        <w:t>Number of retirees in the age between 15-34</w:t>
      </w:r>
    </w:p>
    <w:tbl>
      <w:tblPr>
        <w:tblW w:w="65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1094"/>
        <w:gridCol w:w="1446"/>
        <w:gridCol w:w="1327"/>
        <w:gridCol w:w="1753"/>
      </w:tblGrid>
      <w:tr w:rsidR="00681024" w:rsidRPr="00087C8D" w:rsidTr="0068102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Age group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2006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2010</w:t>
            </w:r>
          </w:p>
        </w:tc>
      </w:tr>
      <w:tr w:rsidR="00681024" w:rsidRPr="00087C8D" w:rsidTr="0068102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Male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Female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Male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Female</w:t>
            </w:r>
          </w:p>
        </w:tc>
      </w:tr>
      <w:tr w:rsidR="00681024" w:rsidRPr="00087C8D" w:rsidTr="00681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15-19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592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</w:tr>
      <w:tr w:rsidR="00681024" w:rsidRPr="00087C8D" w:rsidTr="00681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20-24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1,080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</w:tr>
      <w:tr w:rsidR="00681024" w:rsidRPr="00087C8D" w:rsidTr="00681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 xml:space="preserve">25-29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4,072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</w:tr>
      <w:tr w:rsidR="00681024" w:rsidRPr="00087C8D" w:rsidTr="00681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tr-TR"/>
              </w:rPr>
              <w:t>30-34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4,691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1,325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24" w:rsidRPr="00087C8D" w:rsidRDefault="00681024" w:rsidP="00681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087C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1,444</w:t>
            </w:r>
          </w:p>
        </w:tc>
      </w:tr>
    </w:tbl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125E7">
        <w:rPr>
          <w:rFonts w:ascii="Arial" w:hAnsi="Arial" w:cs="Arial"/>
          <w:sz w:val="16"/>
          <w:szCs w:val="16"/>
          <w:lang w:val="en-US"/>
        </w:rPr>
        <w:t>Source: Income and Living Conditions Survey, Betam</w:t>
      </w:r>
    </w:p>
    <w:p w:rsidR="000C0DF4" w:rsidRPr="007125E7" w:rsidRDefault="000C0DF4" w:rsidP="009E63D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0C0DF4" w:rsidRPr="007125E7" w:rsidSect="00CA1A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0F" w:rsidRDefault="00301E0F" w:rsidP="00A0629D">
      <w:pPr>
        <w:spacing w:after="0" w:line="240" w:lineRule="auto"/>
      </w:pPr>
      <w:r>
        <w:separator/>
      </w:r>
    </w:p>
  </w:endnote>
  <w:endnote w:type="continuationSeparator" w:id="1">
    <w:p w:rsidR="00301E0F" w:rsidRDefault="00301E0F" w:rsidP="00A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0F" w:rsidRDefault="00301E0F" w:rsidP="00A0629D">
      <w:pPr>
        <w:spacing w:after="0" w:line="240" w:lineRule="auto"/>
      </w:pPr>
      <w:r>
        <w:separator/>
      </w:r>
    </w:p>
  </w:footnote>
  <w:footnote w:type="continuationSeparator" w:id="1">
    <w:p w:rsidR="00301E0F" w:rsidRDefault="00301E0F" w:rsidP="00A0629D">
      <w:pPr>
        <w:spacing w:after="0" w:line="240" w:lineRule="auto"/>
      </w:pPr>
      <w:r>
        <w:continuationSeparator/>
      </w:r>
    </w:p>
  </w:footnote>
  <w:footnote w:id="2">
    <w:p w:rsidR="00A0629D" w:rsidRPr="007125E7" w:rsidRDefault="00A0629D" w:rsidP="00A0629D">
      <w:pPr>
        <w:pStyle w:val="DipnotMetni"/>
        <w:rPr>
          <w:lang w:val="en-US"/>
        </w:rPr>
      </w:pPr>
      <w:r w:rsidRPr="007125E7">
        <w:rPr>
          <w:rStyle w:val="DipnotBavurusu"/>
          <w:rFonts w:ascii="Arial" w:hAnsi="Arial" w:cs="Arial"/>
          <w:b/>
          <w:bCs/>
          <w:sz w:val="16"/>
          <w:szCs w:val="16"/>
          <w:lang w:val="en-US"/>
        </w:rPr>
        <w:t>*</w:t>
      </w:r>
      <w:r w:rsidRPr="007125E7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94006E" w:rsidRPr="007125E7">
        <w:rPr>
          <w:rFonts w:ascii="Arial" w:hAnsi="Arial" w:cs="Arial"/>
          <w:sz w:val="16"/>
          <w:szCs w:val="16"/>
          <w:lang w:val="en-US"/>
        </w:rPr>
        <w:t>Prof.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Seyfettin Gürsel, Betam, </w:t>
      </w:r>
      <w:r w:rsidR="0094006E" w:rsidRPr="007125E7">
        <w:rPr>
          <w:rFonts w:ascii="Arial" w:hAnsi="Arial" w:cs="Arial"/>
          <w:sz w:val="16"/>
          <w:szCs w:val="16"/>
          <w:lang w:val="en-US"/>
        </w:rPr>
        <w:t>Director</w:t>
      </w:r>
      <w:r w:rsidRPr="007125E7">
        <w:rPr>
          <w:rFonts w:ascii="Arial" w:hAnsi="Arial" w:cs="Arial"/>
          <w:sz w:val="16"/>
          <w:szCs w:val="16"/>
          <w:lang w:val="en-US"/>
        </w:rPr>
        <w:t>, seyfettin.gursel@bahcesehir.edu.tr</w:t>
      </w:r>
    </w:p>
  </w:footnote>
  <w:footnote w:id="3">
    <w:p w:rsidR="00A0629D" w:rsidRPr="007125E7" w:rsidRDefault="00A0629D" w:rsidP="00A0629D">
      <w:pPr>
        <w:pStyle w:val="DipnotMetni"/>
        <w:rPr>
          <w:rFonts w:ascii="Arial" w:hAnsi="Arial" w:cs="Arial"/>
          <w:sz w:val="16"/>
          <w:szCs w:val="16"/>
          <w:lang w:val="en-US"/>
        </w:rPr>
      </w:pPr>
      <w:r w:rsidRPr="007125E7">
        <w:rPr>
          <w:rStyle w:val="DipnotBavurusu"/>
          <w:lang w:val="en-US"/>
        </w:rPr>
        <w:sym w:font="Symbol" w:char="F02A"/>
      </w:r>
      <w:r w:rsidRPr="007125E7">
        <w:rPr>
          <w:rStyle w:val="DipnotBavurusu"/>
          <w:lang w:val="en-US"/>
        </w:rPr>
        <w:sym w:font="Symbol" w:char="F02A"/>
      </w:r>
      <w:r w:rsidRPr="007125E7">
        <w:rPr>
          <w:lang w:val="en-US"/>
        </w:rPr>
        <w:t xml:space="preserve"> </w:t>
      </w:r>
      <w:r w:rsidR="0094006E" w:rsidRPr="007125E7">
        <w:rPr>
          <w:rFonts w:ascii="Arial" w:hAnsi="Arial" w:cs="Arial"/>
          <w:sz w:val="16"/>
          <w:szCs w:val="16"/>
          <w:lang w:val="en-US"/>
        </w:rPr>
        <w:t>Asst. Prof.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Gökçe Uysal, Betam </w:t>
      </w:r>
      <w:r w:rsidR="0094006E" w:rsidRPr="007125E7">
        <w:rPr>
          <w:rFonts w:ascii="Arial" w:hAnsi="Arial" w:cs="Arial"/>
          <w:sz w:val="16"/>
          <w:szCs w:val="16"/>
          <w:lang w:val="en-US"/>
        </w:rPr>
        <w:t>Vice Director,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" w:history="1">
        <w:r w:rsidRPr="007125E7">
          <w:rPr>
            <w:rFonts w:ascii="Arial" w:hAnsi="Arial" w:cs="Arial"/>
            <w:sz w:val="16"/>
            <w:szCs w:val="16"/>
            <w:lang w:val="en-US"/>
          </w:rPr>
          <w:t>gokce.uysal@bahcesehir.edu.tr</w:t>
        </w:r>
      </w:hyperlink>
      <w:r w:rsidRPr="007125E7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A0629D" w:rsidRPr="007125E7" w:rsidRDefault="00A0629D" w:rsidP="00A0629D">
      <w:pPr>
        <w:pStyle w:val="DipnotMetni"/>
        <w:rPr>
          <w:lang w:val="en-US"/>
        </w:rPr>
      </w:pPr>
      <w:r w:rsidRPr="007125E7">
        <w:rPr>
          <w:rStyle w:val="DipnotBavurusu"/>
          <w:rFonts w:ascii="Arial" w:hAnsi="Arial" w:cs="Arial"/>
          <w:sz w:val="16"/>
          <w:szCs w:val="16"/>
          <w:lang w:val="en-US"/>
        </w:rPr>
        <w:sym w:font="Symbol" w:char="F02A"/>
      </w:r>
      <w:r w:rsidRPr="007125E7">
        <w:rPr>
          <w:rStyle w:val="DipnotBavurusu"/>
          <w:rFonts w:ascii="Arial" w:hAnsi="Arial" w:cs="Arial"/>
          <w:sz w:val="16"/>
          <w:szCs w:val="16"/>
          <w:lang w:val="en-US"/>
        </w:rPr>
        <w:sym w:font="Symbol" w:char="F02A"/>
      </w:r>
      <w:r w:rsidRPr="007125E7">
        <w:rPr>
          <w:rStyle w:val="DipnotBavurusu"/>
          <w:rFonts w:ascii="Arial" w:hAnsi="Arial" w:cs="Arial"/>
          <w:sz w:val="16"/>
          <w:szCs w:val="16"/>
          <w:lang w:val="en-US"/>
        </w:rPr>
        <w:sym w:font="Symbol" w:char="F02A"/>
      </w:r>
      <w:r w:rsidRPr="007125E7">
        <w:rPr>
          <w:rFonts w:ascii="Arial" w:hAnsi="Arial" w:cs="Arial"/>
          <w:sz w:val="16"/>
          <w:szCs w:val="16"/>
          <w:lang w:val="en-US"/>
        </w:rPr>
        <w:t xml:space="preserve"> Ayşenur Acar, Betam, </w:t>
      </w:r>
      <w:r w:rsidR="0094006E" w:rsidRPr="007125E7">
        <w:rPr>
          <w:rFonts w:ascii="Arial" w:hAnsi="Arial" w:cs="Arial"/>
          <w:sz w:val="16"/>
          <w:szCs w:val="16"/>
          <w:lang w:val="en-US"/>
        </w:rPr>
        <w:t>Research Assistant</w:t>
      </w:r>
      <w:r w:rsidRPr="007125E7">
        <w:rPr>
          <w:rFonts w:ascii="Arial" w:hAnsi="Arial" w:cs="Arial"/>
          <w:sz w:val="16"/>
          <w:szCs w:val="16"/>
          <w:lang w:val="en-US"/>
        </w:rPr>
        <w:t>, aysenur.acar@bahcesehir.edu.tr</w:t>
      </w:r>
    </w:p>
  </w:footnote>
  <w:footnote w:id="4">
    <w:p w:rsidR="000C0DF4" w:rsidRPr="007125E7" w:rsidRDefault="000C0DF4" w:rsidP="000C0DF4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7125E7">
        <w:rPr>
          <w:rStyle w:val="DipnotBavurusu"/>
          <w:sz w:val="16"/>
          <w:szCs w:val="16"/>
          <w:lang w:val="en-US"/>
        </w:rPr>
        <w:footnoteRef/>
      </w:r>
      <w:r w:rsidRPr="007125E7">
        <w:rPr>
          <w:sz w:val="16"/>
          <w:szCs w:val="16"/>
          <w:lang w:val="en-US"/>
        </w:rPr>
        <w:t xml:space="preserve"> 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We </w:t>
      </w:r>
      <w:r w:rsidR="00A92E1A" w:rsidRPr="007125E7">
        <w:rPr>
          <w:rFonts w:ascii="Arial" w:hAnsi="Arial" w:cs="Arial"/>
          <w:sz w:val="16"/>
          <w:szCs w:val="16"/>
          <w:lang w:val="en-US"/>
        </w:rPr>
        <w:t>take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35 years</w:t>
      </w:r>
      <w:r w:rsidR="00A92E1A" w:rsidRPr="007125E7">
        <w:rPr>
          <w:rFonts w:ascii="Arial" w:hAnsi="Arial" w:cs="Arial"/>
          <w:sz w:val="16"/>
          <w:szCs w:val="16"/>
          <w:lang w:val="en-US"/>
        </w:rPr>
        <w:t xml:space="preserve"> of age to be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the minimum age for formal retirement. In the age group 15-34, </w:t>
      </w:r>
      <w:r w:rsidR="00A92E1A" w:rsidRPr="007125E7">
        <w:rPr>
          <w:rFonts w:ascii="Arial" w:hAnsi="Arial" w:cs="Arial"/>
          <w:sz w:val="16"/>
          <w:szCs w:val="16"/>
          <w:lang w:val="en-US"/>
        </w:rPr>
        <w:t>there are some people who receive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pension</w:t>
      </w:r>
      <w:r w:rsidR="00A92E1A" w:rsidRPr="007125E7">
        <w:rPr>
          <w:rFonts w:ascii="Arial" w:hAnsi="Arial" w:cs="Arial"/>
          <w:sz w:val="16"/>
          <w:szCs w:val="16"/>
          <w:lang w:val="en-US"/>
        </w:rPr>
        <w:t xml:space="preserve"> payments</w:t>
      </w:r>
      <w:r w:rsidR="00AE723E" w:rsidRPr="007125E7">
        <w:rPr>
          <w:rFonts w:ascii="Arial" w:hAnsi="Arial" w:cs="Arial"/>
          <w:sz w:val="16"/>
          <w:szCs w:val="16"/>
          <w:lang w:val="en-US"/>
        </w:rPr>
        <w:t>. These people may receive such payments under certain specific conditions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. For example, </w:t>
      </w:r>
      <w:r w:rsidR="00AE723E" w:rsidRPr="007125E7">
        <w:rPr>
          <w:rFonts w:ascii="Arial" w:hAnsi="Arial" w:cs="Arial"/>
          <w:sz w:val="16"/>
          <w:szCs w:val="16"/>
          <w:lang w:val="en-US"/>
        </w:rPr>
        <w:t>women, who do</w:t>
      </w:r>
      <w:r w:rsidR="004E26C2" w:rsidRPr="007125E7">
        <w:rPr>
          <w:rFonts w:ascii="Arial" w:hAnsi="Arial" w:cs="Arial"/>
          <w:sz w:val="16"/>
          <w:szCs w:val="16"/>
          <w:lang w:val="en-US"/>
        </w:rPr>
        <w:t xml:space="preserve"> </w:t>
      </w:r>
      <w:r w:rsidRPr="007125E7">
        <w:rPr>
          <w:rFonts w:ascii="Arial" w:hAnsi="Arial" w:cs="Arial"/>
          <w:sz w:val="16"/>
          <w:szCs w:val="16"/>
          <w:lang w:val="en-US"/>
        </w:rPr>
        <w:t>n</w:t>
      </w:r>
      <w:r w:rsidR="004E26C2" w:rsidRPr="007125E7">
        <w:rPr>
          <w:rFonts w:ascii="Arial" w:hAnsi="Arial" w:cs="Arial"/>
          <w:sz w:val="16"/>
          <w:szCs w:val="16"/>
          <w:lang w:val="en-US"/>
        </w:rPr>
        <w:t>o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t work and whose retired husband or father have died, </w:t>
      </w:r>
      <w:r w:rsidR="00AE723E" w:rsidRPr="007125E7">
        <w:rPr>
          <w:rFonts w:ascii="Arial" w:hAnsi="Arial" w:cs="Arial"/>
          <w:sz w:val="16"/>
          <w:szCs w:val="16"/>
          <w:lang w:val="en-US"/>
        </w:rPr>
        <w:t>may be a part of this group</w:t>
      </w:r>
      <w:r w:rsidR="00FA5E06" w:rsidRPr="007125E7">
        <w:rPr>
          <w:rFonts w:ascii="Arial" w:hAnsi="Arial" w:cs="Arial"/>
          <w:sz w:val="16"/>
          <w:szCs w:val="16"/>
          <w:lang w:val="en-US"/>
        </w:rPr>
        <w:t xml:space="preserve">. </w:t>
      </w:r>
      <w:r w:rsidR="00AE723E" w:rsidRPr="007125E7">
        <w:rPr>
          <w:rFonts w:ascii="Arial" w:hAnsi="Arial" w:cs="Arial"/>
          <w:sz w:val="16"/>
          <w:szCs w:val="16"/>
          <w:lang w:val="en-US"/>
        </w:rPr>
        <w:t>There were 8500 women who may fall into this category i</w:t>
      </w:r>
      <w:r w:rsidRPr="007125E7">
        <w:rPr>
          <w:rFonts w:ascii="Arial" w:hAnsi="Arial" w:cs="Arial"/>
          <w:sz w:val="16"/>
          <w:szCs w:val="16"/>
          <w:lang w:val="en-US"/>
        </w:rPr>
        <w:t>n 2010 (Ad</w:t>
      </w:r>
      <w:r w:rsidR="00FA5E06" w:rsidRPr="007125E7">
        <w:rPr>
          <w:rFonts w:ascii="Arial" w:hAnsi="Arial" w:cs="Arial"/>
          <w:sz w:val="16"/>
          <w:szCs w:val="16"/>
          <w:lang w:val="en-US"/>
        </w:rPr>
        <w:t>ditional Table 4). However, 223 thousand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people of 7</w:t>
      </w:r>
      <w:r w:rsidR="00087C8D">
        <w:rPr>
          <w:rFonts w:ascii="Arial" w:hAnsi="Arial" w:cs="Arial"/>
          <w:sz w:val="16"/>
          <w:szCs w:val="16"/>
          <w:lang w:val="en-US"/>
        </w:rPr>
        <w:t xml:space="preserve"> </w:t>
      </w:r>
      <w:r w:rsidR="00FA5E06" w:rsidRPr="007125E7">
        <w:rPr>
          <w:rFonts w:ascii="Arial" w:hAnsi="Arial" w:cs="Arial"/>
          <w:sz w:val="16"/>
          <w:szCs w:val="16"/>
          <w:lang w:val="en-US"/>
        </w:rPr>
        <w:t>million</w:t>
      </w:r>
      <w:r w:rsidR="00AE723E" w:rsidRPr="007125E7">
        <w:rPr>
          <w:rFonts w:ascii="Arial" w:hAnsi="Arial" w:cs="Arial"/>
          <w:sz w:val="16"/>
          <w:szCs w:val="16"/>
          <w:lang w:val="en-US"/>
        </w:rPr>
        <w:t xml:space="preserve"> over the age of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 35 have been receiving a pension despite </w:t>
      </w:r>
      <w:r w:rsidR="00AE723E" w:rsidRPr="007125E7">
        <w:rPr>
          <w:rFonts w:ascii="Arial" w:hAnsi="Arial" w:cs="Arial"/>
          <w:sz w:val="16"/>
          <w:szCs w:val="16"/>
          <w:lang w:val="en-US"/>
        </w:rPr>
        <w:t xml:space="preserve">having </w:t>
      </w:r>
      <w:r w:rsidRPr="007125E7">
        <w:rPr>
          <w:rFonts w:ascii="Arial" w:hAnsi="Arial" w:cs="Arial"/>
          <w:sz w:val="16"/>
          <w:szCs w:val="16"/>
          <w:lang w:val="en-US"/>
        </w:rPr>
        <w:t xml:space="preserve">never worked before. </w:t>
      </w:r>
      <w:r w:rsidR="00AE723E" w:rsidRPr="007125E7">
        <w:rPr>
          <w:rFonts w:ascii="Arial" w:hAnsi="Arial" w:cs="Arial"/>
          <w:sz w:val="16"/>
          <w:szCs w:val="16"/>
          <w:lang w:val="en-US"/>
        </w:rPr>
        <w:t>We think that these people have been paying their social security taxes without working in a formal institution.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29D"/>
    <w:rsid w:val="00001E6F"/>
    <w:rsid w:val="00014B0B"/>
    <w:rsid w:val="00054776"/>
    <w:rsid w:val="00054812"/>
    <w:rsid w:val="00080008"/>
    <w:rsid w:val="0008303B"/>
    <w:rsid w:val="00087C8D"/>
    <w:rsid w:val="00087D47"/>
    <w:rsid w:val="000A2165"/>
    <w:rsid w:val="000C0DF4"/>
    <w:rsid w:val="000D615A"/>
    <w:rsid w:val="00104FA5"/>
    <w:rsid w:val="0010519C"/>
    <w:rsid w:val="00127F1E"/>
    <w:rsid w:val="00163249"/>
    <w:rsid w:val="0017060C"/>
    <w:rsid w:val="00190C33"/>
    <w:rsid w:val="00194B7B"/>
    <w:rsid w:val="001B70E3"/>
    <w:rsid w:val="001C1106"/>
    <w:rsid w:val="001C1F62"/>
    <w:rsid w:val="001D683C"/>
    <w:rsid w:val="00203E1E"/>
    <w:rsid w:val="00232DC1"/>
    <w:rsid w:val="00257FA7"/>
    <w:rsid w:val="00263F54"/>
    <w:rsid w:val="00276AF9"/>
    <w:rsid w:val="0029073A"/>
    <w:rsid w:val="002B30FA"/>
    <w:rsid w:val="002B403D"/>
    <w:rsid w:val="002B5068"/>
    <w:rsid w:val="002C23CF"/>
    <w:rsid w:val="002C3074"/>
    <w:rsid w:val="002D28C6"/>
    <w:rsid w:val="002E35AE"/>
    <w:rsid w:val="002E4549"/>
    <w:rsid w:val="00301E0F"/>
    <w:rsid w:val="00302B0B"/>
    <w:rsid w:val="00344CF2"/>
    <w:rsid w:val="00351B83"/>
    <w:rsid w:val="0035388D"/>
    <w:rsid w:val="00364C99"/>
    <w:rsid w:val="003A2567"/>
    <w:rsid w:val="003A5168"/>
    <w:rsid w:val="003B2C6A"/>
    <w:rsid w:val="003B2E53"/>
    <w:rsid w:val="003B65AF"/>
    <w:rsid w:val="00400C81"/>
    <w:rsid w:val="00436AFE"/>
    <w:rsid w:val="00442D1F"/>
    <w:rsid w:val="00443500"/>
    <w:rsid w:val="004527F2"/>
    <w:rsid w:val="00456214"/>
    <w:rsid w:val="00466A23"/>
    <w:rsid w:val="0047241E"/>
    <w:rsid w:val="00480BCC"/>
    <w:rsid w:val="004878B1"/>
    <w:rsid w:val="00491D7E"/>
    <w:rsid w:val="0049752B"/>
    <w:rsid w:val="004A1AF5"/>
    <w:rsid w:val="004A5C6E"/>
    <w:rsid w:val="004B7AEB"/>
    <w:rsid w:val="004E26C2"/>
    <w:rsid w:val="004F34D1"/>
    <w:rsid w:val="005177C6"/>
    <w:rsid w:val="00566C32"/>
    <w:rsid w:val="00575276"/>
    <w:rsid w:val="0058610F"/>
    <w:rsid w:val="005973FD"/>
    <w:rsid w:val="005A6940"/>
    <w:rsid w:val="005C00A9"/>
    <w:rsid w:val="005C7685"/>
    <w:rsid w:val="005D05C4"/>
    <w:rsid w:val="00604BD1"/>
    <w:rsid w:val="0062751F"/>
    <w:rsid w:val="0063641C"/>
    <w:rsid w:val="00640841"/>
    <w:rsid w:val="006571A1"/>
    <w:rsid w:val="00671AF3"/>
    <w:rsid w:val="00681024"/>
    <w:rsid w:val="00684C73"/>
    <w:rsid w:val="00691564"/>
    <w:rsid w:val="0069255F"/>
    <w:rsid w:val="00693C31"/>
    <w:rsid w:val="006A2165"/>
    <w:rsid w:val="006B159A"/>
    <w:rsid w:val="006B234C"/>
    <w:rsid w:val="006C3428"/>
    <w:rsid w:val="006C498F"/>
    <w:rsid w:val="006E0B5F"/>
    <w:rsid w:val="006E3F20"/>
    <w:rsid w:val="006F5406"/>
    <w:rsid w:val="007125E7"/>
    <w:rsid w:val="00723D85"/>
    <w:rsid w:val="007529B8"/>
    <w:rsid w:val="0076007E"/>
    <w:rsid w:val="00764E25"/>
    <w:rsid w:val="0077742A"/>
    <w:rsid w:val="00780EB2"/>
    <w:rsid w:val="00790795"/>
    <w:rsid w:val="007A0305"/>
    <w:rsid w:val="007A67BD"/>
    <w:rsid w:val="007B0821"/>
    <w:rsid w:val="007B7F9E"/>
    <w:rsid w:val="007F25A7"/>
    <w:rsid w:val="00810EE2"/>
    <w:rsid w:val="0081178D"/>
    <w:rsid w:val="00820B23"/>
    <w:rsid w:val="00820C80"/>
    <w:rsid w:val="00841AC7"/>
    <w:rsid w:val="00875FB4"/>
    <w:rsid w:val="00886ADC"/>
    <w:rsid w:val="008A346C"/>
    <w:rsid w:val="008A6CC7"/>
    <w:rsid w:val="008B09C7"/>
    <w:rsid w:val="008C2777"/>
    <w:rsid w:val="008C616D"/>
    <w:rsid w:val="008E1A99"/>
    <w:rsid w:val="008F6E12"/>
    <w:rsid w:val="00911F2B"/>
    <w:rsid w:val="00914862"/>
    <w:rsid w:val="0093743D"/>
    <w:rsid w:val="0094006E"/>
    <w:rsid w:val="00956989"/>
    <w:rsid w:val="009B5829"/>
    <w:rsid w:val="009D6473"/>
    <w:rsid w:val="009E1DA3"/>
    <w:rsid w:val="009E63D9"/>
    <w:rsid w:val="009F376D"/>
    <w:rsid w:val="009F7746"/>
    <w:rsid w:val="00A0629D"/>
    <w:rsid w:val="00A17E1D"/>
    <w:rsid w:val="00A240EC"/>
    <w:rsid w:val="00A50954"/>
    <w:rsid w:val="00A77D9F"/>
    <w:rsid w:val="00A90BB6"/>
    <w:rsid w:val="00A911E9"/>
    <w:rsid w:val="00A92E1A"/>
    <w:rsid w:val="00AE723E"/>
    <w:rsid w:val="00B037A9"/>
    <w:rsid w:val="00B10A51"/>
    <w:rsid w:val="00B35663"/>
    <w:rsid w:val="00B5402C"/>
    <w:rsid w:val="00B5470E"/>
    <w:rsid w:val="00B5517A"/>
    <w:rsid w:val="00B66051"/>
    <w:rsid w:val="00B87655"/>
    <w:rsid w:val="00B976E5"/>
    <w:rsid w:val="00BA37E0"/>
    <w:rsid w:val="00BA3D5C"/>
    <w:rsid w:val="00BA6B3E"/>
    <w:rsid w:val="00BB7F86"/>
    <w:rsid w:val="00BE5C70"/>
    <w:rsid w:val="00C02BA1"/>
    <w:rsid w:val="00C17359"/>
    <w:rsid w:val="00C25C27"/>
    <w:rsid w:val="00C31CBB"/>
    <w:rsid w:val="00C32354"/>
    <w:rsid w:val="00C431E6"/>
    <w:rsid w:val="00C84FC6"/>
    <w:rsid w:val="00C92DCB"/>
    <w:rsid w:val="00C95312"/>
    <w:rsid w:val="00CA1A77"/>
    <w:rsid w:val="00CB1429"/>
    <w:rsid w:val="00CB5C13"/>
    <w:rsid w:val="00CC15E0"/>
    <w:rsid w:val="00CC541D"/>
    <w:rsid w:val="00CE6BCB"/>
    <w:rsid w:val="00CF3F10"/>
    <w:rsid w:val="00D071E2"/>
    <w:rsid w:val="00D20F6B"/>
    <w:rsid w:val="00D212DF"/>
    <w:rsid w:val="00D3529C"/>
    <w:rsid w:val="00D70672"/>
    <w:rsid w:val="00DA0FF6"/>
    <w:rsid w:val="00DB3908"/>
    <w:rsid w:val="00DD106D"/>
    <w:rsid w:val="00DD3062"/>
    <w:rsid w:val="00DE063A"/>
    <w:rsid w:val="00DF41B6"/>
    <w:rsid w:val="00DF4C19"/>
    <w:rsid w:val="00E00695"/>
    <w:rsid w:val="00E25A2A"/>
    <w:rsid w:val="00E2654B"/>
    <w:rsid w:val="00E27262"/>
    <w:rsid w:val="00E3746A"/>
    <w:rsid w:val="00E428CA"/>
    <w:rsid w:val="00E574FB"/>
    <w:rsid w:val="00EA1843"/>
    <w:rsid w:val="00EB3E6E"/>
    <w:rsid w:val="00EF374A"/>
    <w:rsid w:val="00F3079D"/>
    <w:rsid w:val="00F307EA"/>
    <w:rsid w:val="00F33143"/>
    <w:rsid w:val="00F8047A"/>
    <w:rsid w:val="00F82012"/>
    <w:rsid w:val="00F86B2F"/>
    <w:rsid w:val="00F86D88"/>
    <w:rsid w:val="00F90521"/>
    <w:rsid w:val="00FA5E06"/>
    <w:rsid w:val="00FD577A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0E"/>
  </w:style>
  <w:style w:type="paragraph" w:styleId="Balk1">
    <w:name w:val="heading 1"/>
    <w:basedOn w:val="Normal"/>
    <w:next w:val="Normal"/>
    <w:link w:val="Balk1Char"/>
    <w:uiPriority w:val="99"/>
    <w:qFormat/>
    <w:rsid w:val="00681024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rsid w:val="00A0629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rsid w:val="00A0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62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3A5168"/>
    <w:pPr>
      <w:ind w:left="720"/>
      <w:contextualSpacing/>
    </w:pPr>
  </w:style>
  <w:style w:type="paragraph" w:styleId="ResimYazs">
    <w:name w:val="caption"/>
    <w:basedOn w:val="Normal"/>
    <w:next w:val="Normal"/>
    <w:qFormat/>
    <w:rsid w:val="00B540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E1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681024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1A9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47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okce.uysal@bahcesehir.edu.tr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Melike\My%20Documents\Dropbox\emek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0.12866187685457417"/>
          <c:y val="3.5986433685713852E-2"/>
          <c:w val="0.84898040314634093"/>
          <c:h val="0.76899528616858037"/>
        </c:manualLayout>
      </c:layout>
      <c:lineChart>
        <c:grouping val="standard"/>
        <c:ser>
          <c:idx val="0"/>
          <c:order val="0"/>
          <c:tx>
            <c:strRef>
              <c:f>Sheet3!$G$2</c:f>
              <c:strCache>
                <c:ptCount val="1"/>
                <c:pt idx="0">
                  <c:v>2006</c:v>
                </c:pt>
              </c:strCache>
            </c:strRef>
          </c:tx>
          <c:spPr>
            <a:ln w="34925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5.37363560033585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tr-TR"/>
                      <a:t>.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3.048779999875165E-2"/>
                  <c:y val="-6.0453400503778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tr-TR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4.6747959998085897E-2"/>
                  <c:y val="-4.70193115029389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  <a:r>
                      <a:rPr lang="tr-TR"/>
                      <a:t>.</a:t>
                    </a:r>
                    <a:r>
                      <a:rPr lang="en-US"/>
                      <a:t>6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tr-TR"/>
                      <a:t>.</a:t>
                    </a:r>
                    <a:r>
                      <a:rPr lang="en-US"/>
                      <a:t>8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  <a:r>
                      <a:rPr lang="tr-TR"/>
                      <a:t>.</a:t>
                    </a:r>
                    <a:r>
                      <a:rPr lang="en-US"/>
                      <a:t>5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tr-TR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  <a:r>
                      <a:rPr lang="tr-TR"/>
                      <a:t>.</a:t>
                    </a:r>
                    <a:r>
                      <a:rPr lang="en-US"/>
                      <a:t>7</a:t>
                    </a:r>
                  </a:p>
                </c:rich>
              </c:tx>
              <c:showVal val="1"/>
            </c:dLbl>
            <c:spPr>
              <a:solidFill>
                <a:schemeClr val="tx2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Val val="1"/>
          </c:dLbls>
          <c:cat>
            <c:strRef>
              <c:f>Sheet3!$F$4:$F$10</c:f>
              <c:strCache>
                <c:ptCount val="7"/>
                <c:pt idx="0">
                  <c:v>35-40</c:v>
                </c:pt>
                <c:pt idx="1">
                  <c:v>40-44</c:v>
                </c:pt>
                <c:pt idx="2">
                  <c:v>45-49</c:v>
                </c:pt>
                <c:pt idx="3">
                  <c:v>50-54</c:v>
                </c:pt>
                <c:pt idx="4">
                  <c:v>55-59</c:v>
                </c:pt>
                <c:pt idx="5">
                  <c:v>60-64</c:v>
                </c:pt>
                <c:pt idx="6">
                  <c:v>65+</c:v>
                </c:pt>
              </c:strCache>
            </c:strRef>
          </c:cat>
          <c:val>
            <c:numRef>
              <c:f>Sheet3!$I$4:$I$10</c:f>
              <c:numCache>
                <c:formatCode>0.0</c:formatCode>
                <c:ptCount val="7"/>
                <c:pt idx="0">
                  <c:v>0.41466566340351468</c:v>
                </c:pt>
                <c:pt idx="1">
                  <c:v>3.1598032519345272</c:v>
                </c:pt>
                <c:pt idx="2">
                  <c:v>19.644375363154268</c:v>
                </c:pt>
                <c:pt idx="3">
                  <c:v>31.809518622854398</c:v>
                </c:pt>
                <c:pt idx="4">
                  <c:v>39.490528938590529</c:v>
                </c:pt>
                <c:pt idx="5">
                  <c:v>41.211502962121209</c:v>
                </c:pt>
                <c:pt idx="6">
                  <c:v>48.749125436739028</c:v>
                </c:pt>
              </c:numCache>
            </c:numRef>
          </c:val>
        </c:ser>
        <c:ser>
          <c:idx val="1"/>
          <c:order val="1"/>
          <c:tx>
            <c:strRef>
              <c:f>Sheet3!$J$2</c:f>
              <c:strCache>
                <c:ptCount val="1"/>
                <c:pt idx="0">
                  <c:v>2010</c:v>
                </c:pt>
              </c:strCache>
            </c:strRef>
          </c:tx>
          <c:spPr>
            <a:ln w="44450">
              <a:solidFill>
                <a:schemeClr val="tx2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tr-TR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tr-TR"/>
                      <a:t>.</a:t>
                    </a:r>
                    <a:r>
                      <a:rPr lang="en-US"/>
                      <a:t>8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tr-TR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4.2682919998252397E-2"/>
                  <c:y val="-4.70193115029389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tr-TR"/>
                      <a:t>.</a:t>
                    </a:r>
                    <a:r>
                      <a:rPr lang="en-US"/>
                      <a:t>5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0"/>
                  <c:y val="-4.70193115029389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  <a:r>
                      <a:rPr lang="tr-TR"/>
                      <a:t>.</a:t>
                    </a:r>
                    <a:r>
                      <a:rPr lang="en-US"/>
                      <a:t>0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4.0650399998335635E-3"/>
                  <c:y val="-5.0377833753148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tr-TR"/>
                      <a:t>.</a:t>
                    </a:r>
                    <a:r>
                      <a:rPr lang="en-US"/>
                      <a:t>4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tr-TR"/>
                      <a:t>.</a:t>
                    </a:r>
                    <a:r>
                      <a:rPr lang="en-US"/>
                      <a:t>9</a:t>
                    </a:r>
                  </a:p>
                </c:rich>
              </c:tx>
              <c:showVal val="1"/>
            </c:dLbl>
            <c:spPr>
              <a:solidFill>
                <a:schemeClr val="tx2">
                  <a:lumMod val="50000"/>
                </a:schemeClr>
              </a:solidFill>
            </c:spPr>
            <c:txPr>
              <a:bodyPr/>
              <a:lstStyle/>
              <a:p>
                <a:pPr>
                  <a:defRPr lang="en-US" b="1">
                    <a:solidFill>
                      <a:schemeClr val="bg1"/>
                    </a:solidFill>
                  </a:defRPr>
                </a:pPr>
                <a:endParaRPr lang="tr-TR"/>
              </a:p>
            </c:txPr>
            <c:showVal val="1"/>
          </c:dLbls>
          <c:cat>
            <c:strRef>
              <c:f>Sheet3!$F$4:$F$10</c:f>
              <c:strCache>
                <c:ptCount val="7"/>
                <c:pt idx="0">
                  <c:v>35-40</c:v>
                </c:pt>
                <c:pt idx="1">
                  <c:v>40-44</c:v>
                </c:pt>
                <c:pt idx="2">
                  <c:v>45-49</c:v>
                </c:pt>
                <c:pt idx="3">
                  <c:v>50-54</c:v>
                </c:pt>
                <c:pt idx="4">
                  <c:v>55-59</c:v>
                </c:pt>
                <c:pt idx="5">
                  <c:v>60-64</c:v>
                </c:pt>
                <c:pt idx="6">
                  <c:v>65+</c:v>
                </c:pt>
              </c:strCache>
            </c:strRef>
          </c:cat>
          <c:val>
            <c:numRef>
              <c:f>Sheet3!$L$4:$L$10</c:f>
              <c:numCache>
                <c:formatCode>0.0</c:formatCode>
                <c:ptCount val="7"/>
                <c:pt idx="0">
                  <c:v>0.21060752143164935</c:v>
                </c:pt>
                <c:pt idx="1">
                  <c:v>1.7651095462167778</c:v>
                </c:pt>
                <c:pt idx="2">
                  <c:v>16.215510834163585</c:v>
                </c:pt>
                <c:pt idx="3">
                  <c:v>34.509642137974559</c:v>
                </c:pt>
                <c:pt idx="4">
                  <c:v>42.9976271761848</c:v>
                </c:pt>
                <c:pt idx="5">
                  <c:v>46.416086701263858</c:v>
                </c:pt>
                <c:pt idx="6">
                  <c:v>52.919591422045372</c:v>
                </c:pt>
              </c:numCache>
            </c:numRef>
          </c:val>
        </c:ser>
        <c:marker val="1"/>
        <c:axId val="60490496"/>
        <c:axId val="60521472"/>
      </c:lineChart>
      <c:catAx>
        <c:axId val="60490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1100"/>
                </a:pPr>
                <a:r>
                  <a:rPr lang="tr-TR" sz="1100"/>
                  <a:t>Age group</a:t>
                </a:r>
              </a:p>
            </c:rich>
          </c:tx>
          <c:layout>
            <c:manualLayout>
              <c:xMode val="edge"/>
              <c:yMode val="edge"/>
              <c:x val="0.45567658029630298"/>
              <c:y val="0.92206535895859365"/>
            </c:manualLayout>
          </c:layout>
        </c:title>
        <c:tickLblPos val="nextTo"/>
        <c:txPr>
          <a:bodyPr/>
          <a:lstStyle/>
          <a:p>
            <a:pPr>
              <a:defRPr lang="en-US" sz="1100" b="1"/>
            </a:pPr>
            <a:endParaRPr lang="tr-TR"/>
          </a:p>
        </c:txPr>
        <c:crossAx val="60521472"/>
        <c:crosses val="autoZero"/>
        <c:auto val="1"/>
        <c:lblAlgn val="ctr"/>
        <c:lblOffset val="100"/>
      </c:catAx>
      <c:valAx>
        <c:axId val="60521472"/>
        <c:scaling>
          <c:orientation val="minMax"/>
          <c:max val="6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lang="en-US" sz="1100"/>
                </a:pPr>
                <a:r>
                  <a:rPr lang="tr-TR" sz="1100" b="1" i="0" u="none" strike="noStrike" baseline="0"/>
                  <a:t>Number of retirees</a:t>
                </a:r>
                <a:r>
                  <a:rPr lang="tr-TR" sz="1100" baseline="0"/>
                  <a:t>/ Age population</a:t>
                </a:r>
                <a:endParaRPr lang="tr-TR" sz="1100"/>
              </a:p>
            </c:rich>
          </c:tx>
        </c:title>
        <c:numFmt formatCode="0" sourceLinked="0"/>
        <c:tickLblPos val="nextTo"/>
        <c:txPr>
          <a:bodyPr/>
          <a:lstStyle/>
          <a:p>
            <a:pPr>
              <a:defRPr lang="en-US" sz="1100" b="1"/>
            </a:pPr>
            <a:endParaRPr lang="tr-TR"/>
          </a:p>
        </c:txPr>
        <c:crossAx val="6049049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0.88001</cdr:x>
      <cdr:y>0.03735</cdr:y>
    </cdr:from>
    <cdr:to>
      <cdr:x>0.95625</cdr:x>
      <cdr:y>0.11112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98661" y="148345"/>
          <a:ext cx="476379" cy="293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tr-TR" sz="1200" b="1"/>
            <a:t>2010</a:t>
          </a:r>
        </a:p>
      </cdr:txBody>
    </cdr:sp>
  </cdr:relSizeAnchor>
  <cdr:relSizeAnchor xmlns:cdr="http://schemas.openxmlformats.org/drawingml/2006/chartDrawing">
    <cdr:from>
      <cdr:x>0.88406</cdr:x>
      <cdr:y>0.20282</cdr:y>
    </cdr:from>
    <cdr:to>
      <cdr:x>0.9588</cdr:x>
      <cdr:y>0.28205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523942" y="805567"/>
          <a:ext cx="467005" cy="314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tr-TR" sz="1200" b="1"/>
            <a:t>2006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ED5C-A7F5-471E-BB64-D6A893BC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</dc:creator>
  <cp:keywords/>
  <dc:description/>
  <cp:lastModifiedBy>merve.akgul</cp:lastModifiedBy>
  <cp:revision>9</cp:revision>
  <cp:lastPrinted>2013-11-29T09:04:00Z</cp:lastPrinted>
  <dcterms:created xsi:type="dcterms:W3CDTF">2013-11-29T07:48:00Z</dcterms:created>
  <dcterms:modified xsi:type="dcterms:W3CDTF">2013-11-29T09:06:00Z</dcterms:modified>
</cp:coreProperties>
</file>