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F5" w:rsidRPr="000F5644" w:rsidRDefault="00BD5F39" w:rsidP="008401F5">
      <w:r>
        <w:rPr>
          <w:noProof/>
        </w:rPr>
        <mc:AlternateContent>
          <mc:Choice Requires="wps">
            <w:drawing>
              <wp:anchor distT="0" distB="0" distL="114935" distR="114935" simplePos="0" relativeHeight="251661312" behindDoc="0" locked="0" layoutInCell="1" allowOverlap="1">
                <wp:simplePos x="0" y="0"/>
                <wp:positionH relativeFrom="column">
                  <wp:posOffset>4841875</wp:posOffset>
                </wp:positionH>
                <wp:positionV relativeFrom="paragraph">
                  <wp:posOffset>-13970</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1C8" w:rsidRPr="00A73EED" w:rsidRDefault="00D671C8" w:rsidP="00462271">
                            <w:pPr>
                              <w:pStyle w:val="Heading3"/>
                              <w:rPr>
                                <w:color w:val="FFFFFF" w:themeColor="background1"/>
                                <w:sz w:val="22"/>
                                <w:szCs w:val="22"/>
                                <w:lang w:val="tr-TR"/>
                              </w:rPr>
                            </w:pPr>
                            <w:r>
                              <w:rPr>
                                <w:color w:val="FFFFFF" w:themeColor="background1"/>
                                <w:sz w:val="22"/>
                                <w:szCs w:val="22"/>
                                <w:lang w:val="tr-TR"/>
                              </w:rPr>
                              <w:t xml:space="preserve">            18 Mayıs 2015</w:t>
                            </w:r>
                          </w:p>
                          <w:p w:rsidR="00D671C8" w:rsidRDefault="00D671C8"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1.25pt;margin-top:-1.1pt;width:130.7pt;height:41.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" stroked="f">
                <v:fill opacity="0"/>
                <v:textbox inset="0,0,0,0">
                  <w:txbxContent>
                    <w:p w:rsidR="00D671C8" w:rsidRPr="00A73EED" w:rsidRDefault="00D671C8" w:rsidP="00462271">
                      <w:pPr>
                        <w:pStyle w:val="Heading3"/>
                        <w:rPr>
                          <w:color w:val="FFFFFF" w:themeColor="background1"/>
                          <w:sz w:val="22"/>
                          <w:szCs w:val="22"/>
                          <w:lang w:val="tr-TR"/>
                        </w:rPr>
                      </w:pPr>
                      <w:r>
                        <w:rPr>
                          <w:color w:val="FFFFFF" w:themeColor="background1"/>
                          <w:sz w:val="22"/>
                          <w:szCs w:val="22"/>
                          <w:lang w:val="tr-TR"/>
                        </w:rPr>
                        <w:t xml:space="preserve">            18 Mayıs 2015</w:t>
                      </w:r>
                    </w:p>
                    <w:p w:rsidR="00D671C8" w:rsidRDefault="00D671C8" w:rsidP="00462271">
                      <w:pPr>
                        <w:rPr>
                          <w:rFonts w:ascii="Calibri" w:eastAsia="Calibri" w:hAnsi="Calibri"/>
                        </w:rPr>
                      </w:pPr>
                    </w:p>
                  </w:txbxContent>
                </v:textbox>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1470025</wp:posOffset>
                </wp:positionH>
                <wp:positionV relativeFrom="paragraph">
                  <wp:posOffset>-652145</wp:posOffset>
                </wp:positionV>
                <wp:extent cx="4275455" cy="5689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1C8" w:rsidRPr="002D7A07" w:rsidRDefault="00D671C8" w:rsidP="008401F5">
                            <w:pPr>
                              <w:pStyle w:val="Heading1"/>
                              <w:numPr>
                                <w:ilvl w:val="0"/>
                                <w:numId w:val="1"/>
                              </w:numPr>
                              <w:suppressAutoHyphens/>
                              <w:rPr>
                                <w:sz w:val="52"/>
                                <w:szCs w:val="52"/>
                              </w:rPr>
                            </w:pPr>
                            <w:r>
                              <w:rPr>
                                <w:sz w:val="52"/>
                                <w:szCs w:val="52"/>
                              </w:rPr>
                              <w:t>Araştırma Notu 15/182</w:t>
                            </w:r>
                          </w:p>
                          <w:p w:rsidR="00D671C8" w:rsidRPr="00526178" w:rsidRDefault="00D671C8"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15.75pt;margin-top:-51.35pt;width:336.65pt;height:4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" stroked="f">
                <v:fill opacity="0"/>
                <v:textbox inset="0,0,0,0">
                  <w:txbxContent>
                    <w:p w:rsidR="00D671C8" w:rsidRPr="002D7A07" w:rsidRDefault="00D671C8" w:rsidP="008401F5">
                      <w:pPr>
                        <w:pStyle w:val="Heading1"/>
                        <w:numPr>
                          <w:ilvl w:val="0"/>
                          <w:numId w:val="1"/>
                        </w:numPr>
                        <w:suppressAutoHyphens/>
                        <w:rPr>
                          <w:sz w:val="52"/>
                          <w:szCs w:val="52"/>
                        </w:rPr>
                      </w:pPr>
                      <w:r>
                        <w:rPr>
                          <w:sz w:val="52"/>
                          <w:szCs w:val="52"/>
                        </w:rPr>
                        <w:t>Araştırma Notu 15/182</w:t>
                      </w:r>
                    </w:p>
                    <w:p w:rsidR="00D671C8" w:rsidRPr="00526178" w:rsidRDefault="00D671C8" w:rsidP="008401F5">
                      <w:pPr>
                        <w:pStyle w:val="Heading2"/>
                        <w:numPr>
                          <w:ilvl w:val="1"/>
                          <w:numId w:val="1"/>
                        </w:numPr>
                        <w:rPr>
                          <w:b w:val="0"/>
                          <w:bCs w:val="0"/>
                          <w:i w:val="0"/>
                          <w:iCs w:val="0"/>
                        </w:rPr>
                      </w:pPr>
                    </w:p>
                  </w:txbxContent>
                </v:textbox>
              </v:shape>
            </w:pict>
          </mc:Fallback>
        </mc:AlternateContent>
      </w:r>
      <w:r w:rsidR="008401F5" w:rsidRPr="000F5644">
        <w:rPr>
          <w:noProof/>
        </w:rPr>
        <w:drawing>
          <wp:anchor distT="0" distB="0" distL="114300" distR="114300" simplePos="0" relativeHeight="251659264" behindDoc="1" locked="0" layoutInCell="1" allowOverlap="1">
            <wp:simplePos x="0" y="0"/>
            <wp:positionH relativeFrom="column">
              <wp:posOffset>-739343</wp:posOffset>
            </wp:positionH>
            <wp:positionV relativeFrom="paragraph">
              <wp:posOffset>-871515</wp:posOffset>
            </wp:positionV>
            <wp:extent cx="7313734" cy="1319753"/>
            <wp:effectExtent l="19050" t="0" r="127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3930" cy="1323975"/>
                    </a:xfrm>
                    <a:prstGeom prst="rect">
                      <a:avLst/>
                    </a:prstGeom>
                    <a:noFill/>
                    <a:ln w="9525">
                      <a:noFill/>
                      <a:miter lim="800000"/>
                      <a:headEnd/>
                      <a:tailEnd/>
                    </a:ln>
                  </pic:spPr>
                </pic:pic>
              </a:graphicData>
            </a:graphic>
          </wp:anchor>
        </w:drawing>
      </w:r>
    </w:p>
    <w:p w:rsidR="008401F5" w:rsidRPr="000F5644" w:rsidRDefault="008401F5" w:rsidP="008401F5"/>
    <w:p w:rsidR="00325A62" w:rsidRPr="000F5644" w:rsidRDefault="00325A62" w:rsidP="008401F5"/>
    <w:p w:rsidR="00325A62" w:rsidRPr="004A6338" w:rsidRDefault="00C1682C" w:rsidP="00325A62">
      <w:pPr>
        <w:pStyle w:val="Heading1"/>
        <w:rPr>
          <w:rFonts w:asciiTheme="minorHAnsi" w:hAnsiTheme="minorHAnsi" w:cs="Arial"/>
          <w:bCs w:val="0"/>
          <w:sz w:val="32"/>
          <w:szCs w:val="32"/>
        </w:rPr>
      </w:pPr>
      <w:r w:rsidRPr="004A6338">
        <w:rPr>
          <w:rFonts w:asciiTheme="minorHAnsi" w:hAnsiTheme="minorHAnsi" w:cs="Arial"/>
          <w:bCs w:val="0"/>
          <w:sz w:val="32"/>
          <w:szCs w:val="32"/>
        </w:rPr>
        <w:t xml:space="preserve">15-19 YAŞINDA </w:t>
      </w:r>
      <w:r w:rsidR="00D23F11">
        <w:rPr>
          <w:rFonts w:asciiTheme="minorHAnsi" w:hAnsiTheme="minorHAnsi" w:cs="Arial"/>
          <w:bCs w:val="0"/>
          <w:sz w:val="32"/>
          <w:szCs w:val="32"/>
        </w:rPr>
        <w:t>950 BİN GENÇ NE EĞİTİMDE NE İŞGÜCÜNDE</w:t>
      </w:r>
    </w:p>
    <w:p w:rsidR="00325A62" w:rsidRPr="00D671C8" w:rsidRDefault="003270F7" w:rsidP="00884E1D">
      <w:pPr>
        <w:spacing w:before="120"/>
        <w:jc w:val="center"/>
        <w:rPr>
          <w:b/>
          <w:bCs/>
        </w:rPr>
      </w:pPr>
      <w:r w:rsidRPr="00D671C8">
        <w:rPr>
          <w:b/>
          <w:bCs/>
        </w:rPr>
        <w:t>Seyfettin Gürsel</w:t>
      </w:r>
      <w:r w:rsidRPr="00D671C8">
        <w:rPr>
          <w:b/>
          <w:bCs/>
          <w:vertAlign w:val="superscript"/>
        </w:rPr>
        <w:footnoteReference w:customMarkFollows="1" w:id="1"/>
        <w:sym w:font="Symbol" w:char="F02A"/>
      </w:r>
      <w:r w:rsidRPr="00D671C8">
        <w:rPr>
          <w:b/>
          <w:bCs/>
        </w:rPr>
        <w:t>, Gökçe Uysal</w:t>
      </w:r>
      <w:r w:rsidR="00815098" w:rsidRPr="00D671C8">
        <w:rPr>
          <w:b/>
          <w:bCs/>
          <w:vertAlign w:val="superscript"/>
        </w:rPr>
        <w:t xml:space="preserve"> </w:t>
      </w:r>
      <w:r w:rsidRPr="00D671C8">
        <w:rPr>
          <w:b/>
          <w:bCs/>
          <w:vertAlign w:val="superscript"/>
        </w:rPr>
        <w:footnoteReference w:customMarkFollows="1" w:id="2"/>
        <w:sym w:font="Symbol" w:char="F02A"/>
      </w:r>
      <w:r w:rsidRPr="00D671C8">
        <w:rPr>
          <w:b/>
          <w:bCs/>
          <w:vertAlign w:val="superscript"/>
        </w:rPr>
        <w:sym w:font="Symbol" w:char="F02A"/>
      </w:r>
      <w:r w:rsidRPr="00D671C8">
        <w:rPr>
          <w:b/>
          <w:bCs/>
        </w:rPr>
        <w:t xml:space="preserve"> and Melike Kökkızıl</w:t>
      </w:r>
      <w:r w:rsidRPr="00D671C8">
        <w:rPr>
          <w:b/>
          <w:bCs/>
          <w:vertAlign w:val="superscript"/>
        </w:rPr>
        <w:footnoteReference w:customMarkFollows="1" w:id="3"/>
        <w:sym w:font="Symbol" w:char="F02A"/>
      </w:r>
      <w:r w:rsidRPr="00D671C8">
        <w:rPr>
          <w:b/>
          <w:bCs/>
          <w:vertAlign w:val="superscript"/>
        </w:rPr>
        <w:sym w:font="Symbol" w:char="F02A"/>
      </w:r>
      <w:r w:rsidRPr="00D671C8">
        <w:rPr>
          <w:b/>
          <w:bCs/>
          <w:vertAlign w:val="superscript"/>
        </w:rPr>
        <w:sym w:font="Symbol" w:char="F02A"/>
      </w:r>
    </w:p>
    <w:p w:rsidR="00325A62" w:rsidRPr="00C40ADA" w:rsidRDefault="00325A62" w:rsidP="00325A62">
      <w:pPr>
        <w:spacing w:line="240" w:lineRule="auto"/>
        <w:jc w:val="center"/>
        <w:rPr>
          <w:rFonts w:eastAsia="Calibri" w:cs="Arial"/>
        </w:rPr>
      </w:pPr>
      <w:r w:rsidRPr="00C40ADA">
        <w:rPr>
          <w:rFonts w:cs="Arial"/>
          <w:b/>
        </w:rPr>
        <w:t>Yönetici Özeti</w:t>
      </w:r>
    </w:p>
    <w:p w:rsidR="00B22847" w:rsidRDefault="00B22847" w:rsidP="00A67D2A">
      <w:r w:rsidRPr="00B22847">
        <w:t>Hanehalkı İşgücü Anketi verileri kullanılarak hazırlanan bu araştırma notunda Türkiye'de 15-19 yaş aralığındaki gençlerin eğitim durumları değerl</w:t>
      </w:r>
      <w:r w:rsidR="0017004E">
        <w:t>endirilmiştir. Bu yaş grubunda 2 milyon 193 bin</w:t>
      </w:r>
      <w:r w:rsidRPr="00B22847">
        <w:t xml:space="preserve"> genç</w:t>
      </w:r>
      <w:r w:rsidR="0017004E">
        <w:t xml:space="preserve">, yani bu yaş grubunun </w:t>
      </w:r>
      <w:r w:rsidR="00364821">
        <w:t>yüzde 35,2'si</w:t>
      </w:r>
      <w:r w:rsidR="000351F0">
        <w:t>,</w:t>
      </w:r>
      <w:r w:rsidR="0017004E">
        <w:t xml:space="preserve"> </w:t>
      </w:r>
      <w:r w:rsidRPr="00B22847">
        <w:t>eğitim sisteminin dışında kalm</w:t>
      </w:r>
      <w:r w:rsidR="00B10951">
        <w:t>ıştır. Eğitim sisteminin dışına çıkmış olan</w:t>
      </w:r>
      <w:r w:rsidRPr="00B22847">
        <w:t xml:space="preserve"> gençlerin ezici çoğunluğu en fazla ilköğretim mezunudur. </w:t>
      </w:r>
      <w:r w:rsidR="004A68E5">
        <w:t xml:space="preserve">Eğitim hayatını bırakmış gençlerin azımsanmayacak bir kısmı işgücü piyasasına da girmemektedir. </w:t>
      </w:r>
      <w:r w:rsidRPr="00B22847">
        <w:t>Yaklaşık 950 bin genç (260 bin g</w:t>
      </w:r>
      <w:r w:rsidR="0093184F">
        <w:t>enç erkek ve</w:t>
      </w:r>
      <w:r w:rsidRPr="00B22847">
        <w:t xml:space="preserve"> 688 bin genç kadın) ise ne eğitimine devam et</w:t>
      </w:r>
      <w:r w:rsidR="00F13179">
        <w:t>mektedir ne de işgücü piyasasındadır</w:t>
      </w:r>
      <w:r w:rsidRPr="00B22847">
        <w:t xml:space="preserve">. Türkiye orta gelir tuzağından çıkmak istiyorsa gençlerinin beşeri sermayelerine daha fazla yatırım yapmalı, eğitim sisteminin dışında kalan gençleri de vakit kaybetmeden okula çekmenin yollarını aramalıdır. Zorunlu eğitimin 12 yıla çıkarılmış olması gençlerin okula kayıt olmalarını sağlayabilir ancak eğitimi takip etmelerini sağlayamaz.  </w:t>
      </w:r>
    </w:p>
    <w:p w:rsidR="00B22847" w:rsidRPr="00B22847" w:rsidRDefault="00B22847" w:rsidP="00B22847">
      <w:pPr>
        <w:rPr>
          <w:b/>
        </w:rPr>
      </w:pPr>
      <w:r w:rsidRPr="00B22847">
        <w:rPr>
          <w:b/>
        </w:rPr>
        <w:t>15-19 yaş arasında</w:t>
      </w:r>
      <w:r w:rsidR="00E332FD">
        <w:rPr>
          <w:b/>
        </w:rPr>
        <w:t xml:space="preserve"> 2,2 milyon genç</w:t>
      </w:r>
      <w:r w:rsidRPr="00B22847">
        <w:rPr>
          <w:b/>
        </w:rPr>
        <w:t xml:space="preserve"> okula devam etmiyor </w:t>
      </w:r>
    </w:p>
    <w:p w:rsidR="00B22847" w:rsidRDefault="00B22847" w:rsidP="00B22847">
      <w:r>
        <w:t xml:space="preserve">Türkiye'de nüfusun </w:t>
      </w:r>
      <w:r w:rsidR="00B313DD">
        <w:t>önemli bir kısmı</w:t>
      </w:r>
      <w:r w:rsidR="001807C8">
        <w:t xml:space="preserve"> genç</w:t>
      </w:r>
      <w:r w:rsidR="00214DE5">
        <w:t>lerden oluşmaktadır</w:t>
      </w:r>
      <w:r w:rsidR="001807C8">
        <w:t>. Toplam nüfusun</w:t>
      </w:r>
      <w:r w:rsidR="00EA2672">
        <w:t xml:space="preserve"> </w:t>
      </w:r>
      <w:r w:rsidR="00DD1D4A">
        <w:t xml:space="preserve">yaklaşık </w:t>
      </w:r>
      <w:r w:rsidR="00EA2672">
        <w:t>dörtte biri 15-29 yaş arasında,</w:t>
      </w:r>
      <w:r w:rsidR="001807C8">
        <w:t xml:space="preserve"> yüzde 8,4'ü</w:t>
      </w:r>
      <w:r>
        <w:t xml:space="preserve"> 15-19 yaş arası</w:t>
      </w:r>
      <w:r w:rsidR="00430AE4">
        <w:t>nda</w:t>
      </w:r>
      <w:r>
        <w:t>dır.</w:t>
      </w:r>
      <w:r w:rsidR="00F43A38">
        <w:rPr>
          <w:rStyle w:val="FootnoteReference"/>
        </w:rPr>
        <w:footnoteReference w:id="4"/>
      </w:r>
      <w:r>
        <w:t xml:space="preserve"> Genç neslin görece yoğun olması ekonomik dönüşümler için önemli bir fırsattır. Zira emek verimliliği gençlerin beşeri sermaye birikimlerine paralel olarak artacaktır. Dolayısıyla gençlerin beşeri sermaye stokları ekonomik büyüme ve kalkınma açısından göz ardı edilemeyecek kadar değerlidir.  </w:t>
      </w:r>
    </w:p>
    <w:p w:rsidR="005B0A6F" w:rsidRDefault="00B22847" w:rsidP="005B0A6F">
      <w:r>
        <w:t xml:space="preserve">Bu araştırma notunda, TÜİK tarafından yayınlanan 2012 ve 2013 yılları Hanehalkı İşgücü Anketleri (HİA) mikro veri setleri kullanılarak  15-19 yaş grubundaki gençlerin beşeri sermayesinin temelini oluşturan eğitim durumları incelenmiştir. HİA’da hanedeki bireylere bir eğitim kurumuna devam edip etmedikleri ve en son bitirdikleri eğitim kurumu sorulmuştur. </w:t>
      </w:r>
      <w:r w:rsidR="00126D1D">
        <w:t>Dolayısıyla</w:t>
      </w:r>
      <w:r>
        <w:t xml:space="preserve"> bireyler eğitim kurumlarına kayıtlı olma durumlarını değil, eğitim kurumuna devam etme durumlarını beyan etmektedir. Diğer taraftan Milli Eğitim Bakanlığı (MEB) eğitim kurumlarına kayıtlı olma durumunu takip etmektedi</w:t>
      </w:r>
      <w:r w:rsidR="00CE4E12">
        <w:t xml:space="preserve">r. Soruların yapısı </w:t>
      </w:r>
      <w:r w:rsidR="009A2EC9">
        <w:t xml:space="preserve">nedeniyle </w:t>
      </w:r>
      <w:r>
        <w:t xml:space="preserve">HİA istatistikleri ile MEB istatistiklerinin </w:t>
      </w:r>
      <w:r w:rsidR="009A2EC9">
        <w:t xml:space="preserve">farklı kavramları ölçtüğü göz ardı edilmemelidir. </w:t>
      </w:r>
      <w:r>
        <w:t xml:space="preserve"> </w:t>
      </w:r>
    </w:p>
    <w:p w:rsidR="00B22847" w:rsidRDefault="005B0A6F" w:rsidP="00B22847">
      <w:r>
        <w:t xml:space="preserve">HİA verilerine göre 2013 yılında 15-19 yaş grubundaki gençlerin sadece yüzde 64,8’i eğitim hayatlarına devam etmektedir. 1 milyon 114 bin genç kadın ve 1 milyon 78 bin genç erkek olmak üzere toplam 2 milyon 193 bin genç eğitimine devam etmemektedir. Dolayısıyla, genç nüfusun üçte biri eğitim yatırımlarına yoğunlaşması gerektiği bu yaşlarda okula devam etmemektedir. 2012 yılı verileri ise okula devam açısından bir miktar iyileşme kaydedildiğine işaret etmektedir. HİA verilerine </w:t>
      </w:r>
      <w:r>
        <w:lastRenderedPageBreak/>
        <w:t xml:space="preserve">göre eğitimine devam eden 15-19 yaş arasındaki gençlerin oranı 2012’de yüzde 59,9’dan yüzde 4,9 puan yükselerek 2013’te yüzde 64,8’e ulaşmıştır. Eğitime devam oranlarının hem genç kadınlarda hem de genç erkeklerde benzer şekilde arttığı göze çarpmaktadır. Dolayısıyla okula devamda toplumsal cinsiyet farklılıklarının seviyesini koruduğu söylenebilir.  </w:t>
      </w:r>
    </w:p>
    <w:p w:rsidR="00864F24" w:rsidRPr="00864F24" w:rsidRDefault="00864F24" w:rsidP="00864F24">
      <w:pPr>
        <w:pStyle w:val="Caption"/>
        <w:keepNext/>
        <w:rPr>
          <w:color w:val="auto"/>
          <w:sz w:val="22"/>
          <w:szCs w:val="22"/>
        </w:rPr>
      </w:pPr>
      <w:r w:rsidRPr="00864F24">
        <w:rPr>
          <w:color w:val="auto"/>
          <w:sz w:val="22"/>
          <w:szCs w:val="22"/>
        </w:rPr>
        <w:t xml:space="preserve">Tablo </w:t>
      </w:r>
      <w:r w:rsidRPr="00864F24">
        <w:rPr>
          <w:color w:val="auto"/>
          <w:sz w:val="22"/>
          <w:szCs w:val="22"/>
        </w:rPr>
        <w:fldChar w:fldCharType="begin"/>
      </w:r>
      <w:r w:rsidRPr="00864F24">
        <w:rPr>
          <w:color w:val="auto"/>
          <w:sz w:val="22"/>
          <w:szCs w:val="22"/>
        </w:rPr>
        <w:instrText xml:space="preserve"> SEQ Table \* ARABIC </w:instrText>
      </w:r>
      <w:r w:rsidRPr="00864F24">
        <w:rPr>
          <w:color w:val="auto"/>
          <w:sz w:val="22"/>
          <w:szCs w:val="22"/>
        </w:rPr>
        <w:fldChar w:fldCharType="separate"/>
      </w:r>
      <w:r w:rsidR="002B0766">
        <w:rPr>
          <w:noProof/>
          <w:color w:val="auto"/>
          <w:sz w:val="22"/>
          <w:szCs w:val="22"/>
        </w:rPr>
        <w:t>1</w:t>
      </w:r>
      <w:r w:rsidRPr="00864F24">
        <w:rPr>
          <w:color w:val="auto"/>
          <w:sz w:val="22"/>
          <w:szCs w:val="22"/>
        </w:rPr>
        <w:fldChar w:fldCharType="end"/>
      </w:r>
      <w:r w:rsidRPr="00864F24">
        <w:rPr>
          <w:color w:val="auto"/>
          <w:sz w:val="22"/>
          <w:szCs w:val="22"/>
        </w:rPr>
        <w:t xml:space="preserve"> Eğitime devam durumu</w:t>
      </w:r>
    </w:p>
    <w:tbl>
      <w:tblPr>
        <w:tblW w:w="9399" w:type="dxa"/>
        <w:tblInd w:w="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2062"/>
        <w:gridCol w:w="1032"/>
        <w:gridCol w:w="1090"/>
        <w:gridCol w:w="1109"/>
        <w:gridCol w:w="1109"/>
        <w:gridCol w:w="1109"/>
        <w:gridCol w:w="1301"/>
      </w:tblGrid>
      <w:tr w:rsidR="00F706C9" w:rsidRPr="006542A0" w:rsidTr="002B0766">
        <w:trPr>
          <w:trHeight w:val="300"/>
        </w:trPr>
        <w:tc>
          <w:tcPr>
            <w:tcW w:w="587"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color w:val="000000"/>
              </w:rPr>
            </w:pPr>
          </w:p>
        </w:tc>
        <w:tc>
          <w:tcPr>
            <w:tcW w:w="2062"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color w:val="000000"/>
              </w:rPr>
            </w:pPr>
          </w:p>
        </w:tc>
        <w:tc>
          <w:tcPr>
            <w:tcW w:w="1032" w:type="dxa"/>
            <w:shd w:val="clear" w:color="auto" w:fill="auto"/>
            <w:noWrap/>
            <w:vAlign w:val="bottom"/>
            <w:hideMark/>
          </w:tcPr>
          <w:p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Erkek</w:t>
            </w:r>
          </w:p>
        </w:tc>
        <w:tc>
          <w:tcPr>
            <w:tcW w:w="1090" w:type="dxa"/>
            <w:shd w:val="clear" w:color="auto" w:fill="auto"/>
            <w:vAlign w:val="bottom"/>
          </w:tcPr>
          <w:p w:rsidR="00F706C9" w:rsidRPr="00BD5F39" w:rsidRDefault="00F706C9" w:rsidP="00F706C9">
            <w:pPr>
              <w:spacing w:after="0" w:line="240" w:lineRule="auto"/>
              <w:rPr>
                <w:rFonts w:ascii="Calibri" w:eastAsia="Times New Roman" w:hAnsi="Calibri" w:cs="Times New Roman"/>
                <w:bCs/>
                <w:color w:val="000000"/>
              </w:rPr>
            </w:pPr>
            <w:r w:rsidRPr="00DD7F84">
              <w:rPr>
                <w:rFonts w:ascii="Calibri" w:eastAsia="Times New Roman" w:hAnsi="Calibri" w:cs="Times New Roman"/>
                <w:b/>
                <w:bCs/>
                <w:color w:val="000000"/>
              </w:rPr>
              <w:t>Erkek (%)</w:t>
            </w:r>
          </w:p>
        </w:tc>
        <w:tc>
          <w:tcPr>
            <w:tcW w:w="1109" w:type="dxa"/>
            <w:vAlign w:val="bottom"/>
          </w:tcPr>
          <w:p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p>
        </w:tc>
        <w:tc>
          <w:tcPr>
            <w:tcW w:w="1109" w:type="dxa"/>
            <w:vAlign w:val="bottom"/>
          </w:tcPr>
          <w:p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r>
              <w:rPr>
                <w:rFonts w:ascii="Calibri" w:eastAsia="Times New Roman" w:hAnsi="Calibri" w:cs="Times New Roman"/>
                <w:b/>
                <w:bCs/>
                <w:color w:val="000000"/>
              </w:rPr>
              <w:t xml:space="preserve"> </w:t>
            </w:r>
            <w:r w:rsidRPr="00DD7F84">
              <w:rPr>
                <w:rFonts w:ascii="Calibri" w:eastAsia="Times New Roman" w:hAnsi="Calibri" w:cs="Times New Roman"/>
                <w:b/>
                <w:bCs/>
                <w:color w:val="000000"/>
              </w:rPr>
              <w:t>(%)</w:t>
            </w:r>
          </w:p>
        </w:tc>
        <w:tc>
          <w:tcPr>
            <w:tcW w:w="1109" w:type="dxa"/>
            <w:shd w:val="clear" w:color="auto" w:fill="auto"/>
            <w:noWrap/>
            <w:vAlign w:val="bottom"/>
            <w:hideMark/>
          </w:tcPr>
          <w:p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w:t>
            </w:r>
          </w:p>
        </w:tc>
        <w:tc>
          <w:tcPr>
            <w:tcW w:w="1301" w:type="dxa"/>
            <w:shd w:val="clear" w:color="auto" w:fill="auto"/>
            <w:vAlign w:val="bottom"/>
          </w:tcPr>
          <w:p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 (%)</w:t>
            </w:r>
          </w:p>
        </w:tc>
      </w:tr>
      <w:tr w:rsidR="00F706C9" w:rsidRPr="006542A0" w:rsidTr="002B0766">
        <w:trPr>
          <w:trHeight w:val="300"/>
        </w:trPr>
        <w:tc>
          <w:tcPr>
            <w:tcW w:w="587" w:type="dxa"/>
            <w:vMerge w:val="restart"/>
            <w:shd w:val="clear" w:color="auto" w:fill="auto"/>
            <w:noWrap/>
            <w:vAlign w:val="center"/>
            <w:hideMark/>
          </w:tcPr>
          <w:p w:rsidR="00F706C9" w:rsidRPr="006542A0" w:rsidRDefault="00F706C9" w:rsidP="00D671C8">
            <w:pPr>
              <w:spacing w:after="0" w:line="240" w:lineRule="auto"/>
              <w:jc w:val="center"/>
              <w:rPr>
                <w:rFonts w:ascii="Calibri" w:eastAsia="Times New Roman" w:hAnsi="Calibri" w:cs="Times New Roman"/>
                <w:b/>
                <w:bCs/>
                <w:color w:val="000000"/>
              </w:rPr>
            </w:pPr>
            <w:r w:rsidRPr="006542A0">
              <w:rPr>
                <w:rFonts w:ascii="Calibri" w:eastAsia="Times New Roman" w:hAnsi="Calibri" w:cs="Times New Roman"/>
                <w:b/>
                <w:bCs/>
                <w:color w:val="000000"/>
              </w:rPr>
              <w:t>2013</w:t>
            </w:r>
          </w:p>
        </w:tc>
        <w:tc>
          <w:tcPr>
            <w:tcW w:w="2062"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b/>
                <w:bCs/>
                <w:color w:val="000000"/>
              </w:rPr>
            </w:pPr>
            <w:r w:rsidRPr="006542A0">
              <w:rPr>
                <w:rFonts w:ascii="Calibri" w:eastAsia="Times New Roman" w:hAnsi="Calibri" w:cs="Times New Roman"/>
                <w:b/>
                <w:bCs/>
                <w:color w:val="000000"/>
              </w:rPr>
              <w:t>Devam ediyor</w:t>
            </w:r>
          </w:p>
        </w:tc>
        <w:tc>
          <w:tcPr>
            <w:tcW w:w="1032"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2</w:t>
            </w:r>
            <w:r>
              <w:rPr>
                <w:rFonts w:ascii="Calibri" w:eastAsia="Times New Roman" w:hAnsi="Calibri" w:cs="Times New Roman"/>
                <w:color w:val="000000"/>
              </w:rPr>
              <w:t>.</w:t>
            </w:r>
            <w:r w:rsidRPr="006542A0">
              <w:rPr>
                <w:rFonts w:ascii="Calibri" w:eastAsia="Times New Roman" w:hAnsi="Calibri" w:cs="Times New Roman"/>
                <w:color w:val="000000"/>
              </w:rPr>
              <w:t>115</w:t>
            </w:r>
            <w:r>
              <w:rPr>
                <w:rFonts w:ascii="Calibri" w:eastAsia="Times New Roman" w:hAnsi="Calibri" w:cs="Times New Roman"/>
                <w:color w:val="000000"/>
              </w:rPr>
              <w:t>.</w:t>
            </w:r>
            <w:r w:rsidRPr="006542A0">
              <w:rPr>
                <w:rFonts w:ascii="Calibri" w:eastAsia="Times New Roman" w:hAnsi="Calibri" w:cs="Times New Roman"/>
                <w:color w:val="000000"/>
              </w:rPr>
              <w:t>677</w:t>
            </w:r>
          </w:p>
        </w:tc>
        <w:tc>
          <w:tcPr>
            <w:tcW w:w="1090"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w:t>
            </w:r>
            <w:r w:rsidRPr="006542A0">
              <w:rPr>
                <w:rFonts w:ascii="Calibri" w:eastAsia="Times New Roman" w:hAnsi="Calibri" w:cs="Times New Roman"/>
                <w:color w:val="000000"/>
              </w:rPr>
              <w:t>2</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923</w:t>
            </w:r>
            <w:r>
              <w:rPr>
                <w:rFonts w:ascii="Calibri" w:eastAsia="Times New Roman" w:hAnsi="Calibri" w:cs="Times New Roman"/>
                <w:color w:val="000000"/>
              </w:rPr>
              <w:t>.</w:t>
            </w:r>
            <w:r w:rsidRPr="006542A0">
              <w:rPr>
                <w:rFonts w:ascii="Calibri" w:eastAsia="Times New Roman" w:hAnsi="Calibri" w:cs="Times New Roman"/>
                <w:color w:val="000000"/>
              </w:rPr>
              <w:t>165</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r w:rsidRPr="006542A0">
              <w:rPr>
                <w:rFonts w:ascii="Calibri" w:eastAsia="Times New Roman" w:hAnsi="Calibri" w:cs="Times New Roman"/>
                <w:color w:val="000000"/>
              </w:rPr>
              <w:t>3</w:t>
            </w:r>
          </w:p>
        </w:tc>
        <w:tc>
          <w:tcPr>
            <w:tcW w:w="1109"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4</w:t>
            </w:r>
            <w:r>
              <w:rPr>
                <w:rFonts w:ascii="Calibri" w:eastAsia="Times New Roman" w:hAnsi="Calibri" w:cs="Times New Roman"/>
                <w:color w:val="000000"/>
              </w:rPr>
              <w:t>.</w:t>
            </w:r>
            <w:r w:rsidRPr="006542A0">
              <w:rPr>
                <w:rFonts w:ascii="Calibri" w:eastAsia="Times New Roman" w:hAnsi="Calibri" w:cs="Times New Roman"/>
                <w:color w:val="000000"/>
              </w:rPr>
              <w:t>038</w:t>
            </w:r>
            <w:r>
              <w:rPr>
                <w:rFonts w:ascii="Calibri" w:eastAsia="Times New Roman" w:hAnsi="Calibri" w:cs="Times New Roman"/>
                <w:color w:val="000000"/>
              </w:rPr>
              <w:t>.</w:t>
            </w:r>
            <w:r w:rsidRPr="006542A0">
              <w:rPr>
                <w:rFonts w:ascii="Calibri" w:eastAsia="Times New Roman" w:hAnsi="Calibri" w:cs="Times New Roman"/>
                <w:color w:val="000000"/>
              </w:rPr>
              <w:t>842</w:t>
            </w:r>
          </w:p>
        </w:tc>
        <w:tc>
          <w:tcPr>
            <w:tcW w:w="1301"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r w:rsidRPr="006542A0">
              <w:rPr>
                <w:rFonts w:ascii="Calibri" w:eastAsia="Times New Roman" w:hAnsi="Calibri" w:cs="Times New Roman"/>
                <w:color w:val="000000"/>
              </w:rPr>
              <w:t>8</w:t>
            </w:r>
          </w:p>
        </w:tc>
      </w:tr>
      <w:tr w:rsidR="00F706C9" w:rsidRPr="006542A0" w:rsidTr="002B0766">
        <w:trPr>
          <w:trHeight w:val="300"/>
        </w:trPr>
        <w:tc>
          <w:tcPr>
            <w:tcW w:w="587" w:type="dxa"/>
            <w:vMerge/>
            <w:vAlign w:val="center"/>
            <w:hideMark/>
          </w:tcPr>
          <w:p w:rsidR="00F706C9" w:rsidRPr="006542A0" w:rsidRDefault="00F706C9" w:rsidP="00D671C8">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b/>
                <w:bCs/>
                <w:color w:val="000000"/>
              </w:rPr>
            </w:pPr>
            <w:r w:rsidRPr="006542A0">
              <w:rPr>
                <w:rFonts w:ascii="Calibri" w:eastAsia="Times New Roman" w:hAnsi="Calibri" w:cs="Times New Roman"/>
                <w:b/>
                <w:bCs/>
                <w:color w:val="000000"/>
              </w:rPr>
              <w:t>Devam etmiyor</w:t>
            </w:r>
          </w:p>
        </w:tc>
        <w:tc>
          <w:tcPr>
            <w:tcW w:w="1032"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078</w:t>
            </w:r>
            <w:r>
              <w:rPr>
                <w:rFonts w:ascii="Calibri" w:eastAsia="Times New Roman" w:hAnsi="Calibri" w:cs="Times New Roman"/>
                <w:color w:val="000000"/>
              </w:rPr>
              <w:t>.</w:t>
            </w:r>
            <w:r w:rsidRPr="006542A0">
              <w:rPr>
                <w:rFonts w:ascii="Calibri" w:eastAsia="Times New Roman" w:hAnsi="Calibri" w:cs="Times New Roman"/>
                <w:color w:val="000000"/>
              </w:rPr>
              <w:t>933</w:t>
            </w:r>
          </w:p>
        </w:tc>
        <w:tc>
          <w:tcPr>
            <w:tcW w:w="1090"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Pr="006542A0">
              <w:rPr>
                <w:rFonts w:ascii="Calibri" w:eastAsia="Times New Roman" w:hAnsi="Calibri" w:cs="Times New Roman"/>
                <w:color w:val="000000"/>
              </w:rPr>
              <w:t>8</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114</w:t>
            </w:r>
            <w:r>
              <w:rPr>
                <w:rFonts w:ascii="Calibri" w:eastAsia="Times New Roman" w:hAnsi="Calibri" w:cs="Times New Roman"/>
                <w:color w:val="000000"/>
              </w:rPr>
              <w:t>.</w:t>
            </w:r>
            <w:r w:rsidRPr="006542A0">
              <w:rPr>
                <w:rFonts w:ascii="Calibri" w:eastAsia="Times New Roman" w:hAnsi="Calibri" w:cs="Times New Roman"/>
                <w:color w:val="000000"/>
              </w:rPr>
              <w:t>027</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r w:rsidRPr="006542A0">
              <w:rPr>
                <w:rFonts w:ascii="Calibri" w:eastAsia="Times New Roman" w:hAnsi="Calibri" w:cs="Times New Roman"/>
                <w:color w:val="000000"/>
              </w:rPr>
              <w:t>7</w:t>
            </w:r>
          </w:p>
        </w:tc>
        <w:tc>
          <w:tcPr>
            <w:tcW w:w="1109"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2</w:t>
            </w:r>
            <w:r>
              <w:rPr>
                <w:rFonts w:ascii="Calibri" w:eastAsia="Times New Roman" w:hAnsi="Calibri" w:cs="Times New Roman"/>
                <w:color w:val="000000"/>
              </w:rPr>
              <w:t>.</w:t>
            </w:r>
            <w:r w:rsidRPr="006542A0">
              <w:rPr>
                <w:rFonts w:ascii="Calibri" w:eastAsia="Times New Roman" w:hAnsi="Calibri" w:cs="Times New Roman"/>
                <w:color w:val="000000"/>
              </w:rPr>
              <w:t>192</w:t>
            </w:r>
            <w:r>
              <w:rPr>
                <w:rFonts w:ascii="Calibri" w:eastAsia="Times New Roman" w:hAnsi="Calibri" w:cs="Times New Roman"/>
                <w:color w:val="000000"/>
              </w:rPr>
              <w:t>.</w:t>
            </w:r>
            <w:r w:rsidRPr="006542A0">
              <w:rPr>
                <w:rFonts w:ascii="Calibri" w:eastAsia="Times New Roman" w:hAnsi="Calibri" w:cs="Times New Roman"/>
                <w:color w:val="000000"/>
              </w:rPr>
              <w:t>961</w:t>
            </w:r>
          </w:p>
        </w:tc>
        <w:tc>
          <w:tcPr>
            <w:tcW w:w="1301"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r w:rsidRPr="006542A0">
              <w:rPr>
                <w:rFonts w:ascii="Calibri" w:eastAsia="Times New Roman" w:hAnsi="Calibri" w:cs="Times New Roman"/>
                <w:color w:val="000000"/>
              </w:rPr>
              <w:t>2</w:t>
            </w:r>
          </w:p>
        </w:tc>
      </w:tr>
      <w:tr w:rsidR="00F706C9" w:rsidRPr="006542A0" w:rsidTr="002B0766">
        <w:trPr>
          <w:trHeight w:val="300"/>
        </w:trPr>
        <w:tc>
          <w:tcPr>
            <w:tcW w:w="587" w:type="dxa"/>
            <w:vMerge w:val="restart"/>
            <w:shd w:val="clear" w:color="auto" w:fill="auto"/>
            <w:noWrap/>
            <w:vAlign w:val="center"/>
            <w:hideMark/>
          </w:tcPr>
          <w:p w:rsidR="00F706C9" w:rsidRPr="006542A0" w:rsidRDefault="00F706C9" w:rsidP="00D671C8">
            <w:pPr>
              <w:spacing w:after="0" w:line="240" w:lineRule="auto"/>
              <w:jc w:val="center"/>
              <w:rPr>
                <w:rFonts w:ascii="Calibri" w:eastAsia="Times New Roman" w:hAnsi="Calibri" w:cs="Times New Roman"/>
                <w:b/>
                <w:bCs/>
                <w:color w:val="000000"/>
              </w:rPr>
            </w:pPr>
            <w:r w:rsidRPr="006542A0">
              <w:rPr>
                <w:rFonts w:ascii="Calibri" w:eastAsia="Times New Roman" w:hAnsi="Calibri" w:cs="Times New Roman"/>
                <w:b/>
                <w:bCs/>
                <w:color w:val="000000"/>
              </w:rPr>
              <w:t>2012</w:t>
            </w:r>
          </w:p>
        </w:tc>
        <w:tc>
          <w:tcPr>
            <w:tcW w:w="2062"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b/>
                <w:bCs/>
                <w:color w:val="000000"/>
              </w:rPr>
            </w:pPr>
            <w:r w:rsidRPr="006542A0">
              <w:rPr>
                <w:rFonts w:ascii="Calibri" w:eastAsia="Times New Roman" w:hAnsi="Calibri" w:cs="Times New Roman"/>
                <w:b/>
                <w:bCs/>
                <w:color w:val="000000"/>
              </w:rPr>
              <w:t>Devam ediyor</w:t>
            </w:r>
          </w:p>
        </w:tc>
        <w:tc>
          <w:tcPr>
            <w:tcW w:w="1032"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941</w:t>
            </w:r>
            <w:r>
              <w:rPr>
                <w:rFonts w:ascii="Calibri" w:eastAsia="Times New Roman" w:hAnsi="Calibri" w:cs="Times New Roman"/>
                <w:color w:val="000000"/>
              </w:rPr>
              <w:t>.</w:t>
            </w:r>
            <w:r w:rsidRPr="006542A0">
              <w:rPr>
                <w:rFonts w:ascii="Calibri" w:eastAsia="Times New Roman" w:hAnsi="Calibri" w:cs="Times New Roman"/>
                <w:color w:val="000000"/>
              </w:rPr>
              <w:t>751</w:t>
            </w:r>
          </w:p>
        </w:tc>
        <w:tc>
          <w:tcPr>
            <w:tcW w:w="1090"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r w:rsidRPr="006542A0">
              <w:rPr>
                <w:rFonts w:ascii="Calibri" w:eastAsia="Times New Roman" w:hAnsi="Calibri" w:cs="Times New Roman"/>
                <w:color w:val="000000"/>
              </w:rPr>
              <w:t>4</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769</w:t>
            </w:r>
            <w:r>
              <w:rPr>
                <w:rFonts w:ascii="Calibri" w:eastAsia="Times New Roman" w:hAnsi="Calibri" w:cs="Times New Roman"/>
                <w:color w:val="000000"/>
              </w:rPr>
              <w:t>.</w:t>
            </w:r>
            <w:r w:rsidRPr="006542A0">
              <w:rPr>
                <w:rFonts w:ascii="Calibri" w:eastAsia="Times New Roman" w:hAnsi="Calibri" w:cs="Times New Roman"/>
                <w:color w:val="000000"/>
              </w:rPr>
              <w:t>177</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r w:rsidRPr="006542A0">
              <w:rPr>
                <w:rFonts w:ascii="Calibri" w:eastAsia="Times New Roman" w:hAnsi="Calibri" w:cs="Times New Roman"/>
                <w:color w:val="000000"/>
              </w:rPr>
              <w:t>4</w:t>
            </w:r>
          </w:p>
        </w:tc>
        <w:tc>
          <w:tcPr>
            <w:tcW w:w="1109"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3</w:t>
            </w:r>
            <w:r>
              <w:rPr>
                <w:rFonts w:ascii="Calibri" w:eastAsia="Times New Roman" w:hAnsi="Calibri" w:cs="Times New Roman"/>
                <w:color w:val="000000"/>
              </w:rPr>
              <w:t>.</w:t>
            </w:r>
            <w:r w:rsidRPr="006542A0">
              <w:rPr>
                <w:rFonts w:ascii="Calibri" w:eastAsia="Times New Roman" w:hAnsi="Calibri" w:cs="Times New Roman"/>
                <w:color w:val="000000"/>
              </w:rPr>
              <w:t>710</w:t>
            </w:r>
            <w:r>
              <w:rPr>
                <w:rFonts w:ascii="Calibri" w:eastAsia="Times New Roman" w:hAnsi="Calibri" w:cs="Times New Roman"/>
                <w:color w:val="000000"/>
              </w:rPr>
              <w:t>.</w:t>
            </w:r>
            <w:r w:rsidRPr="006542A0">
              <w:rPr>
                <w:rFonts w:ascii="Calibri" w:eastAsia="Times New Roman" w:hAnsi="Calibri" w:cs="Times New Roman"/>
                <w:color w:val="000000"/>
              </w:rPr>
              <w:t>928</w:t>
            </w:r>
          </w:p>
        </w:tc>
        <w:tc>
          <w:tcPr>
            <w:tcW w:w="1301"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r w:rsidRPr="006542A0">
              <w:rPr>
                <w:rFonts w:ascii="Calibri" w:eastAsia="Times New Roman" w:hAnsi="Calibri" w:cs="Times New Roman"/>
                <w:color w:val="000000"/>
              </w:rPr>
              <w:t>9</w:t>
            </w:r>
          </w:p>
        </w:tc>
      </w:tr>
      <w:tr w:rsidR="00F706C9" w:rsidRPr="006542A0" w:rsidTr="002B0766">
        <w:trPr>
          <w:trHeight w:val="300"/>
        </w:trPr>
        <w:tc>
          <w:tcPr>
            <w:tcW w:w="587" w:type="dxa"/>
            <w:vMerge/>
            <w:vAlign w:val="center"/>
            <w:hideMark/>
          </w:tcPr>
          <w:p w:rsidR="00F706C9" w:rsidRPr="006542A0" w:rsidRDefault="00F706C9" w:rsidP="00D671C8">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rsidR="00F706C9" w:rsidRPr="006542A0" w:rsidRDefault="00F706C9" w:rsidP="00D671C8">
            <w:pPr>
              <w:spacing w:after="0" w:line="240" w:lineRule="auto"/>
              <w:rPr>
                <w:rFonts w:ascii="Calibri" w:eastAsia="Times New Roman" w:hAnsi="Calibri" w:cs="Times New Roman"/>
                <w:b/>
                <w:bCs/>
                <w:color w:val="000000"/>
              </w:rPr>
            </w:pPr>
            <w:r w:rsidRPr="006542A0">
              <w:rPr>
                <w:rFonts w:ascii="Calibri" w:eastAsia="Times New Roman" w:hAnsi="Calibri" w:cs="Times New Roman"/>
                <w:b/>
                <w:bCs/>
                <w:color w:val="000000"/>
              </w:rPr>
              <w:t>Devam etmiyor</w:t>
            </w:r>
          </w:p>
        </w:tc>
        <w:tc>
          <w:tcPr>
            <w:tcW w:w="1032"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220</w:t>
            </w:r>
            <w:r>
              <w:rPr>
                <w:rFonts w:ascii="Calibri" w:eastAsia="Times New Roman" w:hAnsi="Calibri" w:cs="Times New Roman"/>
                <w:color w:val="000000"/>
              </w:rPr>
              <w:t>.</w:t>
            </w:r>
            <w:r w:rsidRPr="006542A0">
              <w:rPr>
                <w:rFonts w:ascii="Calibri" w:eastAsia="Times New Roman" w:hAnsi="Calibri" w:cs="Times New Roman"/>
                <w:color w:val="000000"/>
              </w:rPr>
              <w:t>318</w:t>
            </w:r>
          </w:p>
        </w:tc>
        <w:tc>
          <w:tcPr>
            <w:tcW w:w="1090"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r w:rsidRPr="006542A0">
              <w:rPr>
                <w:rFonts w:ascii="Calibri" w:eastAsia="Times New Roman" w:hAnsi="Calibri" w:cs="Times New Roman"/>
                <w:color w:val="000000"/>
              </w:rPr>
              <w:t>6</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1</w:t>
            </w:r>
            <w:r>
              <w:rPr>
                <w:rFonts w:ascii="Calibri" w:eastAsia="Times New Roman" w:hAnsi="Calibri" w:cs="Times New Roman"/>
                <w:color w:val="000000"/>
              </w:rPr>
              <w:t>.</w:t>
            </w:r>
            <w:r w:rsidRPr="006542A0">
              <w:rPr>
                <w:rFonts w:ascii="Calibri" w:eastAsia="Times New Roman" w:hAnsi="Calibri" w:cs="Times New Roman"/>
                <w:color w:val="000000"/>
              </w:rPr>
              <w:t>260</w:t>
            </w:r>
            <w:r>
              <w:rPr>
                <w:rFonts w:ascii="Calibri" w:eastAsia="Times New Roman" w:hAnsi="Calibri" w:cs="Times New Roman"/>
                <w:color w:val="000000"/>
              </w:rPr>
              <w:t>.</w:t>
            </w:r>
            <w:r w:rsidRPr="006542A0">
              <w:rPr>
                <w:rFonts w:ascii="Calibri" w:eastAsia="Times New Roman" w:hAnsi="Calibri" w:cs="Times New Roman"/>
                <w:color w:val="000000"/>
              </w:rPr>
              <w:t>067</w:t>
            </w:r>
          </w:p>
        </w:tc>
        <w:tc>
          <w:tcPr>
            <w:tcW w:w="1109" w:type="dxa"/>
            <w:vAlign w:val="bottom"/>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r w:rsidRPr="006542A0">
              <w:rPr>
                <w:rFonts w:ascii="Calibri" w:eastAsia="Times New Roman" w:hAnsi="Calibri" w:cs="Times New Roman"/>
                <w:color w:val="000000"/>
              </w:rPr>
              <w:t>6</w:t>
            </w:r>
          </w:p>
        </w:tc>
        <w:tc>
          <w:tcPr>
            <w:tcW w:w="1109"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sidRPr="006542A0">
              <w:rPr>
                <w:rFonts w:ascii="Calibri" w:eastAsia="Times New Roman" w:hAnsi="Calibri" w:cs="Times New Roman"/>
                <w:color w:val="000000"/>
              </w:rPr>
              <w:t>2</w:t>
            </w:r>
            <w:r>
              <w:rPr>
                <w:rFonts w:ascii="Calibri" w:eastAsia="Times New Roman" w:hAnsi="Calibri" w:cs="Times New Roman"/>
                <w:color w:val="000000"/>
              </w:rPr>
              <w:t>.</w:t>
            </w:r>
            <w:r w:rsidRPr="006542A0">
              <w:rPr>
                <w:rFonts w:ascii="Calibri" w:eastAsia="Times New Roman" w:hAnsi="Calibri" w:cs="Times New Roman"/>
                <w:color w:val="000000"/>
              </w:rPr>
              <w:t>480</w:t>
            </w:r>
            <w:r>
              <w:rPr>
                <w:rFonts w:ascii="Calibri" w:eastAsia="Times New Roman" w:hAnsi="Calibri" w:cs="Times New Roman"/>
                <w:color w:val="000000"/>
              </w:rPr>
              <w:t>.</w:t>
            </w:r>
            <w:r w:rsidRPr="006542A0">
              <w:rPr>
                <w:rFonts w:ascii="Calibri" w:eastAsia="Times New Roman" w:hAnsi="Calibri" w:cs="Times New Roman"/>
                <w:color w:val="000000"/>
              </w:rPr>
              <w:t>385</w:t>
            </w:r>
          </w:p>
        </w:tc>
        <w:tc>
          <w:tcPr>
            <w:tcW w:w="1301" w:type="dxa"/>
            <w:shd w:val="clear" w:color="auto" w:fill="auto"/>
            <w:noWrap/>
            <w:vAlign w:val="bottom"/>
            <w:hideMark/>
          </w:tcPr>
          <w:p w:rsidR="00F706C9" w:rsidRPr="006542A0" w:rsidRDefault="00F706C9"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r w:rsidRPr="006542A0">
              <w:rPr>
                <w:rFonts w:ascii="Calibri" w:eastAsia="Times New Roman" w:hAnsi="Calibri" w:cs="Times New Roman"/>
                <w:color w:val="000000"/>
              </w:rPr>
              <w:t>1</w:t>
            </w:r>
          </w:p>
        </w:tc>
      </w:tr>
    </w:tbl>
    <w:p w:rsidR="00AA0777" w:rsidRPr="00990EA8" w:rsidRDefault="00AA0777" w:rsidP="00AA0777">
      <w:pPr>
        <w:rPr>
          <w:sz w:val="18"/>
          <w:szCs w:val="18"/>
        </w:rPr>
      </w:pPr>
      <w:r w:rsidRPr="00990EA8">
        <w:rPr>
          <w:sz w:val="18"/>
          <w:szCs w:val="18"/>
        </w:rPr>
        <w:t xml:space="preserve">Kaynak: </w:t>
      </w:r>
      <w:r>
        <w:rPr>
          <w:sz w:val="18"/>
          <w:szCs w:val="18"/>
        </w:rPr>
        <w:t xml:space="preserve">2012 ve </w:t>
      </w:r>
      <w:r w:rsidRPr="00990EA8">
        <w:rPr>
          <w:sz w:val="18"/>
          <w:szCs w:val="18"/>
        </w:rPr>
        <w:t>2013 Hanehal</w:t>
      </w:r>
      <w:r>
        <w:rPr>
          <w:sz w:val="18"/>
          <w:szCs w:val="18"/>
        </w:rPr>
        <w:t>kı İşgücü Anketi Mikro Veri Setleri</w:t>
      </w:r>
      <w:r w:rsidRPr="00990EA8">
        <w:rPr>
          <w:sz w:val="18"/>
          <w:szCs w:val="18"/>
        </w:rPr>
        <w:t>, TÜİK; Betam</w:t>
      </w:r>
    </w:p>
    <w:p w:rsidR="00B22847" w:rsidRPr="00B22847" w:rsidRDefault="00B22847" w:rsidP="00B22847">
      <w:pPr>
        <w:rPr>
          <w:b/>
        </w:rPr>
      </w:pPr>
      <w:r w:rsidRPr="00B22847">
        <w:rPr>
          <w:b/>
        </w:rPr>
        <w:t xml:space="preserve">Okula devam etmeyenlerin durumu vahim </w:t>
      </w:r>
    </w:p>
    <w:p w:rsidR="001A5E7C" w:rsidRDefault="00B22847" w:rsidP="002D7528">
      <w:r>
        <w:t>Halihazırda bir eğitim kurumuna devam etmediğini söyleyen gençler tekrar örgün eğitim sistemine dönerken çeşitli zorluklarla karşılaşmaktadır. Dolayısıyla okula gitmeyen gençlerin eğitim seviyesi hem kendi beşeri sermayeleri hem de genel olarak işgücü verimlil</w:t>
      </w:r>
      <w:r w:rsidR="00A76588">
        <w:t>iği açısından önemlidir. Tablo 2</w:t>
      </w:r>
      <w:r>
        <w:t>'de okula devam etme</w:t>
      </w:r>
      <w:bookmarkStart w:id="0" w:name="_GoBack"/>
      <w:bookmarkEnd w:id="0"/>
      <w:r>
        <w:t xml:space="preserve">yen gençlerin eğitim durumları verilmiştir.  </w:t>
      </w:r>
    </w:p>
    <w:p w:rsidR="002D7528" w:rsidRPr="002D7528" w:rsidRDefault="00440C3D" w:rsidP="002D7528">
      <w:pPr>
        <w:pStyle w:val="Caption"/>
        <w:keepNext/>
        <w:rPr>
          <w:color w:val="auto"/>
          <w:sz w:val="22"/>
          <w:szCs w:val="22"/>
        </w:rPr>
      </w:pPr>
      <w:r>
        <w:rPr>
          <w:color w:val="auto"/>
          <w:sz w:val="22"/>
          <w:szCs w:val="22"/>
        </w:rPr>
        <w:t>Tablo</w:t>
      </w:r>
      <w:r w:rsidR="002D7528" w:rsidRPr="002D7528">
        <w:rPr>
          <w:color w:val="auto"/>
          <w:sz w:val="22"/>
          <w:szCs w:val="22"/>
        </w:rPr>
        <w:t xml:space="preserve"> </w:t>
      </w:r>
      <w:r w:rsidR="002D7528" w:rsidRPr="002D7528">
        <w:rPr>
          <w:color w:val="auto"/>
          <w:sz w:val="22"/>
          <w:szCs w:val="22"/>
        </w:rPr>
        <w:fldChar w:fldCharType="begin"/>
      </w:r>
      <w:r w:rsidR="002D7528" w:rsidRPr="002D7528">
        <w:rPr>
          <w:color w:val="auto"/>
          <w:sz w:val="22"/>
          <w:szCs w:val="22"/>
        </w:rPr>
        <w:instrText xml:space="preserve"> SEQ Table \* ARABIC </w:instrText>
      </w:r>
      <w:r w:rsidR="002D7528" w:rsidRPr="002D7528">
        <w:rPr>
          <w:color w:val="auto"/>
          <w:sz w:val="22"/>
          <w:szCs w:val="22"/>
        </w:rPr>
        <w:fldChar w:fldCharType="separate"/>
      </w:r>
      <w:r w:rsidR="002B0766">
        <w:rPr>
          <w:noProof/>
          <w:color w:val="auto"/>
          <w:sz w:val="22"/>
          <w:szCs w:val="22"/>
        </w:rPr>
        <w:t>2</w:t>
      </w:r>
      <w:r w:rsidR="002D7528" w:rsidRPr="002D7528">
        <w:rPr>
          <w:color w:val="auto"/>
          <w:sz w:val="22"/>
          <w:szCs w:val="22"/>
        </w:rPr>
        <w:fldChar w:fldCharType="end"/>
      </w:r>
      <w:r w:rsidR="002D7528" w:rsidRPr="002D7528">
        <w:rPr>
          <w:color w:val="auto"/>
          <w:sz w:val="22"/>
          <w:szCs w:val="22"/>
        </w:rPr>
        <w:t xml:space="preserve"> Okula kayıtlı olmayanların en son mezun olduğu okul</w:t>
      </w:r>
    </w:p>
    <w:tbl>
      <w:tblPr>
        <w:tblW w:w="99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422"/>
        <w:gridCol w:w="3034"/>
        <w:gridCol w:w="1039"/>
        <w:gridCol w:w="1087"/>
        <w:gridCol w:w="1039"/>
        <w:gridCol w:w="1087"/>
        <w:gridCol w:w="1039"/>
        <w:gridCol w:w="1229"/>
      </w:tblGrid>
      <w:tr w:rsidR="00420B40" w:rsidRPr="00DD7F84" w:rsidTr="00BD5F39">
        <w:trPr>
          <w:trHeight w:val="320"/>
        </w:trPr>
        <w:tc>
          <w:tcPr>
            <w:tcW w:w="422"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color w:val="000000"/>
              </w:rPr>
            </w:pPr>
          </w:p>
        </w:tc>
        <w:tc>
          <w:tcPr>
            <w:tcW w:w="1039"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Erkek</w:t>
            </w:r>
          </w:p>
        </w:tc>
        <w:tc>
          <w:tcPr>
            <w:tcW w:w="1087"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Erkek (%)</w:t>
            </w:r>
          </w:p>
        </w:tc>
        <w:tc>
          <w:tcPr>
            <w:tcW w:w="1039"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Kadın</w:t>
            </w:r>
          </w:p>
        </w:tc>
        <w:tc>
          <w:tcPr>
            <w:tcW w:w="1087"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Kadın (%)</w:t>
            </w:r>
          </w:p>
        </w:tc>
        <w:tc>
          <w:tcPr>
            <w:tcW w:w="1039"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w:t>
            </w:r>
          </w:p>
        </w:tc>
        <w:tc>
          <w:tcPr>
            <w:tcW w:w="1229" w:type="dxa"/>
            <w:shd w:val="clear" w:color="auto" w:fill="auto"/>
            <w:noWrap/>
            <w:vAlign w:val="bottom"/>
            <w:hideMark/>
          </w:tcPr>
          <w:p w:rsidR="00420B40" w:rsidRPr="00DD7F84" w:rsidRDefault="00420B40" w:rsidP="00D671C8">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 (%)</w:t>
            </w:r>
          </w:p>
        </w:tc>
      </w:tr>
      <w:tr w:rsidR="00420B40" w:rsidRPr="00DD7F84" w:rsidTr="00BD5F39">
        <w:trPr>
          <w:trHeight w:val="320"/>
        </w:trPr>
        <w:tc>
          <w:tcPr>
            <w:tcW w:w="422" w:type="dxa"/>
            <w:vMerge w:val="restart"/>
            <w:shd w:val="clear" w:color="auto" w:fill="auto"/>
            <w:noWrap/>
            <w:textDirection w:val="btLr"/>
            <w:vAlign w:val="center"/>
            <w:hideMark/>
          </w:tcPr>
          <w:p w:rsidR="00420B40" w:rsidRPr="00DD7F84" w:rsidRDefault="00420B40" w:rsidP="007C62C1">
            <w:pPr>
              <w:spacing w:after="0" w:line="240" w:lineRule="auto"/>
              <w:jc w:val="center"/>
              <w:rPr>
                <w:rFonts w:ascii="Calibri" w:eastAsia="Times New Roman" w:hAnsi="Calibri" w:cs="Times New Roman"/>
                <w:b/>
                <w:bCs/>
                <w:color w:val="000000"/>
              </w:rPr>
            </w:pPr>
            <w:r w:rsidRPr="00DD7F84">
              <w:rPr>
                <w:rFonts w:ascii="Calibri" w:eastAsia="Times New Roman" w:hAnsi="Calibri" w:cs="Times New Roman"/>
                <w:b/>
                <w:bCs/>
                <w:color w:val="000000"/>
              </w:rPr>
              <w:t>2013</w:t>
            </w: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Herhangi bir okulu bitirmeyen</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934364">
              <w:rPr>
                <w:rFonts w:eastAsia="Times New Roman" w:cs="Times New Roman"/>
                <w:color w:val="000000"/>
              </w:rPr>
              <w:t>141.</w:t>
            </w:r>
            <w:r w:rsidRPr="00DD7F84">
              <w:rPr>
                <w:rFonts w:eastAsia="Times New Roman" w:cs="Times New Roman"/>
                <w:color w:val="000000"/>
              </w:rPr>
              <w:t>709</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934364">
              <w:rPr>
                <w:rFonts w:eastAsia="Times New Roman" w:cs="Times New Roman"/>
                <w:color w:val="000000"/>
              </w:rPr>
              <w:t>13,</w:t>
            </w:r>
            <w:r w:rsidRPr="00DD7F84">
              <w:rPr>
                <w:rFonts w:eastAsia="Times New Roman" w:cs="Times New Roman"/>
                <w:color w:val="000000"/>
              </w:rPr>
              <w:t>1</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934364">
              <w:rPr>
                <w:rFonts w:eastAsia="Times New Roman" w:cs="Times New Roman"/>
                <w:color w:val="000000"/>
              </w:rPr>
              <w:t>257.</w:t>
            </w:r>
            <w:r w:rsidRPr="00DD7F84">
              <w:rPr>
                <w:rFonts w:eastAsia="Times New Roman" w:cs="Times New Roman"/>
                <w:color w:val="000000"/>
              </w:rPr>
              <w:t>111</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934364">
              <w:rPr>
                <w:rFonts w:eastAsia="Times New Roman" w:cs="Times New Roman"/>
                <w:color w:val="000000"/>
              </w:rPr>
              <w:t>23,</w:t>
            </w:r>
            <w:r w:rsidRPr="00DD7F84">
              <w:rPr>
                <w:rFonts w:eastAsia="Times New Roman" w:cs="Times New Roman"/>
                <w:color w:val="000000"/>
              </w:rPr>
              <w:t>1</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934364">
              <w:rPr>
                <w:rFonts w:eastAsia="Times New Roman" w:cs="Times New Roman"/>
                <w:color w:val="000000"/>
              </w:rPr>
              <w:t>398.</w:t>
            </w:r>
            <w:r w:rsidRPr="00DD7F84">
              <w:rPr>
                <w:rFonts w:eastAsia="Times New Roman" w:cs="Times New Roman"/>
                <w:color w:val="000000"/>
              </w:rPr>
              <w:t>820</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Times New Roman"/>
                <w:color w:val="000000"/>
              </w:rPr>
            </w:pPr>
            <w:r w:rsidRPr="00DD7F84">
              <w:rPr>
                <w:rFonts w:eastAsia="Times New Roman" w:cs="Times New Roman"/>
                <w:color w:val="000000"/>
              </w:rPr>
              <w:t>18</w:t>
            </w:r>
            <w:r w:rsidRPr="00934364">
              <w:rPr>
                <w:rFonts w:eastAsia="Times New Roman" w:cs="Times New Roman"/>
                <w:color w:val="000000"/>
              </w:rPr>
              <w:t>,</w:t>
            </w:r>
            <w:r w:rsidRPr="00DD7F84">
              <w:rPr>
                <w:rFonts w:eastAsia="Times New Roman" w:cs="Times New Roman"/>
                <w:color w:val="000000"/>
              </w:rPr>
              <w:t>2</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İlköğretim</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674.</w:t>
            </w:r>
            <w:r w:rsidRPr="00DD7F84">
              <w:rPr>
                <w:rFonts w:eastAsia="Times New Roman" w:cs="Times New Roman"/>
                <w:color w:val="000000"/>
              </w:rPr>
              <w:t>159</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62,</w:t>
            </w:r>
            <w:r w:rsidRPr="00DD7F84">
              <w:rPr>
                <w:rFonts w:eastAsia="Times New Roman" w:cs="Times New Roman"/>
                <w:color w:val="000000"/>
              </w:rPr>
              <w:t>5</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594.</w:t>
            </w:r>
            <w:r w:rsidRPr="00DD7F84">
              <w:rPr>
                <w:rFonts w:eastAsia="Times New Roman" w:cs="Times New Roman"/>
                <w:color w:val="000000"/>
              </w:rPr>
              <w:t>389</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53,</w:t>
            </w:r>
            <w:r w:rsidRPr="00DD7F84">
              <w:rPr>
                <w:rFonts w:eastAsia="Times New Roman" w:cs="Times New Roman"/>
                <w:color w:val="000000"/>
              </w:rPr>
              <w:t>4</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1.268.</w:t>
            </w:r>
            <w:r w:rsidRPr="00DD7F84">
              <w:rPr>
                <w:rFonts w:eastAsia="Times New Roman" w:cs="Times New Roman"/>
                <w:color w:val="000000"/>
              </w:rPr>
              <w:t>548</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Times New Roman"/>
                <w:color w:val="000000"/>
              </w:rPr>
              <w:t>57</w:t>
            </w:r>
            <w:r w:rsidRPr="00934364">
              <w:rPr>
                <w:rFonts w:eastAsia="Times New Roman" w:cs="Times New Roman"/>
                <w:color w:val="000000"/>
              </w:rPr>
              <w:t>,</w:t>
            </w:r>
            <w:r w:rsidRPr="00DD7F84">
              <w:rPr>
                <w:rFonts w:eastAsia="Times New Roman" w:cs="Times New Roman"/>
                <w:color w:val="000000"/>
              </w:rPr>
              <w:t>9</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Genel lise</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155.</w:t>
            </w:r>
            <w:r w:rsidRPr="00DD7F84">
              <w:rPr>
                <w:rFonts w:eastAsia="Times New Roman" w:cs="Times New Roman"/>
                <w:color w:val="000000"/>
              </w:rPr>
              <w:t>510</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14,</w:t>
            </w:r>
            <w:r w:rsidRPr="00DD7F84">
              <w:rPr>
                <w:rFonts w:eastAsia="Times New Roman" w:cs="Times New Roman"/>
                <w:color w:val="000000"/>
              </w:rPr>
              <w:t>4</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160.</w:t>
            </w:r>
            <w:r w:rsidRPr="00DD7F84">
              <w:rPr>
                <w:rFonts w:eastAsia="Times New Roman" w:cs="Times New Roman"/>
                <w:color w:val="000000"/>
              </w:rPr>
              <w:t>932</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14,</w:t>
            </w:r>
            <w:r w:rsidRPr="00DD7F84">
              <w:rPr>
                <w:rFonts w:eastAsia="Times New Roman" w:cs="Times New Roman"/>
                <w:color w:val="000000"/>
              </w:rPr>
              <w:t>5</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316.</w:t>
            </w:r>
            <w:r w:rsidRPr="00DD7F84">
              <w:rPr>
                <w:rFonts w:eastAsia="Times New Roman" w:cs="Times New Roman"/>
                <w:color w:val="000000"/>
              </w:rPr>
              <w:t>442</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Times New Roman"/>
                <w:color w:val="000000"/>
              </w:rPr>
              <w:t>14</w:t>
            </w:r>
            <w:r w:rsidRPr="00934364">
              <w:rPr>
                <w:rFonts w:eastAsia="Times New Roman" w:cs="Times New Roman"/>
                <w:color w:val="000000"/>
              </w:rPr>
              <w:t>,</w:t>
            </w:r>
            <w:r w:rsidRPr="00DD7F84">
              <w:rPr>
                <w:rFonts w:eastAsia="Times New Roman" w:cs="Times New Roman"/>
                <w:color w:val="000000"/>
              </w:rPr>
              <w:t>4</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Meslek veya teknik lise</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105.</w:t>
            </w:r>
            <w:r w:rsidRPr="00DD7F84">
              <w:rPr>
                <w:rFonts w:eastAsia="Times New Roman" w:cs="Times New Roman"/>
                <w:color w:val="000000"/>
              </w:rPr>
              <w:t>830</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9,</w:t>
            </w:r>
            <w:r w:rsidRPr="00DD7F84">
              <w:rPr>
                <w:rFonts w:eastAsia="Times New Roman" w:cs="Times New Roman"/>
                <w:color w:val="000000"/>
              </w:rPr>
              <w:t>8</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98.</w:t>
            </w:r>
            <w:r w:rsidRPr="00DD7F84">
              <w:rPr>
                <w:rFonts w:eastAsia="Times New Roman" w:cs="Times New Roman"/>
                <w:color w:val="000000"/>
              </w:rPr>
              <w:t>288</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8,</w:t>
            </w:r>
            <w:r w:rsidRPr="00DD7F84">
              <w:rPr>
                <w:rFonts w:eastAsia="Times New Roman" w:cs="Times New Roman"/>
                <w:color w:val="000000"/>
              </w:rPr>
              <w:t>8</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204.</w:t>
            </w:r>
            <w:r w:rsidRPr="00DD7F84">
              <w:rPr>
                <w:rFonts w:eastAsia="Times New Roman" w:cs="Times New Roman"/>
                <w:color w:val="000000"/>
              </w:rPr>
              <w:t>118</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Times New Roman"/>
                <w:color w:val="000000"/>
              </w:rPr>
              <w:t>9</w:t>
            </w:r>
            <w:r w:rsidRPr="00934364">
              <w:rPr>
                <w:rFonts w:eastAsia="Times New Roman" w:cs="Times New Roman"/>
                <w:color w:val="000000"/>
              </w:rPr>
              <w:t>,</w:t>
            </w:r>
            <w:r w:rsidRPr="00DD7F84">
              <w:rPr>
                <w:rFonts w:eastAsia="Times New Roman" w:cs="Times New Roman"/>
                <w:color w:val="000000"/>
              </w:rPr>
              <w:t>3</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Yüksekokul ve üzeri</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1.</w:t>
            </w:r>
            <w:r w:rsidRPr="00DD7F84">
              <w:rPr>
                <w:rFonts w:eastAsia="Times New Roman" w:cs="Times New Roman"/>
                <w:color w:val="000000"/>
              </w:rPr>
              <w:t>726</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0,</w:t>
            </w:r>
            <w:r w:rsidRPr="00DD7F84">
              <w:rPr>
                <w:rFonts w:eastAsia="Times New Roman" w:cs="Times New Roman"/>
                <w:color w:val="000000"/>
              </w:rPr>
              <w:t>2</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3.</w:t>
            </w:r>
            <w:r w:rsidRPr="00DD7F84">
              <w:rPr>
                <w:rFonts w:eastAsia="Times New Roman" w:cs="Times New Roman"/>
                <w:color w:val="000000"/>
              </w:rPr>
              <w:t>307</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0,</w:t>
            </w:r>
            <w:r w:rsidRPr="00DD7F84">
              <w:rPr>
                <w:rFonts w:eastAsia="Times New Roman" w:cs="Times New Roman"/>
                <w:color w:val="000000"/>
              </w:rPr>
              <w:t>3</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934364">
              <w:rPr>
                <w:rFonts w:eastAsia="Times New Roman" w:cs="Times New Roman"/>
                <w:color w:val="000000"/>
              </w:rPr>
              <w:t>5.</w:t>
            </w:r>
            <w:r w:rsidRPr="00DD7F84">
              <w:rPr>
                <w:rFonts w:eastAsia="Times New Roman" w:cs="Times New Roman"/>
                <w:color w:val="000000"/>
              </w:rPr>
              <w:t>033</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Times New Roman"/>
                <w:color w:val="000000"/>
              </w:rPr>
              <w:t>0</w:t>
            </w:r>
            <w:r w:rsidRPr="00934364">
              <w:rPr>
                <w:rFonts w:eastAsia="Times New Roman" w:cs="Times New Roman"/>
                <w:color w:val="000000"/>
              </w:rPr>
              <w:t>,</w:t>
            </w:r>
            <w:r w:rsidRPr="00DD7F84">
              <w:rPr>
                <w:rFonts w:eastAsia="Times New Roman" w:cs="Times New Roman"/>
                <w:color w:val="000000"/>
              </w:rPr>
              <w:t>2</w:t>
            </w:r>
          </w:p>
        </w:tc>
      </w:tr>
      <w:tr w:rsidR="00420B40" w:rsidRPr="00DD7F84" w:rsidTr="00BD5F39">
        <w:trPr>
          <w:trHeight w:val="287"/>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Toplam</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B73397">
              <w:rPr>
                <w:rFonts w:eastAsia="Times New Roman" w:cs="Times New Roman"/>
                <w:b/>
                <w:color w:val="000000"/>
              </w:rPr>
              <w:t>1.078.</w:t>
            </w:r>
            <w:r w:rsidRPr="00DD7F84">
              <w:rPr>
                <w:rFonts w:eastAsia="Times New Roman" w:cs="Times New Roman"/>
                <w:b/>
                <w:color w:val="000000"/>
              </w:rPr>
              <w:t>933</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Times New Roman"/>
                <w:b/>
                <w:color w:val="000000"/>
              </w:rPr>
              <w:t>100</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B73397">
              <w:rPr>
                <w:rFonts w:eastAsia="Times New Roman" w:cs="Times New Roman"/>
                <w:b/>
                <w:color w:val="000000"/>
              </w:rPr>
              <w:t>1.114.</w:t>
            </w:r>
            <w:r w:rsidRPr="00DD7F84">
              <w:rPr>
                <w:rFonts w:eastAsia="Times New Roman" w:cs="Times New Roman"/>
                <w:b/>
                <w:color w:val="000000"/>
              </w:rPr>
              <w:t>027</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Times New Roman"/>
                <w:b/>
                <w:color w:val="000000"/>
              </w:rPr>
              <w:t>100</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B73397">
              <w:rPr>
                <w:rFonts w:eastAsia="Times New Roman" w:cs="Times New Roman"/>
                <w:b/>
                <w:color w:val="000000"/>
              </w:rPr>
              <w:t>2.192.</w:t>
            </w:r>
            <w:r w:rsidRPr="00DD7F84">
              <w:rPr>
                <w:rFonts w:eastAsia="Times New Roman" w:cs="Times New Roman"/>
                <w:b/>
                <w:color w:val="000000"/>
              </w:rPr>
              <w:t>961</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Times New Roman"/>
                <w:b/>
                <w:color w:val="000000"/>
              </w:rPr>
              <w:t>100</w:t>
            </w:r>
            <w:r w:rsidRPr="00B73397">
              <w:rPr>
                <w:rFonts w:eastAsia="Times New Roman" w:cs="Times New Roman"/>
                <w:b/>
                <w:color w:val="000000"/>
              </w:rPr>
              <w:t>,</w:t>
            </w:r>
            <w:r w:rsidRPr="00DD7F84">
              <w:rPr>
                <w:rFonts w:eastAsia="Times New Roman" w:cs="Times New Roman"/>
                <w:b/>
                <w:color w:val="000000"/>
              </w:rPr>
              <w:t>0</w:t>
            </w:r>
          </w:p>
        </w:tc>
      </w:tr>
      <w:tr w:rsidR="00420B40" w:rsidRPr="00DD7F84" w:rsidTr="00BD5F39">
        <w:trPr>
          <w:trHeight w:val="320"/>
        </w:trPr>
        <w:tc>
          <w:tcPr>
            <w:tcW w:w="422"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color w:val="000000"/>
              </w:rPr>
            </w:pPr>
          </w:p>
        </w:tc>
        <w:tc>
          <w:tcPr>
            <w:tcW w:w="1039"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Erkek</w:t>
            </w:r>
          </w:p>
        </w:tc>
        <w:tc>
          <w:tcPr>
            <w:tcW w:w="1087"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Erkek (%)</w:t>
            </w:r>
          </w:p>
        </w:tc>
        <w:tc>
          <w:tcPr>
            <w:tcW w:w="1039"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Kadın</w:t>
            </w:r>
          </w:p>
        </w:tc>
        <w:tc>
          <w:tcPr>
            <w:tcW w:w="1087"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Kadın (%)</w:t>
            </w:r>
          </w:p>
        </w:tc>
        <w:tc>
          <w:tcPr>
            <w:tcW w:w="1039"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w:t>
            </w:r>
          </w:p>
        </w:tc>
        <w:tc>
          <w:tcPr>
            <w:tcW w:w="1229" w:type="dxa"/>
            <w:shd w:val="clear" w:color="auto" w:fill="auto"/>
            <w:noWrap/>
            <w:vAlign w:val="bottom"/>
            <w:hideMark/>
          </w:tcPr>
          <w:p w:rsidR="00420B40" w:rsidRPr="00DD7F84" w:rsidRDefault="00420B40" w:rsidP="007C62C1">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 (%)</w:t>
            </w:r>
          </w:p>
        </w:tc>
      </w:tr>
      <w:tr w:rsidR="00420B40" w:rsidRPr="00DD7F84" w:rsidTr="00BD5F39">
        <w:trPr>
          <w:trHeight w:val="320"/>
        </w:trPr>
        <w:tc>
          <w:tcPr>
            <w:tcW w:w="422" w:type="dxa"/>
            <w:vMerge w:val="restart"/>
            <w:shd w:val="clear" w:color="auto" w:fill="auto"/>
            <w:noWrap/>
            <w:textDirection w:val="btLr"/>
            <w:vAlign w:val="center"/>
            <w:hideMark/>
          </w:tcPr>
          <w:p w:rsidR="00420B40" w:rsidRPr="00DD7F84" w:rsidRDefault="00420B40" w:rsidP="007C62C1">
            <w:pPr>
              <w:spacing w:after="0" w:line="240" w:lineRule="auto"/>
              <w:jc w:val="center"/>
              <w:rPr>
                <w:rFonts w:ascii="Calibri" w:eastAsia="Times New Roman" w:hAnsi="Calibri" w:cs="Times New Roman"/>
                <w:b/>
                <w:bCs/>
                <w:color w:val="000000"/>
              </w:rPr>
            </w:pPr>
            <w:r w:rsidRPr="00DD7F84">
              <w:rPr>
                <w:rFonts w:ascii="Calibri" w:eastAsia="Times New Roman" w:hAnsi="Calibri" w:cs="Times New Roman"/>
                <w:b/>
                <w:bCs/>
                <w:color w:val="000000"/>
              </w:rPr>
              <w:t>2012</w:t>
            </w: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Herhangi bir okulu bitirmeyen</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152.924</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12,5</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281.579</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22,4</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434.503</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17,5</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İlköğretim</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774.084</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63,4</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688.448</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54,6</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1.462.532</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59,0</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Genel lise</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172.602</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14,1</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180.925</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14,4</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353.527</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14,3</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Meslek veya teknik lise</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118.05</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9,7</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106.7</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8,5</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224.75</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9,1</w:t>
            </w:r>
          </w:p>
        </w:tc>
      </w:tr>
      <w:tr w:rsidR="00420B40" w:rsidRPr="00DD7F84" w:rsidTr="00BD5F39">
        <w:trPr>
          <w:trHeight w:val="320"/>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Yüksekokul ve üzeri</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2.657</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0,2</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2.415</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0,2</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5.072</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color w:val="000000"/>
              </w:rPr>
            </w:pPr>
            <w:r w:rsidRPr="00DD7F84">
              <w:rPr>
                <w:rFonts w:eastAsia="Times New Roman" w:cs="Arial"/>
                <w:color w:val="000000"/>
              </w:rPr>
              <w:t>0,2</w:t>
            </w:r>
          </w:p>
        </w:tc>
      </w:tr>
      <w:tr w:rsidR="00420B40" w:rsidRPr="00DD7F84" w:rsidTr="00BD5F39">
        <w:trPr>
          <w:trHeight w:val="287"/>
        </w:trPr>
        <w:tc>
          <w:tcPr>
            <w:tcW w:w="422" w:type="dxa"/>
            <w:vMerge/>
            <w:vAlign w:val="center"/>
            <w:hideMark/>
          </w:tcPr>
          <w:p w:rsidR="00420B40" w:rsidRPr="00DD7F84" w:rsidRDefault="00420B40" w:rsidP="007C62C1">
            <w:pPr>
              <w:spacing w:after="0" w:line="240" w:lineRule="auto"/>
              <w:rPr>
                <w:rFonts w:ascii="Calibri" w:eastAsia="Times New Roman" w:hAnsi="Calibri" w:cs="Times New Roman"/>
                <w:b/>
                <w:bCs/>
                <w:color w:val="000000"/>
              </w:rPr>
            </w:pPr>
          </w:p>
        </w:tc>
        <w:tc>
          <w:tcPr>
            <w:tcW w:w="3034" w:type="dxa"/>
            <w:shd w:val="clear" w:color="auto" w:fill="auto"/>
            <w:noWrap/>
            <w:vAlign w:val="bottom"/>
            <w:hideMark/>
          </w:tcPr>
          <w:p w:rsidR="00420B40" w:rsidRPr="00DD7F84" w:rsidRDefault="00420B40" w:rsidP="007C62C1">
            <w:pPr>
              <w:spacing w:after="0" w:line="240" w:lineRule="auto"/>
              <w:rPr>
                <w:rFonts w:ascii="Arial" w:eastAsia="Times New Roman" w:hAnsi="Arial" w:cs="Arial"/>
                <w:b/>
                <w:bCs/>
                <w:color w:val="000000"/>
                <w:sz w:val="20"/>
                <w:szCs w:val="20"/>
              </w:rPr>
            </w:pPr>
            <w:r w:rsidRPr="00DD7F84">
              <w:rPr>
                <w:rFonts w:ascii="Arial" w:eastAsia="Times New Roman" w:hAnsi="Arial" w:cs="Arial"/>
                <w:b/>
                <w:bCs/>
                <w:color w:val="000000"/>
                <w:sz w:val="20"/>
                <w:szCs w:val="20"/>
              </w:rPr>
              <w:t>Toplam</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1.220.318</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100</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1.260.067</w:t>
            </w:r>
          </w:p>
        </w:tc>
        <w:tc>
          <w:tcPr>
            <w:tcW w:w="1087"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100</w:t>
            </w:r>
          </w:p>
        </w:tc>
        <w:tc>
          <w:tcPr>
            <w:tcW w:w="103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2.480.385</w:t>
            </w:r>
          </w:p>
        </w:tc>
        <w:tc>
          <w:tcPr>
            <w:tcW w:w="1229" w:type="dxa"/>
            <w:shd w:val="clear" w:color="auto" w:fill="auto"/>
            <w:noWrap/>
            <w:vAlign w:val="bottom"/>
            <w:hideMark/>
          </w:tcPr>
          <w:p w:rsidR="00420B40" w:rsidRPr="00DD7F84" w:rsidRDefault="00420B40" w:rsidP="007C62C1">
            <w:pPr>
              <w:spacing w:after="0" w:line="240" w:lineRule="auto"/>
              <w:jc w:val="right"/>
              <w:rPr>
                <w:rFonts w:eastAsia="Times New Roman" w:cs="Arial"/>
                <w:b/>
                <w:color w:val="000000"/>
              </w:rPr>
            </w:pPr>
            <w:r w:rsidRPr="00DD7F84">
              <w:rPr>
                <w:rFonts w:eastAsia="Times New Roman" w:cs="Arial"/>
                <w:b/>
                <w:color w:val="000000"/>
              </w:rPr>
              <w:t>100</w:t>
            </w:r>
          </w:p>
        </w:tc>
      </w:tr>
    </w:tbl>
    <w:p w:rsidR="009C4B6F" w:rsidRDefault="00732288" w:rsidP="009C4B6F">
      <w:pPr>
        <w:rPr>
          <w:sz w:val="18"/>
          <w:szCs w:val="18"/>
        </w:rPr>
      </w:pPr>
      <w:r w:rsidRPr="00990EA8">
        <w:rPr>
          <w:sz w:val="18"/>
          <w:szCs w:val="18"/>
        </w:rPr>
        <w:t xml:space="preserve">Kaynak: </w:t>
      </w:r>
      <w:r>
        <w:rPr>
          <w:sz w:val="18"/>
          <w:szCs w:val="18"/>
        </w:rPr>
        <w:t xml:space="preserve">2012 ve </w:t>
      </w:r>
      <w:r w:rsidRPr="00990EA8">
        <w:rPr>
          <w:sz w:val="18"/>
          <w:szCs w:val="18"/>
        </w:rPr>
        <w:t>2013 Hanehal</w:t>
      </w:r>
      <w:r>
        <w:rPr>
          <w:sz w:val="18"/>
          <w:szCs w:val="18"/>
        </w:rPr>
        <w:t>kı İşgücü Anketi Mikro Veri Setleri</w:t>
      </w:r>
      <w:r w:rsidRPr="00990EA8">
        <w:rPr>
          <w:sz w:val="18"/>
          <w:szCs w:val="18"/>
        </w:rPr>
        <w:t>, TÜİK; Betam</w:t>
      </w:r>
    </w:p>
    <w:p w:rsidR="00E854F8" w:rsidRPr="009C4B6F" w:rsidRDefault="009C4B6F" w:rsidP="002B0766">
      <w:pPr>
        <w:spacing w:after="0"/>
        <w:rPr>
          <w:sz w:val="18"/>
          <w:szCs w:val="18"/>
        </w:rPr>
      </w:pPr>
      <w:r w:rsidRPr="009C4B6F">
        <w:rPr>
          <w:bCs/>
        </w:rPr>
        <w:t>15</w:t>
      </w:r>
      <w:r w:rsidR="00E854F8" w:rsidRPr="009C4B6F">
        <w:rPr>
          <w:bCs/>
        </w:rPr>
        <w:t xml:space="preserve">-19 yaş arasında eğitime devam etmeyen 257 bin genç kadın ve 142 bin genç erkek (toplam 399 bin genç) herhangi bir okulu bitirmediğini söylemektedir. İlköğretimi bitirdiğini söyleyen ise 594 bin genç kadın, 674 bin genç erkek (toplam 1 milyon 269 bin genç) bulunmaktadır. Dolayısıyla 15-19 yaş grubunda yaklaşık 1,5 milyon genç en fazla ilköğretim mezunu olarak eğitimlerine devam etmeyi bırakmıştır. Yine aynı yaş grubunda toplam 316 bin genç genel lise, 204 bin genç ise meslek ya da teknik lise mezunudur. Aralarında çok küçük bir grup ise (5 bin) yüksekokul ya da üzerini tamamladığını söylemiştir.  </w:t>
      </w:r>
    </w:p>
    <w:p w:rsidR="002B0766" w:rsidRPr="002B0766" w:rsidRDefault="00E854F8" w:rsidP="002B0766">
      <w:pPr>
        <w:pStyle w:val="Caption"/>
        <w:keepNext/>
        <w:spacing w:line="276" w:lineRule="auto"/>
        <w:rPr>
          <w:b w:val="0"/>
          <w:bCs w:val="0"/>
          <w:color w:val="auto"/>
          <w:sz w:val="22"/>
          <w:szCs w:val="22"/>
        </w:rPr>
      </w:pPr>
      <w:r w:rsidRPr="00E854F8">
        <w:rPr>
          <w:b w:val="0"/>
          <w:bCs w:val="0"/>
          <w:color w:val="auto"/>
          <w:sz w:val="22"/>
          <w:szCs w:val="22"/>
        </w:rPr>
        <w:lastRenderedPageBreak/>
        <w:t xml:space="preserve">2012’den 2013’e okula devam etmeyen 15-19 yaş arasında gençlerin eğitim seviyelerinde iyileşmeler görülmektedir. Genel olarak her kademede eğitime devam etmediğini söyleyen gençlerin sayısı azalmıştır. Herhangi bir eğitim kurumunu bitirmeyen gençlerin sayısı 2012’de 435 binden 2013’te 399 bine gerilemiştir. İlköğretim mezunlarının sayısı ise 1 milyon 462 binden 1 milyon 269 bine düşmüştür. Buna karşın eğitimine devam etmeyen gençlerin beşeri sermayeleri halen çok düşüktür. Bu gençlerin eğitim hayatına dönmeleri sadece zorunlu eğitim yılını artırmakla çözülemeyecek bir sorundur. Türkiye ileride yüksek verimlilik seviyesine sahip bir işgücü istiyorsa okula dönmesi nispeten kolay olan bu yaş grubundaki gençleri eğitim sistemine dahil etmenin yollarını aramalıdır.  </w:t>
      </w:r>
    </w:p>
    <w:p w:rsidR="002414C2" w:rsidRPr="00AC3747" w:rsidRDefault="002414C2" w:rsidP="002B0766">
      <w:pPr>
        <w:spacing w:after="0"/>
        <w:rPr>
          <w:b/>
        </w:rPr>
      </w:pPr>
      <w:r w:rsidRPr="00AC3747">
        <w:rPr>
          <w:b/>
        </w:rPr>
        <w:t xml:space="preserve">Ne okulda ne işgücünde </w:t>
      </w:r>
      <w:r w:rsidR="00354AE0">
        <w:rPr>
          <w:b/>
        </w:rPr>
        <w:t>yaklaşık 1 milyon</w:t>
      </w:r>
      <w:r w:rsidRPr="00AC3747">
        <w:rPr>
          <w:b/>
        </w:rPr>
        <w:t xml:space="preserve"> genç var </w:t>
      </w:r>
    </w:p>
    <w:p w:rsidR="002414C2" w:rsidRDefault="00440C3D" w:rsidP="002B0766">
      <w:r>
        <w:t>Tablo 3</w:t>
      </w:r>
      <w:r w:rsidR="002414C2">
        <w:t>'te 15-19 yaş grubundaki gençlerin okul devam etme ve işgücü durumları özetlenmektedir. 2013 yılında bu yaş grubunda</w:t>
      </w:r>
      <w:r w:rsidR="00065E2D">
        <w:t xml:space="preserve"> 948 bin genç, yani bu yaş grubundaki gençlerin </w:t>
      </w:r>
      <w:r w:rsidR="002414C2">
        <w:t>yüzde 15,2’si</w:t>
      </w:r>
      <w:r w:rsidR="00065E2D">
        <w:t>,</w:t>
      </w:r>
      <w:r w:rsidR="002414C2">
        <w:t xml:space="preserve"> ne eğitimine devam etmekte ne de işgücü piyasasına girmektedir. Cinsi</w:t>
      </w:r>
      <w:r w:rsidR="005E53D0">
        <w:t>yet ayrımında incelendiğinde</w:t>
      </w:r>
      <w:r w:rsidR="008B6B87">
        <w:t xml:space="preserve"> yaklaşık</w:t>
      </w:r>
      <w:r w:rsidR="005E53D0">
        <w:t xml:space="preserve"> 688</w:t>
      </w:r>
      <w:r w:rsidR="00807C09">
        <w:t xml:space="preserve"> bin genç kadının ve 260</w:t>
      </w:r>
      <w:r w:rsidR="002414C2">
        <w:t xml:space="preserve"> bin genç erkeğin ne işgücüne katıldığı ne de eğitimine devam ettiği görülmektedir. Ne işgücünde ne de okulda olanların oranının genç kadınlarda yüzde 22,7 olduğu ve genç erkeklerde ise yüzde 8,1 olduğu görülmektedir. 2012 yılından 2013 yılına ne okulda ne işgücünde olan gençlerin payında ve sayısında önemli azalmalar kaydedilmiştir. Bu gelişmeye paralel olarak okulda olan ve işgücünde olmayan gençlerin oranında da artışlar görülmektedir. </w:t>
      </w:r>
      <w:r w:rsidR="001873BF">
        <w:t>Sadece o</w:t>
      </w:r>
      <w:r w:rsidR="002414C2">
        <w:t>kula devam edenlerin oranı genç kadınlar arasında yüzde 53,8’den yüzde 60,7’ye, genç erkekler arasında yüzde 51,7’den yüzde 56,6’ya yükselmiştir. Benzer artışlar hem okula devam eden hem de işgücünde olan kesimde de görülmektedir. Bu veriler bir</w:t>
      </w:r>
      <w:r w:rsidR="005C7BBA">
        <w:t xml:space="preserve"> </w:t>
      </w:r>
      <w:r w:rsidR="002414C2">
        <w:t xml:space="preserve">arada değerlendirildiğinde zorunlu eğitimin 12 yıla çıkarılmasının okula devam üzerinde önemli etkileri olduğuna işaret etmektedir.  </w:t>
      </w:r>
    </w:p>
    <w:p w:rsidR="00440C3D" w:rsidRPr="00440C3D" w:rsidRDefault="00440C3D" w:rsidP="00440C3D">
      <w:pPr>
        <w:pStyle w:val="Caption"/>
        <w:keepNext/>
        <w:rPr>
          <w:color w:val="auto"/>
          <w:sz w:val="22"/>
          <w:szCs w:val="22"/>
        </w:rPr>
      </w:pPr>
      <w:r w:rsidRPr="00440C3D">
        <w:rPr>
          <w:color w:val="auto"/>
          <w:sz w:val="22"/>
          <w:szCs w:val="22"/>
        </w:rPr>
        <w:t xml:space="preserve">Tablo </w:t>
      </w:r>
      <w:r w:rsidRPr="00440C3D">
        <w:rPr>
          <w:color w:val="auto"/>
          <w:sz w:val="22"/>
          <w:szCs w:val="22"/>
        </w:rPr>
        <w:fldChar w:fldCharType="begin"/>
      </w:r>
      <w:r w:rsidRPr="00440C3D">
        <w:rPr>
          <w:color w:val="auto"/>
          <w:sz w:val="22"/>
          <w:szCs w:val="22"/>
        </w:rPr>
        <w:instrText xml:space="preserve"> SEQ Table \* ARABIC </w:instrText>
      </w:r>
      <w:r w:rsidRPr="00440C3D">
        <w:rPr>
          <w:color w:val="auto"/>
          <w:sz w:val="22"/>
          <w:szCs w:val="22"/>
        </w:rPr>
        <w:fldChar w:fldCharType="separate"/>
      </w:r>
      <w:r w:rsidR="002B0766">
        <w:rPr>
          <w:noProof/>
          <w:color w:val="auto"/>
          <w:sz w:val="22"/>
          <w:szCs w:val="22"/>
        </w:rPr>
        <w:t>3</w:t>
      </w:r>
      <w:r w:rsidRPr="00440C3D">
        <w:rPr>
          <w:color w:val="auto"/>
          <w:sz w:val="22"/>
          <w:szCs w:val="22"/>
        </w:rPr>
        <w:fldChar w:fldCharType="end"/>
      </w:r>
      <w:r w:rsidRPr="00440C3D">
        <w:rPr>
          <w:color w:val="auto"/>
          <w:sz w:val="22"/>
          <w:szCs w:val="22"/>
        </w:rPr>
        <w:t xml:space="preserve"> Gençlerin eğitim ve işgücüne katılım durumu</w:t>
      </w:r>
    </w:p>
    <w:tbl>
      <w:tblPr>
        <w:tblW w:w="8232" w:type="dxa"/>
        <w:tblInd w:w="60"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432"/>
        <w:gridCol w:w="3514"/>
        <w:gridCol w:w="1161"/>
        <w:gridCol w:w="998"/>
        <w:gridCol w:w="1135"/>
        <w:gridCol w:w="992"/>
      </w:tblGrid>
      <w:tr w:rsidR="00990EA8" w:rsidRPr="00422079" w:rsidTr="00464A21">
        <w:trPr>
          <w:trHeight w:val="315"/>
        </w:trPr>
        <w:tc>
          <w:tcPr>
            <w:tcW w:w="432" w:type="dxa"/>
            <w:shd w:val="clear" w:color="auto" w:fill="auto"/>
            <w:noWrap/>
            <w:vAlign w:val="bottom"/>
            <w:hideMark/>
          </w:tcPr>
          <w:p w:rsidR="00990EA8" w:rsidRPr="00A07A77" w:rsidRDefault="00990EA8" w:rsidP="00464A21">
            <w:pPr>
              <w:spacing w:after="0" w:line="240" w:lineRule="auto"/>
              <w:rPr>
                <w:rFonts w:eastAsia="Times New Roman" w:cs="Times New Roman"/>
                <w:color w:val="000000"/>
              </w:rPr>
            </w:pPr>
            <w:r w:rsidRPr="00A07A77">
              <w:rPr>
                <w:rFonts w:eastAsia="Times New Roman" w:cs="Times New Roman"/>
                <w:color w:val="000000"/>
              </w:rPr>
              <w:t> </w:t>
            </w:r>
          </w:p>
        </w:tc>
        <w:tc>
          <w:tcPr>
            <w:tcW w:w="3514" w:type="dxa"/>
            <w:shd w:val="clear" w:color="auto" w:fill="auto"/>
            <w:noWrap/>
            <w:vAlign w:val="bottom"/>
            <w:hideMark/>
          </w:tcPr>
          <w:p w:rsidR="00990EA8" w:rsidRPr="00A07A77" w:rsidRDefault="00990EA8" w:rsidP="00464A21">
            <w:pPr>
              <w:spacing w:after="0" w:line="240" w:lineRule="auto"/>
              <w:rPr>
                <w:rFonts w:eastAsia="Times New Roman" w:cs="Times New Roman"/>
                <w:color w:val="000000"/>
              </w:rPr>
            </w:pPr>
            <w:r w:rsidRPr="00A07A77">
              <w:rPr>
                <w:rFonts w:eastAsia="Times New Roman" w:cs="Times New Roman"/>
                <w:color w:val="000000"/>
              </w:rPr>
              <w:t> </w:t>
            </w:r>
          </w:p>
        </w:tc>
        <w:tc>
          <w:tcPr>
            <w:tcW w:w="1161" w:type="dxa"/>
            <w:shd w:val="clear" w:color="auto" w:fill="auto"/>
            <w:noWrap/>
            <w:vAlign w:val="bottom"/>
            <w:hideMark/>
          </w:tcPr>
          <w:p w:rsidR="00990EA8" w:rsidRPr="00A07A77" w:rsidRDefault="00990EA8" w:rsidP="00464A21">
            <w:pPr>
              <w:spacing w:after="0" w:line="240" w:lineRule="auto"/>
              <w:rPr>
                <w:rFonts w:eastAsia="Times New Roman" w:cs="Times New Roman"/>
                <w:b/>
                <w:bCs/>
                <w:color w:val="000000"/>
              </w:rPr>
            </w:pPr>
            <w:r w:rsidRPr="00A07A77">
              <w:rPr>
                <w:rFonts w:eastAsia="Times New Roman" w:cs="Times New Roman"/>
                <w:b/>
                <w:bCs/>
                <w:color w:val="000000"/>
              </w:rPr>
              <w:t>Erkek</w:t>
            </w:r>
          </w:p>
        </w:tc>
        <w:tc>
          <w:tcPr>
            <w:tcW w:w="998" w:type="dxa"/>
            <w:shd w:val="clear" w:color="auto" w:fill="auto"/>
            <w:noWrap/>
            <w:vAlign w:val="bottom"/>
            <w:hideMark/>
          </w:tcPr>
          <w:p w:rsidR="00990EA8" w:rsidRPr="00A07A77" w:rsidRDefault="00990EA8" w:rsidP="00464A21">
            <w:pPr>
              <w:spacing w:after="0" w:line="240" w:lineRule="auto"/>
              <w:rPr>
                <w:rFonts w:eastAsia="Times New Roman" w:cs="Times New Roman"/>
                <w:b/>
                <w:bCs/>
                <w:color w:val="000000"/>
              </w:rPr>
            </w:pPr>
            <w:r w:rsidRPr="00A07A77">
              <w:rPr>
                <w:rFonts w:eastAsia="Times New Roman" w:cs="Times New Roman"/>
                <w:b/>
                <w:bCs/>
                <w:color w:val="000000"/>
              </w:rPr>
              <w:t>Erkek(%)</w:t>
            </w:r>
          </w:p>
        </w:tc>
        <w:tc>
          <w:tcPr>
            <w:tcW w:w="1135" w:type="dxa"/>
            <w:shd w:val="clear" w:color="auto" w:fill="auto"/>
            <w:noWrap/>
            <w:vAlign w:val="bottom"/>
            <w:hideMark/>
          </w:tcPr>
          <w:p w:rsidR="00990EA8" w:rsidRPr="00A07A77" w:rsidRDefault="00990EA8" w:rsidP="00464A21">
            <w:pPr>
              <w:spacing w:after="0" w:line="240" w:lineRule="auto"/>
              <w:rPr>
                <w:rFonts w:eastAsia="Times New Roman" w:cs="Times New Roman"/>
                <w:b/>
                <w:bCs/>
                <w:color w:val="000000"/>
              </w:rPr>
            </w:pPr>
            <w:r w:rsidRPr="00A07A77">
              <w:rPr>
                <w:rFonts w:eastAsia="Times New Roman" w:cs="Times New Roman"/>
                <w:b/>
                <w:bCs/>
                <w:color w:val="000000"/>
              </w:rPr>
              <w:t>Kadın</w:t>
            </w:r>
          </w:p>
        </w:tc>
        <w:tc>
          <w:tcPr>
            <w:tcW w:w="992" w:type="dxa"/>
            <w:shd w:val="clear" w:color="auto" w:fill="auto"/>
            <w:noWrap/>
            <w:vAlign w:val="bottom"/>
            <w:hideMark/>
          </w:tcPr>
          <w:p w:rsidR="00990EA8" w:rsidRPr="00A07A77" w:rsidRDefault="00990EA8" w:rsidP="00464A21">
            <w:pPr>
              <w:spacing w:after="0" w:line="240" w:lineRule="auto"/>
              <w:rPr>
                <w:rFonts w:eastAsia="Times New Roman" w:cs="Times New Roman"/>
                <w:b/>
                <w:bCs/>
                <w:color w:val="000000"/>
              </w:rPr>
            </w:pPr>
            <w:r w:rsidRPr="00A07A77">
              <w:rPr>
                <w:rFonts w:eastAsia="Times New Roman" w:cs="Times New Roman"/>
                <w:b/>
                <w:bCs/>
                <w:color w:val="000000"/>
              </w:rPr>
              <w:t>Kadın(%)</w:t>
            </w:r>
          </w:p>
        </w:tc>
      </w:tr>
      <w:tr w:rsidR="00464A21" w:rsidRPr="00422079" w:rsidTr="00464A21">
        <w:trPr>
          <w:trHeight w:val="315"/>
        </w:trPr>
        <w:tc>
          <w:tcPr>
            <w:tcW w:w="432" w:type="dxa"/>
            <w:vMerge w:val="restart"/>
            <w:shd w:val="clear" w:color="auto" w:fill="auto"/>
            <w:noWrap/>
            <w:textDirection w:val="btLr"/>
            <w:vAlign w:val="bottom"/>
            <w:hideMark/>
          </w:tcPr>
          <w:p w:rsidR="00464A21" w:rsidRPr="00A07A77" w:rsidRDefault="00464A21" w:rsidP="00464A21">
            <w:pPr>
              <w:spacing w:after="0" w:line="240" w:lineRule="auto"/>
              <w:jc w:val="center"/>
              <w:rPr>
                <w:rFonts w:eastAsia="Times New Roman" w:cs="Times New Roman"/>
                <w:b/>
                <w:bCs/>
                <w:color w:val="000000"/>
              </w:rPr>
            </w:pPr>
            <w:r w:rsidRPr="00A07A77">
              <w:rPr>
                <w:rFonts w:eastAsia="Times New Roman" w:cs="Times New Roman"/>
                <w:b/>
                <w:bCs/>
                <w:color w:val="000000"/>
              </w:rPr>
              <w:t>2013</w:t>
            </w: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değil ve okula kayıtlı değil</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259.915</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8,</w:t>
            </w:r>
            <w:r w:rsidRPr="00A07A77">
              <w:rPr>
                <w:rFonts w:eastAsia="Times New Roman" w:cs="Times New Roman"/>
                <w:color w:val="000000"/>
              </w:rPr>
              <w:t>1</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688.417</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22,</w:t>
            </w:r>
            <w:r w:rsidRPr="00A07A77">
              <w:rPr>
                <w:rFonts w:eastAsia="Times New Roman" w:cs="Times New Roman"/>
                <w:color w:val="000000"/>
              </w:rPr>
              <w:t>7</w:t>
            </w:r>
          </w:p>
        </w:tc>
      </w:tr>
      <w:tr w:rsidR="00464A21" w:rsidRPr="00422079"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ve okula kayıtlı değil</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703.964</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22,</w:t>
            </w:r>
            <w:r w:rsidRPr="00A07A77">
              <w:rPr>
                <w:rFonts w:eastAsia="Times New Roman" w:cs="Times New Roman"/>
                <w:color w:val="000000"/>
              </w:rPr>
              <w:t>0</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312.219</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10,</w:t>
            </w:r>
            <w:r w:rsidRPr="00A07A77">
              <w:rPr>
                <w:rFonts w:eastAsia="Times New Roman" w:cs="Times New Roman"/>
                <w:color w:val="000000"/>
              </w:rPr>
              <w:t>3</w:t>
            </w:r>
          </w:p>
        </w:tc>
      </w:tr>
      <w:tr w:rsidR="00464A21" w:rsidRPr="00422079"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değil ve okula kayıtlı</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1.807.774</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56,</w:t>
            </w:r>
            <w:r w:rsidRPr="00A07A77">
              <w:rPr>
                <w:rFonts w:eastAsia="Times New Roman" w:cs="Times New Roman"/>
                <w:color w:val="000000"/>
              </w:rPr>
              <w:t>6</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1.843.766</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60,</w:t>
            </w:r>
            <w:r w:rsidRPr="00A07A77">
              <w:rPr>
                <w:rFonts w:eastAsia="Times New Roman" w:cs="Times New Roman"/>
                <w:color w:val="000000"/>
              </w:rPr>
              <w:t>7</w:t>
            </w:r>
          </w:p>
        </w:tc>
      </w:tr>
      <w:tr w:rsidR="00464A21" w:rsidRPr="00422079"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 xml:space="preserve">İşgücünde ve okula kayıtlı </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422.957</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13,</w:t>
            </w:r>
            <w:r w:rsidRPr="00A07A77">
              <w:rPr>
                <w:rFonts w:eastAsia="Times New Roman" w:cs="Times New Roman"/>
                <w:color w:val="000000"/>
              </w:rPr>
              <w:t>2</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192.792</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6,</w:t>
            </w:r>
            <w:r w:rsidRPr="00A07A77">
              <w:rPr>
                <w:rFonts w:eastAsia="Times New Roman" w:cs="Times New Roman"/>
                <w:color w:val="000000"/>
              </w:rPr>
              <w:t>4</w:t>
            </w:r>
          </w:p>
        </w:tc>
      </w:tr>
      <w:tr w:rsidR="00464A21" w:rsidRPr="00422079"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Toplam</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3.194.610</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100,</w:t>
            </w:r>
            <w:r w:rsidRPr="00A07A77">
              <w:rPr>
                <w:rFonts w:eastAsia="Times New Roman" w:cs="Times New Roman"/>
                <w:color w:val="000000"/>
              </w:rPr>
              <w:t>0</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3.037.193</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100,</w:t>
            </w:r>
            <w:r w:rsidRPr="00A07A77">
              <w:rPr>
                <w:rFonts w:eastAsia="Times New Roman" w:cs="Times New Roman"/>
                <w:color w:val="000000"/>
              </w:rPr>
              <w:t>0</w:t>
            </w:r>
          </w:p>
        </w:tc>
      </w:tr>
      <w:tr w:rsidR="00464A21" w:rsidRPr="00A07A77" w:rsidTr="00464A21">
        <w:trPr>
          <w:trHeight w:val="315"/>
        </w:trPr>
        <w:tc>
          <w:tcPr>
            <w:tcW w:w="432" w:type="dxa"/>
            <w:vMerge w:val="restart"/>
            <w:shd w:val="clear" w:color="auto" w:fill="auto"/>
            <w:noWrap/>
            <w:textDirection w:val="btLr"/>
            <w:vAlign w:val="bottom"/>
            <w:hideMark/>
          </w:tcPr>
          <w:p w:rsidR="00464A21" w:rsidRPr="00A07A77" w:rsidRDefault="00464A21" w:rsidP="00464A21">
            <w:pPr>
              <w:spacing w:after="0" w:line="240" w:lineRule="auto"/>
              <w:jc w:val="center"/>
              <w:rPr>
                <w:rFonts w:eastAsia="Times New Roman" w:cs="Times New Roman"/>
                <w:b/>
                <w:bCs/>
                <w:color w:val="000000"/>
              </w:rPr>
            </w:pPr>
            <w:r w:rsidRPr="00A07A77">
              <w:rPr>
                <w:rFonts w:eastAsia="Times New Roman" w:cs="Times New Roman"/>
                <w:b/>
                <w:bCs/>
                <w:color w:val="000000"/>
              </w:rPr>
              <w:t>2012</w:t>
            </w: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değil ve okula kayıtlı değil</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434.027</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13,</w:t>
            </w:r>
            <w:r w:rsidRPr="00A07A77">
              <w:rPr>
                <w:rFonts w:eastAsia="Times New Roman" w:cs="Times New Roman"/>
                <w:color w:val="000000"/>
              </w:rPr>
              <w:t>7</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921.506</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30,</w:t>
            </w:r>
            <w:r w:rsidRPr="00A07A77">
              <w:rPr>
                <w:rFonts w:eastAsia="Times New Roman" w:cs="Times New Roman"/>
                <w:color w:val="000000"/>
              </w:rPr>
              <w:t>4</w:t>
            </w:r>
          </w:p>
        </w:tc>
      </w:tr>
      <w:tr w:rsidR="00464A21" w:rsidRPr="00A07A77"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ve okula kayıtlı değil</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786.291</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24,</w:t>
            </w:r>
            <w:r w:rsidRPr="00A07A77">
              <w:rPr>
                <w:rFonts w:eastAsia="Times New Roman" w:cs="Times New Roman"/>
                <w:color w:val="000000"/>
              </w:rPr>
              <w:t>9</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338.561</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11,</w:t>
            </w:r>
            <w:r w:rsidRPr="00A07A77">
              <w:rPr>
                <w:rFonts w:eastAsia="Times New Roman" w:cs="Times New Roman"/>
                <w:color w:val="000000"/>
              </w:rPr>
              <w:t>2</w:t>
            </w:r>
          </w:p>
        </w:tc>
      </w:tr>
      <w:tr w:rsidR="00464A21" w:rsidRPr="00A07A77"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İşgücünde değil ve okula kayıtlı</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1.633.433</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51,</w:t>
            </w:r>
            <w:r w:rsidRPr="00A07A77">
              <w:rPr>
                <w:rFonts w:eastAsia="Times New Roman" w:cs="Times New Roman"/>
                <w:color w:val="000000"/>
              </w:rPr>
              <w:t>7</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1.629.675</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53,</w:t>
            </w:r>
            <w:r w:rsidRPr="00A07A77">
              <w:rPr>
                <w:rFonts w:eastAsia="Times New Roman" w:cs="Times New Roman"/>
                <w:color w:val="000000"/>
              </w:rPr>
              <w:t>8</w:t>
            </w:r>
          </w:p>
        </w:tc>
      </w:tr>
      <w:tr w:rsidR="00464A21" w:rsidRPr="00A07A77"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 xml:space="preserve">İşgücünde ve okula kayıtlı </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308.318</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9,</w:t>
            </w:r>
            <w:r w:rsidRPr="00A07A77">
              <w:rPr>
                <w:rFonts w:eastAsia="Times New Roman" w:cs="Times New Roman"/>
                <w:color w:val="000000"/>
              </w:rPr>
              <w:t>8</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139.502</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4,</w:t>
            </w:r>
            <w:r w:rsidRPr="00A07A77">
              <w:rPr>
                <w:rFonts w:eastAsia="Times New Roman" w:cs="Times New Roman"/>
                <w:color w:val="000000"/>
              </w:rPr>
              <w:t>6</w:t>
            </w:r>
          </w:p>
        </w:tc>
      </w:tr>
      <w:tr w:rsidR="00464A21" w:rsidRPr="00A07A77" w:rsidTr="00464A21">
        <w:trPr>
          <w:trHeight w:val="315"/>
        </w:trPr>
        <w:tc>
          <w:tcPr>
            <w:tcW w:w="432" w:type="dxa"/>
            <w:vMerge/>
            <w:vAlign w:val="center"/>
            <w:hideMark/>
          </w:tcPr>
          <w:p w:rsidR="00464A21" w:rsidRPr="00A07A77" w:rsidRDefault="00464A21" w:rsidP="00464A21">
            <w:pPr>
              <w:spacing w:after="0" w:line="240" w:lineRule="auto"/>
              <w:rPr>
                <w:rFonts w:eastAsia="Times New Roman" w:cs="Times New Roman"/>
                <w:b/>
                <w:bCs/>
                <w:color w:val="000000"/>
              </w:rPr>
            </w:pPr>
          </w:p>
        </w:tc>
        <w:tc>
          <w:tcPr>
            <w:tcW w:w="3514" w:type="dxa"/>
            <w:shd w:val="clear" w:color="auto" w:fill="auto"/>
            <w:noWrap/>
            <w:vAlign w:val="bottom"/>
            <w:hideMark/>
          </w:tcPr>
          <w:p w:rsidR="00464A21" w:rsidRPr="00A07A77" w:rsidRDefault="00464A21" w:rsidP="00464A21">
            <w:pPr>
              <w:spacing w:after="0" w:line="240" w:lineRule="auto"/>
              <w:rPr>
                <w:rFonts w:eastAsia="Times New Roman" w:cs="Times New Roman"/>
                <w:b/>
                <w:bCs/>
                <w:color w:val="000000"/>
              </w:rPr>
            </w:pPr>
            <w:r w:rsidRPr="00A07A77">
              <w:rPr>
                <w:rFonts w:eastAsia="Times New Roman" w:cs="Times New Roman"/>
                <w:b/>
                <w:bCs/>
                <w:color w:val="000000"/>
              </w:rPr>
              <w:t>Toplam</w:t>
            </w:r>
          </w:p>
        </w:tc>
        <w:tc>
          <w:tcPr>
            <w:tcW w:w="1161"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3.162.069</w:t>
            </w:r>
          </w:p>
        </w:tc>
        <w:tc>
          <w:tcPr>
            <w:tcW w:w="998"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100,</w:t>
            </w:r>
            <w:r w:rsidRPr="00A07A77">
              <w:rPr>
                <w:rFonts w:eastAsia="Times New Roman" w:cs="Times New Roman"/>
                <w:color w:val="000000"/>
              </w:rPr>
              <w:t>0</w:t>
            </w:r>
          </w:p>
        </w:tc>
        <w:tc>
          <w:tcPr>
            <w:tcW w:w="1135"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A07A77">
              <w:rPr>
                <w:rFonts w:eastAsia="Times New Roman" w:cs="Times New Roman"/>
                <w:color w:val="000000"/>
              </w:rPr>
              <w:t>3.029.244</w:t>
            </w:r>
          </w:p>
        </w:tc>
        <w:tc>
          <w:tcPr>
            <w:tcW w:w="992" w:type="dxa"/>
            <w:shd w:val="clear" w:color="auto" w:fill="auto"/>
            <w:noWrap/>
            <w:vAlign w:val="bottom"/>
            <w:hideMark/>
          </w:tcPr>
          <w:p w:rsidR="00464A21" w:rsidRPr="00A07A77" w:rsidRDefault="00464A21" w:rsidP="00464A21">
            <w:pPr>
              <w:spacing w:after="0" w:line="240" w:lineRule="auto"/>
              <w:jc w:val="right"/>
              <w:rPr>
                <w:rFonts w:eastAsia="Times New Roman" w:cs="Times New Roman"/>
                <w:color w:val="000000"/>
              </w:rPr>
            </w:pPr>
            <w:r w:rsidRPr="00422079">
              <w:rPr>
                <w:rFonts w:eastAsia="Times New Roman" w:cs="Times New Roman"/>
                <w:color w:val="000000"/>
              </w:rPr>
              <w:t>100,</w:t>
            </w:r>
            <w:r w:rsidRPr="00A07A77">
              <w:rPr>
                <w:rFonts w:eastAsia="Times New Roman" w:cs="Times New Roman"/>
                <w:color w:val="000000"/>
              </w:rPr>
              <w:t>0</w:t>
            </w:r>
          </w:p>
        </w:tc>
      </w:tr>
    </w:tbl>
    <w:p w:rsidR="008F062C" w:rsidRDefault="00DA13D3" w:rsidP="008F062C">
      <w:pPr>
        <w:rPr>
          <w:sz w:val="18"/>
          <w:szCs w:val="18"/>
        </w:rPr>
      </w:pPr>
      <w:r w:rsidRPr="00990EA8">
        <w:rPr>
          <w:sz w:val="18"/>
          <w:szCs w:val="18"/>
        </w:rPr>
        <w:t xml:space="preserve">Kaynak: </w:t>
      </w:r>
      <w:r w:rsidR="00732288">
        <w:rPr>
          <w:sz w:val="18"/>
          <w:szCs w:val="18"/>
        </w:rPr>
        <w:t xml:space="preserve">2012 ve </w:t>
      </w:r>
      <w:r w:rsidRPr="00990EA8">
        <w:rPr>
          <w:sz w:val="18"/>
          <w:szCs w:val="18"/>
        </w:rPr>
        <w:t>2013 Hanehal</w:t>
      </w:r>
      <w:r w:rsidR="00732288">
        <w:rPr>
          <w:sz w:val="18"/>
          <w:szCs w:val="18"/>
        </w:rPr>
        <w:t>kı İşgücü Anketi Mikro Veri Setleri</w:t>
      </w:r>
      <w:r w:rsidRPr="00990EA8">
        <w:rPr>
          <w:sz w:val="18"/>
          <w:szCs w:val="18"/>
        </w:rPr>
        <w:t>, TÜİK; Betam</w:t>
      </w:r>
    </w:p>
    <w:p w:rsidR="00DA6919" w:rsidRPr="00951F0E" w:rsidRDefault="008F062C" w:rsidP="008F062C">
      <w:r>
        <w:t xml:space="preserve">Diğer taraftan 2013 yılında 15-19 yaş arasında ne okulda ne de işgücünde </w:t>
      </w:r>
      <w:r w:rsidR="007A54A6">
        <w:t xml:space="preserve">olan gençlerin oranının </w:t>
      </w:r>
      <w:r>
        <w:t>yüksek olduğu görülmektedir.</w:t>
      </w:r>
      <w:r w:rsidR="00951F0E">
        <w:t xml:space="preserve"> </w:t>
      </w:r>
      <w:r w:rsidR="00061F1D">
        <w:t>A</w:t>
      </w:r>
      <w:r>
        <w:t>tıl kalmış bu grubun</w:t>
      </w:r>
      <w:r w:rsidR="00A5689F">
        <w:t xml:space="preserve"> eğitim seviyeleri kadar </w:t>
      </w:r>
      <w:r>
        <w:t>sosyal olar</w:t>
      </w:r>
      <w:r w:rsidR="00C011DF">
        <w:t>ak dışlanmış olup olmadıkları</w:t>
      </w:r>
      <w:r>
        <w:t xml:space="preserve"> </w:t>
      </w:r>
      <w:r w:rsidR="00A5689F">
        <w:t xml:space="preserve">da </w:t>
      </w:r>
      <w:r>
        <w:t xml:space="preserve">incelenmeye değerdir.   </w:t>
      </w:r>
      <w:r w:rsidR="00951F0E">
        <w:t xml:space="preserve">Genç kadın nüfusunun neredeyse dörtte birinin iktisadi </w:t>
      </w:r>
      <w:r w:rsidR="00E6077F">
        <w:t xml:space="preserve">hayatın </w:t>
      </w:r>
      <w:r w:rsidR="00951F0E">
        <w:t xml:space="preserve">ve eğitim hayatının dışında olduğu dikkat çekicidir. </w:t>
      </w:r>
      <w:r w:rsidR="008F7DC8" w:rsidRPr="008F7DC8">
        <w:t>Eğitim hayatına devam etmediğini söyle</w:t>
      </w:r>
      <w:r w:rsidR="008F7DC8" w:rsidRPr="00BC520F">
        <w:t>yen 15-19 yaş grubundaki genç kadınların işgücüne katılım oranının yüzde 28,8 olduğu görülmektedir (</w:t>
      </w:r>
      <w:r w:rsidR="00E236BF" w:rsidRPr="00BC520F">
        <w:rPr>
          <w:bCs/>
        </w:rPr>
        <w:t>Tablo</w:t>
      </w:r>
      <w:r w:rsidR="007122B1" w:rsidRPr="00BC520F">
        <w:rPr>
          <w:bCs/>
        </w:rPr>
        <w:t xml:space="preserve"> 4</w:t>
      </w:r>
      <w:r w:rsidR="008F7DC8" w:rsidRPr="00BC520F">
        <w:t xml:space="preserve">). Kadınların işgücüne katılım kararlarında eğitim düzeyi, evlilik durumları, çocuk sahipliği önemli belirleyicilerdendir. </w:t>
      </w:r>
      <w:r w:rsidR="00DA6919" w:rsidRPr="00BC520F">
        <w:rPr>
          <w:bCs/>
        </w:rPr>
        <w:t>Bu gruptaki genç kadınların yaşlarının ilerlemesi</w:t>
      </w:r>
      <w:r w:rsidR="002304B7">
        <w:rPr>
          <w:bCs/>
        </w:rPr>
        <w:t xml:space="preserve">ne paralel olarak </w:t>
      </w:r>
      <w:r w:rsidR="008F7DC8" w:rsidRPr="00BC520F">
        <w:t xml:space="preserve">evlilik ve çocuk yapma gibi </w:t>
      </w:r>
      <w:r w:rsidR="00DA6919" w:rsidRPr="00BC520F">
        <w:rPr>
          <w:bCs/>
        </w:rPr>
        <w:t>farklı yaşam döngüleri</w:t>
      </w:r>
      <w:r w:rsidR="002304B7">
        <w:rPr>
          <w:bCs/>
        </w:rPr>
        <w:t>ne girmeleri</w:t>
      </w:r>
      <w:r w:rsidR="00DA6919" w:rsidRPr="00BC520F">
        <w:rPr>
          <w:bCs/>
        </w:rPr>
        <w:t xml:space="preserve"> </w:t>
      </w:r>
      <w:r w:rsidR="00A35B2C">
        <w:rPr>
          <w:bCs/>
        </w:rPr>
        <w:t xml:space="preserve">hem eğitim sistemine </w:t>
      </w:r>
      <w:r w:rsidR="00A35B2C">
        <w:rPr>
          <w:bCs/>
        </w:rPr>
        <w:lastRenderedPageBreak/>
        <w:t xml:space="preserve">dönmelerini hem de </w:t>
      </w:r>
      <w:r w:rsidR="00DA6919" w:rsidRPr="00BC520F">
        <w:rPr>
          <w:bCs/>
        </w:rPr>
        <w:t>işgücü piyasasına girmeleri</w:t>
      </w:r>
      <w:r w:rsidR="002304B7">
        <w:rPr>
          <w:bCs/>
        </w:rPr>
        <w:t>ni</w:t>
      </w:r>
      <w:r w:rsidR="00DA6919" w:rsidRPr="00BC520F">
        <w:rPr>
          <w:bCs/>
        </w:rPr>
        <w:t xml:space="preserve"> zorlaş</w:t>
      </w:r>
      <w:r w:rsidR="002304B7">
        <w:rPr>
          <w:bCs/>
        </w:rPr>
        <w:t>tır</w:t>
      </w:r>
      <w:r w:rsidR="00DA6919" w:rsidRPr="00BC520F">
        <w:rPr>
          <w:bCs/>
        </w:rPr>
        <w:t xml:space="preserve">acaktır. </w:t>
      </w:r>
      <w:r w:rsidR="00197BE3">
        <w:rPr>
          <w:bCs/>
        </w:rPr>
        <w:t>15-19 yaş arasındaki g</w:t>
      </w:r>
      <w:r w:rsidR="00DA6919" w:rsidRPr="00BC520F">
        <w:rPr>
          <w:bCs/>
        </w:rPr>
        <w:t>enç kadınların dahi işgücü piyasasına bu kadar mesafeli durmaları Türkiye'nin önemli yapısal sorunlarından biri olan düşük kadın katılım oranları ile ilgili olumsuz sinyaller vermektedir.</w:t>
      </w:r>
      <w:r w:rsidR="00DA6919">
        <w:rPr>
          <w:b/>
          <w:bCs/>
        </w:rPr>
        <w:t xml:space="preserve"> </w:t>
      </w:r>
    </w:p>
    <w:p w:rsidR="00CB2778" w:rsidRPr="00CB2778" w:rsidRDefault="00CB2778" w:rsidP="00CB2778">
      <w:pPr>
        <w:pStyle w:val="Caption"/>
        <w:keepNext/>
        <w:rPr>
          <w:color w:val="auto"/>
          <w:sz w:val="22"/>
          <w:szCs w:val="22"/>
        </w:rPr>
      </w:pPr>
      <w:r>
        <w:rPr>
          <w:color w:val="auto"/>
          <w:sz w:val="22"/>
          <w:szCs w:val="22"/>
        </w:rPr>
        <w:t>Tablo</w:t>
      </w:r>
      <w:r w:rsidRPr="00CB2778">
        <w:rPr>
          <w:color w:val="auto"/>
          <w:sz w:val="22"/>
          <w:szCs w:val="22"/>
        </w:rPr>
        <w:t xml:space="preserve"> </w:t>
      </w:r>
      <w:r w:rsidRPr="00CB2778">
        <w:rPr>
          <w:color w:val="auto"/>
          <w:sz w:val="22"/>
          <w:szCs w:val="22"/>
        </w:rPr>
        <w:fldChar w:fldCharType="begin"/>
      </w:r>
      <w:r w:rsidRPr="00CB2778">
        <w:rPr>
          <w:color w:val="auto"/>
          <w:sz w:val="22"/>
          <w:szCs w:val="22"/>
        </w:rPr>
        <w:instrText xml:space="preserve"> SEQ Table \* ARABIC </w:instrText>
      </w:r>
      <w:r w:rsidRPr="00CB2778">
        <w:rPr>
          <w:color w:val="auto"/>
          <w:sz w:val="22"/>
          <w:szCs w:val="22"/>
        </w:rPr>
        <w:fldChar w:fldCharType="separate"/>
      </w:r>
      <w:r w:rsidR="002B0766">
        <w:rPr>
          <w:noProof/>
          <w:color w:val="auto"/>
          <w:sz w:val="22"/>
          <w:szCs w:val="22"/>
        </w:rPr>
        <w:t>4</w:t>
      </w:r>
      <w:r w:rsidRPr="00CB2778">
        <w:rPr>
          <w:color w:val="auto"/>
          <w:sz w:val="22"/>
          <w:szCs w:val="22"/>
        </w:rPr>
        <w:fldChar w:fldCharType="end"/>
      </w:r>
      <w:r w:rsidRPr="00CB2778">
        <w:rPr>
          <w:color w:val="auto"/>
          <w:sz w:val="22"/>
          <w:szCs w:val="22"/>
        </w:rPr>
        <w:t xml:space="preserve"> Okula gitmeyen gençlerin işgücü durumu ve işsizlik oranları</w:t>
      </w:r>
    </w:p>
    <w:tbl>
      <w:tblPr>
        <w:tblW w:w="639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853"/>
        <w:gridCol w:w="1032"/>
        <w:gridCol w:w="1236"/>
        <w:gridCol w:w="1275"/>
      </w:tblGrid>
      <w:tr w:rsidR="00E236BF" w:rsidRPr="000F5644" w:rsidTr="00E236BF">
        <w:trPr>
          <w:trHeight w:val="300"/>
        </w:trPr>
        <w:tc>
          <w:tcPr>
            <w:tcW w:w="2853" w:type="dxa"/>
            <w:shd w:val="clear" w:color="auto" w:fill="auto"/>
            <w:noWrap/>
            <w:vAlign w:val="bottom"/>
            <w:hideMark/>
          </w:tcPr>
          <w:p w:rsidR="00E236BF" w:rsidRPr="000F5644" w:rsidRDefault="00E236BF" w:rsidP="00D671C8">
            <w:pPr>
              <w:spacing w:after="0" w:line="240" w:lineRule="auto"/>
              <w:rPr>
                <w:rFonts w:eastAsia="Times New Roman" w:cs="Times New Roman"/>
                <w:color w:val="000000"/>
              </w:rPr>
            </w:pPr>
          </w:p>
        </w:tc>
        <w:tc>
          <w:tcPr>
            <w:tcW w:w="1032" w:type="dxa"/>
            <w:shd w:val="clear" w:color="auto" w:fill="auto"/>
            <w:noWrap/>
            <w:vAlign w:val="bottom"/>
            <w:hideMark/>
          </w:tcPr>
          <w:p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Erkek</w:t>
            </w:r>
          </w:p>
        </w:tc>
        <w:tc>
          <w:tcPr>
            <w:tcW w:w="1236" w:type="dxa"/>
            <w:shd w:val="clear" w:color="auto" w:fill="auto"/>
            <w:noWrap/>
            <w:vAlign w:val="bottom"/>
            <w:hideMark/>
          </w:tcPr>
          <w:p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Kadın</w:t>
            </w:r>
          </w:p>
        </w:tc>
        <w:tc>
          <w:tcPr>
            <w:tcW w:w="1275" w:type="dxa"/>
            <w:shd w:val="clear" w:color="auto" w:fill="auto"/>
            <w:noWrap/>
            <w:vAlign w:val="bottom"/>
            <w:hideMark/>
          </w:tcPr>
          <w:p w:rsidR="00E236BF" w:rsidRPr="000F5644" w:rsidRDefault="00E236BF" w:rsidP="00C5440D">
            <w:pPr>
              <w:spacing w:after="0" w:line="240" w:lineRule="auto"/>
              <w:jc w:val="right"/>
              <w:rPr>
                <w:rFonts w:eastAsia="Times New Roman" w:cs="Times New Roman"/>
                <w:b/>
                <w:bCs/>
                <w:color w:val="000000"/>
              </w:rPr>
            </w:pPr>
            <w:r w:rsidRPr="000F5644">
              <w:rPr>
                <w:rFonts w:eastAsia="Times New Roman" w:cs="Times New Roman"/>
                <w:b/>
                <w:bCs/>
                <w:color w:val="000000"/>
              </w:rPr>
              <w:t>Toplam</w:t>
            </w:r>
          </w:p>
        </w:tc>
      </w:tr>
      <w:tr w:rsidR="00E236BF" w:rsidRPr="000F5644" w:rsidTr="00E236BF">
        <w:trPr>
          <w:trHeight w:val="300"/>
        </w:trPr>
        <w:tc>
          <w:tcPr>
            <w:tcW w:w="2853" w:type="dxa"/>
            <w:shd w:val="clear" w:color="auto" w:fill="auto"/>
            <w:noWrap/>
            <w:vAlign w:val="bottom"/>
            <w:hideMark/>
          </w:tcPr>
          <w:p w:rsidR="00E236BF" w:rsidRPr="000F5644" w:rsidRDefault="00E236BF" w:rsidP="00D671C8">
            <w:pPr>
              <w:spacing w:after="0" w:line="240" w:lineRule="auto"/>
              <w:rPr>
                <w:rFonts w:eastAsia="Times New Roman" w:cs="Times New Roman"/>
                <w:b/>
                <w:bCs/>
                <w:color w:val="000000"/>
              </w:rPr>
            </w:pPr>
            <w:r w:rsidRPr="000F5644">
              <w:rPr>
                <w:rFonts w:eastAsia="Times New Roman" w:cs="Times New Roman"/>
                <w:b/>
                <w:bCs/>
                <w:color w:val="000000"/>
              </w:rPr>
              <w:t>İşgücüne katılım oranı</w:t>
            </w:r>
            <w:r>
              <w:rPr>
                <w:rFonts w:eastAsia="Times New Roman" w:cs="Times New Roman"/>
                <w:b/>
                <w:bCs/>
                <w:color w:val="000000"/>
              </w:rPr>
              <w:t>(%)</w:t>
            </w:r>
          </w:p>
        </w:tc>
        <w:tc>
          <w:tcPr>
            <w:tcW w:w="1032"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66,8</w:t>
            </w:r>
          </w:p>
        </w:tc>
        <w:tc>
          <w:tcPr>
            <w:tcW w:w="1236"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28,8</w:t>
            </w:r>
          </w:p>
        </w:tc>
        <w:tc>
          <w:tcPr>
            <w:tcW w:w="1275"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47,5</w:t>
            </w:r>
          </w:p>
        </w:tc>
      </w:tr>
      <w:tr w:rsidR="00E236BF" w:rsidRPr="000F5644" w:rsidTr="00E236BF">
        <w:trPr>
          <w:trHeight w:val="300"/>
        </w:trPr>
        <w:tc>
          <w:tcPr>
            <w:tcW w:w="2853" w:type="dxa"/>
            <w:shd w:val="clear" w:color="auto" w:fill="auto"/>
            <w:noWrap/>
            <w:vAlign w:val="bottom"/>
            <w:hideMark/>
          </w:tcPr>
          <w:p w:rsidR="00E236BF" w:rsidRPr="000F5644" w:rsidRDefault="00E236BF" w:rsidP="00D671C8">
            <w:pPr>
              <w:spacing w:after="0" w:line="240" w:lineRule="auto"/>
              <w:rPr>
                <w:rFonts w:eastAsia="Times New Roman" w:cs="Times New Roman"/>
                <w:b/>
                <w:bCs/>
                <w:color w:val="000000"/>
              </w:rPr>
            </w:pPr>
            <w:r w:rsidRPr="000F5644">
              <w:rPr>
                <w:rFonts w:eastAsia="Times New Roman" w:cs="Times New Roman"/>
                <w:b/>
                <w:bCs/>
                <w:color w:val="000000"/>
              </w:rPr>
              <w:t>İşsizlik oranı</w:t>
            </w:r>
            <w:r>
              <w:rPr>
                <w:rFonts w:eastAsia="Times New Roman" w:cs="Times New Roman"/>
                <w:b/>
                <w:bCs/>
                <w:color w:val="000000"/>
              </w:rPr>
              <w:t xml:space="preserve"> (%)</w:t>
            </w:r>
          </w:p>
        </w:tc>
        <w:tc>
          <w:tcPr>
            <w:tcW w:w="1032"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18,1</w:t>
            </w:r>
          </w:p>
        </w:tc>
        <w:tc>
          <w:tcPr>
            <w:tcW w:w="1236"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17,3</w:t>
            </w:r>
          </w:p>
        </w:tc>
        <w:tc>
          <w:tcPr>
            <w:tcW w:w="1275" w:type="dxa"/>
            <w:shd w:val="clear" w:color="auto" w:fill="auto"/>
            <w:noWrap/>
            <w:vAlign w:val="bottom"/>
            <w:hideMark/>
          </w:tcPr>
          <w:p w:rsidR="00E236BF" w:rsidRPr="000F5644" w:rsidRDefault="00E236BF" w:rsidP="00D671C8">
            <w:pPr>
              <w:spacing w:after="0" w:line="240" w:lineRule="auto"/>
              <w:jc w:val="right"/>
              <w:rPr>
                <w:rFonts w:eastAsia="Times New Roman" w:cs="Times New Roman"/>
                <w:color w:val="000000"/>
              </w:rPr>
            </w:pPr>
            <w:r w:rsidRPr="000F5644">
              <w:rPr>
                <w:rFonts w:eastAsia="Times New Roman" w:cs="Times New Roman"/>
                <w:color w:val="000000"/>
              </w:rPr>
              <w:t>17,9</w:t>
            </w:r>
          </w:p>
        </w:tc>
      </w:tr>
    </w:tbl>
    <w:p w:rsidR="00EA217B" w:rsidRDefault="00E236BF" w:rsidP="00CB2778">
      <w:pPr>
        <w:spacing w:after="0" w:line="240" w:lineRule="auto"/>
        <w:rPr>
          <w:sz w:val="18"/>
          <w:szCs w:val="18"/>
        </w:rPr>
      </w:pPr>
      <w:r w:rsidRPr="00596F4C">
        <w:rPr>
          <w:sz w:val="18"/>
          <w:szCs w:val="18"/>
        </w:rPr>
        <w:t>Kaynak: 2013 Hanehalkı İşgücü Anketi Mikro Veri Seti, TÜİK; Betam</w:t>
      </w:r>
    </w:p>
    <w:p w:rsidR="00CB2778" w:rsidRPr="00CB2778" w:rsidRDefault="00CB2778" w:rsidP="00CB2778">
      <w:pPr>
        <w:spacing w:after="0" w:line="240" w:lineRule="auto"/>
        <w:rPr>
          <w:sz w:val="18"/>
          <w:szCs w:val="18"/>
        </w:rPr>
      </w:pPr>
    </w:p>
    <w:p w:rsidR="001710EE" w:rsidRPr="001710EE" w:rsidRDefault="001710EE" w:rsidP="001710EE">
      <w:pPr>
        <w:rPr>
          <w:b/>
        </w:rPr>
      </w:pPr>
      <w:r w:rsidRPr="001710EE">
        <w:rPr>
          <w:b/>
        </w:rPr>
        <w:t>Okula git</w:t>
      </w:r>
      <w:r w:rsidR="00FA2F35">
        <w:rPr>
          <w:b/>
        </w:rPr>
        <w:t>meyen gençler neden iş aramıyor</w:t>
      </w:r>
      <w:r w:rsidRPr="001710EE">
        <w:rPr>
          <w:b/>
        </w:rPr>
        <w:t xml:space="preserve">? </w:t>
      </w:r>
    </w:p>
    <w:p w:rsidR="00F750A1" w:rsidRDefault="001710EE" w:rsidP="00417C68">
      <w:r>
        <w:t>Okula devam etmeyen ve işgücü piyasasında yer almayan gençlerin neden iş aramadıklarına yönelik verdikleri cev</w:t>
      </w:r>
      <w:r w:rsidR="002379BA">
        <w:t>aplar cinsiyetlere göre Tablo 5</w:t>
      </w:r>
      <w:r>
        <w:t>'te verilmiştir.</w:t>
      </w:r>
      <w:r w:rsidR="00F21A9E">
        <w:rPr>
          <w:rStyle w:val="FootnoteReference"/>
        </w:rPr>
        <w:footnoteReference w:id="5"/>
      </w:r>
      <w:r>
        <w:t xml:space="preserve"> Erkeklerin yüzde 27,9'u daha önce çok iş aradığını ancak bulamadığını veya yeteneklerine uygun bir</w:t>
      </w:r>
      <w:r w:rsidR="00A57388">
        <w:t xml:space="preserve"> </w:t>
      </w:r>
      <w:r>
        <w:t>iş  olmadığını düşündükleri için iş aramaktan vazgeçtiklerini belirtmiştir. Kadınlar arasında benzer sıkıntılar çekenlerin oranı ise yüzde 2,6'd</w:t>
      </w:r>
      <w:r w:rsidR="00E23203">
        <w:t>ı</w:t>
      </w:r>
      <w:r>
        <w:t xml:space="preserve">r. </w:t>
      </w:r>
      <w:r w:rsidR="00F750A1" w:rsidRPr="00231A97">
        <w:t>Ümidi olmadığı için i</w:t>
      </w:r>
      <w:r w:rsidR="00F750A1" w:rsidRPr="008D1EFB">
        <w:t xml:space="preserve">ş aramaktan </w:t>
      </w:r>
      <w:r w:rsidR="00F750A1" w:rsidRPr="00231A97">
        <w:t>vazgeçmiş</w:t>
      </w:r>
      <w:r w:rsidR="00F750A1" w:rsidRPr="008D1EFB">
        <w:t xml:space="preserve"> </w:t>
      </w:r>
      <w:r w:rsidR="00F750A1" w:rsidRPr="00231A97">
        <w:t>72 bin genç erkek, 18 bin genç kadın bulunmaktadır.</w:t>
      </w:r>
      <w:r w:rsidR="004F2CEE">
        <w:t xml:space="preserve"> </w:t>
      </w:r>
    </w:p>
    <w:p w:rsidR="00417C68" w:rsidRPr="00417C68" w:rsidRDefault="00417C68" w:rsidP="00417C68">
      <w:pPr>
        <w:pStyle w:val="Caption"/>
        <w:keepNext/>
        <w:rPr>
          <w:color w:val="auto"/>
          <w:sz w:val="22"/>
          <w:szCs w:val="22"/>
        </w:rPr>
      </w:pPr>
      <w:r w:rsidRPr="00417C68">
        <w:rPr>
          <w:color w:val="auto"/>
          <w:sz w:val="22"/>
          <w:szCs w:val="22"/>
        </w:rPr>
        <w:t>Tabl</w:t>
      </w:r>
      <w:r>
        <w:rPr>
          <w:color w:val="auto"/>
          <w:sz w:val="22"/>
          <w:szCs w:val="22"/>
        </w:rPr>
        <w:t>o</w:t>
      </w:r>
      <w:r w:rsidRPr="00417C68">
        <w:rPr>
          <w:color w:val="auto"/>
          <w:sz w:val="22"/>
          <w:szCs w:val="22"/>
        </w:rPr>
        <w:t xml:space="preserve"> </w:t>
      </w:r>
      <w:r w:rsidRPr="00417C68">
        <w:rPr>
          <w:color w:val="auto"/>
          <w:sz w:val="22"/>
          <w:szCs w:val="22"/>
        </w:rPr>
        <w:fldChar w:fldCharType="begin"/>
      </w:r>
      <w:r w:rsidRPr="00417C68">
        <w:rPr>
          <w:color w:val="auto"/>
          <w:sz w:val="22"/>
          <w:szCs w:val="22"/>
        </w:rPr>
        <w:instrText xml:space="preserve"> SEQ Table \* ARABIC </w:instrText>
      </w:r>
      <w:r w:rsidRPr="00417C68">
        <w:rPr>
          <w:color w:val="auto"/>
          <w:sz w:val="22"/>
          <w:szCs w:val="22"/>
        </w:rPr>
        <w:fldChar w:fldCharType="separate"/>
      </w:r>
      <w:r w:rsidR="002B0766">
        <w:rPr>
          <w:noProof/>
          <w:color w:val="auto"/>
          <w:sz w:val="22"/>
          <w:szCs w:val="22"/>
        </w:rPr>
        <w:t>5</w:t>
      </w:r>
      <w:r w:rsidRPr="00417C68">
        <w:rPr>
          <w:color w:val="auto"/>
          <w:sz w:val="22"/>
          <w:szCs w:val="22"/>
        </w:rPr>
        <w:fldChar w:fldCharType="end"/>
      </w:r>
      <w:r w:rsidRPr="00417C68">
        <w:rPr>
          <w:color w:val="auto"/>
          <w:sz w:val="22"/>
          <w:szCs w:val="22"/>
        </w:rPr>
        <w:t xml:space="preserve"> Eğitime devam etmeyen ve işgücüne dahil olmayanların iş aramama nedenleri</w:t>
      </w:r>
    </w:p>
    <w:tbl>
      <w:tblPr>
        <w:tblW w:w="9300" w:type="dxa"/>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260"/>
        <w:gridCol w:w="1010"/>
        <w:gridCol w:w="1010"/>
        <w:gridCol w:w="1056"/>
        <w:gridCol w:w="964"/>
      </w:tblGrid>
      <w:tr w:rsidR="00D84D76" w:rsidRPr="000F5644" w:rsidTr="00D84D76">
        <w:trPr>
          <w:trHeight w:val="300"/>
        </w:trPr>
        <w:tc>
          <w:tcPr>
            <w:tcW w:w="5260" w:type="dxa"/>
            <w:shd w:val="clear" w:color="auto" w:fill="auto"/>
            <w:noWrap/>
            <w:vAlign w:val="bottom"/>
            <w:hideMark/>
          </w:tcPr>
          <w:p w:rsidR="00D84D76" w:rsidRPr="000F5644" w:rsidRDefault="00D84D76" w:rsidP="00E40512">
            <w:pPr>
              <w:spacing w:after="0" w:line="240" w:lineRule="auto"/>
              <w:rPr>
                <w:rFonts w:eastAsia="Times New Roman" w:cs="Times New Roman"/>
                <w:color w:val="000000"/>
              </w:rPr>
            </w:pPr>
          </w:p>
        </w:tc>
        <w:tc>
          <w:tcPr>
            <w:tcW w:w="1010" w:type="dxa"/>
            <w:shd w:val="clear" w:color="auto" w:fill="auto"/>
            <w:noWrap/>
            <w:vAlign w:val="bottom"/>
            <w:hideMark/>
          </w:tcPr>
          <w:p w:rsidR="00D84D76" w:rsidRPr="000F5644" w:rsidRDefault="00D84D76" w:rsidP="00E40512">
            <w:pPr>
              <w:spacing w:after="0" w:line="240" w:lineRule="auto"/>
              <w:rPr>
                <w:rFonts w:eastAsia="Times New Roman" w:cs="Times New Roman"/>
                <w:b/>
                <w:bCs/>
                <w:color w:val="000000"/>
              </w:rPr>
            </w:pPr>
            <w:r w:rsidRPr="000F5644">
              <w:rPr>
                <w:rFonts w:eastAsia="Times New Roman" w:cs="Times New Roman"/>
                <w:b/>
                <w:bCs/>
                <w:color w:val="000000"/>
              </w:rPr>
              <w:t>Erkek</w:t>
            </w:r>
          </w:p>
        </w:tc>
        <w:tc>
          <w:tcPr>
            <w:tcW w:w="1010" w:type="dxa"/>
            <w:shd w:val="clear" w:color="auto" w:fill="auto"/>
            <w:vAlign w:val="bottom"/>
          </w:tcPr>
          <w:p w:rsidR="00D84D76" w:rsidRPr="000F5644" w:rsidRDefault="00D84D76" w:rsidP="00E40512">
            <w:pPr>
              <w:spacing w:after="0" w:line="240" w:lineRule="auto"/>
              <w:rPr>
                <w:rFonts w:eastAsia="Times New Roman" w:cs="Times New Roman"/>
                <w:b/>
                <w:bCs/>
                <w:color w:val="000000"/>
              </w:rPr>
            </w:pPr>
            <w:r>
              <w:rPr>
                <w:rFonts w:eastAsia="Times New Roman" w:cs="Times New Roman"/>
                <w:b/>
                <w:bCs/>
                <w:color w:val="000000"/>
              </w:rPr>
              <w:t>Erkek(%)</w:t>
            </w:r>
          </w:p>
        </w:tc>
        <w:tc>
          <w:tcPr>
            <w:tcW w:w="1056" w:type="dxa"/>
            <w:shd w:val="clear" w:color="auto" w:fill="auto"/>
            <w:noWrap/>
            <w:vAlign w:val="bottom"/>
            <w:hideMark/>
          </w:tcPr>
          <w:p w:rsidR="00D84D76" w:rsidRPr="000F5644" w:rsidRDefault="00D84D76" w:rsidP="00E40512">
            <w:pPr>
              <w:spacing w:after="0" w:line="240" w:lineRule="auto"/>
              <w:rPr>
                <w:rFonts w:eastAsia="Times New Roman" w:cs="Times New Roman"/>
                <w:b/>
                <w:bCs/>
                <w:color w:val="000000"/>
              </w:rPr>
            </w:pPr>
            <w:r w:rsidRPr="000F5644">
              <w:rPr>
                <w:rFonts w:eastAsia="Times New Roman" w:cs="Times New Roman"/>
                <w:b/>
                <w:bCs/>
                <w:color w:val="000000"/>
              </w:rPr>
              <w:t>Kadın</w:t>
            </w:r>
          </w:p>
        </w:tc>
        <w:tc>
          <w:tcPr>
            <w:tcW w:w="964" w:type="dxa"/>
            <w:shd w:val="clear" w:color="auto" w:fill="auto"/>
            <w:vAlign w:val="bottom"/>
          </w:tcPr>
          <w:p w:rsidR="00D84D76" w:rsidRPr="000F5644" w:rsidRDefault="00D84D76" w:rsidP="00E40512">
            <w:pPr>
              <w:spacing w:after="0" w:line="240" w:lineRule="auto"/>
              <w:rPr>
                <w:rFonts w:eastAsia="Times New Roman" w:cs="Times New Roman"/>
                <w:b/>
                <w:bCs/>
                <w:color w:val="000000"/>
              </w:rPr>
            </w:pPr>
            <w:r>
              <w:rPr>
                <w:rFonts w:eastAsia="Times New Roman" w:cs="Times New Roman"/>
                <w:b/>
                <w:bCs/>
                <w:color w:val="000000"/>
              </w:rPr>
              <w:t>Kadın(%)</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İş buldu, başlamak için bekliyor</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4.752</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1,8</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3.749</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0,6</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Ümidi kırık</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72.108</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27,9</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17.737</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2,6</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Eğitim öğretimine devam ediyor</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61.747</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23,9</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62.766</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9,1</w:t>
            </w:r>
          </w:p>
        </w:tc>
      </w:tr>
      <w:tr w:rsidR="004A7ED9" w:rsidRPr="000F5644" w:rsidTr="00D84D76">
        <w:trPr>
          <w:trHeight w:val="600"/>
        </w:trPr>
        <w:tc>
          <w:tcPr>
            <w:tcW w:w="5260" w:type="dxa"/>
            <w:shd w:val="clear" w:color="auto" w:fill="auto"/>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Ev işleriyle meşgul veya ailedeki çocuklara/bakıma muhtaç yetişkinlere bakıyor</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452</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0,2</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509.698</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74,2</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Diğer ailevi veya kişisel nedenler</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45.319</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17,5</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41.737</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6,1</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Engelli veya hasta</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44.896</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17,3</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37.546</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5,5</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Diğer</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29.638</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11,5</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13.671</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2,0</w:t>
            </w:r>
          </w:p>
        </w:tc>
      </w:tr>
      <w:tr w:rsidR="004A7ED9" w:rsidRPr="000F5644" w:rsidTr="00D84D76">
        <w:trPr>
          <w:trHeight w:val="300"/>
        </w:trPr>
        <w:tc>
          <w:tcPr>
            <w:tcW w:w="5260" w:type="dxa"/>
            <w:shd w:val="clear" w:color="auto" w:fill="auto"/>
            <w:noWrap/>
            <w:vAlign w:val="bottom"/>
            <w:hideMark/>
          </w:tcPr>
          <w:p w:rsidR="004A7ED9" w:rsidRPr="000F5644" w:rsidRDefault="004A7ED9" w:rsidP="00E40512">
            <w:pPr>
              <w:spacing w:after="0" w:line="240" w:lineRule="auto"/>
              <w:rPr>
                <w:rFonts w:eastAsia="Times New Roman" w:cs="Times New Roman"/>
                <w:b/>
                <w:bCs/>
                <w:color w:val="000000"/>
              </w:rPr>
            </w:pPr>
            <w:r w:rsidRPr="000F5644">
              <w:rPr>
                <w:rFonts w:eastAsia="Times New Roman" w:cs="Times New Roman"/>
                <w:b/>
                <w:bCs/>
                <w:color w:val="000000"/>
              </w:rPr>
              <w:t>Toplam</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258.912</w:t>
            </w:r>
          </w:p>
        </w:tc>
        <w:tc>
          <w:tcPr>
            <w:tcW w:w="1010"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100,0</w:t>
            </w:r>
          </w:p>
        </w:tc>
        <w:tc>
          <w:tcPr>
            <w:tcW w:w="1056"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686.903</w:t>
            </w:r>
          </w:p>
        </w:tc>
        <w:tc>
          <w:tcPr>
            <w:tcW w:w="964" w:type="dxa"/>
            <w:shd w:val="clear" w:color="auto" w:fill="auto"/>
            <w:noWrap/>
            <w:vAlign w:val="bottom"/>
            <w:hideMark/>
          </w:tcPr>
          <w:p w:rsidR="004A7ED9" w:rsidRPr="000F5644" w:rsidRDefault="004A7ED9" w:rsidP="00D84D76">
            <w:pPr>
              <w:spacing w:after="0" w:line="240" w:lineRule="auto"/>
              <w:jc w:val="right"/>
              <w:rPr>
                <w:rFonts w:eastAsia="Times New Roman" w:cs="Times New Roman"/>
                <w:color w:val="000000"/>
              </w:rPr>
            </w:pPr>
            <w:r w:rsidRPr="000F5644">
              <w:rPr>
                <w:rFonts w:eastAsia="Times New Roman" w:cs="Times New Roman"/>
                <w:color w:val="000000"/>
              </w:rPr>
              <w:t>100,0</w:t>
            </w:r>
          </w:p>
        </w:tc>
      </w:tr>
    </w:tbl>
    <w:p w:rsidR="008D1EFB" w:rsidRDefault="00DA13D3" w:rsidP="008D1EFB">
      <w:pPr>
        <w:spacing w:line="240" w:lineRule="auto"/>
        <w:rPr>
          <w:sz w:val="18"/>
          <w:szCs w:val="18"/>
        </w:rPr>
      </w:pPr>
      <w:r w:rsidRPr="008214D1">
        <w:rPr>
          <w:sz w:val="18"/>
          <w:szCs w:val="18"/>
        </w:rPr>
        <w:t>Kaynak: 2013 Hanehalkı İşgücü Anketi Mikro Veri Seti, TÜİK; Betam</w:t>
      </w:r>
    </w:p>
    <w:p w:rsidR="003E429F" w:rsidRPr="00231A97" w:rsidRDefault="00F750A1" w:rsidP="00231A97">
      <w:r>
        <w:t>D</w:t>
      </w:r>
      <w:r w:rsidRPr="00231A97">
        <w:t xml:space="preserve">üşük eğitim seviyeleri nedeniyle işgücü piyasasına girmekte zorlanan gençler olduğu açıkça </w:t>
      </w:r>
      <w:r w:rsidR="00D251B6">
        <w:t xml:space="preserve">görülmektedir. </w:t>
      </w:r>
      <w:r w:rsidR="0069107F" w:rsidRPr="00231A97">
        <w:t>Tablo 6'da</w:t>
      </w:r>
      <w:r w:rsidR="003E429F" w:rsidRPr="008D1EFB">
        <w:t xml:space="preserve"> iş aramaktan vazgeçmiş gençlerin cinsiyet ayrımında eğitim seviyeleri verilmiştir. Ümitsiz genç erkeklerin yüzde 74,6'sının ilköğretim mezunu olduğu ve  yüzde 16,6'sının bir okul bitirmediği</w:t>
      </w:r>
      <w:r w:rsidR="007D7871" w:rsidRPr="00231A97">
        <w:t xml:space="preserve"> görülmektedir</w:t>
      </w:r>
      <w:r w:rsidR="003E429F" w:rsidRPr="008D1EFB">
        <w:t xml:space="preserve">.  Kadınlarda </w:t>
      </w:r>
      <w:r w:rsidR="007D7871" w:rsidRPr="00231A97">
        <w:t>durum benzerdir</w:t>
      </w:r>
      <w:r w:rsidR="003E429F" w:rsidRPr="008D1EFB">
        <w:t xml:space="preserve">. </w:t>
      </w:r>
      <w:r w:rsidR="00D62545" w:rsidRPr="00231A97">
        <w:t>Zorunlu eğitim çağındaki gençlerin örgün eğitime dönmelerini kolaylaştıracak politikalar kadar g</w:t>
      </w:r>
      <w:r w:rsidR="003E429F" w:rsidRPr="008D1EFB">
        <w:t>ençlerin işgücü piyas</w:t>
      </w:r>
      <w:r w:rsidR="00D62545" w:rsidRPr="00231A97">
        <w:t xml:space="preserve">asına </w:t>
      </w:r>
      <w:r w:rsidR="00D62545" w:rsidRPr="008D1EFB">
        <w:t xml:space="preserve">geçişlerini kolaylaştıracak </w:t>
      </w:r>
      <w:r w:rsidR="00D62545" w:rsidRPr="00231A97">
        <w:t xml:space="preserve">ve işgücü piyasasına uyumlarını destekleyecek </w:t>
      </w:r>
      <w:r w:rsidR="003E429F" w:rsidRPr="008D1EFB">
        <w:t xml:space="preserve">politikaların geliştirilmesi önem arz etmektedir. </w:t>
      </w:r>
    </w:p>
    <w:p w:rsidR="00A20FB7" w:rsidRDefault="00A20FB7" w:rsidP="00886ACE">
      <w:pPr>
        <w:pStyle w:val="Caption"/>
        <w:keepNext/>
        <w:rPr>
          <w:color w:val="auto"/>
          <w:sz w:val="22"/>
          <w:szCs w:val="22"/>
        </w:rPr>
      </w:pPr>
    </w:p>
    <w:p w:rsidR="00641BC6" w:rsidRPr="00641BC6" w:rsidRDefault="00641BC6" w:rsidP="00641BC6"/>
    <w:p w:rsidR="00886ACE" w:rsidRPr="00886ACE" w:rsidRDefault="00886ACE" w:rsidP="00886ACE">
      <w:pPr>
        <w:pStyle w:val="Caption"/>
        <w:keepNext/>
        <w:rPr>
          <w:color w:val="auto"/>
          <w:sz w:val="22"/>
          <w:szCs w:val="22"/>
        </w:rPr>
      </w:pPr>
      <w:r>
        <w:rPr>
          <w:color w:val="auto"/>
          <w:sz w:val="22"/>
          <w:szCs w:val="22"/>
        </w:rPr>
        <w:lastRenderedPageBreak/>
        <w:t>Tabl</w:t>
      </w:r>
      <w:r w:rsidR="0069107F">
        <w:rPr>
          <w:color w:val="auto"/>
          <w:sz w:val="22"/>
          <w:szCs w:val="22"/>
        </w:rPr>
        <w:t>o</w:t>
      </w:r>
      <w:r w:rsidRPr="00886ACE">
        <w:rPr>
          <w:color w:val="auto"/>
          <w:sz w:val="22"/>
          <w:szCs w:val="22"/>
        </w:rPr>
        <w:t xml:space="preserve"> </w:t>
      </w:r>
      <w:r w:rsidRPr="00886ACE">
        <w:rPr>
          <w:color w:val="auto"/>
          <w:sz w:val="22"/>
          <w:szCs w:val="22"/>
        </w:rPr>
        <w:fldChar w:fldCharType="begin"/>
      </w:r>
      <w:r w:rsidRPr="00886ACE">
        <w:rPr>
          <w:color w:val="auto"/>
          <w:sz w:val="22"/>
          <w:szCs w:val="22"/>
        </w:rPr>
        <w:instrText xml:space="preserve"> SEQ Table \* ARABIC </w:instrText>
      </w:r>
      <w:r w:rsidRPr="00886ACE">
        <w:rPr>
          <w:color w:val="auto"/>
          <w:sz w:val="22"/>
          <w:szCs w:val="22"/>
        </w:rPr>
        <w:fldChar w:fldCharType="separate"/>
      </w:r>
      <w:r w:rsidR="002B0766">
        <w:rPr>
          <w:noProof/>
          <w:color w:val="auto"/>
          <w:sz w:val="22"/>
          <w:szCs w:val="22"/>
        </w:rPr>
        <w:t>6</w:t>
      </w:r>
      <w:r w:rsidRPr="00886ACE">
        <w:rPr>
          <w:color w:val="auto"/>
          <w:sz w:val="22"/>
          <w:szCs w:val="22"/>
        </w:rPr>
        <w:fldChar w:fldCharType="end"/>
      </w:r>
      <w:r w:rsidRPr="00886ACE">
        <w:rPr>
          <w:color w:val="auto"/>
          <w:sz w:val="22"/>
          <w:szCs w:val="22"/>
        </w:rPr>
        <w:t xml:space="preserve"> Ümidi kırıkların en son mezun oldukları okul</w:t>
      </w:r>
    </w:p>
    <w:tbl>
      <w:tblPr>
        <w:tblW w:w="894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886"/>
        <w:gridCol w:w="915"/>
        <w:gridCol w:w="1034"/>
        <w:gridCol w:w="797"/>
        <w:gridCol w:w="1046"/>
        <w:gridCol w:w="992"/>
        <w:gridCol w:w="1276"/>
      </w:tblGrid>
      <w:tr w:rsidR="00787CDD" w:rsidRPr="007E7896" w:rsidTr="00787CDD">
        <w:trPr>
          <w:trHeight w:val="312"/>
        </w:trPr>
        <w:tc>
          <w:tcPr>
            <w:tcW w:w="2886" w:type="dxa"/>
            <w:shd w:val="clear" w:color="auto" w:fill="auto"/>
            <w:noWrap/>
            <w:vAlign w:val="bottom"/>
            <w:hideMark/>
          </w:tcPr>
          <w:p w:rsidR="00787CDD" w:rsidRPr="007E7896" w:rsidRDefault="00787CDD" w:rsidP="00D671C8">
            <w:pPr>
              <w:spacing w:after="0" w:line="240" w:lineRule="auto"/>
              <w:rPr>
                <w:rFonts w:ascii="Calibri" w:eastAsia="Times New Roman" w:hAnsi="Calibri" w:cs="Times New Roman"/>
                <w:b/>
                <w:bCs/>
                <w:color w:val="000000"/>
              </w:rPr>
            </w:pPr>
          </w:p>
        </w:tc>
        <w:tc>
          <w:tcPr>
            <w:tcW w:w="915" w:type="dxa"/>
            <w:shd w:val="clear" w:color="auto" w:fill="auto"/>
            <w:noWrap/>
            <w:vAlign w:val="bottom"/>
            <w:hideMark/>
          </w:tcPr>
          <w:p w:rsidR="00787CDD" w:rsidRPr="00787CDD" w:rsidRDefault="00787CDD" w:rsidP="00787CDD">
            <w:pPr>
              <w:spacing w:after="0"/>
              <w:rPr>
                <w:rFonts w:ascii="Calibri" w:eastAsia="Times New Roman" w:hAnsi="Calibri" w:cs="Times New Roman"/>
                <w:b/>
                <w:bCs/>
                <w:color w:val="000000"/>
              </w:rPr>
            </w:pPr>
            <w:r w:rsidRPr="007E7896">
              <w:rPr>
                <w:rFonts w:ascii="Calibri" w:eastAsia="Times New Roman" w:hAnsi="Calibri" w:cs="Times New Roman"/>
                <w:b/>
                <w:bCs/>
                <w:color w:val="000000"/>
              </w:rPr>
              <w:t>Erkek</w:t>
            </w:r>
            <w:r w:rsidRPr="00787CDD">
              <w:rPr>
                <w:rFonts w:ascii="Calibri" w:eastAsia="Times New Roman" w:hAnsi="Calibri" w:cs="Times New Roman"/>
                <w:b/>
                <w:bCs/>
                <w:color w:val="000000"/>
              </w:rPr>
              <w:t xml:space="preserve"> </w:t>
            </w:r>
          </w:p>
        </w:tc>
        <w:tc>
          <w:tcPr>
            <w:tcW w:w="1034" w:type="dxa"/>
            <w:shd w:val="clear" w:color="auto" w:fill="auto"/>
            <w:noWrap/>
            <w:vAlign w:val="bottom"/>
            <w:hideMark/>
          </w:tcPr>
          <w:p w:rsidR="00787CDD" w:rsidRPr="00787CDD" w:rsidRDefault="00787CDD" w:rsidP="00787CDD">
            <w:pPr>
              <w:spacing w:after="0"/>
              <w:rPr>
                <w:rFonts w:ascii="Calibri" w:eastAsia="Times New Roman" w:hAnsi="Calibri" w:cs="Times New Roman"/>
                <w:b/>
                <w:bCs/>
                <w:color w:val="000000"/>
              </w:rPr>
            </w:pPr>
            <w:r w:rsidRPr="00787CDD">
              <w:rPr>
                <w:rFonts w:ascii="Calibri" w:eastAsia="Times New Roman" w:hAnsi="Calibri" w:cs="Times New Roman"/>
                <w:b/>
                <w:bCs/>
                <w:color w:val="000000"/>
              </w:rPr>
              <w:t>Erkek(%)</w:t>
            </w:r>
          </w:p>
        </w:tc>
        <w:tc>
          <w:tcPr>
            <w:tcW w:w="797" w:type="dxa"/>
            <w:shd w:val="clear" w:color="auto" w:fill="auto"/>
            <w:noWrap/>
            <w:hideMark/>
          </w:tcPr>
          <w:p w:rsidR="00787CDD" w:rsidRDefault="00787CDD" w:rsidP="00787CDD">
            <w:pPr>
              <w:spacing w:after="0"/>
            </w:pPr>
            <w:r w:rsidRPr="00F44755">
              <w:rPr>
                <w:rFonts w:ascii="Calibri" w:eastAsia="Times New Roman" w:hAnsi="Calibri" w:cs="Times New Roman"/>
                <w:b/>
                <w:bCs/>
                <w:color w:val="000000"/>
              </w:rPr>
              <w:t>Kadın</w:t>
            </w:r>
          </w:p>
        </w:tc>
        <w:tc>
          <w:tcPr>
            <w:tcW w:w="1046" w:type="dxa"/>
            <w:shd w:val="clear" w:color="auto" w:fill="auto"/>
            <w:noWrap/>
            <w:hideMark/>
          </w:tcPr>
          <w:p w:rsidR="00787CDD" w:rsidRDefault="00787CDD" w:rsidP="00787CDD">
            <w:pPr>
              <w:spacing w:after="0"/>
            </w:pPr>
            <w:r w:rsidRPr="00F44755">
              <w:rPr>
                <w:rFonts w:ascii="Calibri" w:eastAsia="Times New Roman" w:hAnsi="Calibri" w:cs="Times New Roman"/>
                <w:b/>
                <w:bCs/>
                <w:color w:val="000000"/>
              </w:rPr>
              <w:t>Kadın</w:t>
            </w:r>
            <w:r>
              <w:rPr>
                <w:rFonts w:ascii="Calibri" w:eastAsia="Times New Roman" w:hAnsi="Calibri" w:cs="Times New Roman"/>
                <w:b/>
                <w:bCs/>
                <w:color w:val="000000"/>
              </w:rPr>
              <w:t>(%)</w:t>
            </w:r>
          </w:p>
        </w:tc>
        <w:tc>
          <w:tcPr>
            <w:tcW w:w="992" w:type="dxa"/>
            <w:shd w:val="clear" w:color="auto" w:fill="auto"/>
            <w:noWrap/>
            <w:hideMark/>
          </w:tcPr>
          <w:p w:rsidR="00787CDD" w:rsidRDefault="00787CDD" w:rsidP="00787CDD">
            <w:pPr>
              <w:spacing w:after="0"/>
            </w:pPr>
            <w:r w:rsidRPr="00991299">
              <w:rPr>
                <w:rFonts w:ascii="Calibri" w:eastAsia="Times New Roman" w:hAnsi="Calibri" w:cs="Times New Roman"/>
                <w:b/>
                <w:bCs/>
                <w:color w:val="000000"/>
              </w:rPr>
              <w:t>Toplam</w:t>
            </w:r>
          </w:p>
        </w:tc>
        <w:tc>
          <w:tcPr>
            <w:tcW w:w="1276" w:type="dxa"/>
            <w:shd w:val="clear" w:color="auto" w:fill="auto"/>
            <w:noWrap/>
            <w:hideMark/>
          </w:tcPr>
          <w:p w:rsidR="00787CDD" w:rsidRPr="00787CDD" w:rsidRDefault="00787CDD" w:rsidP="00787CDD">
            <w:pPr>
              <w:spacing w:after="0"/>
              <w:rPr>
                <w:rFonts w:ascii="Calibri" w:eastAsia="Times New Roman" w:hAnsi="Calibri" w:cs="Times New Roman"/>
                <w:b/>
                <w:bCs/>
                <w:color w:val="000000"/>
              </w:rPr>
            </w:pPr>
            <w:r w:rsidRPr="00991299">
              <w:rPr>
                <w:rFonts w:ascii="Calibri" w:eastAsia="Times New Roman" w:hAnsi="Calibri" w:cs="Times New Roman"/>
                <w:b/>
                <w:bCs/>
                <w:color w:val="000000"/>
              </w:rPr>
              <w:t>Toplam</w:t>
            </w:r>
            <w:r>
              <w:rPr>
                <w:rFonts w:ascii="Calibri" w:eastAsia="Times New Roman" w:hAnsi="Calibri" w:cs="Times New Roman"/>
                <w:b/>
                <w:bCs/>
                <w:color w:val="000000"/>
              </w:rPr>
              <w:t>(%)</w:t>
            </w:r>
          </w:p>
        </w:tc>
      </w:tr>
      <w:tr w:rsidR="00B840FC" w:rsidRPr="007E7896" w:rsidTr="00787CDD">
        <w:trPr>
          <w:trHeight w:val="312"/>
        </w:trPr>
        <w:tc>
          <w:tcPr>
            <w:tcW w:w="2886" w:type="dxa"/>
            <w:shd w:val="clear" w:color="auto" w:fill="auto"/>
            <w:noWrap/>
            <w:vAlign w:val="bottom"/>
            <w:hideMark/>
          </w:tcPr>
          <w:p w:rsidR="00B840FC" w:rsidRPr="007E7896" w:rsidRDefault="00B840FC" w:rsidP="00D671C8">
            <w:pPr>
              <w:spacing w:after="0" w:line="240" w:lineRule="auto"/>
              <w:rPr>
                <w:rFonts w:ascii="Calibri" w:eastAsia="Times New Roman" w:hAnsi="Calibri" w:cs="Times New Roman"/>
                <w:b/>
                <w:bCs/>
                <w:color w:val="000000"/>
              </w:rPr>
            </w:pPr>
            <w:r w:rsidRPr="007E7896">
              <w:rPr>
                <w:rFonts w:ascii="Calibri" w:eastAsia="Times New Roman" w:hAnsi="Calibri" w:cs="Times New Roman"/>
                <w:b/>
                <w:bCs/>
                <w:color w:val="000000"/>
              </w:rPr>
              <w:t>Bir okul bitirmeyen</w:t>
            </w:r>
          </w:p>
        </w:tc>
        <w:tc>
          <w:tcPr>
            <w:tcW w:w="915"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7E7896">
              <w:rPr>
                <w:rFonts w:ascii="Calibri" w:eastAsia="Times New Roman" w:hAnsi="Calibri" w:cs="Times New Roman"/>
                <w:color w:val="000000"/>
              </w:rPr>
              <w:t>616</w:t>
            </w:r>
          </w:p>
        </w:tc>
        <w:tc>
          <w:tcPr>
            <w:tcW w:w="1034"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3</w:t>
            </w:r>
          </w:p>
        </w:tc>
        <w:tc>
          <w:tcPr>
            <w:tcW w:w="797"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779</w:t>
            </w:r>
          </w:p>
        </w:tc>
        <w:tc>
          <w:tcPr>
            <w:tcW w:w="104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2</w:t>
            </w:r>
          </w:p>
        </w:tc>
        <w:tc>
          <w:tcPr>
            <w:tcW w:w="992"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7E7896">
              <w:rPr>
                <w:rFonts w:ascii="Calibri" w:eastAsia="Times New Roman" w:hAnsi="Calibri" w:cs="Times New Roman"/>
                <w:color w:val="000000"/>
              </w:rPr>
              <w:t>395</w:t>
            </w:r>
          </w:p>
        </w:tc>
        <w:tc>
          <w:tcPr>
            <w:tcW w:w="127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Pr="007E7896">
              <w:rPr>
                <w:rFonts w:ascii="Calibri" w:eastAsia="Times New Roman" w:hAnsi="Calibri" w:cs="Times New Roman"/>
                <w:color w:val="000000"/>
              </w:rPr>
              <w:t>3</w:t>
            </w:r>
          </w:p>
        </w:tc>
      </w:tr>
      <w:tr w:rsidR="00B840FC" w:rsidRPr="007E7896" w:rsidTr="00787CDD">
        <w:trPr>
          <w:trHeight w:val="312"/>
        </w:trPr>
        <w:tc>
          <w:tcPr>
            <w:tcW w:w="2886" w:type="dxa"/>
            <w:shd w:val="clear" w:color="auto" w:fill="auto"/>
            <w:noWrap/>
            <w:vAlign w:val="bottom"/>
            <w:hideMark/>
          </w:tcPr>
          <w:p w:rsidR="00B840FC" w:rsidRPr="007E7896" w:rsidRDefault="00B840FC" w:rsidP="00D671C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İ</w:t>
            </w:r>
            <w:r w:rsidRPr="007E7896">
              <w:rPr>
                <w:rFonts w:ascii="Calibri" w:eastAsia="Times New Roman" w:hAnsi="Calibri" w:cs="Times New Roman"/>
                <w:b/>
                <w:bCs/>
                <w:color w:val="000000"/>
              </w:rPr>
              <w:t>lköğretim</w:t>
            </w:r>
          </w:p>
        </w:tc>
        <w:tc>
          <w:tcPr>
            <w:tcW w:w="915"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r w:rsidRPr="007E7896">
              <w:rPr>
                <w:rFonts w:ascii="Calibri" w:eastAsia="Times New Roman" w:hAnsi="Calibri" w:cs="Times New Roman"/>
                <w:color w:val="000000"/>
              </w:rPr>
              <w:t>109</w:t>
            </w:r>
          </w:p>
        </w:tc>
        <w:tc>
          <w:tcPr>
            <w:tcW w:w="1034"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r w:rsidRPr="007E7896">
              <w:rPr>
                <w:rFonts w:ascii="Calibri" w:eastAsia="Times New Roman" w:hAnsi="Calibri" w:cs="Times New Roman"/>
                <w:color w:val="000000"/>
              </w:rPr>
              <w:t>6</w:t>
            </w:r>
          </w:p>
        </w:tc>
        <w:tc>
          <w:tcPr>
            <w:tcW w:w="797"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Pr="007E7896">
              <w:rPr>
                <w:rFonts w:ascii="Calibri" w:eastAsia="Times New Roman" w:hAnsi="Calibri" w:cs="Times New Roman"/>
                <w:color w:val="000000"/>
              </w:rPr>
              <w:t>714</w:t>
            </w:r>
          </w:p>
        </w:tc>
        <w:tc>
          <w:tcPr>
            <w:tcW w:w="104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sidRPr="007E7896">
              <w:rPr>
                <w:rFonts w:ascii="Calibri" w:eastAsia="Times New Roman" w:hAnsi="Calibri" w:cs="Times New Roman"/>
                <w:color w:val="000000"/>
              </w:rPr>
              <w:t>1</w:t>
            </w:r>
          </w:p>
        </w:tc>
        <w:tc>
          <w:tcPr>
            <w:tcW w:w="992"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r w:rsidRPr="007E7896">
              <w:rPr>
                <w:rFonts w:ascii="Calibri" w:eastAsia="Times New Roman" w:hAnsi="Calibri" w:cs="Times New Roman"/>
                <w:color w:val="000000"/>
              </w:rPr>
              <w:t>823</w:t>
            </w:r>
          </w:p>
        </w:tc>
        <w:tc>
          <w:tcPr>
            <w:tcW w:w="127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r w:rsidRPr="007E7896">
              <w:rPr>
                <w:rFonts w:ascii="Calibri" w:eastAsia="Times New Roman" w:hAnsi="Calibri" w:cs="Times New Roman"/>
                <w:color w:val="000000"/>
              </w:rPr>
              <w:t>1</w:t>
            </w:r>
          </w:p>
        </w:tc>
      </w:tr>
      <w:tr w:rsidR="00B840FC" w:rsidRPr="007E7896" w:rsidTr="00787CDD">
        <w:trPr>
          <w:trHeight w:val="312"/>
        </w:trPr>
        <w:tc>
          <w:tcPr>
            <w:tcW w:w="2886" w:type="dxa"/>
            <w:shd w:val="clear" w:color="auto" w:fill="auto"/>
            <w:noWrap/>
            <w:vAlign w:val="bottom"/>
            <w:hideMark/>
          </w:tcPr>
          <w:p w:rsidR="00B840FC" w:rsidRPr="007E7896" w:rsidRDefault="00B840FC" w:rsidP="00D671C8">
            <w:pPr>
              <w:spacing w:after="0" w:line="240" w:lineRule="auto"/>
              <w:rPr>
                <w:rFonts w:ascii="Calibri" w:eastAsia="Times New Roman" w:hAnsi="Calibri" w:cs="Times New Roman"/>
                <w:b/>
                <w:bCs/>
                <w:color w:val="000000"/>
              </w:rPr>
            </w:pPr>
            <w:r w:rsidRPr="007E7896">
              <w:rPr>
                <w:rFonts w:ascii="Calibri" w:eastAsia="Times New Roman" w:hAnsi="Calibri" w:cs="Times New Roman"/>
                <w:b/>
                <w:bCs/>
                <w:color w:val="000000"/>
              </w:rPr>
              <w:t>Genel lise</w:t>
            </w:r>
          </w:p>
        </w:tc>
        <w:tc>
          <w:tcPr>
            <w:tcW w:w="915"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7E7896">
              <w:rPr>
                <w:rFonts w:ascii="Calibri" w:eastAsia="Times New Roman" w:hAnsi="Calibri" w:cs="Times New Roman"/>
                <w:color w:val="000000"/>
              </w:rPr>
              <w:t>617</w:t>
            </w:r>
          </w:p>
        </w:tc>
        <w:tc>
          <w:tcPr>
            <w:tcW w:w="1034"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Pr="007E7896">
              <w:rPr>
                <w:rFonts w:ascii="Calibri" w:eastAsia="Times New Roman" w:hAnsi="Calibri" w:cs="Times New Roman"/>
                <w:color w:val="000000"/>
              </w:rPr>
              <w:t>5</w:t>
            </w:r>
          </w:p>
        </w:tc>
        <w:tc>
          <w:tcPr>
            <w:tcW w:w="797"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401</w:t>
            </w:r>
          </w:p>
        </w:tc>
        <w:tc>
          <w:tcPr>
            <w:tcW w:w="104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Pr="007E7896">
              <w:rPr>
                <w:rFonts w:ascii="Calibri" w:eastAsia="Times New Roman" w:hAnsi="Calibri" w:cs="Times New Roman"/>
                <w:color w:val="000000"/>
              </w:rPr>
              <w:t>0</w:t>
            </w:r>
          </w:p>
        </w:tc>
        <w:tc>
          <w:tcPr>
            <w:tcW w:w="992"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7E7896">
              <w:rPr>
                <w:rFonts w:ascii="Calibri" w:eastAsia="Times New Roman" w:hAnsi="Calibri" w:cs="Times New Roman"/>
                <w:color w:val="000000"/>
              </w:rPr>
              <w:t>018</w:t>
            </w:r>
          </w:p>
        </w:tc>
        <w:tc>
          <w:tcPr>
            <w:tcW w:w="127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Pr="007E7896">
              <w:rPr>
                <w:rFonts w:ascii="Calibri" w:eastAsia="Times New Roman" w:hAnsi="Calibri" w:cs="Times New Roman"/>
                <w:color w:val="000000"/>
              </w:rPr>
              <w:t>6</w:t>
            </w:r>
          </w:p>
        </w:tc>
      </w:tr>
      <w:tr w:rsidR="00B840FC" w:rsidRPr="007E7896" w:rsidTr="00787CDD">
        <w:trPr>
          <w:trHeight w:val="312"/>
        </w:trPr>
        <w:tc>
          <w:tcPr>
            <w:tcW w:w="2886" w:type="dxa"/>
            <w:shd w:val="clear" w:color="auto" w:fill="auto"/>
            <w:noWrap/>
            <w:vAlign w:val="bottom"/>
            <w:hideMark/>
          </w:tcPr>
          <w:p w:rsidR="00B840FC" w:rsidRPr="007E7896" w:rsidRDefault="00B840FC" w:rsidP="00D671C8">
            <w:pPr>
              <w:spacing w:after="0" w:line="240" w:lineRule="auto"/>
              <w:rPr>
                <w:rFonts w:ascii="Calibri" w:eastAsia="Times New Roman" w:hAnsi="Calibri" w:cs="Times New Roman"/>
                <w:b/>
                <w:bCs/>
                <w:color w:val="000000"/>
              </w:rPr>
            </w:pPr>
            <w:r w:rsidRPr="007E7896">
              <w:rPr>
                <w:rFonts w:ascii="Calibri" w:eastAsia="Times New Roman" w:hAnsi="Calibri" w:cs="Times New Roman"/>
                <w:b/>
                <w:bCs/>
                <w:color w:val="000000"/>
              </w:rPr>
              <w:t>Mesleki veya teknik lise</w:t>
            </w:r>
          </w:p>
        </w:tc>
        <w:tc>
          <w:tcPr>
            <w:tcW w:w="915"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239</w:t>
            </w:r>
          </w:p>
        </w:tc>
        <w:tc>
          <w:tcPr>
            <w:tcW w:w="1034"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7E7896">
              <w:rPr>
                <w:rFonts w:ascii="Calibri" w:eastAsia="Times New Roman" w:hAnsi="Calibri" w:cs="Times New Roman"/>
                <w:color w:val="000000"/>
              </w:rPr>
              <w:t>7</w:t>
            </w:r>
          </w:p>
        </w:tc>
        <w:tc>
          <w:tcPr>
            <w:tcW w:w="797"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Pr="007E7896">
              <w:rPr>
                <w:rFonts w:ascii="Calibri" w:eastAsia="Times New Roman" w:hAnsi="Calibri" w:cs="Times New Roman"/>
                <w:color w:val="000000"/>
              </w:rPr>
              <w:t>032</w:t>
            </w:r>
          </w:p>
        </w:tc>
        <w:tc>
          <w:tcPr>
            <w:tcW w:w="104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7E7896">
              <w:rPr>
                <w:rFonts w:ascii="Calibri" w:eastAsia="Times New Roman" w:hAnsi="Calibri" w:cs="Times New Roman"/>
                <w:color w:val="000000"/>
              </w:rPr>
              <w:t>7</w:t>
            </w:r>
          </w:p>
        </w:tc>
        <w:tc>
          <w:tcPr>
            <w:tcW w:w="992"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271</w:t>
            </w:r>
          </w:p>
        </w:tc>
        <w:tc>
          <w:tcPr>
            <w:tcW w:w="127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7E7896">
              <w:rPr>
                <w:rFonts w:ascii="Calibri" w:eastAsia="Times New Roman" w:hAnsi="Calibri" w:cs="Times New Roman"/>
                <w:color w:val="000000"/>
              </w:rPr>
              <w:t>1</w:t>
            </w:r>
          </w:p>
        </w:tc>
      </w:tr>
      <w:tr w:rsidR="00B840FC" w:rsidRPr="007E7896" w:rsidTr="00787CDD">
        <w:trPr>
          <w:trHeight w:val="312"/>
        </w:trPr>
        <w:tc>
          <w:tcPr>
            <w:tcW w:w="2886" w:type="dxa"/>
            <w:shd w:val="clear" w:color="auto" w:fill="auto"/>
            <w:noWrap/>
            <w:vAlign w:val="bottom"/>
            <w:hideMark/>
          </w:tcPr>
          <w:p w:rsidR="00B840FC" w:rsidRPr="007E7896" w:rsidRDefault="00B840FC" w:rsidP="00D671C8">
            <w:pPr>
              <w:spacing w:after="0" w:line="240" w:lineRule="auto"/>
              <w:rPr>
                <w:rFonts w:ascii="Calibri" w:eastAsia="Times New Roman" w:hAnsi="Calibri" w:cs="Times New Roman"/>
                <w:b/>
                <w:bCs/>
                <w:color w:val="000000"/>
              </w:rPr>
            </w:pPr>
            <w:r w:rsidRPr="007E7896">
              <w:rPr>
                <w:rFonts w:ascii="Calibri" w:eastAsia="Times New Roman" w:hAnsi="Calibri" w:cs="Times New Roman"/>
                <w:b/>
                <w:bCs/>
                <w:color w:val="000000"/>
              </w:rPr>
              <w:t>Toplam</w:t>
            </w:r>
          </w:p>
        </w:tc>
        <w:tc>
          <w:tcPr>
            <w:tcW w:w="915"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w:t>
            </w:r>
            <w:r w:rsidRPr="007E7896">
              <w:rPr>
                <w:rFonts w:ascii="Calibri" w:eastAsia="Times New Roman" w:hAnsi="Calibri" w:cs="Times New Roman"/>
                <w:color w:val="000000"/>
              </w:rPr>
              <w:t>581</w:t>
            </w:r>
          </w:p>
        </w:tc>
        <w:tc>
          <w:tcPr>
            <w:tcW w:w="1034"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Pr="007E7896">
              <w:rPr>
                <w:rFonts w:ascii="Calibri" w:eastAsia="Times New Roman" w:hAnsi="Calibri" w:cs="Times New Roman"/>
                <w:color w:val="000000"/>
              </w:rPr>
              <w:t>0</w:t>
            </w:r>
          </w:p>
        </w:tc>
        <w:tc>
          <w:tcPr>
            <w:tcW w:w="797"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r w:rsidRPr="007E7896">
              <w:rPr>
                <w:rFonts w:ascii="Calibri" w:eastAsia="Times New Roman" w:hAnsi="Calibri" w:cs="Times New Roman"/>
                <w:color w:val="000000"/>
              </w:rPr>
              <w:t>926</w:t>
            </w:r>
          </w:p>
        </w:tc>
        <w:tc>
          <w:tcPr>
            <w:tcW w:w="104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Pr="007E7896">
              <w:rPr>
                <w:rFonts w:ascii="Calibri" w:eastAsia="Times New Roman" w:hAnsi="Calibri" w:cs="Times New Roman"/>
                <w:color w:val="000000"/>
              </w:rPr>
              <w:t>0</w:t>
            </w:r>
          </w:p>
        </w:tc>
        <w:tc>
          <w:tcPr>
            <w:tcW w:w="992"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106.</w:t>
            </w:r>
            <w:r w:rsidRPr="007E7896">
              <w:rPr>
                <w:rFonts w:ascii="Calibri" w:eastAsia="Times New Roman" w:hAnsi="Calibri" w:cs="Times New Roman"/>
                <w:color w:val="000000"/>
              </w:rPr>
              <w:t>507</w:t>
            </w:r>
          </w:p>
        </w:tc>
        <w:tc>
          <w:tcPr>
            <w:tcW w:w="1276" w:type="dxa"/>
            <w:shd w:val="clear" w:color="auto" w:fill="auto"/>
            <w:noWrap/>
            <w:vAlign w:val="bottom"/>
            <w:hideMark/>
          </w:tcPr>
          <w:p w:rsidR="00B840FC" w:rsidRPr="007E7896" w:rsidRDefault="00B840FC"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r w:rsidRPr="007E7896">
              <w:rPr>
                <w:rFonts w:ascii="Calibri" w:eastAsia="Times New Roman" w:hAnsi="Calibri" w:cs="Times New Roman"/>
                <w:color w:val="000000"/>
              </w:rPr>
              <w:t>0</w:t>
            </w:r>
          </w:p>
        </w:tc>
      </w:tr>
    </w:tbl>
    <w:p w:rsidR="00F750A1" w:rsidRDefault="00E317EC" w:rsidP="00F21A9E">
      <w:pPr>
        <w:spacing w:after="0" w:line="240" w:lineRule="auto"/>
        <w:rPr>
          <w:sz w:val="18"/>
          <w:szCs w:val="18"/>
        </w:rPr>
      </w:pPr>
      <w:r w:rsidRPr="006F2617">
        <w:rPr>
          <w:sz w:val="18"/>
          <w:szCs w:val="18"/>
        </w:rPr>
        <w:t xml:space="preserve"> </w:t>
      </w:r>
      <w:r w:rsidR="00DA13D3" w:rsidRPr="006F2617">
        <w:rPr>
          <w:sz w:val="18"/>
          <w:szCs w:val="18"/>
        </w:rPr>
        <w:t>Kaynak: 2013 Hanehalkı İşgücü Anketi Mikro Veri Seti, TÜİK; Betam</w:t>
      </w:r>
    </w:p>
    <w:p w:rsidR="00F21A9E" w:rsidRPr="00F21A9E" w:rsidRDefault="00F21A9E" w:rsidP="00F21A9E">
      <w:pPr>
        <w:spacing w:after="0" w:line="240" w:lineRule="auto"/>
        <w:rPr>
          <w:sz w:val="18"/>
          <w:szCs w:val="18"/>
        </w:rPr>
      </w:pPr>
    </w:p>
    <w:p w:rsidR="00F750A1" w:rsidRDefault="00F750A1" w:rsidP="00E40512">
      <w:r>
        <w:t>Tablo 5'teki veriler genç kadınların toplumsal cinsiyet rollerine bağlı geleneksel iş bölümünün bir yansıması olarak işgücü piyasasına uzak durduklarını ortaya koymaktadır. Zira, ev işleriyle meşgul olmaktan veya ailedeki çocuklara veya bakıma muhtaç yetişkinlere bakmaktan dolayı iş aramadıklarını belirten genç kadınların oranının yüzde 74, 2 olduğu görülmektedir.  Özetle, okula devam etmeyen ve işgücü piyasasında olmayan her dört kadından üçünün ev işleri</w:t>
      </w:r>
      <w:r w:rsidR="0058158C">
        <w:t xml:space="preserve"> </w:t>
      </w:r>
      <w:r>
        <w:t xml:space="preserve"> veya ailevi sorumluluklar</w:t>
      </w:r>
      <w:r w:rsidR="0058158C">
        <w:t xml:space="preserve"> gibi gerekçelerle</w:t>
      </w:r>
      <w:r>
        <w:t xml:space="preserve"> işgücü piyasasına girmedikleri görülmektedir.</w:t>
      </w:r>
    </w:p>
    <w:p w:rsidR="00A67D2A" w:rsidRDefault="00A67D2A" w:rsidP="00A67D2A">
      <w:pPr>
        <w:rPr>
          <w:b/>
        </w:rPr>
      </w:pPr>
      <w:r>
        <w:rPr>
          <w:b/>
        </w:rPr>
        <w:t>Bölgesel uçurum kapanmıyor</w:t>
      </w:r>
    </w:p>
    <w:p w:rsidR="00BA211E" w:rsidRDefault="00BA211E" w:rsidP="00A67D2A">
      <w:r>
        <w:t>Hemen her istatistikte olduğu gibi okula devamda da Türkiye'deki bölgeler arasında büyük farklılıklar bulunmaktadır. 2013 yılında Güneydoğu Anadolu Bölgesi'nde okula devam etme oranı  yüzde 51,0'da iken Batı Marmara'da bu oran yüzde 73,7'e ulaşmıştır. Diğer bir deyişle, Doğu bölgelerindeki gençlerin yaklaşık yarısı okula devam ediyor iken Batı bölgelerinde her dört çocuktan üçünün okula devam ettiği görülmektedir.</w:t>
      </w:r>
    </w:p>
    <w:p w:rsidR="00A67D2A" w:rsidRDefault="00A67D2A" w:rsidP="00A67D2A">
      <w:r>
        <w:t xml:space="preserve">Türkiye </w:t>
      </w:r>
      <w:r w:rsidR="00BA211E">
        <w:t>genelinde</w:t>
      </w:r>
      <w:r>
        <w:t xml:space="preserve"> okula devam etme oran</w:t>
      </w:r>
      <w:r w:rsidR="00D765D5">
        <w:t xml:space="preserve">ı 2012'de yüzde </w:t>
      </w:r>
      <w:r w:rsidR="000602B0">
        <w:t>59,9</w:t>
      </w:r>
      <w:r w:rsidR="00D765D5">
        <w:t xml:space="preserve"> iken 2013'te </w:t>
      </w:r>
      <w:r>
        <w:t xml:space="preserve">yüzde 64,8'e yükselmiştir. Eğitime katılım oranları istisnasız tüm bölgelerde artmıştır. En düşük artış Kuzeydoğu Anadolu Bölgesi'nde (yüzde 50,9'dan yüzde 52,8'e), en yüksek artış ise Orta Anadolu Bölgesi'nde (yüzde 55,7'den yüzde 65,2'ye) kaydedilmiştir. Her ne kadar geçen seneye kıyasla okula devam etme oranında yükseliş görülse de bölgesel farklılıkların kapanmadığı göze çarpmaktadır. </w:t>
      </w:r>
      <w:r w:rsidR="00601887">
        <w:t>Okula d</w:t>
      </w:r>
      <w:r w:rsidR="00C14164" w:rsidRPr="00C14164">
        <w:t>evam oranı en yüksek olan bölge ile en düşük olan bölge arasındaki fark 2012 yılında 22,3 yüzde puan iken 2013 yılında 22,7 yüzde puana yükselmiştir. Dolayısıyla, mevcut eğitim politikalarının okula devam etme oranındaki bölgesel farklılıkları azaltmada yetersiz kaldığı göze çarpmaktadır.</w:t>
      </w:r>
    </w:p>
    <w:p w:rsidR="00D671C8" w:rsidRPr="002A51A6" w:rsidRDefault="00D671C8" w:rsidP="00D671C8">
      <w:pPr>
        <w:rPr>
          <w:b/>
        </w:rPr>
      </w:pPr>
      <w:r w:rsidRPr="002A51A6">
        <w:rPr>
          <w:b/>
        </w:rPr>
        <w:t>Net okullaşma oranı</w:t>
      </w:r>
    </w:p>
    <w:p w:rsidR="00D671C8" w:rsidRDefault="00D671C8" w:rsidP="00D671C8">
      <w:r>
        <w:t>Kamuoyunda 4+4+4 olarak bilinen eğitim sistemine geçilmesiyle birlikte 2012-2013 eğitim yılında Türkiye'de zorunlu eğitim 12 yıla çıkarılmıştır. Bu doğrultuda ortaöğretim (lise) çağına tekabül eden 14-17 yaş grubu gençlerin okullaşma oranlarının artırılmasına yönelik önlemler alınmıştır.  Bu önlemlerin 14-17 yaş grubunun okullaşma oranlarını artırmakta ne kadar başarılı olduğunu incelemek için Tablo 8’de MEB örgün eğitim istatistiklerinde bulunan net okullaşma oranları, HİA verileri kullanılarak hesaplanan 14-17 yaş grubu okula devam oranları ile birlikte verilmiştir.</w:t>
      </w:r>
      <w:r w:rsidRPr="00DE4A89">
        <w:rPr>
          <w:rStyle w:val="FootnoteReference"/>
        </w:rPr>
        <w:t xml:space="preserve"> </w:t>
      </w:r>
      <w:r>
        <w:rPr>
          <w:rStyle w:val="FootnoteReference"/>
        </w:rPr>
        <w:footnoteReference w:id="6"/>
      </w:r>
      <w:r>
        <w:t xml:space="preserve"> Yukarıda açıklandığı gibi MEB ise çağ grubundaki bireylerin eğitim sistemine kayıtlı olup olmadığını takip etmekte, HİA ise bireylere okula devam edip etmediklerini sormaktadır. </w:t>
      </w:r>
    </w:p>
    <w:p w:rsidR="00536153" w:rsidRPr="00536153" w:rsidRDefault="00536153" w:rsidP="00536153">
      <w:pPr>
        <w:pStyle w:val="Caption"/>
        <w:keepNext/>
        <w:rPr>
          <w:color w:val="auto"/>
          <w:sz w:val="22"/>
          <w:szCs w:val="22"/>
        </w:rPr>
      </w:pPr>
      <w:r>
        <w:rPr>
          <w:color w:val="auto"/>
          <w:sz w:val="22"/>
          <w:szCs w:val="22"/>
        </w:rPr>
        <w:lastRenderedPageBreak/>
        <w:t>Tablo</w:t>
      </w:r>
      <w:r w:rsidRPr="00536153">
        <w:rPr>
          <w:color w:val="auto"/>
          <w:sz w:val="22"/>
          <w:szCs w:val="22"/>
        </w:rPr>
        <w:t xml:space="preserve"> </w:t>
      </w:r>
      <w:r w:rsidRPr="00536153">
        <w:rPr>
          <w:color w:val="auto"/>
          <w:sz w:val="22"/>
          <w:szCs w:val="22"/>
        </w:rPr>
        <w:fldChar w:fldCharType="begin"/>
      </w:r>
      <w:r w:rsidRPr="00536153">
        <w:rPr>
          <w:color w:val="auto"/>
          <w:sz w:val="22"/>
          <w:szCs w:val="22"/>
        </w:rPr>
        <w:instrText xml:space="preserve"> SEQ Table \* ARABIC </w:instrText>
      </w:r>
      <w:r w:rsidRPr="00536153">
        <w:rPr>
          <w:color w:val="auto"/>
          <w:sz w:val="22"/>
          <w:szCs w:val="22"/>
        </w:rPr>
        <w:fldChar w:fldCharType="separate"/>
      </w:r>
      <w:r w:rsidR="002B0766">
        <w:rPr>
          <w:noProof/>
          <w:color w:val="auto"/>
          <w:sz w:val="22"/>
          <w:szCs w:val="22"/>
        </w:rPr>
        <w:t>7</w:t>
      </w:r>
      <w:r w:rsidRPr="00536153">
        <w:rPr>
          <w:color w:val="auto"/>
          <w:sz w:val="22"/>
          <w:szCs w:val="22"/>
        </w:rPr>
        <w:fldChar w:fldCharType="end"/>
      </w:r>
      <w:r w:rsidRPr="00536153">
        <w:rPr>
          <w:color w:val="auto"/>
          <w:sz w:val="22"/>
          <w:szCs w:val="22"/>
        </w:rPr>
        <w:t xml:space="preserve"> Bölgesel ayrımda eğitime devam</w:t>
      </w:r>
    </w:p>
    <w:tbl>
      <w:tblPr>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009"/>
        <w:gridCol w:w="1740"/>
        <w:gridCol w:w="1740"/>
        <w:gridCol w:w="2024"/>
      </w:tblGrid>
      <w:tr w:rsidR="00A67D2A" w:rsidRPr="00EA1617" w:rsidTr="007E4316">
        <w:trPr>
          <w:trHeight w:val="432"/>
        </w:trPr>
        <w:tc>
          <w:tcPr>
            <w:tcW w:w="2009" w:type="dxa"/>
            <w:shd w:val="clear" w:color="auto" w:fill="auto"/>
            <w:noWrap/>
            <w:vAlign w:val="bottom"/>
            <w:hideMark/>
          </w:tcPr>
          <w:p w:rsidR="00A67D2A" w:rsidRPr="00EA1617" w:rsidRDefault="00A67D2A" w:rsidP="008C014C">
            <w:pPr>
              <w:spacing w:after="0" w:line="240" w:lineRule="auto"/>
              <w:jc w:val="center"/>
              <w:rPr>
                <w:rFonts w:ascii="Calibri" w:eastAsia="Times New Roman" w:hAnsi="Calibri" w:cs="Times New Roman"/>
                <w:color w:val="000000"/>
              </w:rPr>
            </w:pPr>
          </w:p>
        </w:tc>
        <w:tc>
          <w:tcPr>
            <w:tcW w:w="1740" w:type="dxa"/>
            <w:shd w:val="clear" w:color="auto" w:fill="auto"/>
            <w:noWrap/>
            <w:vAlign w:val="bottom"/>
            <w:hideMark/>
          </w:tcPr>
          <w:p w:rsidR="00A67D2A" w:rsidRPr="00EA1617" w:rsidRDefault="00A67D2A" w:rsidP="003A509F">
            <w:pPr>
              <w:spacing w:after="0" w:line="240" w:lineRule="auto"/>
              <w:jc w:val="right"/>
              <w:rPr>
                <w:rFonts w:ascii="Calibri" w:eastAsia="Times New Roman" w:hAnsi="Calibri" w:cs="Times New Roman"/>
                <w:b/>
                <w:bCs/>
                <w:color w:val="000000"/>
              </w:rPr>
            </w:pPr>
            <w:r w:rsidRPr="00EA1617">
              <w:rPr>
                <w:rFonts w:ascii="Calibri" w:eastAsia="Times New Roman" w:hAnsi="Calibri" w:cs="Times New Roman"/>
                <w:b/>
                <w:bCs/>
                <w:color w:val="000000"/>
              </w:rPr>
              <w:t>2012</w:t>
            </w:r>
            <w:r w:rsidR="003A509F">
              <w:rPr>
                <w:rFonts w:ascii="Calibri" w:eastAsia="Times New Roman" w:hAnsi="Calibri" w:cs="Times New Roman"/>
                <w:b/>
                <w:bCs/>
                <w:color w:val="000000"/>
              </w:rPr>
              <w:t xml:space="preserve"> </w:t>
            </w:r>
            <w:r w:rsidR="003A509F">
              <w:rPr>
                <w:rFonts w:ascii="Calibri" w:eastAsia="Times New Roman" w:hAnsi="Calibri" w:cs="Times New Roman"/>
                <w:b/>
                <w:bCs/>
                <w:color w:val="000000"/>
              </w:rPr>
              <w:t>(%)</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b/>
                <w:bCs/>
                <w:color w:val="000000"/>
              </w:rPr>
            </w:pPr>
            <w:r w:rsidRPr="00EA1617">
              <w:rPr>
                <w:rFonts w:ascii="Calibri" w:eastAsia="Times New Roman" w:hAnsi="Calibri" w:cs="Times New Roman"/>
                <w:b/>
                <w:bCs/>
                <w:color w:val="000000"/>
              </w:rPr>
              <w:t>2013</w:t>
            </w:r>
            <w:r w:rsidR="003F35FB">
              <w:rPr>
                <w:rFonts w:ascii="Calibri" w:eastAsia="Times New Roman" w:hAnsi="Calibri" w:cs="Times New Roman"/>
                <w:b/>
                <w:bCs/>
                <w:color w:val="000000"/>
              </w:rPr>
              <w:t xml:space="preserve"> </w:t>
            </w:r>
            <w:r w:rsidR="003A509F">
              <w:rPr>
                <w:rFonts w:ascii="Calibri" w:eastAsia="Times New Roman" w:hAnsi="Calibri" w:cs="Times New Roman"/>
                <w:b/>
                <w:bCs/>
                <w:color w:val="000000"/>
              </w:rPr>
              <w:t>(%)</w:t>
            </w:r>
          </w:p>
        </w:tc>
        <w:tc>
          <w:tcPr>
            <w:tcW w:w="2024" w:type="dxa"/>
            <w:shd w:val="clear" w:color="auto" w:fill="auto"/>
            <w:vAlign w:val="bottom"/>
            <w:hideMark/>
          </w:tcPr>
          <w:p w:rsidR="00A67D2A" w:rsidRPr="00EA1617" w:rsidRDefault="00A67D2A" w:rsidP="008C014C">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Fark </w:t>
            </w:r>
            <w:r w:rsidR="003A509F">
              <w:rPr>
                <w:rFonts w:ascii="Calibri" w:eastAsia="Times New Roman" w:hAnsi="Calibri" w:cs="Times New Roman"/>
                <w:b/>
                <w:bCs/>
                <w:color w:val="000000"/>
              </w:rPr>
              <w:t xml:space="preserve">(% </w:t>
            </w:r>
            <w:r w:rsidRPr="00EA1617">
              <w:rPr>
                <w:rFonts w:ascii="Calibri" w:eastAsia="Times New Roman" w:hAnsi="Calibri" w:cs="Times New Roman"/>
                <w:b/>
                <w:bCs/>
                <w:color w:val="000000"/>
              </w:rPr>
              <w:t>puan)</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Güneydoğu Anadolu</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45</w:t>
            </w:r>
            <w:r>
              <w:rPr>
                <w:rFonts w:ascii="Calibri" w:eastAsia="Times New Roman" w:hAnsi="Calibri" w:cs="Times New Roman"/>
                <w:color w:val="000000"/>
              </w:rPr>
              <w:t>,</w:t>
            </w:r>
            <w:r w:rsidRPr="00EA1617">
              <w:rPr>
                <w:rFonts w:ascii="Calibri" w:eastAsia="Times New Roman" w:hAnsi="Calibri" w:cs="Times New Roman"/>
                <w:color w:val="000000"/>
              </w:rPr>
              <w:t>6</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51</w:t>
            </w:r>
            <w:r>
              <w:rPr>
                <w:rFonts w:ascii="Calibri" w:eastAsia="Times New Roman" w:hAnsi="Calibri" w:cs="Times New Roman"/>
                <w:color w:val="000000"/>
              </w:rPr>
              <w:t>,</w:t>
            </w:r>
            <w:r w:rsidRPr="00EA1617">
              <w:rPr>
                <w:rFonts w:ascii="Calibri" w:eastAsia="Times New Roman" w:hAnsi="Calibri" w:cs="Times New Roman"/>
                <w:color w:val="000000"/>
              </w:rPr>
              <w:t>0</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w:t>
            </w:r>
            <w:r>
              <w:rPr>
                <w:rFonts w:ascii="Calibri" w:eastAsia="Times New Roman" w:hAnsi="Calibri" w:cs="Times New Roman"/>
                <w:color w:val="000000"/>
              </w:rPr>
              <w:t>,</w:t>
            </w:r>
            <w:r w:rsidRPr="00EA1617">
              <w:rPr>
                <w:rFonts w:ascii="Calibri" w:eastAsia="Times New Roman" w:hAnsi="Calibri" w:cs="Times New Roman"/>
                <w:color w:val="000000"/>
              </w:rPr>
              <w:t>44</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Ortadoğu Anadolu</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48</w:t>
            </w:r>
            <w:r>
              <w:rPr>
                <w:rFonts w:ascii="Calibri" w:eastAsia="Times New Roman" w:hAnsi="Calibri" w:cs="Times New Roman"/>
                <w:color w:val="000000"/>
              </w:rPr>
              <w:t>,</w:t>
            </w:r>
            <w:r w:rsidRPr="00EA1617">
              <w:rPr>
                <w:rFonts w:ascii="Calibri" w:eastAsia="Times New Roman" w:hAnsi="Calibri" w:cs="Times New Roman"/>
                <w:color w:val="000000"/>
              </w:rPr>
              <w:t>1</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52</w:t>
            </w:r>
            <w:r>
              <w:rPr>
                <w:rFonts w:ascii="Calibri" w:eastAsia="Times New Roman" w:hAnsi="Calibri" w:cs="Times New Roman"/>
                <w:color w:val="000000"/>
              </w:rPr>
              <w:t>,</w:t>
            </w:r>
            <w:r w:rsidRPr="00EA1617">
              <w:rPr>
                <w:rFonts w:ascii="Calibri" w:eastAsia="Times New Roman" w:hAnsi="Calibri" w:cs="Times New Roman"/>
                <w:color w:val="000000"/>
              </w:rPr>
              <w:t>3</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25</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Kuzeydoğu Anadolu</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50</w:t>
            </w:r>
            <w:r>
              <w:rPr>
                <w:rFonts w:ascii="Calibri" w:eastAsia="Times New Roman" w:hAnsi="Calibri" w:cs="Times New Roman"/>
                <w:color w:val="000000"/>
              </w:rPr>
              <w:t>,</w:t>
            </w:r>
            <w:r w:rsidRPr="00EA1617">
              <w:rPr>
                <w:rFonts w:ascii="Calibri" w:eastAsia="Times New Roman" w:hAnsi="Calibri" w:cs="Times New Roman"/>
                <w:color w:val="000000"/>
              </w:rPr>
              <w:t>9</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52</w:t>
            </w:r>
            <w:r>
              <w:rPr>
                <w:rFonts w:ascii="Calibri" w:eastAsia="Times New Roman" w:hAnsi="Calibri" w:cs="Times New Roman"/>
                <w:color w:val="000000"/>
              </w:rPr>
              <w:t>,</w:t>
            </w:r>
            <w:r w:rsidRPr="00EA1617">
              <w:rPr>
                <w:rFonts w:ascii="Calibri" w:eastAsia="Times New Roman" w:hAnsi="Calibri" w:cs="Times New Roman"/>
                <w:color w:val="000000"/>
              </w:rPr>
              <w:t>8</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1</w:t>
            </w:r>
            <w:r>
              <w:rPr>
                <w:rFonts w:ascii="Calibri" w:eastAsia="Times New Roman" w:hAnsi="Calibri" w:cs="Times New Roman"/>
                <w:color w:val="000000"/>
              </w:rPr>
              <w:t>,</w:t>
            </w:r>
            <w:r w:rsidRPr="00EA1617">
              <w:rPr>
                <w:rFonts w:ascii="Calibri" w:eastAsia="Times New Roman" w:hAnsi="Calibri" w:cs="Times New Roman"/>
                <w:color w:val="000000"/>
              </w:rPr>
              <w:t>93</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Orta Anadolu</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55</w:t>
            </w:r>
            <w:r>
              <w:rPr>
                <w:rFonts w:ascii="Calibri" w:eastAsia="Times New Roman" w:hAnsi="Calibri" w:cs="Times New Roman"/>
                <w:color w:val="000000"/>
              </w:rPr>
              <w:t>,</w:t>
            </w:r>
            <w:r w:rsidRPr="00EA1617">
              <w:rPr>
                <w:rFonts w:ascii="Calibri" w:eastAsia="Times New Roman" w:hAnsi="Calibri" w:cs="Times New Roman"/>
                <w:color w:val="000000"/>
              </w:rPr>
              <w:t>7</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65</w:t>
            </w:r>
            <w:r>
              <w:rPr>
                <w:rFonts w:ascii="Calibri" w:eastAsia="Times New Roman" w:hAnsi="Calibri" w:cs="Times New Roman"/>
                <w:color w:val="000000"/>
              </w:rPr>
              <w:t>,</w:t>
            </w:r>
            <w:r w:rsidRPr="00EA1617">
              <w:rPr>
                <w:rFonts w:ascii="Calibri" w:eastAsia="Times New Roman" w:hAnsi="Calibri" w:cs="Times New Roman"/>
                <w:color w:val="000000"/>
              </w:rPr>
              <w:t>2</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9</w:t>
            </w:r>
            <w:r>
              <w:rPr>
                <w:rFonts w:ascii="Calibri" w:eastAsia="Times New Roman" w:hAnsi="Calibri" w:cs="Times New Roman"/>
                <w:color w:val="000000"/>
              </w:rPr>
              <w:t>,</w:t>
            </w:r>
            <w:r w:rsidRPr="00EA1617">
              <w:rPr>
                <w:rFonts w:ascii="Calibri" w:eastAsia="Times New Roman" w:hAnsi="Calibri" w:cs="Times New Roman"/>
                <w:color w:val="000000"/>
              </w:rPr>
              <w:t>46</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Akdeniz</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61</w:t>
            </w:r>
            <w:r>
              <w:rPr>
                <w:rFonts w:ascii="Calibri" w:eastAsia="Times New Roman" w:hAnsi="Calibri" w:cs="Times New Roman"/>
                <w:color w:val="000000"/>
              </w:rPr>
              <w:t>,</w:t>
            </w:r>
            <w:r w:rsidRPr="00EA1617">
              <w:rPr>
                <w:rFonts w:ascii="Calibri" w:eastAsia="Times New Roman" w:hAnsi="Calibri" w:cs="Times New Roman"/>
                <w:color w:val="000000"/>
              </w:rPr>
              <w:t>9</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66</w:t>
            </w:r>
            <w:r>
              <w:rPr>
                <w:rFonts w:ascii="Calibri" w:eastAsia="Times New Roman" w:hAnsi="Calibri" w:cs="Times New Roman"/>
                <w:color w:val="000000"/>
              </w:rPr>
              <w:t>,</w:t>
            </w:r>
            <w:r w:rsidRPr="00EA1617">
              <w:rPr>
                <w:rFonts w:ascii="Calibri" w:eastAsia="Times New Roman" w:hAnsi="Calibri" w:cs="Times New Roman"/>
                <w:color w:val="000000"/>
              </w:rPr>
              <w:t>0</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09</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Karadeniz</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61</w:t>
            </w:r>
            <w:r>
              <w:rPr>
                <w:rFonts w:ascii="Calibri" w:eastAsia="Times New Roman" w:hAnsi="Calibri" w:cs="Times New Roman"/>
                <w:color w:val="000000"/>
              </w:rPr>
              <w:t>,</w:t>
            </w:r>
            <w:r w:rsidRPr="00EA1617">
              <w:rPr>
                <w:rFonts w:ascii="Calibri" w:eastAsia="Times New Roman" w:hAnsi="Calibri" w:cs="Times New Roman"/>
                <w:color w:val="000000"/>
              </w:rPr>
              <w:t>3</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66</w:t>
            </w:r>
            <w:r>
              <w:rPr>
                <w:rFonts w:ascii="Calibri" w:eastAsia="Times New Roman" w:hAnsi="Calibri" w:cs="Times New Roman"/>
                <w:color w:val="000000"/>
              </w:rPr>
              <w:t>,</w:t>
            </w:r>
            <w:r w:rsidRPr="00EA1617">
              <w:rPr>
                <w:rFonts w:ascii="Calibri" w:eastAsia="Times New Roman" w:hAnsi="Calibri" w:cs="Times New Roman"/>
                <w:color w:val="000000"/>
              </w:rPr>
              <w:t>3</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96</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Ege</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63</w:t>
            </w:r>
            <w:r>
              <w:rPr>
                <w:rFonts w:ascii="Calibri" w:eastAsia="Times New Roman" w:hAnsi="Calibri" w:cs="Times New Roman"/>
                <w:color w:val="000000"/>
              </w:rPr>
              <w:t>,</w:t>
            </w:r>
            <w:r w:rsidRPr="00EA1617">
              <w:rPr>
                <w:rFonts w:ascii="Calibri" w:eastAsia="Times New Roman" w:hAnsi="Calibri" w:cs="Times New Roman"/>
                <w:color w:val="000000"/>
              </w:rPr>
              <w:t>6</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68</w:t>
            </w:r>
            <w:r>
              <w:rPr>
                <w:rFonts w:ascii="Calibri" w:eastAsia="Times New Roman" w:hAnsi="Calibri" w:cs="Times New Roman"/>
                <w:color w:val="000000"/>
              </w:rPr>
              <w:t>,</w:t>
            </w:r>
            <w:r w:rsidRPr="00EA1617">
              <w:rPr>
                <w:rFonts w:ascii="Calibri" w:eastAsia="Times New Roman" w:hAnsi="Calibri" w:cs="Times New Roman"/>
                <w:color w:val="000000"/>
              </w:rPr>
              <w:t>3</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70</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Doğu Karadeniz</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63</w:t>
            </w:r>
            <w:r>
              <w:rPr>
                <w:rFonts w:ascii="Calibri" w:eastAsia="Times New Roman" w:hAnsi="Calibri" w:cs="Times New Roman"/>
                <w:color w:val="000000"/>
              </w:rPr>
              <w:t>,</w:t>
            </w:r>
            <w:r w:rsidRPr="00EA1617">
              <w:rPr>
                <w:rFonts w:ascii="Calibri" w:eastAsia="Times New Roman" w:hAnsi="Calibri" w:cs="Times New Roman"/>
                <w:color w:val="000000"/>
              </w:rPr>
              <w:t>4</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70</w:t>
            </w:r>
            <w:r>
              <w:rPr>
                <w:rFonts w:ascii="Calibri" w:eastAsia="Times New Roman" w:hAnsi="Calibri" w:cs="Times New Roman"/>
                <w:color w:val="000000"/>
              </w:rPr>
              <w:t>,</w:t>
            </w:r>
            <w:r w:rsidRPr="00EA1617">
              <w:rPr>
                <w:rFonts w:ascii="Calibri" w:eastAsia="Times New Roman" w:hAnsi="Calibri" w:cs="Times New Roman"/>
                <w:color w:val="000000"/>
              </w:rPr>
              <w:t>5</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w:t>
            </w:r>
            <w:r>
              <w:rPr>
                <w:rFonts w:ascii="Calibri" w:eastAsia="Times New Roman" w:hAnsi="Calibri" w:cs="Times New Roman"/>
                <w:color w:val="000000"/>
              </w:rPr>
              <w:t>,</w:t>
            </w:r>
            <w:r w:rsidRPr="00EA1617">
              <w:rPr>
                <w:rFonts w:ascii="Calibri" w:eastAsia="Times New Roman" w:hAnsi="Calibri" w:cs="Times New Roman"/>
                <w:color w:val="000000"/>
              </w:rPr>
              <w:t>10</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Anadolu</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64</w:t>
            </w:r>
            <w:r>
              <w:rPr>
                <w:rFonts w:ascii="Calibri" w:eastAsia="Times New Roman" w:hAnsi="Calibri" w:cs="Times New Roman"/>
                <w:color w:val="000000"/>
              </w:rPr>
              <w:t>,</w:t>
            </w:r>
            <w:r w:rsidRPr="00EA1617">
              <w:rPr>
                <w:rFonts w:ascii="Calibri" w:eastAsia="Times New Roman" w:hAnsi="Calibri" w:cs="Times New Roman"/>
                <w:color w:val="000000"/>
              </w:rPr>
              <w:t>2</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70</w:t>
            </w:r>
            <w:r>
              <w:rPr>
                <w:rFonts w:ascii="Calibri" w:eastAsia="Times New Roman" w:hAnsi="Calibri" w:cs="Times New Roman"/>
                <w:color w:val="000000"/>
              </w:rPr>
              <w:t>,</w:t>
            </w:r>
            <w:r w:rsidRPr="00EA1617">
              <w:rPr>
                <w:rFonts w:ascii="Calibri" w:eastAsia="Times New Roman" w:hAnsi="Calibri" w:cs="Times New Roman"/>
                <w:color w:val="000000"/>
              </w:rPr>
              <w:t>7</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w:t>
            </w:r>
            <w:r>
              <w:rPr>
                <w:rFonts w:ascii="Calibri" w:eastAsia="Times New Roman" w:hAnsi="Calibri" w:cs="Times New Roman"/>
                <w:color w:val="000000"/>
              </w:rPr>
              <w:t>,</w:t>
            </w:r>
            <w:r w:rsidRPr="00EA1617">
              <w:rPr>
                <w:rFonts w:ascii="Calibri" w:eastAsia="Times New Roman" w:hAnsi="Calibri" w:cs="Times New Roman"/>
                <w:color w:val="000000"/>
              </w:rPr>
              <w:t>46</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İstanbul</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67</w:t>
            </w:r>
            <w:r>
              <w:rPr>
                <w:rFonts w:ascii="Calibri" w:eastAsia="Times New Roman" w:hAnsi="Calibri" w:cs="Times New Roman"/>
                <w:color w:val="000000"/>
              </w:rPr>
              <w:t>,</w:t>
            </w:r>
            <w:r w:rsidRPr="00EA1617">
              <w:rPr>
                <w:rFonts w:ascii="Calibri" w:eastAsia="Times New Roman" w:hAnsi="Calibri" w:cs="Times New Roman"/>
                <w:color w:val="000000"/>
              </w:rPr>
              <w:t>9</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70</w:t>
            </w:r>
            <w:r>
              <w:rPr>
                <w:rFonts w:ascii="Calibri" w:eastAsia="Times New Roman" w:hAnsi="Calibri" w:cs="Times New Roman"/>
                <w:color w:val="000000"/>
              </w:rPr>
              <w:t>,</w:t>
            </w:r>
            <w:r w:rsidRPr="00EA1617">
              <w:rPr>
                <w:rFonts w:ascii="Calibri" w:eastAsia="Times New Roman" w:hAnsi="Calibri" w:cs="Times New Roman"/>
                <w:color w:val="000000"/>
              </w:rPr>
              <w:t>8</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2</w:t>
            </w:r>
            <w:r>
              <w:rPr>
                <w:rFonts w:ascii="Calibri" w:eastAsia="Times New Roman" w:hAnsi="Calibri" w:cs="Times New Roman"/>
                <w:color w:val="000000"/>
              </w:rPr>
              <w:t>,</w:t>
            </w:r>
            <w:r w:rsidRPr="00EA1617">
              <w:rPr>
                <w:rFonts w:ascii="Calibri" w:eastAsia="Times New Roman" w:hAnsi="Calibri" w:cs="Times New Roman"/>
                <w:color w:val="000000"/>
              </w:rPr>
              <w:t>82</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Doğu Marmara</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67</w:t>
            </w:r>
            <w:r>
              <w:rPr>
                <w:rFonts w:ascii="Calibri" w:eastAsia="Times New Roman" w:hAnsi="Calibri" w:cs="Times New Roman"/>
                <w:color w:val="000000"/>
              </w:rPr>
              <w:t>,</w:t>
            </w:r>
            <w:r w:rsidRPr="00EA1617">
              <w:rPr>
                <w:rFonts w:ascii="Calibri" w:eastAsia="Times New Roman" w:hAnsi="Calibri" w:cs="Times New Roman"/>
                <w:color w:val="000000"/>
              </w:rPr>
              <w:t>8</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72</w:t>
            </w:r>
            <w:r>
              <w:rPr>
                <w:rFonts w:ascii="Calibri" w:eastAsia="Times New Roman" w:hAnsi="Calibri" w:cs="Times New Roman"/>
                <w:color w:val="000000"/>
              </w:rPr>
              <w:t>,</w:t>
            </w:r>
            <w:r w:rsidRPr="00EA1617">
              <w:rPr>
                <w:rFonts w:ascii="Calibri" w:eastAsia="Times New Roman" w:hAnsi="Calibri" w:cs="Times New Roman"/>
                <w:color w:val="000000"/>
              </w:rPr>
              <w:t>4</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62</w:t>
            </w:r>
          </w:p>
        </w:tc>
      </w:tr>
      <w:tr w:rsidR="00A67D2A" w:rsidRPr="00EA1617" w:rsidTr="0055206E">
        <w:trPr>
          <w:trHeight w:val="313"/>
        </w:trPr>
        <w:tc>
          <w:tcPr>
            <w:tcW w:w="2009" w:type="dxa"/>
            <w:shd w:val="clear" w:color="auto" w:fill="auto"/>
            <w:noWrap/>
            <w:vAlign w:val="bottom"/>
            <w:hideMark/>
          </w:tcPr>
          <w:p w:rsidR="00A67D2A" w:rsidRPr="00EA1617" w:rsidRDefault="00A67D2A" w:rsidP="008C014C">
            <w:pPr>
              <w:spacing w:after="0" w:line="240" w:lineRule="auto"/>
              <w:rPr>
                <w:rFonts w:ascii="Calibri" w:eastAsia="Times New Roman" w:hAnsi="Calibri" w:cs="Times New Roman"/>
                <w:b/>
                <w:bCs/>
                <w:color w:val="000000"/>
              </w:rPr>
            </w:pPr>
            <w:r w:rsidRPr="00EA1617">
              <w:rPr>
                <w:rFonts w:ascii="Calibri" w:eastAsia="Times New Roman" w:hAnsi="Calibri" w:cs="Times New Roman"/>
                <w:b/>
                <w:bCs/>
                <w:color w:val="000000"/>
              </w:rPr>
              <w:t>Batı Marmara</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67</w:t>
            </w:r>
            <w:r>
              <w:rPr>
                <w:rFonts w:ascii="Calibri" w:eastAsia="Times New Roman" w:hAnsi="Calibri" w:cs="Times New Roman"/>
                <w:color w:val="000000"/>
              </w:rPr>
              <w:t>,</w:t>
            </w:r>
            <w:r w:rsidRPr="00EA1617">
              <w:rPr>
                <w:rFonts w:ascii="Calibri" w:eastAsia="Times New Roman" w:hAnsi="Calibri" w:cs="Times New Roman"/>
                <w:color w:val="000000"/>
              </w:rPr>
              <w:t>4</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73</w:t>
            </w:r>
            <w:r>
              <w:rPr>
                <w:rFonts w:ascii="Calibri" w:eastAsia="Times New Roman" w:hAnsi="Calibri" w:cs="Times New Roman"/>
                <w:color w:val="000000"/>
              </w:rPr>
              <w:t>,</w:t>
            </w:r>
            <w:r w:rsidRPr="00EA1617">
              <w:rPr>
                <w:rFonts w:ascii="Calibri" w:eastAsia="Times New Roman" w:hAnsi="Calibri" w:cs="Times New Roman"/>
                <w:color w:val="000000"/>
              </w:rPr>
              <w:t>7</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w:t>
            </w:r>
            <w:r>
              <w:rPr>
                <w:rFonts w:ascii="Calibri" w:eastAsia="Times New Roman" w:hAnsi="Calibri" w:cs="Times New Roman"/>
                <w:color w:val="000000"/>
              </w:rPr>
              <w:t>,</w:t>
            </w:r>
            <w:r w:rsidRPr="00EA1617">
              <w:rPr>
                <w:rFonts w:ascii="Calibri" w:eastAsia="Times New Roman" w:hAnsi="Calibri" w:cs="Times New Roman"/>
                <w:color w:val="000000"/>
              </w:rPr>
              <w:t>35</w:t>
            </w:r>
          </w:p>
        </w:tc>
      </w:tr>
      <w:tr w:rsidR="00A67D2A" w:rsidRPr="00EA1617" w:rsidTr="0055206E">
        <w:trPr>
          <w:trHeight w:val="313"/>
        </w:trPr>
        <w:tc>
          <w:tcPr>
            <w:tcW w:w="2009" w:type="dxa"/>
            <w:shd w:val="clear" w:color="auto" w:fill="auto"/>
            <w:noWrap/>
            <w:vAlign w:val="bottom"/>
            <w:hideMark/>
          </w:tcPr>
          <w:p w:rsidR="00A67D2A" w:rsidRPr="00EA1617" w:rsidRDefault="00BA211E" w:rsidP="008C014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Türkiye o</w:t>
            </w:r>
            <w:r w:rsidR="00A67D2A" w:rsidRPr="00EA1617">
              <w:rPr>
                <w:rFonts w:ascii="Calibri" w:eastAsia="Times New Roman" w:hAnsi="Calibri" w:cs="Times New Roman"/>
                <w:b/>
                <w:bCs/>
                <w:color w:val="000000"/>
              </w:rPr>
              <w:t>rtalaması</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59</w:t>
            </w:r>
            <w:r>
              <w:rPr>
                <w:rFonts w:ascii="Calibri" w:eastAsia="Times New Roman" w:hAnsi="Calibri" w:cs="Times New Roman"/>
                <w:color w:val="000000"/>
              </w:rPr>
              <w:t>,</w:t>
            </w:r>
            <w:r w:rsidRPr="00EA1617">
              <w:rPr>
                <w:rFonts w:ascii="Calibri" w:eastAsia="Times New Roman" w:hAnsi="Calibri" w:cs="Times New Roman"/>
                <w:color w:val="000000"/>
              </w:rPr>
              <w:t>9</w:t>
            </w:r>
          </w:p>
        </w:tc>
        <w:tc>
          <w:tcPr>
            <w:tcW w:w="1740"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64</w:t>
            </w:r>
            <w:r>
              <w:rPr>
                <w:rFonts w:ascii="Calibri" w:eastAsia="Times New Roman" w:hAnsi="Calibri" w:cs="Times New Roman"/>
                <w:color w:val="000000"/>
              </w:rPr>
              <w:t>,</w:t>
            </w:r>
            <w:r w:rsidRPr="00EA1617">
              <w:rPr>
                <w:rFonts w:ascii="Calibri" w:eastAsia="Times New Roman" w:hAnsi="Calibri" w:cs="Times New Roman"/>
                <w:color w:val="000000"/>
              </w:rPr>
              <w:t>8</w:t>
            </w:r>
          </w:p>
        </w:tc>
        <w:tc>
          <w:tcPr>
            <w:tcW w:w="2024" w:type="dxa"/>
            <w:shd w:val="clear" w:color="auto" w:fill="auto"/>
            <w:noWrap/>
            <w:vAlign w:val="bottom"/>
            <w:hideMark/>
          </w:tcPr>
          <w:p w:rsidR="00A67D2A" w:rsidRPr="00EA1617" w:rsidRDefault="00A67D2A" w:rsidP="008C014C">
            <w:pPr>
              <w:spacing w:after="0" w:line="240" w:lineRule="auto"/>
              <w:jc w:val="right"/>
              <w:rPr>
                <w:rFonts w:ascii="Calibri" w:eastAsia="Times New Roman" w:hAnsi="Calibri" w:cs="Times New Roman"/>
                <w:color w:val="000000"/>
              </w:rPr>
            </w:pPr>
            <w:r w:rsidRPr="00EA1617">
              <w:rPr>
                <w:rFonts w:ascii="Calibri" w:eastAsia="Times New Roman" w:hAnsi="Calibri" w:cs="Times New Roman"/>
                <w:color w:val="000000"/>
              </w:rPr>
              <w:t>4</w:t>
            </w:r>
            <w:r>
              <w:rPr>
                <w:rFonts w:ascii="Calibri" w:eastAsia="Times New Roman" w:hAnsi="Calibri" w:cs="Times New Roman"/>
                <w:color w:val="000000"/>
              </w:rPr>
              <w:t>,</w:t>
            </w:r>
            <w:r w:rsidRPr="00EA1617">
              <w:rPr>
                <w:rFonts w:ascii="Calibri" w:eastAsia="Times New Roman" w:hAnsi="Calibri" w:cs="Times New Roman"/>
                <w:color w:val="000000"/>
              </w:rPr>
              <w:t>87</w:t>
            </w:r>
          </w:p>
        </w:tc>
      </w:tr>
    </w:tbl>
    <w:p w:rsidR="00A67D2A" w:rsidRPr="00CB5151" w:rsidRDefault="00732288" w:rsidP="00CB5151">
      <w:pPr>
        <w:rPr>
          <w:sz w:val="18"/>
          <w:szCs w:val="18"/>
        </w:rPr>
      </w:pPr>
      <w:r w:rsidRPr="00990EA8">
        <w:rPr>
          <w:sz w:val="18"/>
          <w:szCs w:val="18"/>
        </w:rPr>
        <w:t xml:space="preserve">Kaynak: </w:t>
      </w:r>
      <w:r>
        <w:rPr>
          <w:sz w:val="18"/>
          <w:szCs w:val="18"/>
        </w:rPr>
        <w:t xml:space="preserve">2012 ve </w:t>
      </w:r>
      <w:r w:rsidRPr="00990EA8">
        <w:rPr>
          <w:sz w:val="18"/>
          <w:szCs w:val="18"/>
        </w:rPr>
        <w:t>2013 Hanehal</w:t>
      </w:r>
      <w:r>
        <w:rPr>
          <w:sz w:val="18"/>
          <w:szCs w:val="18"/>
        </w:rPr>
        <w:t>kı İşgücü Anketi Mikro Veri Setleri</w:t>
      </w:r>
      <w:r w:rsidRPr="00990EA8">
        <w:rPr>
          <w:sz w:val="18"/>
          <w:szCs w:val="18"/>
        </w:rPr>
        <w:t>, TÜİK; Betam</w:t>
      </w:r>
    </w:p>
    <w:p w:rsidR="00712CB2" w:rsidRDefault="00712CB2" w:rsidP="0082064E">
      <w:r>
        <w:t xml:space="preserve">15-19 yaş grubundaki bulgulara paralel olarak 14-17 yaş grubunda okullaşma oranlarının arttığı net bir şekilde görülmektedir. Diğer taraftan bu yaş grubunda ortaöğretime devam ettiğini söyleyen gençlerin oranı HİA’da daha düşüktür. 14-17 yaş aralığında ortaöğretimde net okullaşma oranı yüzde 76,1 iken ortaöğretimde okula devam etme oranı yüzde 65,3 seviyesinde kalmaktadır. Bu verilere dayanarak sisteme kayıtlı olmanın ne gençlerin eğitime devamlarını ne de eğitimi takiplerini sağlamakta yeterli olduğu söylenebilir. Zorunlu eğitimin pratikte 12 yıla çıkarılması için gençlerin eğitimi takiplerini sağlayacak politikalara ihtiyaç vardır. </w:t>
      </w:r>
    </w:p>
    <w:p w:rsidR="00A20FB7" w:rsidRDefault="00A20FB7" w:rsidP="00051690">
      <w:pPr>
        <w:pStyle w:val="Caption"/>
        <w:keepNext/>
        <w:rPr>
          <w:color w:val="auto"/>
          <w:sz w:val="22"/>
          <w:szCs w:val="22"/>
        </w:rPr>
      </w:pPr>
    </w:p>
    <w:p w:rsidR="00051690" w:rsidRPr="00051690" w:rsidRDefault="00051690" w:rsidP="00051690">
      <w:pPr>
        <w:pStyle w:val="Caption"/>
        <w:keepNext/>
        <w:rPr>
          <w:color w:val="auto"/>
          <w:sz w:val="22"/>
          <w:szCs w:val="22"/>
        </w:rPr>
      </w:pPr>
      <w:r>
        <w:rPr>
          <w:color w:val="auto"/>
          <w:sz w:val="22"/>
          <w:szCs w:val="22"/>
        </w:rPr>
        <w:t>Tablo</w:t>
      </w:r>
      <w:r w:rsidRPr="00051690">
        <w:rPr>
          <w:color w:val="auto"/>
          <w:sz w:val="22"/>
          <w:szCs w:val="22"/>
        </w:rPr>
        <w:t xml:space="preserve"> </w:t>
      </w:r>
      <w:r w:rsidRPr="00051690">
        <w:rPr>
          <w:color w:val="auto"/>
          <w:sz w:val="22"/>
          <w:szCs w:val="22"/>
        </w:rPr>
        <w:fldChar w:fldCharType="begin"/>
      </w:r>
      <w:r w:rsidRPr="00051690">
        <w:rPr>
          <w:color w:val="auto"/>
          <w:sz w:val="22"/>
          <w:szCs w:val="22"/>
        </w:rPr>
        <w:instrText xml:space="preserve"> SEQ Table \* ARABIC </w:instrText>
      </w:r>
      <w:r w:rsidRPr="00051690">
        <w:rPr>
          <w:color w:val="auto"/>
          <w:sz w:val="22"/>
          <w:szCs w:val="22"/>
        </w:rPr>
        <w:fldChar w:fldCharType="separate"/>
      </w:r>
      <w:r w:rsidR="002B0766">
        <w:rPr>
          <w:noProof/>
          <w:color w:val="auto"/>
          <w:sz w:val="22"/>
          <w:szCs w:val="22"/>
        </w:rPr>
        <w:t>8</w:t>
      </w:r>
      <w:r w:rsidRPr="00051690">
        <w:rPr>
          <w:color w:val="auto"/>
          <w:sz w:val="22"/>
          <w:szCs w:val="22"/>
        </w:rPr>
        <w:fldChar w:fldCharType="end"/>
      </w:r>
      <w:r w:rsidRPr="00051690">
        <w:rPr>
          <w:color w:val="auto"/>
          <w:sz w:val="22"/>
          <w:szCs w:val="22"/>
        </w:rPr>
        <w:t xml:space="preserve"> Net okullaşma ve okula devam oranları</w:t>
      </w:r>
    </w:p>
    <w:tbl>
      <w:tblPr>
        <w:tblW w:w="5259" w:type="dxa"/>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174"/>
        <w:gridCol w:w="1526"/>
        <w:gridCol w:w="1559"/>
      </w:tblGrid>
      <w:tr w:rsidR="002A51A6" w:rsidRPr="00DF2F33" w:rsidTr="00F3421F">
        <w:trPr>
          <w:trHeight w:val="928"/>
        </w:trPr>
        <w:tc>
          <w:tcPr>
            <w:tcW w:w="2174" w:type="dxa"/>
            <w:shd w:val="clear" w:color="auto" w:fill="auto"/>
            <w:noWrap/>
            <w:vAlign w:val="bottom"/>
            <w:hideMark/>
          </w:tcPr>
          <w:p w:rsidR="002A51A6" w:rsidRPr="00DF2F33" w:rsidRDefault="002A51A6" w:rsidP="008C014C">
            <w:pPr>
              <w:spacing w:after="0" w:line="240" w:lineRule="auto"/>
              <w:rPr>
                <w:rFonts w:ascii="Calibri" w:eastAsia="Times New Roman" w:hAnsi="Calibri" w:cs="Times New Roman"/>
                <w:color w:val="000000"/>
              </w:rPr>
            </w:pPr>
          </w:p>
        </w:tc>
        <w:tc>
          <w:tcPr>
            <w:tcW w:w="1526" w:type="dxa"/>
            <w:shd w:val="clear" w:color="auto" w:fill="auto"/>
            <w:vAlign w:val="bottom"/>
            <w:hideMark/>
          </w:tcPr>
          <w:p w:rsidR="002A51A6" w:rsidRPr="00DF2F33" w:rsidRDefault="002A51A6" w:rsidP="008C014C">
            <w:pPr>
              <w:spacing w:after="0" w:line="240" w:lineRule="auto"/>
              <w:rPr>
                <w:rFonts w:ascii="Calibri" w:eastAsia="Times New Roman" w:hAnsi="Calibri" w:cs="Times New Roman"/>
                <w:b/>
                <w:bCs/>
                <w:color w:val="000000"/>
              </w:rPr>
            </w:pPr>
            <w:r w:rsidRPr="00DF2F33">
              <w:rPr>
                <w:rFonts w:ascii="Calibri" w:eastAsia="Times New Roman" w:hAnsi="Calibri" w:cs="Times New Roman"/>
                <w:b/>
                <w:bCs/>
                <w:color w:val="000000"/>
              </w:rPr>
              <w:t>Ortaöğretimde net okullaşma oranı</w:t>
            </w:r>
            <w:r w:rsidR="00174ADD">
              <w:rPr>
                <w:rFonts w:ascii="Calibri" w:eastAsia="Times New Roman" w:hAnsi="Calibri" w:cs="Times New Roman"/>
                <w:b/>
                <w:bCs/>
                <w:color w:val="000000"/>
              </w:rPr>
              <w:t xml:space="preserve"> (%)</w:t>
            </w:r>
          </w:p>
        </w:tc>
        <w:tc>
          <w:tcPr>
            <w:tcW w:w="1559" w:type="dxa"/>
            <w:shd w:val="clear" w:color="auto" w:fill="auto"/>
            <w:vAlign w:val="bottom"/>
            <w:hideMark/>
          </w:tcPr>
          <w:p w:rsidR="002A51A6" w:rsidRPr="00DF2F33" w:rsidRDefault="002A51A6" w:rsidP="008C014C">
            <w:pPr>
              <w:spacing w:after="0" w:line="240" w:lineRule="auto"/>
              <w:rPr>
                <w:rFonts w:ascii="Calibri" w:eastAsia="Times New Roman" w:hAnsi="Calibri" w:cs="Times New Roman"/>
                <w:b/>
                <w:bCs/>
                <w:color w:val="000000"/>
              </w:rPr>
            </w:pPr>
            <w:r w:rsidRPr="00DF2F33">
              <w:rPr>
                <w:rFonts w:ascii="Calibri" w:eastAsia="Times New Roman" w:hAnsi="Calibri" w:cs="Times New Roman"/>
                <w:b/>
                <w:bCs/>
                <w:color w:val="000000"/>
              </w:rPr>
              <w:t>Ortaöğretimde okula devam etme oranı</w:t>
            </w:r>
            <w:r w:rsidR="00174ADD">
              <w:rPr>
                <w:rFonts w:ascii="Calibri" w:eastAsia="Times New Roman" w:hAnsi="Calibri" w:cs="Times New Roman"/>
                <w:b/>
                <w:bCs/>
                <w:color w:val="000000"/>
              </w:rPr>
              <w:t xml:space="preserve"> (%)</w:t>
            </w:r>
          </w:p>
        </w:tc>
      </w:tr>
      <w:tr w:rsidR="002A51A6" w:rsidRPr="00DF2F33" w:rsidTr="00F3421F">
        <w:trPr>
          <w:trHeight w:val="320"/>
        </w:trPr>
        <w:tc>
          <w:tcPr>
            <w:tcW w:w="2174" w:type="dxa"/>
            <w:shd w:val="clear" w:color="auto" w:fill="auto"/>
            <w:noWrap/>
            <w:vAlign w:val="bottom"/>
            <w:hideMark/>
          </w:tcPr>
          <w:p w:rsidR="002A51A6" w:rsidRPr="00DF2F33" w:rsidRDefault="002A51A6" w:rsidP="008C014C">
            <w:pPr>
              <w:spacing w:after="0" w:line="240" w:lineRule="auto"/>
              <w:rPr>
                <w:rFonts w:ascii="Calibri" w:eastAsia="Times New Roman" w:hAnsi="Calibri" w:cs="Times New Roman"/>
                <w:b/>
                <w:color w:val="000000"/>
              </w:rPr>
            </w:pPr>
            <w:r w:rsidRPr="00DF2F33">
              <w:rPr>
                <w:rFonts w:ascii="Calibri" w:eastAsia="Times New Roman" w:hAnsi="Calibri" w:cs="Times New Roman"/>
                <w:b/>
                <w:color w:val="000000"/>
              </w:rPr>
              <w:t>Erkek     (14-17 yaş )</w:t>
            </w:r>
          </w:p>
        </w:tc>
        <w:tc>
          <w:tcPr>
            <w:tcW w:w="1526" w:type="dxa"/>
            <w:shd w:val="clear" w:color="auto" w:fill="auto"/>
            <w:noWrap/>
            <w:vAlign w:val="bottom"/>
            <w:hideMark/>
          </w:tcPr>
          <w:p w:rsidR="002A51A6" w:rsidRPr="00DF2F33" w:rsidRDefault="002A51A6" w:rsidP="008C01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r w:rsidRPr="00DF2F33">
              <w:rPr>
                <w:rFonts w:ascii="Calibri" w:eastAsia="Times New Roman" w:hAnsi="Calibri" w:cs="Times New Roman"/>
                <w:color w:val="000000"/>
              </w:rPr>
              <w:t>7</w:t>
            </w:r>
          </w:p>
        </w:tc>
        <w:tc>
          <w:tcPr>
            <w:tcW w:w="1559" w:type="dxa"/>
            <w:shd w:val="clear" w:color="auto" w:fill="auto"/>
            <w:noWrap/>
            <w:vAlign w:val="bottom"/>
            <w:hideMark/>
          </w:tcPr>
          <w:p w:rsidR="002A51A6" w:rsidRPr="00DF2F33" w:rsidRDefault="002A51A6" w:rsidP="008C01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w:t>
            </w:r>
            <w:r w:rsidRPr="00DF2F33">
              <w:rPr>
                <w:rFonts w:ascii="Calibri" w:eastAsia="Times New Roman" w:hAnsi="Calibri" w:cs="Times New Roman"/>
                <w:color w:val="000000"/>
              </w:rPr>
              <w:t>2</w:t>
            </w:r>
          </w:p>
        </w:tc>
      </w:tr>
      <w:tr w:rsidR="002A51A6" w:rsidRPr="00DF2F33" w:rsidTr="00F3421F">
        <w:trPr>
          <w:trHeight w:val="320"/>
        </w:trPr>
        <w:tc>
          <w:tcPr>
            <w:tcW w:w="2174" w:type="dxa"/>
            <w:shd w:val="clear" w:color="auto" w:fill="auto"/>
            <w:noWrap/>
            <w:vAlign w:val="bottom"/>
            <w:hideMark/>
          </w:tcPr>
          <w:p w:rsidR="002A51A6" w:rsidRPr="00DF2F33" w:rsidRDefault="002A51A6" w:rsidP="008C014C">
            <w:pPr>
              <w:spacing w:after="0" w:line="240" w:lineRule="auto"/>
              <w:rPr>
                <w:rFonts w:ascii="Calibri" w:eastAsia="Times New Roman" w:hAnsi="Calibri" w:cs="Times New Roman"/>
                <w:b/>
                <w:color w:val="000000"/>
              </w:rPr>
            </w:pPr>
            <w:r w:rsidRPr="00DF2F33">
              <w:rPr>
                <w:rFonts w:ascii="Calibri" w:eastAsia="Times New Roman" w:hAnsi="Calibri" w:cs="Times New Roman"/>
                <w:b/>
                <w:color w:val="000000"/>
              </w:rPr>
              <w:t>Kadın    (14-17 yaş )</w:t>
            </w:r>
          </w:p>
        </w:tc>
        <w:tc>
          <w:tcPr>
            <w:tcW w:w="1526" w:type="dxa"/>
            <w:shd w:val="clear" w:color="auto" w:fill="auto"/>
            <w:noWrap/>
            <w:vAlign w:val="bottom"/>
            <w:hideMark/>
          </w:tcPr>
          <w:p w:rsidR="002A51A6" w:rsidRPr="00DF2F33" w:rsidRDefault="002A51A6" w:rsidP="008C01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r w:rsidRPr="00DF2F33">
              <w:rPr>
                <w:rFonts w:ascii="Calibri" w:eastAsia="Times New Roman" w:hAnsi="Calibri" w:cs="Times New Roman"/>
                <w:color w:val="000000"/>
              </w:rPr>
              <w:t>2</w:t>
            </w:r>
          </w:p>
        </w:tc>
        <w:tc>
          <w:tcPr>
            <w:tcW w:w="1559" w:type="dxa"/>
            <w:shd w:val="clear" w:color="auto" w:fill="auto"/>
            <w:noWrap/>
            <w:vAlign w:val="bottom"/>
            <w:hideMark/>
          </w:tcPr>
          <w:p w:rsidR="002A51A6" w:rsidRPr="00DF2F33" w:rsidRDefault="002A51A6" w:rsidP="008C014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w:t>
            </w:r>
            <w:r w:rsidRPr="00DF2F33">
              <w:rPr>
                <w:rFonts w:ascii="Calibri" w:eastAsia="Times New Roman" w:hAnsi="Calibri" w:cs="Times New Roman"/>
                <w:color w:val="000000"/>
              </w:rPr>
              <w:t>4</w:t>
            </w:r>
          </w:p>
        </w:tc>
      </w:tr>
      <w:tr w:rsidR="002A51A6" w:rsidRPr="00DF2F33" w:rsidTr="00F3421F">
        <w:trPr>
          <w:trHeight w:val="320"/>
        </w:trPr>
        <w:tc>
          <w:tcPr>
            <w:tcW w:w="2174" w:type="dxa"/>
            <w:shd w:val="clear" w:color="auto" w:fill="auto"/>
            <w:noWrap/>
            <w:vAlign w:val="bottom"/>
            <w:hideMark/>
          </w:tcPr>
          <w:p w:rsidR="002A51A6" w:rsidRPr="00404C80" w:rsidRDefault="002A51A6" w:rsidP="008C014C">
            <w:pPr>
              <w:spacing w:after="0" w:line="240" w:lineRule="auto"/>
              <w:rPr>
                <w:rFonts w:ascii="Calibri" w:eastAsia="Times New Roman" w:hAnsi="Calibri" w:cs="Times New Roman"/>
                <w:b/>
                <w:bCs/>
                <w:color w:val="000000"/>
              </w:rPr>
            </w:pPr>
            <w:r w:rsidRPr="00404C80">
              <w:rPr>
                <w:rFonts w:ascii="Calibri" w:eastAsia="Times New Roman" w:hAnsi="Calibri" w:cs="Times New Roman"/>
                <w:b/>
                <w:bCs/>
                <w:color w:val="000000"/>
              </w:rPr>
              <w:t>Toplam (14-17 yaş )</w:t>
            </w:r>
          </w:p>
        </w:tc>
        <w:tc>
          <w:tcPr>
            <w:tcW w:w="1526" w:type="dxa"/>
            <w:shd w:val="clear" w:color="auto" w:fill="auto"/>
            <w:noWrap/>
            <w:vAlign w:val="bottom"/>
            <w:hideMark/>
          </w:tcPr>
          <w:p w:rsidR="002A51A6" w:rsidRPr="00404C80" w:rsidRDefault="002A51A6" w:rsidP="008C014C">
            <w:pPr>
              <w:spacing w:after="0" w:line="240" w:lineRule="auto"/>
              <w:jc w:val="right"/>
              <w:rPr>
                <w:rFonts w:ascii="Calibri" w:eastAsia="Times New Roman" w:hAnsi="Calibri" w:cs="Times New Roman"/>
                <w:bCs/>
                <w:color w:val="000000"/>
              </w:rPr>
            </w:pPr>
            <w:r w:rsidRPr="00404C80">
              <w:rPr>
                <w:rFonts w:ascii="Calibri" w:eastAsia="Times New Roman" w:hAnsi="Calibri" w:cs="Times New Roman"/>
                <w:bCs/>
                <w:color w:val="000000"/>
              </w:rPr>
              <w:t>76,1</w:t>
            </w:r>
          </w:p>
        </w:tc>
        <w:tc>
          <w:tcPr>
            <w:tcW w:w="1559" w:type="dxa"/>
            <w:shd w:val="clear" w:color="auto" w:fill="auto"/>
            <w:noWrap/>
            <w:vAlign w:val="bottom"/>
            <w:hideMark/>
          </w:tcPr>
          <w:p w:rsidR="002A51A6" w:rsidRPr="00404C80" w:rsidRDefault="002A51A6" w:rsidP="008C014C">
            <w:pPr>
              <w:spacing w:after="0" w:line="240" w:lineRule="auto"/>
              <w:jc w:val="right"/>
              <w:rPr>
                <w:rFonts w:ascii="Calibri" w:eastAsia="Times New Roman" w:hAnsi="Calibri" w:cs="Times New Roman"/>
                <w:bCs/>
                <w:color w:val="000000"/>
              </w:rPr>
            </w:pPr>
            <w:r w:rsidRPr="00404C80">
              <w:rPr>
                <w:rFonts w:ascii="Calibri" w:eastAsia="Times New Roman" w:hAnsi="Calibri" w:cs="Times New Roman"/>
                <w:bCs/>
                <w:color w:val="000000"/>
              </w:rPr>
              <w:t>65,3</w:t>
            </w:r>
          </w:p>
        </w:tc>
      </w:tr>
    </w:tbl>
    <w:p w:rsidR="00DE4A89" w:rsidRPr="00CB5151" w:rsidRDefault="002A51A6" w:rsidP="00DE4A89">
      <w:pPr>
        <w:rPr>
          <w:sz w:val="18"/>
          <w:szCs w:val="18"/>
        </w:rPr>
      </w:pPr>
      <w:r>
        <w:t xml:space="preserve"> </w:t>
      </w:r>
      <w:r w:rsidR="00DE4A89" w:rsidRPr="00990EA8">
        <w:rPr>
          <w:sz w:val="18"/>
          <w:szCs w:val="18"/>
        </w:rPr>
        <w:t xml:space="preserve">Kaynak: </w:t>
      </w:r>
      <w:r w:rsidR="00DE4A89">
        <w:rPr>
          <w:sz w:val="18"/>
          <w:szCs w:val="18"/>
        </w:rPr>
        <w:t xml:space="preserve">Milli Eğitim Bakanlığı </w:t>
      </w:r>
      <w:r w:rsidR="000F5AF4">
        <w:rPr>
          <w:sz w:val="18"/>
          <w:szCs w:val="18"/>
        </w:rPr>
        <w:t xml:space="preserve">Milli Eğitim İstatistikleri Örgün Eğitim 2012-2013 </w:t>
      </w:r>
      <w:r w:rsidR="00DE4A89">
        <w:rPr>
          <w:sz w:val="18"/>
          <w:szCs w:val="18"/>
        </w:rPr>
        <w:t xml:space="preserve">ve </w:t>
      </w:r>
      <w:r w:rsidR="00DE4A89" w:rsidRPr="00990EA8">
        <w:rPr>
          <w:sz w:val="18"/>
          <w:szCs w:val="18"/>
        </w:rPr>
        <w:t>2013 Hanehal</w:t>
      </w:r>
      <w:r w:rsidR="00DE4A89">
        <w:rPr>
          <w:sz w:val="18"/>
          <w:szCs w:val="18"/>
        </w:rPr>
        <w:t>kı İşgücü Anketi Mikro Veri Seti</w:t>
      </w:r>
      <w:r w:rsidR="00DE4A89" w:rsidRPr="00990EA8">
        <w:rPr>
          <w:sz w:val="18"/>
          <w:szCs w:val="18"/>
        </w:rPr>
        <w:t>, TÜİK; Betam</w:t>
      </w:r>
    </w:p>
    <w:p w:rsidR="002A51A6" w:rsidRDefault="002A51A6" w:rsidP="0082064E"/>
    <w:p w:rsidR="009D772B" w:rsidRDefault="009D772B">
      <w:r>
        <w:br w:type="page"/>
      </w:r>
    </w:p>
    <w:p w:rsidR="00C436B9" w:rsidRPr="00641BC6" w:rsidRDefault="009D772B" w:rsidP="00E40512">
      <w:pPr>
        <w:rPr>
          <w:b/>
        </w:rPr>
      </w:pPr>
      <w:r w:rsidRPr="00641BC6">
        <w:rPr>
          <w:b/>
        </w:rPr>
        <w:lastRenderedPageBreak/>
        <w:t>Ek 1 Nüfusun yaş gruplarına göre dağılımı</w:t>
      </w:r>
    </w:p>
    <w:tbl>
      <w:tblPr>
        <w:tblW w:w="3993" w:type="dxa"/>
        <w:tblInd w:w="-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2584"/>
        <w:gridCol w:w="1409"/>
      </w:tblGrid>
      <w:tr w:rsidR="005942B2" w:rsidTr="005942B2">
        <w:trPr>
          <w:trHeight w:val="351"/>
        </w:trPr>
        <w:tc>
          <w:tcPr>
            <w:tcW w:w="2584" w:type="dxa"/>
            <w:noWrap/>
            <w:vAlign w:val="bottom"/>
            <w:hideMark/>
          </w:tcPr>
          <w:p w:rsidR="005942B2" w:rsidRPr="00641BC6" w:rsidRDefault="005942B2" w:rsidP="009D772B">
            <w:pPr>
              <w:spacing w:after="0"/>
              <w:rPr>
                <w:rFonts w:ascii="Calibri" w:eastAsia="Times New Roman" w:hAnsi="Calibri" w:cs="Times New Roman"/>
                <w:b/>
                <w:color w:val="000000"/>
              </w:rPr>
            </w:pPr>
            <w:r w:rsidRPr="00641BC6">
              <w:rPr>
                <w:rFonts w:ascii="Calibri" w:eastAsia="Times New Roman" w:hAnsi="Calibri" w:cs="Times New Roman"/>
                <w:b/>
                <w:color w:val="000000"/>
              </w:rPr>
              <w:t>Yaş grubu</w:t>
            </w:r>
          </w:p>
        </w:tc>
        <w:tc>
          <w:tcPr>
            <w:tcW w:w="1409" w:type="dxa"/>
            <w:noWrap/>
            <w:vAlign w:val="bottom"/>
            <w:hideMark/>
          </w:tcPr>
          <w:p w:rsidR="005942B2" w:rsidRPr="00641BC6" w:rsidRDefault="005942B2" w:rsidP="00D95579">
            <w:pPr>
              <w:spacing w:after="0"/>
              <w:jc w:val="right"/>
              <w:rPr>
                <w:rFonts w:ascii="Calibri" w:eastAsia="Times New Roman" w:hAnsi="Calibri" w:cs="Times New Roman"/>
                <w:b/>
                <w:color w:val="000000"/>
              </w:rPr>
            </w:pPr>
            <w:r w:rsidRPr="00641BC6">
              <w:rPr>
                <w:rFonts w:ascii="Calibri" w:eastAsia="Times New Roman" w:hAnsi="Calibri" w:cs="Times New Roman"/>
                <w:b/>
                <w:color w:val="000000"/>
              </w:rPr>
              <w:t>Yüzde</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00-04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8.45</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05-11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11.8</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12-14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5.06</w:t>
            </w:r>
          </w:p>
        </w:tc>
      </w:tr>
      <w:tr w:rsidR="005942B2" w:rsidTr="005942B2">
        <w:trPr>
          <w:trHeight w:val="351"/>
        </w:trPr>
        <w:tc>
          <w:tcPr>
            <w:tcW w:w="2584" w:type="dxa"/>
            <w:noWrap/>
            <w:vAlign w:val="bottom"/>
            <w:hideMark/>
          </w:tcPr>
          <w:p w:rsidR="005942B2" w:rsidRPr="008D3536" w:rsidRDefault="005942B2" w:rsidP="009D772B">
            <w:pPr>
              <w:spacing w:after="0"/>
              <w:rPr>
                <w:rFonts w:ascii="Calibri" w:eastAsia="Times New Roman" w:hAnsi="Calibri" w:cs="Times New Roman"/>
                <w:color w:val="000000"/>
              </w:rPr>
            </w:pPr>
            <w:r w:rsidRPr="008D3536">
              <w:rPr>
                <w:rFonts w:ascii="Calibri" w:eastAsia="Times New Roman" w:hAnsi="Calibri" w:cs="Times New Roman"/>
                <w:color w:val="000000"/>
              </w:rPr>
              <w:t>15-19 yaş arası</w:t>
            </w:r>
          </w:p>
        </w:tc>
        <w:tc>
          <w:tcPr>
            <w:tcW w:w="1409" w:type="dxa"/>
            <w:noWrap/>
            <w:vAlign w:val="bottom"/>
            <w:hideMark/>
          </w:tcPr>
          <w:p w:rsidR="005942B2" w:rsidRPr="008D3536" w:rsidRDefault="005942B2" w:rsidP="009D772B">
            <w:pPr>
              <w:spacing w:after="0"/>
              <w:jc w:val="right"/>
              <w:rPr>
                <w:rFonts w:ascii="Calibri" w:eastAsia="Times New Roman" w:hAnsi="Calibri" w:cs="Times New Roman"/>
                <w:color w:val="000000"/>
              </w:rPr>
            </w:pPr>
            <w:r w:rsidRPr="008D3536">
              <w:rPr>
                <w:rFonts w:ascii="Calibri" w:eastAsia="Times New Roman" w:hAnsi="Calibri" w:cs="Times New Roman"/>
                <w:color w:val="000000"/>
              </w:rPr>
              <w:t>8.37</w:t>
            </w:r>
          </w:p>
        </w:tc>
      </w:tr>
      <w:tr w:rsidR="005942B2" w:rsidTr="005942B2">
        <w:trPr>
          <w:trHeight w:val="351"/>
        </w:trPr>
        <w:tc>
          <w:tcPr>
            <w:tcW w:w="2584" w:type="dxa"/>
            <w:noWrap/>
            <w:vAlign w:val="bottom"/>
            <w:hideMark/>
          </w:tcPr>
          <w:p w:rsidR="005942B2" w:rsidRPr="008D3536" w:rsidRDefault="005942B2" w:rsidP="009D772B">
            <w:pPr>
              <w:spacing w:after="0"/>
              <w:rPr>
                <w:rFonts w:ascii="Calibri" w:eastAsia="Times New Roman" w:hAnsi="Calibri" w:cs="Times New Roman"/>
                <w:color w:val="000000"/>
              </w:rPr>
            </w:pPr>
            <w:r w:rsidRPr="008D3536">
              <w:rPr>
                <w:rFonts w:ascii="Calibri" w:eastAsia="Times New Roman" w:hAnsi="Calibri" w:cs="Times New Roman"/>
                <w:color w:val="000000"/>
              </w:rPr>
              <w:t>20-24 yaş arası</w:t>
            </w:r>
          </w:p>
        </w:tc>
        <w:tc>
          <w:tcPr>
            <w:tcW w:w="1409" w:type="dxa"/>
            <w:noWrap/>
            <w:vAlign w:val="bottom"/>
            <w:hideMark/>
          </w:tcPr>
          <w:p w:rsidR="005942B2" w:rsidRPr="008D3536" w:rsidRDefault="005942B2" w:rsidP="009D772B">
            <w:pPr>
              <w:spacing w:after="0"/>
              <w:jc w:val="right"/>
              <w:rPr>
                <w:rFonts w:ascii="Calibri" w:eastAsia="Times New Roman" w:hAnsi="Calibri" w:cs="Times New Roman"/>
                <w:color w:val="000000"/>
              </w:rPr>
            </w:pPr>
            <w:r w:rsidRPr="008D3536">
              <w:rPr>
                <w:rFonts w:ascii="Calibri" w:eastAsia="Times New Roman" w:hAnsi="Calibri" w:cs="Times New Roman"/>
                <w:color w:val="000000"/>
              </w:rPr>
              <w:t>7.16</w:t>
            </w:r>
          </w:p>
        </w:tc>
      </w:tr>
      <w:tr w:rsidR="005942B2" w:rsidTr="005942B2">
        <w:trPr>
          <w:trHeight w:val="351"/>
        </w:trPr>
        <w:tc>
          <w:tcPr>
            <w:tcW w:w="2584" w:type="dxa"/>
            <w:noWrap/>
            <w:vAlign w:val="bottom"/>
            <w:hideMark/>
          </w:tcPr>
          <w:p w:rsidR="005942B2" w:rsidRPr="008D3536" w:rsidRDefault="005942B2" w:rsidP="009D772B">
            <w:pPr>
              <w:spacing w:after="0"/>
              <w:rPr>
                <w:rFonts w:ascii="Calibri" w:eastAsia="Times New Roman" w:hAnsi="Calibri" w:cs="Times New Roman"/>
                <w:color w:val="000000"/>
              </w:rPr>
            </w:pPr>
            <w:r w:rsidRPr="008D3536">
              <w:rPr>
                <w:rFonts w:ascii="Calibri" w:eastAsia="Times New Roman" w:hAnsi="Calibri" w:cs="Times New Roman"/>
                <w:color w:val="000000"/>
              </w:rPr>
              <w:t>25-29 yaş arası</w:t>
            </w:r>
          </w:p>
        </w:tc>
        <w:tc>
          <w:tcPr>
            <w:tcW w:w="1409" w:type="dxa"/>
            <w:noWrap/>
            <w:vAlign w:val="bottom"/>
            <w:hideMark/>
          </w:tcPr>
          <w:p w:rsidR="005942B2" w:rsidRPr="008D3536" w:rsidRDefault="005942B2" w:rsidP="009D772B">
            <w:pPr>
              <w:spacing w:after="0"/>
              <w:jc w:val="right"/>
              <w:rPr>
                <w:rFonts w:ascii="Calibri" w:eastAsia="Times New Roman" w:hAnsi="Calibri" w:cs="Times New Roman"/>
                <w:color w:val="000000"/>
              </w:rPr>
            </w:pPr>
            <w:r w:rsidRPr="008D3536">
              <w:rPr>
                <w:rFonts w:ascii="Calibri" w:eastAsia="Times New Roman" w:hAnsi="Calibri" w:cs="Times New Roman"/>
                <w:color w:val="000000"/>
              </w:rPr>
              <w:t>8.33</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30-34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8.76</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35-39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7.69</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40-44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7.05</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45-49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6.22</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50-54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5.59</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55-59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4.66</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60-64 yaş arası</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3.59</w:t>
            </w:r>
          </w:p>
        </w:tc>
      </w:tr>
      <w:tr w:rsidR="005942B2" w:rsidTr="005942B2">
        <w:trPr>
          <w:trHeight w:val="351"/>
        </w:trPr>
        <w:tc>
          <w:tcPr>
            <w:tcW w:w="2584" w:type="dxa"/>
            <w:noWrap/>
            <w:vAlign w:val="bottom"/>
            <w:hideMark/>
          </w:tcPr>
          <w:p w:rsidR="005942B2" w:rsidRDefault="005942B2" w:rsidP="009D772B">
            <w:pPr>
              <w:spacing w:after="0"/>
              <w:rPr>
                <w:rFonts w:ascii="Calibri" w:eastAsia="Times New Roman" w:hAnsi="Calibri" w:cs="Times New Roman"/>
                <w:color w:val="000000"/>
              </w:rPr>
            </w:pPr>
            <w:r>
              <w:rPr>
                <w:rFonts w:ascii="Calibri" w:eastAsia="Times New Roman" w:hAnsi="Calibri" w:cs="Times New Roman"/>
                <w:color w:val="000000"/>
              </w:rPr>
              <w:t>65+ yaş</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7.26</w:t>
            </w:r>
          </w:p>
        </w:tc>
      </w:tr>
      <w:tr w:rsidR="005942B2" w:rsidTr="005942B2">
        <w:trPr>
          <w:trHeight w:val="351"/>
        </w:trPr>
        <w:tc>
          <w:tcPr>
            <w:tcW w:w="2584" w:type="dxa"/>
            <w:noWrap/>
            <w:vAlign w:val="bottom"/>
            <w:hideMark/>
          </w:tcPr>
          <w:p w:rsidR="005942B2" w:rsidRDefault="00641BC6" w:rsidP="009D772B">
            <w:pPr>
              <w:spacing w:after="0"/>
              <w:rPr>
                <w:rFonts w:ascii="Calibri" w:eastAsia="Times New Roman" w:hAnsi="Calibri" w:cs="Times New Roman"/>
                <w:color w:val="000000"/>
              </w:rPr>
            </w:pPr>
            <w:r>
              <w:rPr>
                <w:rFonts w:ascii="Calibri" w:eastAsia="Times New Roman" w:hAnsi="Calibri" w:cs="Times New Roman"/>
                <w:color w:val="000000"/>
              </w:rPr>
              <w:t>Toplam</w:t>
            </w:r>
          </w:p>
        </w:tc>
        <w:tc>
          <w:tcPr>
            <w:tcW w:w="1409" w:type="dxa"/>
            <w:noWrap/>
            <w:vAlign w:val="bottom"/>
            <w:hideMark/>
          </w:tcPr>
          <w:p w:rsidR="005942B2" w:rsidRDefault="005942B2" w:rsidP="009D772B">
            <w:pPr>
              <w:spacing w:after="0"/>
              <w:jc w:val="right"/>
              <w:rPr>
                <w:rFonts w:ascii="Calibri" w:eastAsia="Times New Roman" w:hAnsi="Calibri" w:cs="Times New Roman"/>
                <w:color w:val="000000"/>
              </w:rPr>
            </w:pPr>
            <w:r>
              <w:rPr>
                <w:rFonts w:ascii="Calibri" w:eastAsia="Times New Roman" w:hAnsi="Calibri" w:cs="Times New Roman"/>
                <w:color w:val="000000"/>
              </w:rPr>
              <w:t>100</w:t>
            </w:r>
          </w:p>
        </w:tc>
      </w:tr>
    </w:tbl>
    <w:p w:rsidR="008D3536" w:rsidRPr="00CB5151" w:rsidRDefault="008D3536" w:rsidP="008D3536">
      <w:pPr>
        <w:rPr>
          <w:sz w:val="18"/>
          <w:szCs w:val="18"/>
        </w:rPr>
      </w:pPr>
      <w:r>
        <w:rPr>
          <w:sz w:val="18"/>
          <w:szCs w:val="18"/>
        </w:rPr>
        <w:t xml:space="preserve">Kaynak: </w:t>
      </w:r>
      <w:r w:rsidRPr="00990EA8">
        <w:rPr>
          <w:sz w:val="18"/>
          <w:szCs w:val="18"/>
        </w:rPr>
        <w:t>2013 Hanehal</w:t>
      </w:r>
      <w:r>
        <w:rPr>
          <w:sz w:val="18"/>
          <w:szCs w:val="18"/>
        </w:rPr>
        <w:t>kı</w:t>
      </w:r>
      <w:r w:rsidR="00DF579A">
        <w:rPr>
          <w:sz w:val="18"/>
          <w:szCs w:val="18"/>
        </w:rPr>
        <w:t xml:space="preserve"> İşgücü Anketi Mikro Veri Set</w:t>
      </w:r>
      <w:r>
        <w:rPr>
          <w:sz w:val="18"/>
          <w:szCs w:val="18"/>
        </w:rPr>
        <w:t>i</w:t>
      </w:r>
      <w:r w:rsidRPr="00990EA8">
        <w:rPr>
          <w:sz w:val="18"/>
          <w:szCs w:val="18"/>
        </w:rPr>
        <w:t>, TÜİK; Betam</w:t>
      </w:r>
    </w:p>
    <w:p w:rsidR="009D772B" w:rsidRPr="00641BC6" w:rsidRDefault="00076E3E" w:rsidP="00E40512">
      <w:pPr>
        <w:rPr>
          <w:b/>
        </w:rPr>
      </w:pPr>
      <w:r w:rsidRPr="00641BC6">
        <w:rPr>
          <w:b/>
        </w:rPr>
        <w:t>Ek 2 Eğitime devam etmeyen ve işgücüne dahil olmayanların iş aramama nedenleri</w:t>
      </w:r>
      <w:r w:rsidR="00837D95" w:rsidRPr="00641BC6">
        <w:rPr>
          <w:b/>
        </w:rPr>
        <w:t>, 2012</w:t>
      </w:r>
      <w:r w:rsidRPr="00641BC6">
        <w:rPr>
          <w:b/>
        </w:rPr>
        <w:t xml:space="preserve"> </w:t>
      </w:r>
    </w:p>
    <w:tbl>
      <w:tblPr>
        <w:tblW w:w="854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68"/>
        <w:gridCol w:w="876"/>
        <w:gridCol w:w="1134"/>
        <w:gridCol w:w="1134"/>
        <w:gridCol w:w="1134"/>
      </w:tblGrid>
      <w:tr w:rsidR="00DD72BE" w:rsidRPr="006C1B6A" w:rsidTr="00DD72BE">
        <w:trPr>
          <w:trHeight w:val="297"/>
        </w:trPr>
        <w:tc>
          <w:tcPr>
            <w:tcW w:w="4268" w:type="dxa"/>
            <w:shd w:val="clear" w:color="auto" w:fill="auto"/>
            <w:noWrap/>
            <w:vAlign w:val="bottom"/>
            <w:hideMark/>
          </w:tcPr>
          <w:p w:rsidR="00DD72BE" w:rsidRPr="006C1B6A" w:rsidRDefault="00DD72BE" w:rsidP="00D671C8">
            <w:pPr>
              <w:spacing w:after="0" w:line="240" w:lineRule="auto"/>
              <w:rPr>
                <w:rFonts w:ascii="Calibri" w:eastAsia="Times New Roman" w:hAnsi="Calibri" w:cs="Times New Roman"/>
                <w:b/>
                <w:bCs/>
                <w:color w:val="000000"/>
              </w:rPr>
            </w:pPr>
            <w:r w:rsidRPr="006C1B6A">
              <w:rPr>
                <w:rFonts w:ascii="Calibri" w:eastAsia="Times New Roman" w:hAnsi="Calibri" w:cs="Times New Roman"/>
                <w:b/>
                <w:bCs/>
                <w:color w:val="000000"/>
              </w:rPr>
              <w:t>İş aramama nedenleri</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Erkek</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Erkek (</w:t>
            </w:r>
            <w:r w:rsidRPr="006C1B6A">
              <w:rPr>
                <w:rFonts w:ascii="Calibri" w:eastAsia="Times New Roman" w:hAnsi="Calibri" w:cs="Times New Roman"/>
                <w:b/>
                <w:bCs/>
                <w:color w:val="000000"/>
              </w:rPr>
              <w:t>%)</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İş buldu başlamak için bekliyor</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8</w:t>
            </w:r>
            <w:r>
              <w:rPr>
                <w:rFonts w:ascii="Calibri" w:eastAsia="Times New Roman" w:hAnsi="Calibri" w:cs="Times New Roman"/>
                <w:color w:val="000000"/>
              </w:rPr>
              <w:t>.</w:t>
            </w:r>
            <w:r w:rsidRPr="006C1B6A">
              <w:rPr>
                <w:rFonts w:ascii="Calibri" w:eastAsia="Times New Roman" w:hAnsi="Calibri" w:cs="Times New Roman"/>
                <w:color w:val="000000"/>
              </w:rPr>
              <w:t>232</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1,9</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4</w:t>
            </w:r>
            <w:r>
              <w:rPr>
                <w:rFonts w:ascii="Calibri" w:eastAsia="Times New Roman" w:hAnsi="Calibri" w:cs="Times New Roman"/>
                <w:color w:val="000000"/>
              </w:rPr>
              <w:t>.</w:t>
            </w:r>
            <w:r w:rsidRPr="006C1B6A">
              <w:rPr>
                <w:rFonts w:ascii="Calibri" w:eastAsia="Times New Roman" w:hAnsi="Calibri" w:cs="Times New Roman"/>
                <w:color w:val="000000"/>
              </w:rPr>
              <w:t>674</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Ümidi kırık</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102</w:t>
            </w:r>
            <w:r>
              <w:rPr>
                <w:rFonts w:ascii="Calibri" w:eastAsia="Times New Roman" w:hAnsi="Calibri" w:cs="Times New Roman"/>
                <w:color w:val="000000"/>
              </w:rPr>
              <w:t>.</w:t>
            </w:r>
            <w:r w:rsidRPr="006C1B6A">
              <w:rPr>
                <w:rFonts w:ascii="Calibri" w:eastAsia="Times New Roman" w:hAnsi="Calibri" w:cs="Times New Roman"/>
                <w:color w:val="000000"/>
              </w:rPr>
              <w:t>916</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23,8</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22</w:t>
            </w:r>
            <w:r>
              <w:rPr>
                <w:rFonts w:ascii="Calibri" w:eastAsia="Times New Roman" w:hAnsi="Calibri" w:cs="Times New Roman"/>
                <w:color w:val="000000"/>
              </w:rPr>
              <w:t>.</w:t>
            </w:r>
            <w:r w:rsidRPr="006C1B6A">
              <w:rPr>
                <w:rFonts w:ascii="Calibri" w:eastAsia="Times New Roman" w:hAnsi="Calibri" w:cs="Times New Roman"/>
                <w:color w:val="000000"/>
              </w:rPr>
              <w:t>483</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Eğitim/öğretimine devam ediyor</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164</w:t>
            </w:r>
            <w:r>
              <w:rPr>
                <w:rFonts w:ascii="Calibri" w:eastAsia="Times New Roman" w:hAnsi="Calibri" w:cs="Times New Roman"/>
                <w:color w:val="000000"/>
              </w:rPr>
              <w:t>.</w:t>
            </w:r>
            <w:r w:rsidRPr="006C1B6A">
              <w:rPr>
                <w:rFonts w:ascii="Calibri" w:eastAsia="Times New Roman" w:hAnsi="Calibri" w:cs="Times New Roman"/>
                <w:color w:val="000000"/>
              </w:rPr>
              <w:t>848</w:t>
            </w:r>
          </w:p>
        </w:tc>
        <w:tc>
          <w:tcPr>
            <w:tcW w:w="1134" w:type="dxa"/>
            <w:vAlign w:val="bottom"/>
          </w:tcPr>
          <w:p w:rsidR="00DD72BE" w:rsidRPr="006C1B6A" w:rsidRDefault="00DD72BE" w:rsidP="00D671C8">
            <w:pPr>
              <w:tabs>
                <w:tab w:val="left" w:pos="923"/>
              </w:tabs>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38,1</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160</w:t>
            </w:r>
            <w:r>
              <w:rPr>
                <w:rFonts w:ascii="Calibri" w:eastAsia="Times New Roman" w:hAnsi="Calibri" w:cs="Times New Roman"/>
                <w:color w:val="000000"/>
              </w:rPr>
              <w:t>.</w:t>
            </w:r>
            <w:r w:rsidRPr="006C1B6A">
              <w:rPr>
                <w:rFonts w:ascii="Calibri" w:eastAsia="Times New Roman" w:hAnsi="Calibri" w:cs="Times New Roman"/>
                <w:color w:val="000000"/>
              </w:rPr>
              <w:t>737</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17,5</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Ev işleriyle meşgul ya da ailedeki çocuklara/bakıma muhtaç yetişkinlere bakıyor</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106</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0,0</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623</w:t>
            </w:r>
            <w:r>
              <w:rPr>
                <w:rFonts w:ascii="Calibri" w:eastAsia="Times New Roman" w:hAnsi="Calibri" w:cs="Times New Roman"/>
                <w:color w:val="000000"/>
              </w:rPr>
              <w:t>.</w:t>
            </w:r>
            <w:r w:rsidRPr="006C1B6A">
              <w:rPr>
                <w:rFonts w:ascii="Calibri" w:eastAsia="Times New Roman" w:hAnsi="Calibri" w:cs="Times New Roman"/>
                <w:color w:val="000000"/>
              </w:rPr>
              <w:t>628</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67,8</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 ailevi ve kişisel nedenler</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52</w:t>
            </w:r>
            <w:r>
              <w:rPr>
                <w:rFonts w:ascii="Calibri" w:eastAsia="Times New Roman" w:hAnsi="Calibri" w:cs="Times New Roman"/>
                <w:color w:val="000000"/>
              </w:rPr>
              <w:t>.</w:t>
            </w:r>
            <w:r w:rsidRPr="006C1B6A">
              <w:rPr>
                <w:rFonts w:ascii="Calibri" w:eastAsia="Times New Roman" w:hAnsi="Calibri" w:cs="Times New Roman"/>
                <w:color w:val="000000"/>
              </w:rPr>
              <w:t>427</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12,1</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48</w:t>
            </w:r>
            <w:r>
              <w:rPr>
                <w:rFonts w:ascii="Calibri" w:eastAsia="Times New Roman" w:hAnsi="Calibri" w:cs="Times New Roman"/>
                <w:color w:val="000000"/>
              </w:rPr>
              <w:t>.</w:t>
            </w:r>
            <w:r w:rsidRPr="006C1B6A">
              <w:rPr>
                <w:rFonts w:ascii="Calibri" w:eastAsia="Times New Roman" w:hAnsi="Calibri" w:cs="Times New Roman"/>
                <w:color w:val="000000"/>
              </w:rPr>
              <w:t>606</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Engelli </w:t>
            </w:r>
            <w:r w:rsidRPr="001944D9">
              <w:rPr>
                <w:rFonts w:ascii="Calibri" w:eastAsia="Times New Roman" w:hAnsi="Calibri" w:cs="Times New Roman"/>
                <w:bCs/>
                <w:color w:val="000000"/>
              </w:rPr>
              <w:t>veya hasta</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55</w:t>
            </w:r>
            <w:r>
              <w:rPr>
                <w:rFonts w:ascii="Calibri" w:eastAsia="Times New Roman" w:hAnsi="Calibri" w:cs="Times New Roman"/>
                <w:color w:val="000000"/>
              </w:rPr>
              <w:t>.</w:t>
            </w:r>
            <w:r w:rsidRPr="006C1B6A">
              <w:rPr>
                <w:rFonts w:ascii="Calibri" w:eastAsia="Times New Roman" w:hAnsi="Calibri" w:cs="Times New Roman"/>
                <w:color w:val="000000"/>
              </w:rPr>
              <w:t>920</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12,9</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33</w:t>
            </w:r>
            <w:r>
              <w:rPr>
                <w:rFonts w:ascii="Calibri" w:eastAsia="Times New Roman" w:hAnsi="Calibri" w:cs="Times New Roman"/>
                <w:color w:val="000000"/>
              </w:rPr>
              <w:t>.</w:t>
            </w:r>
            <w:r w:rsidRPr="006C1B6A">
              <w:rPr>
                <w:rFonts w:ascii="Calibri" w:eastAsia="Times New Roman" w:hAnsi="Calibri" w:cs="Times New Roman"/>
                <w:color w:val="000000"/>
              </w:rPr>
              <w:t>308</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48</w:t>
            </w:r>
            <w:r>
              <w:rPr>
                <w:rFonts w:ascii="Calibri" w:eastAsia="Times New Roman" w:hAnsi="Calibri" w:cs="Times New Roman"/>
                <w:color w:val="000000"/>
              </w:rPr>
              <w:t>.</w:t>
            </w:r>
            <w:r w:rsidRPr="006C1B6A">
              <w:rPr>
                <w:rFonts w:ascii="Calibri" w:eastAsia="Times New Roman" w:hAnsi="Calibri" w:cs="Times New Roman"/>
                <w:color w:val="000000"/>
              </w:rPr>
              <w:t>045</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Pr>
                <w:rFonts w:ascii="Calibri" w:eastAsia="Times New Roman" w:hAnsi="Calibri" w:cs="Times New Roman"/>
                <w:color w:val="000000"/>
              </w:rPr>
              <w:t>11,1</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26</w:t>
            </w:r>
            <w:r>
              <w:rPr>
                <w:rFonts w:ascii="Calibri" w:eastAsia="Times New Roman" w:hAnsi="Calibri" w:cs="Times New Roman"/>
                <w:color w:val="000000"/>
              </w:rPr>
              <w:t>.</w:t>
            </w:r>
            <w:r w:rsidRPr="006C1B6A">
              <w:rPr>
                <w:rFonts w:ascii="Calibri" w:eastAsia="Times New Roman" w:hAnsi="Calibri" w:cs="Times New Roman"/>
                <w:color w:val="000000"/>
              </w:rPr>
              <w:t>977</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r>
      <w:tr w:rsidR="00DD72BE" w:rsidRPr="006C1B6A" w:rsidTr="00DD72BE">
        <w:trPr>
          <w:trHeight w:val="297"/>
        </w:trPr>
        <w:tc>
          <w:tcPr>
            <w:tcW w:w="4268" w:type="dxa"/>
            <w:shd w:val="clear" w:color="auto" w:fill="auto"/>
            <w:noWrap/>
            <w:vAlign w:val="bottom"/>
            <w:hideMark/>
          </w:tcPr>
          <w:p w:rsidR="00DD72BE" w:rsidRPr="001944D9" w:rsidRDefault="00DD72BE" w:rsidP="00D671C8">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Toplam</w:t>
            </w:r>
          </w:p>
        </w:tc>
        <w:tc>
          <w:tcPr>
            <w:tcW w:w="876"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432</w:t>
            </w:r>
            <w:r>
              <w:rPr>
                <w:rFonts w:ascii="Calibri" w:eastAsia="Times New Roman" w:hAnsi="Calibri" w:cs="Times New Roman"/>
                <w:color w:val="000000"/>
              </w:rPr>
              <w:t>.</w:t>
            </w:r>
            <w:r w:rsidRPr="006C1B6A">
              <w:rPr>
                <w:rFonts w:ascii="Calibri" w:eastAsia="Times New Roman" w:hAnsi="Calibri" w:cs="Times New Roman"/>
                <w:color w:val="000000"/>
              </w:rPr>
              <w:t>494</w:t>
            </w:r>
          </w:p>
        </w:tc>
        <w:tc>
          <w:tcPr>
            <w:tcW w:w="1134" w:type="dxa"/>
            <w:vAlign w:val="bottom"/>
          </w:tcPr>
          <w:p w:rsidR="00DD72BE" w:rsidRPr="006C1B6A" w:rsidRDefault="00DD72BE" w:rsidP="00D671C8">
            <w:pPr>
              <w:spacing w:after="0" w:line="240" w:lineRule="auto"/>
              <w:ind w:right="174"/>
              <w:jc w:val="right"/>
              <w:rPr>
                <w:rFonts w:ascii="Calibri" w:eastAsia="Times New Roman" w:hAnsi="Calibri" w:cs="Times New Roman"/>
                <w:color w:val="000000"/>
              </w:rPr>
            </w:pPr>
            <w:r w:rsidRPr="006C1B6A">
              <w:rPr>
                <w:rFonts w:ascii="Calibri" w:eastAsia="Times New Roman" w:hAnsi="Calibri" w:cs="Times New Roman"/>
                <w:color w:val="000000"/>
              </w:rPr>
              <w:t>100</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920</w:t>
            </w:r>
            <w:r>
              <w:rPr>
                <w:rFonts w:ascii="Calibri" w:eastAsia="Times New Roman" w:hAnsi="Calibri" w:cs="Times New Roman"/>
                <w:color w:val="000000"/>
              </w:rPr>
              <w:t>.</w:t>
            </w:r>
            <w:r w:rsidRPr="006C1B6A">
              <w:rPr>
                <w:rFonts w:ascii="Calibri" w:eastAsia="Times New Roman" w:hAnsi="Calibri" w:cs="Times New Roman"/>
                <w:color w:val="000000"/>
              </w:rPr>
              <w:t>413</w:t>
            </w:r>
          </w:p>
        </w:tc>
        <w:tc>
          <w:tcPr>
            <w:tcW w:w="1134" w:type="dxa"/>
            <w:vAlign w:val="bottom"/>
          </w:tcPr>
          <w:p w:rsidR="00DD72BE" w:rsidRPr="006C1B6A" w:rsidRDefault="00DD72BE" w:rsidP="00D671C8">
            <w:pPr>
              <w:spacing w:after="0" w:line="240" w:lineRule="auto"/>
              <w:jc w:val="right"/>
              <w:rPr>
                <w:rFonts w:ascii="Calibri" w:eastAsia="Times New Roman" w:hAnsi="Calibri" w:cs="Times New Roman"/>
                <w:color w:val="000000"/>
              </w:rPr>
            </w:pPr>
            <w:r w:rsidRPr="006C1B6A">
              <w:rPr>
                <w:rFonts w:ascii="Calibri" w:eastAsia="Times New Roman" w:hAnsi="Calibri" w:cs="Times New Roman"/>
                <w:color w:val="000000"/>
              </w:rPr>
              <w:t>100</w:t>
            </w:r>
          </w:p>
        </w:tc>
      </w:tr>
    </w:tbl>
    <w:p w:rsidR="00F84202" w:rsidRPr="00CB5151" w:rsidRDefault="00F84202" w:rsidP="00F84202">
      <w:pPr>
        <w:rPr>
          <w:sz w:val="18"/>
          <w:szCs w:val="18"/>
        </w:rPr>
      </w:pPr>
      <w:r>
        <w:rPr>
          <w:sz w:val="18"/>
          <w:szCs w:val="18"/>
        </w:rPr>
        <w:t>Kaynak: 2012</w:t>
      </w:r>
      <w:r w:rsidRPr="00990EA8">
        <w:rPr>
          <w:sz w:val="18"/>
          <w:szCs w:val="18"/>
        </w:rPr>
        <w:t xml:space="preserve"> Hanehal</w:t>
      </w:r>
      <w:r>
        <w:rPr>
          <w:sz w:val="18"/>
          <w:szCs w:val="18"/>
        </w:rPr>
        <w:t>kı İşgücü Anketi Mikro Veri Seti</w:t>
      </w:r>
      <w:r w:rsidRPr="00990EA8">
        <w:rPr>
          <w:sz w:val="18"/>
          <w:szCs w:val="18"/>
        </w:rPr>
        <w:t>, TÜİK; Betam</w:t>
      </w:r>
    </w:p>
    <w:p w:rsidR="00366865" w:rsidRPr="00641BC6" w:rsidRDefault="00076E3E" w:rsidP="00E40512">
      <w:pPr>
        <w:rPr>
          <w:b/>
        </w:rPr>
      </w:pPr>
      <w:r w:rsidRPr="00641BC6">
        <w:rPr>
          <w:b/>
        </w:rPr>
        <w:t>Ek 3 Ümidi kırıkların en son mezun oldukları okullar</w:t>
      </w:r>
      <w:r w:rsidR="00837D95" w:rsidRPr="00641BC6">
        <w:rPr>
          <w:b/>
        </w:rPr>
        <w:t>, 2012</w:t>
      </w:r>
    </w:p>
    <w:tbl>
      <w:tblPr>
        <w:tblW w:w="9513"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276"/>
        <w:gridCol w:w="1016"/>
        <w:gridCol w:w="1016"/>
        <w:gridCol w:w="1016"/>
        <w:gridCol w:w="1016"/>
        <w:gridCol w:w="1016"/>
        <w:gridCol w:w="1157"/>
      </w:tblGrid>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p>
        </w:tc>
        <w:tc>
          <w:tcPr>
            <w:tcW w:w="1016" w:type="dxa"/>
            <w:vAlign w:val="bottom"/>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p>
        </w:tc>
        <w:tc>
          <w:tcPr>
            <w:tcW w:w="1016" w:type="dxa"/>
            <w:vAlign w:val="bottom"/>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r>
              <w:rPr>
                <w:rFonts w:ascii="Calibri" w:eastAsia="Times New Roman" w:hAnsi="Calibri" w:cs="Times New Roman"/>
                <w:b/>
                <w:bCs/>
                <w:color w:val="000000"/>
              </w:rPr>
              <w:t>(%)</w:t>
            </w:r>
          </w:p>
        </w:tc>
        <w:tc>
          <w:tcPr>
            <w:tcW w:w="1016" w:type="dxa"/>
            <w:vAlign w:val="bottom"/>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p>
        </w:tc>
        <w:tc>
          <w:tcPr>
            <w:tcW w:w="1016" w:type="dxa"/>
            <w:vAlign w:val="bottom"/>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r>
              <w:rPr>
                <w:rFonts w:ascii="Calibri" w:eastAsia="Times New Roman" w:hAnsi="Calibri" w:cs="Times New Roman"/>
                <w:b/>
                <w:bCs/>
                <w:color w:val="000000"/>
              </w:rPr>
              <w:t>(%)</w:t>
            </w:r>
          </w:p>
        </w:tc>
        <w:tc>
          <w:tcPr>
            <w:tcW w:w="101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p>
        </w:tc>
        <w:tc>
          <w:tcPr>
            <w:tcW w:w="1157"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r>
              <w:rPr>
                <w:rFonts w:ascii="Calibri" w:eastAsia="Times New Roman" w:hAnsi="Calibri" w:cs="Times New Roman"/>
                <w:b/>
                <w:bCs/>
                <w:color w:val="000000"/>
              </w:rPr>
              <w:t>(%)</w:t>
            </w:r>
          </w:p>
        </w:tc>
      </w:tr>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Herhangi bir eğitim kurumundan mezun olmayanlar</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22.813</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22,</w:t>
            </w:r>
            <w:r>
              <w:rPr>
                <w:rFonts w:ascii="Calibri" w:eastAsia="Times New Roman" w:hAnsi="Calibri" w:cs="Times New Roman"/>
                <w:color w:val="000000"/>
              </w:rPr>
              <w:t>2</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4.841</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21,5</w:t>
            </w:r>
          </w:p>
        </w:tc>
        <w:tc>
          <w:tcPr>
            <w:tcW w:w="1016"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27.654</w:t>
            </w:r>
          </w:p>
        </w:tc>
        <w:tc>
          <w:tcPr>
            <w:tcW w:w="1157"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22,</w:t>
            </w:r>
            <w:r>
              <w:rPr>
                <w:rFonts w:ascii="Calibri" w:eastAsia="Times New Roman" w:hAnsi="Calibri" w:cs="Times New Roman"/>
                <w:color w:val="000000"/>
              </w:rPr>
              <w:t>1</w:t>
            </w:r>
          </w:p>
        </w:tc>
      </w:tr>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İlköğretim (8 yıl)</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72.581</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70,5</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13.730</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61,</w:t>
            </w:r>
            <w:r>
              <w:rPr>
                <w:rFonts w:ascii="Calibri" w:eastAsia="Times New Roman" w:hAnsi="Calibri" w:cs="Times New Roman"/>
                <w:color w:val="000000"/>
              </w:rPr>
              <w:t>1</w:t>
            </w:r>
          </w:p>
        </w:tc>
        <w:tc>
          <w:tcPr>
            <w:tcW w:w="1016"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86.311</w:t>
            </w:r>
          </w:p>
        </w:tc>
        <w:tc>
          <w:tcPr>
            <w:tcW w:w="1157"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68,8</w:t>
            </w:r>
          </w:p>
        </w:tc>
      </w:tr>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Genel lise</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5.657</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1.594</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7,0</w:t>
            </w:r>
            <w:r>
              <w:rPr>
                <w:rFonts w:ascii="Calibri" w:eastAsia="Times New Roman" w:hAnsi="Calibri" w:cs="Times New Roman"/>
                <w:color w:val="000000"/>
              </w:rPr>
              <w:t>1</w:t>
            </w:r>
          </w:p>
        </w:tc>
        <w:tc>
          <w:tcPr>
            <w:tcW w:w="1016"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7.251</w:t>
            </w:r>
          </w:p>
        </w:tc>
        <w:tc>
          <w:tcPr>
            <w:tcW w:w="1157"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p>
        </w:tc>
      </w:tr>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Mesleki veya teknik lise</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1.866</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2.318</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10,</w:t>
            </w:r>
            <w:r>
              <w:rPr>
                <w:rFonts w:ascii="Calibri" w:eastAsia="Times New Roman" w:hAnsi="Calibri" w:cs="Times New Roman"/>
                <w:color w:val="000000"/>
              </w:rPr>
              <w:t>3</w:t>
            </w:r>
          </w:p>
        </w:tc>
        <w:tc>
          <w:tcPr>
            <w:tcW w:w="1016"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4.183</w:t>
            </w:r>
          </w:p>
        </w:tc>
        <w:tc>
          <w:tcPr>
            <w:tcW w:w="1157"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r>
      <w:tr w:rsidR="00DD72BE" w:rsidRPr="00E55781" w:rsidTr="00D671C8">
        <w:trPr>
          <w:trHeight w:val="300"/>
        </w:trPr>
        <w:tc>
          <w:tcPr>
            <w:tcW w:w="3276" w:type="dxa"/>
            <w:shd w:val="clear" w:color="auto" w:fill="auto"/>
            <w:noWrap/>
            <w:vAlign w:val="bottom"/>
            <w:hideMark/>
          </w:tcPr>
          <w:p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w:t>
            </w:r>
            <w:r>
              <w:rPr>
                <w:rFonts w:ascii="Calibri" w:eastAsia="Times New Roman" w:hAnsi="Calibri" w:cs="Times New Roman"/>
                <w:b/>
                <w:bCs/>
                <w:color w:val="000000"/>
              </w:rPr>
              <w:t>plam</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102.916</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100</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22.483</w:t>
            </w:r>
          </w:p>
        </w:tc>
        <w:tc>
          <w:tcPr>
            <w:tcW w:w="1016" w:type="dxa"/>
            <w:vAlign w:val="bottom"/>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100</w:t>
            </w:r>
          </w:p>
        </w:tc>
        <w:tc>
          <w:tcPr>
            <w:tcW w:w="1016"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125.399</w:t>
            </w:r>
          </w:p>
        </w:tc>
        <w:tc>
          <w:tcPr>
            <w:tcW w:w="1157" w:type="dxa"/>
            <w:shd w:val="clear" w:color="auto" w:fill="auto"/>
            <w:noWrap/>
            <w:vAlign w:val="bottom"/>
            <w:hideMark/>
          </w:tcPr>
          <w:p w:rsidR="00DD72BE" w:rsidRPr="00E55781" w:rsidRDefault="00DD72BE" w:rsidP="00D671C8">
            <w:pPr>
              <w:spacing w:after="0" w:line="240" w:lineRule="auto"/>
              <w:jc w:val="right"/>
              <w:rPr>
                <w:rFonts w:ascii="Calibri" w:eastAsia="Times New Roman" w:hAnsi="Calibri" w:cs="Times New Roman"/>
                <w:color w:val="000000"/>
              </w:rPr>
            </w:pPr>
            <w:r w:rsidRPr="00E55781">
              <w:rPr>
                <w:rFonts w:ascii="Calibri" w:eastAsia="Times New Roman" w:hAnsi="Calibri" w:cs="Times New Roman"/>
                <w:color w:val="000000"/>
              </w:rPr>
              <w:t>100</w:t>
            </w:r>
          </w:p>
        </w:tc>
      </w:tr>
    </w:tbl>
    <w:p w:rsidR="00366865" w:rsidRDefault="00F84202" w:rsidP="00E40512">
      <w:r>
        <w:rPr>
          <w:sz w:val="18"/>
          <w:szCs w:val="18"/>
        </w:rPr>
        <w:t>Kaynak: 2012</w:t>
      </w:r>
      <w:r w:rsidRPr="00990EA8">
        <w:rPr>
          <w:sz w:val="18"/>
          <w:szCs w:val="18"/>
        </w:rPr>
        <w:t xml:space="preserve"> Hanehal</w:t>
      </w:r>
      <w:r>
        <w:rPr>
          <w:sz w:val="18"/>
          <w:szCs w:val="18"/>
        </w:rPr>
        <w:t>kı İşgücü Anketi Mikro Veri Seti</w:t>
      </w:r>
      <w:r w:rsidRPr="00990EA8">
        <w:rPr>
          <w:sz w:val="18"/>
          <w:szCs w:val="18"/>
        </w:rPr>
        <w:t>, TÜİK; Betam</w:t>
      </w:r>
    </w:p>
    <w:sectPr w:rsidR="00366865" w:rsidSect="00133D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CC" w:rsidRDefault="00835FCC" w:rsidP="00325A62">
      <w:pPr>
        <w:spacing w:after="0" w:line="240" w:lineRule="auto"/>
      </w:pPr>
      <w:r>
        <w:separator/>
      </w:r>
    </w:p>
  </w:endnote>
  <w:endnote w:type="continuationSeparator" w:id="0">
    <w:p w:rsidR="00835FCC" w:rsidRDefault="00835FCC"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62806"/>
      <w:docPartObj>
        <w:docPartGallery w:val="Page Numbers (Bottom of Page)"/>
        <w:docPartUnique/>
      </w:docPartObj>
    </w:sdtPr>
    <w:sdtContent>
      <w:p w:rsidR="00D671C8" w:rsidRDefault="00D671C8">
        <w:pPr>
          <w:pStyle w:val="Footer"/>
          <w:jc w:val="right"/>
        </w:pPr>
        <w:r>
          <w:fldChar w:fldCharType="begin"/>
        </w:r>
        <w:r>
          <w:instrText xml:space="preserve"> PAGE   \* MERGEFORMAT </w:instrText>
        </w:r>
        <w:r>
          <w:fldChar w:fldCharType="separate"/>
        </w:r>
        <w:r w:rsidR="002B0766">
          <w:rPr>
            <w:noProof/>
          </w:rPr>
          <w:t>2</w:t>
        </w:r>
        <w:r>
          <w:rPr>
            <w:noProof/>
          </w:rPr>
          <w:fldChar w:fldCharType="end"/>
        </w:r>
      </w:p>
    </w:sdtContent>
  </w:sdt>
  <w:p w:rsidR="00D671C8" w:rsidRDefault="00D6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CC" w:rsidRDefault="00835FCC" w:rsidP="00325A62">
      <w:pPr>
        <w:spacing w:after="0" w:line="240" w:lineRule="auto"/>
      </w:pPr>
      <w:r>
        <w:separator/>
      </w:r>
    </w:p>
  </w:footnote>
  <w:footnote w:type="continuationSeparator" w:id="0">
    <w:p w:rsidR="00835FCC" w:rsidRDefault="00835FCC" w:rsidP="00325A62">
      <w:pPr>
        <w:spacing w:after="0" w:line="240" w:lineRule="auto"/>
      </w:pPr>
      <w:r>
        <w:continuationSeparator/>
      </w:r>
    </w:p>
  </w:footnote>
  <w:footnote w:id="1">
    <w:p w:rsidR="00D671C8" w:rsidRPr="00792FC4" w:rsidRDefault="00D671C8" w:rsidP="003270F7">
      <w:pPr>
        <w:pStyle w:val="FootnoteText"/>
        <w:rPr>
          <w:sz w:val="16"/>
          <w:szCs w:val="16"/>
          <w:lang w:val="en-US"/>
        </w:rPr>
      </w:pPr>
      <w:r w:rsidRPr="00792FC4">
        <w:rPr>
          <w:rStyle w:val="FootnoteReference"/>
          <w:rFonts w:cs="Arial"/>
          <w:sz w:val="16"/>
          <w:szCs w:val="16"/>
        </w:rPr>
        <w:sym w:font="Symbol" w:char="F02A"/>
      </w:r>
      <w:r w:rsidRPr="00792FC4">
        <w:rPr>
          <w:rFonts w:cs="Arial"/>
          <w:b/>
          <w:bCs/>
          <w:sz w:val="16"/>
          <w:szCs w:val="16"/>
          <w:lang w:val="en-US"/>
        </w:rPr>
        <w:t xml:space="preserve"> </w:t>
      </w:r>
      <w:r w:rsidRPr="00792FC4">
        <w:rPr>
          <w:rFonts w:cs="Arial"/>
          <w:sz w:val="16"/>
          <w:szCs w:val="16"/>
          <w:lang w:val="en-US"/>
        </w:rPr>
        <w:t xml:space="preserve">Prof. Seyfettin </w:t>
      </w:r>
      <w:proofErr w:type="spellStart"/>
      <w:r w:rsidRPr="00792FC4">
        <w:rPr>
          <w:rFonts w:cs="Arial"/>
          <w:sz w:val="16"/>
          <w:szCs w:val="16"/>
          <w:lang w:val="en-US"/>
        </w:rPr>
        <w:t>Gürsel</w:t>
      </w:r>
      <w:proofErr w:type="spellEnd"/>
      <w:r w:rsidRPr="00792FC4">
        <w:rPr>
          <w:rFonts w:cs="Arial"/>
          <w:sz w:val="16"/>
          <w:szCs w:val="16"/>
          <w:lang w:val="en-US"/>
        </w:rPr>
        <w:t xml:space="preserve">, Betam, </w:t>
      </w:r>
      <w:proofErr w:type="spellStart"/>
      <w:r w:rsidRPr="00792FC4">
        <w:rPr>
          <w:rFonts w:cs="Arial"/>
          <w:sz w:val="16"/>
          <w:szCs w:val="16"/>
          <w:lang w:val="en-US"/>
        </w:rPr>
        <w:t>Direktör</w:t>
      </w:r>
      <w:proofErr w:type="spellEnd"/>
      <w:r w:rsidRPr="00792FC4">
        <w:rPr>
          <w:rFonts w:cs="Arial"/>
          <w:sz w:val="16"/>
          <w:szCs w:val="16"/>
          <w:lang w:val="en-US"/>
        </w:rPr>
        <w:t>, seyfettin.gursel@eas.bahcesehir.edu.tr</w:t>
      </w:r>
    </w:p>
  </w:footnote>
  <w:footnote w:id="2">
    <w:p w:rsidR="00D671C8" w:rsidRPr="00792FC4" w:rsidRDefault="00D671C8" w:rsidP="003270F7">
      <w:pPr>
        <w:pStyle w:val="FootnoteText"/>
        <w:rPr>
          <w:rFonts w:cs="Arial"/>
          <w:sz w:val="16"/>
          <w:szCs w:val="16"/>
          <w:lang w:val="en-US"/>
        </w:rPr>
      </w:pPr>
      <w:r w:rsidRPr="00792FC4">
        <w:rPr>
          <w:rStyle w:val="FootnoteReference"/>
          <w:rFonts w:cs="Arial"/>
          <w:sz w:val="16"/>
          <w:szCs w:val="16"/>
        </w:rPr>
        <w:sym w:font="Symbol" w:char="F02A"/>
      </w:r>
      <w:r w:rsidRPr="00792FC4">
        <w:rPr>
          <w:rStyle w:val="FootnoteReference"/>
          <w:rFonts w:cs="Arial"/>
          <w:sz w:val="16"/>
          <w:szCs w:val="16"/>
        </w:rPr>
        <w:sym w:font="Symbol" w:char="F02A"/>
      </w:r>
      <w:r w:rsidRPr="00792FC4">
        <w:rPr>
          <w:rFonts w:cs="Arial"/>
          <w:sz w:val="16"/>
          <w:szCs w:val="16"/>
        </w:rPr>
        <w:t xml:space="preserve"> </w:t>
      </w:r>
      <w:r w:rsidRPr="00792FC4">
        <w:rPr>
          <w:rFonts w:cs="Arial"/>
          <w:sz w:val="16"/>
          <w:szCs w:val="16"/>
        </w:rPr>
        <w:t xml:space="preserve">Yrd. Doç. Dr. </w:t>
      </w:r>
      <w:proofErr w:type="spellStart"/>
      <w:r w:rsidRPr="00792FC4">
        <w:rPr>
          <w:rFonts w:cs="Arial"/>
          <w:sz w:val="16"/>
          <w:szCs w:val="16"/>
          <w:lang w:val="en-US"/>
        </w:rPr>
        <w:t>Gökçe</w:t>
      </w:r>
      <w:proofErr w:type="spellEnd"/>
      <w:r w:rsidRPr="00792FC4">
        <w:rPr>
          <w:rFonts w:cs="Arial"/>
          <w:sz w:val="16"/>
          <w:szCs w:val="16"/>
          <w:lang w:val="en-US"/>
        </w:rPr>
        <w:t xml:space="preserve"> Uysal, Betam , </w:t>
      </w:r>
      <w:proofErr w:type="spellStart"/>
      <w:r w:rsidRPr="00792FC4">
        <w:rPr>
          <w:rFonts w:cs="Arial"/>
          <w:sz w:val="16"/>
          <w:szCs w:val="16"/>
          <w:lang w:val="en-US"/>
        </w:rPr>
        <w:t>Direktör</w:t>
      </w:r>
      <w:proofErr w:type="spellEnd"/>
      <w:r w:rsidRPr="00792FC4">
        <w:rPr>
          <w:rFonts w:cs="Arial"/>
          <w:sz w:val="16"/>
          <w:szCs w:val="16"/>
          <w:lang w:val="en-US"/>
        </w:rPr>
        <w:t xml:space="preserve"> </w:t>
      </w:r>
      <w:proofErr w:type="spellStart"/>
      <w:r w:rsidRPr="00792FC4">
        <w:rPr>
          <w:rFonts w:cs="Arial"/>
          <w:sz w:val="16"/>
          <w:szCs w:val="16"/>
          <w:lang w:val="en-US"/>
        </w:rPr>
        <w:t>Yardımcısı</w:t>
      </w:r>
      <w:proofErr w:type="spellEnd"/>
      <w:r w:rsidRPr="00792FC4">
        <w:rPr>
          <w:rFonts w:cs="Arial"/>
          <w:sz w:val="16"/>
          <w:szCs w:val="16"/>
          <w:lang w:val="en-US"/>
        </w:rPr>
        <w:t xml:space="preserve">, </w:t>
      </w:r>
      <w:hyperlink r:id="rId1" w:history="1">
        <w:r w:rsidRPr="00792FC4">
          <w:rPr>
            <w:rFonts w:cs="Arial"/>
            <w:sz w:val="16"/>
            <w:szCs w:val="16"/>
            <w:lang w:val="en-US"/>
          </w:rPr>
          <w:t>gokce.uysal@eas.bahcesehir.edu.tr</w:t>
        </w:r>
      </w:hyperlink>
      <w:r w:rsidRPr="00792FC4">
        <w:rPr>
          <w:rFonts w:cs="Arial"/>
          <w:sz w:val="16"/>
          <w:szCs w:val="16"/>
          <w:lang w:val="en-US"/>
        </w:rPr>
        <w:t xml:space="preserve"> </w:t>
      </w:r>
    </w:p>
  </w:footnote>
  <w:footnote w:id="3">
    <w:p w:rsidR="00D671C8" w:rsidRPr="00CC3D09" w:rsidRDefault="00D671C8" w:rsidP="003270F7">
      <w:pPr>
        <w:pStyle w:val="FootnoteText"/>
        <w:rPr>
          <w:rFonts w:ascii="Arial" w:hAnsi="Arial" w:cs="Arial"/>
          <w:sz w:val="16"/>
          <w:szCs w:val="16"/>
        </w:rPr>
      </w:pPr>
      <w:r w:rsidRPr="00792FC4">
        <w:rPr>
          <w:rStyle w:val="FootnoteReference"/>
          <w:rFonts w:cs="Arial"/>
          <w:sz w:val="16"/>
          <w:szCs w:val="16"/>
        </w:rPr>
        <w:sym w:font="Symbol" w:char="F02A"/>
      </w:r>
      <w:r w:rsidRPr="00792FC4">
        <w:rPr>
          <w:rStyle w:val="FootnoteReference"/>
          <w:rFonts w:cs="Arial"/>
          <w:sz w:val="16"/>
          <w:szCs w:val="16"/>
        </w:rPr>
        <w:sym w:font="Symbol" w:char="F02A"/>
      </w:r>
      <w:r w:rsidRPr="00792FC4">
        <w:rPr>
          <w:rStyle w:val="FootnoteReference"/>
          <w:rFonts w:cs="Arial"/>
          <w:sz w:val="16"/>
          <w:szCs w:val="16"/>
        </w:rPr>
        <w:sym w:font="Symbol" w:char="F02A"/>
      </w:r>
      <w:r w:rsidRPr="00792FC4">
        <w:rPr>
          <w:rFonts w:cs="Arial"/>
          <w:sz w:val="16"/>
          <w:szCs w:val="16"/>
        </w:rPr>
        <w:t xml:space="preserve"> </w:t>
      </w:r>
      <w:r w:rsidRPr="00792FC4">
        <w:rPr>
          <w:rFonts w:cs="Arial"/>
          <w:sz w:val="16"/>
          <w:szCs w:val="16"/>
          <w:lang w:val="en-US"/>
        </w:rPr>
        <w:t xml:space="preserve">Melike </w:t>
      </w:r>
      <w:proofErr w:type="spellStart"/>
      <w:r w:rsidRPr="00792FC4">
        <w:rPr>
          <w:rFonts w:cs="Arial"/>
          <w:sz w:val="16"/>
          <w:szCs w:val="16"/>
          <w:lang w:val="en-US"/>
        </w:rPr>
        <w:t>Kökkızıl</w:t>
      </w:r>
      <w:proofErr w:type="spellEnd"/>
      <w:r w:rsidRPr="00792FC4">
        <w:rPr>
          <w:rFonts w:cs="Arial"/>
          <w:sz w:val="16"/>
          <w:szCs w:val="16"/>
          <w:lang w:val="en-US"/>
        </w:rPr>
        <w:t xml:space="preserve">, Betam, </w:t>
      </w:r>
      <w:proofErr w:type="spellStart"/>
      <w:r w:rsidRPr="00792FC4">
        <w:rPr>
          <w:rFonts w:cs="Arial"/>
          <w:sz w:val="16"/>
          <w:szCs w:val="16"/>
          <w:lang w:val="en-US"/>
        </w:rPr>
        <w:t>Araştırma</w:t>
      </w:r>
      <w:proofErr w:type="spellEnd"/>
      <w:r w:rsidRPr="00792FC4">
        <w:rPr>
          <w:rFonts w:cs="Arial"/>
          <w:sz w:val="16"/>
          <w:szCs w:val="16"/>
          <w:lang w:val="en-US"/>
        </w:rPr>
        <w:t xml:space="preserve"> </w:t>
      </w:r>
      <w:proofErr w:type="spellStart"/>
      <w:r w:rsidRPr="00792FC4">
        <w:rPr>
          <w:rFonts w:cs="Arial"/>
          <w:sz w:val="16"/>
          <w:szCs w:val="16"/>
          <w:lang w:val="en-US"/>
        </w:rPr>
        <w:t>Asistanı</w:t>
      </w:r>
      <w:proofErr w:type="spellEnd"/>
      <w:r w:rsidRPr="00792FC4">
        <w:rPr>
          <w:rFonts w:cs="Arial"/>
          <w:sz w:val="16"/>
          <w:szCs w:val="16"/>
          <w:lang w:val="en-US"/>
        </w:rPr>
        <w:t>, melike.kokkizil@eas.bahcesehir.edu.tr</w:t>
      </w:r>
    </w:p>
  </w:footnote>
  <w:footnote w:id="4">
    <w:p w:rsidR="00D671C8" w:rsidRDefault="00D671C8">
      <w:pPr>
        <w:pStyle w:val="FootnoteText"/>
      </w:pPr>
      <w:r>
        <w:rPr>
          <w:rStyle w:val="FootnoteReference"/>
        </w:rPr>
        <w:footnoteRef/>
      </w:r>
      <w:r>
        <w:t xml:space="preserve"> </w:t>
      </w:r>
      <w:r>
        <w:t xml:space="preserve">Hanehalkı İşgücü Anketi 2013 yılı verileri, Betam hesaplamaları. Bakınız Ek 1.  </w:t>
      </w:r>
    </w:p>
  </w:footnote>
  <w:footnote w:id="5">
    <w:p w:rsidR="00D671C8" w:rsidRDefault="00D671C8">
      <w:pPr>
        <w:pStyle w:val="FootnoteText"/>
      </w:pPr>
      <w:r>
        <w:rPr>
          <w:rStyle w:val="FootnoteReference"/>
        </w:rPr>
        <w:footnoteRef/>
      </w:r>
      <w:r>
        <w:t xml:space="preserve"> </w:t>
      </w:r>
      <w:r w:rsidRPr="00F21A9E">
        <w:t>Tablo 5 ve Tablo 6'daki istatistiklerin 2012 yılı verileri eklerde verilmektedir.</w:t>
      </w:r>
    </w:p>
  </w:footnote>
  <w:footnote w:id="6">
    <w:p w:rsidR="00D671C8" w:rsidRDefault="00D671C8" w:rsidP="00D671C8">
      <w:pPr>
        <w:pStyle w:val="FootnoteText"/>
      </w:pPr>
      <w:r>
        <w:rPr>
          <w:rStyle w:val="FootnoteReference"/>
        </w:rPr>
        <w:footnoteRef/>
      </w:r>
      <w:r>
        <w:t xml:space="preserve"> </w:t>
      </w:r>
      <w:r w:rsidRPr="002A51A6">
        <w:t>http://sgb.meb.gov.tr/istatistik/meb_istatistikleri_orgun_egitim_2013_2014.pdf</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5"/>
    <w:rsid w:val="0000177E"/>
    <w:rsid w:val="00001AD3"/>
    <w:rsid w:val="00003CC9"/>
    <w:rsid w:val="000057B7"/>
    <w:rsid w:val="00006A7A"/>
    <w:rsid w:val="00006B82"/>
    <w:rsid w:val="0001178B"/>
    <w:rsid w:val="00013DBA"/>
    <w:rsid w:val="000143E1"/>
    <w:rsid w:val="000231F4"/>
    <w:rsid w:val="000350D9"/>
    <w:rsid w:val="000351F0"/>
    <w:rsid w:val="000367A9"/>
    <w:rsid w:val="0004216A"/>
    <w:rsid w:val="00047842"/>
    <w:rsid w:val="000478FE"/>
    <w:rsid w:val="00051690"/>
    <w:rsid w:val="00054707"/>
    <w:rsid w:val="000602B0"/>
    <w:rsid w:val="00061525"/>
    <w:rsid w:val="00061F1D"/>
    <w:rsid w:val="000629DD"/>
    <w:rsid w:val="00065E2D"/>
    <w:rsid w:val="00073ACB"/>
    <w:rsid w:val="00076343"/>
    <w:rsid w:val="00076E3E"/>
    <w:rsid w:val="0008204E"/>
    <w:rsid w:val="00082388"/>
    <w:rsid w:val="00083891"/>
    <w:rsid w:val="00093002"/>
    <w:rsid w:val="00094429"/>
    <w:rsid w:val="000A1165"/>
    <w:rsid w:val="000B064A"/>
    <w:rsid w:val="000B0EDA"/>
    <w:rsid w:val="000B30BA"/>
    <w:rsid w:val="000B39A5"/>
    <w:rsid w:val="000B3EE8"/>
    <w:rsid w:val="000B45CD"/>
    <w:rsid w:val="000B52D7"/>
    <w:rsid w:val="000C276F"/>
    <w:rsid w:val="000F5644"/>
    <w:rsid w:val="000F5AF4"/>
    <w:rsid w:val="001005D5"/>
    <w:rsid w:val="001019A3"/>
    <w:rsid w:val="00103081"/>
    <w:rsid w:val="0010445E"/>
    <w:rsid w:val="00114D5A"/>
    <w:rsid w:val="00121EBF"/>
    <w:rsid w:val="00123024"/>
    <w:rsid w:val="0012329A"/>
    <w:rsid w:val="00124AE4"/>
    <w:rsid w:val="00126D1D"/>
    <w:rsid w:val="00131A0C"/>
    <w:rsid w:val="00131AB2"/>
    <w:rsid w:val="00133384"/>
    <w:rsid w:val="00133947"/>
    <w:rsid w:val="00133D9F"/>
    <w:rsid w:val="00134A75"/>
    <w:rsid w:val="00136F18"/>
    <w:rsid w:val="001374A8"/>
    <w:rsid w:val="00151244"/>
    <w:rsid w:val="00152F8F"/>
    <w:rsid w:val="00154D8C"/>
    <w:rsid w:val="001578FF"/>
    <w:rsid w:val="00162C57"/>
    <w:rsid w:val="001646E3"/>
    <w:rsid w:val="001663EC"/>
    <w:rsid w:val="001679A6"/>
    <w:rsid w:val="0017004E"/>
    <w:rsid w:val="001710EE"/>
    <w:rsid w:val="00171C51"/>
    <w:rsid w:val="00174ADD"/>
    <w:rsid w:val="001807C8"/>
    <w:rsid w:val="00181377"/>
    <w:rsid w:val="00183462"/>
    <w:rsid w:val="00183B10"/>
    <w:rsid w:val="00186B19"/>
    <w:rsid w:val="00186ED5"/>
    <w:rsid w:val="001873BF"/>
    <w:rsid w:val="00192C37"/>
    <w:rsid w:val="001945A1"/>
    <w:rsid w:val="00197BE3"/>
    <w:rsid w:val="001A5E7C"/>
    <w:rsid w:val="001B206C"/>
    <w:rsid w:val="001B21AE"/>
    <w:rsid w:val="001C34C0"/>
    <w:rsid w:val="001C450E"/>
    <w:rsid w:val="001C4766"/>
    <w:rsid w:val="001C60C8"/>
    <w:rsid w:val="001C77DC"/>
    <w:rsid w:val="001D5D7B"/>
    <w:rsid w:val="001D6897"/>
    <w:rsid w:val="001E5772"/>
    <w:rsid w:val="001F7FE5"/>
    <w:rsid w:val="00203580"/>
    <w:rsid w:val="0021130B"/>
    <w:rsid w:val="00214DE5"/>
    <w:rsid w:val="002167D1"/>
    <w:rsid w:val="00225658"/>
    <w:rsid w:val="0022656B"/>
    <w:rsid w:val="0022664D"/>
    <w:rsid w:val="002304B7"/>
    <w:rsid w:val="00230BB0"/>
    <w:rsid w:val="00231A97"/>
    <w:rsid w:val="00236A7C"/>
    <w:rsid w:val="002379BA"/>
    <w:rsid w:val="002414C2"/>
    <w:rsid w:val="00242A8F"/>
    <w:rsid w:val="00242ADA"/>
    <w:rsid w:val="00262274"/>
    <w:rsid w:val="00266797"/>
    <w:rsid w:val="00267F74"/>
    <w:rsid w:val="00271440"/>
    <w:rsid w:val="00274433"/>
    <w:rsid w:val="0027445F"/>
    <w:rsid w:val="002753E4"/>
    <w:rsid w:val="002757B3"/>
    <w:rsid w:val="00276CF8"/>
    <w:rsid w:val="002801C3"/>
    <w:rsid w:val="00280606"/>
    <w:rsid w:val="00284BE5"/>
    <w:rsid w:val="00286FAA"/>
    <w:rsid w:val="002877D5"/>
    <w:rsid w:val="00290F3D"/>
    <w:rsid w:val="00291DB3"/>
    <w:rsid w:val="002923AA"/>
    <w:rsid w:val="002A2158"/>
    <w:rsid w:val="002A3D0F"/>
    <w:rsid w:val="002A51A1"/>
    <w:rsid w:val="002A51A6"/>
    <w:rsid w:val="002B0766"/>
    <w:rsid w:val="002B1103"/>
    <w:rsid w:val="002C12B1"/>
    <w:rsid w:val="002D3A29"/>
    <w:rsid w:val="002D7528"/>
    <w:rsid w:val="002E1FDD"/>
    <w:rsid w:val="002E2A5C"/>
    <w:rsid w:val="002E764C"/>
    <w:rsid w:val="002F32A5"/>
    <w:rsid w:val="002F699C"/>
    <w:rsid w:val="002F7D80"/>
    <w:rsid w:val="00300672"/>
    <w:rsid w:val="00301551"/>
    <w:rsid w:val="00307A13"/>
    <w:rsid w:val="003131C1"/>
    <w:rsid w:val="003137CA"/>
    <w:rsid w:val="00320BF2"/>
    <w:rsid w:val="00325A62"/>
    <w:rsid w:val="003270F7"/>
    <w:rsid w:val="003277E7"/>
    <w:rsid w:val="00336D14"/>
    <w:rsid w:val="00341A64"/>
    <w:rsid w:val="00345301"/>
    <w:rsid w:val="003474D6"/>
    <w:rsid w:val="0035382C"/>
    <w:rsid w:val="00354AE0"/>
    <w:rsid w:val="00356769"/>
    <w:rsid w:val="00360A42"/>
    <w:rsid w:val="00364821"/>
    <w:rsid w:val="00366865"/>
    <w:rsid w:val="00370E08"/>
    <w:rsid w:val="00371D27"/>
    <w:rsid w:val="003729CA"/>
    <w:rsid w:val="00375760"/>
    <w:rsid w:val="003812FA"/>
    <w:rsid w:val="00386F9E"/>
    <w:rsid w:val="00395821"/>
    <w:rsid w:val="0039649C"/>
    <w:rsid w:val="003A213B"/>
    <w:rsid w:val="003A3543"/>
    <w:rsid w:val="003A5082"/>
    <w:rsid w:val="003A509F"/>
    <w:rsid w:val="003B4DCD"/>
    <w:rsid w:val="003B7B00"/>
    <w:rsid w:val="003C04D6"/>
    <w:rsid w:val="003C6194"/>
    <w:rsid w:val="003D457A"/>
    <w:rsid w:val="003E2F58"/>
    <w:rsid w:val="003E429F"/>
    <w:rsid w:val="003E7C44"/>
    <w:rsid w:val="003E7E36"/>
    <w:rsid w:val="003F35FB"/>
    <w:rsid w:val="0040149C"/>
    <w:rsid w:val="004032E6"/>
    <w:rsid w:val="004048F6"/>
    <w:rsid w:val="00404C80"/>
    <w:rsid w:val="0041530A"/>
    <w:rsid w:val="00416743"/>
    <w:rsid w:val="00417267"/>
    <w:rsid w:val="004178AF"/>
    <w:rsid w:val="00417C68"/>
    <w:rsid w:val="00420B40"/>
    <w:rsid w:val="00420D12"/>
    <w:rsid w:val="00422C83"/>
    <w:rsid w:val="00430AE4"/>
    <w:rsid w:val="004335D8"/>
    <w:rsid w:val="0044014C"/>
    <w:rsid w:val="00440C3D"/>
    <w:rsid w:val="00441474"/>
    <w:rsid w:val="00443C00"/>
    <w:rsid w:val="00446505"/>
    <w:rsid w:val="00452581"/>
    <w:rsid w:val="00456758"/>
    <w:rsid w:val="00456D74"/>
    <w:rsid w:val="00461572"/>
    <w:rsid w:val="00461EF3"/>
    <w:rsid w:val="00462271"/>
    <w:rsid w:val="004647A2"/>
    <w:rsid w:val="00464A21"/>
    <w:rsid w:val="00470250"/>
    <w:rsid w:val="00470A43"/>
    <w:rsid w:val="004743A8"/>
    <w:rsid w:val="004748D4"/>
    <w:rsid w:val="00486F52"/>
    <w:rsid w:val="004941D0"/>
    <w:rsid w:val="00496971"/>
    <w:rsid w:val="00497A1B"/>
    <w:rsid w:val="004A19AD"/>
    <w:rsid w:val="004A2C10"/>
    <w:rsid w:val="004A2CF9"/>
    <w:rsid w:val="004A3C36"/>
    <w:rsid w:val="004A6338"/>
    <w:rsid w:val="004A68E5"/>
    <w:rsid w:val="004A7ED9"/>
    <w:rsid w:val="004B0971"/>
    <w:rsid w:val="004B1D1D"/>
    <w:rsid w:val="004B4206"/>
    <w:rsid w:val="004B7877"/>
    <w:rsid w:val="004C1984"/>
    <w:rsid w:val="004C4DE3"/>
    <w:rsid w:val="004C51AA"/>
    <w:rsid w:val="004D15A5"/>
    <w:rsid w:val="004D484D"/>
    <w:rsid w:val="004D4BCA"/>
    <w:rsid w:val="004E2AD3"/>
    <w:rsid w:val="004E4EF1"/>
    <w:rsid w:val="004F01BC"/>
    <w:rsid w:val="004F173C"/>
    <w:rsid w:val="004F2666"/>
    <w:rsid w:val="004F2CEE"/>
    <w:rsid w:val="005026CE"/>
    <w:rsid w:val="00502FC0"/>
    <w:rsid w:val="00503D43"/>
    <w:rsid w:val="00503EE4"/>
    <w:rsid w:val="00503FF5"/>
    <w:rsid w:val="00514DE6"/>
    <w:rsid w:val="005151E1"/>
    <w:rsid w:val="00516498"/>
    <w:rsid w:val="00520542"/>
    <w:rsid w:val="00526C24"/>
    <w:rsid w:val="00527520"/>
    <w:rsid w:val="00531AC3"/>
    <w:rsid w:val="00532BD7"/>
    <w:rsid w:val="00534E80"/>
    <w:rsid w:val="00536153"/>
    <w:rsid w:val="00540F6E"/>
    <w:rsid w:val="00541B9F"/>
    <w:rsid w:val="00544A7B"/>
    <w:rsid w:val="0055206E"/>
    <w:rsid w:val="005543CB"/>
    <w:rsid w:val="0055756A"/>
    <w:rsid w:val="00561C03"/>
    <w:rsid w:val="00572579"/>
    <w:rsid w:val="0058158C"/>
    <w:rsid w:val="0058320A"/>
    <w:rsid w:val="00591CE2"/>
    <w:rsid w:val="00592FA6"/>
    <w:rsid w:val="005942B2"/>
    <w:rsid w:val="00594A70"/>
    <w:rsid w:val="00596F4C"/>
    <w:rsid w:val="005A0F9B"/>
    <w:rsid w:val="005A1922"/>
    <w:rsid w:val="005A7DD7"/>
    <w:rsid w:val="005B0A6F"/>
    <w:rsid w:val="005B3565"/>
    <w:rsid w:val="005B46B2"/>
    <w:rsid w:val="005B5D76"/>
    <w:rsid w:val="005B7B2C"/>
    <w:rsid w:val="005C00B1"/>
    <w:rsid w:val="005C7BBA"/>
    <w:rsid w:val="005D5A26"/>
    <w:rsid w:val="005E53D0"/>
    <w:rsid w:val="005E729F"/>
    <w:rsid w:val="005E7CCF"/>
    <w:rsid w:val="005F22A6"/>
    <w:rsid w:val="005F57E2"/>
    <w:rsid w:val="005F5926"/>
    <w:rsid w:val="00601887"/>
    <w:rsid w:val="0060188B"/>
    <w:rsid w:val="00604DAA"/>
    <w:rsid w:val="00606A0E"/>
    <w:rsid w:val="00616AC3"/>
    <w:rsid w:val="00622FA0"/>
    <w:rsid w:val="0063341F"/>
    <w:rsid w:val="00636C25"/>
    <w:rsid w:val="00641BC6"/>
    <w:rsid w:val="00644CF9"/>
    <w:rsid w:val="00647591"/>
    <w:rsid w:val="00655343"/>
    <w:rsid w:val="006605AE"/>
    <w:rsid w:val="0066200A"/>
    <w:rsid w:val="00675D0F"/>
    <w:rsid w:val="00690713"/>
    <w:rsid w:val="0069107F"/>
    <w:rsid w:val="00691CAB"/>
    <w:rsid w:val="00695891"/>
    <w:rsid w:val="0069634D"/>
    <w:rsid w:val="006A0CDD"/>
    <w:rsid w:val="006A4D19"/>
    <w:rsid w:val="006A7EF2"/>
    <w:rsid w:val="006B116C"/>
    <w:rsid w:val="006C01D6"/>
    <w:rsid w:val="006C3753"/>
    <w:rsid w:val="006C533A"/>
    <w:rsid w:val="006C7797"/>
    <w:rsid w:val="006D33C9"/>
    <w:rsid w:val="006D51AE"/>
    <w:rsid w:val="006D5C89"/>
    <w:rsid w:val="006D65BD"/>
    <w:rsid w:val="006D7E5F"/>
    <w:rsid w:val="006E706A"/>
    <w:rsid w:val="006E7E15"/>
    <w:rsid w:val="006F1985"/>
    <w:rsid w:val="006F2617"/>
    <w:rsid w:val="006F4D5D"/>
    <w:rsid w:val="006F7B8D"/>
    <w:rsid w:val="00700019"/>
    <w:rsid w:val="00700399"/>
    <w:rsid w:val="0070302C"/>
    <w:rsid w:val="007032C1"/>
    <w:rsid w:val="007122B1"/>
    <w:rsid w:val="00712CB2"/>
    <w:rsid w:val="0071400F"/>
    <w:rsid w:val="00732288"/>
    <w:rsid w:val="007332AB"/>
    <w:rsid w:val="00733DD4"/>
    <w:rsid w:val="00737A63"/>
    <w:rsid w:val="007443A6"/>
    <w:rsid w:val="0075424A"/>
    <w:rsid w:val="00754918"/>
    <w:rsid w:val="00765514"/>
    <w:rsid w:val="00771D5D"/>
    <w:rsid w:val="00782616"/>
    <w:rsid w:val="007845C0"/>
    <w:rsid w:val="00786682"/>
    <w:rsid w:val="00787CDD"/>
    <w:rsid w:val="007922D7"/>
    <w:rsid w:val="00792FC4"/>
    <w:rsid w:val="007A54A6"/>
    <w:rsid w:val="007B4277"/>
    <w:rsid w:val="007B5BA8"/>
    <w:rsid w:val="007B76D0"/>
    <w:rsid w:val="007C62C1"/>
    <w:rsid w:val="007D0B98"/>
    <w:rsid w:val="007D0CC8"/>
    <w:rsid w:val="007D7871"/>
    <w:rsid w:val="007D7B40"/>
    <w:rsid w:val="007E4316"/>
    <w:rsid w:val="007E4816"/>
    <w:rsid w:val="007F1353"/>
    <w:rsid w:val="007F5EA6"/>
    <w:rsid w:val="007F7C3A"/>
    <w:rsid w:val="00807BF5"/>
    <w:rsid w:val="00807C09"/>
    <w:rsid w:val="00815098"/>
    <w:rsid w:val="0082064E"/>
    <w:rsid w:val="008214D1"/>
    <w:rsid w:val="00835A98"/>
    <w:rsid w:val="00835FCC"/>
    <w:rsid w:val="00836511"/>
    <w:rsid w:val="00837D95"/>
    <w:rsid w:val="008401F5"/>
    <w:rsid w:val="00840CE3"/>
    <w:rsid w:val="0084313C"/>
    <w:rsid w:val="0084346D"/>
    <w:rsid w:val="00852D0E"/>
    <w:rsid w:val="00854582"/>
    <w:rsid w:val="00855948"/>
    <w:rsid w:val="00860082"/>
    <w:rsid w:val="008618BB"/>
    <w:rsid w:val="00862784"/>
    <w:rsid w:val="00864A62"/>
    <w:rsid w:val="00864F24"/>
    <w:rsid w:val="008678B8"/>
    <w:rsid w:val="00867FF3"/>
    <w:rsid w:val="00876FE6"/>
    <w:rsid w:val="00880A0C"/>
    <w:rsid w:val="00880FE5"/>
    <w:rsid w:val="00881AE8"/>
    <w:rsid w:val="00882370"/>
    <w:rsid w:val="00884E1D"/>
    <w:rsid w:val="00886ACE"/>
    <w:rsid w:val="00891895"/>
    <w:rsid w:val="0089318F"/>
    <w:rsid w:val="0089441F"/>
    <w:rsid w:val="008962CB"/>
    <w:rsid w:val="008A2C7E"/>
    <w:rsid w:val="008A518B"/>
    <w:rsid w:val="008A51E2"/>
    <w:rsid w:val="008A58B6"/>
    <w:rsid w:val="008B5DE9"/>
    <w:rsid w:val="008B6B87"/>
    <w:rsid w:val="008C014C"/>
    <w:rsid w:val="008C0F5D"/>
    <w:rsid w:val="008C27EF"/>
    <w:rsid w:val="008C28E2"/>
    <w:rsid w:val="008C36DA"/>
    <w:rsid w:val="008C5640"/>
    <w:rsid w:val="008C79CD"/>
    <w:rsid w:val="008D1EFB"/>
    <w:rsid w:val="008D3536"/>
    <w:rsid w:val="008D4013"/>
    <w:rsid w:val="008D4522"/>
    <w:rsid w:val="008D5C48"/>
    <w:rsid w:val="008E0335"/>
    <w:rsid w:val="008E11F4"/>
    <w:rsid w:val="008E4E0B"/>
    <w:rsid w:val="008F062C"/>
    <w:rsid w:val="008F4276"/>
    <w:rsid w:val="008F4971"/>
    <w:rsid w:val="008F4A27"/>
    <w:rsid w:val="008F6EE1"/>
    <w:rsid w:val="008F7DC8"/>
    <w:rsid w:val="00905837"/>
    <w:rsid w:val="00907EB2"/>
    <w:rsid w:val="009106CF"/>
    <w:rsid w:val="009107AA"/>
    <w:rsid w:val="009112B9"/>
    <w:rsid w:val="00916AE9"/>
    <w:rsid w:val="00920A79"/>
    <w:rsid w:val="00925BE4"/>
    <w:rsid w:val="00927067"/>
    <w:rsid w:val="0093184F"/>
    <w:rsid w:val="00933777"/>
    <w:rsid w:val="00934A6D"/>
    <w:rsid w:val="00946555"/>
    <w:rsid w:val="00951F0E"/>
    <w:rsid w:val="00953338"/>
    <w:rsid w:val="0095639D"/>
    <w:rsid w:val="0095741F"/>
    <w:rsid w:val="009649D6"/>
    <w:rsid w:val="00976627"/>
    <w:rsid w:val="00976CD3"/>
    <w:rsid w:val="009775E1"/>
    <w:rsid w:val="00980310"/>
    <w:rsid w:val="00983373"/>
    <w:rsid w:val="00985A30"/>
    <w:rsid w:val="00986401"/>
    <w:rsid w:val="00987050"/>
    <w:rsid w:val="0099013F"/>
    <w:rsid w:val="00990EA8"/>
    <w:rsid w:val="009A1CC6"/>
    <w:rsid w:val="009A2EC9"/>
    <w:rsid w:val="009A42F1"/>
    <w:rsid w:val="009B14EB"/>
    <w:rsid w:val="009B60C9"/>
    <w:rsid w:val="009B69ED"/>
    <w:rsid w:val="009C0D27"/>
    <w:rsid w:val="009C230C"/>
    <w:rsid w:val="009C4B6F"/>
    <w:rsid w:val="009C543E"/>
    <w:rsid w:val="009D161F"/>
    <w:rsid w:val="009D51B2"/>
    <w:rsid w:val="009D5E2E"/>
    <w:rsid w:val="009D772B"/>
    <w:rsid w:val="009D7B46"/>
    <w:rsid w:val="009E0136"/>
    <w:rsid w:val="009E3097"/>
    <w:rsid w:val="009E7C2D"/>
    <w:rsid w:val="009E7D8A"/>
    <w:rsid w:val="009F212C"/>
    <w:rsid w:val="009F61F6"/>
    <w:rsid w:val="00A04872"/>
    <w:rsid w:val="00A14AAC"/>
    <w:rsid w:val="00A20FB7"/>
    <w:rsid w:val="00A21E15"/>
    <w:rsid w:val="00A24F3D"/>
    <w:rsid w:val="00A25ABB"/>
    <w:rsid w:val="00A3464F"/>
    <w:rsid w:val="00A35B2C"/>
    <w:rsid w:val="00A37CB4"/>
    <w:rsid w:val="00A40170"/>
    <w:rsid w:val="00A412E7"/>
    <w:rsid w:val="00A43F86"/>
    <w:rsid w:val="00A5253C"/>
    <w:rsid w:val="00A5689F"/>
    <w:rsid w:val="00A569FC"/>
    <w:rsid w:val="00A57388"/>
    <w:rsid w:val="00A62A68"/>
    <w:rsid w:val="00A65928"/>
    <w:rsid w:val="00A67D2A"/>
    <w:rsid w:val="00A737EB"/>
    <w:rsid w:val="00A761F4"/>
    <w:rsid w:val="00A76588"/>
    <w:rsid w:val="00A7793F"/>
    <w:rsid w:val="00A8503F"/>
    <w:rsid w:val="00A86D90"/>
    <w:rsid w:val="00A92741"/>
    <w:rsid w:val="00A92E26"/>
    <w:rsid w:val="00A949E9"/>
    <w:rsid w:val="00A95120"/>
    <w:rsid w:val="00AA0777"/>
    <w:rsid w:val="00AA287D"/>
    <w:rsid w:val="00AA308F"/>
    <w:rsid w:val="00AA3CB4"/>
    <w:rsid w:val="00AA6B0F"/>
    <w:rsid w:val="00AC3747"/>
    <w:rsid w:val="00AC467A"/>
    <w:rsid w:val="00AD126E"/>
    <w:rsid w:val="00AD19D7"/>
    <w:rsid w:val="00AD28F4"/>
    <w:rsid w:val="00AD3774"/>
    <w:rsid w:val="00AD4BFB"/>
    <w:rsid w:val="00AE13FD"/>
    <w:rsid w:val="00AE2F52"/>
    <w:rsid w:val="00AE3049"/>
    <w:rsid w:val="00AE661A"/>
    <w:rsid w:val="00AE6D17"/>
    <w:rsid w:val="00AE7AAF"/>
    <w:rsid w:val="00B01327"/>
    <w:rsid w:val="00B04DAF"/>
    <w:rsid w:val="00B1054A"/>
    <w:rsid w:val="00B10951"/>
    <w:rsid w:val="00B154EF"/>
    <w:rsid w:val="00B176E3"/>
    <w:rsid w:val="00B22847"/>
    <w:rsid w:val="00B266A2"/>
    <w:rsid w:val="00B313DD"/>
    <w:rsid w:val="00B32F3A"/>
    <w:rsid w:val="00B34A54"/>
    <w:rsid w:val="00B36406"/>
    <w:rsid w:val="00B3741B"/>
    <w:rsid w:val="00B37C9E"/>
    <w:rsid w:val="00B41D0B"/>
    <w:rsid w:val="00B428CE"/>
    <w:rsid w:val="00B45339"/>
    <w:rsid w:val="00B46531"/>
    <w:rsid w:val="00B5051F"/>
    <w:rsid w:val="00B53934"/>
    <w:rsid w:val="00B573F1"/>
    <w:rsid w:val="00B62CBD"/>
    <w:rsid w:val="00B70BA0"/>
    <w:rsid w:val="00B73E8A"/>
    <w:rsid w:val="00B74332"/>
    <w:rsid w:val="00B7512B"/>
    <w:rsid w:val="00B76ECE"/>
    <w:rsid w:val="00B77BF7"/>
    <w:rsid w:val="00B8071C"/>
    <w:rsid w:val="00B82B20"/>
    <w:rsid w:val="00B840FC"/>
    <w:rsid w:val="00B919A8"/>
    <w:rsid w:val="00B96CC7"/>
    <w:rsid w:val="00BA211E"/>
    <w:rsid w:val="00BA6913"/>
    <w:rsid w:val="00BB2D62"/>
    <w:rsid w:val="00BB7EAE"/>
    <w:rsid w:val="00BC2090"/>
    <w:rsid w:val="00BC520F"/>
    <w:rsid w:val="00BC7C3D"/>
    <w:rsid w:val="00BD5040"/>
    <w:rsid w:val="00BD5F39"/>
    <w:rsid w:val="00BD791A"/>
    <w:rsid w:val="00BE1340"/>
    <w:rsid w:val="00BF25F3"/>
    <w:rsid w:val="00BF265A"/>
    <w:rsid w:val="00C011DF"/>
    <w:rsid w:val="00C01CB4"/>
    <w:rsid w:val="00C04E5F"/>
    <w:rsid w:val="00C07229"/>
    <w:rsid w:val="00C14164"/>
    <w:rsid w:val="00C14785"/>
    <w:rsid w:val="00C1682C"/>
    <w:rsid w:val="00C2030F"/>
    <w:rsid w:val="00C25E49"/>
    <w:rsid w:val="00C2709F"/>
    <w:rsid w:val="00C34489"/>
    <w:rsid w:val="00C40ADA"/>
    <w:rsid w:val="00C40CE9"/>
    <w:rsid w:val="00C436B9"/>
    <w:rsid w:val="00C50FBA"/>
    <w:rsid w:val="00C52FE5"/>
    <w:rsid w:val="00C5440D"/>
    <w:rsid w:val="00C56CA0"/>
    <w:rsid w:val="00C61A06"/>
    <w:rsid w:val="00C67205"/>
    <w:rsid w:val="00C67303"/>
    <w:rsid w:val="00C73B35"/>
    <w:rsid w:val="00C811D1"/>
    <w:rsid w:val="00C9755A"/>
    <w:rsid w:val="00CA5EEF"/>
    <w:rsid w:val="00CB0FCB"/>
    <w:rsid w:val="00CB2778"/>
    <w:rsid w:val="00CB477B"/>
    <w:rsid w:val="00CB5151"/>
    <w:rsid w:val="00CB71B8"/>
    <w:rsid w:val="00CC1099"/>
    <w:rsid w:val="00CC4C6F"/>
    <w:rsid w:val="00CD214A"/>
    <w:rsid w:val="00CD6109"/>
    <w:rsid w:val="00CD74E2"/>
    <w:rsid w:val="00CE4DF7"/>
    <w:rsid w:val="00CE4E12"/>
    <w:rsid w:val="00CE6A53"/>
    <w:rsid w:val="00CE79A3"/>
    <w:rsid w:val="00CF0EE9"/>
    <w:rsid w:val="00CF1A0C"/>
    <w:rsid w:val="00CF75B6"/>
    <w:rsid w:val="00D03F14"/>
    <w:rsid w:val="00D075E7"/>
    <w:rsid w:val="00D13377"/>
    <w:rsid w:val="00D144DA"/>
    <w:rsid w:val="00D23D75"/>
    <w:rsid w:val="00D23F11"/>
    <w:rsid w:val="00D251B6"/>
    <w:rsid w:val="00D27036"/>
    <w:rsid w:val="00D432B7"/>
    <w:rsid w:val="00D50CB8"/>
    <w:rsid w:val="00D53C36"/>
    <w:rsid w:val="00D60157"/>
    <w:rsid w:val="00D62545"/>
    <w:rsid w:val="00D646AF"/>
    <w:rsid w:val="00D671C8"/>
    <w:rsid w:val="00D71D0C"/>
    <w:rsid w:val="00D73E12"/>
    <w:rsid w:val="00D760C2"/>
    <w:rsid w:val="00D765D5"/>
    <w:rsid w:val="00D77259"/>
    <w:rsid w:val="00D775E1"/>
    <w:rsid w:val="00D77973"/>
    <w:rsid w:val="00D8298E"/>
    <w:rsid w:val="00D84D76"/>
    <w:rsid w:val="00D87BA7"/>
    <w:rsid w:val="00D91135"/>
    <w:rsid w:val="00D9185B"/>
    <w:rsid w:val="00D95579"/>
    <w:rsid w:val="00D97DF5"/>
    <w:rsid w:val="00DA13D3"/>
    <w:rsid w:val="00DA18E3"/>
    <w:rsid w:val="00DA6853"/>
    <w:rsid w:val="00DA6919"/>
    <w:rsid w:val="00DA6AE9"/>
    <w:rsid w:val="00DA6F7E"/>
    <w:rsid w:val="00DB211D"/>
    <w:rsid w:val="00DB2D5E"/>
    <w:rsid w:val="00DB2F53"/>
    <w:rsid w:val="00DB6233"/>
    <w:rsid w:val="00DB69E5"/>
    <w:rsid w:val="00DC18E1"/>
    <w:rsid w:val="00DC6015"/>
    <w:rsid w:val="00DD1D4A"/>
    <w:rsid w:val="00DD204F"/>
    <w:rsid w:val="00DD607F"/>
    <w:rsid w:val="00DD72BE"/>
    <w:rsid w:val="00DD77D9"/>
    <w:rsid w:val="00DD7915"/>
    <w:rsid w:val="00DD7CEB"/>
    <w:rsid w:val="00DE4A89"/>
    <w:rsid w:val="00DE51C4"/>
    <w:rsid w:val="00DE7004"/>
    <w:rsid w:val="00DF0858"/>
    <w:rsid w:val="00DF0D28"/>
    <w:rsid w:val="00DF2881"/>
    <w:rsid w:val="00DF579A"/>
    <w:rsid w:val="00E01833"/>
    <w:rsid w:val="00E10671"/>
    <w:rsid w:val="00E14E08"/>
    <w:rsid w:val="00E15B96"/>
    <w:rsid w:val="00E16582"/>
    <w:rsid w:val="00E16BF3"/>
    <w:rsid w:val="00E23203"/>
    <w:rsid w:val="00E236BF"/>
    <w:rsid w:val="00E317EC"/>
    <w:rsid w:val="00E332FD"/>
    <w:rsid w:val="00E35277"/>
    <w:rsid w:val="00E40512"/>
    <w:rsid w:val="00E42E48"/>
    <w:rsid w:val="00E45CEB"/>
    <w:rsid w:val="00E56FD1"/>
    <w:rsid w:val="00E6077F"/>
    <w:rsid w:val="00E62BB3"/>
    <w:rsid w:val="00E66282"/>
    <w:rsid w:val="00E66CCD"/>
    <w:rsid w:val="00E670B6"/>
    <w:rsid w:val="00E6796E"/>
    <w:rsid w:val="00E73AE2"/>
    <w:rsid w:val="00E854F8"/>
    <w:rsid w:val="00E93A6B"/>
    <w:rsid w:val="00E96807"/>
    <w:rsid w:val="00E96DA8"/>
    <w:rsid w:val="00EA0749"/>
    <w:rsid w:val="00EA1742"/>
    <w:rsid w:val="00EA217B"/>
    <w:rsid w:val="00EA2672"/>
    <w:rsid w:val="00EB45F8"/>
    <w:rsid w:val="00EB70C4"/>
    <w:rsid w:val="00EB7AB8"/>
    <w:rsid w:val="00EC09F9"/>
    <w:rsid w:val="00EC128A"/>
    <w:rsid w:val="00EC16AD"/>
    <w:rsid w:val="00EC1DE4"/>
    <w:rsid w:val="00EC2C6F"/>
    <w:rsid w:val="00EC2D54"/>
    <w:rsid w:val="00EC7FE6"/>
    <w:rsid w:val="00ED2D87"/>
    <w:rsid w:val="00ED3240"/>
    <w:rsid w:val="00ED4816"/>
    <w:rsid w:val="00EE577F"/>
    <w:rsid w:val="00EE5A67"/>
    <w:rsid w:val="00EE65B0"/>
    <w:rsid w:val="00EE6E34"/>
    <w:rsid w:val="00EF3794"/>
    <w:rsid w:val="00EF6100"/>
    <w:rsid w:val="00EF6627"/>
    <w:rsid w:val="00EF7C6E"/>
    <w:rsid w:val="00F048FF"/>
    <w:rsid w:val="00F05EE6"/>
    <w:rsid w:val="00F13179"/>
    <w:rsid w:val="00F16142"/>
    <w:rsid w:val="00F21A9E"/>
    <w:rsid w:val="00F221F7"/>
    <w:rsid w:val="00F26D86"/>
    <w:rsid w:val="00F27B34"/>
    <w:rsid w:val="00F33444"/>
    <w:rsid w:val="00F3421F"/>
    <w:rsid w:val="00F346B6"/>
    <w:rsid w:val="00F373FD"/>
    <w:rsid w:val="00F3778E"/>
    <w:rsid w:val="00F43A38"/>
    <w:rsid w:val="00F47196"/>
    <w:rsid w:val="00F4745B"/>
    <w:rsid w:val="00F47DBD"/>
    <w:rsid w:val="00F512BB"/>
    <w:rsid w:val="00F536A5"/>
    <w:rsid w:val="00F56765"/>
    <w:rsid w:val="00F61B07"/>
    <w:rsid w:val="00F621AD"/>
    <w:rsid w:val="00F64883"/>
    <w:rsid w:val="00F667AF"/>
    <w:rsid w:val="00F706C9"/>
    <w:rsid w:val="00F70EEE"/>
    <w:rsid w:val="00F74030"/>
    <w:rsid w:val="00F750A1"/>
    <w:rsid w:val="00F76160"/>
    <w:rsid w:val="00F80427"/>
    <w:rsid w:val="00F80666"/>
    <w:rsid w:val="00F83CE1"/>
    <w:rsid w:val="00F84202"/>
    <w:rsid w:val="00F853BC"/>
    <w:rsid w:val="00FA1A42"/>
    <w:rsid w:val="00FA2F35"/>
    <w:rsid w:val="00FA3CA5"/>
    <w:rsid w:val="00FB0236"/>
    <w:rsid w:val="00FB3313"/>
    <w:rsid w:val="00FB436A"/>
    <w:rsid w:val="00FB498A"/>
    <w:rsid w:val="00FC3982"/>
    <w:rsid w:val="00FC3C61"/>
    <w:rsid w:val="00FC3C8E"/>
    <w:rsid w:val="00FC5251"/>
    <w:rsid w:val="00FD1950"/>
    <w:rsid w:val="00FD2C79"/>
    <w:rsid w:val="00FE55E1"/>
    <w:rsid w:val="00FF07F3"/>
    <w:rsid w:val="00FF1C73"/>
    <w:rsid w:val="00FF24D5"/>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gokce.uysal@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B37FDC0-29F6-45ED-9255-D2DA7F14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17</cp:revision>
  <cp:lastPrinted>2015-05-18T09:07:00Z</cp:lastPrinted>
  <dcterms:created xsi:type="dcterms:W3CDTF">2015-05-18T08:20:00Z</dcterms:created>
  <dcterms:modified xsi:type="dcterms:W3CDTF">2015-05-18T09:09:00Z</dcterms:modified>
</cp:coreProperties>
</file>