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2A" w:rsidRPr="008741B9" w:rsidRDefault="008D03A9">
      <w:pPr>
        <w:rPr>
          <w:lang w:val="en-US"/>
        </w:rPr>
      </w:pPr>
      <w:bookmarkStart w:id="0" w:name="_GoBack"/>
      <w:bookmarkEnd w:id="0"/>
      <w:r>
        <w:rPr>
          <w:noProof/>
        </w:rPr>
        <mc:AlternateContent>
          <mc:Choice Requires="wps">
            <w:drawing>
              <wp:anchor distT="0" distB="0" distL="114935" distR="114935" simplePos="0" relativeHeight="251660288" behindDoc="0" locked="0" layoutInCell="1" allowOverlap="1">
                <wp:simplePos x="0" y="0"/>
                <wp:positionH relativeFrom="column">
                  <wp:posOffset>4826000</wp:posOffset>
                </wp:positionH>
                <wp:positionV relativeFrom="paragraph">
                  <wp:posOffset>24130</wp:posOffset>
                </wp:positionV>
                <wp:extent cx="1659890" cy="53276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D6" w:rsidRPr="00DD6BAA" w:rsidRDefault="003B5BD6" w:rsidP="00DF532A">
                            <w:pPr>
                              <w:pStyle w:val="Heading3"/>
                              <w:rPr>
                                <w:color w:val="FFFFFF"/>
                                <w:sz w:val="22"/>
                                <w:szCs w:val="22"/>
                                <w:lang w:val="tr-TR"/>
                              </w:rPr>
                            </w:pPr>
                            <w:r w:rsidRPr="00AF32B2">
                              <w:rPr>
                                <w:sz w:val="22"/>
                                <w:szCs w:val="22"/>
                              </w:rPr>
                              <w:t xml:space="preserve">    </w:t>
                            </w:r>
                            <w:r w:rsidRPr="00DD6BAA">
                              <w:rPr>
                                <w:color w:val="FFFFFF"/>
                                <w:sz w:val="22"/>
                                <w:szCs w:val="22"/>
                              </w:rPr>
                              <w:t xml:space="preserve">4 September </w:t>
                            </w:r>
                            <w:r w:rsidRPr="00DD6BAA">
                              <w:rPr>
                                <w:color w:val="FFFFFF"/>
                                <w:sz w:val="22"/>
                                <w:szCs w:val="22"/>
                                <w:lang w:val="tr-TR"/>
                              </w:rPr>
                              <w:t>2014</w:t>
                            </w:r>
                          </w:p>
                          <w:p w:rsidR="003B5BD6" w:rsidRDefault="003B5BD6" w:rsidP="00DF53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0pt;margin-top:1.9pt;width:130.7pt;height:41.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ljAIAAB0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U6jd&#10;JUaSdFCjRzY4dKMGtPDp6bUtwetBg58bYBlcQ6hW36v6m0VS3bZE7ti1MapvGaFAL/Mnk1dHI471&#10;INv+o6JwDdk7FYCGxnQ+d5ANBOhQpqdTaTyV2l85nxXLArZq2JtdThfzWbiClONpbax7z1SHvFFh&#10;A6UP6ORwb51nQ8rRxV9mleB0w4UIE7Pb3gqDDgRksglfPCt0S+JqkApg2Oga8M4whPRIUnnMeF1c&#10;gQiAgN/zsQRNPBfZNE9vpsVkM18uJvkmn02KRbqcpFlxU8zTvMjvNj89gywvW04pk/dcslGfWf53&#10;9T92SlRWUCjqK1zMprMQ3Bn7Y1jHWFP/HfN75tZxB+0qeFfh5cmJlL7q7ySFsEnpCBfRTs7ph5RB&#10;DsZ/yErQiJdFFIgbtgOgeOFsFX0CtRgFxYS6wxsDRqvMD4x66NcK2+97YhhG4oMExfnmHg0zGtvR&#10;ILKGoxV2GEXz1sVHYK8N37WAHDUt1TWosuFBMC8sgLKfQA8G8sf3wjf563nwennV1r8AAAD//wMA&#10;UEsDBBQABgAIAAAAIQBjgwVQ3AAAAAkBAAAPAAAAZHJzL2Rvd25yZXYueG1sTI/BTsMwEETvSPyD&#10;tUjcqN2AmjSNU0ERXBEBqVc33iZR4nUUu234e7YnOK5m9eZNsZ3dIM44hc6ThuVCgUCqve2o0fD9&#10;9faQgQjRkDWDJ9TwgwG25e1NYXLrL/SJ5yo2giEUcqOhjXHMpQx1i86EhR+RODv6yZnI59RIO5kL&#10;w90gE6VW0pmOuKE1I+5arPvq5DQ8fiTpPrxXr7txj+s+Cy/9kVqt7+/m5w2IiHP8e4arPqtDyU4H&#10;fyIbxKAhXSneEhnGC665SpZPIA4asjQFWRby/4LyFwAA//8DAFBLAQItABQABgAIAAAAIQC2gziS&#10;/gAAAOEBAAATAAAAAAAAAAAAAAAAAAAAAABbQ29udGVudF9UeXBlc10ueG1sUEsBAi0AFAAGAAgA&#10;AAAhADj9If/WAAAAlAEAAAsAAAAAAAAAAAAAAAAALwEAAF9yZWxzLy5yZWxzUEsBAi0AFAAGAAgA&#10;AAAhAG+wP+WMAgAAHQUAAA4AAAAAAAAAAAAAAAAALgIAAGRycy9lMm9Eb2MueG1sUEsBAi0AFAAG&#10;AAgAAAAhAGODBVDcAAAACQEAAA8AAAAAAAAAAAAAAAAA5gQAAGRycy9kb3ducmV2LnhtbFBLBQYA&#10;AAAABAAEAPMAAADvBQAAAAA=&#10;" stroked="f">
                <v:fill opacity="0"/>
                <v:textbox inset="0,0,0,0">
                  <w:txbxContent>
                    <w:p w:rsidR="003B5BD6" w:rsidRPr="00DD6BAA" w:rsidRDefault="003B5BD6" w:rsidP="00DF532A">
                      <w:pPr>
                        <w:pStyle w:val="Heading3"/>
                        <w:rPr>
                          <w:color w:val="FFFFFF"/>
                          <w:sz w:val="22"/>
                          <w:szCs w:val="22"/>
                          <w:lang w:val="tr-TR"/>
                        </w:rPr>
                      </w:pPr>
                      <w:r w:rsidRPr="00AF32B2">
                        <w:rPr>
                          <w:sz w:val="22"/>
                          <w:szCs w:val="22"/>
                        </w:rPr>
                        <w:t xml:space="preserve">    </w:t>
                      </w:r>
                      <w:r w:rsidRPr="00DD6BAA">
                        <w:rPr>
                          <w:color w:val="FFFFFF"/>
                          <w:sz w:val="22"/>
                          <w:szCs w:val="22"/>
                        </w:rPr>
                        <w:t xml:space="preserve">4 September </w:t>
                      </w:r>
                      <w:r w:rsidRPr="00DD6BAA">
                        <w:rPr>
                          <w:color w:val="FFFFFF"/>
                          <w:sz w:val="22"/>
                          <w:szCs w:val="22"/>
                          <w:lang w:val="tr-TR"/>
                        </w:rPr>
                        <w:t>2014</w:t>
                      </w:r>
                    </w:p>
                    <w:p w:rsidR="003B5BD6" w:rsidRDefault="003B5BD6" w:rsidP="00DF532A"/>
                  </w:txbxContent>
                </v:textbox>
              </v:shape>
            </w:pict>
          </mc:Fallback>
        </mc:AlternateContent>
      </w:r>
      <w:r w:rsidR="00DF532A" w:rsidRPr="008741B9">
        <w:rPr>
          <w:noProof/>
        </w:rPr>
        <w:drawing>
          <wp:anchor distT="0" distB="0" distL="114300" distR="114300" simplePos="0" relativeHeight="251658240" behindDoc="1" locked="0" layoutInCell="1" allowOverlap="1">
            <wp:simplePos x="0" y="0"/>
            <wp:positionH relativeFrom="column">
              <wp:posOffset>-832978</wp:posOffset>
            </wp:positionH>
            <wp:positionV relativeFrom="paragraph">
              <wp:posOffset>-879323</wp:posOffset>
            </wp:positionV>
            <wp:extent cx="7316622" cy="1323833"/>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6622" cy="1323833"/>
                    </a:xfrm>
                    <a:prstGeom prst="rect">
                      <a:avLst/>
                    </a:prstGeom>
                    <a:noFill/>
                    <a:ln w="9525">
                      <a:noFill/>
                      <a:miter lim="800000"/>
                      <a:headEnd/>
                      <a:tailEnd/>
                    </a:ln>
                  </pic:spPr>
                </pic:pic>
              </a:graphicData>
            </a:graphic>
          </wp:anchor>
        </w:drawing>
      </w:r>
      <w:r>
        <w:rPr>
          <w:noProof/>
        </w:rPr>
        <mc:AlternateContent>
          <mc:Choice Requires="wps">
            <w:drawing>
              <wp:anchor distT="0" distB="0" distL="114935" distR="114935" simplePos="0" relativeHeight="251659264" behindDoc="0" locked="0" layoutInCell="1" allowOverlap="1">
                <wp:simplePos x="0" y="0"/>
                <wp:positionH relativeFrom="column">
                  <wp:posOffset>1447165</wp:posOffset>
                </wp:positionH>
                <wp:positionV relativeFrom="paragraph">
                  <wp:posOffset>-544830</wp:posOffset>
                </wp:positionV>
                <wp:extent cx="4275455" cy="56896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D6" w:rsidRPr="00AF32B2" w:rsidRDefault="003B5BD6" w:rsidP="00DF532A">
                            <w:pPr>
                              <w:pStyle w:val="Heading1"/>
                              <w:numPr>
                                <w:ilvl w:val="0"/>
                                <w:numId w:val="1"/>
                              </w:numPr>
                              <w:rPr>
                                <w:rFonts w:ascii="Times New Roman" w:hAnsi="Times New Roman" w:cs="Times New Roman"/>
                                <w:sz w:val="52"/>
                                <w:szCs w:val="52"/>
                              </w:rPr>
                            </w:pPr>
                            <w:r w:rsidRPr="00AF32B2">
                              <w:rPr>
                                <w:rFonts w:ascii="Times New Roman" w:hAnsi="Times New Roman" w:cs="Times New Roman"/>
                                <w:sz w:val="52"/>
                                <w:szCs w:val="52"/>
                              </w:rPr>
                              <w:t>Research Brief 14/172</w:t>
                            </w:r>
                          </w:p>
                          <w:p w:rsidR="003B5BD6" w:rsidRPr="00526178" w:rsidRDefault="003B5BD6" w:rsidP="00DF532A">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3.95pt;margin-top:-42.9pt;width:336.65pt;height:44.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3BjAIAACQFAAAOAAAAZHJzL2Uyb0RvYy54bWysVNtu3CAQfa/Uf0C8b3yRvVlb8Ua5dKtK&#10;6UVK+gGswWtUDBTYtdMq/94B1tskfamq+gEPMBzmzJzh4nIaBDowY7mSDc7OUoyYbBXlctfgrw+b&#10;xQoj64ikRCjJGvzILL5cv31zMeqa5apXgjKDAETaetQN7p3TdZLYtmcDsWdKMwmbnTIDcTA1u4Qa&#10;MgL6IJI8TZfJqAzVRrXMWli9jZt4HfC7jrXuc9dZ5pBoMMTmwmjCuPVjsr4g9c4Q3fP2GAb5hygG&#10;wiVceoK6JY6gveF/QA28Ncqqzp21akhU1/GWBQ7AJktfsbnviWaBCyTH6lOa7P+DbT8dvhjEKdQu&#10;x0iSAWr0wCaHrtWElj49o7Y1eN1r8HMTLINroGr1nWq/WSTVTU/kjl0Zo8aeEQrhZf5k8uxoxLEe&#10;ZDt+VBSuIXunAtDUmcHnDrKBAB3K9HgqjQ+lhcUiPy+LssSohb1yuaqWoXYJqefT2lj3nqkBeaPB&#10;Bkof0MnhzjofDalnF3+ZVYLTDRciTMxueyMMOhCQySZ88azQPYmr83U2uga8FxhCeiSpPGa8Lq4A&#10;AwjA73kuQRM/qywv0uu8WmyWq/NFsSnKRXWerhZpVl0Ds6IqbjdPPoKsqHtOKZN3XLJZn1nxd/U/&#10;dkpUVlAoGhtclXkZyL2I/kjryDX1Xyjhq0QN3EG7Cj40eHVyIrWv+jtJgTapHeEi2snL8EPKIAfz&#10;P2QlaMTLIgrETdspqnGW3lbRRxCNUVBTUAY8NWD0yvzAaIS2bbD9vieGYSQ+SBCe7/HZMLOxnQ0i&#10;WzjaYIdRNG9cfAv22vBdD8hR2lJdgTg7HnTjVRyjgMj9BFoxcDg+G77Xn8+D1+/Hbf0LAAD//wMA&#10;UEsDBBQABgAIAAAAIQDgsyg53QAAAAkBAAAPAAAAZHJzL2Rvd25yZXYueG1sTI/BTsMwEETvSPyD&#10;tUjcWqdBpUmIU0ERXBEBqVc33sZR4nUUu234+y4nOK726c1MuZ3dIM44hc6TgtUyAYHUeNNRq+D7&#10;622RgQhRk9GDJ1TwgwG21e1NqQvjL/SJ5zq2giUUCq3AxjgWUobGotNh6Uck/h395HTkc2qlmfSF&#10;5W6QaZI8Sqc74gSrR9xZbPr65BQ8fKSbfXivX3fjHvM+Cy/9kaxS93fz8xOIiHP8g+G3PleHijsd&#10;/IlMEIOCNN3kjCpYZGvewESerFIQB9ZnIKtS/l9QXQEAAP//AwBQSwECLQAUAAYACAAAACEAtoM4&#10;kv4AAADhAQAAEwAAAAAAAAAAAAAAAAAAAAAAW0NvbnRlbnRfVHlwZXNdLnhtbFBLAQItABQABgAI&#10;AAAAIQA4/SH/1gAAAJQBAAALAAAAAAAAAAAAAAAAAC8BAABfcmVscy8ucmVsc1BLAQItABQABgAI&#10;AAAAIQCJC83BjAIAACQFAAAOAAAAAAAAAAAAAAAAAC4CAABkcnMvZTJvRG9jLnhtbFBLAQItABQA&#10;BgAIAAAAIQDgsyg53QAAAAkBAAAPAAAAAAAAAAAAAAAAAOYEAABkcnMvZG93bnJldi54bWxQSwUG&#10;AAAAAAQABADzAAAA8AUAAAAA&#10;" stroked="f">
                <v:fill opacity="0"/>
                <v:textbox inset="0,0,0,0">
                  <w:txbxContent>
                    <w:p w:rsidR="003B5BD6" w:rsidRPr="00AF32B2" w:rsidRDefault="003B5BD6" w:rsidP="00DF532A">
                      <w:pPr>
                        <w:pStyle w:val="Heading1"/>
                        <w:numPr>
                          <w:ilvl w:val="0"/>
                          <w:numId w:val="1"/>
                        </w:numPr>
                        <w:rPr>
                          <w:rFonts w:ascii="Times New Roman" w:hAnsi="Times New Roman" w:cs="Times New Roman"/>
                          <w:sz w:val="52"/>
                          <w:szCs w:val="52"/>
                        </w:rPr>
                      </w:pPr>
                      <w:r w:rsidRPr="00AF32B2">
                        <w:rPr>
                          <w:rFonts w:ascii="Times New Roman" w:hAnsi="Times New Roman" w:cs="Times New Roman"/>
                          <w:sz w:val="52"/>
                          <w:szCs w:val="52"/>
                        </w:rPr>
                        <w:t>Research Brief 14/172</w:t>
                      </w:r>
                    </w:p>
                    <w:p w:rsidR="003B5BD6" w:rsidRPr="00526178" w:rsidRDefault="003B5BD6" w:rsidP="00DF532A">
                      <w:pPr>
                        <w:pStyle w:val="Heading2"/>
                        <w:numPr>
                          <w:ilvl w:val="1"/>
                          <w:numId w:val="1"/>
                        </w:numPr>
                        <w:rPr>
                          <w:b w:val="0"/>
                          <w:bCs w:val="0"/>
                          <w:i w:val="0"/>
                          <w:iCs w:val="0"/>
                        </w:rPr>
                      </w:pPr>
                    </w:p>
                  </w:txbxContent>
                </v:textbox>
              </v:shape>
            </w:pict>
          </mc:Fallback>
        </mc:AlternateContent>
      </w:r>
    </w:p>
    <w:p w:rsidR="00CE0C14" w:rsidRPr="008741B9" w:rsidRDefault="00CE0C14">
      <w:pPr>
        <w:rPr>
          <w:lang w:val="en-US"/>
        </w:rPr>
      </w:pPr>
    </w:p>
    <w:p w:rsidR="00DF532A" w:rsidRPr="008741B9" w:rsidRDefault="00DF532A">
      <w:pPr>
        <w:rPr>
          <w:lang w:val="en-US"/>
        </w:rPr>
      </w:pPr>
    </w:p>
    <w:p w:rsidR="00DF532A" w:rsidRPr="008741B9" w:rsidRDefault="00DF532A" w:rsidP="00DF532A">
      <w:pPr>
        <w:jc w:val="center"/>
        <w:rPr>
          <w:rFonts w:cs="Arial"/>
          <w:b/>
          <w:sz w:val="32"/>
          <w:szCs w:val="32"/>
          <w:lang w:val="en-US"/>
        </w:rPr>
      </w:pPr>
      <w:r w:rsidRPr="008741B9">
        <w:rPr>
          <w:rFonts w:cs="Arial"/>
          <w:b/>
          <w:sz w:val="32"/>
          <w:szCs w:val="32"/>
          <w:lang w:val="en-US"/>
        </w:rPr>
        <w:t>LARGE REGIONAL DISPARIT</w:t>
      </w:r>
      <w:r w:rsidR="00D209BE" w:rsidRPr="008741B9">
        <w:rPr>
          <w:rFonts w:cs="Arial"/>
          <w:b/>
          <w:sz w:val="32"/>
          <w:szCs w:val="32"/>
          <w:lang w:val="en-US"/>
        </w:rPr>
        <w:t>IES</w:t>
      </w:r>
      <w:r w:rsidRPr="008741B9">
        <w:rPr>
          <w:rFonts w:cs="Arial"/>
          <w:b/>
          <w:sz w:val="32"/>
          <w:szCs w:val="32"/>
          <w:lang w:val="en-US"/>
        </w:rPr>
        <w:t xml:space="preserve"> IN INFORMALITY </w:t>
      </w:r>
    </w:p>
    <w:p w:rsidR="00DF532A" w:rsidRPr="008741B9" w:rsidRDefault="00DF532A" w:rsidP="00DF532A">
      <w:pPr>
        <w:jc w:val="center"/>
        <w:rPr>
          <w:rFonts w:cs="Arial"/>
          <w:b/>
          <w:lang w:val="en-US"/>
        </w:rPr>
      </w:pPr>
      <w:r w:rsidRPr="008741B9">
        <w:rPr>
          <w:rFonts w:cs="Arial"/>
          <w:b/>
          <w:lang w:val="en-US"/>
        </w:rPr>
        <w:t>Seyfettin Gürsel</w:t>
      </w:r>
      <w:r w:rsidRPr="008741B9">
        <w:rPr>
          <w:rStyle w:val="FootnoteReference"/>
          <w:b/>
          <w:lang w:val="en-US"/>
        </w:rPr>
        <w:footnoteReference w:customMarkFollows="1" w:id="1"/>
        <w:sym w:font="Symbol" w:char="F02A"/>
      </w:r>
      <w:r w:rsidRPr="008741B9">
        <w:rPr>
          <w:rFonts w:cs="Arial"/>
          <w:b/>
          <w:lang w:val="en-US"/>
        </w:rPr>
        <w:t>, Mine Durmaz</w:t>
      </w:r>
      <w:r w:rsidRPr="008741B9">
        <w:rPr>
          <w:rStyle w:val="FootnoteReference"/>
          <w:b/>
          <w:lang w:val="en-US"/>
        </w:rPr>
        <w:footnoteReference w:customMarkFollows="1" w:id="2"/>
        <w:t>**</w:t>
      </w:r>
    </w:p>
    <w:p w:rsidR="00DF532A" w:rsidRPr="008741B9" w:rsidRDefault="00DF532A" w:rsidP="00DF532A">
      <w:pPr>
        <w:jc w:val="center"/>
        <w:rPr>
          <w:rFonts w:cs="Arial"/>
          <w:b/>
          <w:sz w:val="24"/>
          <w:szCs w:val="24"/>
          <w:lang w:val="en-US"/>
        </w:rPr>
      </w:pPr>
      <w:r w:rsidRPr="008741B9">
        <w:rPr>
          <w:rFonts w:cs="Arial"/>
          <w:b/>
          <w:sz w:val="24"/>
          <w:szCs w:val="24"/>
          <w:lang w:val="en-US"/>
        </w:rPr>
        <w:t xml:space="preserve">Executive Summary </w:t>
      </w:r>
    </w:p>
    <w:p w:rsidR="00DF532A" w:rsidRPr="008741B9" w:rsidRDefault="00DF532A" w:rsidP="00DF532A">
      <w:pPr>
        <w:jc w:val="both"/>
        <w:rPr>
          <w:rFonts w:cs="Arial"/>
          <w:lang w:val="en-US"/>
        </w:rPr>
      </w:pPr>
    </w:p>
    <w:p w:rsidR="00DF532A" w:rsidRPr="008741B9" w:rsidRDefault="00DF532A" w:rsidP="00DF532A">
      <w:pPr>
        <w:jc w:val="both"/>
        <w:rPr>
          <w:rFonts w:cs="Arial"/>
          <w:lang w:val="en-US"/>
        </w:rPr>
      </w:pPr>
      <w:r w:rsidRPr="008741B9">
        <w:rPr>
          <w:rFonts w:cs="Arial"/>
          <w:lang w:val="en-US"/>
        </w:rPr>
        <w:t xml:space="preserve">Our second research brief studying the problem of informality focuses on regional disparities. There are large differences in regional rates of informal employment. According to 2013 data, while </w:t>
      </w:r>
      <w:r w:rsidR="00697194" w:rsidRPr="008741B9">
        <w:rPr>
          <w:rFonts w:cs="Arial"/>
          <w:lang w:val="en-US"/>
        </w:rPr>
        <w:t>the count</w:t>
      </w:r>
      <w:r w:rsidR="00CE0C14" w:rsidRPr="008741B9">
        <w:rPr>
          <w:rFonts w:cs="Arial"/>
          <w:lang w:val="en-US"/>
        </w:rPr>
        <w:t xml:space="preserve">ry’s </w:t>
      </w:r>
      <w:r w:rsidRPr="008741B9">
        <w:rPr>
          <w:rFonts w:cs="Arial"/>
          <w:lang w:val="en-US"/>
        </w:rPr>
        <w:t xml:space="preserve">informality rate of 37 percent is soaring to 70 percent in Southeast region, it recorded about 16 percent in Ankara and Istanbul. The rate of informality for wage earners, which is reported as 20 percent overall, is more than 40 percent in Southeast region and ranges between 10 and 16 percent in highly industrialized western regions. </w:t>
      </w:r>
      <w:r w:rsidR="00697194" w:rsidRPr="008741B9">
        <w:rPr>
          <w:rFonts w:cs="Arial"/>
          <w:lang w:val="en-US"/>
        </w:rPr>
        <w:t>In addition</w:t>
      </w:r>
      <w:r w:rsidR="00616F19" w:rsidRPr="008741B9">
        <w:rPr>
          <w:rFonts w:cs="Arial"/>
          <w:lang w:val="en-US"/>
        </w:rPr>
        <w:t>,</w:t>
      </w:r>
      <w:r w:rsidRPr="008741B9">
        <w:rPr>
          <w:rFonts w:cs="Arial"/>
          <w:lang w:val="en-US"/>
        </w:rPr>
        <w:t xml:space="preserve"> significant decrease in </w:t>
      </w:r>
      <w:r w:rsidR="00697194" w:rsidRPr="008741B9">
        <w:rPr>
          <w:rFonts w:cs="Arial"/>
          <w:lang w:val="en-US"/>
        </w:rPr>
        <w:t xml:space="preserve">overall </w:t>
      </w:r>
      <w:r w:rsidRPr="008741B9">
        <w:rPr>
          <w:rFonts w:cs="Arial"/>
          <w:lang w:val="en-US"/>
        </w:rPr>
        <w:t xml:space="preserve">informality at country level </w:t>
      </w:r>
      <w:r w:rsidR="00616F19" w:rsidRPr="008741B9">
        <w:rPr>
          <w:rFonts w:cs="Arial"/>
          <w:lang w:val="en-US"/>
        </w:rPr>
        <w:t>in the period 2005-2013 has been</w:t>
      </w:r>
      <w:r w:rsidRPr="008741B9">
        <w:rPr>
          <w:rFonts w:cs="Arial"/>
          <w:lang w:val="en-US"/>
        </w:rPr>
        <w:t xml:space="preserve"> </w:t>
      </w:r>
      <w:r w:rsidR="00C271CF" w:rsidRPr="008741B9">
        <w:rPr>
          <w:rFonts w:cs="Arial"/>
          <w:lang w:val="en-US"/>
        </w:rPr>
        <w:t>unequal</w:t>
      </w:r>
      <w:r w:rsidRPr="008741B9">
        <w:rPr>
          <w:rFonts w:cs="Arial"/>
          <w:lang w:val="en-US"/>
        </w:rPr>
        <w:t xml:space="preserve"> </w:t>
      </w:r>
      <w:r w:rsidR="00616F19" w:rsidRPr="008741B9">
        <w:rPr>
          <w:rFonts w:cs="Arial"/>
          <w:lang w:val="en-US"/>
        </w:rPr>
        <w:t>t</w:t>
      </w:r>
      <w:r w:rsidR="00697194" w:rsidRPr="008741B9">
        <w:rPr>
          <w:rFonts w:cs="Arial"/>
          <w:lang w:val="en-US"/>
        </w:rPr>
        <w:t>h</w:t>
      </w:r>
      <w:r w:rsidR="00616F19" w:rsidRPr="008741B9">
        <w:rPr>
          <w:rFonts w:cs="Arial"/>
          <w:lang w:val="en-US"/>
        </w:rPr>
        <w:t xml:space="preserve">rough </w:t>
      </w:r>
      <w:r w:rsidRPr="008741B9">
        <w:rPr>
          <w:rFonts w:cs="Arial"/>
          <w:lang w:val="en-US"/>
        </w:rPr>
        <w:t xml:space="preserve">regions. While the overall informality rate decreased by 38 percent, it </w:t>
      </w:r>
      <w:r w:rsidR="00C271CF" w:rsidRPr="008741B9">
        <w:rPr>
          <w:rFonts w:cs="Arial"/>
          <w:lang w:val="en-US"/>
        </w:rPr>
        <w:t xml:space="preserve">has been </w:t>
      </w:r>
      <w:r w:rsidRPr="008741B9">
        <w:rPr>
          <w:rFonts w:cs="Arial"/>
          <w:lang w:val="en-US"/>
        </w:rPr>
        <w:t xml:space="preserve">reduced by more than half in western regions. Correspondingly, decreases are more limited in other regions, but also in some regions informality increased. </w:t>
      </w:r>
    </w:p>
    <w:p w:rsidR="00DF532A" w:rsidRPr="008741B9" w:rsidRDefault="00DF532A" w:rsidP="00DF532A">
      <w:pPr>
        <w:jc w:val="both"/>
        <w:rPr>
          <w:rFonts w:cs="Arial"/>
          <w:lang w:val="en-US"/>
        </w:rPr>
      </w:pPr>
      <w:r w:rsidRPr="008741B9">
        <w:rPr>
          <w:rFonts w:cs="Arial"/>
          <w:lang w:val="en-US"/>
        </w:rPr>
        <w:t xml:space="preserve">The main force behind regional disparities in terms of informality is regional differences in structural </w:t>
      </w:r>
      <w:r w:rsidR="007530CB" w:rsidRPr="008741B9">
        <w:rPr>
          <w:rFonts w:cs="Arial"/>
          <w:lang w:val="en-US"/>
        </w:rPr>
        <w:t xml:space="preserve">determinants of informality </w:t>
      </w:r>
      <w:r w:rsidRPr="008741B9">
        <w:rPr>
          <w:rFonts w:cs="Arial"/>
          <w:lang w:val="en-US"/>
        </w:rPr>
        <w:t xml:space="preserve">such as average level of education, average firm size, or </w:t>
      </w:r>
      <w:r w:rsidR="008741B9">
        <w:rPr>
          <w:rFonts w:cs="Arial"/>
          <w:lang w:val="en-US"/>
        </w:rPr>
        <w:t>sector</w:t>
      </w:r>
      <w:r w:rsidR="007530CB" w:rsidRPr="008741B9">
        <w:rPr>
          <w:rFonts w:cs="Arial"/>
          <w:lang w:val="en-US"/>
        </w:rPr>
        <w:t>al</w:t>
      </w:r>
      <w:r w:rsidRPr="008741B9">
        <w:rPr>
          <w:rFonts w:cs="Arial"/>
          <w:lang w:val="en-US"/>
        </w:rPr>
        <w:t xml:space="preserve"> distribution of employment- that affect the level of informal employment. In last eight years, this unequal improvement in informality across regions arises from unequal regional changes in </w:t>
      </w:r>
      <w:r w:rsidR="007530CB" w:rsidRPr="008741B9">
        <w:rPr>
          <w:rFonts w:cs="Arial"/>
          <w:lang w:val="en-US"/>
        </w:rPr>
        <w:t xml:space="preserve">these </w:t>
      </w:r>
      <w:r w:rsidRPr="008741B9">
        <w:rPr>
          <w:rFonts w:cs="Arial"/>
          <w:lang w:val="en-US"/>
        </w:rPr>
        <w:t xml:space="preserve">structural </w:t>
      </w:r>
      <w:r w:rsidR="007530CB" w:rsidRPr="008741B9">
        <w:rPr>
          <w:rFonts w:cs="Arial"/>
          <w:lang w:val="en-US"/>
        </w:rPr>
        <w:t>determinants</w:t>
      </w:r>
      <w:r w:rsidRPr="008741B9">
        <w:rPr>
          <w:rFonts w:cs="Arial"/>
          <w:lang w:val="en-US"/>
        </w:rPr>
        <w:t xml:space="preserve">. </w:t>
      </w:r>
    </w:p>
    <w:p w:rsidR="00DF532A" w:rsidRPr="008741B9" w:rsidRDefault="00DF532A" w:rsidP="00DF532A">
      <w:pPr>
        <w:jc w:val="both"/>
        <w:rPr>
          <w:b/>
          <w:sz w:val="24"/>
          <w:szCs w:val="24"/>
          <w:lang w:val="en-US"/>
        </w:rPr>
      </w:pPr>
      <w:r w:rsidRPr="008741B9">
        <w:rPr>
          <w:b/>
          <w:sz w:val="24"/>
          <w:szCs w:val="24"/>
          <w:lang w:val="en-US"/>
        </w:rPr>
        <w:t>Large regional differences in informality</w:t>
      </w:r>
    </w:p>
    <w:p w:rsidR="00DF532A" w:rsidRPr="008741B9" w:rsidRDefault="00DF532A" w:rsidP="00DF532A">
      <w:pPr>
        <w:jc w:val="both"/>
        <w:rPr>
          <w:rFonts w:cs="Arial"/>
          <w:lang w:val="en-US"/>
        </w:rPr>
      </w:pPr>
      <w:r w:rsidRPr="008741B9">
        <w:rPr>
          <w:rFonts w:cs="Arial"/>
          <w:lang w:val="en-US"/>
        </w:rPr>
        <w:t xml:space="preserve">Informality defined by employment of workers not registered with social security institution (voluntarily informality) or of those forced working </w:t>
      </w:r>
      <w:r w:rsidR="00C74DA1" w:rsidRPr="008741B9">
        <w:rPr>
          <w:rFonts w:cs="Arial"/>
          <w:lang w:val="en-US"/>
        </w:rPr>
        <w:t xml:space="preserve">into </w:t>
      </w:r>
      <w:r w:rsidRPr="008741B9">
        <w:rPr>
          <w:rFonts w:cs="Arial"/>
          <w:lang w:val="en-US"/>
        </w:rPr>
        <w:t xml:space="preserve">informally (involuntarily informality), exhibits large regional differences. Only in two regions, the share of informal workers in total employment is less than Turkey's average rate of 36.8 percent. These regions are Ankara (14.1 percent) and Istanbul (16.5 percent). The regions of Ağrı and Van have the most severe informality rates of 71.4 percent and 69.7 percent respectively. On the other hand, in 20 out of 26 regions the rates of informality exceeds average informality rate in Turkey. Informality is more prevalent particularly in East and Southeast regions. Furthermore, high informality rates in the regions of Trabzon (55.7 percent), Zonguldak (52.3 percent), and Kastamonu (50.8 percent) are remarkable (Figure 1). </w:t>
      </w:r>
    </w:p>
    <w:p w:rsidR="00DF532A" w:rsidRPr="008741B9" w:rsidRDefault="00DF532A" w:rsidP="00DF532A">
      <w:pPr>
        <w:jc w:val="both"/>
        <w:rPr>
          <w:rFonts w:cs="Arial"/>
          <w:lang w:val="en-US"/>
        </w:rPr>
      </w:pPr>
      <w:r w:rsidRPr="008741B9">
        <w:rPr>
          <w:rFonts w:cs="Arial"/>
          <w:lang w:val="en-US"/>
        </w:rPr>
        <w:t xml:space="preserve">Note that regional distribution of informal employment of regular or causal workers (wage earners hereafter) is quite different from regional distribution of total informal employment. The regions of Ankara and Kocaeli have the lowest rates of informality for wage earners with 10 percent and 12 </w:t>
      </w:r>
      <w:r w:rsidRPr="008741B9">
        <w:rPr>
          <w:rFonts w:cs="Arial"/>
          <w:lang w:val="en-US"/>
        </w:rPr>
        <w:lastRenderedPageBreak/>
        <w:t>percent respectively. Istanbul is the third with the rate of 12.8 percent. It is interesting that in the regions of Trabzon, Kastamonu, and Zonguldak, where overall informality rates are quite high, the rates of informality for wage earners are below average wage earners informali</w:t>
      </w:r>
      <w:r w:rsidR="00C74DA1" w:rsidRPr="008741B9">
        <w:rPr>
          <w:rFonts w:cs="Arial"/>
          <w:lang w:val="en-US"/>
        </w:rPr>
        <w:t>ty rate (19.9 percent)</w:t>
      </w:r>
      <w:r w:rsidRPr="008741B9">
        <w:rPr>
          <w:rFonts w:cs="Arial"/>
          <w:lang w:val="en-US"/>
        </w:rPr>
        <w:t>. Informality</w:t>
      </w:r>
      <w:r w:rsidR="003D3C29" w:rsidRPr="008741B9">
        <w:rPr>
          <w:rFonts w:cs="Arial"/>
          <w:lang w:val="en-US"/>
        </w:rPr>
        <w:t xml:space="preserve"> rate for </w:t>
      </w:r>
      <w:r w:rsidRPr="008741B9">
        <w:rPr>
          <w:rFonts w:cs="Arial"/>
          <w:lang w:val="en-US"/>
        </w:rPr>
        <w:t xml:space="preserve">wage earners are </w:t>
      </w:r>
      <w:r w:rsidR="00E841BF" w:rsidRPr="008741B9">
        <w:rPr>
          <w:rFonts w:cs="Arial"/>
          <w:lang w:val="en-US"/>
        </w:rPr>
        <w:t>below</w:t>
      </w:r>
      <w:r w:rsidRPr="008741B9">
        <w:rPr>
          <w:rFonts w:cs="Arial"/>
          <w:lang w:val="en-US"/>
        </w:rPr>
        <w:t xml:space="preserve"> the average </w:t>
      </w:r>
      <w:r w:rsidR="003D3C29" w:rsidRPr="008741B9">
        <w:rPr>
          <w:rFonts w:cs="Arial"/>
          <w:lang w:val="en-US"/>
        </w:rPr>
        <w:t>rate of Turkey in twelve</w:t>
      </w:r>
      <w:r w:rsidRPr="008741B9">
        <w:rPr>
          <w:rFonts w:cs="Arial"/>
          <w:lang w:val="en-US"/>
        </w:rPr>
        <w:t xml:space="preserve"> regions, however total informality is more than average </w:t>
      </w:r>
      <w:r w:rsidR="003D3C29" w:rsidRPr="008741B9">
        <w:rPr>
          <w:rFonts w:cs="Arial"/>
          <w:lang w:val="en-US"/>
        </w:rPr>
        <w:t>rate of Turkey in only six</w:t>
      </w:r>
      <w:r w:rsidRPr="008741B9">
        <w:rPr>
          <w:rFonts w:cs="Arial"/>
          <w:lang w:val="en-US"/>
        </w:rPr>
        <w:t xml:space="preserve"> regions (Figure 1). </w:t>
      </w:r>
    </w:p>
    <w:p w:rsidR="00DF532A" w:rsidRPr="008741B9" w:rsidRDefault="00DF532A" w:rsidP="00DF532A">
      <w:pPr>
        <w:pStyle w:val="Caption"/>
        <w:keepNext/>
        <w:spacing w:line="276" w:lineRule="auto"/>
        <w:jc w:val="both"/>
        <w:rPr>
          <w:rFonts w:asciiTheme="minorHAnsi" w:hAnsiTheme="minorHAnsi"/>
          <w:bCs w:val="0"/>
          <w:color w:val="auto"/>
          <w:sz w:val="22"/>
          <w:szCs w:val="22"/>
          <w:lang w:val="en-US"/>
        </w:rPr>
      </w:pPr>
      <w:r w:rsidRPr="008741B9">
        <w:rPr>
          <w:rFonts w:asciiTheme="minorHAnsi" w:hAnsiTheme="minorHAnsi"/>
          <w:bCs w:val="0"/>
          <w:color w:val="auto"/>
          <w:sz w:val="22"/>
          <w:szCs w:val="22"/>
          <w:lang w:val="en-US"/>
        </w:rPr>
        <w:t xml:space="preserve">Figure </w:t>
      </w:r>
      <w:r w:rsidR="000B5988" w:rsidRPr="008741B9">
        <w:rPr>
          <w:rFonts w:asciiTheme="minorHAnsi" w:hAnsiTheme="minorHAnsi"/>
          <w:bCs w:val="0"/>
          <w:color w:val="auto"/>
          <w:sz w:val="22"/>
          <w:szCs w:val="22"/>
          <w:lang w:val="en-US"/>
        </w:rPr>
        <w:fldChar w:fldCharType="begin"/>
      </w:r>
      <w:r w:rsidRPr="008741B9">
        <w:rPr>
          <w:rFonts w:asciiTheme="minorHAnsi" w:hAnsiTheme="minorHAnsi"/>
          <w:bCs w:val="0"/>
          <w:color w:val="auto"/>
          <w:sz w:val="22"/>
          <w:szCs w:val="22"/>
          <w:lang w:val="en-US"/>
        </w:rPr>
        <w:instrText xml:space="preserve"> SEQ Şekil \* ARABIC </w:instrText>
      </w:r>
      <w:r w:rsidR="000B5988" w:rsidRPr="008741B9">
        <w:rPr>
          <w:rFonts w:asciiTheme="minorHAnsi" w:hAnsiTheme="minorHAnsi"/>
          <w:bCs w:val="0"/>
          <w:color w:val="auto"/>
          <w:sz w:val="22"/>
          <w:szCs w:val="22"/>
          <w:lang w:val="en-US"/>
        </w:rPr>
        <w:fldChar w:fldCharType="separate"/>
      </w:r>
      <w:r w:rsidR="00185270" w:rsidRPr="008741B9">
        <w:rPr>
          <w:rFonts w:asciiTheme="minorHAnsi" w:hAnsiTheme="minorHAnsi"/>
          <w:bCs w:val="0"/>
          <w:noProof/>
          <w:color w:val="auto"/>
          <w:sz w:val="22"/>
          <w:szCs w:val="22"/>
          <w:lang w:val="en-US"/>
        </w:rPr>
        <w:t>1</w:t>
      </w:r>
      <w:r w:rsidR="000B5988" w:rsidRPr="008741B9">
        <w:rPr>
          <w:rFonts w:asciiTheme="minorHAnsi" w:hAnsiTheme="minorHAnsi"/>
          <w:bCs w:val="0"/>
          <w:color w:val="auto"/>
          <w:sz w:val="22"/>
          <w:szCs w:val="22"/>
          <w:lang w:val="en-US"/>
        </w:rPr>
        <w:fldChar w:fldCharType="end"/>
      </w:r>
      <w:r w:rsidRPr="008741B9">
        <w:rPr>
          <w:rFonts w:asciiTheme="minorHAnsi" w:hAnsiTheme="minorHAnsi"/>
          <w:bCs w:val="0"/>
          <w:color w:val="auto"/>
          <w:sz w:val="22"/>
          <w:szCs w:val="22"/>
          <w:lang w:val="en-US"/>
        </w:rPr>
        <w:t xml:space="preserve">: 2013 Regional (NUTS 2) Informality Rates (%) </w:t>
      </w:r>
      <w:r w:rsidRPr="008741B9">
        <w:rPr>
          <w:rStyle w:val="FootnoteReference"/>
          <w:rFonts w:asciiTheme="minorHAnsi" w:hAnsiTheme="minorHAnsi"/>
          <w:bCs w:val="0"/>
          <w:color w:val="auto"/>
          <w:sz w:val="22"/>
          <w:szCs w:val="22"/>
          <w:lang w:val="en-US"/>
        </w:rPr>
        <w:footnoteReference w:id="3"/>
      </w:r>
    </w:p>
    <w:p w:rsidR="00DF532A" w:rsidRPr="008741B9" w:rsidRDefault="00DF532A" w:rsidP="00DF532A">
      <w:pPr>
        <w:keepNext/>
        <w:jc w:val="both"/>
        <w:rPr>
          <w:lang w:val="en-US"/>
        </w:rPr>
      </w:pPr>
      <w:r w:rsidRPr="008741B9">
        <w:rPr>
          <w:noProof/>
        </w:rPr>
        <w:drawing>
          <wp:inline distT="0" distB="0" distL="0" distR="0">
            <wp:extent cx="3220720" cy="4271645"/>
            <wp:effectExtent l="19050" t="0" r="0" b="0"/>
            <wp:docPr id="4" name="Picture 2"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1"/>
                    <pic:cNvPicPr>
                      <a:picLocks noChangeAspect="1" noChangeArrowheads="1"/>
                    </pic:cNvPicPr>
                  </pic:nvPicPr>
                  <pic:blipFill>
                    <a:blip r:embed="rId10" cstate="print"/>
                    <a:srcRect/>
                    <a:stretch>
                      <a:fillRect/>
                    </a:stretch>
                  </pic:blipFill>
                  <pic:spPr bwMode="auto">
                    <a:xfrm>
                      <a:off x="0" y="0"/>
                      <a:ext cx="3220720" cy="4271645"/>
                    </a:xfrm>
                    <a:prstGeom prst="rect">
                      <a:avLst/>
                    </a:prstGeom>
                    <a:noFill/>
                    <a:ln w="9525">
                      <a:noFill/>
                      <a:miter lim="800000"/>
                      <a:headEnd/>
                      <a:tailEnd/>
                    </a:ln>
                  </pic:spPr>
                </pic:pic>
              </a:graphicData>
            </a:graphic>
          </wp:inline>
        </w:drawing>
      </w:r>
    </w:p>
    <w:p w:rsidR="00DF532A" w:rsidRPr="008741B9" w:rsidRDefault="00DF532A" w:rsidP="00DF532A">
      <w:pPr>
        <w:pStyle w:val="Caption"/>
        <w:spacing w:line="276" w:lineRule="auto"/>
        <w:jc w:val="both"/>
        <w:rPr>
          <w:rFonts w:asciiTheme="minorHAnsi" w:hAnsiTheme="minorHAnsi"/>
          <w:b w:val="0"/>
          <w:color w:val="auto"/>
          <w:lang w:val="en-US"/>
        </w:rPr>
      </w:pPr>
      <w:r w:rsidRPr="008741B9">
        <w:rPr>
          <w:rFonts w:asciiTheme="minorHAnsi" w:hAnsiTheme="minorHAnsi"/>
          <w:b w:val="0"/>
          <w:color w:val="auto"/>
          <w:lang w:val="en-US"/>
        </w:rPr>
        <w:t>Source: TurkStat, 2013 Household Labor Survey micro dataset; Betam</w:t>
      </w:r>
    </w:p>
    <w:p w:rsidR="00DF532A" w:rsidRPr="008741B9" w:rsidRDefault="00DF532A" w:rsidP="00DF532A">
      <w:pPr>
        <w:jc w:val="both"/>
        <w:rPr>
          <w:rFonts w:cs="Arial"/>
          <w:color w:val="FF0000"/>
          <w:lang w:val="en-US"/>
        </w:rPr>
      </w:pPr>
      <w:r w:rsidRPr="008741B9">
        <w:rPr>
          <w:rFonts w:cs="Arial"/>
          <w:lang w:val="en-US"/>
        </w:rPr>
        <w:t xml:space="preserve">The potential reason for large regional differences in </w:t>
      </w:r>
      <w:r w:rsidR="00672EA7" w:rsidRPr="008741B9">
        <w:rPr>
          <w:rFonts w:cs="Arial"/>
          <w:lang w:val="en-US"/>
        </w:rPr>
        <w:t>in</w:t>
      </w:r>
      <w:r w:rsidRPr="008741B9">
        <w:rPr>
          <w:rFonts w:cs="Arial"/>
          <w:lang w:val="en-US"/>
        </w:rPr>
        <w:t xml:space="preserve">formality rates is unequal distribution of structural </w:t>
      </w:r>
      <w:r w:rsidR="00672EA7" w:rsidRPr="008741B9">
        <w:rPr>
          <w:rFonts w:cs="Arial"/>
          <w:lang w:val="en-US"/>
        </w:rPr>
        <w:t>determinants</w:t>
      </w:r>
      <w:r w:rsidRPr="008741B9">
        <w:rPr>
          <w:rFonts w:cs="Arial"/>
          <w:lang w:val="en-US"/>
        </w:rPr>
        <w:t xml:space="preserve"> that we studied in our previous research brief (see Betam Research Brief 14/171)</w:t>
      </w:r>
      <w:r w:rsidR="003D3C29" w:rsidRPr="008741B9">
        <w:rPr>
          <w:rFonts w:cs="Arial"/>
          <w:lang w:val="en-US"/>
        </w:rPr>
        <w:t>.</w:t>
      </w:r>
      <w:r w:rsidR="003D3C29" w:rsidRPr="008741B9">
        <w:rPr>
          <w:rStyle w:val="FootnoteReference"/>
          <w:rFonts w:cs="Arial"/>
          <w:lang w:val="en-US"/>
        </w:rPr>
        <w:footnoteReference w:id="4"/>
      </w:r>
      <w:r w:rsidRPr="008741B9">
        <w:rPr>
          <w:rFonts w:cs="Arial"/>
          <w:lang w:val="en-US"/>
        </w:rPr>
        <w:t xml:space="preserve"> Indeed, largely differentiated informality across regions arises from regional discrepancies in average level of education, average firm size and </w:t>
      </w:r>
      <w:r w:rsidR="00672EA7" w:rsidRPr="008741B9">
        <w:rPr>
          <w:rFonts w:cs="Arial"/>
          <w:lang w:val="en-US"/>
        </w:rPr>
        <w:t>sectoral</w:t>
      </w:r>
      <w:r w:rsidRPr="008741B9">
        <w:rPr>
          <w:rFonts w:cs="Arial"/>
          <w:lang w:val="en-US"/>
        </w:rPr>
        <w:t xml:space="preserve"> distribution of employment. For instance, the main reason </w:t>
      </w:r>
      <w:r w:rsidR="003D3C29" w:rsidRPr="008741B9">
        <w:rPr>
          <w:rFonts w:cs="Arial"/>
          <w:lang w:val="en-US"/>
        </w:rPr>
        <w:t xml:space="preserve">for why </w:t>
      </w:r>
      <w:r w:rsidRPr="008741B9">
        <w:rPr>
          <w:rFonts w:cs="Arial"/>
          <w:lang w:val="en-US"/>
        </w:rPr>
        <w:t xml:space="preserve">Ankara has the lowest informality rate is </w:t>
      </w:r>
      <w:r w:rsidR="003D3C29" w:rsidRPr="008741B9">
        <w:rPr>
          <w:rFonts w:cs="Arial"/>
          <w:lang w:val="en-US"/>
        </w:rPr>
        <w:t xml:space="preserve">that </w:t>
      </w:r>
      <w:r w:rsidR="00A8539E" w:rsidRPr="008741B9">
        <w:rPr>
          <w:rFonts w:cs="Arial"/>
          <w:lang w:val="en-US"/>
        </w:rPr>
        <w:t xml:space="preserve">the </w:t>
      </w:r>
      <w:r w:rsidR="003D3C29" w:rsidRPr="008741B9">
        <w:rPr>
          <w:rFonts w:cs="Arial"/>
          <w:lang w:val="en-US"/>
        </w:rPr>
        <w:t>employment</w:t>
      </w:r>
      <w:r w:rsidR="00A8539E" w:rsidRPr="008741B9">
        <w:rPr>
          <w:rFonts w:cs="Arial"/>
          <w:lang w:val="en-US"/>
        </w:rPr>
        <w:t xml:space="preserve"> in this region</w:t>
      </w:r>
      <w:r w:rsidR="003D3C29" w:rsidRPr="008741B9">
        <w:rPr>
          <w:rFonts w:cs="Arial"/>
          <w:lang w:val="en-US"/>
        </w:rPr>
        <w:t xml:space="preserve"> </w:t>
      </w:r>
      <w:r w:rsidRPr="008741B9">
        <w:rPr>
          <w:rFonts w:cs="Arial"/>
          <w:lang w:val="en-US"/>
        </w:rPr>
        <w:t>consists predominantly of</w:t>
      </w:r>
      <w:r w:rsidRPr="008741B9">
        <w:rPr>
          <w:rFonts w:cs="Arial"/>
          <w:b/>
          <w:bCs/>
          <w:lang w:val="en-US"/>
        </w:rPr>
        <w:t xml:space="preserve"> </w:t>
      </w:r>
      <w:r w:rsidRPr="008741B9">
        <w:rPr>
          <w:rFonts w:cs="Arial"/>
          <w:lang w:val="en-US"/>
        </w:rPr>
        <w:t xml:space="preserve">wage earners </w:t>
      </w:r>
      <w:r w:rsidR="00A8539E" w:rsidRPr="008741B9">
        <w:rPr>
          <w:rFonts w:cs="Arial"/>
          <w:lang w:val="en-US"/>
        </w:rPr>
        <w:t>and</w:t>
      </w:r>
      <w:r w:rsidR="008C5D70" w:rsidRPr="008741B9">
        <w:rPr>
          <w:rFonts w:cs="Arial"/>
          <w:lang w:val="en-US"/>
        </w:rPr>
        <w:t xml:space="preserve"> a large proportion of these wage earners</w:t>
      </w:r>
      <w:r w:rsidR="008C5D70" w:rsidRPr="008741B9">
        <w:rPr>
          <w:rFonts w:cs="Arial"/>
          <w:color w:val="00B050"/>
          <w:lang w:val="en-US"/>
        </w:rPr>
        <w:t xml:space="preserve"> </w:t>
      </w:r>
      <w:r w:rsidR="008C5D70" w:rsidRPr="008741B9">
        <w:rPr>
          <w:rFonts w:cs="Arial"/>
          <w:lang w:val="en-US"/>
        </w:rPr>
        <w:t xml:space="preserve">are </w:t>
      </w:r>
      <w:r w:rsidR="008C5D70" w:rsidRPr="008741B9">
        <w:rPr>
          <w:rFonts w:cs="Arial"/>
          <w:lang w:val="en-US"/>
        </w:rPr>
        <w:lastRenderedPageBreak/>
        <w:t xml:space="preserve">employed in </w:t>
      </w:r>
      <w:r w:rsidR="00555E8E" w:rsidRPr="008741B9">
        <w:rPr>
          <w:rFonts w:cs="Arial"/>
          <w:lang w:val="en-US"/>
        </w:rPr>
        <w:t xml:space="preserve">the </w:t>
      </w:r>
      <w:r w:rsidR="008C5D70" w:rsidRPr="008741B9">
        <w:rPr>
          <w:rFonts w:cs="Arial"/>
          <w:lang w:val="en-US"/>
        </w:rPr>
        <w:t xml:space="preserve">public sector. </w:t>
      </w:r>
      <w:r w:rsidRPr="008741B9">
        <w:rPr>
          <w:rFonts w:cs="Arial"/>
          <w:lang w:val="en-US"/>
        </w:rPr>
        <w:t>Therefore, it is not surprising that the regions with the lowest informality rates are the ones with manufacturing-oriented and large-sized firms (Figure 2 and Figure 4). On the other hand, as the share of agriculture in employment increases in a region, the informality rate in this region will be inherently high due to high rate of informality in agricultural sectors.</w:t>
      </w:r>
    </w:p>
    <w:p w:rsidR="00DF532A" w:rsidRPr="008741B9" w:rsidRDefault="00DF532A" w:rsidP="00DF532A">
      <w:pPr>
        <w:jc w:val="both"/>
        <w:rPr>
          <w:b/>
          <w:sz w:val="24"/>
          <w:szCs w:val="24"/>
          <w:lang w:val="en-US"/>
        </w:rPr>
      </w:pPr>
      <w:r w:rsidRPr="008741B9">
        <w:rPr>
          <w:b/>
          <w:sz w:val="24"/>
          <w:szCs w:val="24"/>
          <w:lang w:val="en-US"/>
        </w:rPr>
        <w:t xml:space="preserve">The impact of structural </w:t>
      </w:r>
      <w:r w:rsidR="00B67B23" w:rsidRPr="008741B9">
        <w:rPr>
          <w:b/>
          <w:sz w:val="24"/>
          <w:szCs w:val="24"/>
          <w:lang w:val="en-US"/>
        </w:rPr>
        <w:t>determinants</w:t>
      </w:r>
      <w:r w:rsidRPr="008741B9">
        <w:rPr>
          <w:b/>
          <w:sz w:val="24"/>
          <w:szCs w:val="24"/>
          <w:lang w:val="en-US"/>
        </w:rPr>
        <w:t xml:space="preserve"> on informality</w:t>
      </w:r>
    </w:p>
    <w:p w:rsidR="007D6BE7" w:rsidRPr="008741B9" w:rsidRDefault="00DF532A" w:rsidP="00DF532A">
      <w:pPr>
        <w:jc w:val="both"/>
        <w:rPr>
          <w:rFonts w:cs="Arial"/>
          <w:lang w:val="en-US"/>
        </w:rPr>
      </w:pPr>
      <w:r w:rsidRPr="008741B9">
        <w:rPr>
          <w:rFonts w:cs="Arial"/>
          <w:lang w:val="en-US"/>
        </w:rPr>
        <w:t xml:space="preserve">In order to have an idea about the impact of regional distribution of structural </w:t>
      </w:r>
      <w:r w:rsidR="006B61CF" w:rsidRPr="008741B9">
        <w:rPr>
          <w:rFonts w:cs="Arial"/>
          <w:lang w:val="en-US"/>
        </w:rPr>
        <w:t>determinants</w:t>
      </w:r>
      <w:r w:rsidR="008C5D70" w:rsidRPr="008741B9">
        <w:rPr>
          <w:rFonts w:cs="Arial"/>
          <w:lang w:val="en-US"/>
        </w:rPr>
        <w:t xml:space="preserve"> </w:t>
      </w:r>
      <w:r w:rsidRPr="008741B9">
        <w:rPr>
          <w:rFonts w:cs="Arial"/>
          <w:lang w:val="en-US"/>
        </w:rPr>
        <w:t xml:space="preserve">on regional rates of informality we explore correlations between indicators for </w:t>
      </w:r>
      <w:r w:rsidR="006B61CF" w:rsidRPr="008741B9">
        <w:rPr>
          <w:rFonts w:cs="Arial"/>
          <w:lang w:val="en-US"/>
        </w:rPr>
        <w:t>these</w:t>
      </w:r>
      <w:r w:rsidRPr="008741B9">
        <w:rPr>
          <w:rFonts w:cs="Arial"/>
          <w:lang w:val="en-US"/>
        </w:rPr>
        <w:t xml:space="preserve"> </w:t>
      </w:r>
      <w:r w:rsidR="001054A0" w:rsidRPr="008741B9">
        <w:rPr>
          <w:rFonts w:cs="Arial"/>
          <w:lang w:val="en-US"/>
        </w:rPr>
        <w:t>determinants</w:t>
      </w:r>
      <w:r w:rsidRPr="008741B9">
        <w:rPr>
          <w:rFonts w:cs="Arial"/>
          <w:lang w:val="en-US"/>
        </w:rPr>
        <w:t xml:space="preserve"> and informality rates. We limit our sample with the wage earners </w:t>
      </w:r>
      <w:r w:rsidR="007D6BE7" w:rsidRPr="008741B9">
        <w:rPr>
          <w:rFonts w:cs="Arial"/>
          <w:lang w:val="en-US"/>
        </w:rPr>
        <w:t xml:space="preserve">and exclude other employment categories </w:t>
      </w:r>
      <w:r w:rsidRPr="008741B9">
        <w:rPr>
          <w:rFonts w:cs="Arial"/>
          <w:lang w:val="en-US"/>
        </w:rPr>
        <w:t xml:space="preserve">because </w:t>
      </w:r>
      <w:r w:rsidR="007D6BE7" w:rsidRPr="008741B9">
        <w:rPr>
          <w:rFonts w:cs="Arial"/>
          <w:lang w:val="en-US"/>
        </w:rPr>
        <w:t xml:space="preserve">self-employed and unpaid family workers are mainly working in the sector of agriculture and hence, the rate of informality among them is quite high. </w:t>
      </w:r>
    </w:p>
    <w:p w:rsidR="00DF532A" w:rsidRPr="008741B9" w:rsidRDefault="00473070" w:rsidP="00DF532A">
      <w:pPr>
        <w:jc w:val="both"/>
        <w:rPr>
          <w:rFonts w:cs="Arial"/>
          <w:lang w:val="en-US"/>
        </w:rPr>
      </w:pPr>
      <w:r w:rsidRPr="008741B9">
        <w:rPr>
          <w:rFonts w:cs="Arial"/>
          <w:lang w:val="en-US"/>
        </w:rPr>
        <w:t>First,</w:t>
      </w:r>
      <w:r w:rsidR="00DF532A" w:rsidRPr="008741B9">
        <w:rPr>
          <w:rFonts w:cs="Arial"/>
          <w:lang w:val="en-US"/>
        </w:rPr>
        <w:t xml:space="preserve"> we study the effect of </w:t>
      </w:r>
      <w:r w:rsidR="008741B9" w:rsidRPr="008741B9">
        <w:rPr>
          <w:rFonts w:cs="Arial"/>
          <w:lang w:val="en-US"/>
        </w:rPr>
        <w:t>sector</w:t>
      </w:r>
      <w:r w:rsidRPr="008741B9">
        <w:rPr>
          <w:rFonts w:cs="Arial"/>
          <w:lang w:val="en-US"/>
        </w:rPr>
        <w:t>al</w:t>
      </w:r>
      <w:r w:rsidR="00DF532A" w:rsidRPr="008741B9">
        <w:rPr>
          <w:rFonts w:cs="Arial"/>
          <w:lang w:val="en-US"/>
        </w:rPr>
        <w:t xml:space="preserve"> distribution of employment on regional informality rates (Figure 2). As expected, regional informality rate increases a</w:t>
      </w:r>
      <w:r w:rsidR="003B5BD6" w:rsidRPr="008741B9">
        <w:rPr>
          <w:rFonts w:cs="Arial"/>
          <w:lang w:val="en-US"/>
        </w:rPr>
        <w:t xml:space="preserve">long with </w:t>
      </w:r>
      <w:r w:rsidR="00DF532A" w:rsidRPr="008741B9">
        <w:rPr>
          <w:rFonts w:cs="Arial"/>
          <w:lang w:val="en-US"/>
        </w:rPr>
        <w:t>the employment shares of agriculture and construction</w:t>
      </w:r>
      <w:r w:rsidR="008C5D70" w:rsidRPr="008741B9">
        <w:rPr>
          <w:rFonts w:cs="Arial"/>
          <w:lang w:val="en-US"/>
        </w:rPr>
        <w:t>,</w:t>
      </w:r>
      <w:r w:rsidR="00DF532A" w:rsidRPr="008741B9">
        <w:rPr>
          <w:rFonts w:cs="Arial"/>
          <w:lang w:val="en-US"/>
        </w:rPr>
        <w:t xml:space="preserve"> where the rate of informality is 79.5 percent and 38.6 percent respectively. The correlation coefficient for wage</w:t>
      </w:r>
      <w:r w:rsidR="008741B9" w:rsidRPr="008741B9">
        <w:rPr>
          <w:rFonts w:cs="Arial"/>
          <w:lang w:val="en-US"/>
        </w:rPr>
        <w:t xml:space="preserve"> </w:t>
      </w:r>
      <w:r w:rsidR="00DF532A" w:rsidRPr="008741B9">
        <w:rPr>
          <w:rFonts w:cs="Arial"/>
          <w:lang w:val="en-US"/>
        </w:rPr>
        <w:t>earner</w:t>
      </w:r>
      <w:r w:rsidRPr="008741B9">
        <w:rPr>
          <w:rFonts w:cs="Arial"/>
          <w:lang w:val="en-US"/>
        </w:rPr>
        <w:t>s</w:t>
      </w:r>
      <w:r w:rsidR="00DF532A" w:rsidRPr="008741B9">
        <w:rPr>
          <w:rFonts w:cs="Arial"/>
          <w:lang w:val="en-US"/>
        </w:rPr>
        <w:t xml:space="preserve"> in agriculture and that in construction computed as 0.55 and 0.83 respectively. The reason for relatively low correlation coefficient</w:t>
      </w:r>
      <w:r w:rsidR="007C28A4" w:rsidRPr="008741B9">
        <w:rPr>
          <w:rFonts w:cs="Arial"/>
          <w:lang w:val="en-US"/>
        </w:rPr>
        <w:t xml:space="preserve"> computed</w:t>
      </w:r>
      <w:r w:rsidR="00DF532A" w:rsidRPr="008741B9">
        <w:rPr>
          <w:rFonts w:cs="Arial"/>
          <w:lang w:val="en-US"/>
        </w:rPr>
        <w:t xml:space="preserve"> for the agriculture is </w:t>
      </w:r>
      <w:r w:rsidR="007C28A4" w:rsidRPr="008741B9">
        <w:rPr>
          <w:rFonts w:cs="Arial"/>
          <w:lang w:val="en-US"/>
        </w:rPr>
        <w:t>that in the regions such as Van, Mardin or Ağrı the rate of i</w:t>
      </w:r>
      <w:r w:rsidR="00DF532A" w:rsidRPr="008741B9">
        <w:rPr>
          <w:rFonts w:cs="Arial"/>
          <w:lang w:val="en-US"/>
        </w:rPr>
        <w:t xml:space="preserve">nformality is high in spite of </w:t>
      </w:r>
      <w:r w:rsidR="007C28A4" w:rsidRPr="008741B9">
        <w:rPr>
          <w:rFonts w:cs="Arial"/>
          <w:lang w:val="en-US"/>
        </w:rPr>
        <w:t xml:space="preserve">relatively low </w:t>
      </w:r>
      <w:r w:rsidR="00DF532A" w:rsidRPr="008741B9">
        <w:rPr>
          <w:rFonts w:cs="Arial"/>
          <w:lang w:val="en-US"/>
        </w:rPr>
        <w:t>share of agriculture in regional wage earner employment.</w:t>
      </w:r>
      <w:r w:rsidRPr="008741B9">
        <w:rPr>
          <w:rFonts w:cs="Arial"/>
          <w:lang w:val="en-US"/>
        </w:rPr>
        <w:t xml:space="preserve"> </w:t>
      </w:r>
    </w:p>
    <w:p w:rsidR="00DF532A" w:rsidRPr="008741B9" w:rsidRDefault="00DF532A" w:rsidP="00DF532A">
      <w:pPr>
        <w:jc w:val="both"/>
        <w:rPr>
          <w:rFonts w:cs="Arial"/>
          <w:lang w:val="en-US"/>
        </w:rPr>
      </w:pPr>
      <w:r w:rsidRPr="008741B9">
        <w:rPr>
          <w:rFonts w:cs="Arial"/>
          <w:lang w:val="en-US"/>
        </w:rPr>
        <w:t>On the other hand, coefficient on the correlation between the share of manufacturing sector and the rate of informality is negative with -0.51 as we expect. As the regional difference</w:t>
      </w:r>
      <w:r w:rsidR="00A32B29" w:rsidRPr="008741B9">
        <w:rPr>
          <w:rFonts w:cs="Arial"/>
          <w:lang w:val="en-US"/>
        </w:rPr>
        <w:t>s</w:t>
      </w:r>
      <w:r w:rsidRPr="008741B9">
        <w:rPr>
          <w:rFonts w:cs="Arial"/>
          <w:lang w:val="en-US"/>
        </w:rPr>
        <w:t xml:space="preserve"> in industrialization </w:t>
      </w:r>
      <w:r w:rsidR="00A32B29" w:rsidRPr="008741B9">
        <w:rPr>
          <w:rFonts w:cs="Arial"/>
          <w:lang w:val="en-US"/>
        </w:rPr>
        <w:t xml:space="preserve">will be </w:t>
      </w:r>
      <w:r w:rsidRPr="008741B9">
        <w:rPr>
          <w:rFonts w:cs="Arial"/>
          <w:lang w:val="en-US"/>
        </w:rPr>
        <w:t>get</w:t>
      </w:r>
      <w:r w:rsidR="00A32B29" w:rsidRPr="008741B9">
        <w:rPr>
          <w:rFonts w:cs="Arial"/>
          <w:lang w:val="en-US"/>
        </w:rPr>
        <w:t>ting</w:t>
      </w:r>
      <w:r w:rsidRPr="008741B9">
        <w:rPr>
          <w:rFonts w:cs="Arial"/>
          <w:lang w:val="en-US"/>
        </w:rPr>
        <w:t xml:space="preserve"> smaller, regional disparit</w:t>
      </w:r>
      <w:r w:rsidR="00A32B29" w:rsidRPr="008741B9">
        <w:rPr>
          <w:rFonts w:cs="Arial"/>
          <w:lang w:val="en-US"/>
        </w:rPr>
        <w:t>ies</w:t>
      </w:r>
      <w:r w:rsidRPr="008741B9">
        <w:rPr>
          <w:rFonts w:cs="Arial"/>
          <w:lang w:val="en-US"/>
        </w:rPr>
        <w:t xml:space="preserve"> in terms of informality will </w:t>
      </w:r>
      <w:r w:rsidR="00A32B29" w:rsidRPr="008741B9">
        <w:rPr>
          <w:rFonts w:cs="Arial"/>
          <w:lang w:val="en-US"/>
        </w:rPr>
        <w:t>be</w:t>
      </w:r>
      <w:r w:rsidR="008741B9">
        <w:rPr>
          <w:rFonts w:cs="Arial"/>
          <w:lang w:val="en-US"/>
        </w:rPr>
        <w:t xml:space="preserve"> </w:t>
      </w:r>
      <w:r w:rsidRPr="008741B9">
        <w:rPr>
          <w:rFonts w:cs="Arial"/>
          <w:lang w:val="en-US"/>
        </w:rPr>
        <w:t>reduce</w:t>
      </w:r>
      <w:r w:rsidR="00A32B29" w:rsidRPr="008741B9">
        <w:rPr>
          <w:rFonts w:cs="Arial"/>
          <w:lang w:val="en-US"/>
        </w:rPr>
        <w:t>d</w:t>
      </w:r>
      <w:r w:rsidRPr="008741B9">
        <w:rPr>
          <w:rFonts w:cs="Arial"/>
          <w:lang w:val="en-US"/>
        </w:rPr>
        <w:t xml:space="preserve">. The correlation coefficient for the sector of services is </w:t>
      </w:r>
      <w:r w:rsidR="00A32B29" w:rsidRPr="008741B9">
        <w:rPr>
          <w:rFonts w:cs="Arial"/>
          <w:lang w:val="en-US"/>
        </w:rPr>
        <w:t xml:space="preserve">also </w:t>
      </w:r>
      <w:r w:rsidR="003D3C29" w:rsidRPr="008741B9">
        <w:rPr>
          <w:rFonts w:cs="Arial"/>
          <w:lang w:val="en-US"/>
        </w:rPr>
        <w:t xml:space="preserve">negative </w:t>
      </w:r>
      <w:r w:rsidRPr="008741B9">
        <w:rPr>
          <w:rFonts w:cs="Arial"/>
          <w:lang w:val="en-US"/>
        </w:rPr>
        <w:t>(-0.22) as expect</w:t>
      </w:r>
      <w:r w:rsidR="00A32B29" w:rsidRPr="008741B9">
        <w:rPr>
          <w:rFonts w:cs="Arial"/>
          <w:lang w:val="en-US"/>
        </w:rPr>
        <w:t>ed</w:t>
      </w:r>
      <w:r w:rsidRPr="008741B9">
        <w:rPr>
          <w:rFonts w:cs="Arial"/>
          <w:lang w:val="en-US"/>
        </w:rPr>
        <w:t>, but it is quite weak. Hence, there is no significant relationship between the rate of informality and the share of services in employment. This fact implies that the regional distribution of informality is determined by other factors</w:t>
      </w:r>
      <w:r w:rsidR="00A32B29" w:rsidRPr="008741B9">
        <w:rPr>
          <w:rFonts w:cs="Arial"/>
          <w:lang w:val="en-US"/>
        </w:rPr>
        <w:t xml:space="preserve"> regarding the service sector</w:t>
      </w:r>
      <w:r w:rsidRPr="008741B9">
        <w:rPr>
          <w:rFonts w:cs="Arial"/>
          <w:lang w:val="en-US"/>
        </w:rPr>
        <w:t>.</w:t>
      </w:r>
    </w:p>
    <w:p w:rsidR="00185270" w:rsidRPr="008741B9" w:rsidRDefault="00185270" w:rsidP="00185270">
      <w:pPr>
        <w:pStyle w:val="Caption"/>
        <w:keepNext/>
        <w:jc w:val="both"/>
        <w:rPr>
          <w:rFonts w:asciiTheme="minorHAnsi" w:hAnsiTheme="minorHAnsi"/>
          <w:bCs w:val="0"/>
          <w:color w:val="auto"/>
          <w:sz w:val="22"/>
          <w:szCs w:val="22"/>
          <w:lang w:val="en-US"/>
        </w:rPr>
      </w:pPr>
      <w:r w:rsidRPr="008741B9">
        <w:rPr>
          <w:rFonts w:asciiTheme="minorHAnsi" w:hAnsiTheme="minorHAnsi"/>
          <w:bCs w:val="0"/>
          <w:color w:val="auto"/>
          <w:sz w:val="22"/>
          <w:szCs w:val="22"/>
          <w:lang w:val="en-US"/>
        </w:rPr>
        <w:lastRenderedPageBreak/>
        <w:t xml:space="preserve">Figure </w:t>
      </w:r>
      <w:r w:rsidR="000B5988" w:rsidRPr="008741B9">
        <w:rPr>
          <w:rFonts w:asciiTheme="minorHAnsi" w:hAnsiTheme="minorHAnsi"/>
          <w:bCs w:val="0"/>
          <w:color w:val="auto"/>
          <w:sz w:val="22"/>
          <w:szCs w:val="22"/>
          <w:lang w:val="en-US"/>
        </w:rPr>
        <w:fldChar w:fldCharType="begin"/>
      </w:r>
      <w:r w:rsidRPr="008741B9">
        <w:rPr>
          <w:rFonts w:asciiTheme="minorHAnsi" w:hAnsiTheme="minorHAnsi"/>
          <w:bCs w:val="0"/>
          <w:color w:val="auto"/>
          <w:sz w:val="22"/>
          <w:szCs w:val="22"/>
          <w:lang w:val="en-US"/>
        </w:rPr>
        <w:instrText xml:space="preserve"> SEQ Şekil \* ARABIC </w:instrText>
      </w:r>
      <w:r w:rsidR="000B5988" w:rsidRPr="008741B9">
        <w:rPr>
          <w:rFonts w:asciiTheme="minorHAnsi" w:hAnsiTheme="minorHAnsi"/>
          <w:bCs w:val="0"/>
          <w:color w:val="auto"/>
          <w:sz w:val="22"/>
          <w:szCs w:val="22"/>
          <w:lang w:val="en-US"/>
        </w:rPr>
        <w:fldChar w:fldCharType="separate"/>
      </w:r>
      <w:r w:rsidRPr="008741B9">
        <w:rPr>
          <w:rFonts w:asciiTheme="minorHAnsi" w:hAnsiTheme="minorHAnsi"/>
          <w:bCs w:val="0"/>
          <w:color w:val="auto"/>
          <w:sz w:val="22"/>
          <w:szCs w:val="22"/>
          <w:lang w:val="en-US"/>
        </w:rPr>
        <w:t>2</w:t>
      </w:r>
      <w:r w:rsidR="000B5988" w:rsidRPr="008741B9">
        <w:rPr>
          <w:rFonts w:asciiTheme="minorHAnsi" w:hAnsiTheme="minorHAnsi"/>
          <w:bCs w:val="0"/>
          <w:color w:val="auto"/>
          <w:sz w:val="22"/>
          <w:szCs w:val="22"/>
          <w:lang w:val="en-US"/>
        </w:rPr>
        <w:fldChar w:fldCharType="end"/>
      </w:r>
      <w:r w:rsidRPr="008741B9">
        <w:rPr>
          <w:rFonts w:asciiTheme="minorHAnsi" w:hAnsiTheme="minorHAnsi"/>
          <w:bCs w:val="0"/>
          <w:color w:val="auto"/>
          <w:sz w:val="22"/>
          <w:szCs w:val="22"/>
          <w:lang w:val="en-US"/>
        </w:rPr>
        <w:t>: The distribution of employment by sectors and informality (2013)</w:t>
      </w:r>
    </w:p>
    <w:p w:rsidR="00185270" w:rsidRPr="008741B9" w:rsidRDefault="00DF532A" w:rsidP="00185270">
      <w:pPr>
        <w:keepNext/>
        <w:jc w:val="both"/>
        <w:rPr>
          <w:lang w:val="en-US"/>
        </w:rPr>
      </w:pPr>
      <w:r w:rsidRPr="008741B9">
        <w:rPr>
          <w:rFonts w:cs="Arial"/>
          <w:noProof/>
        </w:rPr>
        <w:drawing>
          <wp:inline distT="0" distB="0" distL="0" distR="0">
            <wp:extent cx="5248986" cy="3951783"/>
            <wp:effectExtent l="19050" t="0" r="8814" b="0"/>
            <wp:docPr id="5" name="Picture 4" descr="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1" cstate="print"/>
                    <a:stretch>
                      <a:fillRect/>
                    </a:stretch>
                  </pic:blipFill>
                  <pic:spPr>
                    <a:xfrm>
                      <a:off x="0" y="0"/>
                      <a:ext cx="5248934" cy="3951744"/>
                    </a:xfrm>
                    <a:prstGeom prst="rect">
                      <a:avLst/>
                    </a:prstGeom>
                  </pic:spPr>
                </pic:pic>
              </a:graphicData>
            </a:graphic>
          </wp:inline>
        </w:drawing>
      </w:r>
    </w:p>
    <w:p w:rsidR="00DF532A" w:rsidRPr="008741B9" w:rsidRDefault="00185270" w:rsidP="00185270">
      <w:pPr>
        <w:pStyle w:val="Caption"/>
        <w:jc w:val="both"/>
        <w:rPr>
          <w:rFonts w:asciiTheme="minorHAnsi" w:hAnsiTheme="minorHAnsi"/>
          <w:b w:val="0"/>
          <w:color w:val="auto"/>
          <w:lang w:val="en-US"/>
        </w:rPr>
      </w:pPr>
      <w:r w:rsidRPr="008741B9">
        <w:rPr>
          <w:rFonts w:asciiTheme="minorHAnsi" w:hAnsiTheme="minorHAnsi"/>
          <w:b w:val="0"/>
          <w:color w:val="auto"/>
          <w:lang w:val="en-US"/>
        </w:rPr>
        <w:t xml:space="preserve">Source: TurkStat, 2013 Household Labor Survey micro dataset; BETAM </w:t>
      </w:r>
    </w:p>
    <w:p w:rsidR="00185270" w:rsidRPr="008741B9" w:rsidRDefault="00185270" w:rsidP="00185270">
      <w:pPr>
        <w:jc w:val="both"/>
        <w:rPr>
          <w:lang w:val="en-US"/>
        </w:rPr>
      </w:pPr>
      <w:r w:rsidRPr="008741B9">
        <w:rPr>
          <w:rFonts w:cs="Arial"/>
          <w:lang w:val="en-US"/>
        </w:rPr>
        <w:t>The correlation between regional level of education and regional rate of informality is negative and quite strong (-0.88) as expect</w:t>
      </w:r>
      <w:r w:rsidR="00097D4D" w:rsidRPr="008741B9">
        <w:rPr>
          <w:rFonts w:cs="Arial"/>
          <w:lang w:val="en-US"/>
        </w:rPr>
        <w:t>ed</w:t>
      </w:r>
      <w:r w:rsidRPr="008741B9">
        <w:rPr>
          <w:rFonts w:cs="Arial"/>
          <w:lang w:val="en-US"/>
        </w:rPr>
        <w:t xml:space="preserve">. It is striking </w:t>
      </w:r>
      <w:r w:rsidR="00124254" w:rsidRPr="008741B9">
        <w:rPr>
          <w:rFonts w:cs="Arial"/>
          <w:lang w:val="en-US"/>
        </w:rPr>
        <w:t xml:space="preserve">to observe </w:t>
      </w:r>
      <w:r w:rsidRPr="008741B9">
        <w:rPr>
          <w:rFonts w:cs="Arial"/>
          <w:lang w:val="en-US"/>
        </w:rPr>
        <w:t xml:space="preserve">relatively high level of education and hence, low rate of informality in the region of Erzurum (Figure 3). </w:t>
      </w:r>
      <w:r w:rsidR="003D3C29" w:rsidRPr="008741B9">
        <w:rPr>
          <w:rStyle w:val="FootnoteReference"/>
          <w:rFonts w:cs="Arial"/>
          <w:lang w:val="en-US"/>
        </w:rPr>
        <w:footnoteReference w:id="5"/>
      </w:r>
      <w:r w:rsidR="003D3C29" w:rsidRPr="008741B9">
        <w:rPr>
          <w:rFonts w:cs="Arial"/>
          <w:lang w:val="en-US"/>
        </w:rPr>
        <w:t xml:space="preserve"> </w:t>
      </w:r>
      <w:r w:rsidRPr="008741B9">
        <w:rPr>
          <w:rFonts w:cs="Arial"/>
          <w:lang w:val="en-US"/>
        </w:rPr>
        <w:t>Likewise, there is significant and negative relationship between average firm size and the rate of informality (-0.70 correlation coefficient). It is not surprising that the regions with high average firm size such as Kocaeli, Ankara, Tekirdağ and Bursa are highly industrialized regions (Figure 4).</w:t>
      </w:r>
      <w:r w:rsidRPr="008741B9">
        <w:rPr>
          <w:rStyle w:val="FootnoteReference"/>
          <w:lang w:val="en-US"/>
        </w:rPr>
        <w:t xml:space="preserve"> </w:t>
      </w:r>
      <w:r w:rsidRPr="008741B9">
        <w:rPr>
          <w:rStyle w:val="FootnoteReference"/>
          <w:lang w:val="en-US"/>
        </w:rPr>
        <w:footnoteReference w:id="6"/>
      </w:r>
    </w:p>
    <w:p w:rsidR="00185270" w:rsidRPr="008741B9" w:rsidRDefault="00185270" w:rsidP="00185270">
      <w:pPr>
        <w:jc w:val="both"/>
        <w:rPr>
          <w:rFonts w:cs="Arial"/>
          <w:lang w:val="en-US"/>
        </w:rPr>
      </w:pPr>
    </w:p>
    <w:p w:rsidR="00185270" w:rsidRPr="008741B9" w:rsidRDefault="008D03A9" w:rsidP="00185270">
      <w:pPr>
        <w:pStyle w:val="Caption"/>
        <w:keepNext/>
        <w:spacing w:after="0" w:line="276" w:lineRule="auto"/>
        <w:rPr>
          <w:rFonts w:asciiTheme="minorHAnsi" w:hAnsiTheme="minorHAnsi"/>
          <w:color w:val="FF0000"/>
          <w:sz w:val="22"/>
          <w:szCs w:val="22"/>
          <w:lang w:val="en-US"/>
        </w:rPr>
      </w:pPr>
      <w:r>
        <w:rPr>
          <w:rFonts w:asciiTheme="minorHAnsi" w:hAnsiTheme="minorHAnsi"/>
          <w:noProof/>
          <w:color w:val="FF0000"/>
        </w:rPr>
        <w:lastRenderedPageBreak/>
        <mc:AlternateContent>
          <mc:Choice Requires="wps">
            <w:drawing>
              <wp:anchor distT="0" distB="0" distL="114300" distR="114300" simplePos="0" relativeHeight="251662336" behindDoc="0" locked="0" layoutInCell="1" allowOverlap="1">
                <wp:simplePos x="0" y="0"/>
                <wp:positionH relativeFrom="column">
                  <wp:posOffset>3027680</wp:posOffset>
                </wp:positionH>
                <wp:positionV relativeFrom="paragraph">
                  <wp:posOffset>-51435</wp:posOffset>
                </wp:positionV>
                <wp:extent cx="3566160" cy="4044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D6" w:rsidRPr="002758CD" w:rsidRDefault="003B5BD6" w:rsidP="00185270">
                            <w:pPr>
                              <w:pStyle w:val="Caption"/>
                              <w:spacing w:line="276" w:lineRule="auto"/>
                              <w:rPr>
                                <w:color w:val="auto"/>
                                <w:sz w:val="22"/>
                                <w:szCs w:val="22"/>
                              </w:rPr>
                            </w:pPr>
                            <w:r w:rsidRPr="002758CD">
                              <w:rPr>
                                <w:color w:val="auto"/>
                                <w:sz w:val="22"/>
                                <w:szCs w:val="22"/>
                              </w:rPr>
                              <w:t xml:space="preserve">Figure 4: Wage-earner informality and firm size  by regions (2013) </w:t>
                            </w:r>
                          </w:p>
                          <w:p w:rsidR="003B5BD6" w:rsidRPr="00D47681" w:rsidRDefault="003B5BD6" w:rsidP="00185270"/>
                          <w:p w:rsidR="003B5BD6" w:rsidRDefault="003B5BD6" w:rsidP="00185270"/>
                          <w:p w:rsidR="003B5BD6" w:rsidRPr="00D47681" w:rsidRDefault="003B5BD6" w:rsidP="00185270"/>
                          <w:p w:rsidR="003B5BD6" w:rsidRPr="004541A9" w:rsidRDefault="003B5BD6" w:rsidP="00185270">
                            <w:pPr>
                              <w:pStyle w:val="Caption"/>
                              <w:rPr>
                                <w:noProof/>
                                <w:color w:val="365F9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38.4pt;margin-top:-4.05pt;width:280.8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WfQIAAAYFAAAOAAAAZHJzL2Uyb0RvYy54bWysVG1v2yAQ/j5p/wHxPbWdOWls1anWdpkm&#10;dS9Sux9AAMdoNseAxO6m/fcdOM7avUjTNH/ABxwPd/c8x8Xl0LXkIK1ToCuanaWUSM1BKL2r6Mf7&#10;zWxFifNMC9aClhV9kI5erp8/u+hNKefQQCukJQiiXdmbijbemzJJHG9kx9wZGKlxswbbMY9Tu0uE&#10;ZT2id20yT9Nl0oMVxgKXzuHqzbhJ1xG/riX37+vaSU/aimJsPo42jtswJusLVu4sM43ixzDYP0TR&#10;MaXx0hPUDfOM7K36BapT3IKD2p9x6BKoa8VlzAGzydKfsrlrmJExFyyOM6cyuf8Hy98dPliiREXP&#10;KdGsQ4ru5eDJFQxkHqrTG1ei051BNz/gMrIcM3XmFvgnRzRcN0zv5EtroW8kExhdFk4mj46OOC6A&#10;bPu3IPAatvcQgYbadqF0WAyC6MjSw4mZEArHxReL5TJb4hbHvTzN82IRr2DldNpY519L6EgwKmqR&#10;+YjODrfOh2hYObmEyxy0SmxU28aJ3W2vW0sODFWyid8R/Ylbq4OzhnBsRBxXMEi8I+yFcCPrX4ts&#10;nqdX82K2Wa7OZ/kmX8yK83Q1S7PiqlimeZHfbL6FALO8bJQQUt8qLScFZvnfMXzshVE7UYOkr2ix&#10;mC9Giv6YZBq/3yXZKY8N2aquoquTEysDsa+0wLRZ6ZlqRzt5Gn6sMtZg+seqRBkE5kcN+GE7RL2d&#10;1LUF8YC6sIC0IcP4mKDRgP1CSY+NWVH3ec+spKR9o1FboYsnw07GdjKY5ni0op6S0bz2Y7fvjVW7&#10;BpFH9Wp4ifqrVZRGEOoYxVG12Gwxh+PDELr58Tx6/Xi+1t8BAAD//wMAUEsDBBQABgAIAAAAIQDD&#10;OQ6v4AAAAAoBAAAPAAAAZHJzL2Rvd25yZXYueG1sTI9BT8JAFITvJv6HzTPxYmALQmlKX4mC3vQA&#10;Es5L99k2dt823S0t/97lpMfJTGa+yTajacSFOldbRphNIxDEhdU1lwjHr/dJAsJ5xVo1lgnhSg42&#10;+f1dplJtB97T5eBLEUrYpQqh8r5NpXRFRUa5qW2Jg/dtO6N8kF0pdaeGUG4aOY+iWBpVc1ioVEvb&#10;ioqfQ28Q4l3XD3vePu2Obx/qsy3np9frCfHxYXxZg/A0+r8w3PADOuSB6Wx71k40CItVHNA9wiSZ&#10;gbgFoudkAeKMsFzGIPNM/r+Q/wIAAP//AwBQSwECLQAUAAYACAAAACEAtoM4kv4AAADhAQAAEwAA&#10;AAAAAAAAAAAAAAAAAAAAW0NvbnRlbnRfVHlwZXNdLnhtbFBLAQItABQABgAIAAAAIQA4/SH/1gAA&#10;AJQBAAALAAAAAAAAAAAAAAAAAC8BAABfcmVscy8ucmVsc1BLAQItABQABgAIAAAAIQDxg/hWfQIA&#10;AAYFAAAOAAAAAAAAAAAAAAAAAC4CAABkcnMvZTJvRG9jLnhtbFBLAQItABQABgAIAAAAIQDDOQ6v&#10;4AAAAAoBAAAPAAAAAAAAAAAAAAAAANcEAABkcnMvZG93bnJldi54bWxQSwUGAAAAAAQABADzAAAA&#10;5AUAAAAA&#10;" stroked="f">
                <v:textbox inset="0,0,0,0">
                  <w:txbxContent>
                    <w:p w:rsidR="003B5BD6" w:rsidRPr="002758CD" w:rsidRDefault="003B5BD6" w:rsidP="00185270">
                      <w:pPr>
                        <w:pStyle w:val="Caption"/>
                        <w:spacing w:line="276" w:lineRule="auto"/>
                        <w:rPr>
                          <w:color w:val="auto"/>
                          <w:sz w:val="22"/>
                          <w:szCs w:val="22"/>
                        </w:rPr>
                      </w:pPr>
                      <w:r w:rsidRPr="002758CD">
                        <w:rPr>
                          <w:color w:val="auto"/>
                          <w:sz w:val="22"/>
                          <w:szCs w:val="22"/>
                        </w:rPr>
                        <w:t xml:space="preserve">Figure 4: Wage-earner informality and firm size  by regions (2013) </w:t>
                      </w:r>
                    </w:p>
                    <w:p w:rsidR="003B5BD6" w:rsidRPr="00D47681" w:rsidRDefault="003B5BD6" w:rsidP="00185270"/>
                    <w:p w:rsidR="003B5BD6" w:rsidRDefault="003B5BD6" w:rsidP="00185270"/>
                    <w:p w:rsidR="003B5BD6" w:rsidRPr="00D47681" w:rsidRDefault="003B5BD6" w:rsidP="00185270"/>
                    <w:p w:rsidR="003B5BD6" w:rsidRPr="004541A9" w:rsidRDefault="003B5BD6" w:rsidP="00185270">
                      <w:pPr>
                        <w:pStyle w:val="Caption"/>
                        <w:rPr>
                          <w:noProof/>
                          <w:color w:val="365F91"/>
                        </w:rPr>
                      </w:pPr>
                    </w:p>
                  </w:txbxContent>
                </v:textbox>
              </v:shape>
            </w:pict>
          </mc:Fallback>
        </mc:AlternateContent>
      </w:r>
      <w:r>
        <w:rPr>
          <w:rFonts w:asciiTheme="minorHAnsi" w:hAnsiTheme="minorHAnsi"/>
          <w:noProof/>
          <w:color w:val="FF0000"/>
        </w:rPr>
        <mc:AlternateContent>
          <mc:Choice Requires="wps">
            <w:drawing>
              <wp:anchor distT="0" distB="0" distL="114300" distR="114300" simplePos="0" relativeHeight="251664384" behindDoc="0" locked="0" layoutInCell="1" allowOverlap="1">
                <wp:simplePos x="0" y="0"/>
                <wp:positionH relativeFrom="column">
                  <wp:posOffset>-574040</wp:posOffset>
                </wp:positionH>
                <wp:positionV relativeFrom="paragraph">
                  <wp:posOffset>-51435</wp:posOffset>
                </wp:positionV>
                <wp:extent cx="360172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D6" w:rsidRPr="002758CD" w:rsidRDefault="003B5BD6" w:rsidP="00185270">
                            <w:pPr>
                              <w:pStyle w:val="Caption"/>
                              <w:rPr>
                                <w:noProof/>
                                <w:color w:val="auto"/>
                              </w:rPr>
                            </w:pPr>
                            <w:r w:rsidRPr="002758CD">
                              <w:rPr>
                                <w:color w:val="auto"/>
                                <w:sz w:val="22"/>
                                <w:szCs w:val="22"/>
                              </w:rPr>
                              <w:t>Figure 3: Wage-earner informality and education by regions (2013)</w:t>
                            </w:r>
                            <w:r w:rsidRPr="002758CD">
                              <w:rPr>
                                <w:rStyle w:val="FootnoteReference"/>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5.2pt;margin-top:-4.05pt;width:283.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JNfgIAAAYFAAAOAAAAZHJzL2Uyb0RvYy54bWysVNuO2yAQfa/Uf0C8Z21nHSe21lntpakq&#10;bS/Sbj+AAI5RMVAgsbdV/70DjtPttpWqqn7AAwyHmTlnuLgcOokO3DqhVY2zsxQjrqhmQu1q/PFh&#10;M1th5DxRjEiteI0fucOX65cvLnpT8blutWTcIgBRrupNjVvvTZUkjra8I+5MG65gs9G2Ix6mdpcw&#10;S3pA72QyT9Mi6bVlxmrKnYPV23ETryN+03Dq3zeN4x7JGkNsPo42jtswJusLUu0sMa2gxzDIP0TR&#10;EaHg0hPULfEE7a34BaoT1GqnG39GdZfophGUxxwgmyx9ls19SwyPuUBxnDmVyf0/WPru8MEiwWpc&#10;YKRIBxQ98MGjaz2gPFSnN64Cp3sDbn6AZWA5ZurMnaafHFL6piVqx6+s1X3LCYPosnAyeXJ0xHEB&#10;ZNu/1QyuIXuvI9DQ2C6UDoqBAB1YejwxE0KhsHhepNlyDlsU9s6LxbKI1CWkmk4b6/xrrjsUjBpb&#10;YD6ik8Od8yEaUk0u4TKnpWAbIWWc2N32Rlp0IKCSTfxiAs/cpArOSodjI+K4AkHCHWEvhBtZ/1pm&#10;8zy9npezTbFazvJNvpiVy3Q1S7PyuizSvMxvN99CgFletYIxru6E4pMCs/zvGD72wqidqEHU17hc&#10;zBcjRX9MMo3f75LshIeGlKKr8erkRKpA7CvFIG1SeSLkaCc/hx+rDDWY/rEqUQaB+VEDftgOUW/n&#10;k7q2mj2CLqwG2oBheEzAaLX9glEPjVlj93lPLMdIvlGgrdDFk2EnYzsZRFE4WmOP0Wje+LHb98aK&#10;XQvIo3qVvgL9NSJKIwh1jOKoWmi2mMPxYQjd/HQevX48X+vvAAAA//8DAFBLAwQUAAYACAAAACEA&#10;BaAhMt8AAAAJAQAADwAAAGRycy9kb3ducmV2LnhtbEyPwU7DMBBE70j8g7VIXFDrtCqhDXEqaOFW&#10;Di1Vz268JBHxOrKdJv17lhPcZrRPszP5erStuKAPjSMFs2kCAql0pqFKwfHzfbIEEaImo1tHqOCK&#10;AdbF7U2uM+MG2uPlECvBIRQyraCOscukDGWNVoep65D49uW81ZGtr6TxeuBw28p5kqTS6ob4Q607&#10;3NRYfh96qyDd+n7Y0+Zhe3zb6Y+ump9eryel7u/Gl2cQEcf4B8Nvfa4OBXc6u55MEK2CySpZMMpi&#10;OQPBwOIp5S1nFqtHkEUu/y8ofgAAAP//AwBQSwECLQAUAAYACAAAACEAtoM4kv4AAADhAQAAEwAA&#10;AAAAAAAAAAAAAAAAAAAAW0NvbnRlbnRfVHlwZXNdLnhtbFBLAQItABQABgAIAAAAIQA4/SH/1gAA&#10;AJQBAAALAAAAAAAAAAAAAAAAAC8BAABfcmVscy8ucmVsc1BLAQItABQABgAIAAAAIQAhIvJNfgIA&#10;AAYFAAAOAAAAAAAAAAAAAAAAAC4CAABkcnMvZTJvRG9jLnhtbFBLAQItABQABgAIAAAAIQAFoCEy&#10;3wAAAAkBAAAPAAAAAAAAAAAAAAAAANgEAABkcnMvZG93bnJldi54bWxQSwUGAAAAAAQABADzAAAA&#10;5AUAAAAA&#10;" stroked="f">
                <v:textbox inset="0,0,0,0">
                  <w:txbxContent>
                    <w:p w:rsidR="003B5BD6" w:rsidRPr="002758CD" w:rsidRDefault="003B5BD6" w:rsidP="00185270">
                      <w:pPr>
                        <w:pStyle w:val="Caption"/>
                        <w:rPr>
                          <w:noProof/>
                          <w:color w:val="auto"/>
                        </w:rPr>
                      </w:pPr>
                      <w:r w:rsidRPr="002758CD">
                        <w:rPr>
                          <w:color w:val="auto"/>
                          <w:sz w:val="22"/>
                          <w:szCs w:val="22"/>
                        </w:rPr>
                        <w:t>Figure 3: Wage-earner informality and education by regions (2013)</w:t>
                      </w:r>
                      <w:r w:rsidRPr="002758CD">
                        <w:rPr>
                          <w:rStyle w:val="FootnoteReference"/>
                          <w:color w:val="auto"/>
                        </w:rPr>
                        <w:t xml:space="preserve"> </w:t>
                      </w:r>
                    </w:p>
                  </w:txbxContent>
                </v:textbox>
              </v:shape>
            </w:pict>
          </mc:Fallback>
        </mc:AlternateContent>
      </w:r>
      <w:r w:rsidR="00185270" w:rsidRPr="008741B9">
        <w:rPr>
          <w:rFonts w:asciiTheme="minorHAnsi" w:hAnsiTheme="minorHAnsi"/>
          <w:color w:val="FF0000"/>
          <w:sz w:val="22"/>
          <w:szCs w:val="22"/>
          <w:lang w:val="en-US"/>
        </w:rPr>
        <w:t xml:space="preserve"> </w:t>
      </w:r>
    </w:p>
    <w:p w:rsidR="00185270" w:rsidRPr="008741B9" w:rsidRDefault="00185270" w:rsidP="00185270">
      <w:pPr>
        <w:keepNext/>
        <w:spacing w:after="0"/>
        <w:ind w:left="-851" w:firstLine="142"/>
        <w:rPr>
          <w:color w:val="FF0000"/>
          <w:lang w:val="en-US"/>
        </w:rPr>
      </w:pPr>
    </w:p>
    <w:p w:rsidR="00185270" w:rsidRPr="008741B9" w:rsidRDefault="00185270" w:rsidP="00185270">
      <w:pPr>
        <w:keepNext/>
        <w:spacing w:after="0"/>
        <w:ind w:hanging="709"/>
        <w:rPr>
          <w:color w:val="FF0000"/>
          <w:lang w:val="en-US"/>
        </w:rPr>
      </w:pPr>
      <w:r w:rsidRPr="008741B9">
        <w:rPr>
          <w:noProof/>
        </w:rPr>
        <w:drawing>
          <wp:anchor distT="0" distB="0" distL="114300" distR="114300" simplePos="0" relativeHeight="251667456" behindDoc="0" locked="0" layoutInCell="1" allowOverlap="1">
            <wp:simplePos x="0" y="0"/>
            <wp:positionH relativeFrom="column">
              <wp:posOffset>2960370</wp:posOffset>
            </wp:positionH>
            <wp:positionV relativeFrom="paragraph">
              <wp:posOffset>73660</wp:posOffset>
            </wp:positionV>
            <wp:extent cx="3439795" cy="2292350"/>
            <wp:effectExtent l="19050" t="0" r="8255" b="0"/>
            <wp:wrapNone/>
            <wp:docPr id="11" name="Picture 11"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board01"/>
                    <pic:cNvPicPr>
                      <a:picLocks noChangeAspect="1" noChangeArrowheads="1"/>
                    </pic:cNvPicPr>
                  </pic:nvPicPr>
                  <pic:blipFill>
                    <a:blip r:embed="rId12" cstate="print"/>
                    <a:srcRect/>
                    <a:stretch>
                      <a:fillRect/>
                    </a:stretch>
                  </pic:blipFill>
                  <pic:spPr bwMode="auto">
                    <a:xfrm>
                      <a:off x="0" y="0"/>
                      <a:ext cx="3439795" cy="2292350"/>
                    </a:xfrm>
                    <a:prstGeom prst="rect">
                      <a:avLst/>
                    </a:prstGeom>
                    <a:noFill/>
                    <a:ln w="9525">
                      <a:noFill/>
                      <a:miter lim="800000"/>
                      <a:headEnd/>
                      <a:tailEnd/>
                    </a:ln>
                  </pic:spPr>
                </pic:pic>
              </a:graphicData>
            </a:graphic>
          </wp:anchor>
        </w:drawing>
      </w:r>
      <w:r w:rsidRPr="008741B9">
        <w:rPr>
          <w:noProof/>
        </w:rPr>
        <w:drawing>
          <wp:anchor distT="0" distB="0" distL="114300" distR="114300" simplePos="0" relativeHeight="251666432" behindDoc="0" locked="0" layoutInCell="1" allowOverlap="1">
            <wp:simplePos x="0" y="0"/>
            <wp:positionH relativeFrom="column">
              <wp:posOffset>-537845</wp:posOffset>
            </wp:positionH>
            <wp:positionV relativeFrom="paragraph">
              <wp:posOffset>2540</wp:posOffset>
            </wp:positionV>
            <wp:extent cx="3498215" cy="2317750"/>
            <wp:effectExtent l="19050" t="0" r="6985" b="0"/>
            <wp:wrapNone/>
            <wp:docPr id="10" name="Picture 10"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board01"/>
                    <pic:cNvPicPr>
                      <a:picLocks noChangeAspect="1" noChangeArrowheads="1"/>
                    </pic:cNvPicPr>
                  </pic:nvPicPr>
                  <pic:blipFill>
                    <a:blip r:embed="rId13" cstate="print"/>
                    <a:srcRect/>
                    <a:stretch>
                      <a:fillRect/>
                    </a:stretch>
                  </pic:blipFill>
                  <pic:spPr bwMode="auto">
                    <a:xfrm>
                      <a:off x="0" y="0"/>
                      <a:ext cx="3498215" cy="2317750"/>
                    </a:xfrm>
                    <a:prstGeom prst="rect">
                      <a:avLst/>
                    </a:prstGeom>
                    <a:noFill/>
                    <a:ln w="9525">
                      <a:noFill/>
                      <a:miter lim="800000"/>
                      <a:headEnd/>
                      <a:tailEnd/>
                    </a:ln>
                  </pic:spPr>
                </pic:pic>
              </a:graphicData>
            </a:graphic>
          </wp:anchor>
        </w:drawing>
      </w:r>
    </w:p>
    <w:p w:rsidR="00185270" w:rsidRPr="008741B9" w:rsidRDefault="00185270" w:rsidP="00185270">
      <w:pPr>
        <w:pStyle w:val="Caption"/>
        <w:spacing w:line="276" w:lineRule="auto"/>
        <w:rPr>
          <w:rFonts w:asciiTheme="minorHAnsi" w:hAnsiTheme="minorHAnsi"/>
          <w:b w:val="0"/>
          <w:color w:val="FF0000"/>
          <w:lang w:val="en-US"/>
        </w:rPr>
      </w:pPr>
      <w:r w:rsidRPr="008741B9">
        <w:rPr>
          <w:rFonts w:asciiTheme="minorHAnsi" w:hAnsiTheme="minorHAnsi"/>
          <w:color w:val="FF0000"/>
          <w:lang w:val="en-US"/>
        </w:rPr>
        <w:t xml:space="preserve"> </w:t>
      </w:r>
      <w:r w:rsidRPr="008741B9">
        <w:rPr>
          <w:rFonts w:asciiTheme="minorHAnsi" w:hAnsiTheme="minorHAnsi"/>
          <w:b w:val="0"/>
          <w:color w:val="FF0000"/>
          <w:lang w:val="en-US"/>
        </w:rPr>
        <w:t>Kaynak: 2013 Hanehalkı İşgücü Anketi mikro veri seti ; Beta</w:t>
      </w:r>
    </w:p>
    <w:p w:rsidR="00185270" w:rsidRPr="008741B9" w:rsidRDefault="00185270" w:rsidP="00185270">
      <w:pPr>
        <w:rPr>
          <w:color w:val="FF0000"/>
          <w:lang w:val="en-US"/>
        </w:rPr>
      </w:pPr>
    </w:p>
    <w:p w:rsidR="00185270" w:rsidRPr="008741B9" w:rsidRDefault="00185270" w:rsidP="00185270">
      <w:pPr>
        <w:rPr>
          <w:color w:val="FF0000"/>
          <w:lang w:val="en-US"/>
        </w:rPr>
      </w:pPr>
    </w:p>
    <w:p w:rsidR="00185270" w:rsidRPr="008741B9" w:rsidRDefault="00185270" w:rsidP="00185270">
      <w:pPr>
        <w:rPr>
          <w:color w:val="FF0000"/>
          <w:lang w:val="en-US"/>
        </w:rPr>
      </w:pPr>
    </w:p>
    <w:p w:rsidR="00185270" w:rsidRPr="008741B9" w:rsidRDefault="00185270" w:rsidP="00185270">
      <w:pPr>
        <w:rPr>
          <w:color w:val="FF0000"/>
          <w:lang w:val="en-US"/>
        </w:rPr>
      </w:pPr>
    </w:p>
    <w:p w:rsidR="00185270" w:rsidRPr="008741B9" w:rsidRDefault="00185270" w:rsidP="00185270">
      <w:pPr>
        <w:rPr>
          <w:color w:val="FF0000"/>
          <w:lang w:val="en-US"/>
        </w:rPr>
      </w:pPr>
    </w:p>
    <w:p w:rsidR="00185270" w:rsidRPr="008741B9" w:rsidRDefault="008D03A9" w:rsidP="00185270">
      <w:pPr>
        <w:rPr>
          <w:color w:val="FF0000"/>
          <w:lang w:val="en-US"/>
        </w:rPr>
      </w:pP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3098165</wp:posOffset>
                </wp:positionH>
                <wp:positionV relativeFrom="paragraph">
                  <wp:posOffset>267335</wp:posOffset>
                </wp:positionV>
                <wp:extent cx="3529965" cy="203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D6" w:rsidRPr="002758CD" w:rsidRDefault="003B5BD6" w:rsidP="00185270">
                            <w:pPr>
                              <w:pStyle w:val="Caption"/>
                              <w:rPr>
                                <w:noProof/>
                                <w:color w:val="auto"/>
                              </w:rPr>
                            </w:pPr>
                            <w:r w:rsidRPr="002758CD">
                              <w:rPr>
                                <w:b w:val="0"/>
                                <w:color w:val="auto"/>
                              </w:rPr>
                              <w:t xml:space="preserve">Source: 2013 Household Labor Survey micro dataset; BETAM </w:t>
                            </w:r>
                          </w:p>
                          <w:p w:rsidR="003B5BD6" w:rsidRPr="00F23C25" w:rsidRDefault="003B5BD6" w:rsidP="00185270">
                            <w:pPr>
                              <w:pStyle w:val="Caption"/>
                              <w:rPr>
                                <w:noProof/>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43.95pt;margin-top:21.05pt;width:277.9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NJfQIAAAY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z&#10;jBTpgKJ7Pnh0pQc0D9XpjavA6c6Amx9gGViOmTpzq+lnh5S+bona8Utrdd9ywiC6LJxMnhwdcVwA&#10;2fbvNINryN7rCDQ0tgulg2IgQAeWHk7MhFAoLM4XeVkuFxhR2MvTOVAfryDVdNpY599w3aFg1NgC&#10;8xGdHG6dD9GQanIJlzktBdsIKePE7rbX0qIDAZVs4ndEf+YmVXBWOhwbEccVCBLuCHsh3Mj6tzLL&#10;i/QqL2eb5erVrNgUi1n5Kl3N0qy8KpdpURY3m+8hwKyoWsEYV7dC8UmBWfF3DB97YdRO1CDqa1wu&#10;8sVI0R+TTOP3uyQ74aEhpehqvDo5kSoQ+1oxSJtUngg52snz8GOVoQbTP1YlyiAwP2rAD9sh6q0I&#10;tweJbDV7AF1YDbQB+fCYgNFq+xWjHhqzxu7LnliOkXyrQFuhiyfDTsZ2MoiicLTGHqPRvPZjt++N&#10;FbsWkEf1Kn0J+mtElMZjFEfVQrPFHI4PQ+jmp/Po9fh8rX8AAAD//wMAUEsDBBQABgAIAAAAIQAm&#10;9cnN4AAAAAoBAAAPAAAAZHJzL2Rvd25yZXYueG1sTI/BTsMwDIbvSLxDZCQuiKUt1TZK0wk2uI3D&#10;xrSz14S2onGqJl27t8c7wc2WP/3+/nw12VacTe8bRwriWQTCUOl0Q5WCw9fH4xKED0gaW0dGwcV4&#10;WBW3Nzlm2o20M+d9qASHkM9QQR1Cl0npy9pY9DPXGeLbt+stBl77SuoeRw63rUyiaC4tNsQfauzM&#10;ujblz36wCuabfhh3tH7YHN63+NlVyfHtclTq/m56fQERzBT+YLjqszoU7HRyA2kvWgXpcvHMKA9J&#10;DOIKROkTlzkpWKQxyCKX/ysUvwAAAP//AwBQSwECLQAUAAYACAAAACEAtoM4kv4AAADhAQAAEwAA&#10;AAAAAAAAAAAAAAAAAAAAW0NvbnRlbnRfVHlwZXNdLnhtbFBLAQItABQABgAIAAAAIQA4/SH/1gAA&#10;AJQBAAALAAAAAAAAAAAAAAAAAC8BAABfcmVscy8ucmVsc1BLAQItABQABgAIAAAAIQBWauNJfQIA&#10;AAYFAAAOAAAAAAAAAAAAAAAAAC4CAABkcnMvZTJvRG9jLnhtbFBLAQItABQABgAIAAAAIQAm9cnN&#10;4AAAAAoBAAAPAAAAAAAAAAAAAAAAANcEAABkcnMvZG93bnJldi54bWxQSwUGAAAAAAQABADzAAAA&#10;5AUAAAAA&#10;" stroked="f">
                <v:textbox inset="0,0,0,0">
                  <w:txbxContent>
                    <w:p w:rsidR="003B5BD6" w:rsidRPr="002758CD" w:rsidRDefault="003B5BD6" w:rsidP="00185270">
                      <w:pPr>
                        <w:pStyle w:val="Caption"/>
                        <w:rPr>
                          <w:noProof/>
                          <w:color w:val="auto"/>
                        </w:rPr>
                      </w:pPr>
                      <w:r w:rsidRPr="002758CD">
                        <w:rPr>
                          <w:b w:val="0"/>
                          <w:color w:val="auto"/>
                        </w:rPr>
                        <w:t xml:space="preserve">Source: 2013 Household Labor Survey micro dataset; BETAM </w:t>
                      </w:r>
                    </w:p>
                    <w:p w:rsidR="003B5BD6" w:rsidRPr="00F23C25" w:rsidRDefault="003B5BD6" w:rsidP="00185270">
                      <w:pPr>
                        <w:pStyle w:val="Caption"/>
                        <w:rPr>
                          <w:noProof/>
                          <w:color w:val="auto"/>
                        </w:rPr>
                      </w:pPr>
                    </w:p>
                  </w:txbxContent>
                </v:textbox>
              </v:shape>
            </w:pict>
          </mc:Fallback>
        </mc:AlternateContent>
      </w:r>
      <w:r>
        <w:rPr>
          <w:noProof/>
          <w:color w:val="FF0000"/>
        </w:rPr>
        <mc:AlternateContent>
          <mc:Choice Requires="wps">
            <w:drawing>
              <wp:anchor distT="0" distB="0" distL="114300" distR="114300" simplePos="0" relativeHeight="251665408" behindDoc="0" locked="0" layoutInCell="1" allowOverlap="1">
                <wp:simplePos x="0" y="0"/>
                <wp:positionH relativeFrom="column">
                  <wp:posOffset>-537845</wp:posOffset>
                </wp:positionH>
                <wp:positionV relativeFrom="paragraph">
                  <wp:posOffset>321945</wp:posOffset>
                </wp:positionV>
                <wp:extent cx="3498215" cy="19304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D6" w:rsidRPr="002758CD" w:rsidRDefault="003B5BD6" w:rsidP="00185270">
                            <w:pPr>
                              <w:pStyle w:val="Caption"/>
                              <w:rPr>
                                <w:noProof/>
                                <w:color w:val="auto"/>
                              </w:rPr>
                            </w:pPr>
                            <w:r w:rsidRPr="002758CD">
                              <w:rPr>
                                <w:b w:val="0"/>
                                <w:color w:val="auto"/>
                              </w:rPr>
                              <w:t xml:space="preserve">Source: 2013 Household Labor Survey micro dataset; BETAM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2.35pt;margin-top:25.35pt;width:275.45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IofwIAAAYFAAAOAAAAZHJzL2Uyb0RvYy54bWysVNuOmzAQfa/Uf7D8ngWyZDegJau9NFWl&#10;7UXa7Qc42ASrxuPaTmBb9d87NiFNLw9VVR5gsMeHM3POcHU9dIrshXUSdEWzs5QSoWvgUm8r+vFp&#10;PVtS4jzTnCnQoqLPwtHr1csXV70pxRxaUFxYgiDalb2paOu9KZPE1a3omDsDIzRuNmA75vHVbhNu&#10;WY/onUrmaXqR9GC5sVAL53D1ftykq4jfNKL275vGCU9URZGbj3cb75twT1ZXrNxaZlpZH2iwf2DR&#10;Manxo0eoe+YZ2Vn5G1QnawsOGn9WQ5dA08haxBqwmiz9pZrHlhkRa8HmOHNsk/t/sPW7/QdLJEft&#10;KNGsQ4mexODJLQxkEbrTG1di0qPBND/gcsgMlTrzAPUnRzTctUxvxY210LeCcWSXhZPJydERxwWQ&#10;Tf8WOH6G7TxEoKGxXQDEZhBER5Wej8oEKjUunufFcp4tKKlxLyvO0zxKl7ByOm2s868FdCQEFbWo&#10;fERn+wfnAxtWTimRPSjJ11Kp+GK3mztlyZ6hS9bxigVgkadpSodkDeHYiDiuIEn8RtgLdKPqX4ts&#10;nqe382K2vlhezvJ1vpgVl+lylmbFbXGR5kV+v/4WCGZ52UrOhX6QWkwOzPK/U/gwC6N3ogdJX9Fi&#10;MV+MEp2yd6dFpvH6U5Gd9DiQSnYVXR6TWBmEfaU5ls1Kz6Qa4+Rn+rHL2IPpGbsSbRCUHz3gh80Q&#10;/XZ01wb4M/rCAsqG4uPPBIMW7BdKehzMirrPO2YFJeqNRm+FKZ4COwWbKWC6xqMV9ZSM4Z0fp31n&#10;rNy2iDy6V8MN+q+R0RrBqCOLg2tx2GINhx9DmObT95j14/e1+g4AAP//AwBQSwMEFAAGAAgAAAAh&#10;AAtky/jfAAAACQEAAA8AAABkcnMvZG93bnJldi54bWxMj8FOg0AQhu8mvsNmTLyYdoFUJMjQaKs3&#10;PbQ2PW/ZFYjsLGGXQt/e8WRPk8l8+ef7i/VsO3E2g28dIcTLCIShyumWaoTD1/siA+GDIq06Rwbh&#10;Yjysy9ubQuXaTbQz532oBYeQzxVCE0KfS+mrxljll643xLdvN1gVeB1qqQc1cbjtZBJFqbSqJf7Q&#10;qN5sGlP97EeLkG6HcdrR5mF7ePtQn32dHF8vR8T7u/nlGUQwc/iH4U+f1aFkp5MbSXvRISyy1ROj&#10;CI8RTwZWaZqAOCFkcQyyLOR1g/IXAAD//wMAUEsBAi0AFAAGAAgAAAAhALaDOJL+AAAA4QEAABMA&#10;AAAAAAAAAAAAAAAAAAAAAFtDb250ZW50X1R5cGVzXS54bWxQSwECLQAUAAYACAAAACEAOP0h/9YA&#10;AACUAQAACwAAAAAAAAAAAAAAAAAvAQAAX3JlbHMvLnJlbHNQSwECLQAUAAYACAAAACEA3KCyKH8C&#10;AAAGBQAADgAAAAAAAAAAAAAAAAAuAgAAZHJzL2Uyb0RvYy54bWxQSwECLQAUAAYACAAAACEAC2TL&#10;+N8AAAAJAQAADwAAAAAAAAAAAAAAAADZBAAAZHJzL2Rvd25yZXYueG1sUEsFBgAAAAAEAAQA8wAA&#10;AOUFAAAAAA==&#10;" stroked="f">
                <v:textbox inset="0,0,0,0">
                  <w:txbxContent>
                    <w:p w:rsidR="003B5BD6" w:rsidRPr="002758CD" w:rsidRDefault="003B5BD6" w:rsidP="00185270">
                      <w:pPr>
                        <w:pStyle w:val="Caption"/>
                        <w:rPr>
                          <w:noProof/>
                          <w:color w:val="auto"/>
                        </w:rPr>
                      </w:pPr>
                      <w:r w:rsidRPr="002758CD">
                        <w:rPr>
                          <w:b w:val="0"/>
                          <w:color w:val="auto"/>
                        </w:rPr>
                        <w:t xml:space="preserve">Source: 2013 Household Labor Survey micro dataset; BETAM </w:t>
                      </w:r>
                    </w:p>
                  </w:txbxContent>
                </v:textbox>
              </v:shape>
            </w:pict>
          </mc:Fallback>
        </mc:AlternateContent>
      </w:r>
    </w:p>
    <w:p w:rsidR="00185270" w:rsidRPr="008741B9" w:rsidRDefault="00185270" w:rsidP="00185270">
      <w:pPr>
        <w:rPr>
          <w:color w:val="FF0000"/>
          <w:lang w:val="en-US"/>
        </w:rPr>
      </w:pPr>
    </w:p>
    <w:p w:rsidR="00185270" w:rsidRPr="008741B9" w:rsidRDefault="00185270" w:rsidP="00185270">
      <w:pPr>
        <w:rPr>
          <w:b/>
          <w:sz w:val="24"/>
          <w:szCs w:val="24"/>
          <w:lang w:val="en-US"/>
        </w:rPr>
      </w:pPr>
      <w:r w:rsidRPr="008741B9">
        <w:rPr>
          <w:b/>
          <w:sz w:val="24"/>
          <w:szCs w:val="24"/>
          <w:lang w:val="en-US"/>
        </w:rPr>
        <w:t xml:space="preserve">The regions with increased and decreased informality </w:t>
      </w:r>
    </w:p>
    <w:p w:rsidR="007C28A4" w:rsidRPr="008741B9" w:rsidRDefault="00185270" w:rsidP="00185270">
      <w:pPr>
        <w:jc w:val="both"/>
        <w:rPr>
          <w:lang w:val="en-US"/>
        </w:rPr>
      </w:pPr>
      <w:r w:rsidRPr="008741B9">
        <w:rPr>
          <w:lang w:val="en-US"/>
        </w:rPr>
        <w:t xml:space="preserve">During the period of 2005-2013, we know that overall rate of informality in Turkey decreased from 48.2 percent to 36.8 percent and the rate of informality </w:t>
      </w:r>
      <w:r w:rsidR="00450EB0" w:rsidRPr="008741B9">
        <w:rPr>
          <w:lang w:val="en-US"/>
        </w:rPr>
        <w:t xml:space="preserve">among </w:t>
      </w:r>
      <w:r w:rsidRPr="008741B9">
        <w:rPr>
          <w:lang w:val="en-US"/>
        </w:rPr>
        <w:t xml:space="preserve">wage earners fell from </w:t>
      </w:r>
      <w:r w:rsidR="007C28A4" w:rsidRPr="008741B9">
        <w:rPr>
          <w:lang w:val="en-US"/>
        </w:rPr>
        <w:t>32</w:t>
      </w:r>
      <w:r w:rsidRPr="008741B9">
        <w:rPr>
          <w:lang w:val="en-US"/>
        </w:rPr>
        <w:t xml:space="preserve"> percent to </w:t>
      </w:r>
      <w:r w:rsidR="007C28A4" w:rsidRPr="008741B9">
        <w:rPr>
          <w:lang w:val="en-US"/>
        </w:rPr>
        <w:t>19.9</w:t>
      </w:r>
      <w:r w:rsidRPr="008741B9">
        <w:rPr>
          <w:lang w:val="en-US"/>
        </w:rPr>
        <w:t xml:space="preserve"> percent. While overall informality rate decreased by 23.7 percent in Turkey, </w:t>
      </w:r>
      <w:r w:rsidR="00450EB0" w:rsidRPr="008741B9">
        <w:rPr>
          <w:lang w:val="en-US"/>
        </w:rPr>
        <w:t xml:space="preserve">it </w:t>
      </w:r>
      <w:r w:rsidRPr="008741B9">
        <w:rPr>
          <w:lang w:val="en-US"/>
        </w:rPr>
        <w:t>decreased by 37.7 percent</w:t>
      </w:r>
      <w:r w:rsidR="00450EB0" w:rsidRPr="008741B9">
        <w:rPr>
          <w:lang w:val="en-US"/>
        </w:rPr>
        <w:t xml:space="preserve"> for wage earners</w:t>
      </w:r>
      <w:r w:rsidRPr="008741B9">
        <w:rPr>
          <w:lang w:val="en-US"/>
        </w:rPr>
        <w:t xml:space="preserve">. As highlighted in previous Betam research brief, the contribution of the decline in the rate of informality for wage earners to overall decrease in informality is quite large. Note </w:t>
      </w:r>
      <w:r w:rsidR="00837C3D" w:rsidRPr="008741B9">
        <w:rPr>
          <w:lang w:val="en-US"/>
        </w:rPr>
        <w:t xml:space="preserve">also </w:t>
      </w:r>
      <w:r w:rsidRPr="008741B9">
        <w:rPr>
          <w:lang w:val="en-US"/>
        </w:rPr>
        <w:t xml:space="preserve">that the distribution of improvement in informality is unequal across regions. In some regions the informality decreased by more than half and in some of them limited improvements, even in a few of them increases </w:t>
      </w:r>
      <w:r w:rsidR="00837C3D" w:rsidRPr="008741B9">
        <w:rPr>
          <w:lang w:val="en-US"/>
        </w:rPr>
        <w:t xml:space="preserve">are </w:t>
      </w:r>
      <w:r w:rsidRPr="008741B9">
        <w:rPr>
          <w:lang w:val="en-US"/>
        </w:rPr>
        <w:t>recorded. The overall rate of informality</w:t>
      </w:r>
      <w:r w:rsidR="00837C3D" w:rsidRPr="008741B9">
        <w:rPr>
          <w:lang w:val="en-US"/>
        </w:rPr>
        <w:t xml:space="preserve"> decreased</w:t>
      </w:r>
      <w:r w:rsidRPr="008741B9">
        <w:rPr>
          <w:lang w:val="en-US"/>
        </w:rPr>
        <w:t xml:space="preserve"> in 23 regions and for wage earners </w:t>
      </w:r>
      <w:r w:rsidR="00837C3D" w:rsidRPr="008741B9">
        <w:rPr>
          <w:lang w:val="en-US"/>
        </w:rPr>
        <w:t xml:space="preserve">it decreased </w:t>
      </w:r>
      <w:r w:rsidRPr="008741B9">
        <w:rPr>
          <w:lang w:val="en-US"/>
        </w:rPr>
        <w:t xml:space="preserve">in 22 regions </w:t>
      </w:r>
      <w:r w:rsidR="00837C3D" w:rsidRPr="008741B9">
        <w:rPr>
          <w:lang w:val="en-US"/>
        </w:rPr>
        <w:t>out of 26</w:t>
      </w:r>
      <w:r w:rsidR="008741B9">
        <w:rPr>
          <w:lang w:val="en-US"/>
        </w:rPr>
        <w:t xml:space="preserve"> </w:t>
      </w:r>
      <w:r w:rsidRPr="008741B9">
        <w:rPr>
          <w:lang w:val="en-US"/>
        </w:rPr>
        <w:t>(Figure 5).</w:t>
      </w:r>
    </w:p>
    <w:p w:rsidR="00185270" w:rsidRPr="008741B9" w:rsidRDefault="00185270" w:rsidP="00185270">
      <w:pPr>
        <w:jc w:val="both"/>
        <w:rPr>
          <w:rFonts w:cs="Arial"/>
          <w:lang w:val="en-US"/>
        </w:rPr>
      </w:pPr>
      <w:r w:rsidRPr="008741B9">
        <w:rPr>
          <w:rFonts w:cs="Arial"/>
          <w:lang w:val="en-US"/>
        </w:rPr>
        <w:t>The most successful regions at reducing the informality are Istanbul, Ankara, Bursa and Kocaeli. In these regions the rate of informality reduced by more than half. In these four regions, average firm size and average level of education significantly increased and simultaneously</w:t>
      </w:r>
      <w:r w:rsidR="009717CD" w:rsidRPr="008741B9">
        <w:rPr>
          <w:rFonts w:cs="Arial"/>
          <w:lang w:val="en-US"/>
        </w:rPr>
        <w:t>,</w:t>
      </w:r>
      <w:r w:rsidRPr="008741B9">
        <w:rPr>
          <w:rFonts w:cs="Arial"/>
          <w:lang w:val="en-US"/>
        </w:rPr>
        <w:t xml:space="preserve"> the share of manufacturing in employment decreased due to the increase in the share of </w:t>
      </w:r>
      <w:r w:rsidR="009717CD" w:rsidRPr="008741B9">
        <w:rPr>
          <w:rFonts w:cs="Arial"/>
          <w:lang w:val="en-US"/>
        </w:rPr>
        <w:t xml:space="preserve">services </w:t>
      </w:r>
      <w:r w:rsidRPr="008741B9">
        <w:rPr>
          <w:rFonts w:cs="Arial"/>
          <w:lang w:val="en-US"/>
        </w:rPr>
        <w:t xml:space="preserve">(A. Table 2). </w:t>
      </w:r>
      <w:r w:rsidR="001718FE" w:rsidRPr="008741B9">
        <w:rPr>
          <w:rFonts w:cs="Arial"/>
          <w:lang w:val="en-US"/>
        </w:rPr>
        <w:t>Therefore, large decreases recorded in these regions are</w:t>
      </w:r>
      <w:r w:rsidRPr="008741B9">
        <w:rPr>
          <w:rFonts w:cs="Arial"/>
          <w:lang w:val="en-US"/>
        </w:rPr>
        <w:t xml:space="preserve"> an expected finding</w:t>
      </w:r>
      <w:r w:rsidR="001718FE" w:rsidRPr="008741B9">
        <w:rPr>
          <w:rFonts w:cs="Arial"/>
          <w:lang w:val="en-US"/>
        </w:rPr>
        <w:t xml:space="preserve">. </w:t>
      </w:r>
    </w:p>
    <w:p w:rsidR="00637EC2" w:rsidRPr="008741B9" w:rsidRDefault="00637EC2" w:rsidP="00637EC2">
      <w:pPr>
        <w:pStyle w:val="Caption"/>
        <w:keepNext/>
        <w:spacing w:line="276" w:lineRule="auto"/>
        <w:jc w:val="both"/>
        <w:rPr>
          <w:rFonts w:asciiTheme="minorHAnsi" w:hAnsiTheme="minorHAnsi"/>
          <w:color w:val="auto"/>
          <w:sz w:val="24"/>
          <w:szCs w:val="24"/>
          <w:lang w:val="en-US"/>
        </w:rPr>
      </w:pPr>
      <w:r w:rsidRPr="008741B9">
        <w:rPr>
          <w:rFonts w:asciiTheme="minorHAnsi" w:hAnsiTheme="minorHAnsi"/>
          <w:color w:val="auto"/>
          <w:sz w:val="24"/>
          <w:szCs w:val="24"/>
          <w:lang w:val="en-US"/>
        </w:rPr>
        <w:lastRenderedPageBreak/>
        <w:t>Figure 5: 2005-2013 Changes in the rate of informality within regions (%)</w:t>
      </w:r>
    </w:p>
    <w:p w:rsidR="00637EC2" w:rsidRPr="008741B9" w:rsidRDefault="00637EC2" w:rsidP="00637EC2">
      <w:pPr>
        <w:keepNext/>
        <w:jc w:val="both"/>
        <w:rPr>
          <w:b/>
          <w:bCs/>
          <w:color w:val="365F91"/>
          <w:sz w:val="24"/>
          <w:szCs w:val="24"/>
          <w:lang w:val="en-US"/>
        </w:rPr>
      </w:pPr>
      <w:r w:rsidRPr="008741B9">
        <w:rPr>
          <w:b/>
          <w:bCs/>
          <w:noProof/>
          <w:color w:val="365F91"/>
          <w:sz w:val="24"/>
          <w:szCs w:val="24"/>
        </w:rPr>
        <w:drawing>
          <wp:inline distT="0" distB="0" distL="0" distR="0">
            <wp:extent cx="4558665" cy="4053205"/>
            <wp:effectExtent l="19050" t="0" r="0" b="0"/>
            <wp:docPr id="8" name="Picture 8"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board01"/>
                    <pic:cNvPicPr>
                      <a:picLocks noChangeAspect="1" noChangeArrowheads="1"/>
                    </pic:cNvPicPr>
                  </pic:nvPicPr>
                  <pic:blipFill>
                    <a:blip r:embed="rId14" cstate="print"/>
                    <a:srcRect/>
                    <a:stretch>
                      <a:fillRect/>
                    </a:stretch>
                  </pic:blipFill>
                  <pic:spPr bwMode="auto">
                    <a:xfrm>
                      <a:off x="0" y="0"/>
                      <a:ext cx="4558665" cy="4053205"/>
                    </a:xfrm>
                    <a:prstGeom prst="rect">
                      <a:avLst/>
                    </a:prstGeom>
                    <a:noFill/>
                    <a:ln w="9525">
                      <a:noFill/>
                      <a:miter lim="800000"/>
                      <a:headEnd/>
                      <a:tailEnd/>
                    </a:ln>
                  </pic:spPr>
                </pic:pic>
              </a:graphicData>
            </a:graphic>
          </wp:inline>
        </w:drawing>
      </w:r>
    </w:p>
    <w:p w:rsidR="00637EC2" w:rsidRPr="008741B9" w:rsidRDefault="00637EC2" w:rsidP="00637EC2">
      <w:pPr>
        <w:pStyle w:val="Caption"/>
        <w:spacing w:line="276" w:lineRule="auto"/>
        <w:jc w:val="both"/>
        <w:rPr>
          <w:rFonts w:asciiTheme="minorHAnsi" w:hAnsiTheme="minorHAnsi"/>
          <w:b w:val="0"/>
          <w:color w:val="auto"/>
          <w:lang w:val="en-US"/>
        </w:rPr>
      </w:pPr>
      <w:r w:rsidRPr="008741B9">
        <w:rPr>
          <w:rFonts w:asciiTheme="minorHAnsi" w:hAnsiTheme="minorHAnsi"/>
          <w:b w:val="0"/>
          <w:color w:val="auto"/>
          <w:lang w:val="en-US"/>
        </w:rPr>
        <w:t xml:space="preserve">Source: TurkStat, 2005 and 2013 Household Labor Survey micro dataset; BETAM </w:t>
      </w:r>
    </w:p>
    <w:p w:rsidR="00637EC2" w:rsidRPr="008741B9" w:rsidRDefault="00637EC2" w:rsidP="00637EC2">
      <w:pPr>
        <w:jc w:val="both"/>
        <w:rPr>
          <w:rFonts w:cs="Arial"/>
          <w:lang w:val="en-US"/>
        </w:rPr>
      </w:pPr>
      <w:r w:rsidRPr="008741B9">
        <w:rPr>
          <w:rFonts w:cs="Arial"/>
          <w:lang w:val="en-US"/>
        </w:rPr>
        <w:t xml:space="preserve">The least successful regions at reducing informality among wage earners are Konya, Aydın and Malatya and in these regions the rate of informality decreased by 20.5 percent, 18.8 percent and 12 percent respectively (Figure 5). In these three regions, </w:t>
      </w:r>
      <w:r w:rsidR="009717CD" w:rsidRPr="008741B9">
        <w:rPr>
          <w:rFonts w:cs="Arial"/>
          <w:lang w:val="en-US"/>
        </w:rPr>
        <w:t xml:space="preserve">in these three regions changes in structural features that determine the level of informality are not the same. </w:t>
      </w:r>
      <w:r w:rsidRPr="008741B9">
        <w:rPr>
          <w:rFonts w:cs="Arial"/>
          <w:lang w:val="en-US"/>
        </w:rPr>
        <w:t xml:space="preserve">For example, in the region of Aydın average firm size and the share of manufacturing in employment </w:t>
      </w:r>
      <w:r w:rsidR="00CA258E" w:rsidRPr="008741B9">
        <w:rPr>
          <w:rFonts w:cs="Arial"/>
          <w:lang w:val="en-US"/>
        </w:rPr>
        <w:t xml:space="preserve">has </w:t>
      </w:r>
      <w:r w:rsidRPr="008741B9">
        <w:rPr>
          <w:rFonts w:cs="Arial"/>
          <w:lang w:val="en-US"/>
        </w:rPr>
        <w:t>reduced and simultaneously the share</w:t>
      </w:r>
      <w:r w:rsidR="00CA258E" w:rsidRPr="008741B9">
        <w:rPr>
          <w:rFonts w:cs="Arial"/>
          <w:lang w:val="en-US"/>
        </w:rPr>
        <w:t>s</w:t>
      </w:r>
      <w:r w:rsidRPr="008741B9">
        <w:rPr>
          <w:rFonts w:cs="Arial"/>
          <w:lang w:val="en-US"/>
        </w:rPr>
        <w:t xml:space="preserve"> of agriculture and construction </w:t>
      </w:r>
      <w:r w:rsidR="00CA258E" w:rsidRPr="008741B9">
        <w:rPr>
          <w:rFonts w:cs="Arial"/>
          <w:lang w:val="en-US"/>
        </w:rPr>
        <w:t xml:space="preserve">have </w:t>
      </w:r>
      <w:r w:rsidRPr="008741B9">
        <w:rPr>
          <w:rFonts w:cs="Arial"/>
          <w:lang w:val="en-US"/>
        </w:rPr>
        <w:t>increased</w:t>
      </w:r>
      <w:r w:rsidR="000D5884" w:rsidRPr="008741B9">
        <w:rPr>
          <w:rFonts w:cs="Arial"/>
          <w:lang w:val="en-US"/>
        </w:rPr>
        <w:t xml:space="preserve"> in this region</w:t>
      </w:r>
      <w:r w:rsidRPr="008741B9">
        <w:rPr>
          <w:rFonts w:cs="Arial"/>
          <w:lang w:val="en-US"/>
        </w:rPr>
        <w:t xml:space="preserve">. Although average firm size </w:t>
      </w:r>
      <w:r w:rsidR="00CA258E" w:rsidRPr="008741B9">
        <w:rPr>
          <w:rFonts w:cs="Arial"/>
          <w:lang w:val="en-US"/>
        </w:rPr>
        <w:t xml:space="preserve">has significantly </w:t>
      </w:r>
      <w:r w:rsidRPr="008741B9">
        <w:rPr>
          <w:rFonts w:cs="Arial"/>
          <w:lang w:val="en-US"/>
        </w:rPr>
        <w:t xml:space="preserve">increased in the regions of Malatya and Konya, average level of education </w:t>
      </w:r>
      <w:r w:rsidR="009717CD" w:rsidRPr="008741B9">
        <w:rPr>
          <w:rFonts w:cs="Arial"/>
          <w:lang w:val="en-US"/>
        </w:rPr>
        <w:t xml:space="preserve">has </w:t>
      </w:r>
      <w:r w:rsidRPr="008741B9">
        <w:rPr>
          <w:rFonts w:cs="Arial"/>
          <w:lang w:val="en-US"/>
        </w:rPr>
        <w:t>remained constant in Malatya and slightly increased in Konya.</w:t>
      </w:r>
      <w:r w:rsidR="000D5884" w:rsidRPr="008741B9">
        <w:rPr>
          <w:rFonts w:cs="Arial"/>
          <w:lang w:val="en-US"/>
        </w:rPr>
        <w:t xml:space="preserve"> On the other hand</w:t>
      </w:r>
      <w:r w:rsidRPr="008741B9">
        <w:rPr>
          <w:rFonts w:cs="Arial"/>
          <w:lang w:val="en-US"/>
        </w:rPr>
        <w:t>, the share of manufacturing sector</w:t>
      </w:r>
      <w:r w:rsidR="000D5884" w:rsidRPr="008741B9">
        <w:rPr>
          <w:rFonts w:cs="Arial"/>
          <w:lang w:val="en-US"/>
        </w:rPr>
        <w:t xml:space="preserve"> increased in these two regions</w:t>
      </w:r>
      <w:r w:rsidRPr="008741B9">
        <w:rPr>
          <w:rFonts w:cs="Arial"/>
          <w:lang w:val="en-US"/>
        </w:rPr>
        <w:t xml:space="preserve">. While in the region of Malatya significant decreases recorded in the employment share of agriculture, in particular in that of construction sector, in the region of Konya the share of agriculture reduced and the share of construction increased (A. Table 2). </w:t>
      </w:r>
      <w:r w:rsidR="00CA258E" w:rsidRPr="008741B9">
        <w:rPr>
          <w:rFonts w:cs="Arial"/>
          <w:lang w:val="en-US"/>
        </w:rPr>
        <w:t>As one can observe</w:t>
      </w:r>
      <w:r w:rsidRPr="008741B9">
        <w:rPr>
          <w:rFonts w:cs="Arial"/>
          <w:lang w:val="en-US"/>
        </w:rPr>
        <w:t>, opposite effects exist</w:t>
      </w:r>
      <w:r w:rsidR="00CA258E" w:rsidRPr="008741B9">
        <w:rPr>
          <w:rFonts w:cs="Arial"/>
          <w:lang w:val="en-US"/>
        </w:rPr>
        <w:t xml:space="preserve"> in these two regions</w:t>
      </w:r>
      <w:r w:rsidRPr="008741B9">
        <w:rPr>
          <w:rFonts w:cs="Arial"/>
          <w:lang w:val="en-US"/>
        </w:rPr>
        <w:t xml:space="preserve">. Therefore, limited decreases in the rate of informality are not surprising. </w:t>
      </w:r>
    </w:p>
    <w:p w:rsidR="00637EC2" w:rsidRPr="008741B9" w:rsidRDefault="00EE2B18" w:rsidP="00637EC2">
      <w:pPr>
        <w:jc w:val="both"/>
        <w:rPr>
          <w:color w:val="FF0000"/>
          <w:lang w:val="en-US"/>
        </w:rPr>
      </w:pPr>
      <w:r w:rsidRPr="008741B9">
        <w:rPr>
          <w:lang w:val="en-US"/>
        </w:rPr>
        <w:t>In four regions</w:t>
      </w:r>
      <w:r w:rsidR="00637EC2" w:rsidRPr="008741B9">
        <w:rPr>
          <w:lang w:val="en-US"/>
        </w:rPr>
        <w:t xml:space="preserve"> informality increased: Kastamonu, Mardin, Ağrı and Van. Kastamonu has the largest change in the rate of informality with 46 percent and changes in Mardin, Ağrı and Van recorded 20.4 percent, 10.5 percent and 8 percent respectively. Increased informality in the regions of Ağrı and Van is not surprising. In fact, in </w:t>
      </w:r>
      <w:r w:rsidR="003B5BD6" w:rsidRPr="008741B9">
        <w:rPr>
          <w:lang w:val="en-US"/>
        </w:rPr>
        <w:t>Ağrı and Van</w:t>
      </w:r>
      <w:r w:rsidR="00637EC2" w:rsidRPr="008741B9">
        <w:rPr>
          <w:lang w:val="en-US"/>
        </w:rPr>
        <w:t xml:space="preserve"> regions average level of education, average firm size, the employment share of manufacturing decreased slightly and the employment share of construction substantially increased. However, there exists opposite effects in region of Mardin, where informality rate for wage earners increased by 20.4 percent. Indeed, average firm size and average level of </w:t>
      </w:r>
      <w:r w:rsidR="00637EC2" w:rsidRPr="008741B9">
        <w:rPr>
          <w:lang w:val="en-US"/>
        </w:rPr>
        <w:lastRenderedPageBreak/>
        <w:t xml:space="preserve">education increased in this region, but the employment share of manufacturing decreased while the shares of agriculture and construction increased. Although large rise in informality in the region of Kastamonu is remarkable, it </w:t>
      </w:r>
      <w:r w:rsidRPr="008741B9">
        <w:rPr>
          <w:lang w:val="en-US"/>
        </w:rPr>
        <w:t xml:space="preserve">is worth noting that this region </w:t>
      </w:r>
      <w:r w:rsidR="003026AF" w:rsidRPr="008741B9">
        <w:rPr>
          <w:lang w:val="en-US"/>
        </w:rPr>
        <w:t xml:space="preserve">is one the regions having </w:t>
      </w:r>
      <w:r w:rsidR="00637EC2" w:rsidRPr="008741B9">
        <w:rPr>
          <w:lang w:val="en-US"/>
        </w:rPr>
        <w:t>the lowest number of informal wage</w:t>
      </w:r>
      <w:r w:rsidRPr="008741B9">
        <w:rPr>
          <w:lang w:val="en-US"/>
        </w:rPr>
        <w:t xml:space="preserve"> earners</w:t>
      </w:r>
      <w:r w:rsidR="00637EC2" w:rsidRPr="008741B9">
        <w:rPr>
          <w:lang w:val="en-US"/>
        </w:rPr>
        <w:t xml:space="preserve">. </w:t>
      </w:r>
      <w:r w:rsidR="000D5884" w:rsidRPr="008741B9">
        <w:rPr>
          <w:lang w:val="en-US"/>
        </w:rPr>
        <w:t>Indeed, t</w:t>
      </w:r>
      <w:r w:rsidR="00637EC2" w:rsidRPr="008741B9">
        <w:rPr>
          <w:lang w:val="en-US"/>
        </w:rPr>
        <w:t xml:space="preserve">he number of informal </w:t>
      </w:r>
      <w:r w:rsidR="003026AF" w:rsidRPr="008741B9">
        <w:rPr>
          <w:lang w:val="en-US"/>
        </w:rPr>
        <w:t>wage earners</w:t>
      </w:r>
      <w:r w:rsidR="00637EC2" w:rsidRPr="008741B9">
        <w:rPr>
          <w:lang w:val="en-US"/>
        </w:rPr>
        <w:t xml:space="preserve"> </w:t>
      </w:r>
      <w:r w:rsidR="003026AF" w:rsidRPr="008741B9">
        <w:rPr>
          <w:lang w:val="en-US"/>
        </w:rPr>
        <w:t>was</w:t>
      </w:r>
      <w:r w:rsidR="00637EC2" w:rsidRPr="008741B9">
        <w:rPr>
          <w:lang w:val="en-US"/>
        </w:rPr>
        <w:t xml:space="preserve"> 9 thousand </w:t>
      </w:r>
      <w:r w:rsidR="003026AF" w:rsidRPr="008741B9">
        <w:rPr>
          <w:lang w:val="en-US"/>
        </w:rPr>
        <w:t xml:space="preserve">over 81 thousand (11.1 percent) </w:t>
      </w:r>
      <w:r w:rsidR="00637EC2" w:rsidRPr="008741B9">
        <w:rPr>
          <w:lang w:val="en-US"/>
        </w:rPr>
        <w:t>in 2005</w:t>
      </w:r>
      <w:r w:rsidR="003026AF" w:rsidRPr="008741B9">
        <w:rPr>
          <w:lang w:val="en-US"/>
        </w:rPr>
        <w:t>. I</w:t>
      </w:r>
      <w:r w:rsidR="00637EC2" w:rsidRPr="008741B9">
        <w:rPr>
          <w:lang w:val="en-US"/>
        </w:rPr>
        <w:t xml:space="preserve">n 2013 the </w:t>
      </w:r>
      <w:r w:rsidR="003026AF" w:rsidRPr="008741B9">
        <w:rPr>
          <w:lang w:val="en-US"/>
        </w:rPr>
        <w:t>number of wage earners</w:t>
      </w:r>
      <w:r w:rsidR="00637EC2" w:rsidRPr="008741B9">
        <w:rPr>
          <w:lang w:val="en-US"/>
        </w:rPr>
        <w:t xml:space="preserve"> expanded </w:t>
      </w:r>
      <w:r w:rsidR="003B5BD6" w:rsidRPr="008741B9">
        <w:rPr>
          <w:lang w:val="en-US"/>
        </w:rPr>
        <w:t xml:space="preserve">by </w:t>
      </w:r>
      <w:r w:rsidR="003026AF" w:rsidRPr="008741B9">
        <w:rPr>
          <w:lang w:val="en-US"/>
        </w:rPr>
        <w:t>40</w:t>
      </w:r>
      <w:r w:rsidR="00637EC2" w:rsidRPr="008741B9">
        <w:rPr>
          <w:lang w:val="en-US"/>
        </w:rPr>
        <w:t xml:space="preserve"> thousand</w:t>
      </w:r>
      <w:r w:rsidR="003026AF" w:rsidRPr="008741B9">
        <w:rPr>
          <w:lang w:val="en-US"/>
        </w:rPr>
        <w:t xml:space="preserve"> to</w:t>
      </w:r>
      <w:r w:rsidR="008741B9" w:rsidRPr="008741B9">
        <w:rPr>
          <w:lang w:val="en-US"/>
        </w:rPr>
        <w:t xml:space="preserve"> 121 thousand while informal wa</w:t>
      </w:r>
      <w:r w:rsidR="003026AF" w:rsidRPr="008741B9">
        <w:rPr>
          <w:lang w:val="en-US"/>
        </w:rPr>
        <w:t>ge earners increased by 20 thousand (16.4 percent).</w:t>
      </w:r>
      <w:r w:rsidR="00637EC2" w:rsidRPr="008741B9">
        <w:rPr>
          <w:lang w:val="en-US"/>
        </w:rPr>
        <w:t xml:space="preserve"> </w:t>
      </w:r>
      <w:r w:rsidR="003026AF" w:rsidRPr="008741B9">
        <w:rPr>
          <w:lang w:val="en-US"/>
        </w:rPr>
        <w:t>The high increase of wag</w:t>
      </w:r>
      <w:r w:rsidR="008741B9" w:rsidRPr="008741B9">
        <w:rPr>
          <w:lang w:val="en-US"/>
        </w:rPr>
        <w:t>e informality in Kastamonu inclu</w:t>
      </w:r>
      <w:r w:rsidR="003026AF" w:rsidRPr="008741B9">
        <w:rPr>
          <w:lang w:val="en-US"/>
        </w:rPr>
        <w:t xml:space="preserve">des, indeed, a strong base effect. </w:t>
      </w:r>
      <w:r w:rsidR="00637EC2" w:rsidRPr="008741B9">
        <w:rPr>
          <w:lang w:val="en-US"/>
        </w:rPr>
        <w:t>(A. Table 2).</w:t>
      </w:r>
      <w:r w:rsidR="00637EC2" w:rsidRPr="008741B9">
        <w:rPr>
          <w:color w:val="FF0000"/>
          <w:lang w:val="en-US"/>
        </w:rPr>
        <w:t xml:space="preserve"> </w:t>
      </w:r>
    </w:p>
    <w:p w:rsidR="00637EC2" w:rsidRPr="008741B9" w:rsidRDefault="00637EC2" w:rsidP="00637EC2">
      <w:pPr>
        <w:rPr>
          <w:b/>
          <w:sz w:val="24"/>
          <w:szCs w:val="24"/>
          <w:lang w:val="en-US"/>
        </w:rPr>
      </w:pPr>
      <w:r w:rsidRPr="008741B9">
        <w:rPr>
          <w:b/>
          <w:sz w:val="24"/>
          <w:szCs w:val="24"/>
          <w:lang w:val="en-US"/>
        </w:rPr>
        <w:t>Regional priorit</w:t>
      </w:r>
      <w:r w:rsidR="00E60B60" w:rsidRPr="008741B9">
        <w:rPr>
          <w:b/>
          <w:sz w:val="24"/>
          <w:szCs w:val="24"/>
          <w:lang w:val="en-US"/>
        </w:rPr>
        <w:t>ies</w:t>
      </w:r>
      <w:r w:rsidRPr="008741B9">
        <w:rPr>
          <w:b/>
          <w:sz w:val="24"/>
          <w:szCs w:val="24"/>
          <w:lang w:val="en-US"/>
        </w:rPr>
        <w:t xml:space="preserve"> in fighting with informality </w:t>
      </w:r>
    </w:p>
    <w:p w:rsidR="00637EC2" w:rsidRPr="008741B9" w:rsidRDefault="00637EC2" w:rsidP="00637EC2">
      <w:pPr>
        <w:jc w:val="both"/>
        <w:rPr>
          <w:lang w:val="en-US"/>
        </w:rPr>
      </w:pPr>
      <w:r w:rsidRPr="008741B9">
        <w:rPr>
          <w:lang w:val="en-US"/>
        </w:rPr>
        <w:t xml:space="preserve">Anti-informality strategies should prioritize reducing informal employment of wage earners (involuntarily informality) for two reasons. First, </w:t>
      </w:r>
      <w:r w:rsidR="00A8539E" w:rsidRPr="008741B9">
        <w:rPr>
          <w:lang w:val="en-US"/>
        </w:rPr>
        <w:t xml:space="preserve">wage earners constitute almost 65 percent of total employment. </w:t>
      </w:r>
      <w:r w:rsidRPr="008741B9">
        <w:rPr>
          <w:lang w:val="en-US"/>
        </w:rPr>
        <w:t xml:space="preserve">At the same time, public authorities' direct intervention tools such as social security contribution incentives and the </w:t>
      </w:r>
      <w:r w:rsidR="00E60B60" w:rsidRPr="008741B9">
        <w:rPr>
          <w:lang w:val="en-US"/>
        </w:rPr>
        <w:t xml:space="preserve">capabilities of </w:t>
      </w:r>
      <w:r w:rsidRPr="008741B9">
        <w:rPr>
          <w:lang w:val="en-US"/>
        </w:rPr>
        <w:t>inspect</w:t>
      </w:r>
      <w:r w:rsidR="00E60B60" w:rsidRPr="008741B9">
        <w:rPr>
          <w:lang w:val="en-US"/>
        </w:rPr>
        <w:t>ing</w:t>
      </w:r>
      <w:r w:rsidRPr="008741B9">
        <w:rPr>
          <w:lang w:val="en-US"/>
        </w:rPr>
        <w:t xml:space="preserve"> are effective and significant. In this context, when we examine the regional distribution of informal employment</w:t>
      </w:r>
      <w:r w:rsidR="00E60B60" w:rsidRPr="008741B9">
        <w:rPr>
          <w:lang w:val="en-US"/>
        </w:rPr>
        <w:t xml:space="preserve"> among wage earners</w:t>
      </w:r>
      <w:r w:rsidRPr="008741B9">
        <w:rPr>
          <w:lang w:val="en-US"/>
        </w:rPr>
        <w:t>, four regions are distinguished Mediterranean, Southeast, Istanbul, and Aegean. The share of these four regions in total informal wage earner</w:t>
      </w:r>
      <w:r w:rsidR="00E60B60" w:rsidRPr="008741B9">
        <w:rPr>
          <w:lang w:val="en-US"/>
        </w:rPr>
        <w:t>s</w:t>
      </w:r>
      <w:r w:rsidRPr="008741B9">
        <w:rPr>
          <w:lang w:val="en-US"/>
        </w:rPr>
        <w:t xml:space="preserve"> reaches 61 percent (Figure 6). </w:t>
      </w:r>
    </w:p>
    <w:p w:rsidR="00637EC2" w:rsidRPr="008741B9" w:rsidRDefault="00637EC2" w:rsidP="00637EC2">
      <w:pPr>
        <w:pStyle w:val="Caption"/>
        <w:keepNext/>
        <w:spacing w:line="276" w:lineRule="auto"/>
        <w:rPr>
          <w:rFonts w:asciiTheme="minorHAnsi" w:hAnsiTheme="minorHAnsi"/>
          <w:color w:val="auto"/>
          <w:sz w:val="24"/>
          <w:szCs w:val="24"/>
          <w:lang w:val="en-US"/>
        </w:rPr>
      </w:pPr>
      <w:r w:rsidRPr="008741B9">
        <w:rPr>
          <w:rFonts w:asciiTheme="minorHAnsi" w:hAnsiTheme="minorHAnsi"/>
          <w:color w:val="auto"/>
          <w:sz w:val="24"/>
          <w:szCs w:val="24"/>
          <w:lang w:val="en-US"/>
        </w:rPr>
        <w:t xml:space="preserve">Figure 6: 2013 Distribution of informal employment by regions (%)  (NUTS 1) </w:t>
      </w:r>
    </w:p>
    <w:p w:rsidR="00637EC2" w:rsidRPr="008741B9" w:rsidRDefault="00637EC2" w:rsidP="00637EC2">
      <w:pPr>
        <w:rPr>
          <w:lang w:val="en-US"/>
        </w:rPr>
      </w:pPr>
      <w:r w:rsidRPr="008741B9">
        <w:rPr>
          <w:noProof/>
        </w:rPr>
        <w:drawing>
          <wp:inline distT="0" distB="0" distL="0" distR="0">
            <wp:extent cx="5759450" cy="2579370"/>
            <wp:effectExtent l="19050" t="0" r="0" b="0"/>
            <wp:docPr id="9" name="Picture 10"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board01"/>
                    <pic:cNvPicPr>
                      <a:picLocks noChangeAspect="1" noChangeArrowheads="1"/>
                    </pic:cNvPicPr>
                  </pic:nvPicPr>
                  <pic:blipFill>
                    <a:blip r:embed="rId15" cstate="print"/>
                    <a:srcRect/>
                    <a:stretch>
                      <a:fillRect/>
                    </a:stretch>
                  </pic:blipFill>
                  <pic:spPr bwMode="auto">
                    <a:xfrm>
                      <a:off x="0" y="0"/>
                      <a:ext cx="5759450" cy="2579370"/>
                    </a:xfrm>
                    <a:prstGeom prst="rect">
                      <a:avLst/>
                    </a:prstGeom>
                    <a:noFill/>
                    <a:ln w="9525">
                      <a:noFill/>
                      <a:miter lim="800000"/>
                      <a:headEnd/>
                      <a:tailEnd/>
                    </a:ln>
                  </pic:spPr>
                </pic:pic>
              </a:graphicData>
            </a:graphic>
          </wp:inline>
        </w:drawing>
      </w:r>
    </w:p>
    <w:p w:rsidR="00637EC2" w:rsidRPr="008741B9" w:rsidRDefault="00637EC2" w:rsidP="00637EC2">
      <w:pPr>
        <w:pStyle w:val="Caption"/>
        <w:spacing w:line="276" w:lineRule="auto"/>
        <w:jc w:val="both"/>
        <w:rPr>
          <w:rFonts w:asciiTheme="minorHAnsi" w:hAnsiTheme="minorHAnsi"/>
          <w:b w:val="0"/>
          <w:color w:val="auto"/>
          <w:lang w:val="en-US"/>
        </w:rPr>
      </w:pPr>
      <w:r w:rsidRPr="008741B9">
        <w:rPr>
          <w:rFonts w:asciiTheme="minorHAnsi" w:hAnsiTheme="minorHAnsi"/>
          <w:b w:val="0"/>
          <w:color w:val="auto"/>
          <w:lang w:val="en-US"/>
        </w:rPr>
        <w:t xml:space="preserve">Source: TurkStat 2005 and 2013 Household Labor Survey micro dataset; BETAM </w:t>
      </w:r>
    </w:p>
    <w:p w:rsidR="00637EC2" w:rsidRPr="008741B9" w:rsidRDefault="00637EC2" w:rsidP="00637EC2">
      <w:pPr>
        <w:rPr>
          <w:b/>
          <w:sz w:val="24"/>
          <w:szCs w:val="24"/>
          <w:lang w:val="en-US"/>
        </w:rPr>
      </w:pPr>
      <w:r w:rsidRPr="008741B9">
        <w:rPr>
          <w:b/>
          <w:sz w:val="24"/>
          <w:szCs w:val="24"/>
          <w:lang w:val="en-US"/>
        </w:rPr>
        <w:t xml:space="preserve">Conclusion and recommendations </w:t>
      </w:r>
    </w:p>
    <w:p w:rsidR="00637EC2" w:rsidRPr="008741B9" w:rsidRDefault="00637EC2" w:rsidP="00637EC2">
      <w:pPr>
        <w:jc w:val="both"/>
        <w:rPr>
          <w:lang w:val="en-US"/>
        </w:rPr>
      </w:pPr>
      <w:r w:rsidRPr="008741B9">
        <w:rPr>
          <w:lang w:val="en-US"/>
        </w:rPr>
        <w:t xml:space="preserve">Regional distribution of informal employment is highly unequal. There is </w:t>
      </w:r>
      <w:r w:rsidR="00E60B60" w:rsidRPr="008741B9">
        <w:rPr>
          <w:lang w:val="en-US"/>
        </w:rPr>
        <w:t xml:space="preserve">a </w:t>
      </w:r>
      <w:r w:rsidRPr="008741B9">
        <w:rPr>
          <w:lang w:val="en-US"/>
        </w:rPr>
        <w:t>large gap (one to five) between the lowest and the highest rates of informality. In addition, overall improvements in informality, recorded during the period of 2005-201</w:t>
      </w:r>
      <w:r w:rsidR="00E60B60" w:rsidRPr="008741B9">
        <w:rPr>
          <w:lang w:val="en-US"/>
        </w:rPr>
        <w:t>3</w:t>
      </w:r>
      <w:r w:rsidRPr="008741B9">
        <w:rPr>
          <w:lang w:val="en-US"/>
        </w:rPr>
        <w:t xml:space="preserve">, </w:t>
      </w:r>
      <w:r w:rsidR="00E60B60" w:rsidRPr="008741B9">
        <w:rPr>
          <w:lang w:val="en-US"/>
        </w:rPr>
        <w:t xml:space="preserve">are </w:t>
      </w:r>
      <w:r w:rsidRPr="008741B9">
        <w:rPr>
          <w:lang w:val="en-US"/>
        </w:rPr>
        <w:t xml:space="preserve">asymmetrically distributed across regions. While in some regions rates of informality reduced by more than half, in some regions deteriorations </w:t>
      </w:r>
      <w:r w:rsidR="00E60B60" w:rsidRPr="008741B9">
        <w:rPr>
          <w:lang w:val="en-US"/>
        </w:rPr>
        <w:t xml:space="preserve">are </w:t>
      </w:r>
      <w:r w:rsidRPr="008741B9">
        <w:rPr>
          <w:lang w:val="en-US"/>
        </w:rPr>
        <w:t xml:space="preserve">recorded. </w:t>
      </w:r>
    </w:p>
    <w:p w:rsidR="00637EC2" w:rsidRPr="008741B9" w:rsidRDefault="00637EC2" w:rsidP="00637EC2">
      <w:pPr>
        <w:jc w:val="both"/>
        <w:rPr>
          <w:lang w:val="en-US"/>
        </w:rPr>
      </w:pPr>
      <w:r w:rsidRPr="008741B9">
        <w:rPr>
          <w:lang w:val="en-US"/>
        </w:rPr>
        <w:t xml:space="preserve">The main reason behind these regional disparities is that structural </w:t>
      </w:r>
      <w:r w:rsidR="00E60B60" w:rsidRPr="008741B9">
        <w:rPr>
          <w:lang w:val="en-US"/>
        </w:rPr>
        <w:t>determinants</w:t>
      </w:r>
      <w:r w:rsidRPr="008741B9">
        <w:rPr>
          <w:lang w:val="en-US"/>
        </w:rPr>
        <w:t xml:space="preserve"> -such as share of sectors in </w:t>
      </w:r>
      <w:r w:rsidR="00E60B60" w:rsidRPr="008741B9">
        <w:rPr>
          <w:lang w:val="en-US"/>
        </w:rPr>
        <w:t xml:space="preserve">total </w:t>
      </w:r>
      <w:r w:rsidRPr="008741B9">
        <w:rPr>
          <w:lang w:val="en-US"/>
        </w:rPr>
        <w:t xml:space="preserve">employment, average level of education and average firm size- that affects the level of </w:t>
      </w:r>
      <w:r w:rsidR="00E60B60" w:rsidRPr="008741B9">
        <w:rPr>
          <w:lang w:val="en-US"/>
        </w:rPr>
        <w:t xml:space="preserve">informal </w:t>
      </w:r>
      <w:r w:rsidRPr="008741B9">
        <w:rPr>
          <w:lang w:val="en-US"/>
        </w:rPr>
        <w:t xml:space="preserve">employment </w:t>
      </w:r>
      <w:r w:rsidR="00E60B60" w:rsidRPr="008741B9">
        <w:rPr>
          <w:lang w:val="en-US"/>
        </w:rPr>
        <w:t>are largely</w:t>
      </w:r>
      <w:r w:rsidRPr="008741B9">
        <w:rPr>
          <w:lang w:val="en-US"/>
        </w:rPr>
        <w:t xml:space="preserve"> unequal</w:t>
      </w:r>
      <w:r w:rsidR="00E60B60" w:rsidRPr="008741B9">
        <w:rPr>
          <w:lang w:val="en-US"/>
        </w:rPr>
        <w:t>ly</w:t>
      </w:r>
      <w:r w:rsidRPr="008741B9">
        <w:rPr>
          <w:lang w:val="en-US"/>
        </w:rPr>
        <w:t xml:space="preserve"> distribut</w:t>
      </w:r>
      <w:r w:rsidR="00E60B60" w:rsidRPr="008741B9">
        <w:rPr>
          <w:lang w:val="en-US"/>
        </w:rPr>
        <w:t>ed</w:t>
      </w:r>
      <w:r w:rsidRPr="008741B9">
        <w:rPr>
          <w:lang w:val="en-US"/>
        </w:rPr>
        <w:t xml:space="preserve"> across regions. An efficient way of reducing </w:t>
      </w:r>
      <w:r w:rsidRPr="008741B9">
        <w:rPr>
          <w:lang w:val="en-US"/>
        </w:rPr>
        <w:lastRenderedPageBreak/>
        <w:t xml:space="preserve">regional disparities is to eliminate regional inequalities in terms of these structural </w:t>
      </w:r>
      <w:r w:rsidR="00E60B60" w:rsidRPr="008741B9">
        <w:rPr>
          <w:lang w:val="en-US"/>
        </w:rPr>
        <w:t>determinants</w:t>
      </w:r>
      <w:r w:rsidRPr="008741B9">
        <w:rPr>
          <w:lang w:val="en-US"/>
        </w:rPr>
        <w:t xml:space="preserve">. To sum up, regional disparities in terms of informal employment will decrease as policies aiming at reducing inequalities in structural </w:t>
      </w:r>
      <w:r w:rsidR="00E60B60" w:rsidRPr="008741B9">
        <w:rPr>
          <w:lang w:val="en-US"/>
        </w:rPr>
        <w:t>determinants</w:t>
      </w:r>
      <w:r w:rsidRPr="008741B9">
        <w:rPr>
          <w:lang w:val="en-US"/>
        </w:rPr>
        <w:t xml:space="preserve"> across regions </w:t>
      </w:r>
      <w:r w:rsidR="00E60B60" w:rsidRPr="008741B9">
        <w:rPr>
          <w:lang w:val="en-US"/>
        </w:rPr>
        <w:t>would be</w:t>
      </w:r>
      <w:r w:rsidRPr="008741B9">
        <w:rPr>
          <w:lang w:val="en-US"/>
        </w:rPr>
        <w:t xml:space="preserve"> successful. It is important </w:t>
      </w:r>
      <w:r w:rsidR="00E60B60" w:rsidRPr="008741B9">
        <w:rPr>
          <w:lang w:val="en-US"/>
        </w:rPr>
        <w:t>t</w:t>
      </w:r>
      <w:r w:rsidRPr="008741B9">
        <w:rPr>
          <w:lang w:val="en-US"/>
        </w:rPr>
        <w:t>o design regional-specific policies aiming at reducing informal employment through reduced social security contribution</w:t>
      </w:r>
      <w:r w:rsidR="00E60B60" w:rsidRPr="008741B9">
        <w:rPr>
          <w:lang w:val="en-US"/>
        </w:rPr>
        <w:t>s</w:t>
      </w:r>
      <w:r w:rsidRPr="008741B9">
        <w:rPr>
          <w:lang w:val="en-US"/>
        </w:rPr>
        <w:t xml:space="preserve">. Furthermore, it is a need to consider region-specific policies aiming at fighting with informality especially in regions of Mediterranean, Istanbul, Southeast, and Aegean where </w:t>
      </w:r>
      <w:r w:rsidR="00E60B60" w:rsidRPr="008741B9">
        <w:rPr>
          <w:lang w:val="en-US"/>
        </w:rPr>
        <w:t>almost two</w:t>
      </w:r>
      <w:r w:rsidRPr="008741B9">
        <w:rPr>
          <w:lang w:val="en-US"/>
        </w:rPr>
        <w:t xml:space="preserve">-third of informal wage earners exists. </w:t>
      </w:r>
    </w:p>
    <w:p w:rsidR="009A6B7B" w:rsidRPr="008741B9" w:rsidRDefault="009A6B7B" w:rsidP="00185270">
      <w:pPr>
        <w:rPr>
          <w:lang w:val="en-US"/>
        </w:rPr>
        <w:sectPr w:rsidR="009A6B7B" w:rsidRPr="008741B9" w:rsidSect="00AA1988">
          <w:pgSz w:w="11906" w:h="16838"/>
          <w:pgMar w:top="1417" w:right="1417" w:bottom="1417" w:left="1417" w:header="708" w:footer="708" w:gutter="0"/>
          <w:cols w:space="708"/>
          <w:docGrid w:linePitch="360"/>
        </w:sectPr>
      </w:pPr>
    </w:p>
    <w:p w:rsidR="009A6B7B" w:rsidRPr="008741B9" w:rsidRDefault="009A6B7B" w:rsidP="009A6B7B">
      <w:pPr>
        <w:pStyle w:val="Caption"/>
        <w:keepNext/>
        <w:rPr>
          <w:color w:val="auto"/>
          <w:sz w:val="22"/>
          <w:szCs w:val="22"/>
          <w:lang w:val="en-US"/>
        </w:rPr>
      </w:pPr>
      <w:r w:rsidRPr="008741B9">
        <w:rPr>
          <w:color w:val="auto"/>
          <w:sz w:val="22"/>
          <w:szCs w:val="22"/>
          <w:lang w:val="en-US"/>
        </w:rPr>
        <w:lastRenderedPageBreak/>
        <w:t xml:space="preserve">Additional Tables </w:t>
      </w:r>
    </w:p>
    <w:p w:rsidR="009A6B7B" w:rsidRPr="008741B9" w:rsidRDefault="009A6B7B" w:rsidP="009A6B7B">
      <w:pPr>
        <w:pStyle w:val="Caption"/>
        <w:keepNext/>
        <w:rPr>
          <w:color w:val="auto"/>
          <w:sz w:val="22"/>
          <w:szCs w:val="22"/>
          <w:lang w:val="en-US"/>
        </w:rPr>
      </w:pPr>
      <w:r w:rsidRPr="008741B9">
        <w:rPr>
          <w:color w:val="auto"/>
          <w:sz w:val="22"/>
          <w:szCs w:val="22"/>
          <w:lang w:val="en-US"/>
        </w:rPr>
        <w:t xml:space="preserve">A. Table </w:t>
      </w:r>
      <w:r w:rsidR="000B5988" w:rsidRPr="008741B9">
        <w:rPr>
          <w:color w:val="auto"/>
          <w:sz w:val="22"/>
          <w:szCs w:val="22"/>
          <w:lang w:val="en-US"/>
        </w:rPr>
        <w:fldChar w:fldCharType="begin"/>
      </w:r>
      <w:r w:rsidRPr="008741B9">
        <w:rPr>
          <w:color w:val="auto"/>
          <w:sz w:val="22"/>
          <w:szCs w:val="22"/>
          <w:lang w:val="en-US"/>
        </w:rPr>
        <w:instrText xml:space="preserve"> SEQ Ek_Tablo \* ARABIC </w:instrText>
      </w:r>
      <w:r w:rsidR="000B5988" w:rsidRPr="008741B9">
        <w:rPr>
          <w:color w:val="auto"/>
          <w:sz w:val="22"/>
          <w:szCs w:val="22"/>
          <w:lang w:val="en-US"/>
        </w:rPr>
        <w:fldChar w:fldCharType="separate"/>
      </w:r>
      <w:r w:rsidRPr="008741B9">
        <w:rPr>
          <w:noProof/>
          <w:color w:val="auto"/>
          <w:sz w:val="22"/>
          <w:szCs w:val="22"/>
          <w:lang w:val="en-US"/>
        </w:rPr>
        <w:t>1</w:t>
      </w:r>
      <w:r w:rsidR="000B5988" w:rsidRPr="008741B9">
        <w:rPr>
          <w:color w:val="auto"/>
          <w:sz w:val="22"/>
          <w:szCs w:val="22"/>
          <w:lang w:val="en-US"/>
        </w:rPr>
        <w:fldChar w:fldCharType="end"/>
      </w:r>
      <w:r w:rsidRPr="008741B9">
        <w:rPr>
          <w:color w:val="auto"/>
          <w:sz w:val="22"/>
          <w:szCs w:val="22"/>
          <w:lang w:val="en-US"/>
        </w:rPr>
        <w:t xml:space="preserve">: Regional Employment and Informality (2005, 2013) </w:t>
      </w:r>
    </w:p>
    <w:tbl>
      <w:tblPr>
        <w:tblW w:w="15730" w:type="dxa"/>
        <w:jc w:val="center"/>
        <w:tblCellMar>
          <w:left w:w="70" w:type="dxa"/>
          <w:right w:w="70" w:type="dxa"/>
        </w:tblCellMar>
        <w:tblLook w:val="04A0" w:firstRow="1" w:lastRow="0" w:firstColumn="1" w:lastColumn="0" w:noHBand="0" w:noVBand="1"/>
      </w:tblPr>
      <w:tblGrid>
        <w:gridCol w:w="1018"/>
        <w:gridCol w:w="849"/>
        <w:gridCol w:w="892"/>
        <w:gridCol w:w="959"/>
        <w:gridCol w:w="768"/>
        <w:gridCol w:w="814"/>
        <w:gridCol w:w="907"/>
        <w:gridCol w:w="863"/>
        <w:gridCol w:w="770"/>
        <w:gridCol w:w="831"/>
        <w:gridCol w:w="1001"/>
        <w:gridCol w:w="842"/>
        <w:gridCol w:w="928"/>
        <w:gridCol w:w="770"/>
        <w:gridCol w:w="975"/>
        <w:gridCol w:w="907"/>
        <w:gridCol w:w="863"/>
        <w:gridCol w:w="773"/>
      </w:tblGrid>
      <w:tr w:rsidR="009A6B7B" w:rsidRPr="008741B9" w:rsidTr="00CE0C14">
        <w:trPr>
          <w:trHeight w:val="22"/>
          <w:jc w:val="center"/>
        </w:trPr>
        <w:tc>
          <w:tcPr>
            <w:tcW w:w="78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B7B" w:rsidRPr="008741B9" w:rsidRDefault="009A6B7B" w:rsidP="00CE0C14">
            <w:pPr>
              <w:spacing w:after="0"/>
              <w:jc w:val="center"/>
              <w:rPr>
                <w:b/>
                <w:bCs/>
                <w:sz w:val="12"/>
                <w:szCs w:val="12"/>
                <w:lang w:val="en-US"/>
              </w:rPr>
            </w:pPr>
            <w:r w:rsidRPr="008741B9">
              <w:rPr>
                <w:b/>
                <w:bCs/>
                <w:sz w:val="12"/>
                <w:szCs w:val="12"/>
                <w:lang w:val="en-US"/>
              </w:rPr>
              <w:t>2005</w:t>
            </w:r>
          </w:p>
        </w:tc>
        <w:tc>
          <w:tcPr>
            <w:tcW w:w="7890" w:type="dxa"/>
            <w:gridSpan w:val="9"/>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center"/>
              <w:rPr>
                <w:b/>
                <w:bCs/>
                <w:sz w:val="12"/>
                <w:szCs w:val="12"/>
                <w:lang w:val="en-US"/>
              </w:rPr>
            </w:pPr>
            <w:r w:rsidRPr="008741B9">
              <w:rPr>
                <w:b/>
                <w:bCs/>
                <w:sz w:val="12"/>
                <w:szCs w:val="12"/>
                <w:lang w:val="en-US"/>
              </w:rPr>
              <w:t>2013</w:t>
            </w:r>
          </w:p>
        </w:tc>
      </w:tr>
      <w:tr w:rsidR="009A6B7B" w:rsidRPr="008741B9" w:rsidTr="00CE0C14">
        <w:trPr>
          <w:trHeight w:val="22"/>
          <w:jc w:val="center"/>
        </w:trPr>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Regions </w:t>
            </w:r>
          </w:p>
        </w:tc>
        <w:tc>
          <w:tcPr>
            <w:tcW w:w="34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center"/>
              <w:rPr>
                <w:sz w:val="12"/>
                <w:szCs w:val="12"/>
                <w:lang w:val="en-US"/>
              </w:rPr>
            </w:pPr>
            <w:r w:rsidRPr="008741B9">
              <w:rPr>
                <w:sz w:val="12"/>
                <w:szCs w:val="12"/>
                <w:lang w:val="en-US"/>
              </w:rPr>
              <w:t xml:space="preserve">TOTAL EMPLOYMENT </w:t>
            </w:r>
          </w:p>
        </w:tc>
        <w:tc>
          <w:tcPr>
            <w:tcW w:w="3354"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center"/>
              <w:rPr>
                <w:sz w:val="12"/>
                <w:szCs w:val="12"/>
                <w:lang w:val="en-US"/>
              </w:rPr>
            </w:pPr>
            <w:r w:rsidRPr="008741B9">
              <w:rPr>
                <w:sz w:val="12"/>
                <w:szCs w:val="12"/>
                <w:lang w:val="en-US"/>
              </w:rPr>
              <w:t xml:space="preserve">REGULAR OR CAUSAL EMPLOYMENT </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Regions</w:t>
            </w:r>
          </w:p>
        </w:tc>
        <w:tc>
          <w:tcPr>
            <w:tcW w:w="3541"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center"/>
              <w:rPr>
                <w:sz w:val="12"/>
                <w:szCs w:val="12"/>
                <w:lang w:val="en-US"/>
              </w:rPr>
            </w:pPr>
            <w:r w:rsidRPr="008741B9">
              <w:rPr>
                <w:sz w:val="12"/>
                <w:szCs w:val="12"/>
                <w:lang w:val="en-US"/>
              </w:rPr>
              <w:t xml:space="preserve">TOTAL EMPLOYMENT </w:t>
            </w:r>
          </w:p>
        </w:tc>
        <w:tc>
          <w:tcPr>
            <w:tcW w:w="3518"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center"/>
              <w:rPr>
                <w:sz w:val="12"/>
                <w:szCs w:val="12"/>
                <w:lang w:val="en-US"/>
              </w:rPr>
            </w:pPr>
            <w:r w:rsidRPr="008741B9">
              <w:rPr>
                <w:sz w:val="12"/>
                <w:szCs w:val="12"/>
                <w:lang w:val="en-US"/>
              </w:rPr>
              <w:t xml:space="preserve">REGULAR OR CAUSAL EMPLOYMENT </w:t>
            </w:r>
          </w:p>
        </w:tc>
      </w:tr>
      <w:tr w:rsidR="009A6B7B" w:rsidRPr="008741B9" w:rsidTr="00CE0C14">
        <w:trPr>
          <w:trHeight w:val="22"/>
          <w:jc w:val="center"/>
        </w:trPr>
        <w:tc>
          <w:tcPr>
            <w:tcW w:w="1018" w:type="dxa"/>
            <w:vMerge/>
            <w:tcBorders>
              <w:top w:val="nil"/>
              <w:left w:val="single" w:sz="4" w:space="0" w:color="auto"/>
              <w:bottom w:val="single" w:sz="4" w:space="0" w:color="auto"/>
              <w:right w:val="single" w:sz="4" w:space="0" w:color="auto"/>
            </w:tcBorders>
            <w:vAlign w:val="center"/>
            <w:hideMark/>
          </w:tcPr>
          <w:p w:rsidR="009A6B7B" w:rsidRPr="008741B9" w:rsidRDefault="009A6B7B" w:rsidP="00CE0C14">
            <w:pPr>
              <w:spacing w:after="0"/>
              <w:rPr>
                <w:sz w:val="12"/>
                <w:szCs w:val="12"/>
                <w:lang w:val="en-US"/>
              </w:rPr>
            </w:pPr>
          </w:p>
        </w:tc>
        <w:tc>
          <w:tcPr>
            <w:tcW w:w="849"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Employment </w:t>
            </w:r>
          </w:p>
          <w:p w:rsidR="009A6B7B" w:rsidRPr="008741B9" w:rsidRDefault="009A6B7B" w:rsidP="00CE0C14">
            <w:pPr>
              <w:spacing w:after="0"/>
              <w:rPr>
                <w:sz w:val="12"/>
                <w:szCs w:val="12"/>
                <w:lang w:val="en-US"/>
              </w:rPr>
            </w:pPr>
            <w:r w:rsidRPr="008741B9">
              <w:rPr>
                <w:sz w:val="12"/>
                <w:szCs w:val="12"/>
                <w:lang w:val="en-US"/>
              </w:rPr>
              <w:t>(in thousands)</w:t>
            </w:r>
          </w:p>
        </w:tc>
        <w:tc>
          <w:tcPr>
            <w:tcW w:w="892"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Informal employment (in thousands) </w:t>
            </w:r>
          </w:p>
        </w:tc>
        <w:tc>
          <w:tcPr>
            <w:tcW w:w="959"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Distribution of informal employment (%) </w:t>
            </w:r>
          </w:p>
        </w:tc>
        <w:tc>
          <w:tcPr>
            <w:tcW w:w="768"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Informality ratio (%)</w:t>
            </w:r>
          </w:p>
        </w:tc>
        <w:tc>
          <w:tcPr>
            <w:tcW w:w="814"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Employment </w:t>
            </w:r>
          </w:p>
          <w:p w:rsidR="009A6B7B" w:rsidRPr="008741B9" w:rsidRDefault="009A6B7B" w:rsidP="00CE0C14">
            <w:pPr>
              <w:spacing w:after="0"/>
              <w:rPr>
                <w:sz w:val="12"/>
                <w:szCs w:val="12"/>
                <w:lang w:val="en-US"/>
              </w:rPr>
            </w:pPr>
            <w:r w:rsidRPr="008741B9">
              <w:rPr>
                <w:sz w:val="12"/>
                <w:szCs w:val="12"/>
                <w:lang w:val="en-US"/>
              </w:rPr>
              <w:t>(in thousands)</w:t>
            </w:r>
          </w:p>
        </w:tc>
        <w:tc>
          <w:tcPr>
            <w:tcW w:w="907"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Informal employment (in thousands) </w:t>
            </w:r>
          </w:p>
        </w:tc>
        <w:tc>
          <w:tcPr>
            <w:tcW w:w="863"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Distribution of informal employment (%) </w:t>
            </w:r>
          </w:p>
        </w:tc>
        <w:tc>
          <w:tcPr>
            <w:tcW w:w="770"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Informality ratio (%)</w:t>
            </w:r>
          </w:p>
        </w:tc>
        <w:tc>
          <w:tcPr>
            <w:tcW w:w="831" w:type="dxa"/>
            <w:vMerge/>
            <w:tcBorders>
              <w:top w:val="nil"/>
              <w:left w:val="single" w:sz="4" w:space="0" w:color="auto"/>
              <w:bottom w:val="single" w:sz="4" w:space="0" w:color="auto"/>
              <w:right w:val="single" w:sz="4" w:space="0" w:color="auto"/>
            </w:tcBorders>
            <w:vAlign w:val="center"/>
            <w:hideMark/>
          </w:tcPr>
          <w:p w:rsidR="009A6B7B" w:rsidRPr="008741B9" w:rsidRDefault="009A6B7B" w:rsidP="00CE0C14">
            <w:pPr>
              <w:spacing w:after="0"/>
              <w:rPr>
                <w:sz w:val="12"/>
                <w:szCs w:val="12"/>
                <w:lang w:val="en-US"/>
              </w:rPr>
            </w:pPr>
          </w:p>
        </w:tc>
        <w:tc>
          <w:tcPr>
            <w:tcW w:w="1001"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Employment </w:t>
            </w:r>
          </w:p>
          <w:p w:rsidR="009A6B7B" w:rsidRPr="008741B9" w:rsidRDefault="009A6B7B" w:rsidP="00CE0C14">
            <w:pPr>
              <w:spacing w:after="0"/>
              <w:rPr>
                <w:sz w:val="12"/>
                <w:szCs w:val="12"/>
                <w:lang w:val="en-US"/>
              </w:rPr>
            </w:pPr>
            <w:r w:rsidRPr="008741B9">
              <w:rPr>
                <w:sz w:val="12"/>
                <w:szCs w:val="12"/>
                <w:lang w:val="en-US"/>
              </w:rPr>
              <w:t>(in thousands)</w:t>
            </w:r>
          </w:p>
        </w:tc>
        <w:tc>
          <w:tcPr>
            <w:tcW w:w="842"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Informal employment (in thousands) </w:t>
            </w:r>
          </w:p>
        </w:tc>
        <w:tc>
          <w:tcPr>
            <w:tcW w:w="928"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Distribution of informal employment (%) </w:t>
            </w:r>
          </w:p>
        </w:tc>
        <w:tc>
          <w:tcPr>
            <w:tcW w:w="770"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Informality ratio (%)</w:t>
            </w:r>
          </w:p>
        </w:tc>
        <w:tc>
          <w:tcPr>
            <w:tcW w:w="975"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Employment </w:t>
            </w:r>
          </w:p>
          <w:p w:rsidR="009A6B7B" w:rsidRPr="008741B9" w:rsidRDefault="009A6B7B" w:rsidP="00CE0C14">
            <w:pPr>
              <w:spacing w:after="0"/>
              <w:rPr>
                <w:sz w:val="12"/>
                <w:szCs w:val="12"/>
                <w:lang w:val="en-US"/>
              </w:rPr>
            </w:pPr>
            <w:r w:rsidRPr="008741B9">
              <w:rPr>
                <w:sz w:val="12"/>
                <w:szCs w:val="12"/>
                <w:lang w:val="en-US"/>
              </w:rPr>
              <w:t>(in thousands)</w:t>
            </w:r>
          </w:p>
        </w:tc>
        <w:tc>
          <w:tcPr>
            <w:tcW w:w="907"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Informal employment (in thousands) </w:t>
            </w:r>
          </w:p>
        </w:tc>
        <w:tc>
          <w:tcPr>
            <w:tcW w:w="863"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 xml:space="preserve">Distribution of informal employment (%) </w:t>
            </w:r>
          </w:p>
        </w:tc>
        <w:tc>
          <w:tcPr>
            <w:tcW w:w="773" w:type="dxa"/>
            <w:tcBorders>
              <w:top w:val="nil"/>
              <w:left w:val="nil"/>
              <w:bottom w:val="single" w:sz="4" w:space="0" w:color="auto"/>
              <w:right w:val="single" w:sz="4" w:space="0" w:color="auto"/>
            </w:tcBorders>
            <w:shd w:val="clear" w:color="auto" w:fill="auto"/>
            <w:vAlign w:val="center"/>
            <w:hideMark/>
          </w:tcPr>
          <w:p w:rsidR="009A6B7B" w:rsidRPr="008741B9" w:rsidRDefault="009A6B7B" w:rsidP="00CE0C14">
            <w:pPr>
              <w:spacing w:after="0"/>
              <w:rPr>
                <w:sz w:val="12"/>
                <w:szCs w:val="12"/>
                <w:lang w:val="en-US"/>
              </w:rPr>
            </w:pPr>
            <w:r w:rsidRPr="008741B9">
              <w:rPr>
                <w:sz w:val="12"/>
                <w:szCs w:val="12"/>
                <w:lang w:val="en-US"/>
              </w:rPr>
              <w:t>Informality ratio (%)</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İstanbul</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3708</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1234</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12.8</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33.3</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2883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866</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23.7</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30.1</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İstanbul</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4658</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768</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8.2</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16.5</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3857</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152</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12.8</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Tekirdağ</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529</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230</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43.5</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291</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79</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2.2</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27.0</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Tekirdağ</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692</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212</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30.7</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456</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72</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2.2</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15.8</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 xml:space="preserve">Balıkesir </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549</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306</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55.8</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237</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87</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36.6</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 xml:space="preserve">Balıkesir </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587</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243</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41.4</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304</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62</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1.9</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20.4</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İzmir</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1059</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378</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3.9</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35.7</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743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207</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5.7</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27.8</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İzmir</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1514</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460</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30.4</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1064</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194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6.0</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18.2</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Aydın</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915</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447</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4.6</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48.8</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433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125</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28.9</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Aydın</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1201</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532</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5.7</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44.3</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600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141</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4.3</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23.6</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Manisa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936</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480</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5.0</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51.3</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416</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129</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31.1</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Manisa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1080</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493</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5.3</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45.6</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522</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114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21.9</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Bursa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1112</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450</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4.7</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40.4</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790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237</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6.5</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30.0</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Bursa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1385</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340</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24.6</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1038</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142</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13.7</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Kocaeli</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804</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299</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37.2</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532</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131</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24.6</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Kocaeli</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1340</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433</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32.3</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878</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105</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12.0</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Ankara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1216</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341</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28.1</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950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220</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6.0</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23.1</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Ankara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1667</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268</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16.1</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1369</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137</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4.2</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10.0</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Konya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559</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245</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2.5</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43.8</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88</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31.3</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Konya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757</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333</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44.0</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415</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103</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24.9</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Antalya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808</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339</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42.0</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123</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27.9</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Antalya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1115</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411</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36.9</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628</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110</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3.4</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17.5</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Adana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895</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496</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5.1</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55.4</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551</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261</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7.1</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47.5</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Adana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1203</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529</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44.0</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817</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276</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8.5</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33.8</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Hatay</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706</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443</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4.6</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62.7</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175</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4.8</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49.9</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Hatay</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893</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437</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4.7</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49.0</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536</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183</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5.6</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34.2</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Kırıkkale</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414</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230</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55.5</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51</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31.3</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Kırıkkale</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510</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228</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44.7</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261</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56</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1.7</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21.3</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Kayseri</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593</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284</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48.0</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308</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86</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28.0</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Kayseri</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762</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298</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39.1</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414</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68</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2.1</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16.5</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Zonguldak</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358</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198</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2.1</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55.4</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170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26.3</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Zonguldak</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416</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218</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52.3</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198</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1.1</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18.8</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Kastamonu</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190</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81</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0.8</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42.4</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81</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0,3</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11.3</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Kastamonu</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263</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134</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50.8</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121</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0.6</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16.5</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Samsun</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984</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663</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6.9</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67.4</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322</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137</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42.4</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Samsun</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941</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450</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4.8</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47.8</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100</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22.6</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Trabzon</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1088</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738</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7.6</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67.8</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333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25.2</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Trabzon</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958</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534</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5.7</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55.7</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393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62</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1.9</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15.8</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Erzurum</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365</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262</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71.7</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99</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0,6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23.2</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Erzurum</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313</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154</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49.2</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0.7</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16.2</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Ağrı</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312</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239</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2.5</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76.5</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85</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33</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0,9</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38.7</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Ağrı</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385</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275</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71.4</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41.7</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Malatya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356</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205</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2.1</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57.6</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170</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31.6</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Malatya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618</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362</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3.9</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58.5</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294</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81</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2.5</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27.6</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Van</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362</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275</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76.0</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122</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56</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45.9</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Van</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519</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362</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3.9</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69.7</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274</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139</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4.3</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50.8</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Gaziantep</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474</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279</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58.9</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283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135</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47.7</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Gaziantep</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707</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313</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3.3</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44.2</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459</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146</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31.8</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Şanlıurfa</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477</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373</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3.9</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78.2</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248</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165</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4,5</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66.4</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Şanlıurfa</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664</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409</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4.4</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61.6</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416</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201</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6.2</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48.4</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 xml:space="preserve">Mardin </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296</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151</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51.1</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154</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54</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1,5</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35.3</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 xml:space="preserve">Mardin </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373</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183</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49.2</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293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125</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3.8</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42.5</w:t>
            </w:r>
          </w:p>
        </w:tc>
      </w:tr>
      <w:tr w:rsidR="009A6B7B" w:rsidRPr="008741B9" w:rsidTr="00CE0C14">
        <w:trPr>
          <w:trHeight w:val="22"/>
          <w:jc w:val="center"/>
        </w:trPr>
        <w:tc>
          <w:tcPr>
            <w:tcW w:w="1018"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 xml:space="preserve">Turkey </w:t>
            </w:r>
          </w:p>
        </w:tc>
        <w:tc>
          <w:tcPr>
            <w:tcW w:w="84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20066</w:t>
            </w:r>
          </w:p>
        </w:tc>
        <w:tc>
          <w:tcPr>
            <w:tcW w:w="89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9666</w:t>
            </w:r>
          </w:p>
        </w:tc>
        <w:tc>
          <w:tcPr>
            <w:tcW w:w="959"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100.0</w:t>
            </w:r>
          </w:p>
        </w:tc>
        <w:tc>
          <w:tcPr>
            <w:tcW w:w="76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48.2</w:t>
            </w:r>
          </w:p>
        </w:tc>
        <w:tc>
          <w:tcPr>
            <w:tcW w:w="814"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11435</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3658</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100,0</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32.0</w:t>
            </w:r>
          </w:p>
        </w:tc>
        <w:tc>
          <w:tcPr>
            <w:tcW w:w="831" w:type="dxa"/>
            <w:tcBorders>
              <w:top w:val="nil"/>
              <w:left w:val="nil"/>
              <w:bottom w:val="single" w:sz="4" w:space="0" w:color="auto"/>
              <w:right w:val="single" w:sz="4" w:space="0" w:color="auto"/>
            </w:tcBorders>
            <w:shd w:val="clear" w:color="auto" w:fill="auto"/>
            <w:hideMark/>
          </w:tcPr>
          <w:p w:rsidR="009A6B7B" w:rsidRPr="008741B9" w:rsidRDefault="009A6B7B" w:rsidP="00CE0C14">
            <w:pPr>
              <w:spacing w:after="0"/>
              <w:rPr>
                <w:sz w:val="12"/>
                <w:szCs w:val="12"/>
                <w:lang w:val="en-US"/>
              </w:rPr>
            </w:pPr>
            <w:r w:rsidRPr="008741B9">
              <w:rPr>
                <w:sz w:val="12"/>
                <w:szCs w:val="12"/>
                <w:lang w:val="en-US"/>
              </w:rPr>
              <w:t xml:space="preserve">Toplam </w:t>
            </w:r>
          </w:p>
        </w:tc>
        <w:tc>
          <w:tcPr>
            <w:tcW w:w="1001"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25524</w:t>
            </w:r>
          </w:p>
        </w:tc>
        <w:tc>
          <w:tcPr>
            <w:tcW w:w="842"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9379</w:t>
            </w:r>
          </w:p>
        </w:tc>
        <w:tc>
          <w:tcPr>
            <w:tcW w:w="928"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100.0</w:t>
            </w:r>
          </w:p>
        </w:tc>
        <w:tc>
          <w:tcPr>
            <w:tcW w:w="77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36.8</w:t>
            </w:r>
          </w:p>
        </w:tc>
        <w:tc>
          <w:tcPr>
            <w:tcW w:w="975"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16353</w:t>
            </w:r>
          </w:p>
        </w:tc>
        <w:tc>
          <w:tcPr>
            <w:tcW w:w="907"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3258</w:t>
            </w:r>
          </w:p>
        </w:tc>
        <w:tc>
          <w:tcPr>
            <w:tcW w:w="86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jc w:val="right"/>
              <w:rPr>
                <w:sz w:val="12"/>
                <w:szCs w:val="12"/>
                <w:lang w:val="en-US"/>
              </w:rPr>
            </w:pPr>
            <w:r w:rsidRPr="008741B9">
              <w:rPr>
                <w:sz w:val="12"/>
                <w:szCs w:val="12"/>
                <w:lang w:val="en-US"/>
              </w:rPr>
              <w:t>100.0</w:t>
            </w:r>
          </w:p>
        </w:tc>
        <w:tc>
          <w:tcPr>
            <w:tcW w:w="773"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keepNext/>
              <w:spacing w:after="0"/>
              <w:jc w:val="right"/>
              <w:rPr>
                <w:sz w:val="12"/>
                <w:szCs w:val="12"/>
                <w:lang w:val="en-US"/>
              </w:rPr>
            </w:pPr>
            <w:r w:rsidRPr="008741B9">
              <w:rPr>
                <w:sz w:val="12"/>
                <w:szCs w:val="12"/>
                <w:lang w:val="en-US"/>
              </w:rPr>
              <w:t>19.9</w:t>
            </w:r>
          </w:p>
        </w:tc>
      </w:tr>
    </w:tbl>
    <w:p w:rsidR="009A6B7B" w:rsidRPr="008741B9" w:rsidRDefault="009A6B7B" w:rsidP="009A6B7B">
      <w:pPr>
        <w:pStyle w:val="Caption"/>
        <w:rPr>
          <w:b w:val="0"/>
          <w:color w:val="auto"/>
          <w:sz w:val="16"/>
          <w:szCs w:val="16"/>
          <w:lang w:val="en-US"/>
        </w:rPr>
      </w:pPr>
      <w:r w:rsidRPr="008741B9">
        <w:rPr>
          <w:b w:val="0"/>
          <w:color w:val="auto"/>
          <w:sz w:val="16"/>
          <w:szCs w:val="16"/>
          <w:lang w:val="en-US"/>
        </w:rPr>
        <w:t xml:space="preserve">Source: TurkStat 2005 and 2013 Household Labor Survey; BETAM </w:t>
      </w:r>
    </w:p>
    <w:p w:rsidR="009A6B7B" w:rsidRPr="008741B9" w:rsidRDefault="009A6B7B" w:rsidP="009A6B7B">
      <w:pPr>
        <w:pStyle w:val="Caption"/>
        <w:keepNext/>
        <w:rPr>
          <w:color w:val="FF0000"/>
          <w:sz w:val="22"/>
          <w:szCs w:val="22"/>
          <w:lang w:val="en-US"/>
        </w:rPr>
      </w:pPr>
    </w:p>
    <w:p w:rsidR="009A6B7B" w:rsidRPr="008741B9" w:rsidRDefault="009A6B7B" w:rsidP="009A6B7B">
      <w:pPr>
        <w:rPr>
          <w:lang w:val="en-US"/>
        </w:rPr>
      </w:pPr>
    </w:p>
    <w:p w:rsidR="009A6B7B" w:rsidRPr="008741B9" w:rsidRDefault="009A6B7B" w:rsidP="009A6B7B">
      <w:pPr>
        <w:rPr>
          <w:lang w:val="en-US"/>
        </w:rPr>
      </w:pPr>
    </w:p>
    <w:p w:rsidR="009A6B7B" w:rsidRPr="008741B9" w:rsidRDefault="009A6B7B" w:rsidP="009A6B7B">
      <w:pPr>
        <w:rPr>
          <w:lang w:val="en-US"/>
        </w:rPr>
      </w:pPr>
    </w:p>
    <w:p w:rsidR="009A6B7B" w:rsidRPr="008741B9" w:rsidRDefault="009A6B7B" w:rsidP="009A6B7B">
      <w:pPr>
        <w:rPr>
          <w:lang w:val="en-US"/>
        </w:rPr>
      </w:pPr>
    </w:p>
    <w:p w:rsidR="009A6B7B" w:rsidRPr="008741B9" w:rsidRDefault="009A6B7B" w:rsidP="009A6B7B">
      <w:pPr>
        <w:rPr>
          <w:lang w:val="en-US"/>
        </w:rPr>
      </w:pPr>
    </w:p>
    <w:p w:rsidR="009A6B7B" w:rsidRPr="008741B9" w:rsidRDefault="009A6B7B" w:rsidP="009A6B7B">
      <w:pPr>
        <w:pStyle w:val="Caption"/>
        <w:keepNext/>
        <w:rPr>
          <w:color w:val="auto"/>
          <w:sz w:val="22"/>
          <w:szCs w:val="22"/>
          <w:lang w:val="en-US"/>
        </w:rPr>
      </w:pPr>
      <w:r w:rsidRPr="008741B9">
        <w:rPr>
          <w:color w:val="auto"/>
          <w:sz w:val="22"/>
          <w:szCs w:val="22"/>
          <w:lang w:val="en-US"/>
        </w:rPr>
        <w:t xml:space="preserve">A. Table </w:t>
      </w:r>
      <w:r w:rsidR="000B5988" w:rsidRPr="008741B9">
        <w:rPr>
          <w:color w:val="auto"/>
          <w:sz w:val="22"/>
          <w:szCs w:val="22"/>
          <w:lang w:val="en-US"/>
        </w:rPr>
        <w:fldChar w:fldCharType="begin"/>
      </w:r>
      <w:r w:rsidRPr="008741B9">
        <w:rPr>
          <w:color w:val="auto"/>
          <w:sz w:val="22"/>
          <w:szCs w:val="22"/>
          <w:lang w:val="en-US"/>
        </w:rPr>
        <w:instrText xml:space="preserve"> SEQ Ek_Tablo \* ARABIC </w:instrText>
      </w:r>
      <w:r w:rsidR="000B5988" w:rsidRPr="008741B9">
        <w:rPr>
          <w:color w:val="auto"/>
          <w:sz w:val="22"/>
          <w:szCs w:val="22"/>
          <w:lang w:val="en-US"/>
        </w:rPr>
        <w:fldChar w:fldCharType="separate"/>
      </w:r>
      <w:r w:rsidRPr="008741B9">
        <w:rPr>
          <w:noProof/>
          <w:color w:val="auto"/>
          <w:sz w:val="22"/>
          <w:szCs w:val="22"/>
          <w:lang w:val="en-US"/>
        </w:rPr>
        <w:t>2</w:t>
      </w:r>
      <w:r w:rsidR="000B5988" w:rsidRPr="008741B9">
        <w:rPr>
          <w:color w:val="auto"/>
          <w:sz w:val="22"/>
          <w:szCs w:val="22"/>
          <w:lang w:val="en-US"/>
        </w:rPr>
        <w:fldChar w:fldCharType="end"/>
      </w:r>
      <w:r w:rsidRPr="008741B9">
        <w:rPr>
          <w:color w:val="auto"/>
          <w:sz w:val="22"/>
          <w:szCs w:val="22"/>
          <w:lang w:val="en-US"/>
        </w:rPr>
        <w:t xml:space="preserve">: 2005-2013 Average education, average firm size and shares of sectors in employment by regions </w:t>
      </w:r>
    </w:p>
    <w:tbl>
      <w:tblPr>
        <w:tblW w:w="12860" w:type="dxa"/>
        <w:tblInd w:w="57" w:type="dxa"/>
        <w:tblCellMar>
          <w:left w:w="70" w:type="dxa"/>
          <w:right w:w="70" w:type="dxa"/>
        </w:tblCellMar>
        <w:tblLook w:val="04A0" w:firstRow="1" w:lastRow="0" w:firstColumn="1" w:lastColumn="0" w:noHBand="0" w:noVBand="1"/>
      </w:tblPr>
      <w:tblGrid>
        <w:gridCol w:w="1340"/>
        <w:gridCol w:w="960"/>
        <w:gridCol w:w="960"/>
        <w:gridCol w:w="960"/>
        <w:gridCol w:w="960"/>
        <w:gridCol w:w="960"/>
        <w:gridCol w:w="960"/>
        <w:gridCol w:w="960"/>
        <w:gridCol w:w="960"/>
        <w:gridCol w:w="960"/>
        <w:gridCol w:w="960"/>
        <w:gridCol w:w="960"/>
        <w:gridCol w:w="960"/>
      </w:tblGrid>
      <w:tr w:rsidR="009A6B7B" w:rsidRPr="008741B9" w:rsidTr="00CE0C14">
        <w:trPr>
          <w:trHeight w:val="227"/>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B7B" w:rsidRPr="008741B9" w:rsidRDefault="009A6B7B" w:rsidP="00CE0C14">
            <w:pPr>
              <w:spacing w:after="0" w:line="240" w:lineRule="auto"/>
              <w:rPr>
                <w:sz w:val="18"/>
                <w:szCs w:val="18"/>
                <w:lang w:val="en-US"/>
              </w:rPr>
            </w:pPr>
            <w:r w:rsidRPr="008741B9">
              <w:rPr>
                <w:sz w:val="18"/>
                <w:szCs w:val="18"/>
                <w:lang w:val="en-US"/>
              </w:rPr>
              <w:t>Regions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Firm size  (workers)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Education (years)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 xml:space="preserve">Share of manufacturing in wage earner employment (%)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 xml:space="preserve">Share of agriculture in wage earner employment (%)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 xml:space="preserve">Share of construction in wage earner employment (%)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 xml:space="preserve">Share of services in wage earner employment (%)  </w:t>
            </w:r>
          </w:p>
        </w:tc>
      </w:tr>
      <w:tr w:rsidR="009A6B7B" w:rsidRPr="008741B9" w:rsidTr="00CE0C14">
        <w:trPr>
          <w:trHeight w:val="22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9A6B7B" w:rsidRPr="008741B9" w:rsidRDefault="009A6B7B" w:rsidP="00CE0C14">
            <w:pPr>
              <w:spacing w:after="0" w:line="240" w:lineRule="auto"/>
              <w:rPr>
                <w:sz w:val="18"/>
                <w:szCs w:val="18"/>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2013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2013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2013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2013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2013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center"/>
              <w:rPr>
                <w:sz w:val="18"/>
                <w:szCs w:val="18"/>
                <w:lang w:val="en-US"/>
              </w:rPr>
            </w:pPr>
            <w:r w:rsidRPr="008741B9">
              <w:rPr>
                <w:sz w:val="18"/>
                <w:szCs w:val="18"/>
                <w:lang w:val="en-US"/>
              </w:rPr>
              <w:t>2013</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İstanbul</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853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40.8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31.3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0.1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0.2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54.2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62.9</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Tekirdağ</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137.6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170.3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37.4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42.7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55.9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50.0</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 xml:space="preserve">Balıkesir </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66.1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103.1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20.1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22.6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56.6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62.3</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İzmir</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106.6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111.1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30.2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52.2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60.4</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Aydın</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77.8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23.0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56.5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59.4</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Manisa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95.9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91.0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33.9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33.3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51.4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49.7</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Bursa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137.1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159.5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50.7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43.2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40.7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48.8</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Kocaeli</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137.2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177.6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39.0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38.3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0.9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52.8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54.0</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Ankara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130.1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171.9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0.7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0.6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75.1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75.2</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Konya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64.6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23.2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27.1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62.6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58.2</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Antalya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82.6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101.9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11.7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74.2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75.7</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Adana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66.0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71.1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21.9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11.3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11.4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60.6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60.0</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Hatay</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74.0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93.3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22.8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24.5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14.6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58.6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53.9</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Kırıkkale</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81.2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19.5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66.5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70.0</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Kayseri</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101.7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104.0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27.8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24.5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59.1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60.5</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Zonguldak</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140.2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134.6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39.9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31.9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0.8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52.2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59.6</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Kastamonu</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81.0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81.1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21.5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23.2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68.3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64.0</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Samsun</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55.4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99.5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19.2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18.1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15.5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65.0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63.4</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Trabzon</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74.4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58.0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14.7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73.8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70.7</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Erzurum</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80.2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85.0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81.9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78.2</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Ağrı</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49.9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41.4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27.5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59.7</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Malatya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80.0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16.4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72.3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63.1</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Van</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88.9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48.6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11.6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12.7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28.3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70.3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59.5</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Gaziantep</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72.8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85.1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37.3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32.4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12.5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46.1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52.3</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Şanlıurfa</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44.5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59.6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7.9</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10.7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22.6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12.1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14.6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20.3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54.1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56.9</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 xml:space="preserve">Mardin </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44.3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46.7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15.5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13.5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4.2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17.2</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71.6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64.1</w:t>
            </w:r>
          </w:p>
        </w:tc>
      </w:tr>
      <w:tr w:rsidR="009A6B7B" w:rsidRPr="008741B9" w:rsidTr="00CE0C14">
        <w:trPr>
          <w:trHeight w:val="227"/>
        </w:trPr>
        <w:tc>
          <w:tcPr>
            <w:tcW w:w="1340" w:type="dxa"/>
            <w:tcBorders>
              <w:top w:val="nil"/>
              <w:left w:val="single" w:sz="4" w:space="0" w:color="auto"/>
              <w:bottom w:val="single" w:sz="4" w:space="0" w:color="auto"/>
              <w:right w:val="single" w:sz="4" w:space="0" w:color="auto"/>
            </w:tcBorders>
            <w:shd w:val="clear" w:color="auto" w:fill="auto"/>
            <w:hideMark/>
          </w:tcPr>
          <w:p w:rsidR="009A6B7B" w:rsidRPr="008741B9" w:rsidRDefault="009A6B7B" w:rsidP="00CE0C14">
            <w:pPr>
              <w:spacing w:after="0" w:line="240" w:lineRule="auto"/>
              <w:rPr>
                <w:sz w:val="18"/>
                <w:szCs w:val="18"/>
                <w:lang w:val="en-US"/>
              </w:rPr>
            </w:pPr>
            <w:r w:rsidRPr="008741B9">
              <w:rPr>
                <w:sz w:val="18"/>
                <w:szCs w:val="18"/>
                <w:lang w:val="en-US"/>
              </w:rPr>
              <w:t>Turkey</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86.3</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97.8</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30.5</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26.1</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3.7</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3.6</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7.4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spacing w:after="0" w:line="240" w:lineRule="auto"/>
              <w:jc w:val="right"/>
              <w:rPr>
                <w:sz w:val="18"/>
                <w:szCs w:val="18"/>
                <w:lang w:val="en-US"/>
              </w:rPr>
            </w:pPr>
            <w:r w:rsidRPr="008741B9">
              <w:rPr>
                <w:sz w:val="18"/>
                <w:szCs w:val="18"/>
                <w:lang w:val="en-US"/>
              </w:rPr>
              <w:t>58.4</w:t>
            </w:r>
          </w:p>
        </w:tc>
        <w:tc>
          <w:tcPr>
            <w:tcW w:w="960" w:type="dxa"/>
            <w:tcBorders>
              <w:top w:val="nil"/>
              <w:left w:val="nil"/>
              <w:bottom w:val="single" w:sz="4" w:space="0" w:color="auto"/>
              <w:right w:val="single" w:sz="4" w:space="0" w:color="auto"/>
            </w:tcBorders>
            <w:shd w:val="clear" w:color="auto" w:fill="auto"/>
            <w:noWrap/>
            <w:vAlign w:val="bottom"/>
            <w:hideMark/>
          </w:tcPr>
          <w:p w:rsidR="009A6B7B" w:rsidRPr="008741B9" w:rsidRDefault="009A6B7B" w:rsidP="00CE0C14">
            <w:pPr>
              <w:keepNext/>
              <w:spacing w:after="0" w:line="240" w:lineRule="auto"/>
              <w:jc w:val="right"/>
              <w:rPr>
                <w:sz w:val="18"/>
                <w:szCs w:val="18"/>
                <w:lang w:val="en-US"/>
              </w:rPr>
            </w:pPr>
            <w:r w:rsidRPr="008741B9">
              <w:rPr>
                <w:sz w:val="18"/>
                <w:szCs w:val="18"/>
                <w:lang w:val="en-US"/>
              </w:rPr>
              <w:t>61.3</w:t>
            </w:r>
          </w:p>
        </w:tc>
      </w:tr>
    </w:tbl>
    <w:p w:rsidR="009A6B7B" w:rsidRPr="008741B9" w:rsidRDefault="009A6B7B" w:rsidP="009A6B7B">
      <w:pPr>
        <w:pStyle w:val="Caption"/>
        <w:rPr>
          <w:b w:val="0"/>
          <w:color w:val="auto"/>
          <w:lang w:val="en-US"/>
        </w:rPr>
      </w:pPr>
      <w:r w:rsidRPr="008741B9">
        <w:rPr>
          <w:b w:val="0"/>
          <w:color w:val="auto"/>
          <w:lang w:val="en-US"/>
        </w:rPr>
        <w:t xml:space="preserve">Source: TurkStat 2005 and 2013 Household Labor Survey; BETAM </w:t>
      </w:r>
    </w:p>
    <w:sectPr w:rsidR="009A6B7B" w:rsidRPr="008741B9" w:rsidSect="009A6B7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A5" w:rsidRDefault="00AC33A5" w:rsidP="00DF532A">
      <w:pPr>
        <w:spacing w:after="0" w:line="240" w:lineRule="auto"/>
      </w:pPr>
      <w:r>
        <w:separator/>
      </w:r>
    </w:p>
  </w:endnote>
  <w:endnote w:type="continuationSeparator" w:id="0">
    <w:p w:rsidR="00AC33A5" w:rsidRDefault="00AC33A5" w:rsidP="00DF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A5" w:rsidRDefault="00AC33A5" w:rsidP="00DF532A">
      <w:pPr>
        <w:spacing w:after="0" w:line="240" w:lineRule="auto"/>
      </w:pPr>
      <w:r>
        <w:separator/>
      </w:r>
    </w:p>
  </w:footnote>
  <w:footnote w:type="continuationSeparator" w:id="0">
    <w:p w:rsidR="00AC33A5" w:rsidRDefault="00AC33A5" w:rsidP="00DF532A">
      <w:pPr>
        <w:spacing w:after="0" w:line="240" w:lineRule="auto"/>
      </w:pPr>
      <w:r>
        <w:continuationSeparator/>
      </w:r>
    </w:p>
  </w:footnote>
  <w:footnote w:id="1">
    <w:p w:rsidR="003B5BD6" w:rsidRPr="003E23E2" w:rsidRDefault="003B5BD6" w:rsidP="00DF532A">
      <w:pPr>
        <w:pStyle w:val="FootnoteText"/>
      </w:pPr>
      <w:r w:rsidRPr="003E23E2">
        <w:rPr>
          <w:rStyle w:val="FootnoteReference"/>
        </w:rPr>
        <w:sym w:font="Symbol" w:char="F02A"/>
      </w:r>
      <w:r w:rsidRPr="003E23E2">
        <w:t xml:space="preserve"> </w:t>
      </w:r>
      <w:r w:rsidRPr="003E23E2">
        <w:rPr>
          <w:rFonts w:ascii="Arial" w:hAnsi="Arial" w:cs="Arial"/>
          <w:sz w:val="16"/>
          <w:szCs w:val="16"/>
        </w:rPr>
        <w:t>Prof. Dr. Seyfettin Gürsel, Betam, Director, seyfettin.gursel@eas.bahcesehir.edu.tr</w:t>
      </w:r>
    </w:p>
  </w:footnote>
  <w:footnote w:id="2">
    <w:p w:rsidR="003B5BD6" w:rsidRPr="003E23E2" w:rsidRDefault="003B5BD6" w:rsidP="00DF532A">
      <w:pPr>
        <w:pStyle w:val="FootnoteText"/>
      </w:pPr>
      <w:r w:rsidRPr="003E23E2">
        <w:rPr>
          <w:rStyle w:val="FootnoteReference"/>
        </w:rPr>
        <w:t>**</w:t>
      </w:r>
      <w:r w:rsidRPr="003E23E2">
        <w:rPr>
          <w:rFonts w:ascii="Arial" w:hAnsi="Arial" w:cs="Arial"/>
          <w:sz w:val="16"/>
          <w:szCs w:val="16"/>
        </w:rPr>
        <w:t>Mine Durmaz, Betam, Research Assistant, mine.durmaz@eas.bahcesehir.edu.tr</w:t>
      </w:r>
    </w:p>
  </w:footnote>
  <w:footnote w:id="3">
    <w:p w:rsidR="003B5BD6" w:rsidRPr="00AF32B2" w:rsidRDefault="003B5BD6" w:rsidP="00DF532A">
      <w:pPr>
        <w:pStyle w:val="FootnoteText"/>
        <w:jc w:val="both"/>
        <w:rPr>
          <w:sz w:val="16"/>
          <w:szCs w:val="16"/>
        </w:rPr>
      </w:pPr>
      <w:r w:rsidRPr="00DF532A">
        <w:rPr>
          <w:rStyle w:val="FootnoteReference"/>
        </w:rPr>
        <w:footnoteRef/>
      </w:r>
      <w:r w:rsidRPr="00DF532A">
        <w:rPr>
          <w:sz w:val="16"/>
          <w:szCs w:val="16"/>
        </w:rPr>
        <w:t>Cities in the regions</w:t>
      </w:r>
      <w:r w:rsidRPr="00AF32B2">
        <w:rPr>
          <w:sz w:val="16"/>
          <w:szCs w:val="16"/>
        </w:rPr>
        <w:t xml:space="preserve">: İstanbul (İstanbul), Tekirdağ (Edirne, Tekirdağ, Kırklareli), Balıkesir (Balıkesir, Çanakkale), İzmir (İzmir), Aydın (Denizli, Aydın, Muğla), Manisa (Manisa, Afyonkarahisar, Kütahya, Uşak), Bursa (Bursa, Eskişehir, Bilecik), Kocaeli (Kocaeli, Sakarya, Düzce, Bolu, Yalova), Ankara (Ankara), Konya (Konya, Karaman), Antalya (Antalya, Isparta, Burdur), Adana (Adana, Mersin), Hatay (Hatay, Kahramanmaraş, Osmaniye), Kırıkkale (Nevşehir, Aksaray, Niğde, Kırıkkale, Kırşehir), Kayseri (Kayseri, Sivas, Yozgat), Zonguldak (Zonguldak, Karabük, Bartın), Kastamonu (Kastamonu, Çankırı, Sinop), Samsun (Samsun, Tokat, Çorum, Amasya), Trabzon (Trabzon, Ordu, Giresun, Rize, Artvin, Gümüşhane), Erzurum (Erzurum, Erzincan, Bayburt), Ağrı (Kars, Ağrı, Iğdır, Ardahan), Malatya (Malatya, Elazığ, Bingöl, Tunceli), Van (Van, Muş, Bitlis, Hakkâri), Gaziantep (Gaziantep, Adıyaman, Kilis), Şanlıurfa (Diyarbakır, Şanlıurfa), Mardin (Siirt, Mardin, Batman, Şırnak). </w:t>
      </w:r>
    </w:p>
    <w:p w:rsidR="003B5BD6" w:rsidRPr="00DE685A" w:rsidRDefault="003B5BD6" w:rsidP="00DF532A">
      <w:pPr>
        <w:pStyle w:val="FootnoteText"/>
        <w:rPr>
          <w:color w:val="76923C"/>
        </w:rPr>
      </w:pPr>
    </w:p>
  </w:footnote>
  <w:footnote w:id="4">
    <w:p w:rsidR="003B5BD6" w:rsidRDefault="003B5BD6">
      <w:pPr>
        <w:pStyle w:val="FootnoteText"/>
      </w:pPr>
      <w:r>
        <w:rPr>
          <w:rStyle w:val="FootnoteReference"/>
        </w:rPr>
        <w:footnoteRef/>
      </w:r>
      <w:r>
        <w:t xml:space="preserve"> </w:t>
      </w:r>
      <w:r>
        <w:rPr>
          <w:sz w:val="16"/>
          <w:szCs w:val="16"/>
        </w:rPr>
        <w:t>Gürsel S. and</w:t>
      </w:r>
      <w:r w:rsidRPr="00DF532A">
        <w:rPr>
          <w:sz w:val="16"/>
          <w:szCs w:val="16"/>
        </w:rPr>
        <w:t xml:space="preserve"> Durmaz M. (2014) “Informal Employment Decreased in the Last Eight Years”, Research Brief  # 171, Bahçeşehir University Center for Social and Economic Research (BETAM)</w:t>
      </w:r>
    </w:p>
  </w:footnote>
  <w:footnote w:id="5">
    <w:p w:rsidR="003B5BD6" w:rsidRPr="003D3C29" w:rsidRDefault="003B5BD6">
      <w:pPr>
        <w:pStyle w:val="FootnoteText"/>
      </w:pPr>
      <w:r>
        <w:rPr>
          <w:rStyle w:val="FootnoteReference"/>
        </w:rPr>
        <w:footnoteRef/>
      </w:r>
      <w:r>
        <w:t xml:space="preserve"> </w:t>
      </w:r>
      <w:r w:rsidRPr="00E25391">
        <w:rPr>
          <w:sz w:val="16"/>
          <w:szCs w:val="16"/>
        </w:rPr>
        <w:t>In HIA micro dataset</w:t>
      </w:r>
      <w:r>
        <w:rPr>
          <w:sz w:val="16"/>
          <w:szCs w:val="16"/>
        </w:rPr>
        <w:t xml:space="preserve">, individuals' education level reported as the last education institution they graduated. In micro dataset, "Education" variable has seven categories as follows: below the school age (0), hasn't graduated from any institution (1), primary school (2), Junior high school and vocational junior high school (3), High school (4), Vocational or technical high school (5), University or more (6).We assume that average years of schooling for each category is 0; 3; 5; 8; 11; 11; 15 respectively.  </w:t>
      </w:r>
    </w:p>
  </w:footnote>
  <w:footnote w:id="6">
    <w:p w:rsidR="003B5BD6" w:rsidRPr="000713E1" w:rsidRDefault="003B5BD6" w:rsidP="00185270">
      <w:pPr>
        <w:pStyle w:val="FootnoteText"/>
        <w:keepLines/>
        <w:contextualSpacing/>
        <w:jc w:val="both"/>
        <w:rPr>
          <w:sz w:val="16"/>
          <w:szCs w:val="16"/>
        </w:rPr>
      </w:pPr>
      <w:r w:rsidRPr="00FA4CE1">
        <w:rPr>
          <w:rStyle w:val="FootnoteReference"/>
        </w:rPr>
        <w:footnoteRef/>
      </w:r>
      <w:r w:rsidRPr="00FA4CE1">
        <w:t xml:space="preserve"> </w:t>
      </w:r>
      <w:r w:rsidRPr="000713E1">
        <w:rPr>
          <w:sz w:val="16"/>
          <w:szCs w:val="16"/>
        </w:rPr>
        <w:t>Since firm numbers according to size groups in regions are not available, in order to estimate average firm size we make the follow</w:t>
      </w:r>
      <w:r>
        <w:rPr>
          <w:sz w:val="16"/>
          <w:szCs w:val="16"/>
        </w:rPr>
        <w:t>ing estimation. In HLS, TurkStat</w:t>
      </w:r>
      <w:r w:rsidRPr="000713E1">
        <w:rPr>
          <w:sz w:val="16"/>
          <w:szCs w:val="16"/>
        </w:rPr>
        <w:t xml:space="preserve"> ask</w:t>
      </w:r>
      <w:r>
        <w:rPr>
          <w:sz w:val="16"/>
          <w:szCs w:val="16"/>
        </w:rPr>
        <w:t>s</w:t>
      </w:r>
      <w:r w:rsidRPr="000713E1">
        <w:rPr>
          <w:sz w:val="16"/>
          <w:szCs w:val="16"/>
        </w:rPr>
        <w:t xml:space="preserve"> survey participants the number of employees at their current workplaces. In micro dataset, “number of employees” variable has six categories: Less than 10, 10-24, 25-49, 50-249,250-499, and 500 and mor</w:t>
      </w:r>
      <w:r>
        <w:rPr>
          <w:sz w:val="16"/>
          <w:szCs w:val="16"/>
        </w:rPr>
        <w:t>e workers. In order to obtain a</w:t>
      </w:r>
      <w:r w:rsidRPr="000713E1">
        <w:rPr>
          <w:sz w:val="16"/>
          <w:szCs w:val="16"/>
        </w:rPr>
        <w:t xml:space="preserve"> </w:t>
      </w:r>
      <w:r>
        <w:rPr>
          <w:sz w:val="16"/>
          <w:szCs w:val="16"/>
        </w:rPr>
        <w:t xml:space="preserve">variable of </w:t>
      </w:r>
      <w:r w:rsidRPr="000713E1">
        <w:rPr>
          <w:sz w:val="16"/>
          <w:szCs w:val="16"/>
        </w:rPr>
        <w:t>average firm size we rely on two assumptions: 1) Middle-values in the categories of firm size are converging to average number of employees per firm. 2) For each category of firm size</w:t>
      </w:r>
      <w:r>
        <w:rPr>
          <w:sz w:val="16"/>
          <w:szCs w:val="16"/>
        </w:rPr>
        <w:t>,</w:t>
      </w:r>
      <w:r w:rsidRPr="000713E1">
        <w:rPr>
          <w:sz w:val="16"/>
          <w:szCs w:val="16"/>
        </w:rPr>
        <w:t xml:space="preserve"> its share in total number firms is approximately equal to its employment share in total employment. Under these assumptions, we can proof that average firm size in a category equals to the multiplication of middle-values and its employment share (employment /number of firms). For first five groups middle-values are 5, 17, 37, 150, and 375. For the 6th category (500+) we assumed that its middle-value is ad hoc 600 (see footnote 4). Afterwards, if we divide employment in a category within a region by total employment in this region we obtain regional share of this category of the firm size and we multiply these shares by converging average number of employees. Then, we sum these factors in order to find the estimated average firm size within a region. For example, average firm size in 2005 and in 2013 for Istanbul province are calculated as follows: In 2005 in Istanbul employment share of categories of firm size are 0.29; 0.14; 0.21; 0.31; 0.03 and 0.03 respectively. When first these weights multiplied by middle-values and then summed within Istanbul, we observe that a representative firm in Istanbul employs 85.3 workers on average. Average firm size in Istanbul increased to 100.5 workers in 2013. Thus, average firm size in Istanbul increased by 18 percent between the years of 2005 and 2013. Since we compute the correlation between changes in average firm sizes and informality rates at regional levels, we may expect that errors resulting from our assumptions are minimized.  </w:t>
      </w:r>
    </w:p>
    <w:p w:rsidR="003B5BD6" w:rsidRPr="00FA4CE1" w:rsidRDefault="003B5BD6" w:rsidP="00185270">
      <w:pPr>
        <w:pStyle w:val="FootnoteText"/>
        <w:keepLine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2A"/>
    <w:rsid w:val="00002B1D"/>
    <w:rsid w:val="00063DCD"/>
    <w:rsid w:val="00097D4D"/>
    <w:rsid w:val="000B4418"/>
    <w:rsid w:val="000B5988"/>
    <w:rsid w:val="000D5866"/>
    <w:rsid w:val="000D5884"/>
    <w:rsid w:val="001054A0"/>
    <w:rsid w:val="001103D0"/>
    <w:rsid w:val="00124254"/>
    <w:rsid w:val="00163289"/>
    <w:rsid w:val="00170F0E"/>
    <w:rsid w:val="001718FE"/>
    <w:rsid w:val="00185270"/>
    <w:rsid w:val="001A3E86"/>
    <w:rsid w:val="001C4A85"/>
    <w:rsid w:val="001E01B3"/>
    <w:rsid w:val="001F5699"/>
    <w:rsid w:val="00223520"/>
    <w:rsid w:val="002640C6"/>
    <w:rsid w:val="00274217"/>
    <w:rsid w:val="002840C4"/>
    <w:rsid w:val="002B7DA1"/>
    <w:rsid w:val="003026AF"/>
    <w:rsid w:val="00331AA1"/>
    <w:rsid w:val="003B5BD6"/>
    <w:rsid w:val="003D3C29"/>
    <w:rsid w:val="00430419"/>
    <w:rsid w:val="00450EB0"/>
    <w:rsid w:val="00473070"/>
    <w:rsid w:val="004903F9"/>
    <w:rsid w:val="004935CB"/>
    <w:rsid w:val="004E4C3A"/>
    <w:rsid w:val="0050585C"/>
    <w:rsid w:val="00513B31"/>
    <w:rsid w:val="00555E8E"/>
    <w:rsid w:val="00595007"/>
    <w:rsid w:val="005B4189"/>
    <w:rsid w:val="00616F19"/>
    <w:rsid w:val="00622E03"/>
    <w:rsid w:val="00637EC2"/>
    <w:rsid w:val="00654D08"/>
    <w:rsid w:val="00672EA7"/>
    <w:rsid w:val="00697194"/>
    <w:rsid w:val="006B2DEA"/>
    <w:rsid w:val="006B61CF"/>
    <w:rsid w:val="006F66F6"/>
    <w:rsid w:val="00706616"/>
    <w:rsid w:val="007530CB"/>
    <w:rsid w:val="0076798F"/>
    <w:rsid w:val="007826D8"/>
    <w:rsid w:val="007C28A4"/>
    <w:rsid w:val="007D2079"/>
    <w:rsid w:val="007D3342"/>
    <w:rsid w:val="007D6BE7"/>
    <w:rsid w:val="007E11EF"/>
    <w:rsid w:val="00837C3D"/>
    <w:rsid w:val="008741B9"/>
    <w:rsid w:val="008B5322"/>
    <w:rsid w:val="008C5D70"/>
    <w:rsid w:val="008D03A9"/>
    <w:rsid w:val="008D1D6B"/>
    <w:rsid w:val="00926AA0"/>
    <w:rsid w:val="009429ED"/>
    <w:rsid w:val="009717CD"/>
    <w:rsid w:val="00985ABD"/>
    <w:rsid w:val="009A6B7B"/>
    <w:rsid w:val="00A32B29"/>
    <w:rsid w:val="00A4081F"/>
    <w:rsid w:val="00A852D4"/>
    <w:rsid w:val="00A8539E"/>
    <w:rsid w:val="00AA1988"/>
    <w:rsid w:val="00AC33A5"/>
    <w:rsid w:val="00AF2F3B"/>
    <w:rsid w:val="00B16C02"/>
    <w:rsid w:val="00B67B23"/>
    <w:rsid w:val="00B76659"/>
    <w:rsid w:val="00C06FAB"/>
    <w:rsid w:val="00C271CF"/>
    <w:rsid w:val="00C518E9"/>
    <w:rsid w:val="00C74DA1"/>
    <w:rsid w:val="00CA258E"/>
    <w:rsid w:val="00CB01B1"/>
    <w:rsid w:val="00CE0C14"/>
    <w:rsid w:val="00D209BE"/>
    <w:rsid w:val="00DF532A"/>
    <w:rsid w:val="00E00681"/>
    <w:rsid w:val="00E01ECD"/>
    <w:rsid w:val="00E05F8D"/>
    <w:rsid w:val="00E14193"/>
    <w:rsid w:val="00E60B60"/>
    <w:rsid w:val="00E62A0C"/>
    <w:rsid w:val="00E841BF"/>
    <w:rsid w:val="00EE2B18"/>
    <w:rsid w:val="00F64D78"/>
    <w:rsid w:val="00F94233"/>
    <w:rsid w:val="00FF6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F532A"/>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DF532A"/>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DF532A"/>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532A"/>
    <w:rPr>
      <w:rFonts w:ascii="Arial" w:eastAsia="Times New Roman" w:hAnsi="Arial" w:cs="Arial"/>
      <w:b/>
      <w:bCs/>
      <w:sz w:val="18"/>
      <w:szCs w:val="18"/>
      <w:lang w:val="en-US" w:eastAsia="ar-SA"/>
    </w:rPr>
  </w:style>
  <w:style w:type="character" w:customStyle="1" w:styleId="Heading2Char">
    <w:name w:val="Heading 2 Char"/>
    <w:basedOn w:val="DefaultParagraphFont"/>
    <w:link w:val="Heading2"/>
    <w:uiPriority w:val="99"/>
    <w:rsid w:val="00DF532A"/>
    <w:rPr>
      <w:rFonts w:ascii="Arial" w:eastAsia="Times New Roman" w:hAnsi="Arial" w:cs="Arial"/>
      <w:b/>
      <w:bCs/>
      <w:i/>
      <w:iCs/>
      <w:sz w:val="28"/>
      <w:szCs w:val="28"/>
      <w:lang w:val="en-GB" w:eastAsia="ar-SA"/>
    </w:rPr>
  </w:style>
  <w:style w:type="paragraph" w:styleId="BalloonText">
    <w:name w:val="Balloon Text"/>
    <w:basedOn w:val="Normal"/>
    <w:link w:val="BalloonTextChar"/>
    <w:uiPriority w:val="99"/>
    <w:semiHidden/>
    <w:unhideWhenUsed/>
    <w:rsid w:val="00DF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2A"/>
    <w:rPr>
      <w:rFonts w:ascii="Tahoma" w:hAnsi="Tahoma" w:cs="Tahoma"/>
      <w:sz w:val="16"/>
      <w:szCs w:val="16"/>
      <w:lang w:val="en-US"/>
    </w:rPr>
  </w:style>
  <w:style w:type="character" w:customStyle="1" w:styleId="Heading3Char">
    <w:name w:val="Heading 3 Char"/>
    <w:basedOn w:val="DefaultParagraphFont"/>
    <w:link w:val="Heading3"/>
    <w:uiPriority w:val="99"/>
    <w:rsid w:val="00DF532A"/>
    <w:rPr>
      <w:rFonts w:ascii="Arial" w:eastAsia="Times New Roman" w:hAnsi="Arial" w:cs="Times New Roman"/>
      <w:b/>
      <w:bCs/>
      <w:sz w:val="26"/>
      <w:szCs w:val="26"/>
      <w:lang w:val="en-GB" w:eastAsia="ar-SA"/>
    </w:rPr>
  </w:style>
  <w:style w:type="character" w:styleId="FootnoteReference">
    <w:name w:val="footnote reference"/>
    <w:semiHidden/>
    <w:rsid w:val="00DF532A"/>
    <w:rPr>
      <w:vertAlign w:val="superscript"/>
    </w:rPr>
  </w:style>
  <w:style w:type="paragraph" w:styleId="FootnoteText">
    <w:name w:val="footnote text"/>
    <w:basedOn w:val="Normal"/>
    <w:link w:val="FootnoteTextChar"/>
    <w:uiPriority w:val="99"/>
    <w:semiHidden/>
    <w:rsid w:val="00DF532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DF532A"/>
    <w:rPr>
      <w:rFonts w:ascii="Times New Roman" w:eastAsia="Times New Roman" w:hAnsi="Times New Roman" w:cs="Times New Roman"/>
      <w:sz w:val="20"/>
      <w:szCs w:val="20"/>
      <w:lang w:val="en-US" w:eastAsia="ar-SA"/>
    </w:rPr>
  </w:style>
  <w:style w:type="paragraph" w:styleId="Caption">
    <w:name w:val="caption"/>
    <w:basedOn w:val="Normal"/>
    <w:next w:val="Normal"/>
    <w:uiPriority w:val="35"/>
    <w:unhideWhenUsed/>
    <w:qFormat/>
    <w:rsid w:val="00DF532A"/>
    <w:pPr>
      <w:spacing w:line="240" w:lineRule="auto"/>
    </w:pPr>
    <w:rPr>
      <w:rFonts w:ascii="Calibri" w:eastAsia="Times New Roman" w:hAnsi="Calibri"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F532A"/>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DF532A"/>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DF532A"/>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532A"/>
    <w:rPr>
      <w:rFonts w:ascii="Arial" w:eastAsia="Times New Roman" w:hAnsi="Arial" w:cs="Arial"/>
      <w:b/>
      <w:bCs/>
      <w:sz w:val="18"/>
      <w:szCs w:val="18"/>
      <w:lang w:val="en-US" w:eastAsia="ar-SA"/>
    </w:rPr>
  </w:style>
  <w:style w:type="character" w:customStyle="1" w:styleId="Heading2Char">
    <w:name w:val="Heading 2 Char"/>
    <w:basedOn w:val="DefaultParagraphFont"/>
    <w:link w:val="Heading2"/>
    <w:uiPriority w:val="99"/>
    <w:rsid w:val="00DF532A"/>
    <w:rPr>
      <w:rFonts w:ascii="Arial" w:eastAsia="Times New Roman" w:hAnsi="Arial" w:cs="Arial"/>
      <w:b/>
      <w:bCs/>
      <w:i/>
      <w:iCs/>
      <w:sz w:val="28"/>
      <w:szCs w:val="28"/>
      <w:lang w:val="en-GB" w:eastAsia="ar-SA"/>
    </w:rPr>
  </w:style>
  <w:style w:type="paragraph" w:styleId="BalloonText">
    <w:name w:val="Balloon Text"/>
    <w:basedOn w:val="Normal"/>
    <w:link w:val="BalloonTextChar"/>
    <w:uiPriority w:val="99"/>
    <w:semiHidden/>
    <w:unhideWhenUsed/>
    <w:rsid w:val="00DF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2A"/>
    <w:rPr>
      <w:rFonts w:ascii="Tahoma" w:hAnsi="Tahoma" w:cs="Tahoma"/>
      <w:sz w:val="16"/>
      <w:szCs w:val="16"/>
      <w:lang w:val="en-US"/>
    </w:rPr>
  </w:style>
  <w:style w:type="character" w:customStyle="1" w:styleId="Heading3Char">
    <w:name w:val="Heading 3 Char"/>
    <w:basedOn w:val="DefaultParagraphFont"/>
    <w:link w:val="Heading3"/>
    <w:uiPriority w:val="99"/>
    <w:rsid w:val="00DF532A"/>
    <w:rPr>
      <w:rFonts w:ascii="Arial" w:eastAsia="Times New Roman" w:hAnsi="Arial" w:cs="Times New Roman"/>
      <w:b/>
      <w:bCs/>
      <w:sz w:val="26"/>
      <w:szCs w:val="26"/>
      <w:lang w:val="en-GB" w:eastAsia="ar-SA"/>
    </w:rPr>
  </w:style>
  <w:style w:type="character" w:styleId="FootnoteReference">
    <w:name w:val="footnote reference"/>
    <w:semiHidden/>
    <w:rsid w:val="00DF532A"/>
    <w:rPr>
      <w:vertAlign w:val="superscript"/>
    </w:rPr>
  </w:style>
  <w:style w:type="paragraph" w:styleId="FootnoteText">
    <w:name w:val="footnote text"/>
    <w:basedOn w:val="Normal"/>
    <w:link w:val="FootnoteTextChar"/>
    <w:uiPriority w:val="99"/>
    <w:semiHidden/>
    <w:rsid w:val="00DF532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DF532A"/>
    <w:rPr>
      <w:rFonts w:ascii="Times New Roman" w:eastAsia="Times New Roman" w:hAnsi="Times New Roman" w:cs="Times New Roman"/>
      <w:sz w:val="20"/>
      <w:szCs w:val="20"/>
      <w:lang w:val="en-US" w:eastAsia="ar-SA"/>
    </w:rPr>
  </w:style>
  <w:style w:type="paragraph" w:styleId="Caption">
    <w:name w:val="caption"/>
    <w:basedOn w:val="Normal"/>
    <w:next w:val="Normal"/>
    <w:uiPriority w:val="35"/>
    <w:unhideWhenUsed/>
    <w:qFormat/>
    <w:rsid w:val="00DF532A"/>
    <w:pPr>
      <w:spacing w:line="240" w:lineRule="auto"/>
    </w:pPr>
    <w:rPr>
      <w:rFonts w:ascii="Calibri" w:eastAsia="Times New Roman"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831B5-1290-4691-A5AB-BD42DB3C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2</cp:revision>
  <dcterms:created xsi:type="dcterms:W3CDTF">2014-09-30T12:05:00Z</dcterms:created>
  <dcterms:modified xsi:type="dcterms:W3CDTF">2014-09-30T12:05:00Z</dcterms:modified>
</cp:coreProperties>
</file>