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60" w:rsidRDefault="006103C7" w:rsidP="00AE0BBB">
      <w:pPr>
        <w:spacing w:line="288" w:lineRule="auto"/>
        <w:ind w:right="-319"/>
        <w:jc w:val="center"/>
        <w:rPr>
          <w:rFonts w:ascii="Arial" w:hAnsi="Arial" w:cs="Arial"/>
          <w:b/>
          <w:sz w:val="20"/>
          <w:szCs w:val="20"/>
        </w:rPr>
      </w:pPr>
      <w:r>
        <w:rPr>
          <w:rFonts w:ascii="Arial" w:hAnsi="Arial" w:cs="Arial"/>
          <w:b/>
          <w:noProof/>
          <w:sz w:val="20"/>
          <w:szCs w:val="20"/>
        </w:rPr>
        <mc:AlternateContent>
          <mc:Choice Requires="wps">
            <w:drawing>
              <wp:anchor distT="0" distB="0" distL="114935" distR="114935" simplePos="0" relativeHeight="251657216" behindDoc="0" locked="0" layoutInCell="1" allowOverlap="1">
                <wp:simplePos x="0" y="0"/>
                <wp:positionH relativeFrom="column">
                  <wp:posOffset>1943100</wp:posOffset>
                </wp:positionH>
                <wp:positionV relativeFrom="paragraph">
                  <wp:posOffset>-114300</wp:posOffset>
                </wp:positionV>
                <wp:extent cx="3200400" cy="56896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27" w:rsidRPr="009060B6" w:rsidRDefault="009060B6" w:rsidP="007750EF">
                            <w:pPr>
                              <w:pStyle w:val="Heading1"/>
                              <w:rPr>
                                <w:rFonts w:ascii="Times New Roman" w:hAnsi="Times New Roman"/>
                                <w:sz w:val="40"/>
                                <w:szCs w:val="40"/>
                              </w:rPr>
                            </w:pPr>
                            <w:r w:rsidRPr="009060B6">
                              <w:rPr>
                                <w:rFonts w:ascii="Times New Roman" w:hAnsi="Times New Roman"/>
                                <w:sz w:val="40"/>
                                <w:szCs w:val="40"/>
                              </w:rPr>
                              <w:t>Büyüme Değerlendirmesi</w:t>
                            </w:r>
                            <w:r w:rsidR="00714E6F">
                              <w:rPr>
                                <w:rFonts w:ascii="Times New Roman" w:hAnsi="Times New Roman"/>
                                <w:sz w:val="40"/>
                                <w:szCs w:val="40"/>
                              </w:rPr>
                              <w:t>: 2014</w:t>
                            </w:r>
                            <w:r>
                              <w:rPr>
                                <w:rFonts w:ascii="Times New Roman" w:hAnsi="Times New Roman"/>
                                <w:sz w:val="40"/>
                                <w:szCs w:val="40"/>
                              </w:rPr>
                              <w:t xml:space="preserve"> </w:t>
                            </w:r>
                            <w:r w:rsidR="00EE5804">
                              <w:rPr>
                                <w:rFonts w:ascii="Times New Roman" w:hAnsi="Times New Roman"/>
                                <w:sz w:val="40"/>
                                <w:szCs w:val="40"/>
                              </w:rPr>
                              <w:t xml:space="preserve">4. </w:t>
                            </w:r>
                            <w:r>
                              <w:rPr>
                                <w:rFonts w:ascii="Times New Roman" w:hAnsi="Times New Roman"/>
                                <w:sz w:val="40"/>
                                <w:szCs w:val="40"/>
                              </w:rPr>
                              <w:t>Çeyrek</w:t>
                            </w:r>
                          </w:p>
                          <w:p w:rsidR="00F66727" w:rsidRPr="00526178" w:rsidRDefault="00F66727" w:rsidP="007750EF">
                            <w:pPr>
                              <w:pStyle w:val="Heading2"/>
                              <w:rPr>
                                <w:b w:val="0"/>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3pt;margin-top:-9pt;width:252pt;height:44.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fxigIAAB0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" stroked="f">
                <v:fill opacity="0"/>
                <v:textbox inset="0,0,0,0">
                  <w:txbxContent>
                    <w:p w:rsidR="00F66727" w:rsidRPr="009060B6" w:rsidRDefault="009060B6" w:rsidP="007750EF">
                      <w:pPr>
                        <w:pStyle w:val="Heading1"/>
                        <w:rPr>
                          <w:rFonts w:ascii="Times New Roman" w:hAnsi="Times New Roman"/>
                          <w:sz w:val="40"/>
                          <w:szCs w:val="40"/>
                        </w:rPr>
                      </w:pPr>
                      <w:r w:rsidRPr="009060B6">
                        <w:rPr>
                          <w:rFonts w:ascii="Times New Roman" w:hAnsi="Times New Roman"/>
                          <w:sz w:val="40"/>
                          <w:szCs w:val="40"/>
                        </w:rPr>
                        <w:t>Büyüme Değerlendirmesi</w:t>
                      </w:r>
                      <w:r w:rsidR="00714E6F">
                        <w:rPr>
                          <w:rFonts w:ascii="Times New Roman" w:hAnsi="Times New Roman"/>
                          <w:sz w:val="40"/>
                          <w:szCs w:val="40"/>
                        </w:rPr>
                        <w:t>: 2014</w:t>
                      </w:r>
                      <w:r>
                        <w:rPr>
                          <w:rFonts w:ascii="Times New Roman" w:hAnsi="Times New Roman"/>
                          <w:sz w:val="40"/>
                          <w:szCs w:val="40"/>
                        </w:rPr>
                        <w:t xml:space="preserve"> </w:t>
                      </w:r>
                      <w:r w:rsidR="00EE5804">
                        <w:rPr>
                          <w:rFonts w:ascii="Times New Roman" w:hAnsi="Times New Roman"/>
                          <w:sz w:val="40"/>
                          <w:szCs w:val="40"/>
                        </w:rPr>
                        <w:t xml:space="preserve">4. </w:t>
                      </w:r>
                      <w:r>
                        <w:rPr>
                          <w:rFonts w:ascii="Times New Roman" w:hAnsi="Times New Roman"/>
                          <w:sz w:val="40"/>
                          <w:szCs w:val="40"/>
                        </w:rPr>
                        <w:t>Çeyrek</w:t>
                      </w:r>
                    </w:p>
                    <w:p w:rsidR="00F66727" w:rsidRPr="00526178" w:rsidRDefault="00F66727" w:rsidP="007750EF">
                      <w:pPr>
                        <w:pStyle w:val="Heading2"/>
                        <w:rPr>
                          <w:b w:val="0"/>
                          <w:i w:val="0"/>
                        </w:rPr>
                      </w:pPr>
                    </w:p>
                  </w:txbxContent>
                </v:textbox>
              </v:shape>
            </w:pict>
          </mc:Fallback>
        </mc:AlternateContent>
      </w:r>
      <w:r w:rsidR="00E10719">
        <w:rPr>
          <w:rFonts w:ascii="Arial" w:hAnsi="Arial" w:cs="Arial"/>
          <w:b/>
          <w:noProof/>
          <w:sz w:val="20"/>
          <w:szCs w:val="20"/>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1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Default="007750EF" w:rsidP="00AE0BBB">
      <w:pPr>
        <w:spacing w:line="288" w:lineRule="auto"/>
        <w:ind w:right="-319"/>
        <w:jc w:val="center"/>
        <w:rPr>
          <w:rFonts w:ascii="Arial" w:hAnsi="Arial" w:cs="Arial"/>
          <w:b/>
          <w:sz w:val="20"/>
          <w:szCs w:val="20"/>
        </w:rPr>
      </w:pPr>
    </w:p>
    <w:p w:rsidR="007750EF" w:rsidRPr="0015266B" w:rsidRDefault="006103C7" w:rsidP="00AE0BBB">
      <w:pPr>
        <w:spacing w:line="288" w:lineRule="auto"/>
        <w:ind w:right="-319"/>
        <w:jc w:val="center"/>
        <w:rPr>
          <w:rFonts w:ascii="Arial" w:hAnsi="Arial" w:cs="Arial"/>
          <w:b/>
          <w:sz w:val="20"/>
          <w:szCs w:val="20"/>
        </w:rPr>
      </w:pPr>
      <w:r>
        <w:rPr>
          <w:rFonts w:ascii="Arial" w:hAnsi="Arial" w:cs="Arial"/>
          <w:b/>
          <w:noProof/>
          <w:sz w:val="20"/>
          <w:szCs w:val="20"/>
        </w:rPr>
        <mc:AlternateContent>
          <mc:Choice Requires="wps">
            <w:drawing>
              <wp:anchor distT="0" distB="0" distL="114935" distR="114935" simplePos="0" relativeHeight="251658240" behindDoc="0" locked="0" layoutInCell="1" allowOverlap="1">
                <wp:simplePos x="0" y="0"/>
                <wp:positionH relativeFrom="column">
                  <wp:posOffset>5212715</wp:posOffset>
                </wp:positionH>
                <wp:positionV relativeFrom="paragraph">
                  <wp:posOffset>13970</wp:posOffset>
                </wp:positionV>
                <wp:extent cx="1711960" cy="45466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27" w:rsidRDefault="00F66727" w:rsidP="007750EF">
                            <w:pPr>
                              <w:pStyle w:val="Heading3"/>
                              <w:rPr>
                                <w:color w:val="FFFFFF"/>
                                <w:sz w:val="22"/>
                                <w:szCs w:val="22"/>
                                <w:lang w:val="tr-TR"/>
                              </w:rPr>
                            </w:pPr>
                            <w:r>
                              <w:rPr>
                                <w:color w:val="FFFFFF"/>
                                <w:sz w:val="22"/>
                                <w:szCs w:val="22"/>
                              </w:rPr>
                              <w:t xml:space="preserve">           </w:t>
                            </w:r>
                            <w:r w:rsidR="006103C7">
                              <w:rPr>
                                <w:color w:val="FFFFFF"/>
                                <w:sz w:val="22"/>
                                <w:szCs w:val="22"/>
                              </w:rPr>
                              <w:t>03</w:t>
                            </w:r>
                            <w:r>
                              <w:rPr>
                                <w:color w:val="FFFFFF"/>
                                <w:sz w:val="22"/>
                                <w:szCs w:val="22"/>
                              </w:rPr>
                              <w:t>.</w:t>
                            </w:r>
                            <w:r w:rsidR="008C35D8">
                              <w:rPr>
                                <w:color w:val="FFFFFF"/>
                                <w:sz w:val="22"/>
                                <w:szCs w:val="22"/>
                              </w:rPr>
                              <w:t>0</w:t>
                            </w:r>
                            <w:r w:rsidR="006103C7">
                              <w:rPr>
                                <w:color w:val="FFFFFF"/>
                                <w:sz w:val="22"/>
                                <w:szCs w:val="22"/>
                              </w:rPr>
                              <w:t>4</w:t>
                            </w:r>
                            <w:r>
                              <w:rPr>
                                <w:color w:val="FFFFFF"/>
                                <w:sz w:val="22"/>
                                <w:szCs w:val="22"/>
                              </w:rPr>
                              <w:t>.</w:t>
                            </w:r>
                            <w:r w:rsidR="008C35D8">
                              <w:rPr>
                                <w:color w:val="FFFFFF"/>
                                <w:sz w:val="22"/>
                                <w:szCs w:val="22"/>
                                <w:lang w:val="tr-TR"/>
                              </w:rPr>
                              <w:t>201</w:t>
                            </w:r>
                            <w:r w:rsidR="00714E6F">
                              <w:rPr>
                                <w:color w:val="FFFFFF"/>
                                <w:sz w:val="22"/>
                                <w:szCs w:val="22"/>
                                <w:lang w:val="tr-TR"/>
                              </w:rPr>
                              <w:t>5</w:t>
                            </w:r>
                          </w:p>
                          <w:p w:rsidR="00F66727" w:rsidRDefault="00F66727"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10.45pt;margin-top:1.1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" stroked="f">
                <v:fill opacity="0"/>
                <v:textbox inset="0,0,0,0">
                  <w:txbxContent>
                    <w:p w:rsidR="00F66727" w:rsidRDefault="00F66727" w:rsidP="007750EF">
                      <w:pPr>
                        <w:pStyle w:val="Heading3"/>
                        <w:rPr>
                          <w:color w:val="FFFFFF"/>
                          <w:sz w:val="22"/>
                          <w:szCs w:val="22"/>
                          <w:lang w:val="tr-TR"/>
                        </w:rPr>
                      </w:pPr>
                      <w:r>
                        <w:rPr>
                          <w:color w:val="FFFFFF"/>
                          <w:sz w:val="22"/>
                          <w:szCs w:val="22"/>
                        </w:rPr>
                        <w:t xml:space="preserve">           </w:t>
                      </w:r>
                      <w:r w:rsidR="006103C7">
                        <w:rPr>
                          <w:color w:val="FFFFFF"/>
                          <w:sz w:val="22"/>
                          <w:szCs w:val="22"/>
                        </w:rPr>
                        <w:t>03</w:t>
                      </w:r>
                      <w:r>
                        <w:rPr>
                          <w:color w:val="FFFFFF"/>
                          <w:sz w:val="22"/>
                          <w:szCs w:val="22"/>
                        </w:rPr>
                        <w:t>.</w:t>
                      </w:r>
                      <w:r w:rsidR="008C35D8">
                        <w:rPr>
                          <w:color w:val="FFFFFF"/>
                          <w:sz w:val="22"/>
                          <w:szCs w:val="22"/>
                        </w:rPr>
                        <w:t>0</w:t>
                      </w:r>
                      <w:r w:rsidR="006103C7">
                        <w:rPr>
                          <w:color w:val="FFFFFF"/>
                          <w:sz w:val="22"/>
                          <w:szCs w:val="22"/>
                        </w:rPr>
                        <w:t>4</w:t>
                      </w:r>
                      <w:r>
                        <w:rPr>
                          <w:color w:val="FFFFFF"/>
                          <w:sz w:val="22"/>
                          <w:szCs w:val="22"/>
                        </w:rPr>
                        <w:t>.</w:t>
                      </w:r>
                      <w:r w:rsidR="008C35D8">
                        <w:rPr>
                          <w:color w:val="FFFFFF"/>
                          <w:sz w:val="22"/>
                          <w:szCs w:val="22"/>
                          <w:lang w:val="tr-TR"/>
                        </w:rPr>
                        <w:t>201</w:t>
                      </w:r>
                      <w:r w:rsidR="00714E6F">
                        <w:rPr>
                          <w:color w:val="FFFFFF"/>
                          <w:sz w:val="22"/>
                          <w:szCs w:val="22"/>
                          <w:lang w:val="tr-TR"/>
                        </w:rPr>
                        <w:t>5</w:t>
                      </w:r>
                    </w:p>
                    <w:p w:rsidR="00F66727" w:rsidRDefault="00F66727" w:rsidP="007750EF"/>
                  </w:txbxContent>
                </v:textbox>
              </v:shape>
            </w:pict>
          </mc:Fallback>
        </mc:AlternateContent>
      </w:r>
    </w:p>
    <w:p w:rsidR="007750EF" w:rsidRDefault="007750EF" w:rsidP="00C805B9">
      <w:pPr>
        <w:spacing w:line="288" w:lineRule="auto"/>
        <w:ind w:right="-319"/>
        <w:jc w:val="center"/>
        <w:outlineLvl w:val="0"/>
        <w:rPr>
          <w:rFonts w:ascii="Arial" w:hAnsi="Arial" w:cs="Arial"/>
          <w:b/>
          <w:sz w:val="28"/>
          <w:szCs w:val="28"/>
        </w:rPr>
      </w:pPr>
    </w:p>
    <w:p w:rsidR="007750EF" w:rsidRPr="005171AD" w:rsidRDefault="007750EF" w:rsidP="007750EF">
      <w:pPr>
        <w:spacing w:line="288" w:lineRule="auto"/>
        <w:ind w:right="-319"/>
        <w:outlineLvl w:val="0"/>
        <w:rPr>
          <w:rFonts w:ascii="Arial" w:hAnsi="Arial" w:cs="Arial"/>
          <w:b/>
          <w:sz w:val="28"/>
          <w:szCs w:val="28"/>
        </w:rPr>
      </w:pPr>
    </w:p>
    <w:p w:rsidR="00806083" w:rsidRPr="00806083" w:rsidRDefault="001A2B1E" w:rsidP="00806083">
      <w:pPr>
        <w:pStyle w:val="NormalWeb"/>
        <w:spacing w:before="0" w:beforeAutospacing="0" w:after="0" w:afterAutospacing="0" w:line="300" w:lineRule="atLeast"/>
        <w:jc w:val="center"/>
        <w:rPr>
          <w:rFonts w:ascii="Arial" w:hAnsi="Arial" w:cs="Arial"/>
          <w:b/>
          <w:sz w:val="32"/>
          <w:szCs w:val="32"/>
        </w:rPr>
      </w:pPr>
      <w:r>
        <w:rPr>
          <w:rFonts w:ascii="Arial" w:hAnsi="Arial" w:cs="Arial"/>
          <w:b/>
          <w:sz w:val="32"/>
          <w:szCs w:val="32"/>
        </w:rPr>
        <w:t>Z</w:t>
      </w:r>
      <w:r w:rsidR="006103C7">
        <w:rPr>
          <w:rFonts w:ascii="Arial" w:hAnsi="Arial" w:cs="Arial"/>
          <w:b/>
          <w:sz w:val="32"/>
          <w:szCs w:val="32"/>
        </w:rPr>
        <w:t>AYIFLAYAN İÇ TALEP</w:t>
      </w:r>
      <w:r w:rsidR="00806083" w:rsidRPr="00806083">
        <w:rPr>
          <w:rFonts w:ascii="Arial" w:hAnsi="Arial" w:cs="Arial"/>
          <w:b/>
          <w:sz w:val="32"/>
          <w:szCs w:val="32"/>
        </w:rPr>
        <w:t xml:space="preserve"> </w:t>
      </w:r>
      <w:r w:rsidR="006103C7">
        <w:rPr>
          <w:rFonts w:ascii="Arial" w:hAnsi="Arial" w:cs="Arial"/>
          <w:b/>
          <w:sz w:val="32"/>
          <w:szCs w:val="32"/>
        </w:rPr>
        <w:t>BÜYÜMEYİ YAVAŞLATTI</w:t>
      </w:r>
    </w:p>
    <w:p w:rsidR="00AD49B2" w:rsidRDefault="00AD49B2" w:rsidP="00C805B9">
      <w:pPr>
        <w:spacing w:line="288" w:lineRule="auto"/>
        <w:ind w:right="-319"/>
        <w:jc w:val="center"/>
        <w:outlineLvl w:val="0"/>
        <w:rPr>
          <w:rFonts w:ascii="Arial" w:hAnsi="Arial" w:cs="Arial"/>
          <w:b/>
          <w:sz w:val="22"/>
          <w:szCs w:val="22"/>
        </w:rPr>
      </w:pPr>
    </w:p>
    <w:p w:rsidR="005C0522" w:rsidRDefault="005C0522" w:rsidP="00C805B9">
      <w:pPr>
        <w:spacing w:line="288" w:lineRule="auto"/>
        <w:ind w:right="-319"/>
        <w:jc w:val="center"/>
        <w:outlineLvl w:val="0"/>
        <w:rPr>
          <w:rFonts w:ascii="Arial" w:hAnsi="Arial" w:cs="Arial"/>
          <w:b/>
          <w:sz w:val="22"/>
          <w:szCs w:val="22"/>
        </w:rPr>
      </w:pPr>
    </w:p>
    <w:p w:rsidR="00AE0BBB" w:rsidRPr="007750EF" w:rsidRDefault="000C5C8B" w:rsidP="00C805B9">
      <w:pPr>
        <w:spacing w:line="288" w:lineRule="auto"/>
        <w:ind w:right="-319"/>
        <w:jc w:val="center"/>
        <w:outlineLvl w:val="0"/>
        <w:rPr>
          <w:rFonts w:ascii="Arial" w:hAnsi="Arial" w:cs="Arial"/>
          <w:b/>
          <w:sz w:val="22"/>
          <w:szCs w:val="22"/>
        </w:rPr>
      </w:pPr>
      <w:r>
        <w:rPr>
          <w:rFonts w:ascii="Arial" w:hAnsi="Arial" w:cs="Arial"/>
          <w:b/>
          <w:sz w:val="22"/>
          <w:szCs w:val="22"/>
        </w:rPr>
        <w:t xml:space="preserve">Seyfettin Gürsel*, </w:t>
      </w:r>
      <w:r w:rsidR="00AE0BBB" w:rsidRPr="007750EF">
        <w:rPr>
          <w:rFonts w:ascii="Arial" w:hAnsi="Arial" w:cs="Arial"/>
          <w:b/>
          <w:sz w:val="22"/>
          <w:szCs w:val="22"/>
        </w:rPr>
        <w:t>Zümrüt İmamoğlu</w:t>
      </w:r>
      <w:r w:rsidR="00AE0BBB" w:rsidRPr="007750EF">
        <w:rPr>
          <w:rFonts w:ascii="Arial" w:hAnsi="Arial" w:cs="Arial"/>
          <w:b/>
          <w:sz w:val="22"/>
          <w:szCs w:val="22"/>
          <w:vertAlign w:val="superscript"/>
        </w:rPr>
        <w:t>†</w:t>
      </w:r>
      <w:r>
        <w:rPr>
          <w:rFonts w:ascii="Arial" w:hAnsi="Arial" w:cs="Arial"/>
          <w:b/>
          <w:sz w:val="22"/>
          <w:szCs w:val="22"/>
        </w:rPr>
        <w:t xml:space="preserve">, </w:t>
      </w:r>
      <w:r w:rsidR="00AE0BBB" w:rsidRPr="007750EF">
        <w:rPr>
          <w:rFonts w:ascii="Arial" w:hAnsi="Arial" w:cs="Arial"/>
          <w:b/>
          <w:sz w:val="22"/>
          <w:szCs w:val="22"/>
        </w:rPr>
        <w:t xml:space="preserve">ve </w:t>
      </w:r>
      <w:r w:rsidR="00A75D44">
        <w:rPr>
          <w:rFonts w:ascii="Arial" w:hAnsi="Arial" w:cs="Arial"/>
          <w:b/>
          <w:sz w:val="22"/>
          <w:szCs w:val="22"/>
        </w:rPr>
        <w:t>Barış Soybilgen</w:t>
      </w:r>
      <w:r w:rsidR="00CA5BA6" w:rsidRPr="007750EF">
        <w:rPr>
          <w:rFonts w:ascii="Arial" w:hAnsi="Arial" w:cs="Arial"/>
          <w:b/>
          <w:sz w:val="22"/>
          <w:szCs w:val="22"/>
          <w:vertAlign w:val="superscript"/>
        </w:rPr>
        <w:t>‡</w:t>
      </w:r>
    </w:p>
    <w:p w:rsidR="00B00EBD" w:rsidRDefault="00B00EBD" w:rsidP="00AE0BBB">
      <w:pPr>
        <w:spacing w:line="288" w:lineRule="auto"/>
        <w:ind w:right="-318"/>
        <w:jc w:val="both"/>
        <w:rPr>
          <w:rFonts w:ascii="Arial" w:hAnsi="Arial" w:cs="Arial"/>
          <w:b/>
          <w:sz w:val="20"/>
          <w:szCs w:val="20"/>
        </w:rPr>
      </w:pPr>
    </w:p>
    <w:p w:rsidR="00AD49B2" w:rsidRDefault="00AD49B2" w:rsidP="00AE0BBB">
      <w:pPr>
        <w:spacing w:line="288" w:lineRule="auto"/>
        <w:ind w:right="-318"/>
        <w:jc w:val="both"/>
        <w:rPr>
          <w:rFonts w:ascii="Arial" w:hAnsi="Arial" w:cs="Arial"/>
          <w:b/>
          <w:sz w:val="20"/>
          <w:szCs w:val="20"/>
        </w:rPr>
      </w:pPr>
    </w:p>
    <w:p w:rsidR="00AD49B2" w:rsidRPr="0015266B" w:rsidRDefault="00AD49B2" w:rsidP="00AE0BBB">
      <w:pPr>
        <w:spacing w:line="288" w:lineRule="auto"/>
        <w:ind w:right="-318"/>
        <w:jc w:val="both"/>
        <w:rPr>
          <w:rFonts w:ascii="Arial" w:hAnsi="Arial" w:cs="Arial"/>
          <w:b/>
          <w:sz w:val="20"/>
          <w:szCs w:val="20"/>
        </w:rPr>
        <w:sectPr w:rsidR="00AD49B2" w:rsidRPr="0015266B" w:rsidSect="007750EF">
          <w:footerReference w:type="even" r:id="rId10"/>
          <w:footerReference w:type="default" r:id="rId11"/>
          <w:footnotePr>
            <w:numFmt w:val="chicago"/>
          </w:footnotePr>
          <w:pgSz w:w="11906" w:h="16838"/>
          <w:pgMar w:top="719" w:right="1417" w:bottom="1417" w:left="1417" w:header="708" w:footer="708" w:gutter="0"/>
          <w:cols w:space="709"/>
          <w:docGrid w:linePitch="360"/>
        </w:sectPr>
      </w:pPr>
    </w:p>
    <w:p w:rsidR="00B213B6" w:rsidRPr="00F428BE" w:rsidRDefault="00B213B6" w:rsidP="00337278">
      <w:pPr>
        <w:pStyle w:val="NormalWeb"/>
        <w:spacing w:before="0" w:beforeAutospacing="0" w:after="0" w:afterAutospacing="0"/>
        <w:jc w:val="center"/>
        <w:rPr>
          <w:rFonts w:ascii="Arial" w:hAnsi="Arial" w:cs="Arial"/>
          <w:b/>
          <w:sz w:val="22"/>
          <w:szCs w:val="22"/>
        </w:rPr>
      </w:pPr>
      <w:r w:rsidRPr="00F428BE">
        <w:rPr>
          <w:rFonts w:ascii="Arial" w:hAnsi="Arial" w:cs="Arial"/>
          <w:b/>
          <w:sz w:val="22"/>
          <w:szCs w:val="22"/>
        </w:rPr>
        <w:lastRenderedPageBreak/>
        <w:t>Yönetici Özeti</w:t>
      </w:r>
    </w:p>
    <w:p w:rsidR="00F428BE" w:rsidRDefault="00F428BE" w:rsidP="00110EBA">
      <w:pPr>
        <w:pStyle w:val="NormalWeb"/>
        <w:spacing w:before="0" w:beforeAutospacing="0" w:after="0" w:afterAutospacing="0"/>
        <w:jc w:val="both"/>
        <w:rPr>
          <w:sz w:val="22"/>
          <w:szCs w:val="22"/>
        </w:rPr>
      </w:pPr>
    </w:p>
    <w:p w:rsidR="006F1199" w:rsidRDefault="006955AD" w:rsidP="006955AD">
      <w:pPr>
        <w:pStyle w:val="NormalWeb"/>
        <w:spacing w:before="0" w:beforeAutospacing="0" w:after="0" w:afterAutospacing="0" w:line="300" w:lineRule="atLeast"/>
        <w:jc w:val="both"/>
        <w:rPr>
          <w:rFonts w:ascii="Arial" w:hAnsi="Arial" w:cs="Arial"/>
          <w:sz w:val="20"/>
          <w:szCs w:val="20"/>
        </w:rPr>
      </w:pPr>
      <w:bookmarkStart w:id="0" w:name="_GoBack"/>
      <w:r w:rsidRPr="00DD51D1">
        <w:rPr>
          <w:rFonts w:ascii="Arial" w:hAnsi="Arial" w:cs="Arial"/>
          <w:sz w:val="20"/>
          <w:szCs w:val="20"/>
        </w:rPr>
        <w:t xml:space="preserve">TÜİK'in </w:t>
      </w:r>
      <w:r w:rsidR="00D51AB2">
        <w:rPr>
          <w:rFonts w:ascii="Arial" w:hAnsi="Arial" w:cs="Arial"/>
          <w:sz w:val="20"/>
          <w:szCs w:val="20"/>
        </w:rPr>
        <w:t>31 Mart’ta</w:t>
      </w:r>
      <w:r w:rsidRPr="00DD51D1">
        <w:rPr>
          <w:rFonts w:ascii="Arial" w:hAnsi="Arial" w:cs="Arial"/>
          <w:sz w:val="20"/>
          <w:szCs w:val="20"/>
        </w:rPr>
        <w:t xml:space="preserve"> açıkladığı rakamlara gör</w:t>
      </w:r>
      <w:r>
        <w:rPr>
          <w:rFonts w:ascii="Arial" w:hAnsi="Arial" w:cs="Arial"/>
          <w:sz w:val="20"/>
          <w:szCs w:val="20"/>
        </w:rPr>
        <w:t xml:space="preserve">e </w:t>
      </w:r>
      <w:r w:rsidR="009920D0">
        <w:rPr>
          <w:rFonts w:ascii="Arial" w:hAnsi="Arial" w:cs="Arial"/>
          <w:sz w:val="20"/>
          <w:szCs w:val="20"/>
        </w:rPr>
        <w:t>Türkiye ekonomisi 201</w:t>
      </w:r>
      <w:r w:rsidR="00D87146">
        <w:rPr>
          <w:rFonts w:ascii="Arial" w:hAnsi="Arial" w:cs="Arial"/>
          <w:sz w:val="20"/>
          <w:szCs w:val="20"/>
        </w:rPr>
        <w:t>4 yılında yüzde 2,9</w:t>
      </w:r>
      <w:r w:rsidR="009920D0">
        <w:rPr>
          <w:rFonts w:ascii="Arial" w:hAnsi="Arial" w:cs="Arial"/>
          <w:sz w:val="20"/>
          <w:szCs w:val="20"/>
        </w:rPr>
        <w:t xml:space="preserve"> oranında büyüdü.</w:t>
      </w:r>
      <w:r w:rsidR="00F6636F">
        <w:rPr>
          <w:rFonts w:ascii="Arial" w:hAnsi="Arial" w:cs="Arial"/>
          <w:sz w:val="20"/>
          <w:szCs w:val="20"/>
        </w:rPr>
        <w:t xml:space="preserve"> Ekonomi 2013 yılında</w:t>
      </w:r>
      <w:r w:rsidR="0014589B">
        <w:rPr>
          <w:rFonts w:ascii="Arial" w:hAnsi="Arial" w:cs="Arial"/>
          <w:sz w:val="20"/>
          <w:szCs w:val="20"/>
        </w:rPr>
        <w:t xml:space="preserve"> yüzde 4,2 büyümüştü. </w:t>
      </w:r>
      <w:r>
        <w:rPr>
          <w:rFonts w:ascii="Arial" w:hAnsi="Arial" w:cs="Arial"/>
          <w:sz w:val="20"/>
          <w:szCs w:val="20"/>
        </w:rPr>
        <w:t>201</w:t>
      </w:r>
      <w:r w:rsidR="00D87146">
        <w:rPr>
          <w:rFonts w:ascii="Arial" w:hAnsi="Arial" w:cs="Arial"/>
          <w:sz w:val="20"/>
          <w:szCs w:val="20"/>
        </w:rPr>
        <w:t>4</w:t>
      </w:r>
      <w:r>
        <w:rPr>
          <w:rFonts w:ascii="Arial" w:hAnsi="Arial" w:cs="Arial"/>
          <w:sz w:val="20"/>
          <w:szCs w:val="20"/>
        </w:rPr>
        <w:t xml:space="preserve">'te büyümenin ana kaynağı tüketim ve </w:t>
      </w:r>
      <w:r w:rsidR="00AA5EC7">
        <w:rPr>
          <w:rFonts w:ascii="Arial" w:hAnsi="Arial" w:cs="Arial"/>
          <w:sz w:val="20"/>
          <w:szCs w:val="20"/>
        </w:rPr>
        <w:t>ihracat</w:t>
      </w:r>
      <w:r>
        <w:rPr>
          <w:rFonts w:ascii="Arial" w:hAnsi="Arial" w:cs="Arial"/>
          <w:sz w:val="20"/>
          <w:szCs w:val="20"/>
        </w:rPr>
        <w:t xml:space="preserve"> oldu. Özel yatırım ve </w:t>
      </w:r>
      <w:r w:rsidR="00AA5EC7">
        <w:rPr>
          <w:rFonts w:ascii="Arial" w:hAnsi="Arial" w:cs="Arial"/>
          <w:sz w:val="20"/>
          <w:szCs w:val="20"/>
        </w:rPr>
        <w:t>kamu harcamaları</w:t>
      </w:r>
      <w:r>
        <w:rPr>
          <w:rFonts w:ascii="Arial" w:hAnsi="Arial" w:cs="Arial"/>
          <w:sz w:val="20"/>
          <w:szCs w:val="20"/>
        </w:rPr>
        <w:t xml:space="preserve"> büyümeye yok denilecek kadar az</w:t>
      </w:r>
      <w:r w:rsidR="00354A04">
        <w:rPr>
          <w:rFonts w:ascii="Arial" w:hAnsi="Arial" w:cs="Arial"/>
          <w:sz w:val="20"/>
          <w:szCs w:val="20"/>
        </w:rPr>
        <w:t xml:space="preserve"> katkı yaparken</w:t>
      </w:r>
      <w:r>
        <w:rPr>
          <w:rFonts w:ascii="Arial" w:hAnsi="Arial" w:cs="Arial"/>
          <w:sz w:val="20"/>
          <w:szCs w:val="20"/>
        </w:rPr>
        <w:t>,</w:t>
      </w:r>
      <w:r w:rsidR="00354A04">
        <w:rPr>
          <w:rFonts w:ascii="Arial" w:hAnsi="Arial" w:cs="Arial"/>
          <w:sz w:val="20"/>
          <w:szCs w:val="20"/>
        </w:rPr>
        <w:t xml:space="preserve"> s</w:t>
      </w:r>
      <w:r>
        <w:rPr>
          <w:rFonts w:ascii="Arial" w:hAnsi="Arial" w:cs="Arial"/>
          <w:sz w:val="20"/>
          <w:szCs w:val="20"/>
        </w:rPr>
        <w:t>tok</w:t>
      </w:r>
      <w:r w:rsidR="00354A04">
        <w:rPr>
          <w:rFonts w:ascii="Arial" w:hAnsi="Arial" w:cs="Arial"/>
          <w:sz w:val="20"/>
          <w:szCs w:val="20"/>
        </w:rPr>
        <w:t xml:space="preserve"> değişimleri</w:t>
      </w:r>
      <w:r w:rsidR="00AA5EC7">
        <w:rPr>
          <w:rFonts w:ascii="Arial" w:hAnsi="Arial" w:cs="Arial"/>
          <w:sz w:val="20"/>
          <w:szCs w:val="20"/>
        </w:rPr>
        <w:t>nin yıllık büyümeye katkısı olmadı</w:t>
      </w:r>
      <w:r>
        <w:rPr>
          <w:rFonts w:ascii="Arial" w:hAnsi="Arial" w:cs="Arial"/>
          <w:sz w:val="20"/>
          <w:szCs w:val="20"/>
        </w:rPr>
        <w:t>.</w:t>
      </w:r>
      <w:r w:rsidR="00354A04">
        <w:rPr>
          <w:rFonts w:ascii="Arial" w:hAnsi="Arial" w:cs="Arial"/>
          <w:sz w:val="20"/>
          <w:szCs w:val="20"/>
        </w:rPr>
        <w:t xml:space="preserve"> </w:t>
      </w:r>
      <w:r w:rsidR="00603643">
        <w:rPr>
          <w:rFonts w:ascii="Arial" w:hAnsi="Arial" w:cs="Arial"/>
          <w:sz w:val="20"/>
          <w:szCs w:val="20"/>
        </w:rPr>
        <w:t>Böylece</w:t>
      </w:r>
      <w:r>
        <w:rPr>
          <w:rFonts w:ascii="Arial" w:hAnsi="Arial" w:cs="Arial"/>
          <w:sz w:val="20"/>
          <w:szCs w:val="20"/>
        </w:rPr>
        <w:t xml:space="preserve"> </w:t>
      </w:r>
      <w:r w:rsidR="00603643">
        <w:rPr>
          <w:rFonts w:ascii="Arial" w:hAnsi="Arial" w:cs="Arial"/>
          <w:sz w:val="20"/>
          <w:szCs w:val="20"/>
        </w:rPr>
        <w:t>g</w:t>
      </w:r>
      <w:r>
        <w:rPr>
          <w:rFonts w:ascii="Arial" w:hAnsi="Arial" w:cs="Arial"/>
          <w:sz w:val="20"/>
          <w:szCs w:val="20"/>
        </w:rPr>
        <w:t xml:space="preserve">eçen yıl </w:t>
      </w:r>
      <w:r w:rsidR="00AA5EC7">
        <w:rPr>
          <w:rFonts w:ascii="Arial" w:hAnsi="Arial" w:cs="Arial"/>
          <w:sz w:val="20"/>
          <w:szCs w:val="20"/>
        </w:rPr>
        <w:t xml:space="preserve">bir miktar canlanan </w:t>
      </w:r>
      <w:r w:rsidR="006F1199">
        <w:rPr>
          <w:rFonts w:ascii="Arial" w:hAnsi="Arial" w:cs="Arial"/>
          <w:sz w:val="20"/>
          <w:szCs w:val="20"/>
        </w:rPr>
        <w:t xml:space="preserve">özel kesim </w:t>
      </w:r>
      <w:r>
        <w:rPr>
          <w:rFonts w:ascii="Arial" w:hAnsi="Arial" w:cs="Arial"/>
          <w:sz w:val="20"/>
          <w:szCs w:val="20"/>
        </w:rPr>
        <w:t>iç tale</w:t>
      </w:r>
      <w:r w:rsidR="006F1199">
        <w:rPr>
          <w:rFonts w:ascii="Arial" w:hAnsi="Arial" w:cs="Arial"/>
          <w:sz w:val="20"/>
          <w:szCs w:val="20"/>
        </w:rPr>
        <w:t>bi</w:t>
      </w:r>
      <w:r>
        <w:rPr>
          <w:rFonts w:ascii="Arial" w:hAnsi="Arial" w:cs="Arial"/>
          <w:sz w:val="20"/>
          <w:szCs w:val="20"/>
        </w:rPr>
        <w:t xml:space="preserve"> </w:t>
      </w:r>
      <w:r w:rsidR="00354A04">
        <w:rPr>
          <w:rFonts w:ascii="Arial" w:hAnsi="Arial" w:cs="Arial"/>
          <w:sz w:val="20"/>
          <w:szCs w:val="20"/>
        </w:rPr>
        <w:t>201</w:t>
      </w:r>
      <w:r w:rsidR="00AA5EC7">
        <w:rPr>
          <w:rFonts w:ascii="Arial" w:hAnsi="Arial" w:cs="Arial"/>
          <w:sz w:val="20"/>
          <w:szCs w:val="20"/>
        </w:rPr>
        <w:t>4</w:t>
      </w:r>
      <w:r w:rsidR="00354A04">
        <w:rPr>
          <w:rFonts w:ascii="Arial" w:hAnsi="Arial" w:cs="Arial"/>
          <w:sz w:val="20"/>
          <w:szCs w:val="20"/>
        </w:rPr>
        <w:t xml:space="preserve">'de </w:t>
      </w:r>
      <w:r w:rsidR="00254B09">
        <w:rPr>
          <w:rFonts w:ascii="Arial" w:hAnsi="Arial" w:cs="Arial"/>
          <w:sz w:val="20"/>
          <w:szCs w:val="20"/>
        </w:rPr>
        <w:t>iyice zayıfladı</w:t>
      </w:r>
      <w:r>
        <w:rPr>
          <w:rFonts w:ascii="Arial" w:hAnsi="Arial" w:cs="Arial"/>
          <w:sz w:val="20"/>
          <w:szCs w:val="20"/>
        </w:rPr>
        <w:t>.</w:t>
      </w:r>
      <w:r w:rsidR="006F1199">
        <w:rPr>
          <w:rFonts w:ascii="Arial" w:hAnsi="Arial" w:cs="Arial"/>
          <w:sz w:val="20"/>
          <w:szCs w:val="20"/>
        </w:rPr>
        <w:t xml:space="preserve"> Kamu harcamalarının da destek vermemesi ile büyüme yüzde 4,2'den 2,9'a düştü.</w:t>
      </w:r>
      <w:r>
        <w:rPr>
          <w:rFonts w:ascii="Arial" w:hAnsi="Arial" w:cs="Arial"/>
          <w:sz w:val="20"/>
          <w:szCs w:val="20"/>
        </w:rPr>
        <w:t xml:space="preserve"> </w:t>
      </w:r>
    </w:p>
    <w:p w:rsidR="006F1199" w:rsidRDefault="006F1199" w:rsidP="006955AD">
      <w:pPr>
        <w:pStyle w:val="NormalWeb"/>
        <w:spacing w:before="0" w:beforeAutospacing="0" w:after="0" w:afterAutospacing="0" w:line="300" w:lineRule="atLeast"/>
        <w:jc w:val="both"/>
        <w:rPr>
          <w:rFonts w:ascii="Arial" w:hAnsi="Arial" w:cs="Arial"/>
          <w:sz w:val="20"/>
          <w:szCs w:val="20"/>
        </w:rPr>
      </w:pPr>
    </w:p>
    <w:p w:rsidR="006F1199" w:rsidRDefault="006F432C" w:rsidP="006955AD">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4. çeyrekte Gayri Safi Yurtiçi Hasıla (GSYH) bir önceki çeyreğe göre yüzde 0,7 artarken, geçtiğimiz yılın aynı çeyreğine göre artış yüzde 2,4 oldu.</w:t>
      </w:r>
      <w:r w:rsidRPr="00DD51D1">
        <w:rPr>
          <w:rFonts w:ascii="Arial" w:hAnsi="Arial" w:cs="Arial"/>
          <w:sz w:val="20"/>
          <w:szCs w:val="20"/>
        </w:rPr>
        <w:t xml:space="preserve"> </w:t>
      </w:r>
      <w:r w:rsidR="006F1199">
        <w:rPr>
          <w:rFonts w:ascii="Arial" w:hAnsi="Arial" w:cs="Arial"/>
          <w:sz w:val="20"/>
          <w:szCs w:val="20"/>
        </w:rPr>
        <w:t xml:space="preserve">4. çeyrekte büyümenin ana kaynağı tüketim oldu. Özel yatırım ve kamu harcamaları </w:t>
      </w:r>
      <w:r>
        <w:rPr>
          <w:rFonts w:ascii="Arial" w:hAnsi="Arial" w:cs="Arial"/>
          <w:sz w:val="20"/>
          <w:szCs w:val="20"/>
        </w:rPr>
        <w:t xml:space="preserve">büyümeye </w:t>
      </w:r>
      <w:r w:rsidR="006F1199">
        <w:rPr>
          <w:rFonts w:ascii="Arial" w:hAnsi="Arial" w:cs="Arial"/>
          <w:sz w:val="20"/>
          <w:szCs w:val="20"/>
        </w:rPr>
        <w:t xml:space="preserve">sıfıra yakın katkı yaptı. </w:t>
      </w:r>
      <w:r w:rsidR="00022A70">
        <w:rPr>
          <w:rFonts w:ascii="Arial" w:hAnsi="Arial" w:cs="Arial"/>
          <w:sz w:val="20"/>
          <w:szCs w:val="20"/>
        </w:rPr>
        <w:t>İhracat yüzde 1,6 azalırken ithal</w:t>
      </w:r>
      <w:r w:rsidR="003425CC">
        <w:rPr>
          <w:rFonts w:ascii="Arial" w:hAnsi="Arial" w:cs="Arial"/>
          <w:sz w:val="20"/>
          <w:szCs w:val="20"/>
        </w:rPr>
        <w:t>atta yüzde 9’luk artış görüldü</w:t>
      </w:r>
      <w:r w:rsidR="00022A70">
        <w:rPr>
          <w:rFonts w:ascii="Arial" w:hAnsi="Arial" w:cs="Arial"/>
          <w:sz w:val="20"/>
          <w:szCs w:val="20"/>
        </w:rPr>
        <w:t xml:space="preserve">. </w:t>
      </w:r>
      <w:r w:rsidR="006F1199">
        <w:rPr>
          <w:rFonts w:ascii="Arial" w:hAnsi="Arial" w:cs="Arial"/>
          <w:sz w:val="20"/>
          <w:szCs w:val="20"/>
        </w:rPr>
        <w:t>Stoklar</w:t>
      </w:r>
      <w:r w:rsidR="00022A70">
        <w:rPr>
          <w:rFonts w:ascii="Arial" w:hAnsi="Arial" w:cs="Arial"/>
          <w:sz w:val="20"/>
          <w:szCs w:val="20"/>
        </w:rPr>
        <w:t>da</w:t>
      </w:r>
      <w:r w:rsidR="006F1199">
        <w:rPr>
          <w:rFonts w:ascii="Arial" w:hAnsi="Arial" w:cs="Arial"/>
          <w:sz w:val="20"/>
          <w:szCs w:val="20"/>
        </w:rPr>
        <w:t xml:space="preserve"> </w:t>
      </w:r>
      <w:r w:rsidR="00022A70">
        <w:rPr>
          <w:rFonts w:ascii="Arial" w:hAnsi="Arial" w:cs="Arial"/>
          <w:sz w:val="20"/>
          <w:szCs w:val="20"/>
        </w:rPr>
        <w:t xml:space="preserve">ise </w:t>
      </w:r>
      <w:r w:rsidR="006F1199">
        <w:rPr>
          <w:rFonts w:ascii="Arial" w:hAnsi="Arial" w:cs="Arial"/>
          <w:sz w:val="20"/>
          <w:szCs w:val="20"/>
        </w:rPr>
        <w:t xml:space="preserve">beklenmedik şekilde </w:t>
      </w:r>
      <w:r w:rsidR="00C32712">
        <w:rPr>
          <w:rFonts w:ascii="Arial" w:hAnsi="Arial" w:cs="Arial"/>
          <w:sz w:val="20"/>
          <w:szCs w:val="20"/>
        </w:rPr>
        <w:t>artarak çeyreklik büyümeye</w:t>
      </w:r>
      <w:r w:rsidR="00022A70">
        <w:rPr>
          <w:rFonts w:ascii="Arial" w:hAnsi="Arial" w:cs="Arial"/>
          <w:sz w:val="20"/>
          <w:szCs w:val="20"/>
        </w:rPr>
        <w:t xml:space="preserve"> 2,5</w:t>
      </w:r>
      <w:r w:rsidR="00C32712">
        <w:rPr>
          <w:rFonts w:ascii="Arial" w:hAnsi="Arial" w:cs="Arial"/>
          <w:sz w:val="20"/>
          <w:szCs w:val="20"/>
        </w:rPr>
        <w:t xml:space="preserve"> yüzde puan katkı yaptı</w:t>
      </w:r>
      <w:r w:rsidR="00022A70">
        <w:rPr>
          <w:rFonts w:ascii="Arial" w:hAnsi="Arial" w:cs="Arial"/>
          <w:sz w:val="20"/>
          <w:szCs w:val="20"/>
        </w:rPr>
        <w:t>.</w:t>
      </w:r>
      <w:r w:rsidR="006F1199">
        <w:rPr>
          <w:rFonts w:ascii="Arial" w:hAnsi="Arial" w:cs="Arial"/>
          <w:sz w:val="20"/>
          <w:szCs w:val="20"/>
        </w:rPr>
        <w:t xml:space="preserve"> </w:t>
      </w:r>
    </w:p>
    <w:p w:rsidR="006F1199" w:rsidRDefault="006F1199" w:rsidP="006955AD">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 </w:t>
      </w:r>
    </w:p>
    <w:p w:rsidR="006F1199" w:rsidRDefault="006F1199" w:rsidP="006955AD">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2014 yılında cari açığın GSYH'a oranı yüzde 5,7 oldu. </w:t>
      </w:r>
      <w:r w:rsidR="009B6A34">
        <w:rPr>
          <w:rFonts w:ascii="Arial" w:hAnsi="Arial" w:cs="Arial"/>
          <w:sz w:val="20"/>
          <w:szCs w:val="20"/>
        </w:rPr>
        <w:t>2013’te</w:t>
      </w:r>
      <w:r>
        <w:rPr>
          <w:rFonts w:ascii="Arial" w:hAnsi="Arial" w:cs="Arial"/>
          <w:sz w:val="20"/>
          <w:szCs w:val="20"/>
        </w:rPr>
        <w:t xml:space="preserve"> bu oran yüzde 7,9 olmuştu. Altın hariç cari açık ise </w:t>
      </w:r>
      <w:r w:rsidR="00CE0A0D">
        <w:rPr>
          <w:rFonts w:ascii="Arial" w:hAnsi="Arial" w:cs="Arial"/>
          <w:sz w:val="20"/>
          <w:szCs w:val="20"/>
        </w:rPr>
        <w:t xml:space="preserve">iç talepteki yavaşlamanın etkisiyle </w:t>
      </w:r>
      <w:r>
        <w:rPr>
          <w:rFonts w:ascii="Arial" w:hAnsi="Arial" w:cs="Arial"/>
          <w:sz w:val="20"/>
          <w:szCs w:val="20"/>
        </w:rPr>
        <w:t>geçen seneki oran olan yüzde 6,</w:t>
      </w:r>
      <w:r w:rsidR="003B0931">
        <w:rPr>
          <w:rFonts w:ascii="Arial" w:hAnsi="Arial" w:cs="Arial"/>
          <w:sz w:val="20"/>
          <w:szCs w:val="20"/>
        </w:rPr>
        <w:t>5'de</w:t>
      </w:r>
      <w:r>
        <w:rPr>
          <w:rFonts w:ascii="Arial" w:hAnsi="Arial" w:cs="Arial"/>
          <w:sz w:val="20"/>
          <w:szCs w:val="20"/>
        </w:rPr>
        <w:t>n</w:t>
      </w:r>
      <w:r w:rsidR="003B0931">
        <w:rPr>
          <w:rFonts w:ascii="Arial" w:hAnsi="Arial" w:cs="Arial"/>
          <w:sz w:val="20"/>
          <w:szCs w:val="20"/>
        </w:rPr>
        <w:t xml:space="preserve"> yüzde</w:t>
      </w:r>
      <w:r>
        <w:rPr>
          <w:rFonts w:ascii="Arial" w:hAnsi="Arial" w:cs="Arial"/>
          <w:sz w:val="20"/>
          <w:szCs w:val="20"/>
        </w:rPr>
        <w:t xml:space="preserve"> </w:t>
      </w:r>
      <w:r w:rsidR="003B0931">
        <w:rPr>
          <w:rFonts w:ascii="Arial" w:hAnsi="Arial" w:cs="Arial"/>
          <w:sz w:val="20"/>
          <w:szCs w:val="20"/>
        </w:rPr>
        <w:t>5</w:t>
      </w:r>
      <w:r>
        <w:rPr>
          <w:rFonts w:ascii="Arial" w:hAnsi="Arial" w:cs="Arial"/>
          <w:sz w:val="20"/>
          <w:szCs w:val="20"/>
        </w:rPr>
        <w:t>,</w:t>
      </w:r>
      <w:r w:rsidR="003B0931">
        <w:rPr>
          <w:rFonts w:ascii="Arial" w:hAnsi="Arial" w:cs="Arial"/>
          <w:sz w:val="20"/>
          <w:szCs w:val="20"/>
        </w:rPr>
        <w:t>2</w:t>
      </w:r>
      <w:r>
        <w:rPr>
          <w:rFonts w:ascii="Arial" w:hAnsi="Arial" w:cs="Arial"/>
          <w:sz w:val="20"/>
          <w:szCs w:val="20"/>
        </w:rPr>
        <w:t>'</w:t>
      </w:r>
      <w:r w:rsidR="003B0931">
        <w:rPr>
          <w:rFonts w:ascii="Arial" w:hAnsi="Arial" w:cs="Arial"/>
          <w:sz w:val="20"/>
          <w:szCs w:val="20"/>
        </w:rPr>
        <w:t>y</w:t>
      </w:r>
      <w:r>
        <w:rPr>
          <w:rFonts w:ascii="Arial" w:hAnsi="Arial" w:cs="Arial"/>
          <w:sz w:val="20"/>
          <w:szCs w:val="20"/>
        </w:rPr>
        <w:t xml:space="preserve">e düştü. </w:t>
      </w:r>
      <w:bookmarkEnd w:id="0"/>
    </w:p>
    <w:p w:rsidR="006955AD" w:rsidRDefault="006955AD" w:rsidP="006955AD">
      <w:pPr>
        <w:pStyle w:val="NormalWeb"/>
        <w:spacing w:before="0" w:beforeAutospacing="0" w:after="0" w:afterAutospacing="0" w:line="300" w:lineRule="atLeast"/>
        <w:jc w:val="both"/>
        <w:rPr>
          <w:rFonts w:ascii="Arial" w:hAnsi="Arial" w:cs="Arial"/>
          <w:sz w:val="20"/>
          <w:szCs w:val="20"/>
        </w:rPr>
      </w:pPr>
    </w:p>
    <w:p w:rsidR="00C23A83" w:rsidRDefault="00C23A83" w:rsidP="00110EBA">
      <w:pPr>
        <w:pStyle w:val="NormalWeb"/>
        <w:spacing w:before="0" w:beforeAutospacing="0" w:after="0" w:afterAutospacing="0"/>
        <w:jc w:val="both"/>
        <w:rPr>
          <w:sz w:val="22"/>
          <w:szCs w:val="22"/>
        </w:rPr>
      </w:pPr>
    </w:p>
    <w:p w:rsidR="00A75D44" w:rsidRDefault="00A75D44" w:rsidP="00110EBA">
      <w:pPr>
        <w:pStyle w:val="NormalWeb"/>
        <w:spacing w:before="0" w:beforeAutospacing="0" w:after="0" w:afterAutospacing="0"/>
        <w:jc w:val="both"/>
        <w:rPr>
          <w:sz w:val="22"/>
          <w:szCs w:val="22"/>
        </w:rPr>
      </w:pPr>
    </w:p>
    <w:p w:rsidR="009575C3" w:rsidRPr="00C335E9" w:rsidRDefault="006103C7" w:rsidP="009575C3">
      <w:pPr>
        <w:pStyle w:val="NormalWeb"/>
        <w:spacing w:before="0" w:beforeAutospacing="0" w:after="0" w:afterAutospacing="0"/>
        <w:jc w:val="both"/>
        <w:rPr>
          <w:sz w:val="22"/>
          <w:szCs w:val="22"/>
        </w:rPr>
      </w:pPr>
      <w:r>
        <w:rPr>
          <w:noProof/>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W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8lqY3roCISu1sSI6e1YvZavrdIaWrlqgDjxRfLwbuZaGYyZsrYeMMPLDvP2sGMeTodazT&#10;ubFdgIQKoHOU43KXg589onA4WTxl8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"/>
            </w:pict>
          </mc:Fallback>
        </mc:AlternateContent>
      </w:r>
    </w:p>
    <w:p w:rsidR="009575C3" w:rsidRPr="007041DF" w:rsidRDefault="009575C3" w:rsidP="009575C3">
      <w:pPr>
        <w:pStyle w:val="NormalWeb"/>
        <w:spacing w:before="0" w:beforeAutospacing="0" w:after="0" w:afterAutospacing="0"/>
        <w:jc w:val="both"/>
        <w:rPr>
          <w:sz w:val="16"/>
          <w:szCs w:val="16"/>
        </w:rPr>
      </w:pPr>
      <w:r w:rsidRPr="009377F5">
        <w:rPr>
          <w:sz w:val="20"/>
          <w:szCs w:val="20"/>
        </w:rPr>
        <w:t xml:space="preserve">* </w:t>
      </w:r>
      <w:r w:rsidRPr="007041DF">
        <w:rPr>
          <w:rFonts w:ascii="Arial" w:hAnsi="Arial" w:cs="Arial"/>
          <w:sz w:val="16"/>
          <w:szCs w:val="16"/>
        </w:rPr>
        <w:t>Prof. Dr. Seyfettin Gürsel, Betam, Direktör</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rPr>
        <w:t xml:space="preserve">  Seyfettin.gursel@bahcesehir.edu.tr</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vertAlign w:val="superscript"/>
        </w:rPr>
        <w:t xml:space="preserve">† </w:t>
      </w:r>
      <w:r w:rsidRPr="007041DF">
        <w:rPr>
          <w:rFonts w:ascii="Arial" w:hAnsi="Arial" w:cs="Arial"/>
          <w:sz w:val="16"/>
          <w:szCs w:val="16"/>
        </w:rPr>
        <w:t>Dr. Zümrüt İmamoğlu, Betam, Uzman Araştırmacı.</w:t>
      </w:r>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rPr>
        <w:t xml:space="preserve">  </w:t>
      </w:r>
      <w:smartTag w:uri="urn:schemas-microsoft-com:office:smarttags" w:element="PersonName">
        <w:r w:rsidRPr="007041DF">
          <w:rPr>
            <w:rFonts w:ascii="Arial" w:hAnsi="Arial" w:cs="Arial"/>
            <w:sz w:val="16"/>
            <w:szCs w:val="16"/>
          </w:rPr>
          <w:t>zumrut.imamoglu@bahcesehir.edu.tr</w:t>
        </w:r>
      </w:smartTag>
    </w:p>
    <w:p w:rsidR="009575C3" w:rsidRPr="007041DF" w:rsidRDefault="009575C3" w:rsidP="009575C3">
      <w:pPr>
        <w:spacing w:line="288" w:lineRule="auto"/>
        <w:ind w:right="-318"/>
        <w:jc w:val="both"/>
        <w:rPr>
          <w:rFonts w:ascii="Arial" w:hAnsi="Arial" w:cs="Arial"/>
          <w:sz w:val="16"/>
          <w:szCs w:val="16"/>
        </w:rPr>
      </w:pPr>
      <w:r w:rsidRPr="007041DF">
        <w:rPr>
          <w:rFonts w:ascii="Arial" w:hAnsi="Arial" w:cs="Arial"/>
          <w:sz w:val="16"/>
          <w:szCs w:val="16"/>
          <w:vertAlign w:val="superscript"/>
        </w:rPr>
        <w:t xml:space="preserve">‡ </w:t>
      </w:r>
      <w:r w:rsidR="00A75D44">
        <w:rPr>
          <w:rFonts w:ascii="Arial" w:hAnsi="Arial" w:cs="Arial"/>
          <w:sz w:val="16"/>
          <w:szCs w:val="16"/>
        </w:rPr>
        <w:t>Barış Soybilgen</w:t>
      </w:r>
      <w:r w:rsidRPr="007041DF">
        <w:rPr>
          <w:rFonts w:ascii="Arial" w:hAnsi="Arial" w:cs="Arial"/>
          <w:sz w:val="16"/>
          <w:szCs w:val="16"/>
        </w:rPr>
        <w:t xml:space="preserve"> , Betam, Araştırma Görevlisi</w:t>
      </w:r>
    </w:p>
    <w:p w:rsidR="009575C3" w:rsidRPr="007041DF" w:rsidRDefault="00A75D44" w:rsidP="009575C3">
      <w:pPr>
        <w:spacing w:line="288" w:lineRule="auto"/>
        <w:ind w:right="-318"/>
        <w:jc w:val="both"/>
        <w:rPr>
          <w:rFonts w:ascii="Arial" w:hAnsi="Arial" w:cs="Arial"/>
          <w:b/>
          <w:sz w:val="16"/>
          <w:szCs w:val="16"/>
        </w:rPr>
      </w:pPr>
      <w:r>
        <w:rPr>
          <w:rFonts w:ascii="Arial" w:hAnsi="Arial" w:cs="Arial"/>
          <w:sz w:val="16"/>
          <w:szCs w:val="16"/>
        </w:rPr>
        <w:t xml:space="preserve">  baris.soybilgen</w:t>
      </w:r>
      <w:r w:rsidR="009575C3" w:rsidRPr="007041DF">
        <w:rPr>
          <w:rFonts w:ascii="Arial" w:hAnsi="Arial" w:cs="Arial"/>
          <w:sz w:val="16"/>
          <w:szCs w:val="16"/>
        </w:rPr>
        <w:t>@bahcesehir.edu.tr</w:t>
      </w:r>
    </w:p>
    <w:p w:rsidR="00A75D44" w:rsidRDefault="00A75D44" w:rsidP="00C335E9">
      <w:pPr>
        <w:spacing w:line="288" w:lineRule="auto"/>
        <w:ind w:right="77"/>
        <w:jc w:val="both"/>
        <w:rPr>
          <w:rFonts w:ascii="Arial" w:hAnsi="Arial" w:cs="Arial"/>
          <w:b/>
          <w:sz w:val="20"/>
          <w:szCs w:val="20"/>
        </w:rPr>
      </w:pPr>
    </w:p>
    <w:p w:rsidR="00915B9C" w:rsidRDefault="00915B9C" w:rsidP="00C335E9">
      <w:pPr>
        <w:spacing w:line="288" w:lineRule="auto"/>
        <w:ind w:right="77"/>
        <w:jc w:val="both"/>
        <w:rPr>
          <w:rFonts w:ascii="Arial" w:hAnsi="Arial" w:cs="Arial"/>
          <w:b/>
          <w:sz w:val="20"/>
          <w:szCs w:val="20"/>
        </w:rPr>
      </w:pPr>
    </w:p>
    <w:p w:rsidR="00C335E9" w:rsidRPr="00F428BE" w:rsidRDefault="00C335E9" w:rsidP="00C335E9">
      <w:pPr>
        <w:spacing w:line="288" w:lineRule="auto"/>
        <w:ind w:right="77"/>
        <w:jc w:val="both"/>
        <w:rPr>
          <w:rFonts w:ascii="Arial" w:hAnsi="Arial" w:cs="Arial"/>
          <w:b/>
          <w:sz w:val="20"/>
          <w:szCs w:val="20"/>
        </w:rPr>
      </w:pPr>
      <w:r w:rsidRPr="00F428BE">
        <w:rPr>
          <w:rFonts w:ascii="Arial" w:hAnsi="Arial" w:cs="Arial"/>
          <w:b/>
          <w:sz w:val="20"/>
          <w:szCs w:val="20"/>
        </w:rPr>
        <w:t xml:space="preserve">Şekil 1: GSYH alt kalemlerinin </w:t>
      </w:r>
      <w:r w:rsidR="00A75D44">
        <w:rPr>
          <w:rFonts w:ascii="Arial" w:hAnsi="Arial" w:cs="Arial"/>
          <w:b/>
          <w:sz w:val="20"/>
          <w:szCs w:val="20"/>
        </w:rPr>
        <w:t>yıllık (201</w:t>
      </w:r>
      <w:r w:rsidR="000C16A7">
        <w:rPr>
          <w:rFonts w:ascii="Arial" w:hAnsi="Arial" w:cs="Arial"/>
          <w:b/>
          <w:sz w:val="20"/>
          <w:szCs w:val="20"/>
        </w:rPr>
        <w:t>3</w:t>
      </w:r>
      <w:r w:rsidR="00A75D44">
        <w:rPr>
          <w:rFonts w:ascii="Arial" w:hAnsi="Arial" w:cs="Arial"/>
          <w:b/>
          <w:sz w:val="20"/>
          <w:szCs w:val="20"/>
        </w:rPr>
        <w:t xml:space="preserve"> yılından 201</w:t>
      </w:r>
      <w:r w:rsidR="000C16A7">
        <w:rPr>
          <w:rFonts w:ascii="Arial" w:hAnsi="Arial" w:cs="Arial"/>
          <w:b/>
          <w:sz w:val="20"/>
          <w:szCs w:val="20"/>
        </w:rPr>
        <w:t>4</w:t>
      </w:r>
      <w:r w:rsidR="00A75D44">
        <w:rPr>
          <w:rFonts w:ascii="Arial" w:hAnsi="Arial" w:cs="Arial"/>
          <w:b/>
          <w:sz w:val="20"/>
          <w:szCs w:val="20"/>
        </w:rPr>
        <w:t xml:space="preserve"> yılına)</w:t>
      </w:r>
      <w:r w:rsidR="007868A5">
        <w:rPr>
          <w:rFonts w:ascii="Arial" w:hAnsi="Arial" w:cs="Arial"/>
          <w:b/>
          <w:sz w:val="20"/>
          <w:szCs w:val="20"/>
        </w:rPr>
        <w:t xml:space="preserve"> </w:t>
      </w:r>
      <w:r w:rsidRPr="00F428BE">
        <w:rPr>
          <w:rFonts w:ascii="Arial" w:hAnsi="Arial" w:cs="Arial"/>
          <w:b/>
          <w:sz w:val="20"/>
          <w:szCs w:val="20"/>
        </w:rPr>
        <w:t>değişim</w:t>
      </w:r>
      <w:r w:rsidR="007868A5">
        <w:rPr>
          <w:rFonts w:ascii="Arial" w:hAnsi="Arial" w:cs="Arial"/>
          <w:b/>
          <w:sz w:val="20"/>
          <w:szCs w:val="20"/>
        </w:rPr>
        <w:t>ler</w:t>
      </w:r>
      <w:r w:rsidRPr="00F428BE">
        <w:rPr>
          <w:rFonts w:ascii="Arial" w:hAnsi="Arial" w:cs="Arial"/>
          <w:b/>
          <w:sz w:val="20"/>
          <w:szCs w:val="20"/>
        </w:rPr>
        <w:t>i</w:t>
      </w:r>
    </w:p>
    <w:p w:rsidR="00C335E9" w:rsidRPr="00A75D44" w:rsidRDefault="000C16A7" w:rsidP="00C335E9">
      <w:pPr>
        <w:spacing w:line="288" w:lineRule="auto"/>
        <w:ind w:right="77"/>
        <w:jc w:val="both"/>
        <w:rPr>
          <w:rFonts w:ascii="Arial" w:hAnsi="Arial" w:cs="Arial"/>
          <w:sz w:val="20"/>
          <w:szCs w:val="20"/>
        </w:rPr>
      </w:pPr>
      <w:r w:rsidRPr="000C16A7">
        <w:rPr>
          <w:noProof/>
          <w:szCs w:val="20"/>
        </w:rPr>
        <w:drawing>
          <wp:inline distT="0" distB="0" distL="0" distR="0">
            <wp:extent cx="3020695" cy="18668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20695" cy="1866880"/>
                    </a:xfrm>
                    <a:prstGeom prst="rect">
                      <a:avLst/>
                    </a:prstGeom>
                    <a:noFill/>
                    <a:ln w="9525">
                      <a:noFill/>
                      <a:miter lim="800000"/>
                      <a:headEnd/>
                      <a:tailEnd/>
                    </a:ln>
                  </pic:spPr>
                </pic:pic>
              </a:graphicData>
            </a:graphic>
          </wp:inline>
        </w:drawing>
      </w:r>
    </w:p>
    <w:p w:rsidR="00C335E9" w:rsidRPr="005B3336" w:rsidRDefault="0024217A" w:rsidP="00C335E9">
      <w:pPr>
        <w:spacing w:line="288" w:lineRule="auto"/>
        <w:ind w:right="77"/>
        <w:jc w:val="both"/>
        <w:rPr>
          <w:rFonts w:ascii="Arial" w:hAnsi="Arial" w:cs="Arial"/>
          <w:sz w:val="16"/>
          <w:szCs w:val="16"/>
        </w:rPr>
      </w:pPr>
      <w:r>
        <w:rPr>
          <w:rFonts w:ascii="Arial" w:hAnsi="Arial" w:cs="Arial"/>
          <w:sz w:val="16"/>
          <w:szCs w:val="16"/>
        </w:rPr>
        <w:t>Kaynak : TÜİK.</w:t>
      </w:r>
    </w:p>
    <w:p w:rsidR="00726749" w:rsidRDefault="00726749" w:rsidP="00726749">
      <w:pPr>
        <w:spacing w:line="288" w:lineRule="auto"/>
        <w:ind w:right="77"/>
        <w:jc w:val="both"/>
        <w:rPr>
          <w:rFonts w:ascii="Arial" w:hAnsi="Arial" w:cs="Arial"/>
          <w:b/>
          <w:sz w:val="20"/>
          <w:szCs w:val="20"/>
        </w:rPr>
      </w:pPr>
    </w:p>
    <w:p w:rsidR="005C0522" w:rsidRDefault="005C0522" w:rsidP="00726749">
      <w:pPr>
        <w:spacing w:line="288" w:lineRule="auto"/>
        <w:ind w:right="77"/>
        <w:jc w:val="both"/>
        <w:rPr>
          <w:rFonts w:ascii="Arial" w:hAnsi="Arial" w:cs="Arial"/>
          <w:b/>
          <w:sz w:val="20"/>
          <w:szCs w:val="20"/>
        </w:rPr>
      </w:pPr>
    </w:p>
    <w:p w:rsidR="00726749" w:rsidRPr="00700658" w:rsidRDefault="00726749" w:rsidP="00726749">
      <w:pPr>
        <w:spacing w:line="288" w:lineRule="auto"/>
        <w:ind w:right="77"/>
        <w:jc w:val="both"/>
        <w:rPr>
          <w:rFonts w:ascii="Arial" w:hAnsi="Arial" w:cs="Arial"/>
          <w:b/>
          <w:sz w:val="20"/>
          <w:szCs w:val="20"/>
        </w:rPr>
      </w:pPr>
      <w:r>
        <w:rPr>
          <w:rFonts w:ascii="Arial" w:hAnsi="Arial" w:cs="Arial"/>
          <w:b/>
          <w:sz w:val="20"/>
          <w:szCs w:val="20"/>
        </w:rPr>
        <w:t>Şekil 2</w:t>
      </w:r>
      <w:r w:rsidRPr="00700658">
        <w:rPr>
          <w:rFonts w:ascii="Arial" w:hAnsi="Arial" w:cs="Arial"/>
          <w:b/>
          <w:sz w:val="20"/>
          <w:szCs w:val="20"/>
        </w:rPr>
        <w:t xml:space="preserve">: </w:t>
      </w:r>
      <w:r>
        <w:rPr>
          <w:rFonts w:ascii="Arial" w:hAnsi="Arial" w:cs="Arial"/>
          <w:b/>
          <w:sz w:val="20"/>
          <w:szCs w:val="20"/>
        </w:rPr>
        <w:t>Alt k</w:t>
      </w:r>
      <w:r w:rsidRPr="00700658">
        <w:rPr>
          <w:rFonts w:ascii="Arial" w:hAnsi="Arial" w:cs="Arial"/>
          <w:b/>
          <w:sz w:val="20"/>
          <w:szCs w:val="20"/>
        </w:rPr>
        <w:t>alemlerine</w:t>
      </w:r>
      <w:r>
        <w:rPr>
          <w:rFonts w:ascii="Arial" w:hAnsi="Arial" w:cs="Arial"/>
          <w:b/>
          <w:sz w:val="20"/>
          <w:szCs w:val="20"/>
        </w:rPr>
        <w:t xml:space="preserve"> göre </w:t>
      </w:r>
      <w:r w:rsidR="00A75D44">
        <w:rPr>
          <w:rFonts w:ascii="Arial" w:hAnsi="Arial" w:cs="Arial"/>
          <w:b/>
          <w:sz w:val="20"/>
          <w:szCs w:val="20"/>
        </w:rPr>
        <w:t>201</w:t>
      </w:r>
      <w:r w:rsidR="000C16A7">
        <w:rPr>
          <w:rFonts w:ascii="Arial" w:hAnsi="Arial" w:cs="Arial"/>
          <w:b/>
          <w:sz w:val="20"/>
          <w:szCs w:val="20"/>
        </w:rPr>
        <w:t>4</w:t>
      </w:r>
      <w:r w:rsidR="007868A5">
        <w:rPr>
          <w:rFonts w:ascii="Arial" w:hAnsi="Arial" w:cs="Arial"/>
          <w:b/>
          <w:sz w:val="20"/>
          <w:szCs w:val="20"/>
        </w:rPr>
        <w:t xml:space="preserve"> yılı büyümesine katkılar</w:t>
      </w:r>
    </w:p>
    <w:p w:rsidR="00726749" w:rsidRPr="00A75D44" w:rsidRDefault="000C16A7" w:rsidP="00726749">
      <w:pPr>
        <w:spacing w:line="288" w:lineRule="auto"/>
        <w:ind w:right="77"/>
        <w:jc w:val="both"/>
        <w:rPr>
          <w:rFonts w:ascii="Arial" w:hAnsi="Arial" w:cs="Arial"/>
          <w:sz w:val="20"/>
          <w:szCs w:val="20"/>
        </w:rPr>
      </w:pPr>
      <w:r w:rsidRPr="000C16A7">
        <w:rPr>
          <w:noProof/>
          <w:szCs w:val="20"/>
        </w:rPr>
        <w:drawing>
          <wp:inline distT="0" distB="0" distL="0" distR="0">
            <wp:extent cx="3020695" cy="205803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20695" cy="2058030"/>
                    </a:xfrm>
                    <a:prstGeom prst="rect">
                      <a:avLst/>
                    </a:prstGeom>
                    <a:noFill/>
                    <a:ln w="9525">
                      <a:noFill/>
                      <a:miter lim="800000"/>
                      <a:headEnd/>
                      <a:tailEnd/>
                    </a:ln>
                  </pic:spPr>
                </pic:pic>
              </a:graphicData>
            </a:graphic>
          </wp:inline>
        </w:drawing>
      </w:r>
    </w:p>
    <w:p w:rsidR="00C402A3" w:rsidRPr="005B3336" w:rsidRDefault="0024217A" w:rsidP="00633C51">
      <w:pPr>
        <w:spacing w:line="288" w:lineRule="auto"/>
        <w:ind w:right="77"/>
        <w:jc w:val="both"/>
        <w:rPr>
          <w:rFonts w:ascii="Arial" w:hAnsi="Arial" w:cs="Arial"/>
          <w:sz w:val="16"/>
          <w:szCs w:val="16"/>
        </w:rPr>
      </w:pPr>
      <w:r>
        <w:rPr>
          <w:rFonts w:ascii="Arial" w:hAnsi="Arial" w:cs="Arial"/>
          <w:sz w:val="16"/>
          <w:szCs w:val="16"/>
        </w:rPr>
        <w:t>Kaynak : TÜİK.</w:t>
      </w:r>
    </w:p>
    <w:p w:rsidR="00E333BE" w:rsidRDefault="00E333BE" w:rsidP="009575C3">
      <w:pPr>
        <w:pStyle w:val="NormalWeb"/>
        <w:spacing w:before="0" w:beforeAutospacing="0" w:after="0" w:afterAutospacing="0"/>
        <w:jc w:val="both"/>
        <w:rPr>
          <w:b/>
          <w:sz w:val="22"/>
          <w:szCs w:val="22"/>
        </w:rPr>
      </w:pPr>
    </w:p>
    <w:p w:rsidR="007F4650" w:rsidRDefault="007F4650" w:rsidP="009575C3">
      <w:pPr>
        <w:pStyle w:val="NormalWeb"/>
        <w:spacing w:before="0" w:beforeAutospacing="0" w:after="0" w:afterAutospacing="0"/>
        <w:jc w:val="both"/>
        <w:rPr>
          <w:b/>
          <w:sz w:val="22"/>
          <w:szCs w:val="22"/>
        </w:rPr>
      </w:pPr>
    </w:p>
    <w:p w:rsidR="00B207BA" w:rsidRDefault="00B207BA" w:rsidP="00B207BA">
      <w:pPr>
        <w:pStyle w:val="NormalWeb"/>
        <w:spacing w:before="0" w:beforeAutospacing="0" w:after="0" w:afterAutospacing="0" w:line="300" w:lineRule="atLeast"/>
        <w:jc w:val="center"/>
        <w:rPr>
          <w:rFonts w:ascii="Arial" w:hAnsi="Arial" w:cs="Arial"/>
          <w:b/>
          <w:sz w:val="20"/>
          <w:szCs w:val="20"/>
        </w:rPr>
      </w:pPr>
    </w:p>
    <w:p w:rsidR="003C6611" w:rsidRDefault="003C6611" w:rsidP="00B207BA">
      <w:pPr>
        <w:pStyle w:val="NormalWeb"/>
        <w:spacing w:before="0" w:beforeAutospacing="0" w:after="0" w:afterAutospacing="0" w:line="300" w:lineRule="atLeast"/>
        <w:jc w:val="center"/>
        <w:rPr>
          <w:rFonts w:ascii="Arial" w:hAnsi="Arial" w:cs="Arial"/>
          <w:b/>
          <w:sz w:val="20"/>
          <w:szCs w:val="20"/>
        </w:rPr>
      </w:pPr>
    </w:p>
    <w:p w:rsidR="00806083" w:rsidRDefault="00806083" w:rsidP="00B207BA">
      <w:pPr>
        <w:pStyle w:val="NormalWeb"/>
        <w:spacing w:before="0" w:beforeAutospacing="0" w:after="0" w:afterAutospacing="0" w:line="300" w:lineRule="atLeast"/>
        <w:jc w:val="center"/>
        <w:rPr>
          <w:rFonts w:ascii="Arial" w:hAnsi="Arial" w:cs="Arial"/>
          <w:b/>
          <w:sz w:val="20"/>
          <w:szCs w:val="20"/>
        </w:rPr>
      </w:pPr>
    </w:p>
    <w:p w:rsidR="00983DBF" w:rsidRDefault="00983DBF" w:rsidP="00B207BA">
      <w:pPr>
        <w:pStyle w:val="NormalWeb"/>
        <w:spacing w:before="0" w:beforeAutospacing="0" w:after="0" w:afterAutospacing="0" w:line="300" w:lineRule="atLeast"/>
        <w:jc w:val="center"/>
        <w:rPr>
          <w:rFonts w:ascii="Arial" w:hAnsi="Arial" w:cs="Arial"/>
          <w:b/>
          <w:sz w:val="20"/>
          <w:szCs w:val="20"/>
        </w:rPr>
      </w:pPr>
    </w:p>
    <w:p w:rsidR="009575C3" w:rsidRPr="00B207BA" w:rsidRDefault="0072762E" w:rsidP="00B207BA">
      <w:pPr>
        <w:pStyle w:val="NormalWeb"/>
        <w:spacing w:before="0" w:beforeAutospacing="0" w:after="0" w:afterAutospacing="0" w:line="300" w:lineRule="atLeast"/>
        <w:jc w:val="center"/>
        <w:rPr>
          <w:rFonts w:ascii="Arial" w:hAnsi="Arial" w:cs="Arial"/>
          <w:b/>
          <w:sz w:val="20"/>
          <w:szCs w:val="20"/>
        </w:rPr>
      </w:pPr>
      <w:r w:rsidRPr="00B207BA">
        <w:rPr>
          <w:rFonts w:ascii="Arial" w:hAnsi="Arial" w:cs="Arial"/>
          <w:b/>
          <w:sz w:val="20"/>
          <w:szCs w:val="20"/>
        </w:rPr>
        <w:lastRenderedPageBreak/>
        <w:t xml:space="preserve">İç talep </w:t>
      </w:r>
      <w:r w:rsidR="003C6611">
        <w:rPr>
          <w:rFonts w:ascii="Arial" w:hAnsi="Arial" w:cs="Arial"/>
          <w:b/>
          <w:sz w:val="20"/>
          <w:szCs w:val="20"/>
        </w:rPr>
        <w:t>zayıfladı</w:t>
      </w:r>
      <w:r w:rsidR="00075E9D">
        <w:rPr>
          <w:rFonts w:ascii="Arial" w:hAnsi="Arial" w:cs="Arial"/>
          <w:b/>
          <w:sz w:val="20"/>
          <w:szCs w:val="20"/>
        </w:rPr>
        <w:t>, büyüme yavaşladı</w:t>
      </w:r>
    </w:p>
    <w:p w:rsidR="009575C3" w:rsidRPr="00B207BA" w:rsidRDefault="009575C3" w:rsidP="00B207BA">
      <w:pPr>
        <w:pStyle w:val="NormalWeb"/>
        <w:spacing w:before="0" w:beforeAutospacing="0" w:after="0" w:afterAutospacing="0" w:line="300" w:lineRule="atLeast"/>
        <w:rPr>
          <w:rFonts w:ascii="Arial" w:hAnsi="Arial" w:cs="Arial"/>
          <w:sz w:val="20"/>
          <w:szCs w:val="20"/>
        </w:rPr>
      </w:pPr>
    </w:p>
    <w:p w:rsidR="00075E9D" w:rsidRDefault="00075E9D"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Türkiye ekonomisi 2014 yılında yavaşladı. 2013 yılında yüzde 4,2 olan büyüme oranı, 2014'de yüzde 2,9'a düştü. Yavaşlamanın ardındaki ana neden iç tale</w:t>
      </w:r>
      <w:r w:rsidR="00421BC8">
        <w:rPr>
          <w:rFonts w:ascii="Arial" w:hAnsi="Arial" w:cs="Arial"/>
          <w:sz w:val="20"/>
          <w:szCs w:val="20"/>
        </w:rPr>
        <w:t>bin zayıflaması oldu. İç talebi özel ve kamu harcamaları olarak ayırdığımızda, kamunun 2014 yılında harcamalarını yalnızca yüzde 0,5 gibi çok küçük bir oranda artırdığını ve büyümeye 0,1 yüzde puan katkı yaptığını görüyoruz. Oysa ki 2013 yılında kamu harcamaları yüzde 11,3 oranında artmış ve büyümeye 1,7 yüzde puan katkı yapmıştı. Mali</w:t>
      </w:r>
      <w:r w:rsidR="009B6A34">
        <w:rPr>
          <w:rFonts w:ascii="Arial" w:hAnsi="Arial" w:cs="Arial"/>
          <w:sz w:val="20"/>
          <w:szCs w:val="20"/>
        </w:rPr>
        <w:t>ye</w:t>
      </w:r>
      <w:r w:rsidR="00421BC8">
        <w:rPr>
          <w:rFonts w:ascii="Arial" w:hAnsi="Arial" w:cs="Arial"/>
          <w:sz w:val="20"/>
          <w:szCs w:val="20"/>
        </w:rPr>
        <w:t xml:space="preserve"> politika</w:t>
      </w:r>
      <w:r w:rsidR="009B6A34">
        <w:rPr>
          <w:rFonts w:ascii="Arial" w:hAnsi="Arial" w:cs="Arial"/>
          <w:sz w:val="20"/>
          <w:szCs w:val="20"/>
        </w:rPr>
        <w:t>sı</w:t>
      </w:r>
      <w:r w:rsidR="00421BC8">
        <w:rPr>
          <w:rFonts w:ascii="Arial" w:hAnsi="Arial" w:cs="Arial"/>
          <w:sz w:val="20"/>
          <w:szCs w:val="20"/>
        </w:rPr>
        <w:t>nın sıkılaştırılması</w:t>
      </w:r>
      <w:r w:rsidR="009B6A34">
        <w:rPr>
          <w:rFonts w:ascii="Arial" w:hAnsi="Arial" w:cs="Arial"/>
          <w:sz w:val="20"/>
          <w:szCs w:val="20"/>
        </w:rPr>
        <w:t>nın</w:t>
      </w:r>
      <w:r w:rsidR="00421BC8">
        <w:rPr>
          <w:rFonts w:ascii="Arial" w:hAnsi="Arial" w:cs="Arial"/>
          <w:sz w:val="20"/>
          <w:szCs w:val="20"/>
        </w:rPr>
        <w:t xml:space="preserve"> büyümenin yavaşlamasında önemli bir payı olduğunu görüyoruz. </w:t>
      </w:r>
    </w:p>
    <w:p w:rsidR="00421BC8" w:rsidRDefault="00421BC8" w:rsidP="00B207BA">
      <w:pPr>
        <w:pStyle w:val="NormalWeb"/>
        <w:spacing w:before="0" w:beforeAutospacing="0" w:after="0" w:afterAutospacing="0" w:line="300" w:lineRule="atLeast"/>
        <w:jc w:val="both"/>
        <w:rPr>
          <w:rFonts w:ascii="Arial" w:hAnsi="Arial" w:cs="Arial"/>
          <w:sz w:val="20"/>
          <w:szCs w:val="20"/>
        </w:rPr>
      </w:pPr>
    </w:p>
    <w:p w:rsidR="003C6611" w:rsidRDefault="00421BC8"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Özel kesim iç talebinde ise yavaşlama tüketim harcamalarından kaynaklanıyor. </w:t>
      </w:r>
      <w:r w:rsidR="003C6611">
        <w:rPr>
          <w:rFonts w:ascii="Arial" w:hAnsi="Arial" w:cs="Arial"/>
          <w:sz w:val="20"/>
          <w:szCs w:val="20"/>
        </w:rPr>
        <w:t>Tüketim harcamaları 2013 yılında yüzde 5,1 artmış ve büyümeye 3,4 yüzde puan katkı yapmıştı. 2014 yılında ise tüketim yalnızca yüzde 1,3 oranında arttı ve büyümeye 0,9 yüzde puan katkı yaptı.</w:t>
      </w:r>
      <w:r w:rsidR="0072762E" w:rsidRPr="00B207BA">
        <w:rPr>
          <w:rFonts w:ascii="Arial" w:hAnsi="Arial" w:cs="Arial"/>
          <w:sz w:val="20"/>
          <w:szCs w:val="20"/>
        </w:rPr>
        <w:t xml:space="preserve"> </w:t>
      </w:r>
      <w:r w:rsidR="003C6611">
        <w:rPr>
          <w:rFonts w:ascii="Arial" w:hAnsi="Arial" w:cs="Arial"/>
          <w:sz w:val="20"/>
          <w:szCs w:val="20"/>
        </w:rPr>
        <w:t>Tüketimdeki bu yavaşlama özellikle yılın ilk yarısında gerçekleşti</w:t>
      </w:r>
      <w:r w:rsidR="00983DBF">
        <w:rPr>
          <w:rFonts w:ascii="Arial" w:hAnsi="Arial" w:cs="Arial"/>
          <w:sz w:val="20"/>
          <w:szCs w:val="20"/>
        </w:rPr>
        <w:t xml:space="preserve"> (Şekil 3</w:t>
      </w:r>
      <w:r w:rsidR="00FE4186">
        <w:rPr>
          <w:rFonts w:ascii="Arial" w:hAnsi="Arial" w:cs="Arial"/>
          <w:sz w:val="20"/>
          <w:szCs w:val="20"/>
        </w:rPr>
        <w:t>)</w:t>
      </w:r>
      <w:r w:rsidR="003C6611">
        <w:rPr>
          <w:rFonts w:ascii="Arial" w:hAnsi="Arial" w:cs="Arial"/>
          <w:sz w:val="20"/>
          <w:szCs w:val="20"/>
        </w:rPr>
        <w:t xml:space="preserve">. </w:t>
      </w:r>
      <w:r w:rsidR="00075E9D">
        <w:rPr>
          <w:rFonts w:ascii="Arial" w:hAnsi="Arial" w:cs="Arial"/>
          <w:sz w:val="20"/>
          <w:szCs w:val="20"/>
        </w:rPr>
        <w:t>İlk</w:t>
      </w:r>
      <w:r w:rsidR="003C6611">
        <w:rPr>
          <w:rFonts w:ascii="Arial" w:hAnsi="Arial" w:cs="Arial"/>
          <w:sz w:val="20"/>
          <w:szCs w:val="20"/>
        </w:rPr>
        <w:t xml:space="preserve"> çeyrek</w:t>
      </w:r>
      <w:r w:rsidR="00046455">
        <w:rPr>
          <w:rFonts w:ascii="Arial" w:hAnsi="Arial" w:cs="Arial"/>
          <w:sz w:val="20"/>
          <w:szCs w:val="20"/>
        </w:rPr>
        <w:t xml:space="preserve">te </w:t>
      </w:r>
      <w:r w:rsidR="003C6611">
        <w:rPr>
          <w:rFonts w:ascii="Arial" w:hAnsi="Arial" w:cs="Arial"/>
          <w:sz w:val="20"/>
          <w:szCs w:val="20"/>
        </w:rPr>
        <w:t>bir önceki çeyreğe göre</w:t>
      </w:r>
      <w:r w:rsidR="00046455">
        <w:rPr>
          <w:rFonts w:ascii="Arial" w:hAnsi="Arial" w:cs="Arial"/>
          <w:sz w:val="20"/>
          <w:szCs w:val="20"/>
        </w:rPr>
        <w:t xml:space="preserve"> tüketim yüzde 1,2 oranında azaldı. Bunu takiben ikinci çeyrekte neredeyse hiç artış göstermezken</w:t>
      </w:r>
      <w:r w:rsidR="003C6611">
        <w:rPr>
          <w:rFonts w:ascii="Arial" w:hAnsi="Arial" w:cs="Arial"/>
          <w:sz w:val="20"/>
          <w:szCs w:val="20"/>
        </w:rPr>
        <w:t xml:space="preserve"> </w:t>
      </w:r>
      <w:r w:rsidR="00046455">
        <w:rPr>
          <w:rFonts w:ascii="Arial" w:hAnsi="Arial" w:cs="Arial"/>
          <w:sz w:val="20"/>
          <w:szCs w:val="20"/>
        </w:rPr>
        <w:t>y</w:t>
      </w:r>
      <w:r w:rsidR="00D550A5">
        <w:rPr>
          <w:rFonts w:ascii="Arial" w:hAnsi="Arial" w:cs="Arial"/>
          <w:sz w:val="20"/>
          <w:szCs w:val="20"/>
        </w:rPr>
        <w:t xml:space="preserve">ılın son iki çeyreğinde canlanarak sırasıyla yüzde 1,7 ve 1,4 oranlarında artış gösterdi. </w:t>
      </w:r>
      <w:r w:rsidR="00637B8E">
        <w:rPr>
          <w:rFonts w:ascii="Arial" w:hAnsi="Arial" w:cs="Arial"/>
          <w:sz w:val="20"/>
          <w:szCs w:val="20"/>
        </w:rPr>
        <w:t>Ancak bu artışlar tüketim harcamalarının bir önceki yılki eğilimine kıyasla zayıf kaldı ve tüketim talebi yavaşladı.</w:t>
      </w:r>
      <w:r w:rsidR="00CA4FAE">
        <w:rPr>
          <w:rFonts w:ascii="Arial" w:hAnsi="Arial" w:cs="Arial"/>
          <w:sz w:val="20"/>
          <w:szCs w:val="20"/>
        </w:rPr>
        <w:t xml:space="preserve"> </w:t>
      </w:r>
    </w:p>
    <w:p w:rsidR="00637B8E" w:rsidRDefault="00637B8E" w:rsidP="00B207BA">
      <w:pPr>
        <w:pStyle w:val="NormalWeb"/>
        <w:spacing w:before="0" w:beforeAutospacing="0" w:after="0" w:afterAutospacing="0" w:line="300" w:lineRule="atLeast"/>
        <w:jc w:val="both"/>
        <w:rPr>
          <w:rFonts w:ascii="Arial" w:hAnsi="Arial" w:cs="Arial"/>
          <w:sz w:val="20"/>
          <w:szCs w:val="20"/>
        </w:rPr>
      </w:pPr>
    </w:p>
    <w:p w:rsidR="00E51E5A" w:rsidRDefault="00E51E5A" w:rsidP="00E51E5A">
      <w:pPr>
        <w:pStyle w:val="NormalWeb"/>
        <w:spacing w:before="0" w:beforeAutospacing="0" w:after="0" w:afterAutospacing="0" w:line="300" w:lineRule="atLeast"/>
        <w:jc w:val="center"/>
        <w:rPr>
          <w:rFonts w:ascii="Arial" w:hAnsi="Arial" w:cs="Arial"/>
          <w:b/>
          <w:sz w:val="20"/>
          <w:szCs w:val="20"/>
        </w:rPr>
      </w:pPr>
      <w:r w:rsidRPr="00E51E5A">
        <w:rPr>
          <w:rFonts w:ascii="Arial" w:hAnsi="Arial" w:cs="Arial"/>
          <w:b/>
          <w:sz w:val="20"/>
          <w:szCs w:val="20"/>
        </w:rPr>
        <w:t>Yatırımlar yine</w:t>
      </w:r>
      <w:r>
        <w:rPr>
          <w:rFonts w:ascii="Arial" w:hAnsi="Arial" w:cs="Arial"/>
          <w:b/>
          <w:sz w:val="20"/>
          <w:szCs w:val="20"/>
        </w:rPr>
        <w:t xml:space="preserve"> katkı yapmadı</w:t>
      </w:r>
    </w:p>
    <w:p w:rsidR="00E51E5A" w:rsidRPr="00E51E5A" w:rsidRDefault="00E51E5A" w:rsidP="00E51E5A">
      <w:pPr>
        <w:pStyle w:val="NormalWeb"/>
        <w:spacing w:before="0" w:beforeAutospacing="0" w:after="0" w:afterAutospacing="0" w:line="300" w:lineRule="atLeast"/>
        <w:jc w:val="center"/>
        <w:rPr>
          <w:rFonts w:ascii="Arial" w:hAnsi="Arial" w:cs="Arial"/>
          <w:b/>
          <w:sz w:val="20"/>
          <w:szCs w:val="20"/>
        </w:rPr>
      </w:pPr>
    </w:p>
    <w:p w:rsidR="00637B8E" w:rsidRDefault="00637B8E"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Özel kesim yatırımlarında geçtiğimiz seneye kıya</w:t>
      </w:r>
      <w:r w:rsidR="002D0E73">
        <w:rPr>
          <w:rFonts w:ascii="Arial" w:hAnsi="Arial" w:cs="Arial"/>
          <w:sz w:val="20"/>
          <w:szCs w:val="20"/>
        </w:rPr>
        <w:t>sla fazla bir değişiklik olmadı ve zayıf seyretmeye devam etti.</w:t>
      </w:r>
      <w:r>
        <w:rPr>
          <w:rFonts w:ascii="Arial" w:hAnsi="Arial" w:cs="Arial"/>
          <w:sz w:val="20"/>
          <w:szCs w:val="20"/>
        </w:rPr>
        <w:t xml:space="preserve"> 2013 yılında olduğu gibi 2014'de de yatırımlar yüzde 0,5 oranında arttı ve büyümeye 0,1 yüzde puan katkı yaptı. Yıl boyunca bakıldığında yılın ilk çeyreğinde özel yatırımlar </w:t>
      </w:r>
      <w:r w:rsidR="002D0E73">
        <w:rPr>
          <w:rFonts w:ascii="Arial" w:hAnsi="Arial" w:cs="Arial"/>
          <w:sz w:val="20"/>
          <w:szCs w:val="20"/>
        </w:rPr>
        <w:t>yüzde 2 oranında düştü. İkinci çeyrekte sınırlı artış gösterdikten sonra üçüncü çeyrekte yüzde 2,8 artarak canlanma gösterdi ancak son çeyrekte yatırım harcamaları yüzde 0,2 oranında azaldı</w:t>
      </w:r>
      <w:r w:rsidR="00CA4FAE">
        <w:rPr>
          <w:rFonts w:ascii="Arial" w:hAnsi="Arial" w:cs="Arial"/>
          <w:sz w:val="20"/>
          <w:szCs w:val="20"/>
        </w:rPr>
        <w:t xml:space="preserve"> ve büyümeye s</w:t>
      </w:r>
      <w:r w:rsidR="00983DBF">
        <w:rPr>
          <w:rFonts w:ascii="Arial" w:hAnsi="Arial" w:cs="Arial"/>
          <w:sz w:val="20"/>
          <w:szCs w:val="20"/>
        </w:rPr>
        <w:t>ıfıra yakın katkı yaptı (Şekil 4</w:t>
      </w:r>
      <w:r w:rsidR="00CA4FAE">
        <w:rPr>
          <w:rFonts w:ascii="Arial" w:hAnsi="Arial" w:cs="Arial"/>
          <w:sz w:val="20"/>
          <w:szCs w:val="20"/>
        </w:rPr>
        <w:t>)</w:t>
      </w:r>
      <w:r w:rsidR="002D0E73">
        <w:rPr>
          <w:rFonts w:ascii="Arial" w:hAnsi="Arial" w:cs="Arial"/>
          <w:sz w:val="20"/>
          <w:szCs w:val="20"/>
        </w:rPr>
        <w:t xml:space="preserve">. </w:t>
      </w:r>
    </w:p>
    <w:p w:rsidR="003C6611" w:rsidRDefault="003C6611" w:rsidP="00B207BA">
      <w:pPr>
        <w:pStyle w:val="NormalWeb"/>
        <w:spacing w:before="0" w:beforeAutospacing="0" w:after="0" w:afterAutospacing="0" w:line="300" w:lineRule="atLeast"/>
        <w:jc w:val="both"/>
        <w:rPr>
          <w:rFonts w:ascii="Arial" w:hAnsi="Arial" w:cs="Arial"/>
          <w:sz w:val="20"/>
          <w:szCs w:val="20"/>
        </w:rPr>
      </w:pPr>
    </w:p>
    <w:p w:rsidR="00485423" w:rsidRDefault="00485423"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2014 yılında stok değişiminin büyümeye katkısı olmadı ancak yıl boyunca stoklar önemli ölçüde dalgalanma gösterdi. Üçüncü çeyrekte tarım </w:t>
      </w:r>
      <w:r>
        <w:rPr>
          <w:rFonts w:ascii="Arial" w:hAnsi="Arial" w:cs="Arial"/>
          <w:sz w:val="20"/>
          <w:szCs w:val="20"/>
        </w:rPr>
        <w:lastRenderedPageBreak/>
        <w:t xml:space="preserve">üretimindeki azalmadan dolayı yüksek oranda azalan stoklar son çeyrekte neredeyse aynı oranda artarak 4. çeyrek büyümesine 1,4 yüzde puan katkı yaptı. </w:t>
      </w:r>
    </w:p>
    <w:p w:rsidR="009D2F64" w:rsidRPr="00B207BA" w:rsidRDefault="009D2F64" w:rsidP="00B207BA">
      <w:pPr>
        <w:pStyle w:val="NormalWeb"/>
        <w:spacing w:before="0" w:beforeAutospacing="0" w:after="0" w:afterAutospacing="0" w:line="300" w:lineRule="atLeast"/>
        <w:jc w:val="both"/>
        <w:rPr>
          <w:rFonts w:ascii="Arial" w:hAnsi="Arial" w:cs="Arial"/>
          <w:sz w:val="20"/>
          <w:szCs w:val="20"/>
        </w:rPr>
      </w:pPr>
    </w:p>
    <w:p w:rsidR="009E3EA5" w:rsidRDefault="009E3EA5"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Dış talep koşullarına bakıldığında dönem dönem yaşanan </w:t>
      </w:r>
      <w:r w:rsidR="009B6A34">
        <w:rPr>
          <w:rFonts w:ascii="Arial" w:hAnsi="Arial" w:cs="Arial"/>
          <w:sz w:val="20"/>
          <w:szCs w:val="20"/>
        </w:rPr>
        <w:t>sınırlı</w:t>
      </w:r>
      <w:r>
        <w:rPr>
          <w:rFonts w:ascii="Arial" w:hAnsi="Arial" w:cs="Arial"/>
          <w:sz w:val="20"/>
          <w:szCs w:val="20"/>
        </w:rPr>
        <w:t xml:space="preserve"> canlanmalar dışında olumlu bir tablo olmadığı görülüyor. 2014 yılında ihracat yüzde 6,8 oranında arttı ve büyümeye 1,8 yüzde pua</w:t>
      </w:r>
      <w:r w:rsidR="00251F2F">
        <w:rPr>
          <w:rFonts w:ascii="Arial" w:hAnsi="Arial" w:cs="Arial"/>
          <w:sz w:val="20"/>
          <w:szCs w:val="20"/>
        </w:rPr>
        <w:t xml:space="preserve">n katkı yaptı. Bu artış ağırlıklı olarak </w:t>
      </w:r>
      <w:r w:rsidR="00FB6EAF">
        <w:rPr>
          <w:rFonts w:ascii="Arial" w:hAnsi="Arial" w:cs="Arial"/>
          <w:sz w:val="20"/>
          <w:szCs w:val="20"/>
        </w:rPr>
        <w:t>A</w:t>
      </w:r>
      <w:r>
        <w:rPr>
          <w:rFonts w:ascii="Arial" w:hAnsi="Arial" w:cs="Arial"/>
          <w:sz w:val="20"/>
          <w:szCs w:val="20"/>
        </w:rPr>
        <w:t>vrupa</w:t>
      </w:r>
      <w:r w:rsidR="00FB6EAF">
        <w:rPr>
          <w:rFonts w:ascii="Arial" w:hAnsi="Arial" w:cs="Arial"/>
          <w:sz w:val="20"/>
          <w:szCs w:val="20"/>
        </w:rPr>
        <w:t>'da</w:t>
      </w:r>
      <w:r w:rsidR="00BB10F4">
        <w:rPr>
          <w:rFonts w:ascii="Arial" w:hAnsi="Arial" w:cs="Arial"/>
          <w:sz w:val="20"/>
          <w:szCs w:val="20"/>
        </w:rPr>
        <w:t xml:space="preserve"> ilk çeyrekte</w:t>
      </w:r>
      <w:r w:rsidR="00FB6EAF">
        <w:rPr>
          <w:rFonts w:ascii="Arial" w:hAnsi="Arial" w:cs="Arial"/>
          <w:sz w:val="20"/>
          <w:szCs w:val="20"/>
        </w:rPr>
        <w:t xml:space="preserve"> görülen canlanmadan kay</w:t>
      </w:r>
      <w:r w:rsidR="00251F2F">
        <w:rPr>
          <w:rFonts w:ascii="Arial" w:hAnsi="Arial" w:cs="Arial"/>
          <w:sz w:val="20"/>
          <w:szCs w:val="20"/>
        </w:rPr>
        <w:t>naklandı</w:t>
      </w:r>
      <w:r w:rsidR="00FB6EAF">
        <w:rPr>
          <w:rFonts w:ascii="Arial" w:hAnsi="Arial" w:cs="Arial"/>
          <w:sz w:val="20"/>
          <w:szCs w:val="20"/>
        </w:rPr>
        <w:t>.</w:t>
      </w:r>
      <w:r w:rsidR="00BB10F4">
        <w:rPr>
          <w:rFonts w:ascii="Arial" w:hAnsi="Arial" w:cs="Arial"/>
          <w:sz w:val="20"/>
          <w:szCs w:val="20"/>
        </w:rPr>
        <w:t xml:space="preserve"> Yılın geri kalanında</w:t>
      </w:r>
      <w:r w:rsidR="00983DBF">
        <w:rPr>
          <w:rFonts w:ascii="Arial" w:hAnsi="Arial" w:cs="Arial"/>
          <w:sz w:val="20"/>
          <w:szCs w:val="20"/>
        </w:rPr>
        <w:t xml:space="preserve"> ihracat zayıf seyretti (Şekil 5</w:t>
      </w:r>
      <w:r w:rsidR="00BB10F4">
        <w:rPr>
          <w:rFonts w:ascii="Arial" w:hAnsi="Arial" w:cs="Arial"/>
          <w:sz w:val="20"/>
          <w:szCs w:val="20"/>
        </w:rPr>
        <w:t>).</w:t>
      </w:r>
      <w:r w:rsidR="00FB6EAF">
        <w:rPr>
          <w:rFonts w:ascii="Arial" w:hAnsi="Arial" w:cs="Arial"/>
          <w:sz w:val="20"/>
          <w:szCs w:val="20"/>
        </w:rPr>
        <w:t xml:space="preserve"> İthalat ise zayıflayan iç talep ve altın ticaretinin etkisini yitirmesi ile zayıfladı ve 2014 yılında yüzde 0,2 oranında azaldı.</w:t>
      </w:r>
    </w:p>
    <w:p w:rsidR="009E3EA5" w:rsidRDefault="009E3EA5" w:rsidP="00B207BA">
      <w:pPr>
        <w:pStyle w:val="NormalWeb"/>
        <w:spacing w:before="0" w:beforeAutospacing="0" w:after="0" w:afterAutospacing="0" w:line="300" w:lineRule="atLeast"/>
        <w:jc w:val="both"/>
        <w:rPr>
          <w:rFonts w:ascii="Arial" w:hAnsi="Arial" w:cs="Arial"/>
          <w:sz w:val="20"/>
          <w:szCs w:val="20"/>
        </w:rPr>
      </w:pPr>
    </w:p>
    <w:p w:rsidR="00B207BA" w:rsidRDefault="009622F6"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T</w:t>
      </w:r>
      <w:r w:rsidR="000B79EF">
        <w:rPr>
          <w:rFonts w:ascii="Arial" w:hAnsi="Arial" w:cs="Arial"/>
          <w:sz w:val="20"/>
          <w:szCs w:val="20"/>
        </w:rPr>
        <w:t>oplamda bakıldığında Türkiye</w:t>
      </w:r>
      <w:r>
        <w:rPr>
          <w:rFonts w:ascii="Arial" w:hAnsi="Arial" w:cs="Arial"/>
          <w:sz w:val="20"/>
          <w:szCs w:val="20"/>
        </w:rPr>
        <w:t xml:space="preserve"> 2014 yılında tüketim ve ihracat ile büyüdü. Ancak tüketim harcamalarının geçen yıla göre ivme kaybetmesi, kamu harcamalarının da geçen yıla kıyasla çok sınırlı bir artış göstermesiyle büyüme geçen yıla göre yavaşladı. İlk çeyrekte canlanan dış talebin katkısı ile yüzde 2,9 oranına ulaştı. </w:t>
      </w:r>
    </w:p>
    <w:p w:rsidR="009622F6" w:rsidRDefault="009622F6" w:rsidP="00B207BA">
      <w:pPr>
        <w:pStyle w:val="NormalWeb"/>
        <w:spacing w:before="0" w:beforeAutospacing="0" w:after="0" w:afterAutospacing="0" w:line="300" w:lineRule="atLeast"/>
        <w:jc w:val="both"/>
        <w:rPr>
          <w:rFonts w:ascii="Arial" w:hAnsi="Arial" w:cs="Arial"/>
          <w:sz w:val="20"/>
          <w:szCs w:val="20"/>
        </w:rPr>
      </w:pPr>
    </w:p>
    <w:p w:rsidR="009622F6" w:rsidRPr="009622F6" w:rsidRDefault="009622F6" w:rsidP="009622F6">
      <w:pPr>
        <w:pStyle w:val="NormalWeb"/>
        <w:spacing w:before="0" w:beforeAutospacing="0" w:after="0" w:afterAutospacing="0" w:line="300" w:lineRule="atLeast"/>
        <w:jc w:val="center"/>
        <w:rPr>
          <w:rFonts w:ascii="Arial" w:hAnsi="Arial" w:cs="Arial"/>
          <w:b/>
          <w:sz w:val="20"/>
          <w:szCs w:val="20"/>
        </w:rPr>
      </w:pPr>
      <w:r w:rsidRPr="009622F6">
        <w:rPr>
          <w:rFonts w:ascii="Arial" w:hAnsi="Arial" w:cs="Arial"/>
          <w:b/>
          <w:sz w:val="20"/>
          <w:szCs w:val="20"/>
        </w:rPr>
        <w:t>Son çeyrekte gelişmeler</w:t>
      </w:r>
    </w:p>
    <w:p w:rsidR="00B207BA" w:rsidRDefault="00B207BA" w:rsidP="00B207BA">
      <w:pPr>
        <w:pStyle w:val="NormalWeb"/>
        <w:spacing w:before="0" w:beforeAutospacing="0" w:after="0" w:afterAutospacing="0" w:line="300" w:lineRule="atLeast"/>
        <w:jc w:val="both"/>
        <w:rPr>
          <w:rFonts w:ascii="Arial" w:hAnsi="Arial" w:cs="Arial"/>
          <w:sz w:val="20"/>
          <w:szCs w:val="20"/>
        </w:rPr>
      </w:pPr>
    </w:p>
    <w:p w:rsidR="009622F6" w:rsidRDefault="006404AD"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Betam son çeyrekte GSYH'da yüzde 0,2'lik küçük bir gerileme bekliyordu. Mevsimsellikten arındırılmış rakamlara göre son çeyrekte toplam büyüme 0,7 oldu. Beklentimizin a</w:t>
      </w:r>
      <w:r w:rsidR="00D30CE0">
        <w:rPr>
          <w:rFonts w:ascii="Arial" w:hAnsi="Arial" w:cs="Arial"/>
          <w:sz w:val="20"/>
          <w:szCs w:val="20"/>
        </w:rPr>
        <w:t>ndındaki</w:t>
      </w:r>
      <w:r>
        <w:rPr>
          <w:rFonts w:ascii="Arial" w:hAnsi="Arial" w:cs="Arial"/>
          <w:sz w:val="20"/>
          <w:szCs w:val="20"/>
        </w:rPr>
        <w:t xml:space="preserve"> ana neden sanayi üretiminin gerilemiş olması ve gerek net ihracat gerekse yatırım ve kamu harcamalarına dair göstergelerin çok güçlü olmayışıydı. Gerçekten de son çeyrekte yatırım harcamalarında azalış görülürken, kamu harcamalarının büyümeye katkısı 0,1 yüzde puan düzeyinde gerçekleşti. Net ihracatın büyümeye katkısı ise negatif 2,9 yüzd</w:t>
      </w:r>
      <w:r w:rsidR="00784E13">
        <w:rPr>
          <w:rFonts w:ascii="Arial" w:hAnsi="Arial" w:cs="Arial"/>
          <w:sz w:val="20"/>
          <w:szCs w:val="20"/>
        </w:rPr>
        <w:t>e puan oldu. A</w:t>
      </w:r>
      <w:r>
        <w:rPr>
          <w:rFonts w:ascii="Arial" w:hAnsi="Arial" w:cs="Arial"/>
          <w:sz w:val="20"/>
          <w:szCs w:val="20"/>
        </w:rPr>
        <w:t>ncak stok değişimlerinde öngöremediğimiz büyük bir artış gerçekleşti ve büyümeye 2,5 yüz</w:t>
      </w:r>
      <w:r w:rsidR="004F2B3D">
        <w:rPr>
          <w:rFonts w:ascii="Arial" w:hAnsi="Arial" w:cs="Arial"/>
          <w:sz w:val="20"/>
          <w:szCs w:val="20"/>
        </w:rPr>
        <w:t>de puan katkı yaptı. Tüketimde beklenen</w:t>
      </w:r>
      <w:r>
        <w:rPr>
          <w:rFonts w:ascii="Arial" w:hAnsi="Arial" w:cs="Arial"/>
          <w:sz w:val="20"/>
          <w:szCs w:val="20"/>
        </w:rPr>
        <w:t xml:space="preserve"> ılımlı artış</w:t>
      </w:r>
      <w:r w:rsidR="004F2B3D">
        <w:rPr>
          <w:rFonts w:ascii="Arial" w:hAnsi="Arial" w:cs="Arial"/>
          <w:sz w:val="20"/>
          <w:szCs w:val="20"/>
        </w:rPr>
        <w:t>ın gerçekleşmesiyle</w:t>
      </w:r>
      <w:r>
        <w:rPr>
          <w:rFonts w:ascii="Arial" w:hAnsi="Arial" w:cs="Arial"/>
          <w:sz w:val="20"/>
          <w:szCs w:val="20"/>
        </w:rPr>
        <w:t xml:space="preserve"> beraber </w:t>
      </w:r>
      <w:r w:rsidR="004F2B3D">
        <w:rPr>
          <w:rFonts w:ascii="Arial" w:hAnsi="Arial" w:cs="Arial"/>
          <w:sz w:val="20"/>
          <w:szCs w:val="20"/>
        </w:rPr>
        <w:t>bir önceki</w:t>
      </w:r>
      <w:r>
        <w:rPr>
          <w:rFonts w:ascii="Arial" w:hAnsi="Arial" w:cs="Arial"/>
          <w:sz w:val="20"/>
          <w:szCs w:val="20"/>
        </w:rPr>
        <w:t xml:space="preserve"> çeyreğe kıyasla ekonomi son çeyrekte</w:t>
      </w:r>
      <w:r w:rsidR="00784E13">
        <w:rPr>
          <w:rFonts w:ascii="Arial" w:hAnsi="Arial" w:cs="Arial"/>
          <w:sz w:val="20"/>
          <w:szCs w:val="20"/>
        </w:rPr>
        <w:t xml:space="preserve"> yüzde</w:t>
      </w:r>
      <w:r>
        <w:rPr>
          <w:rFonts w:ascii="Arial" w:hAnsi="Arial" w:cs="Arial"/>
          <w:sz w:val="20"/>
          <w:szCs w:val="20"/>
        </w:rPr>
        <w:t xml:space="preserve"> 0,7</w:t>
      </w:r>
      <w:r w:rsidR="00784E13">
        <w:rPr>
          <w:rFonts w:ascii="Arial" w:hAnsi="Arial" w:cs="Arial"/>
          <w:sz w:val="20"/>
          <w:szCs w:val="20"/>
        </w:rPr>
        <w:t>'lik</w:t>
      </w:r>
      <w:r>
        <w:rPr>
          <w:rFonts w:ascii="Arial" w:hAnsi="Arial" w:cs="Arial"/>
          <w:sz w:val="20"/>
          <w:szCs w:val="20"/>
        </w:rPr>
        <w:t xml:space="preserve"> büyümeye ulaştı.</w:t>
      </w:r>
    </w:p>
    <w:p w:rsidR="00784E13" w:rsidRDefault="00784E13" w:rsidP="00B207BA">
      <w:pPr>
        <w:pStyle w:val="NormalWeb"/>
        <w:spacing w:before="0" w:beforeAutospacing="0" w:after="0" w:afterAutospacing="0" w:line="300" w:lineRule="atLeast"/>
        <w:jc w:val="both"/>
        <w:rPr>
          <w:rFonts w:ascii="Arial" w:hAnsi="Arial" w:cs="Arial"/>
          <w:sz w:val="20"/>
          <w:szCs w:val="20"/>
        </w:rPr>
      </w:pPr>
    </w:p>
    <w:p w:rsidR="00784E13" w:rsidRDefault="00784E13"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Yıllık bazda ise büyüme Betam'ın yüzde 2,8 olan beklentisine oldukça yakın bir seviyede yüzde 2,</w:t>
      </w:r>
      <w:r w:rsidR="00BF356F">
        <w:rPr>
          <w:rFonts w:ascii="Arial" w:hAnsi="Arial" w:cs="Arial"/>
          <w:sz w:val="20"/>
          <w:szCs w:val="20"/>
        </w:rPr>
        <w:t xml:space="preserve">9 olarak gerçekleşti. </w:t>
      </w:r>
      <w:r w:rsidR="00457D4E">
        <w:rPr>
          <w:rFonts w:ascii="Arial" w:hAnsi="Arial" w:cs="Arial"/>
          <w:sz w:val="20"/>
          <w:szCs w:val="20"/>
        </w:rPr>
        <w:t>2014 yılında</w:t>
      </w:r>
      <w:r w:rsidR="00BF356F">
        <w:rPr>
          <w:rFonts w:ascii="Arial" w:hAnsi="Arial" w:cs="Arial"/>
          <w:sz w:val="20"/>
          <w:szCs w:val="20"/>
        </w:rPr>
        <w:t xml:space="preserve"> cari açık</w:t>
      </w:r>
      <w:r>
        <w:rPr>
          <w:rFonts w:ascii="Arial" w:hAnsi="Arial" w:cs="Arial"/>
          <w:sz w:val="20"/>
          <w:szCs w:val="20"/>
        </w:rPr>
        <w:t xml:space="preserve"> yüzde 5,7 </w:t>
      </w:r>
      <w:r>
        <w:rPr>
          <w:rFonts w:ascii="Arial" w:hAnsi="Arial" w:cs="Arial"/>
          <w:sz w:val="20"/>
          <w:szCs w:val="20"/>
        </w:rPr>
        <w:lastRenderedPageBreak/>
        <w:t xml:space="preserve">oldu. </w:t>
      </w:r>
      <w:r w:rsidR="00F562D3">
        <w:rPr>
          <w:rFonts w:ascii="Arial" w:hAnsi="Arial" w:cs="Arial"/>
          <w:sz w:val="20"/>
          <w:szCs w:val="20"/>
        </w:rPr>
        <w:t>A</w:t>
      </w:r>
      <w:r w:rsidR="003D248E">
        <w:rPr>
          <w:rFonts w:ascii="Arial" w:hAnsi="Arial" w:cs="Arial"/>
          <w:sz w:val="20"/>
          <w:szCs w:val="20"/>
        </w:rPr>
        <w:t xml:space="preserve">ltın hariç cari açık ise </w:t>
      </w:r>
      <w:r>
        <w:rPr>
          <w:rFonts w:ascii="Arial" w:hAnsi="Arial" w:cs="Arial"/>
          <w:sz w:val="20"/>
          <w:szCs w:val="20"/>
        </w:rPr>
        <w:t>yüzde 5,</w:t>
      </w:r>
      <w:r w:rsidR="006442EA">
        <w:rPr>
          <w:rFonts w:ascii="Arial" w:hAnsi="Arial" w:cs="Arial"/>
          <w:sz w:val="20"/>
          <w:szCs w:val="20"/>
        </w:rPr>
        <w:t>2</w:t>
      </w:r>
      <w:r>
        <w:rPr>
          <w:rFonts w:ascii="Arial" w:hAnsi="Arial" w:cs="Arial"/>
          <w:sz w:val="20"/>
          <w:szCs w:val="20"/>
        </w:rPr>
        <w:t xml:space="preserve"> olarak gerçekleşti.</w:t>
      </w:r>
    </w:p>
    <w:p w:rsidR="00B207BA" w:rsidRDefault="00B207BA" w:rsidP="00B207BA">
      <w:pPr>
        <w:pStyle w:val="NormalWeb"/>
        <w:spacing w:before="0" w:beforeAutospacing="0" w:after="0" w:afterAutospacing="0" w:line="300" w:lineRule="atLeast"/>
        <w:jc w:val="both"/>
        <w:rPr>
          <w:rFonts w:ascii="Arial" w:hAnsi="Arial" w:cs="Arial"/>
          <w:sz w:val="20"/>
          <w:szCs w:val="20"/>
        </w:rPr>
      </w:pPr>
    </w:p>
    <w:p w:rsidR="00B207BA" w:rsidRDefault="00B207BA" w:rsidP="00B207BA">
      <w:pPr>
        <w:pStyle w:val="NormalWeb"/>
        <w:spacing w:before="0" w:beforeAutospacing="0" w:after="0" w:afterAutospacing="0" w:line="300" w:lineRule="atLeast"/>
        <w:jc w:val="both"/>
        <w:rPr>
          <w:rFonts w:ascii="Arial" w:hAnsi="Arial" w:cs="Arial"/>
          <w:sz w:val="20"/>
          <w:szCs w:val="20"/>
        </w:rPr>
      </w:pPr>
    </w:p>
    <w:p w:rsidR="0055334A" w:rsidRPr="00B207BA" w:rsidRDefault="004332BF" w:rsidP="00337278">
      <w:pPr>
        <w:pStyle w:val="NormalWeb"/>
        <w:spacing w:before="0" w:beforeAutospacing="0" w:after="0" w:afterAutospacing="0" w:line="300" w:lineRule="atLeast"/>
        <w:jc w:val="center"/>
        <w:rPr>
          <w:rFonts w:ascii="Arial" w:hAnsi="Arial" w:cs="Arial"/>
          <w:sz w:val="20"/>
          <w:szCs w:val="20"/>
        </w:rPr>
      </w:pPr>
      <w:r>
        <w:rPr>
          <w:rFonts w:ascii="Arial" w:hAnsi="Arial" w:cs="Arial"/>
          <w:b/>
          <w:sz w:val="20"/>
          <w:szCs w:val="20"/>
        </w:rPr>
        <w:t>Son üç yılın karnesi ve beklentiler</w:t>
      </w:r>
    </w:p>
    <w:p w:rsidR="00DA6EB1" w:rsidRPr="00B207BA" w:rsidRDefault="00DA6EB1" w:rsidP="00B207BA">
      <w:pPr>
        <w:pStyle w:val="NormalWeb"/>
        <w:spacing w:before="0" w:beforeAutospacing="0" w:after="0" w:afterAutospacing="0" w:line="300" w:lineRule="atLeast"/>
        <w:jc w:val="both"/>
        <w:rPr>
          <w:rFonts w:ascii="Arial" w:hAnsi="Arial" w:cs="Arial"/>
          <w:sz w:val="20"/>
          <w:szCs w:val="20"/>
        </w:rPr>
      </w:pPr>
    </w:p>
    <w:p w:rsidR="00915A8A" w:rsidRDefault="004332BF"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2014 yılında hem iç hem dış talebin zayıf olduğunu bu nedenle büyümenin</w:t>
      </w:r>
      <w:r w:rsidR="00FA07D1" w:rsidRPr="00B207BA">
        <w:rPr>
          <w:rFonts w:ascii="Arial" w:hAnsi="Arial" w:cs="Arial"/>
          <w:sz w:val="20"/>
          <w:szCs w:val="20"/>
        </w:rPr>
        <w:t xml:space="preserve"> </w:t>
      </w:r>
      <w:r>
        <w:rPr>
          <w:rFonts w:ascii="Arial" w:hAnsi="Arial" w:cs="Arial"/>
          <w:sz w:val="20"/>
          <w:szCs w:val="20"/>
        </w:rPr>
        <w:t xml:space="preserve">yavaşladığını görüyoruz </w:t>
      </w:r>
      <w:r w:rsidR="00BC55DB">
        <w:rPr>
          <w:rFonts w:ascii="Arial" w:hAnsi="Arial" w:cs="Arial"/>
          <w:sz w:val="20"/>
          <w:szCs w:val="20"/>
        </w:rPr>
        <w:t>ancak bu yeni bir durum değil. S</w:t>
      </w:r>
      <w:r>
        <w:rPr>
          <w:rFonts w:ascii="Arial" w:hAnsi="Arial" w:cs="Arial"/>
          <w:sz w:val="20"/>
          <w:szCs w:val="20"/>
        </w:rPr>
        <w:t>on üç yıldır bu za</w:t>
      </w:r>
      <w:r w:rsidR="00D30CE0">
        <w:rPr>
          <w:rFonts w:ascii="Arial" w:hAnsi="Arial" w:cs="Arial"/>
          <w:sz w:val="20"/>
          <w:szCs w:val="20"/>
        </w:rPr>
        <w:t>yıf trend devam ediyor. Tablo 4</w:t>
      </w:r>
      <w:r>
        <w:rPr>
          <w:rFonts w:ascii="Arial" w:hAnsi="Arial" w:cs="Arial"/>
          <w:sz w:val="20"/>
          <w:szCs w:val="20"/>
        </w:rPr>
        <w:t xml:space="preserve"> son üç yılda ortalama yıllık büyümeyi ve alt kalemlerdeki değişimleri </w:t>
      </w:r>
      <w:r w:rsidR="00BC55DB">
        <w:rPr>
          <w:rFonts w:ascii="Arial" w:hAnsi="Arial" w:cs="Arial"/>
          <w:sz w:val="20"/>
          <w:szCs w:val="20"/>
        </w:rPr>
        <w:t xml:space="preserve">2002-2011 dönemi ile karşılaştırmalı olarak </w:t>
      </w:r>
      <w:r>
        <w:rPr>
          <w:rFonts w:ascii="Arial" w:hAnsi="Arial" w:cs="Arial"/>
          <w:sz w:val="20"/>
          <w:szCs w:val="20"/>
        </w:rPr>
        <w:t>gösteriyor. Üç yılda ortalama yıllık büyüme Türkiye'nin potansiyel büyümesi olan yüzde 5'in oldukça altında yüzde 3,1 olarak gerçekleşti. Tüketim yılda ortalama yüzde 2 oranında artarken</w:t>
      </w:r>
      <w:r w:rsidR="002317D2">
        <w:rPr>
          <w:rFonts w:ascii="Arial" w:hAnsi="Arial" w:cs="Arial"/>
          <w:sz w:val="20"/>
          <w:szCs w:val="20"/>
        </w:rPr>
        <w:t xml:space="preserve"> özel yatırımlar yılda ortalama </w:t>
      </w:r>
      <w:r w:rsidR="000B79EF">
        <w:rPr>
          <w:rFonts w:ascii="Arial" w:hAnsi="Arial" w:cs="Arial"/>
          <w:sz w:val="20"/>
          <w:szCs w:val="20"/>
        </w:rPr>
        <w:t xml:space="preserve">yüzde </w:t>
      </w:r>
      <w:r w:rsidR="002317D2">
        <w:rPr>
          <w:rFonts w:ascii="Arial" w:hAnsi="Arial" w:cs="Arial"/>
          <w:sz w:val="20"/>
          <w:szCs w:val="20"/>
        </w:rPr>
        <w:t>-1,3 oranında azaldı.</w:t>
      </w:r>
      <w:r w:rsidR="0038631C">
        <w:rPr>
          <w:rFonts w:ascii="Arial" w:hAnsi="Arial" w:cs="Arial"/>
          <w:sz w:val="20"/>
          <w:szCs w:val="20"/>
        </w:rPr>
        <w:t xml:space="preserve"> Bu oranları 2002-2011 yılları ile karşılaştığımızda iç talepteki zafiyet açıkça ortaya çıkıyor. </w:t>
      </w:r>
      <w:r w:rsidR="000B79EF">
        <w:rPr>
          <w:rFonts w:ascii="Arial" w:hAnsi="Arial" w:cs="Arial"/>
          <w:sz w:val="20"/>
          <w:szCs w:val="20"/>
        </w:rPr>
        <w:t>2002-201</w:t>
      </w:r>
      <w:r w:rsidR="0038631C">
        <w:rPr>
          <w:rFonts w:ascii="Arial" w:hAnsi="Arial" w:cs="Arial"/>
          <w:sz w:val="20"/>
          <w:szCs w:val="20"/>
        </w:rPr>
        <w:t>1 döneminde</w:t>
      </w:r>
      <w:r w:rsidR="008A461F">
        <w:rPr>
          <w:rFonts w:ascii="Arial" w:hAnsi="Arial" w:cs="Arial"/>
          <w:sz w:val="20"/>
          <w:szCs w:val="20"/>
        </w:rPr>
        <w:t xml:space="preserve"> </w:t>
      </w:r>
      <w:r w:rsidR="000B79EF">
        <w:rPr>
          <w:rFonts w:ascii="Arial" w:hAnsi="Arial" w:cs="Arial"/>
          <w:sz w:val="20"/>
          <w:szCs w:val="20"/>
        </w:rPr>
        <w:t>tüketim harcamaları yılda ortalama yüzde 5,6, özel kesim yatırımları ise yüzde 11,5 oranında artıyordu.</w:t>
      </w:r>
      <w:r w:rsidR="0038631C">
        <w:rPr>
          <w:rFonts w:ascii="Arial" w:hAnsi="Arial" w:cs="Arial"/>
          <w:sz w:val="20"/>
          <w:szCs w:val="20"/>
        </w:rPr>
        <w:t xml:space="preserve"> 2002-2011 döneminde yılda ortalama yüzde 4 oranında artan kamu harcamaları ise son üç yılda hızlanarak yılda ortalama yüzde 6,3 oranında arttı.</w:t>
      </w:r>
    </w:p>
    <w:p w:rsidR="0038631C" w:rsidRDefault="0038631C" w:rsidP="00B207BA">
      <w:pPr>
        <w:pStyle w:val="NormalWeb"/>
        <w:spacing w:before="0" w:beforeAutospacing="0" w:after="0" w:afterAutospacing="0" w:line="300" w:lineRule="atLeast"/>
        <w:jc w:val="both"/>
        <w:rPr>
          <w:rFonts w:ascii="Arial" w:hAnsi="Arial" w:cs="Arial"/>
          <w:sz w:val="20"/>
          <w:szCs w:val="20"/>
        </w:rPr>
      </w:pPr>
    </w:p>
    <w:p w:rsidR="00915A8A" w:rsidRDefault="00915A8A"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Türkiye'nin son üç yıldır ciddi bir büyüme sıkıntısı ile karşı karşıya olduğu açık. Para politikası kullanımının küresel koşullar ve enflasyonla mücadele nedeniyle büyümeye destek vermesini bek</w:t>
      </w:r>
      <w:r w:rsidR="000B79EF">
        <w:rPr>
          <w:rFonts w:ascii="Arial" w:hAnsi="Arial" w:cs="Arial"/>
          <w:sz w:val="20"/>
          <w:szCs w:val="20"/>
        </w:rPr>
        <w:t>lemek çok gerçekçi görünmüyor.</w:t>
      </w:r>
      <w:r>
        <w:rPr>
          <w:rFonts w:ascii="Arial" w:hAnsi="Arial" w:cs="Arial"/>
          <w:sz w:val="20"/>
          <w:szCs w:val="20"/>
        </w:rPr>
        <w:t xml:space="preserve"> </w:t>
      </w:r>
      <w:r w:rsidR="000B79EF">
        <w:rPr>
          <w:rFonts w:ascii="Arial" w:hAnsi="Arial" w:cs="Arial"/>
          <w:sz w:val="20"/>
          <w:szCs w:val="20"/>
        </w:rPr>
        <w:t>Z</w:t>
      </w:r>
      <w:r>
        <w:rPr>
          <w:rFonts w:ascii="Arial" w:hAnsi="Arial" w:cs="Arial"/>
          <w:sz w:val="20"/>
          <w:szCs w:val="20"/>
        </w:rPr>
        <w:t>aten son üç yıldır sermaye akımlarını yavaşlatmak için Merkez Bankası'nın uyguladığı faiz indirimlerinin sıkı bir politikaya işaret ettiği</w:t>
      </w:r>
      <w:r w:rsidR="000B79EF">
        <w:rPr>
          <w:rFonts w:ascii="Arial" w:hAnsi="Arial" w:cs="Arial"/>
          <w:sz w:val="20"/>
          <w:szCs w:val="20"/>
        </w:rPr>
        <w:t xml:space="preserve"> de</w:t>
      </w:r>
      <w:r>
        <w:rPr>
          <w:rFonts w:ascii="Arial" w:hAnsi="Arial" w:cs="Arial"/>
          <w:sz w:val="20"/>
          <w:szCs w:val="20"/>
        </w:rPr>
        <w:t xml:space="preserve"> söylenemez. Bunun yanında kredi büyümesini sınırlamak için alınan bir takım makro</w:t>
      </w:r>
      <w:r w:rsidR="00D30CE0">
        <w:rPr>
          <w:rFonts w:ascii="Arial" w:hAnsi="Arial" w:cs="Arial"/>
          <w:sz w:val="20"/>
          <w:szCs w:val="20"/>
        </w:rPr>
        <w:t xml:space="preserve"> </w:t>
      </w:r>
      <w:r>
        <w:rPr>
          <w:rFonts w:ascii="Arial" w:hAnsi="Arial" w:cs="Arial"/>
          <w:sz w:val="20"/>
          <w:szCs w:val="20"/>
        </w:rPr>
        <w:t>ihtiyati tedbirlerin iç talebi yavaşlattığı ve cari açığın düşmesi karşılığında büyümeden bir miktar ödün verildiği görülüyor. Mali politika ise zaman zaman büyümeye destek vermek için kullanılsa da bütçe hedeflerini gerçekleştirmek için hükümetin gerektiğinde sıkılaştırma yapmaktan kaçınmadığı gözleniyor.</w:t>
      </w:r>
      <w:r w:rsidR="0022018E">
        <w:rPr>
          <w:rFonts w:ascii="Arial" w:hAnsi="Arial" w:cs="Arial"/>
          <w:sz w:val="20"/>
          <w:szCs w:val="20"/>
        </w:rPr>
        <w:t xml:space="preserve"> </w:t>
      </w:r>
    </w:p>
    <w:p w:rsidR="0022018E" w:rsidRDefault="0022018E" w:rsidP="00B207BA">
      <w:pPr>
        <w:pStyle w:val="NormalWeb"/>
        <w:spacing w:before="0" w:beforeAutospacing="0" w:after="0" w:afterAutospacing="0" w:line="300" w:lineRule="atLeast"/>
        <w:jc w:val="both"/>
        <w:rPr>
          <w:rFonts w:ascii="Arial" w:hAnsi="Arial" w:cs="Arial"/>
          <w:sz w:val="20"/>
          <w:szCs w:val="20"/>
        </w:rPr>
      </w:pPr>
    </w:p>
    <w:p w:rsidR="0022018E" w:rsidRDefault="0022018E" w:rsidP="00B207BA">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Büyümenin arzu edilen yü</w:t>
      </w:r>
      <w:r w:rsidR="00562D56">
        <w:rPr>
          <w:rFonts w:ascii="Arial" w:hAnsi="Arial" w:cs="Arial"/>
          <w:sz w:val="20"/>
          <w:szCs w:val="20"/>
        </w:rPr>
        <w:t xml:space="preserve">zde 5 düzeyine çıkabilmesi için hem küresel koşulların düzelmesi hem de içeride </w:t>
      </w:r>
      <w:r w:rsidR="0038631C">
        <w:rPr>
          <w:rFonts w:ascii="Arial" w:hAnsi="Arial" w:cs="Arial"/>
          <w:sz w:val="20"/>
          <w:szCs w:val="20"/>
        </w:rPr>
        <w:t xml:space="preserve">yatırımları yeniden canlandıracak </w:t>
      </w:r>
      <w:r w:rsidR="00562D56">
        <w:rPr>
          <w:rFonts w:ascii="Arial" w:hAnsi="Arial" w:cs="Arial"/>
          <w:sz w:val="20"/>
          <w:szCs w:val="20"/>
        </w:rPr>
        <w:t>ciddi yapısal reformların yapılması gerekiyor.</w:t>
      </w:r>
    </w:p>
    <w:p w:rsidR="00CD1FF9"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CD1FF9" w:rsidRDefault="00CD1FF9" w:rsidP="009575C3">
      <w:pPr>
        <w:pStyle w:val="NormalWeb"/>
        <w:spacing w:before="0" w:beforeAutospacing="0" w:after="0" w:afterAutospacing="0"/>
        <w:jc w:val="both"/>
        <w:rPr>
          <w:rFonts w:ascii="Arial" w:hAnsi="Arial" w:cs="Arial"/>
          <w:b/>
          <w:sz w:val="20"/>
          <w:szCs w:val="20"/>
        </w:rPr>
      </w:pPr>
    </w:p>
    <w:p w:rsidR="00E333BE" w:rsidRPr="0024217A" w:rsidRDefault="00E333BE" w:rsidP="009575C3">
      <w:pPr>
        <w:pStyle w:val="NormalWeb"/>
        <w:spacing w:before="0" w:beforeAutospacing="0" w:after="0" w:afterAutospacing="0"/>
        <w:jc w:val="both"/>
        <w:rPr>
          <w:sz w:val="16"/>
          <w:szCs w:val="16"/>
        </w:rPr>
      </w:pPr>
    </w:p>
    <w:p w:rsidR="00B207BA" w:rsidRDefault="00B207BA" w:rsidP="00EA32A9">
      <w:pPr>
        <w:pStyle w:val="NormalWeb"/>
        <w:spacing w:before="0" w:beforeAutospacing="0" w:after="0" w:afterAutospacing="0"/>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EF6749" w:rsidRDefault="00EF6749" w:rsidP="00C335E9">
      <w:pPr>
        <w:pStyle w:val="NormalWeb"/>
        <w:spacing w:before="0" w:beforeAutospacing="0" w:after="0" w:afterAutospacing="0"/>
        <w:ind w:right="77"/>
        <w:rPr>
          <w:b/>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83DBF" w:rsidRDefault="00983DBF" w:rsidP="00915B9C">
      <w:pPr>
        <w:pStyle w:val="NormalWeb"/>
        <w:spacing w:before="0" w:beforeAutospacing="0" w:after="0" w:afterAutospacing="0"/>
        <w:ind w:right="77"/>
        <w:jc w:val="both"/>
        <w:rPr>
          <w:b/>
          <w:bCs/>
          <w:sz w:val="22"/>
          <w:szCs w:val="22"/>
        </w:rPr>
      </w:pPr>
    </w:p>
    <w:p w:rsidR="00915B9C" w:rsidRPr="00983DBF" w:rsidRDefault="00915B9C" w:rsidP="00915B9C">
      <w:pPr>
        <w:pStyle w:val="NormalWeb"/>
        <w:spacing w:before="0" w:beforeAutospacing="0" w:after="0" w:afterAutospacing="0"/>
        <w:ind w:right="77"/>
        <w:jc w:val="both"/>
        <w:rPr>
          <w:rFonts w:ascii="Arial" w:hAnsi="Arial" w:cs="Arial"/>
          <w:b/>
          <w:bCs/>
          <w:sz w:val="20"/>
          <w:szCs w:val="20"/>
        </w:rPr>
      </w:pPr>
      <w:r w:rsidRPr="00983DBF">
        <w:rPr>
          <w:rFonts w:ascii="Arial" w:hAnsi="Arial" w:cs="Arial"/>
          <w:b/>
          <w:bCs/>
          <w:sz w:val="20"/>
          <w:szCs w:val="20"/>
        </w:rPr>
        <w:lastRenderedPageBreak/>
        <w:t xml:space="preserve">Tablo 1. 2014 4. çeyrekte ve 2014 3. çeyrekte GSYH altkalemlerinin, </w:t>
      </w:r>
      <w:r w:rsidRPr="00983DBF">
        <w:rPr>
          <w:rFonts w:ascii="Arial" w:hAnsi="Arial" w:cs="Arial"/>
          <w:b/>
          <w:bCs/>
          <w:sz w:val="20"/>
          <w:szCs w:val="20"/>
          <w:u w:val="single"/>
        </w:rPr>
        <w:t>bir önceki çeyreğe</w:t>
      </w:r>
      <w:r w:rsidRPr="00983DBF">
        <w:rPr>
          <w:rFonts w:ascii="Arial" w:hAnsi="Arial" w:cs="Arial"/>
          <w:b/>
          <w:bCs/>
          <w:sz w:val="20"/>
          <w:szCs w:val="20"/>
        </w:rPr>
        <w:t xml:space="preserve"> göre değişimleri ve büyümeye katkıları</w:t>
      </w:r>
    </w:p>
    <w:p w:rsidR="00D30CE0" w:rsidRDefault="00D30CE0" w:rsidP="00915B9C">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915B9C" w:rsidTr="00976C35">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2014 – 4. Ç</w:t>
            </w:r>
          </w:p>
        </w:tc>
        <w:tc>
          <w:tcPr>
            <w:tcW w:w="1350" w:type="dxa"/>
            <w:tcBorders>
              <w:top w:val="single" w:sz="4" w:space="0" w:color="auto"/>
              <w:left w:val="nil"/>
              <w:bottom w:val="single" w:sz="4" w:space="0" w:color="auto"/>
              <w:right w:val="single" w:sz="4" w:space="0" w:color="auto"/>
            </w:tcBorders>
            <w:noWrap/>
            <w:vAlign w:val="bottom"/>
          </w:tcPr>
          <w:p w:rsidR="00915B9C" w:rsidRDefault="00915B9C" w:rsidP="00976C35">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single" w:sz="4" w:space="0" w:color="auto"/>
              <w:left w:val="nil"/>
              <w:bottom w:val="single" w:sz="4" w:space="0" w:color="auto"/>
              <w:right w:val="single" w:sz="4" w:space="0" w:color="auto"/>
            </w:tcBorders>
            <w:noWrap/>
            <w:vAlign w:val="bottom"/>
          </w:tcPr>
          <w:p w:rsidR="00915B9C" w:rsidRDefault="00915B9C" w:rsidP="00976C35">
            <w:pPr>
              <w:jc w:val="center"/>
              <w:rPr>
                <w:rFonts w:ascii="Arial TUR" w:hAnsi="Arial TUR" w:cs="Arial TUR"/>
                <w:b/>
                <w:bCs/>
                <w:sz w:val="20"/>
                <w:szCs w:val="20"/>
              </w:rPr>
            </w:pPr>
            <w:r>
              <w:rPr>
                <w:rFonts w:ascii="Arial TUR" w:hAnsi="Arial TUR" w:cs="Arial TUR"/>
                <w:b/>
                <w:bCs/>
                <w:sz w:val="20"/>
                <w:szCs w:val="20"/>
              </w:rPr>
              <w:t>Katkılar</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1,4%</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1,0%</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-0,2%</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0,0%</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0,7%</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0,1%</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2,5%</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-1,6%</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-0,4%</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9,0%</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-2,5%</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Pr="00915B9C" w:rsidRDefault="00915B9C" w:rsidP="00976C35">
            <w:pPr>
              <w:rPr>
                <w:rFonts w:ascii="Arial" w:hAnsi="Arial" w:cs="Arial"/>
                <w:b/>
                <w:sz w:val="20"/>
                <w:szCs w:val="20"/>
              </w:rPr>
            </w:pPr>
            <w:r w:rsidRPr="00915B9C">
              <w:rPr>
                <w:rFonts w:ascii="Arial" w:hAnsi="Arial" w:cs="Arial"/>
                <w:b/>
                <w:sz w:val="20"/>
                <w:szCs w:val="20"/>
              </w:rPr>
              <w:t>GSYH </w:t>
            </w:r>
          </w:p>
        </w:tc>
        <w:tc>
          <w:tcPr>
            <w:tcW w:w="1350" w:type="dxa"/>
            <w:tcBorders>
              <w:top w:val="nil"/>
              <w:left w:val="nil"/>
              <w:bottom w:val="single" w:sz="4" w:space="0" w:color="auto"/>
              <w:right w:val="single" w:sz="4" w:space="0" w:color="auto"/>
            </w:tcBorders>
            <w:noWrap/>
            <w:vAlign w:val="bottom"/>
          </w:tcPr>
          <w:p w:rsidR="00915B9C" w:rsidRDefault="00915B9C" w:rsidP="00915B9C">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915B9C" w:rsidRDefault="00915B9C" w:rsidP="00915B9C">
            <w:pPr>
              <w:jc w:val="right"/>
              <w:rPr>
                <w:rFonts w:ascii="Arial" w:hAnsi="Arial" w:cs="Arial"/>
                <w:sz w:val="20"/>
                <w:szCs w:val="20"/>
              </w:rPr>
            </w:pPr>
            <w:r>
              <w:rPr>
                <w:rFonts w:ascii="Arial" w:hAnsi="Arial" w:cs="Arial"/>
                <w:sz w:val="20"/>
                <w:szCs w:val="20"/>
              </w:rPr>
              <w:t>0,7%</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w:hAnsi="Arial" w:cs="Arial"/>
                <w:sz w:val="20"/>
                <w:szCs w:val="20"/>
              </w:rPr>
            </w:pPr>
          </w:p>
        </w:tc>
        <w:tc>
          <w:tcPr>
            <w:tcW w:w="1350" w:type="dxa"/>
            <w:tcBorders>
              <w:top w:val="nil"/>
              <w:left w:val="nil"/>
              <w:bottom w:val="single" w:sz="4" w:space="0" w:color="auto"/>
              <w:right w:val="single" w:sz="4" w:space="0" w:color="auto"/>
            </w:tcBorders>
            <w:noWrap/>
            <w:vAlign w:val="bottom"/>
          </w:tcPr>
          <w:p w:rsidR="00915B9C" w:rsidRDefault="00915B9C" w:rsidP="00976C35">
            <w:pPr>
              <w:rPr>
                <w:rFonts w:ascii="Arial" w:hAnsi="Arial" w:cs="Arial"/>
                <w:sz w:val="20"/>
                <w:szCs w:val="20"/>
              </w:rPr>
            </w:pPr>
          </w:p>
        </w:tc>
        <w:tc>
          <w:tcPr>
            <w:tcW w:w="1350" w:type="dxa"/>
            <w:tcBorders>
              <w:top w:val="nil"/>
              <w:left w:val="nil"/>
              <w:bottom w:val="single" w:sz="4" w:space="0" w:color="auto"/>
              <w:right w:val="single" w:sz="4" w:space="0" w:color="auto"/>
            </w:tcBorders>
            <w:noWrap/>
            <w:vAlign w:val="bottom"/>
          </w:tcPr>
          <w:p w:rsidR="00915B9C" w:rsidRDefault="00915B9C" w:rsidP="00976C35">
            <w:pPr>
              <w:rPr>
                <w:rFonts w:ascii="Arial" w:hAnsi="Arial" w:cs="Arial"/>
                <w:sz w:val="20"/>
                <w:szCs w:val="20"/>
              </w:rPr>
            </w:pP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2014 – 3. Ç</w:t>
            </w:r>
          </w:p>
        </w:tc>
        <w:tc>
          <w:tcPr>
            <w:tcW w:w="1350" w:type="dxa"/>
            <w:tcBorders>
              <w:top w:val="nil"/>
              <w:left w:val="nil"/>
              <w:bottom w:val="single" w:sz="4" w:space="0" w:color="auto"/>
              <w:right w:val="single" w:sz="4" w:space="0" w:color="auto"/>
            </w:tcBorders>
            <w:noWrap/>
            <w:vAlign w:val="bottom"/>
          </w:tcPr>
          <w:p w:rsidR="00915B9C" w:rsidRDefault="00915B9C" w:rsidP="00976C35">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nil"/>
              <w:left w:val="nil"/>
              <w:bottom w:val="single" w:sz="4" w:space="0" w:color="auto"/>
              <w:right w:val="single" w:sz="4" w:space="0" w:color="auto"/>
            </w:tcBorders>
            <w:noWrap/>
            <w:vAlign w:val="bottom"/>
          </w:tcPr>
          <w:p w:rsidR="00915B9C" w:rsidRDefault="00915B9C" w:rsidP="00976C35">
            <w:pPr>
              <w:jc w:val="center"/>
              <w:rPr>
                <w:rFonts w:ascii="Arial TUR" w:hAnsi="Arial TUR" w:cs="Arial TUR"/>
                <w:b/>
                <w:bCs/>
                <w:sz w:val="20"/>
                <w:szCs w:val="20"/>
              </w:rPr>
            </w:pPr>
            <w:r>
              <w:rPr>
                <w:rFonts w:ascii="Arial TUR" w:hAnsi="Arial TUR" w:cs="Arial TUR"/>
                <w:b/>
                <w:bCs/>
                <w:sz w:val="20"/>
                <w:szCs w:val="20"/>
              </w:rPr>
              <w:t>Katkılar</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1,7%</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1,1%</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2,8%</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0,5%</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1,3%</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0,2%</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-2,3%</w:t>
            </w:r>
          </w:p>
        </w:tc>
      </w:tr>
      <w:tr w:rsidR="00915B9C"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0,3%</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0,1%</w:t>
            </w:r>
          </w:p>
        </w:tc>
      </w:tr>
      <w:tr w:rsidR="00915B9C" w:rsidTr="00915B9C">
        <w:trPr>
          <w:trHeight w:val="255"/>
        </w:trPr>
        <w:tc>
          <w:tcPr>
            <w:tcW w:w="1980" w:type="dxa"/>
            <w:tcBorders>
              <w:top w:val="nil"/>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-2,9%</w:t>
            </w:r>
          </w:p>
        </w:tc>
        <w:tc>
          <w:tcPr>
            <w:tcW w:w="1350"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0,8%</w:t>
            </w:r>
          </w:p>
        </w:tc>
      </w:tr>
      <w:tr w:rsidR="00915B9C" w:rsidTr="00915B9C">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915B9C" w:rsidRDefault="00915B9C" w:rsidP="00976C35">
            <w:pPr>
              <w:rPr>
                <w:rFonts w:ascii="Arial TUR" w:hAnsi="Arial TUR" w:cs="Arial TUR"/>
                <w:b/>
                <w:bCs/>
                <w:sz w:val="20"/>
                <w:szCs w:val="20"/>
              </w:rPr>
            </w:pPr>
            <w:r w:rsidRPr="00915B9C">
              <w:rPr>
                <w:rFonts w:ascii="Arial" w:hAnsi="Arial" w:cs="Arial"/>
                <w:b/>
                <w:sz w:val="20"/>
                <w:szCs w:val="20"/>
              </w:rPr>
              <w:t>GSYH</w:t>
            </w:r>
          </w:p>
        </w:tc>
        <w:tc>
          <w:tcPr>
            <w:tcW w:w="1350" w:type="dxa"/>
            <w:tcBorders>
              <w:top w:val="single" w:sz="4" w:space="0" w:color="auto"/>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p>
        </w:tc>
        <w:tc>
          <w:tcPr>
            <w:tcW w:w="1350" w:type="dxa"/>
            <w:tcBorders>
              <w:top w:val="single" w:sz="4" w:space="0" w:color="auto"/>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0,5%</w:t>
            </w:r>
          </w:p>
        </w:tc>
      </w:tr>
    </w:tbl>
    <w:p w:rsidR="00915B9C" w:rsidRDefault="00915B9C" w:rsidP="00915B9C">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915B9C" w:rsidRPr="00983DBF" w:rsidRDefault="00915B9C" w:rsidP="00915B9C">
      <w:pPr>
        <w:pStyle w:val="NormalWeb"/>
        <w:spacing w:before="0" w:beforeAutospacing="0" w:after="0" w:afterAutospacing="0"/>
        <w:ind w:right="77"/>
        <w:jc w:val="both"/>
        <w:rPr>
          <w:rFonts w:ascii="Arial" w:hAnsi="Arial" w:cs="Arial"/>
          <w:b/>
          <w:bCs/>
          <w:sz w:val="20"/>
          <w:szCs w:val="20"/>
        </w:rPr>
      </w:pPr>
      <w:r>
        <w:rPr>
          <w:b/>
          <w:bCs/>
          <w:sz w:val="22"/>
          <w:szCs w:val="22"/>
        </w:rPr>
        <w:br w:type="column"/>
      </w:r>
      <w:r w:rsidRPr="00983DBF">
        <w:rPr>
          <w:rFonts w:ascii="Arial" w:hAnsi="Arial" w:cs="Arial"/>
          <w:b/>
          <w:bCs/>
          <w:sz w:val="20"/>
          <w:szCs w:val="20"/>
        </w:rPr>
        <w:lastRenderedPageBreak/>
        <w:t xml:space="preserve">Tablo 2. 2014 4. çeyrekte ve 2014 3. çeyrekte GSYH altkalemlerinin, </w:t>
      </w:r>
      <w:r w:rsidRPr="00983DBF">
        <w:rPr>
          <w:rFonts w:ascii="Arial" w:hAnsi="Arial" w:cs="Arial"/>
          <w:b/>
          <w:bCs/>
          <w:sz w:val="20"/>
          <w:szCs w:val="20"/>
          <w:u w:val="single"/>
        </w:rPr>
        <w:t xml:space="preserve">bir önceki yılın aynı çeyreğine göre </w:t>
      </w:r>
      <w:r w:rsidRPr="00983DBF">
        <w:rPr>
          <w:rFonts w:ascii="Arial" w:hAnsi="Arial" w:cs="Arial"/>
          <w:b/>
          <w:bCs/>
          <w:sz w:val="20"/>
          <w:szCs w:val="20"/>
        </w:rPr>
        <w:t>değişimleri ve büyümeye katkıları</w:t>
      </w:r>
    </w:p>
    <w:p w:rsidR="00D30CE0" w:rsidRDefault="00D30CE0" w:rsidP="00915B9C">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firstRow="0" w:lastRow="0" w:firstColumn="0" w:lastColumn="0" w:noHBand="0" w:noVBand="0"/>
      </w:tblPr>
      <w:tblGrid>
        <w:gridCol w:w="2070"/>
        <w:gridCol w:w="1305"/>
        <w:gridCol w:w="1305"/>
      </w:tblGrid>
      <w:tr w:rsidR="00915B9C" w:rsidTr="00976C35">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Pr>
                <w:rFonts w:ascii="Arial" w:hAnsi="Arial" w:cs="Arial"/>
                <w:b/>
                <w:bCs/>
                <w:sz w:val="20"/>
                <w:szCs w:val="20"/>
              </w:rPr>
              <w:t>2014 – 4</w:t>
            </w:r>
            <w:r w:rsidRPr="005E763B">
              <w:rPr>
                <w:rFonts w:ascii="Arial" w:hAnsi="Arial" w:cs="Arial"/>
                <w:b/>
                <w:bCs/>
                <w:sz w:val="20"/>
                <w:szCs w:val="20"/>
              </w:rPr>
              <w:t>. Ç</w:t>
            </w:r>
          </w:p>
        </w:tc>
        <w:tc>
          <w:tcPr>
            <w:tcW w:w="1305" w:type="dxa"/>
            <w:tcBorders>
              <w:top w:val="single" w:sz="4" w:space="0" w:color="auto"/>
              <w:left w:val="nil"/>
              <w:bottom w:val="single" w:sz="4" w:space="0" w:color="auto"/>
              <w:right w:val="single" w:sz="4" w:space="0" w:color="auto"/>
            </w:tcBorders>
            <w:noWrap/>
            <w:vAlign w:val="bottom"/>
          </w:tcPr>
          <w:p w:rsidR="00915B9C" w:rsidRPr="005E763B" w:rsidRDefault="00915B9C" w:rsidP="00976C35">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single" w:sz="4" w:space="0" w:color="auto"/>
              <w:left w:val="nil"/>
              <w:bottom w:val="single" w:sz="4" w:space="0" w:color="auto"/>
              <w:right w:val="single" w:sz="4" w:space="0" w:color="auto"/>
            </w:tcBorders>
            <w:noWrap/>
            <w:vAlign w:val="bottom"/>
          </w:tcPr>
          <w:p w:rsidR="00915B9C" w:rsidRPr="005E763B" w:rsidRDefault="00915B9C" w:rsidP="00976C35">
            <w:pPr>
              <w:jc w:val="center"/>
              <w:rPr>
                <w:rFonts w:ascii="Arial" w:hAnsi="Arial" w:cs="Arial"/>
                <w:b/>
                <w:bCs/>
                <w:sz w:val="20"/>
                <w:szCs w:val="20"/>
              </w:rPr>
            </w:pPr>
            <w:r w:rsidRPr="005E763B">
              <w:rPr>
                <w:rFonts w:ascii="Arial" w:hAnsi="Arial" w:cs="Arial"/>
                <w:b/>
                <w:bCs/>
                <w:sz w:val="20"/>
                <w:szCs w:val="20"/>
              </w:rPr>
              <w:t>Katkılar</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2,4%</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1,6%</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0,9%</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0,2%</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-1,1%</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-0,2%</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915B9C" w:rsidRDefault="00915B9C" w:rsidP="00341A51">
            <w:pPr>
              <w:jc w:val="right"/>
              <w:rPr>
                <w:rFonts w:ascii="Arial" w:hAnsi="Arial" w:cs="Arial"/>
                <w:sz w:val="20"/>
                <w:szCs w:val="20"/>
              </w:rPr>
            </w:pPr>
            <w:r>
              <w:rPr>
                <w:rFonts w:ascii="Arial" w:hAnsi="Arial" w:cs="Arial"/>
                <w:sz w:val="20"/>
                <w:szCs w:val="20"/>
              </w:rPr>
              <w:t> </w:t>
            </w:r>
            <w:r w:rsidR="00341A51">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1,4%</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3,4%</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0,9%</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4,6%</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-1,3%</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915B9C">
              <w:rPr>
                <w:rFonts w:ascii="Arial" w:hAnsi="Arial" w:cs="Arial"/>
                <w:b/>
                <w:sz w:val="20"/>
                <w:szCs w:val="20"/>
              </w:rPr>
              <w:t>GSYH </w:t>
            </w:r>
          </w:p>
        </w:tc>
        <w:tc>
          <w:tcPr>
            <w:tcW w:w="1305" w:type="dxa"/>
            <w:tcBorders>
              <w:top w:val="nil"/>
              <w:left w:val="nil"/>
              <w:bottom w:val="single" w:sz="4" w:space="0" w:color="auto"/>
              <w:right w:val="single" w:sz="4" w:space="0" w:color="auto"/>
            </w:tcBorders>
            <w:noWrap/>
            <w:vAlign w:val="bottom"/>
          </w:tcPr>
          <w:p w:rsidR="00915B9C" w:rsidRDefault="00915B9C" w:rsidP="00976C35">
            <w:pPr>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915B9C" w:rsidRDefault="00915B9C" w:rsidP="00915B9C">
            <w:pPr>
              <w:jc w:val="right"/>
              <w:rPr>
                <w:rFonts w:ascii="Arial" w:hAnsi="Arial" w:cs="Arial"/>
                <w:sz w:val="20"/>
                <w:szCs w:val="20"/>
              </w:rPr>
            </w:pPr>
            <w:r>
              <w:rPr>
                <w:rFonts w:ascii="Arial" w:hAnsi="Arial" w:cs="Arial"/>
                <w:sz w:val="20"/>
                <w:szCs w:val="20"/>
              </w:rPr>
              <w:t> 2,6%</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p>
        </w:tc>
        <w:tc>
          <w:tcPr>
            <w:tcW w:w="1305" w:type="dxa"/>
            <w:tcBorders>
              <w:top w:val="nil"/>
              <w:left w:val="nil"/>
              <w:bottom w:val="single" w:sz="4" w:space="0" w:color="auto"/>
              <w:right w:val="single" w:sz="4" w:space="0" w:color="auto"/>
            </w:tcBorders>
            <w:noWrap/>
            <w:vAlign w:val="bottom"/>
          </w:tcPr>
          <w:p w:rsidR="00915B9C" w:rsidRDefault="00915B9C" w:rsidP="00976C35">
            <w:pPr>
              <w:rPr>
                <w:rFonts w:ascii="Arial" w:hAnsi="Arial" w:cs="Arial"/>
                <w:sz w:val="20"/>
                <w:szCs w:val="20"/>
              </w:rPr>
            </w:pPr>
          </w:p>
        </w:tc>
        <w:tc>
          <w:tcPr>
            <w:tcW w:w="1305" w:type="dxa"/>
            <w:tcBorders>
              <w:top w:val="nil"/>
              <w:left w:val="nil"/>
              <w:bottom w:val="single" w:sz="4" w:space="0" w:color="auto"/>
              <w:right w:val="single" w:sz="4" w:space="0" w:color="auto"/>
            </w:tcBorders>
            <w:noWrap/>
            <w:vAlign w:val="bottom"/>
          </w:tcPr>
          <w:p w:rsidR="00915B9C" w:rsidRDefault="00915B9C" w:rsidP="00976C35">
            <w:pPr>
              <w:rPr>
                <w:rFonts w:ascii="Arial" w:hAnsi="Arial" w:cs="Arial"/>
                <w:sz w:val="20"/>
                <w:szCs w:val="20"/>
              </w:rPr>
            </w:pP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Pr>
                <w:rFonts w:ascii="Arial" w:hAnsi="Arial" w:cs="Arial"/>
                <w:b/>
                <w:bCs/>
                <w:sz w:val="20"/>
                <w:szCs w:val="20"/>
              </w:rPr>
              <w:t>2014 – 3</w:t>
            </w:r>
            <w:r w:rsidRPr="005E763B">
              <w:rPr>
                <w:rFonts w:ascii="Arial" w:hAnsi="Arial" w:cs="Arial"/>
                <w:b/>
                <w:bCs/>
                <w:sz w:val="20"/>
                <w:szCs w:val="20"/>
              </w:rPr>
              <w:t>. Ç</w:t>
            </w:r>
          </w:p>
        </w:tc>
        <w:tc>
          <w:tcPr>
            <w:tcW w:w="1305" w:type="dxa"/>
            <w:tcBorders>
              <w:top w:val="nil"/>
              <w:left w:val="nil"/>
              <w:bottom w:val="single" w:sz="4" w:space="0" w:color="auto"/>
              <w:right w:val="single" w:sz="4" w:space="0" w:color="auto"/>
            </w:tcBorders>
            <w:noWrap/>
            <w:vAlign w:val="bottom"/>
          </w:tcPr>
          <w:p w:rsidR="00915B9C" w:rsidRPr="005E763B" w:rsidRDefault="00915B9C" w:rsidP="00976C35">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nil"/>
              <w:left w:val="nil"/>
              <w:bottom w:val="single" w:sz="4" w:space="0" w:color="auto"/>
              <w:right w:val="single" w:sz="4" w:space="0" w:color="auto"/>
            </w:tcBorders>
            <w:noWrap/>
            <w:vAlign w:val="bottom"/>
          </w:tcPr>
          <w:p w:rsidR="00915B9C" w:rsidRPr="005E763B" w:rsidRDefault="00915B9C" w:rsidP="00976C35">
            <w:pPr>
              <w:jc w:val="center"/>
              <w:rPr>
                <w:rFonts w:ascii="Arial" w:hAnsi="Arial" w:cs="Arial"/>
                <w:b/>
                <w:bCs/>
                <w:sz w:val="20"/>
                <w:szCs w:val="20"/>
              </w:rPr>
            </w:pPr>
            <w:r w:rsidRPr="005E763B">
              <w:rPr>
                <w:rFonts w:ascii="Arial" w:hAnsi="Arial" w:cs="Arial"/>
                <w:b/>
                <w:bCs/>
                <w:sz w:val="20"/>
                <w:szCs w:val="20"/>
              </w:rPr>
              <w:t>Katkılar</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0,1%</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0,1%</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2,1%</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0,4%</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1,1%</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0,2%</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915B9C" w:rsidRDefault="00915B9C" w:rsidP="00341A51">
            <w:pPr>
              <w:jc w:val="right"/>
              <w:rPr>
                <w:rFonts w:ascii="Arial" w:hAnsi="Arial" w:cs="Arial"/>
                <w:sz w:val="20"/>
                <w:szCs w:val="20"/>
              </w:rPr>
            </w:pPr>
            <w:r>
              <w:rPr>
                <w:rFonts w:ascii="Arial" w:hAnsi="Arial" w:cs="Arial"/>
                <w:sz w:val="20"/>
                <w:szCs w:val="20"/>
              </w:rPr>
              <w:t> </w:t>
            </w:r>
            <w:r w:rsidR="00341A51">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-1,1%</w:t>
            </w:r>
          </w:p>
        </w:tc>
      </w:tr>
      <w:tr w:rsidR="00915B9C" w:rsidTr="00976C35">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7,9%</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2,0%</w:t>
            </w:r>
          </w:p>
        </w:tc>
      </w:tr>
      <w:tr w:rsidR="00915B9C" w:rsidTr="00915B9C">
        <w:trPr>
          <w:trHeight w:val="255"/>
        </w:trPr>
        <w:tc>
          <w:tcPr>
            <w:tcW w:w="2070" w:type="dxa"/>
            <w:tcBorders>
              <w:top w:val="nil"/>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-1,6%</w:t>
            </w:r>
          </w:p>
        </w:tc>
        <w:tc>
          <w:tcPr>
            <w:tcW w:w="1305" w:type="dxa"/>
            <w:tcBorders>
              <w:top w:val="nil"/>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0,4%</w:t>
            </w:r>
          </w:p>
        </w:tc>
      </w:tr>
      <w:tr w:rsidR="00915B9C" w:rsidTr="00915B9C">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915B9C" w:rsidRPr="005E763B" w:rsidRDefault="00915B9C" w:rsidP="00976C35">
            <w:pPr>
              <w:rPr>
                <w:rFonts w:ascii="Arial" w:hAnsi="Arial" w:cs="Arial"/>
                <w:b/>
                <w:bCs/>
                <w:sz w:val="20"/>
                <w:szCs w:val="20"/>
              </w:rPr>
            </w:pPr>
            <w:r w:rsidRPr="00915B9C">
              <w:rPr>
                <w:rFonts w:ascii="Arial" w:hAnsi="Arial" w:cs="Arial"/>
                <w:b/>
                <w:sz w:val="20"/>
                <w:szCs w:val="20"/>
              </w:rPr>
              <w:t>GSYH </w:t>
            </w:r>
          </w:p>
        </w:tc>
        <w:tc>
          <w:tcPr>
            <w:tcW w:w="1305" w:type="dxa"/>
            <w:tcBorders>
              <w:top w:val="single" w:sz="4" w:space="0" w:color="auto"/>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p>
        </w:tc>
        <w:tc>
          <w:tcPr>
            <w:tcW w:w="1305" w:type="dxa"/>
            <w:tcBorders>
              <w:top w:val="single" w:sz="4" w:space="0" w:color="auto"/>
              <w:left w:val="nil"/>
              <w:bottom w:val="single" w:sz="4" w:space="0" w:color="auto"/>
              <w:right w:val="single" w:sz="4" w:space="0" w:color="auto"/>
            </w:tcBorders>
            <w:noWrap/>
            <w:vAlign w:val="bottom"/>
          </w:tcPr>
          <w:p w:rsidR="00915B9C" w:rsidRDefault="00915B9C" w:rsidP="00976C35">
            <w:pPr>
              <w:jc w:val="right"/>
              <w:rPr>
                <w:rFonts w:ascii="Arial" w:hAnsi="Arial" w:cs="Arial"/>
                <w:sz w:val="20"/>
                <w:szCs w:val="20"/>
              </w:rPr>
            </w:pPr>
            <w:r>
              <w:rPr>
                <w:rFonts w:ascii="Arial" w:hAnsi="Arial" w:cs="Arial"/>
                <w:sz w:val="20"/>
                <w:szCs w:val="20"/>
              </w:rPr>
              <w:t>1,9%</w:t>
            </w:r>
          </w:p>
        </w:tc>
      </w:tr>
    </w:tbl>
    <w:p w:rsidR="00915B9C" w:rsidRDefault="00915B9C" w:rsidP="00915B9C">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D06A2" w:rsidRDefault="00DD06A2" w:rsidP="00976C35">
      <w:pPr>
        <w:pStyle w:val="NormalWeb"/>
        <w:spacing w:before="0" w:beforeAutospacing="0" w:after="0" w:afterAutospacing="0"/>
        <w:ind w:right="79"/>
        <w:rPr>
          <w:rFonts w:ascii="Arial" w:hAnsi="Arial" w:cs="Arial"/>
          <w:b/>
          <w:bCs/>
          <w:sz w:val="20"/>
          <w:szCs w:val="20"/>
        </w:rPr>
        <w:sectPr w:rsidR="00DD06A2" w:rsidSect="00C335E9">
          <w:type w:val="continuous"/>
          <w:pgSz w:w="11906" w:h="16838"/>
          <w:pgMar w:top="1417" w:right="1106" w:bottom="1417" w:left="900" w:header="708" w:footer="708" w:gutter="0"/>
          <w:cols w:num="2" w:space="386"/>
          <w:docGrid w:linePitch="360"/>
        </w:sectPr>
      </w:pPr>
    </w:p>
    <w:tbl>
      <w:tblPr>
        <w:tblpPr w:leftFromText="141" w:rightFromText="141" w:vertAnchor="text" w:horzAnchor="margin" w:tblpY="592"/>
        <w:tblW w:w="9437" w:type="dxa"/>
        <w:tblCellMar>
          <w:left w:w="70" w:type="dxa"/>
          <w:right w:w="70" w:type="dxa"/>
        </w:tblCellMar>
        <w:tblLook w:val="04A0" w:firstRow="1" w:lastRow="0" w:firstColumn="1" w:lastColumn="0" w:noHBand="0" w:noVBand="1"/>
      </w:tblPr>
      <w:tblGrid>
        <w:gridCol w:w="1417"/>
        <w:gridCol w:w="960"/>
        <w:gridCol w:w="960"/>
        <w:gridCol w:w="1286"/>
        <w:gridCol w:w="974"/>
        <w:gridCol w:w="960"/>
        <w:gridCol w:w="960"/>
        <w:gridCol w:w="960"/>
        <w:gridCol w:w="960"/>
      </w:tblGrid>
      <w:tr w:rsidR="00915B9C" w:rsidRPr="008E5192" w:rsidTr="00976C35">
        <w:trPr>
          <w:trHeight w:val="765"/>
        </w:trPr>
        <w:tc>
          <w:tcPr>
            <w:tcW w:w="9437" w:type="dxa"/>
            <w:gridSpan w:val="9"/>
            <w:tcBorders>
              <w:bottom w:val="single" w:sz="4" w:space="0" w:color="auto"/>
            </w:tcBorders>
            <w:shd w:val="clear" w:color="auto" w:fill="auto"/>
            <w:noWrap/>
            <w:vAlign w:val="bottom"/>
            <w:hideMark/>
          </w:tcPr>
          <w:p w:rsidR="00915B9C" w:rsidRPr="00983DBF" w:rsidRDefault="00915B9C" w:rsidP="002A2231">
            <w:pPr>
              <w:pStyle w:val="NormalWeb"/>
              <w:spacing w:before="0" w:beforeAutospacing="0" w:after="0" w:afterAutospacing="0"/>
              <w:ind w:right="79"/>
              <w:rPr>
                <w:rFonts w:ascii="Arial" w:hAnsi="Arial" w:cs="Arial"/>
                <w:b/>
                <w:bCs/>
                <w:sz w:val="20"/>
                <w:szCs w:val="20"/>
              </w:rPr>
            </w:pPr>
            <w:r w:rsidRPr="00983DBF">
              <w:rPr>
                <w:rFonts w:ascii="Arial" w:hAnsi="Arial" w:cs="Arial"/>
                <w:b/>
                <w:bCs/>
                <w:sz w:val="20"/>
                <w:szCs w:val="20"/>
              </w:rPr>
              <w:t>Tablo 3. GSYH alt kalemlerinin bir önceki çeyreğe göre büyümeye katkıları ve toplam büyüme</w:t>
            </w:r>
            <w:r w:rsidRPr="00983DBF">
              <w:rPr>
                <w:b/>
                <w:bCs/>
                <w:sz w:val="20"/>
                <w:szCs w:val="20"/>
              </w:rPr>
              <w:t xml:space="preserve"> </w:t>
            </w:r>
          </w:p>
        </w:tc>
      </w:tr>
      <w:tr w:rsidR="00915B9C" w:rsidRPr="008E5192" w:rsidTr="00976C35">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sz w:val="20"/>
                <w:szCs w:val="20"/>
              </w:rPr>
            </w:pPr>
            <w:r w:rsidRPr="008E5192">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Tüketim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Özel Yatırım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Kamu Harcamaları</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Stok Değişimi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Net 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İthalat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5B9C" w:rsidRPr="00B123F5" w:rsidRDefault="00915B9C" w:rsidP="00983DBF">
            <w:pPr>
              <w:jc w:val="center"/>
              <w:rPr>
                <w:rFonts w:ascii="Arial" w:hAnsi="Arial" w:cs="Arial"/>
                <w:b/>
                <w:sz w:val="20"/>
                <w:szCs w:val="20"/>
              </w:rPr>
            </w:pPr>
            <w:r w:rsidRPr="00B123F5">
              <w:rPr>
                <w:rFonts w:ascii="Arial" w:hAnsi="Arial" w:cs="Arial"/>
                <w:b/>
                <w:sz w:val="20"/>
                <w:szCs w:val="20"/>
              </w:rPr>
              <w:t>Toplam</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2012(1)</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2012(2)</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-0,6%</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0,8%</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1,1%</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2012(3)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-0,9%</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2012(4)</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2013(1)</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1,3%</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1,8%</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2013(2)</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0,0%</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1,7%</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2013(3)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0,4%</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2013(4)</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r>
      <w:tr w:rsidR="00915B9C" w:rsidRPr="008E5192" w:rsidTr="002A2231">
        <w:trPr>
          <w:trHeight w:val="263"/>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sidRPr="008E5192">
              <w:rPr>
                <w:rFonts w:ascii="Arial" w:hAnsi="Arial" w:cs="Arial"/>
                <w:b/>
                <w:bCs/>
                <w:sz w:val="20"/>
                <w:szCs w:val="20"/>
              </w:rPr>
              <w:t>2014(1)</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-0,4%</w:t>
            </w:r>
          </w:p>
        </w:tc>
        <w:tc>
          <w:tcPr>
            <w:tcW w:w="1286"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1,6%</w:t>
            </w:r>
          </w:p>
        </w:tc>
      </w:tr>
      <w:tr w:rsidR="00915B9C"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9C" w:rsidRPr="008E5192" w:rsidRDefault="00915B9C" w:rsidP="00976C35">
            <w:pPr>
              <w:rPr>
                <w:rFonts w:ascii="Arial" w:hAnsi="Arial" w:cs="Arial"/>
                <w:b/>
                <w:bCs/>
                <w:sz w:val="20"/>
                <w:szCs w:val="20"/>
              </w:rPr>
            </w:pPr>
            <w:r>
              <w:rPr>
                <w:rFonts w:ascii="Arial" w:hAnsi="Arial" w:cs="Arial"/>
                <w:b/>
                <w:bCs/>
                <w:sz w:val="20"/>
                <w:szCs w:val="20"/>
              </w:rPr>
              <w:t>2014(2)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-0,4%</w:t>
            </w:r>
          </w:p>
        </w:tc>
      </w:tr>
      <w:tr w:rsidR="00915B9C"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9C" w:rsidRDefault="00915B9C" w:rsidP="00976C35">
            <w:pPr>
              <w:rPr>
                <w:rFonts w:ascii="Arial" w:hAnsi="Arial" w:cs="Arial"/>
                <w:b/>
                <w:bCs/>
                <w:sz w:val="20"/>
                <w:szCs w:val="20"/>
              </w:rPr>
            </w:pPr>
            <w:r>
              <w:rPr>
                <w:rFonts w:ascii="Arial" w:hAnsi="Arial" w:cs="Arial"/>
                <w:b/>
                <w:bCs/>
                <w:sz w:val="20"/>
                <w:szCs w:val="20"/>
              </w:rPr>
              <w:t>2014(3)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0,2%</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0,5%</w:t>
            </w:r>
          </w:p>
        </w:tc>
      </w:tr>
      <w:tr w:rsidR="00915B9C" w:rsidRPr="008E5192" w:rsidTr="002A2231">
        <w:trPr>
          <w:trHeight w:val="26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9C" w:rsidRDefault="00915B9C" w:rsidP="00976C35">
            <w:pPr>
              <w:rPr>
                <w:rFonts w:ascii="Arial" w:hAnsi="Arial" w:cs="Arial"/>
                <w:b/>
                <w:bCs/>
                <w:sz w:val="20"/>
                <w:szCs w:val="20"/>
              </w:rPr>
            </w:pPr>
            <w:r>
              <w:rPr>
                <w:rFonts w:ascii="Arial" w:hAnsi="Arial" w:cs="Arial"/>
                <w:b/>
                <w:bCs/>
                <w:sz w:val="20"/>
                <w:szCs w:val="20"/>
              </w:rPr>
              <w:t>2014(4)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0,1%</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5B9C" w:rsidRDefault="00915B9C" w:rsidP="00983DBF">
            <w:pPr>
              <w:jc w:val="center"/>
              <w:rPr>
                <w:rFonts w:ascii="Arial" w:hAnsi="Arial" w:cs="Arial"/>
                <w:sz w:val="20"/>
                <w:szCs w:val="20"/>
              </w:rPr>
            </w:pPr>
            <w:r>
              <w:rPr>
                <w:rFonts w:ascii="Arial" w:hAnsi="Arial" w:cs="Arial"/>
                <w:sz w:val="20"/>
                <w:szCs w:val="20"/>
              </w:rPr>
              <w:t>0,7%</w:t>
            </w:r>
          </w:p>
        </w:tc>
      </w:tr>
    </w:tbl>
    <w:p w:rsidR="00915B9C" w:rsidRDefault="00915B9C"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915B9C">
      <w:pPr>
        <w:pStyle w:val="NormalWeb"/>
        <w:spacing w:before="0" w:beforeAutospacing="0" w:after="0" w:afterAutospacing="0" w:line="360" w:lineRule="auto"/>
        <w:ind w:right="77"/>
        <w:rPr>
          <w:rFonts w:ascii="Arial" w:hAnsi="Arial" w:cs="Arial"/>
          <w:b/>
          <w:bCs/>
          <w:sz w:val="20"/>
          <w:szCs w:val="20"/>
        </w:rPr>
      </w:pPr>
    </w:p>
    <w:p w:rsidR="00DD06A2" w:rsidRDefault="00DD06A2" w:rsidP="00DD06A2">
      <w:pPr>
        <w:pStyle w:val="NormalWeb"/>
        <w:spacing w:before="0" w:beforeAutospacing="0" w:after="0" w:afterAutospacing="0" w:line="360" w:lineRule="auto"/>
        <w:ind w:right="-23"/>
        <w:rPr>
          <w:rFonts w:ascii="Arial" w:hAnsi="Arial" w:cs="Arial"/>
          <w:b/>
          <w:bCs/>
          <w:sz w:val="20"/>
          <w:szCs w:val="20"/>
        </w:rPr>
      </w:pPr>
    </w:p>
    <w:p w:rsidR="002A2231" w:rsidRDefault="002A2231" w:rsidP="00915B9C">
      <w:pPr>
        <w:pStyle w:val="NormalWeb"/>
        <w:spacing w:before="0" w:beforeAutospacing="0" w:after="0" w:afterAutospacing="0" w:line="360" w:lineRule="auto"/>
        <w:ind w:right="77"/>
        <w:rPr>
          <w:rFonts w:ascii="Arial" w:hAnsi="Arial" w:cs="Arial"/>
          <w:b/>
          <w:bCs/>
          <w:sz w:val="20"/>
          <w:szCs w:val="20"/>
        </w:rPr>
      </w:pPr>
    </w:p>
    <w:p w:rsidR="002A2231" w:rsidRDefault="002A2231" w:rsidP="00915B9C">
      <w:pPr>
        <w:pStyle w:val="NormalWeb"/>
        <w:spacing w:before="0" w:beforeAutospacing="0" w:after="0" w:afterAutospacing="0" w:line="360" w:lineRule="auto"/>
        <w:ind w:right="77"/>
        <w:rPr>
          <w:rFonts w:ascii="Arial" w:hAnsi="Arial" w:cs="Arial"/>
          <w:b/>
          <w:bCs/>
          <w:sz w:val="20"/>
          <w:szCs w:val="20"/>
        </w:rPr>
      </w:pPr>
    </w:p>
    <w:p w:rsidR="00DD06A2" w:rsidRPr="00DD06A2" w:rsidRDefault="00DD06A2" w:rsidP="00915B9C">
      <w:pPr>
        <w:pStyle w:val="NormalWeb"/>
        <w:spacing w:before="0" w:beforeAutospacing="0" w:after="0" w:afterAutospacing="0" w:line="360" w:lineRule="auto"/>
        <w:ind w:right="77"/>
        <w:rPr>
          <w:rFonts w:ascii="Arial" w:hAnsi="Arial" w:cs="Arial"/>
          <w:bCs/>
          <w:sz w:val="16"/>
          <w:szCs w:val="16"/>
        </w:rPr>
        <w:sectPr w:rsidR="00DD06A2" w:rsidRPr="00DD06A2" w:rsidSect="00DD06A2">
          <w:type w:val="continuous"/>
          <w:pgSz w:w="11906" w:h="16838"/>
          <w:pgMar w:top="1417" w:right="1106" w:bottom="1417" w:left="900" w:header="708" w:footer="708" w:gutter="0"/>
          <w:cols w:space="386"/>
          <w:docGrid w:linePitch="360"/>
        </w:sectPr>
      </w:pPr>
      <w:r w:rsidRPr="00DD06A2">
        <w:rPr>
          <w:rFonts w:ascii="Arial" w:hAnsi="Arial" w:cs="Arial"/>
          <w:bCs/>
          <w:sz w:val="16"/>
          <w:szCs w:val="16"/>
        </w:rPr>
        <w:t>Kaynak:TUİK.</w:t>
      </w:r>
    </w:p>
    <w:p w:rsidR="00983DBF" w:rsidRDefault="00983DBF" w:rsidP="00983DBF">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lastRenderedPageBreak/>
        <w:t xml:space="preserve">Tablo 4. </w:t>
      </w:r>
      <w:r w:rsidRPr="00983DBF">
        <w:rPr>
          <w:rFonts w:ascii="Arial" w:hAnsi="Arial" w:cs="Arial"/>
          <w:b/>
          <w:bCs/>
          <w:sz w:val="20"/>
          <w:szCs w:val="20"/>
        </w:rPr>
        <w:t>GSYH alt kalemlerinin b</w:t>
      </w:r>
      <w:r>
        <w:rPr>
          <w:rFonts w:ascii="Arial" w:hAnsi="Arial" w:cs="Arial"/>
          <w:b/>
          <w:bCs/>
          <w:sz w:val="20"/>
          <w:szCs w:val="20"/>
        </w:rPr>
        <w:t>ir önceki çeyreğe göre büyümeleri</w:t>
      </w:r>
    </w:p>
    <w:tbl>
      <w:tblPr>
        <w:tblStyle w:val="TableGrid"/>
        <w:tblW w:w="0" w:type="auto"/>
        <w:tblLook w:val="04A0" w:firstRow="1" w:lastRow="0" w:firstColumn="1" w:lastColumn="0" w:noHBand="0" w:noVBand="1"/>
      </w:tblPr>
      <w:tblGrid>
        <w:gridCol w:w="1064"/>
        <w:gridCol w:w="1810"/>
        <w:gridCol w:w="1810"/>
        <w:gridCol w:w="1811"/>
        <w:gridCol w:w="1810"/>
        <w:gridCol w:w="1811"/>
      </w:tblGrid>
      <w:tr w:rsidR="00983DBF" w:rsidTr="000A2E1C">
        <w:tc>
          <w:tcPr>
            <w:tcW w:w="1064" w:type="dxa"/>
          </w:tcPr>
          <w:p w:rsidR="00983DBF" w:rsidRDefault="00983DBF" w:rsidP="00983DBF">
            <w:pPr>
              <w:pStyle w:val="NormalWeb"/>
              <w:spacing w:before="0" w:beforeAutospacing="0" w:after="0" w:afterAutospacing="0" w:line="360" w:lineRule="auto"/>
              <w:ind w:right="77"/>
              <w:rPr>
                <w:rFonts w:ascii="Arial" w:hAnsi="Arial" w:cs="Arial"/>
                <w:b/>
                <w:bCs/>
                <w:sz w:val="20"/>
                <w:szCs w:val="20"/>
              </w:rPr>
            </w:pPr>
          </w:p>
        </w:tc>
        <w:tc>
          <w:tcPr>
            <w:tcW w:w="1810"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Tüketim</w:t>
            </w:r>
          </w:p>
        </w:tc>
        <w:tc>
          <w:tcPr>
            <w:tcW w:w="1810"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Özel Yatırım</w:t>
            </w:r>
          </w:p>
        </w:tc>
        <w:tc>
          <w:tcPr>
            <w:tcW w:w="1811"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Kamu Harcamaları</w:t>
            </w:r>
          </w:p>
        </w:tc>
        <w:tc>
          <w:tcPr>
            <w:tcW w:w="1810"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İhracat</w:t>
            </w:r>
          </w:p>
        </w:tc>
        <w:tc>
          <w:tcPr>
            <w:tcW w:w="1811" w:type="dxa"/>
            <w:vAlign w:val="center"/>
          </w:tcPr>
          <w:p w:rsidR="00983DBF" w:rsidRPr="00B123F5" w:rsidRDefault="00983DBF" w:rsidP="00983DBF">
            <w:pPr>
              <w:jc w:val="center"/>
              <w:rPr>
                <w:rFonts w:ascii="Arial" w:hAnsi="Arial" w:cs="Arial"/>
                <w:b/>
                <w:sz w:val="20"/>
                <w:szCs w:val="20"/>
              </w:rPr>
            </w:pPr>
            <w:r w:rsidRPr="00B123F5">
              <w:rPr>
                <w:rFonts w:ascii="Arial" w:hAnsi="Arial" w:cs="Arial"/>
                <w:b/>
                <w:sz w:val="20"/>
                <w:szCs w:val="20"/>
              </w:rPr>
              <w:t>İthalat</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2012(1)</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-1,3%</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1,2%</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2,1%</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5,6%</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5,9%</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2012(2)</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-0,5%</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-2,6%</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5,8%</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8,0%</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2,0%</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2012(3)</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1,7%</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-4,3%</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3,7%</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1,0%</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1,1%</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2012(4)</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-0,2%</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-1,3%</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-0,7%</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-0,7%</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-2,5%</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2013(1)</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2,2%</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2,7%</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8,4%</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-3,6%</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6,9%</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2013(2)</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2,0%</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2,4%</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0,0%</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1,4%</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7,0%</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2013(3)</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1,6%</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-0,8%</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-2,0%</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-1,4%</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-5,6%</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2013(4)</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-0,1%</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1,1%</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4,3%</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5,2%</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2,5%</w:t>
            </w:r>
          </w:p>
        </w:tc>
      </w:tr>
      <w:tr w:rsidR="00983DBF" w:rsidTr="006459F1">
        <w:tc>
          <w:tcPr>
            <w:tcW w:w="1064" w:type="dxa"/>
            <w:vAlign w:val="bottom"/>
          </w:tcPr>
          <w:p w:rsidR="00983DBF" w:rsidRPr="008E5192" w:rsidRDefault="00983DBF" w:rsidP="00983DBF">
            <w:pPr>
              <w:rPr>
                <w:rFonts w:ascii="Arial" w:hAnsi="Arial" w:cs="Arial"/>
                <w:b/>
                <w:bCs/>
                <w:sz w:val="20"/>
                <w:szCs w:val="20"/>
              </w:rPr>
            </w:pPr>
            <w:r w:rsidRPr="008E5192">
              <w:rPr>
                <w:rFonts w:ascii="Arial" w:hAnsi="Arial" w:cs="Arial"/>
                <w:b/>
                <w:bCs/>
                <w:sz w:val="20"/>
                <w:szCs w:val="20"/>
              </w:rPr>
              <w:t>2014(1)</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-1,2%</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-2,0%</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0,9%</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4,4%</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-2,8%</w:t>
            </w:r>
          </w:p>
        </w:tc>
      </w:tr>
      <w:tr w:rsidR="00983DBF" w:rsidTr="006459F1">
        <w:tc>
          <w:tcPr>
            <w:tcW w:w="1064" w:type="dxa"/>
            <w:vAlign w:val="bottom"/>
          </w:tcPr>
          <w:p w:rsidR="00983DBF" w:rsidRPr="008E5192" w:rsidRDefault="00983DBF" w:rsidP="00983DBF">
            <w:pPr>
              <w:rPr>
                <w:rFonts w:ascii="Arial" w:hAnsi="Arial" w:cs="Arial"/>
                <w:b/>
                <w:bCs/>
                <w:sz w:val="20"/>
                <w:szCs w:val="20"/>
              </w:rPr>
            </w:pPr>
            <w:r>
              <w:rPr>
                <w:rFonts w:ascii="Arial" w:hAnsi="Arial" w:cs="Arial"/>
                <w:b/>
                <w:bCs/>
                <w:sz w:val="20"/>
                <w:szCs w:val="20"/>
              </w:rPr>
              <w:t>2014(2)</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0,1%</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0,2%</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-4,3%</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-1,1%</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1,8%</w:t>
            </w:r>
          </w:p>
        </w:tc>
      </w:tr>
      <w:tr w:rsidR="00983DBF" w:rsidTr="006459F1">
        <w:tc>
          <w:tcPr>
            <w:tcW w:w="1064" w:type="dxa"/>
            <w:vAlign w:val="bottom"/>
          </w:tcPr>
          <w:p w:rsidR="00983DBF" w:rsidRDefault="00983DBF" w:rsidP="00983DBF">
            <w:pPr>
              <w:rPr>
                <w:rFonts w:ascii="Arial" w:hAnsi="Arial" w:cs="Arial"/>
                <w:b/>
                <w:bCs/>
                <w:sz w:val="20"/>
                <w:szCs w:val="20"/>
              </w:rPr>
            </w:pPr>
            <w:r>
              <w:rPr>
                <w:rFonts w:ascii="Arial" w:hAnsi="Arial" w:cs="Arial"/>
                <w:b/>
                <w:bCs/>
                <w:sz w:val="20"/>
                <w:szCs w:val="20"/>
              </w:rPr>
              <w:t>2014(3)</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1,7%</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2,8%</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1,3%</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0,3%</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-2,9%</w:t>
            </w:r>
          </w:p>
        </w:tc>
      </w:tr>
      <w:tr w:rsidR="00983DBF" w:rsidTr="006459F1">
        <w:trPr>
          <w:trHeight w:val="53"/>
        </w:trPr>
        <w:tc>
          <w:tcPr>
            <w:tcW w:w="1064" w:type="dxa"/>
            <w:vAlign w:val="bottom"/>
          </w:tcPr>
          <w:p w:rsidR="00983DBF" w:rsidRDefault="00983DBF" w:rsidP="00983DBF">
            <w:pPr>
              <w:rPr>
                <w:rFonts w:ascii="Arial" w:hAnsi="Arial" w:cs="Arial"/>
                <w:b/>
                <w:bCs/>
                <w:sz w:val="20"/>
                <w:szCs w:val="20"/>
              </w:rPr>
            </w:pPr>
            <w:r>
              <w:rPr>
                <w:rFonts w:ascii="Arial" w:hAnsi="Arial" w:cs="Arial"/>
                <w:b/>
                <w:bCs/>
                <w:sz w:val="20"/>
                <w:szCs w:val="20"/>
              </w:rPr>
              <w:t>2014(4)</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1,4%</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-0,2%</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0,7%</w:t>
            </w:r>
          </w:p>
        </w:tc>
        <w:tc>
          <w:tcPr>
            <w:tcW w:w="1810" w:type="dxa"/>
            <w:vAlign w:val="bottom"/>
          </w:tcPr>
          <w:p w:rsidR="00983DBF" w:rsidRDefault="00983DBF" w:rsidP="00983DBF">
            <w:pPr>
              <w:jc w:val="center"/>
              <w:rPr>
                <w:rFonts w:ascii="Arial" w:hAnsi="Arial" w:cs="Arial"/>
                <w:sz w:val="20"/>
                <w:szCs w:val="20"/>
              </w:rPr>
            </w:pPr>
            <w:r>
              <w:rPr>
                <w:rFonts w:ascii="Arial" w:hAnsi="Arial" w:cs="Arial"/>
                <w:sz w:val="20"/>
                <w:szCs w:val="20"/>
              </w:rPr>
              <w:t>-1,6%</w:t>
            </w:r>
          </w:p>
        </w:tc>
        <w:tc>
          <w:tcPr>
            <w:tcW w:w="1811" w:type="dxa"/>
            <w:vAlign w:val="bottom"/>
          </w:tcPr>
          <w:p w:rsidR="00983DBF" w:rsidRDefault="00983DBF" w:rsidP="00983DBF">
            <w:pPr>
              <w:jc w:val="center"/>
              <w:rPr>
                <w:rFonts w:ascii="Arial" w:hAnsi="Arial" w:cs="Arial"/>
                <w:sz w:val="20"/>
                <w:szCs w:val="20"/>
              </w:rPr>
            </w:pPr>
            <w:r>
              <w:rPr>
                <w:rFonts w:ascii="Arial" w:hAnsi="Arial" w:cs="Arial"/>
                <w:sz w:val="20"/>
                <w:szCs w:val="20"/>
              </w:rPr>
              <w:t>9,0%</w:t>
            </w:r>
          </w:p>
        </w:tc>
      </w:tr>
    </w:tbl>
    <w:p w:rsidR="00983DBF" w:rsidRPr="00983DBF" w:rsidRDefault="00983DBF" w:rsidP="00915B9C">
      <w:pPr>
        <w:pStyle w:val="NormalWeb"/>
        <w:spacing w:before="0" w:beforeAutospacing="0" w:after="0" w:afterAutospacing="0" w:line="360" w:lineRule="auto"/>
        <w:ind w:right="77"/>
        <w:rPr>
          <w:rFonts w:ascii="Arial" w:hAnsi="Arial" w:cs="Arial"/>
          <w:bCs/>
          <w:sz w:val="16"/>
          <w:szCs w:val="16"/>
        </w:rPr>
      </w:pPr>
      <w:r w:rsidRPr="00983DBF">
        <w:rPr>
          <w:rFonts w:ascii="Arial" w:hAnsi="Arial" w:cs="Arial"/>
          <w:bCs/>
          <w:sz w:val="16"/>
          <w:szCs w:val="16"/>
        </w:rPr>
        <w:t>Kaynak: TÜİK.</w:t>
      </w:r>
    </w:p>
    <w:p w:rsidR="00983DBF" w:rsidRDefault="00983DBF" w:rsidP="00915B9C">
      <w:pPr>
        <w:pStyle w:val="NormalWeb"/>
        <w:spacing w:before="0" w:beforeAutospacing="0" w:after="0" w:afterAutospacing="0" w:line="360" w:lineRule="auto"/>
        <w:ind w:right="77"/>
        <w:rPr>
          <w:rFonts w:ascii="Arial" w:hAnsi="Arial" w:cs="Arial"/>
          <w:b/>
          <w:bCs/>
          <w:sz w:val="20"/>
          <w:szCs w:val="20"/>
        </w:rPr>
      </w:pPr>
    </w:p>
    <w:p w:rsidR="00915B9C" w:rsidRDefault="00983DBF" w:rsidP="00983DBF">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t>Tablo 5</w:t>
      </w:r>
      <w:r w:rsidR="002A2231">
        <w:rPr>
          <w:rFonts w:ascii="Arial" w:hAnsi="Arial" w:cs="Arial"/>
          <w:b/>
          <w:bCs/>
          <w:sz w:val="20"/>
          <w:szCs w:val="20"/>
        </w:rPr>
        <w:t>. 2002-2011 ve 2011-2014 ortalama büyüme</w:t>
      </w:r>
      <w:r w:rsidR="00CA4FAE">
        <w:rPr>
          <w:rFonts w:ascii="Arial" w:hAnsi="Arial" w:cs="Arial"/>
          <w:b/>
          <w:bCs/>
          <w:sz w:val="20"/>
          <w:szCs w:val="20"/>
        </w:rPr>
        <w:t xml:space="preserve"> ve alt kalemlerde değişim</w:t>
      </w:r>
      <w:r w:rsidR="002A2231">
        <w:rPr>
          <w:rFonts w:ascii="Arial" w:hAnsi="Arial" w:cs="Arial"/>
          <w:b/>
          <w:bCs/>
          <w:sz w:val="20"/>
          <w:szCs w:val="20"/>
        </w:rPr>
        <w:t xml:space="preserve"> oranları.</w:t>
      </w: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2A2231" w:rsidTr="00976C35">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2A2231" w:rsidRDefault="002A2231" w:rsidP="00976C35">
            <w:pPr>
              <w:rPr>
                <w:rFonts w:ascii="Arial TUR" w:hAnsi="Arial TUR" w:cs="Arial TUR"/>
                <w:b/>
                <w:bCs/>
                <w:sz w:val="20"/>
                <w:szCs w:val="20"/>
              </w:rPr>
            </w:pPr>
          </w:p>
        </w:tc>
        <w:tc>
          <w:tcPr>
            <w:tcW w:w="1350" w:type="dxa"/>
            <w:tcBorders>
              <w:top w:val="single" w:sz="4" w:space="0" w:color="auto"/>
              <w:left w:val="nil"/>
              <w:bottom w:val="single" w:sz="4" w:space="0" w:color="auto"/>
              <w:right w:val="single" w:sz="4" w:space="0" w:color="auto"/>
            </w:tcBorders>
            <w:noWrap/>
            <w:vAlign w:val="bottom"/>
          </w:tcPr>
          <w:p w:rsidR="002A2231" w:rsidRDefault="002A2231" w:rsidP="00976C35">
            <w:pPr>
              <w:jc w:val="center"/>
              <w:rPr>
                <w:rFonts w:ascii="Arial TUR" w:hAnsi="Arial TUR" w:cs="Arial TUR"/>
                <w:b/>
                <w:bCs/>
                <w:sz w:val="20"/>
                <w:szCs w:val="20"/>
              </w:rPr>
            </w:pPr>
            <w:r>
              <w:rPr>
                <w:rFonts w:ascii="Arial TUR" w:hAnsi="Arial TUR" w:cs="Arial TUR"/>
                <w:b/>
                <w:bCs/>
                <w:sz w:val="20"/>
                <w:szCs w:val="20"/>
              </w:rPr>
              <w:t>2002-2011</w:t>
            </w:r>
          </w:p>
        </w:tc>
        <w:tc>
          <w:tcPr>
            <w:tcW w:w="1350" w:type="dxa"/>
            <w:tcBorders>
              <w:top w:val="single" w:sz="4" w:space="0" w:color="auto"/>
              <w:left w:val="nil"/>
              <w:bottom w:val="single" w:sz="4" w:space="0" w:color="auto"/>
              <w:right w:val="single" w:sz="4" w:space="0" w:color="auto"/>
            </w:tcBorders>
            <w:noWrap/>
            <w:vAlign w:val="bottom"/>
          </w:tcPr>
          <w:p w:rsidR="002A2231" w:rsidRDefault="002A2231" w:rsidP="00976C35">
            <w:pPr>
              <w:jc w:val="center"/>
              <w:rPr>
                <w:rFonts w:ascii="Arial TUR" w:hAnsi="Arial TUR" w:cs="Arial TUR"/>
                <w:b/>
                <w:bCs/>
                <w:sz w:val="20"/>
                <w:szCs w:val="20"/>
              </w:rPr>
            </w:pPr>
            <w:r>
              <w:rPr>
                <w:rFonts w:ascii="Arial TUR" w:hAnsi="Arial TUR" w:cs="Arial TUR"/>
                <w:b/>
                <w:bCs/>
                <w:sz w:val="20"/>
                <w:szCs w:val="20"/>
              </w:rPr>
              <w:t>2011-2014</w:t>
            </w:r>
          </w:p>
        </w:tc>
      </w:tr>
      <w:tr w:rsidR="002A2231"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2A2231" w:rsidRDefault="002A2231" w:rsidP="00976C35">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5,6%</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2,0%</w:t>
            </w:r>
          </w:p>
        </w:tc>
      </w:tr>
      <w:tr w:rsidR="002A2231"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2A2231" w:rsidRDefault="002A2231" w:rsidP="00976C35">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11,5%</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-1,3%</w:t>
            </w:r>
          </w:p>
        </w:tc>
      </w:tr>
      <w:tr w:rsidR="002A2231"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2A2231" w:rsidRDefault="002A2231" w:rsidP="00976C35">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4,0%</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6,3%</w:t>
            </w:r>
          </w:p>
        </w:tc>
      </w:tr>
      <w:tr w:rsidR="002A2231"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2A2231" w:rsidRDefault="002A2231" w:rsidP="00976C35">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5,3%</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7,4%</w:t>
            </w:r>
          </w:p>
        </w:tc>
      </w:tr>
      <w:tr w:rsidR="002A2231"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2A2231" w:rsidRDefault="002A2231" w:rsidP="00976C35">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9,0%</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2,7%</w:t>
            </w:r>
          </w:p>
        </w:tc>
      </w:tr>
      <w:tr w:rsidR="002A2231" w:rsidTr="00976C35">
        <w:trPr>
          <w:trHeight w:val="255"/>
        </w:trPr>
        <w:tc>
          <w:tcPr>
            <w:tcW w:w="1980" w:type="dxa"/>
            <w:tcBorders>
              <w:top w:val="nil"/>
              <w:left w:val="single" w:sz="4" w:space="0" w:color="auto"/>
              <w:bottom w:val="single" w:sz="4" w:space="0" w:color="auto"/>
              <w:right w:val="single" w:sz="4" w:space="0" w:color="auto"/>
            </w:tcBorders>
            <w:noWrap/>
            <w:vAlign w:val="bottom"/>
          </w:tcPr>
          <w:p w:rsidR="002A2231" w:rsidRPr="00915B9C" w:rsidRDefault="002A2231" w:rsidP="00976C35">
            <w:pPr>
              <w:rPr>
                <w:rFonts w:ascii="Arial" w:hAnsi="Arial" w:cs="Arial"/>
                <w:b/>
                <w:sz w:val="20"/>
                <w:szCs w:val="20"/>
              </w:rPr>
            </w:pPr>
            <w:r w:rsidRPr="00915B9C">
              <w:rPr>
                <w:rFonts w:ascii="Arial" w:hAnsi="Arial" w:cs="Arial"/>
                <w:b/>
                <w:sz w:val="20"/>
                <w:szCs w:val="20"/>
              </w:rPr>
              <w:t>GSYH </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5,3% </w:t>
            </w:r>
          </w:p>
        </w:tc>
        <w:tc>
          <w:tcPr>
            <w:tcW w:w="1350" w:type="dxa"/>
            <w:tcBorders>
              <w:top w:val="nil"/>
              <w:left w:val="nil"/>
              <w:bottom w:val="single" w:sz="4" w:space="0" w:color="auto"/>
              <w:right w:val="single" w:sz="4" w:space="0" w:color="auto"/>
            </w:tcBorders>
            <w:noWrap/>
            <w:vAlign w:val="bottom"/>
          </w:tcPr>
          <w:p w:rsidR="002A2231" w:rsidRDefault="002A2231" w:rsidP="002A2231">
            <w:pPr>
              <w:jc w:val="right"/>
              <w:rPr>
                <w:rFonts w:ascii="Arial" w:hAnsi="Arial" w:cs="Arial"/>
                <w:sz w:val="20"/>
                <w:szCs w:val="20"/>
              </w:rPr>
            </w:pPr>
            <w:r>
              <w:rPr>
                <w:rFonts w:ascii="Arial" w:hAnsi="Arial" w:cs="Arial"/>
                <w:sz w:val="20"/>
                <w:szCs w:val="20"/>
              </w:rPr>
              <w:t>3,1%</w:t>
            </w:r>
          </w:p>
        </w:tc>
      </w:tr>
    </w:tbl>
    <w:p w:rsidR="002A2231" w:rsidRPr="00983DBF" w:rsidRDefault="002A2231" w:rsidP="00915B9C">
      <w:pPr>
        <w:pStyle w:val="NormalWeb"/>
        <w:spacing w:before="0" w:beforeAutospacing="0" w:after="0" w:afterAutospacing="0" w:line="360" w:lineRule="auto"/>
        <w:ind w:right="77"/>
        <w:rPr>
          <w:rFonts w:ascii="Arial" w:hAnsi="Arial" w:cs="Arial"/>
          <w:bCs/>
          <w:sz w:val="16"/>
          <w:szCs w:val="16"/>
        </w:rPr>
        <w:sectPr w:rsidR="002A2231" w:rsidRPr="00983DBF" w:rsidSect="00DD06A2">
          <w:pgSz w:w="11906" w:h="16838"/>
          <w:pgMar w:top="1417" w:right="1106" w:bottom="1417" w:left="900" w:header="708" w:footer="708" w:gutter="0"/>
          <w:cols w:space="386"/>
          <w:docGrid w:linePitch="360"/>
        </w:sectPr>
      </w:pPr>
      <w:r w:rsidRPr="002A2231">
        <w:rPr>
          <w:rFonts w:ascii="Arial" w:hAnsi="Arial" w:cs="Arial"/>
          <w:bCs/>
          <w:sz w:val="16"/>
          <w:szCs w:val="16"/>
        </w:rPr>
        <w:t>Kaynak: TÜİK.</w:t>
      </w:r>
    </w:p>
    <w:p w:rsidR="002A2231" w:rsidRDefault="002A2231" w:rsidP="00915B9C">
      <w:pPr>
        <w:pStyle w:val="NormalWeb"/>
        <w:spacing w:before="0" w:beforeAutospacing="0" w:after="0" w:afterAutospacing="0" w:line="360" w:lineRule="auto"/>
        <w:ind w:right="77"/>
        <w:rPr>
          <w:rFonts w:ascii="Arial" w:hAnsi="Arial" w:cs="Arial"/>
          <w:b/>
          <w:bCs/>
          <w:sz w:val="20"/>
          <w:szCs w:val="20"/>
        </w:rPr>
        <w:sectPr w:rsidR="002A2231" w:rsidSect="00DD06A2">
          <w:type w:val="continuous"/>
          <w:pgSz w:w="11906" w:h="16838"/>
          <w:pgMar w:top="1417" w:right="1106" w:bottom="1417" w:left="900" w:header="708" w:footer="708" w:gutter="0"/>
          <w:cols w:space="386"/>
          <w:docGrid w:linePitch="360"/>
        </w:sectPr>
      </w:pPr>
    </w:p>
    <w:p w:rsidR="00915B9C" w:rsidRDefault="00983DBF" w:rsidP="00915B9C">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lastRenderedPageBreak/>
        <w:t>Şekil 3</w:t>
      </w:r>
      <w:r w:rsidR="00915B9C">
        <w:rPr>
          <w:rFonts w:ascii="Arial" w:hAnsi="Arial" w:cs="Arial"/>
          <w:b/>
          <w:bCs/>
          <w:sz w:val="20"/>
          <w:szCs w:val="20"/>
        </w:rPr>
        <w:t>. Tüketim, Çeyrekten çeyreğe katkı</w:t>
      </w:r>
    </w:p>
    <w:p w:rsidR="00915B9C" w:rsidRDefault="00341A51" w:rsidP="00915B9C">
      <w:pPr>
        <w:pStyle w:val="NormalWeb"/>
        <w:spacing w:before="0" w:beforeAutospacing="0" w:after="0" w:afterAutospacing="0"/>
        <w:ind w:right="77"/>
        <w:rPr>
          <w:rFonts w:ascii="Arial" w:hAnsi="Arial" w:cs="Arial"/>
          <w:b/>
          <w:bCs/>
          <w:sz w:val="20"/>
          <w:szCs w:val="20"/>
        </w:rPr>
      </w:pPr>
      <w:r w:rsidRPr="00341A51">
        <w:rPr>
          <w:noProof/>
          <w:szCs w:val="20"/>
        </w:rPr>
        <w:drawing>
          <wp:inline distT="0" distB="0" distL="0" distR="0">
            <wp:extent cx="3020695" cy="1768021"/>
            <wp:effectExtent l="19050" t="0" r="825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020695" cy="1768021"/>
                    </a:xfrm>
                    <a:prstGeom prst="rect">
                      <a:avLst/>
                    </a:prstGeom>
                    <a:noFill/>
                    <a:ln w="9525">
                      <a:noFill/>
                      <a:miter lim="800000"/>
                      <a:headEnd/>
                      <a:tailEnd/>
                    </a:ln>
                  </pic:spPr>
                </pic:pic>
              </a:graphicData>
            </a:graphic>
          </wp:inline>
        </w:drawing>
      </w:r>
    </w:p>
    <w:p w:rsidR="00915B9C" w:rsidRDefault="00915B9C" w:rsidP="00915B9C">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915B9C" w:rsidRPr="00C5707D" w:rsidRDefault="00915B9C" w:rsidP="00915B9C">
      <w:pPr>
        <w:pStyle w:val="NormalWeb"/>
        <w:spacing w:before="0" w:beforeAutospacing="0" w:after="0" w:afterAutospacing="0"/>
        <w:jc w:val="both"/>
        <w:rPr>
          <w:rFonts w:ascii="Arial" w:hAnsi="Arial" w:cs="Arial"/>
          <w:sz w:val="20"/>
          <w:szCs w:val="20"/>
        </w:rPr>
      </w:pPr>
    </w:p>
    <w:p w:rsidR="00915B9C" w:rsidRDefault="00983DBF" w:rsidP="00915B9C">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4</w:t>
      </w:r>
      <w:r w:rsidR="00915B9C">
        <w:rPr>
          <w:rFonts w:ascii="Arial" w:hAnsi="Arial" w:cs="Arial"/>
          <w:b/>
          <w:bCs/>
          <w:sz w:val="20"/>
          <w:szCs w:val="20"/>
        </w:rPr>
        <w:t>. Özel Yatırım, Çeyrekten çeyreğe katkı</w:t>
      </w:r>
    </w:p>
    <w:p w:rsidR="00915B9C" w:rsidRDefault="00341A51" w:rsidP="00915B9C">
      <w:pPr>
        <w:pStyle w:val="NormalWeb"/>
        <w:spacing w:before="0" w:beforeAutospacing="0" w:after="0" w:afterAutospacing="0"/>
        <w:ind w:right="77"/>
        <w:rPr>
          <w:rFonts w:ascii="Arial" w:hAnsi="Arial" w:cs="Arial"/>
          <w:b/>
          <w:bCs/>
          <w:sz w:val="20"/>
          <w:szCs w:val="20"/>
        </w:rPr>
      </w:pPr>
      <w:r w:rsidRPr="00341A51">
        <w:rPr>
          <w:noProof/>
          <w:szCs w:val="20"/>
        </w:rPr>
        <w:drawing>
          <wp:inline distT="0" distB="0" distL="0" distR="0">
            <wp:extent cx="3020695" cy="1752749"/>
            <wp:effectExtent l="19050" t="0" r="825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020695" cy="1752749"/>
                    </a:xfrm>
                    <a:prstGeom prst="rect">
                      <a:avLst/>
                    </a:prstGeom>
                    <a:noFill/>
                    <a:ln w="9525">
                      <a:noFill/>
                      <a:miter lim="800000"/>
                      <a:headEnd/>
                      <a:tailEnd/>
                    </a:ln>
                  </pic:spPr>
                </pic:pic>
              </a:graphicData>
            </a:graphic>
          </wp:inline>
        </w:drawing>
      </w:r>
    </w:p>
    <w:p w:rsidR="00915B9C" w:rsidRDefault="00915B9C" w:rsidP="00915B9C">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915B9C" w:rsidRDefault="00915B9C" w:rsidP="00915B9C">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br w:type="column"/>
      </w:r>
      <w:r w:rsidR="00983DBF">
        <w:rPr>
          <w:rFonts w:ascii="Arial" w:hAnsi="Arial" w:cs="Arial"/>
          <w:b/>
          <w:bCs/>
          <w:sz w:val="20"/>
          <w:szCs w:val="20"/>
        </w:rPr>
        <w:lastRenderedPageBreak/>
        <w:t>Şekil 5</w:t>
      </w:r>
      <w:r>
        <w:rPr>
          <w:rFonts w:ascii="Arial" w:hAnsi="Arial" w:cs="Arial"/>
          <w:b/>
          <w:bCs/>
          <w:sz w:val="20"/>
          <w:szCs w:val="20"/>
        </w:rPr>
        <w:t>. İhracat, Çeyrekten çeyreğe katkı</w:t>
      </w:r>
    </w:p>
    <w:p w:rsidR="00341A51" w:rsidRDefault="00341A51" w:rsidP="00915B9C">
      <w:pPr>
        <w:pStyle w:val="NormalWeb"/>
        <w:spacing w:before="0" w:beforeAutospacing="0" w:after="0" w:afterAutospacing="0"/>
        <w:ind w:right="77"/>
        <w:rPr>
          <w:rFonts w:ascii="Arial" w:hAnsi="Arial" w:cs="Arial"/>
          <w:b/>
          <w:bCs/>
          <w:noProof/>
          <w:sz w:val="20"/>
          <w:szCs w:val="20"/>
        </w:rPr>
      </w:pPr>
      <w:r w:rsidRPr="00341A51">
        <w:rPr>
          <w:noProof/>
          <w:szCs w:val="20"/>
        </w:rPr>
        <w:drawing>
          <wp:inline distT="0" distB="0" distL="0" distR="0">
            <wp:extent cx="3020695" cy="1768021"/>
            <wp:effectExtent l="19050" t="0" r="825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020695" cy="1768021"/>
                    </a:xfrm>
                    <a:prstGeom prst="rect">
                      <a:avLst/>
                    </a:prstGeom>
                    <a:noFill/>
                    <a:ln w="9525">
                      <a:noFill/>
                      <a:miter lim="800000"/>
                      <a:headEnd/>
                      <a:tailEnd/>
                    </a:ln>
                  </pic:spPr>
                </pic:pic>
              </a:graphicData>
            </a:graphic>
          </wp:inline>
        </w:drawing>
      </w:r>
    </w:p>
    <w:p w:rsidR="00915B9C" w:rsidRDefault="00915B9C" w:rsidP="00DD06A2">
      <w:pPr>
        <w:pStyle w:val="NormalWeb"/>
        <w:spacing w:before="0" w:beforeAutospacing="0" w:after="0" w:afterAutospacing="0"/>
        <w:ind w:right="77"/>
        <w:rPr>
          <w:rFonts w:ascii="Arial" w:hAnsi="Arial" w:cs="Arial"/>
          <w:sz w:val="16"/>
          <w:szCs w:val="16"/>
        </w:rPr>
      </w:pPr>
      <w:r w:rsidRPr="00660DE2">
        <w:rPr>
          <w:rFonts w:ascii="Arial" w:hAnsi="Arial" w:cs="Arial"/>
          <w:sz w:val="16"/>
          <w:szCs w:val="16"/>
        </w:rPr>
        <w:t>Kaynak : TÜİK.</w:t>
      </w:r>
    </w:p>
    <w:p w:rsidR="00DD06A2" w:rsidRPr="00DD06A2" w:rsidRDefault="00DD06A2" w:rsidP="00DD06A2">
      <w:pPr>
        <w:pStyle w:val="NormalWeb"/>
        <w:spacing w:before="0" w:beforeAutospacing="0" w:after="0" w:afterAutospacing="0"/>
        <w:ind w:right="77"/>
        <w:rPr>
          <w:rFonts w:ascii="Arial" w:hAnsi="Arial" w:cs="Arial"/>
          <w:sz w:val="20"/>
          <w:szCs w:val="20"/>
        </w:rPr>
      </w:pPr>
    </w:p>
    <w:p w:rsidR="00915B9C" w:rsidRDefault="00983DBF" w:rsidP="00915B9C">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6</w:t>
      </w:r>
      <w:r w:rsidR="00915B9C">
        <w:rPr>
          <w:rFonts w:ascii="Arial" w:hAnsi="Arial" w:cs="Arial"/>
          <w:b/>
          <w:bCs/>
          <w:sz w:val="20"/>
          <w:szCs w:val="20"/>
        </w:rPr>
        <w:t>. Kamu harcama, Çeyrekten çeyreğe katkı</w:t>
      </w:r>
    </w:p>
    <w:p w:rsidR="00915B9C" w:rsidRDefault="0086684B" w:rsidP="00915B9C">
      <w:pPr>
        <w:pStyle w:val="NormalWeb"/>
        <w:spacing w:before="0" w:beforeAutospacing="0" w:after="0" w:afterAutospacing="0"/>
        <w:ind w:right="77"/>
        <w:rPr>
          <w:rFonts w:ascii="Arial" w:hAnsi="Arial" w:cs="Arial"/>
          <w:b/>
          <w:bCs/>
          <w:sz w:val="20"/>
          <w:szCs w:val="20"/>
        </w:rPr>
      </w:pPr>
      <w:r w:rsidRPr="0086684B">
        <w:rPr>
          <w:noProof/>
          <w:szCs w:val="20"/>
        </w:rPr>
        <w:drawing>
          <wp:inline distT="0" distB="0" distL="0" distR="0">
            <wp:extent cx="3020695" cy="1764438"/>
            <wp:effectExtent l="19050" t="0" r="8255"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020695" cy="1764438"/>
                    </a:xfrm>
                    <a:prstGeom prst="rect">
                      <a:avLst/>
                    </a:prstGeom>
                    <a:noFill/>
                    <a:ln w="9525">
                      <a:noFill/>
                      <a:miter lim="800000"/>
                      <a:headEnd/>
                      <a:tailEnd/>
                    </a:ln>
                  </pic:spPr>
                </pic:pic>
              </a:graphicData>
            </a:graphic>
          </wp:inline>
        </w:drawing>
      </w:r>
    </w:p>
    <w:p w:rsidR="00915B9C" w:rsidRPr="0015266B" w:rsidRDefault="00915B9C" w:rsidP="00983DBF">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r w:rsidR="00983DBF">
        <w:rPr>
          <w:rFonts w:ascii="Arial" w:hAnsi="Arial" w:cs="Arial"/>
          <w:sz w:val="16"/>
          <w:szCs w:val="16"/>
        </w:rPr>
        <w:t>.</w:t>
      </w:r>
    </w:p>
    <w:sectPr w:rsidR="00915B9C" w:rsidRPr="0015266B" w:rsidSect="002A2231">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D5" w:rsidRDefault="00B02ED5">
      <w:r>
        <w:separator/>
      </w:r>
    </w:p>
  </w:endnote>
  <w:endnote w:type="continuationSeparator" w:id="0">
    <w:p w:rsidR="00B02ED5" w:rsidRDefault="00B0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27" w:rsidRDefault="005D00D5"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end"/>
    </w:r>
  </w:p>
  <w:p w:rsidR="00F66727" w:rsidRDefault="00F66727" w:rsidP="00B723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27" w:rsidRDefault="005D00D5" w:rsidP="007344A9">
    <w:pPr>
      <w:pStyle w:val="Footer"/>
      <w:framePr w:wrap="around" w:vAnchor="text" w:hAnchor="margin" w:xAlign="right" w:y="1"/>
      <w:rPr>
        <w:rStyle w:val="PageNumber"/>
      </w:rPr>
    </w:pPr>
    <w:r>
      <w:rPr>
        <w:rStyle w:val="PageNumber"/>
      </w:rPr>
      <w:fldChar w:fldCharType="begin"/>
    </w:r>
    <w:r w:rsidR="00F66727">
      <w:rPr>
        <w:rStyle w:val="PageNumber"/>
      </w:rPr>
      <w:instrText xml:space="preserve">PAGE  </w:instrText>
    </w:r>
    <w:r>
      <w:rPr>
        <w:rStyle w:val="PageNumber"/>
      </w:rPr>
      <w:fldChar w:fldCharType="separate"/>
    </w:r>
    <w:r w:rsidR="00D51AB2">
      <w:rPr>
        <w:rStyle w:val="PageNumber"/>
        <w:noProof/>
      </w:rPr>
      <w:t>1</w:t>
    </w:r>
    <w:r>
      <w:rPr>
        <w:rStyle w:val="PageNumber"/>
      </w:rPr>
      <w:fldChar w:fldCharType="end"/>
    </w:r>
  </w:p>
  <w:p w:rsidR="00F66727" w:rsidRPr="007750EF" w:rsidRDefault="00F66727" w:rsidP="00017426">
    <w:pPr>
      <w:pStyle w:val="Footer"/>
      <w:ind w:right="360"/>
      <w:jc w:val="center"/>
      <w:rPr>
        <w:rFonts w:ascii="Arial" w:hAnsi="Arial" w:cs="Arial"/>
        <w:b/>
        <w:i/>
        <w:sz w:val="20"/>
        <w:szCs w:val="20"/>
      </w:rPr>
    </w:pPr>
    <w:r w:rsidRPr="007750EF">
      <w:rPr>
        <w:rFonts w:ascii="Arial" w:hAnsi="Arial" w:cs="Arial"/>
        <w:b/>
        <w:i/>
        <w:sz w:val="20"/>
        <w:szCs w:val="20"/>
      </w:rPr>
      <w:t>www.betam.bahcesehir.edu.tr</w:t>
    </w:r>
  </w:p>
  <w:p w:rsidR="00F66727" w:rsidRDefault="00F66727"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D5" w:rsidRDefault="00B02ED5">
      <w:r>
        <w:separator/>
      </w:r>
    </w:p>
  </w:footnote>
  <w:footnote w:type="continuationSeparator" w:id="0">
    <w:p w:rsidR="00B02ED5" w:rsidRDefault="00B02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2CEE"/>
    <w:rsid w:val="0000598D"/>
    <w:rsid w:val="00017426"/>
    <w:rsid w:val="00022A70"/>
    <w:rsid w:val="000301E5"/>
    <w:rsid w:val="00034ECF"/>
    <w:rsid w:val="0003542C"/>
    <w:rsid w:val="00046455"/>
    <w:rsid w:val="000511DE"/>
    <w:rsid w:val="00052687"/>
    <w:rsid w:val="00052C71"/>
    <w:rsid w:val="00054DF2"/>
    <w:rsid w:val="00075E9D"/>
    <w:rsid w:val="00086F83"/>
    <w:rsid w:val="000A3710"/>
    <w:rsid w:val="000A4010"/>
    <w:rsid w:val="000A4BD1"/>
    <w:rsid w:val="000A701D"/>
    <w:rsid w:val="000B2FDA"/>
    <w:rsid w:val="000B6E76"/>
    <w:rsid w:val="000B7349"/>
    <w:rsid w:val="000B79EF"/>
    <w:rsid w:val="000C16A7"/>
    <w:rsid w:val="000C5B7E"/>
    <w:rsid w:val="000C5C8B"/>
    <w:rsid w:val="000D4F14"/>
    <w:rsid w:val="000E10A3"/>
    <w:rsid w:val="000F4941"/>
    <w:rsid w:val="00107363"/>
    <w:rsid w:val="0010795F"/>
    <w:rsid w:val="001105B2"/>
    <w:rsid w:val="00110EBA"/>
    <w:rsid w:val="00111AD6"/>
    <w:rsid w:val="00121E7C"/>
    <w:rsid w:val="00131052"/>
    <w:rsid w:val="00141A2F"/>
    <w:rsid w:val="0014589B"/>
    <w:rsid w:val="0015047E"/>
    <w:rsid w:val="00150C5D"/>
    <w:rsid w:val="0015266B"/>
    <w:rsid w:val="0016522D"/>
    <w:rsid w:val="001660A6"/>
    <w:rsid w:val="00176C3C"/>
    <w:rsid w:val="00177D70"/>
    <w:rsid w:val="00177FE1"/>
    <w:rsid w:val="00177FE3"/>
    <w:rsid w:val="00196F0F"/>
    <w:rsid w:val="00197E61"/>
    <w:rsid w:val="001A0A58"/>
    <w:rsid w:val="001A2B1E"/>
    <w:rsid w:val="001B0683"/>
    <w:rsid w:val="001B2067"/>
    <w:rsid w:val="001D2A83"/>
    <w:rsid w:val="001E1BE7"/>
    <w:rsid w:val="001E5D74"/>
    <w:rsid w:val="001F0A81"/>
    <w:rsid w:val="002040C5"/>
    <w:rsid w:val="00206831"/>
    <w:rsid w:val="002111EE"/>
    <w:rsid w:val="0022018E"/>
    <w:rsid w:val="002304FE"/>
    <w:rsid w:val="002317D2"/>
    <w:rsid w:val="00240B3E"/>
    <w:rsid w:val="0024217A"/>
    <w:rsid w:val="00251F2F"/>
    <w:rsid w:val="00254B09"/>
    <w:rsid w:val="00256199"/>
    <w:rsid w:val="00263147"/>
    <w:rsid w:val="00271677"/>
    <w:rsid w:val="00271F72"/>
    <w:rsid w:val="00280275"/>
    <w:rsid w:val="002829AF"/>
    <w:rsid w:val="0029115A"/>
    <w:rsid w:val="00293567"/>
    <w:rsid w:val="0029571B"/>
    <w:rsid w:val="002A2231"/>
    <w:rsid w:val="002A66ED"/>
    <w:rsid w:val="002A6FA1"/>
    <w:rsid w:val="002B63ED"/>
    <w:rsid w:val="002B7DE6"/>
    <w:rsid w:val="002C0A44"/>
    <w:rsid w:val="002C5230"/>
    <w:rsid w:val="002D0E73"/>
    <w:rsid w:val="002D2C9F"/>
    <w:rsid w:val="002E4EBB"/>
    <w:rsid w:val="002F27AE"/>
    <w:rsid w:val="002F5134"/>
    <w:rsid w:val="00303668"/>
    <w:rsid w:val="00305165"/>
    <w:rsid w:val="00306448"/>
    <w:rsid w:val="0031043B"/>
    <w:rsid w:val="003119E8"/>
    <w:rsid w:val="003142BA"/>
    <w:rsid w:val="00325CF1"/>
    <w:rsid w:val="00337278"/>
    <w:rsid w:val="00341A51"/>
    <w:rsid w:val="003425CC"/>
    <w:rsid w:val="0034543C"/>
    <w:rsid w:val="00350F40"/>
    <w:rsid w:val="0035437A"/>
    <w:rsid w:val="00354A04"/>
    <w:rsid w:val="0038631C"/>
    <w:rsid w:val="00396382"/>
    <w:rsid w:val="00397F47"/>
    <w:rsid w:val="003A04BD"/>
    <w:rsid w:val="003A0ECD"/>
    <w:rsid w:val="003A4BEE"/>
    <w:rsid w:val="003B0931"/>
    <w:rsid w:val="003C09C7"/>
    <w:rsid w:val="003C0C43"/>
    <w:rsid w:val="003C6611"/>
    <w:rsid w:val="003D248E"/>
    <w:rsid w:val="003D7E7F"/>
    <w:rsid w:val="003E3634"/>
    <w:rsid w:val="00405EC6"/>
    <w:rsid w:val="0041456D"/>
    <w:rsid w:val="00421BC8"/>
    <w:rsid w:val="004254C3"/>
    <w:rsid w:val="004332BF"/>
    <w:rsid w:val="004409F6"/>
    <w:rsid w:val="00440EBC"/>
    <w:rsid w:val="004458F8"/>
    <w:rsid w:val="00450ACD"/>
    <w:rsid w:val="00457D4E"/>
    <w:rsid w:val="00485423"/>
    <w:rsid w:val="004947B8"/>
    <w:rsid w:val="004A3A86"/>
    <w:rsid w:val="004A4704"/>
    <w:rsid w:val="004B781D"/>
    <w:rsid w:val="004D3CAD"/>
    <w:rsid w:val="004E272F"/>
    <w:rsid w:val="004E36FD"/>
    <w:rsid w:val="004F2B3D"/>
    <w:rsid w:val="00512FC3"/>
    <w:rsid w:val="00514BF6"/>
    <w:rsid w:val="0051655D"/>
    <w:rsid w:val="005171AD"/>
    <w:rsid w:val="00517CBA"/>
    <w:rsid w:val="00522EDB"/>
    <w:rsid w:val="005267B9"/>
    <w:rsid w:val="00542058"/>
    <w:rsid w:val="00544885"/>
    <w:rsid w:val="00545DA9"/>
    <w:rsid w:val="00552CE8"/>
    <w:rsid w:val="0055334A"/>
    <w:rsid w:val="00553F87"/>
    <w:rsid w:val="00562D56"/>
    <w:rsid w:val="005632F3"/>
    <w:rsid w:val="0058720D"/>
    <w:rsid w:val="005B3336"/>
    <w:rsid w:val="005C0522"/>
    <w:rsid w:val="005C759E"/>
    <w:rsid w:val="005D00D5"/>
    <w:rsid w:val="005D2927"/>
    <w:rsid w:val="005D47AA"/>
    <w:rsid w:val="005E13DC"/>
    <w:rsid w:val="005E4EF0"/>
    <w:rsid w:val="005E763B"/>
    <w:rsid w:val="005F1597"/>
    <w:rsid w:val="005F31BE"/>
    <w:rsid w:val="005F50B6"/>
    <w:rsid w:val="005F51ED"/>
    <w:rsid w:val="00603643"/>
    <w:rsid w:val="00603DB9"/>
    <w:rsid w:val="006103C7"/>
    <w:rsid w:val="00615FF6"/>
    <w:rsid w:val="00624FC0"/>
    <w:rsid w:val="00633C51"/>
    <w:rsid w:val="00637B8E"/>
    <w:rsid w:val="006404AD"/>
    <w:rsid w:val="006442EA"/>
    <w:rsid w:val="00651F13"/>
    <w:rsid w:val="00663B4C"/>
    <w:rsid w:val="006640A7"/>
    <w:rsid w:val="0067731E"/>
    <w:rsid w:val="006878CD"/>
    <w:rsid w:val="006955AD"/>
    <w:rsid w:val="00695EB7"/>
    <w:rsid w:val="006C64A0"/>
    <w:rsid w:val="006C7D7F"/>
    <w:rsid w:val="006C7FF7"/>
    <w:rsid w:val="006D3857"/>
    <w:rsid w:val="006E0CBB"/>
    <w:rsid w:val="006F1199"/>
    <w:rsid w:val="006F3223"/>
    <w:rsid w:val="006F432C"/>
    <w:rsid w:val="006F4A63"/>
    <w:rsid w:val="00700658"/>
    <w:rsid w:val="007041DF"/>
    <w:rsid w:val="00704A5C"/>
    <w:rsid w:val="007065C1"/>
    <w:rsid w:val="00710DCF"/>
    <w:rsid w:val="00712EDE"/>
    <w:rsid w:val="00714E6F"/>
    <w:rsid w:val="00716BBE"/>
    <w:rsid w:val="00717B60"/>
    <w:rsid w:val="00720EA3"/>
    <w:rsid w:val="00726749"/>
    <w:rsid w:val="0072762E"/>
    <w:rsid w:val="007344A9"/>
    <w:rsid w:val="00743F70"/>
    <w:rsid w:val="0074601C"/>
    <w:rsid w:val="0075696F"/>
    <w:rsid w:val="007619A4"/>
    <w:rsid w:val="0076354F"/>
    <w:rsid w:val="0076688A"/>
    <w:rsid w:val="007750EF"/>
    <w:rsid w:val="007777F0"/>
    <w:rsid w:val="0078038A"/>
    <w:rsid w:val="007818BA"/>
    <w:rsid w:val="00784E13"/>
    <w:rsid w:val="007868A5"/>
    <w:rsid w:val="00787484"/>
    <w:rsid w:val="007972B3"/>
    <w:rsid w:val="007A35F3"/>
    <w:rsid w:val="007A4941"/>
    <w:rsid w:val="007A7A86"/>
    <w:rsid w:val="007B5709"/>
    <w:rsid w:val="007B71AC"/>
    <w:rsid w:val="007B75C5"/>
    <w:rsid w:val="007C2C17"/>
    <w:rsid w:val="007D27BC"/>
    <w:rsid w:val="007E62B1"/>
    <w:rsid w:val="007E773F"/>
    <w:rsid w:val="007F4650"/>
    <w:rsid w:val="007F50E5"/>
    <w:rsid w:val="00806083"/>
    <w:rsid w:val="008178BE"/>
    <w:rsid w:val="00817902"/>
    <w:rsid w:val="008231D3"/>
    <w:rsid w:val="008372E2"/>
    <w:rsid w:val="008517F6"/>
    <w:rsid w:val="00855C13"/>
    <w:rsid w:val="008664F4"/>
    <w:rsid w:val="0086684B"/>
    <w:rsid w:val="0086687F"/>
    <w:rsid w:val="0087093F"/>
    <w:rsid w:val="00872BDE"/>
    <w:rsid w:val="00880504"/>
    <w:rsid w:val="008870E7"/>
    <w:rsid w:val="00893ED6"/>
    <w:rsid w:val="008A2487"/>
    <w:rsid w:val="008A461F"/>
    <w:rsid w:val="008B2AB7"/>
    <w:rsid w:val="008B5D75"/>
    <w:rsid w:val="008C2E84"/>
    <w:rsid w:val="008C35D8"/>
    <w:rsid w:val="008C5984"/>
    <w:rsid w:val="008D0D43"/>
    <w:rsid w:val="008D1844"/>
    <w:rsid w:val="008D5294"/>
    <w:rsid w:val="008D711C"/>
    <w:rsid w:val="008F4857"/>
    <w:rsid w:val="00901601"/>
    <w:rsid w:val="009060B6"/>
    <w:rsid w:val="0091445B"/>
    <w:rsid w:val="00914B3D"/>
    <w:rsid w:val="00915A8A"/>
    <w:rsid w:val="00915B9C"/>
    <w:rsid w:val="009177F6"/>
    <w:rsid w:val="00923AE7"/>
    <w:rsid w:val="00925014"/>
    <w:rsid w:val="00930D19"/>
    <w:rsid w:val="009334C7"/>
    <w:rsid w:val="009344D3"/>
    <w:rsid w:val="009377F5"/>
    <w:rsid w:val="00937D5B"/>
    <w:rsid w:val="009443ED"/>
    <w:rsid w:val="00952683"/>
    <w:rsid w:val="009575C3"/>
    <w:rsid w:val="009622F6"/>
    <w:rsid w:val="00970251"/>
    <w:rsid w:val="00981AF5"/>
    <w:rsid w:val="00983059"/>
    <w:rsid w:val="00983DBF"/>
    <w:rsid w:val="009876C6"/>
    <w:rsid w:val="009920D0"/>
    <w:rsid w:val="00995F40"/>
    <w:rsid w:val="009A3A23"/>
    <w:rsid w:val="009A5CBE"/>
    <w:rsid w:val="009B6A34"/>
    <w:rsid w:val="009D2F64"/>
    <w:rsid w:val="009D6D8E"/>
    <w:rsid w:val="009E0021"/>
    <w:rsid w:val="009E0068"/>
    <w:rsid w:val="009E3EA5"/>
    <w:rsid w:val="009F1285"/>
    <w:rsid w:val="009F5135"/>
    <w:rsid w:val="009F61FA"/>
    <w:rsid w:val="00A06590"/>
    <w:rsid w:val="00A13AC7"/>
    <w:rsid w:val="00A208D0"/>
    <w:rsid w:val="00A27158"/>
    <w:rsid w:val="00A31015"/>
    <w:rsid w:val="00A3171E"/>
    <w:rsid w:val="00A54173"/>
    <w:rsid w:val="00A57199"/>
    <w:rsid w:val="00A610C8"/>
    <w:rsid w:val="00A70CB2"/>
    <w:rsid w:val="00A75D44"/>
    <w:rsid w:val="00A76BDF"/>
    <w:rsid w:val="00A800E9"/>
    <w:rsid w:val="00A94AA1"/>
    <w:rsid w:val="00A950AE"/>
    <w:rsid w:val="00A96520"/>
    <w:rsid w:val="00AA5EC7"/>
    <w:rsid w:val="00AB4A1C"/>
    <w:rsid w:val="00AD49B2"/>
    <w:rsid w:val="00AE0BBB"/>
    <w:rsid w:val="00AE2554"/>
    <w:rsid w:val="00AE40FB"/>
    <w:rsid w:val="00AF26BD"/>
    <w:rsid w:val="00AF2D7A"/>
    <w:rsid w:val="00B00EBD"/>
    <w:rsid w:val="00B010E1"/>
    <w:rsid w:val="00B02ED5"/>
    <w:rsid w:val="00B10A46"/>
    <w:rsid w:val="00B14F53"/>
    <w:rsid w:val="00B207BA"/>
    <w:rsid w:val="00B213B6"/>
    <w:rsid w:val="00B23C9A"/>
    <w:rsid w:val="00B276E9"/>
    <w:rsid w:val="00B30B41"/>
    <w:rsid w:val="00B3427A"/>
    <w:rsid w:val="00B34AC5"/>
    <w:rsid w:val="00B7120C"/>
    <w:rsid w:val="00B72337"/>
    <w:rsid w:val="00B7456E"/>
    <w:rsid w:val="00B75A4B"/>
    <w:rsid w:val="00B818B6"/>
    <w:rsid w:val="00BB00EA"/>
    <w:rsid w:val="00BB10F4"/>
    <w:rsid w:val="00BC2E4D"/>
    <w:rsid w:val="00BC55DB"/>
    <w:rsid w:val="00BC704B"/>
    <w:rsid w:val="00BD3858"/>
    <w:rsid w:val="00BF356F"/>
    <w:rsid w:val="00BF5C6A"/>
    <w:rsid w:val="00C22912"/>
    <w:rsid w:val="00C23A83"/>
    <w:rsid w:val="00C258F7"/>
    <w:rsid w:val="00C2731D"/>
    <w:rsid w:val="00C32546"/>
    <w:rsid w:val="00C32712"/>
    <w:rsid w:val="00C335E9"/>
    <w:rsid w:val="00C33984"/>
    <w:rsid w:val="00C402A3"/>
    <w:rsid w:val="00C411C6"/>
    <w:rsid w:val="00C5094B"/>
    <w:rsid w:val="00C6121C"/>
    <w:rsid w:val="00C61305"/>
    <w:rsid w:val="00C6738C"/>
    <w:rsid w:val="00C67C65"/>
    <w:rsid w:val="00C7235A"/>
    <w:rsid w:val="00C72659"/>
    <w:rsid w:val="00C76F10"/>
    <w:rsid w:val="00C805B9"/>
    <w:rsid w:val="00C8511A"/>
    <w:rsid w:val="00C91E59"/>
    <w:rsid w:val="00C928E2"/>
    <w:rsid w:val="00C9454F"/>
    <w:rsid w:val="00CA4FAE"/>
    <w:rsid w:val="00CA5BA6"/>
    <w:rsid w:val="00CD1FF9"/>
    <w:rsid w:val="00CD6206"/>
    <w:rsid w:val="00CE0A0D"/>
    <w:rsid w:val="00CE6B6D"/>
    <w:rsid w:val="00CF1794"/>
    <w:rsid w:val="00D04A88"/>
    <w:rsid w:val="00D06FDE"/>
    <w:rsid w:val="00D139DF"/>
    <w:rsid w:val="00D230EB"/>
    <w:rsid w:val="00D258E0"/>
    <w:rsid w:val="00D30CE0"/>
    <w:rsid w:val="00D43078"/>
    <w:rsid w:val="00D46FA0"/>
    <w:rsid w:val="00D51AB2"/>
    <w:rsid w:val="00D550A5"/>
    <w:rsid w:val="00D705E1"/>
    <w:rsid w:val="00D74F52"/>
    <w:rsid w:val="00D76E36"/>
    <w:rsid w:val="00D771C3"/>
    <w:rsid w:val="00D77718"/>
    <w:rsid w:val="00D87146"/>
    <w:rsid w:val="00D87EC4"/>
    <w:rsid w:val="00D92377"/>
    <w:rsid w:val="00D97362"/>
    <w:rsid w:val="00DA4A6D"/>
    <w:rsid w:val="00DA6EB1"/>
    <w:rsid w:val="00DB1158"/>
    <w:rsid w:val="00DB6657"/>
    <w:rsid w:val="00DD06A2"/>
    <w:rsid w:val="00DE1039"/>
    <w:rsid w:val="00DE3FDF"/>
    <w:rsid w:val="00DF6453"/>
    <w:rsid w:val="00E04A42"/>
    <w:rsid w:val="00E06534"/>
    <w:rsid w:val="00E10719"/>
    <w:rsid w:val="00E10BEB"/>
    <w:rsid w:val="00E159A6"/>
    <w:rsid w:val="00E172A0"/>
    <w:rsid w:val="00E172B6"/>
    <w:rsid w:val="00E20174"/>
    <w:rsid w:val="00E21416"/>
    <w:rsid w:val="00E2274D"/>
    <w:rsid w:val="00E333BE"/>
    <w:rsid w:val="00E37281"/>
    <w:rsid w:val="00E416B0"/>
    <w:rsid w:val="00E51E5A"/>
    <w:rsid w:val="00E663A9"/>
    <w:rsid w:val="00E6776F"/>
    <w:rsid w:val="00E74CCB"/>
    <w:rsid w:val="00E82AB6"/>
    <w:rsid w:val="00E831DE"/>
    <w:rsid w:val="00E864F7"/>
    <w:rsid w:val="00E96583"/>
    <w:rsid w:val="00EA32A9"/>
    <w:rsid w:val="00EA55F1"/>
    <w:rsid w:val="00EB2FE3"/>
    <w:rsid w:val="00EB5E9B"/>
    <w:rsid w:val="00EC2603"/>
    <w:rsid w:val="00EC57EE"/>
    <w:rsid w:val="00ED17CA"/>
    <w:rsid w:val="00ED3519"/>
    <w:rsid w:val="00ED759D"/>
    <w:rsid w:val="00EE5804"/>
    <w:rsid w:val="00EF6749"/>
    <w:rsid w:val="00F04250"/>
    <w:rsid w:val="00F13CED"/>
    <w:rsid w:val="00F26121"/>
    <w:rsid w:val="00F27DE2"/>
    <w:rsid w:val="00F36524"/>
    <w:rsid w:val="00F428BE"/>
    <w:rsid w:val="00F50073"/>
    <w:rsid w:val="00F562D3"/>
    <w:rsid w:val="00F6636F"/>
    <w:rsid w:val="00F66727"/>
    <w:rsid w:val="00F70C3E"/>
    <w:rsid w:val="00F83F3C"/>
    <w:rsid w:val="00F86020"/>
    <w:rsid w:val="00FA01C6"/>
    <w:rsid w:val="00FA0645"/>
    <w:rsid w:val="00FA07D1"/>
    <w:rsid w:val="00FB3BC1"/>
    <w:rsid w:val="00FB6EAF"/>
    <w:rsid w:val="00FC532D"/>
    <w:rsid w:val="00FD70DC"/>
    <w:rsid w:val="00FE4186"/>
    <w:rsid w:val="00FF0FE7"/>
    <w:rsid w:val="00FF1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 w:type="table" w:styleId="TableGrid">
    <w:name w:val="Table Grid"/>
    <w:basedOn w:val="TableNormal"/>
    <w:rsid w:val="0098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FDE"/>
    <w:rPr>
      <w:sz w:val="24"/>
      <w:szCs w:val="24"/>
      <w:lang w:val="tr-TR" w:eastAsia="tr-TR"/>
    </w:rPr>
  </w:style>
  <w:style w:type="paragraph" w:styleId="Heading1">
    <w:name w:val="heading 1"/>
    <w:basedOn w:val="Normal"/>
    <w:next w:val="Normal"/>
    <w:qFormat/>
    <w:rsid w:val="007750EF"/>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A81"/>
    <w:rPr>
      <w:color w:val="0000FF"/>
      <w:u w:val="single"/>
    </w:rPr>
  </w:style>
  <w:style w:type="paragraph" w:styleId="DocumentMap">
    <w:name w:val="Document Map"/>
    <w:basedOn w:val="Normal"/>
    <w:semiHidden/>
    <w:rsid w:val="00C805B9"/>
    <w:pPr>
      <w:shd w:val="clear" w:color="auto" w:fill="000080"/>
    </w:pPr>
    <w:rPr>
      <w:rFonts w:ascii="Tahoma" w:hAnsi="Tahoma" w:cs="Tahoma"/>
      <w:sz w:val="20"/>
      <w:szCs w:val="20"/>
    </w:rPr>
  </w:style>
  <w:style w:type="paragraph" w:styleId="Footer">
    <w:name w:val="footer"/>
    <w:basedOn w:val="Normal"/>
    <w:rsid w:val="00B72337"/>
    <w:pPr>
      <w:tabs>
        <w:tab w:val="center" w:pos="4536"/>
        <w:tab w:val="right" w:pos="9072"/>
      </w:tabs>
    </w:pPr>
  </w:style>
  <w:style w:type="character" w:styleId="PageNumber">
    <w:name w:val="page number"/>
    <w:basedOn w:val="DefaultParagraphFont"/>
    <w:rsid w:val="00B72337"/>
  </w:style>
  <w:style w:type="paragraph" w:styleId="Header">
    <w:name w:val="header"/>
    <w:basedOn w:val="Normal"/>
    <w:rsid w:val="00017426"/>
    <w:pPr>
      <w:tabs>
        <w:tab w:val="center" w:pos="4536"/>
        <w:tab w:val="right" w:pos="9072"/>
      </w:tabs>
    </w:pPr>
  </w:style>
  <w:style w:type="character" w:customStyle="1" w:styleId="EmailStyle20">
    <w:name w:val="EmailStyle20"/>
    <w:basedOn w:val="DefaultParagraphFont"/>
    <w:semiHidden/>
    <w:rsid w:val="005171AD"/>
    <w:rPr>
      <w:rFonts w:ascii="Arial" w:hAnsi="Arial" w:cs="Arial"/>
      <w:color w:val="auto"/>
      <w:sz w:val="20"/>
      <w:szCs w:val="20"/>
    </w:rPr>
  </w:style>
  <w:style w:type="paragraph" w:styleId="FootnoteText">
    <w:name w:val="footnote text"/>
    <w:basedOn w:val="Normal"/>
    <w:semiHidden/>
    <w:rsid w:val="000C5C8B"/>
    <w:rPr>
      <w:sz w:val="20"/>
      <w:szCs w:val="20"/>
    </w:rPr>
  </w:style>
  <w:style w:type="character" w:styleId="FootnoteReference">
    <w:name w:val="footnote reference"/>
    <w:basedOn w:val="DefaultParagraphFont"/>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rsid w:val="00AE40FB"/>
    <w:rPr>
      <w:rFonts w:ascii="Tahoma" w:hAnsi="Tahoma" w:cs="Tahoma"/>
      <w:sz w:val="16"/>
      <w:szCs w:val="16"/>
    </w:rPr>
  </w:style>
  <w:style w:type="character" w:customStyle="1" w:styleId="BalloonTextChar">
    <w:name w:val="Balloon Text Char"/>
    <w:basedOn w:val="DefaultParagraphFont"/>
    <w:link w:val="BalloonText"/>
    <w:rsid w:val="00AE40FB"/>
    <w:rPr>
      <w:rFonts w:ascii="Tahoma" w:hAnsi="Tahoma" w:cs="Tahoma"/>
      <w:sz w:val="16"/>
      <w:szCs w:val="16"/>
      <w:lang w:val="tr-TR" w:eastAsia="tr-TR"/>
    </w:rPr>
  </w:style>
  <w:style w:type="table" w:styleId="TableGrid">
    <w:name w:val="Table Grid"/>
    <w:basedOn w:val="TableNormal"/>
    <w:rsid w:val="00983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778">
      <w:bodyDiv w:val="1"/>
      <w:marLeft w:val="0"/>
      <w:marRight w:val="0"/>
      <w:marTop w:val="0"/>
      <w:marBottom w:val="0"/>
      <w:divBdr>
        <w:top w:val="none" w:sz="0" w:space="0" w:color="auto"/>
        <w:left w:val="none" w:sz="0" w:space="0" w:color="auto"/>
        <w:bottom w:val="none" w:sz="0" w:space="0" w:color="auto"/>
        <w:right w:val="none" w:sz="0" w:space="0" w:color="auto"/>
      </w:divBdr>
    </w:div>
    <w:div w:id="27684325">
      <w:bodyDiv w:val="1"/>
      <w:marLeft w:val="0"/>
      <w:marRight w:val="0"/>
      <w:marTop w:val="0"/>
      <w:marBottom w:val="0"/>
      <w:divBdr>
        <w:top w:val="none" w:sz="0" w:space="0" w:color="auto"/>
        <w:left w:val="none" w:sz="0" w:space="0" w:color="auto"/>
        <w:bottom w:val="none" w:sz="0" w:space="0" w:color="auto"/>
        <w:right w:val="none" w:sz="0" w:space="0" w:color="auto"/>
      </w:divBdr>
    </w:div>
    <w:div w:id="39013648">
      <w:bodyDiv w:val="1"/>
      <w:marLeft w:val="0"/>
      <w:marRight w:val="0"/>
      <w:marTop w:val="0"/>
      <w:marBottom w:val="0"/>
      <w:divBdr>
        <w:top w:val="none" w:sz="0" w:space="0" w:color="auto"/>
        <w:left w:val="none" w:sz="0" w:space="0" w:color="auto"/>
        <w:bottom w:val="none" w:sz="0" w:space="0" w:color="auto"/>
        <w:right w:val="none" w:sz="0" w:space="0" w:color="auto"/>
      </w:divBdr>
    </w:div>
    <w:div w:id="178545549">
      <w:bodyDiv w:val="1"/>
      <w:marLeft w:val="0"/>
      <w:marRight w:val="0"/>
      <w:marTop w:val="0"/>
      <w:marBottom w:val="0"/>
      <w:divBdr>
        <w:top w:val="none" w:sz="0" w:space="0" w:color="auto"/>
        <w:left w:val="none" w:sz="0" w:space="0" w:color="auto"/>
        <w:bottom w:val="none" w:sz="0" w:space="0" w:color="auto"/>
        <w:right w:val="none" w:sz="0" w:space="0" w:color="auto"/>
      </w:divBdr>
    </w:div>
    <w:div w:id="1002779988">
      <w:bodyDiv w:val="1"/>
      <w:marLeft w:val="0"/>
      <w:marRight w:val="0"/>
      <w:marTop w:val="0"/>
      <w:marBottom w:val="0"/>
      <w:divBdr>
        <w:top w:val="none" w:sz="0" w:space="0" w:color="auto"/>
        <w:left w:val="none" w:sz="0" w:space="0" w:color="auto"/>
        <w:bottom w:val="none" w:sz="0" w:space="0" w:color="auto"/>
        <w:right w:val="none" w:sz="0" w:space="0" w:color="auto"/>
      </w:divBdr>
    </w:div>
    <w:div w:id="1067342627">
      <w:bodyDiv w:val="1"/>
      <w:marLeft w:val="0"/>
      <w:marRight w:val="0"/>
      <w:marTop w:val="0"/>
      <w:marBottom w:val="0"/>
      <w:divBdr>
        <w:top w:val="none" w:sz="0" w:space="0" w:color="auto"/>
        <w:left w:val="none" w:sz="0" w:space="0" w:color="auto"/>
        <w:bottom w:val="none" w:sz="0" w:space="0" w:color="auto"/>
        <w:right w:val="none" w:sz="0" w:space="0" w:color="auto"/>
      </w:divBdr>
    </w:div>
    <w:div w:id="1185825825">
      <w:bodyDiv w:val="1"/>
      <w:marLeft w:val="0"/>
      <w:marRight w:val="0"/>
      <w:marTop w:val="0"/>
      <w:marBottom w:val="0"/>
      <w:divBdr>
        <w:top w:val="none" w:sz="0" w:space="0" w:color="auto"/>
        <w:left w:val="none" w:sz="0" w:space="0" w:color="auto"/>
        <w:bottom w:val="none" w:sz="0" w:space="0" w:color="auto"/>
        <w:right w:val="none" w:sz="0" w:space="0" w:color="auto"/>
      </w:divBdr>
    </w:div>
    <w:div w:id="1372457704">
      <w:bodyDiv w:val="1"/>
      <w:marLeft w:val="0"/>
      <w:marRight w:val="0"/>
      <w:marTop w:val="0"/>
      <w:marBottom w:val="0"/>
      <w:divBdr>
        <w:top w:val="none" w:sz="0" w:space="0" w:color="auto"/>
        <w:left w:val="none" w:sz="0" w:space="0" w:color="auto"/>
        <w:bottom w:val="none" w:sz="0" w:space="0" w:color="auto"/>
        <w:right w:val="none" w:sz="0" w:space="0" w:color="auto"/>
      </w:divBdr>
    </w:div>
    <w:div w:id="1727098738">
      <w:bodyDiv w:val="1"/>
      <w:marLeft w:val="0"/>
      <w:marRight w:val="0"/>
      <w:marTop w:val="0"/>
      <w:marBottom w:val="0"/>
      <w:divBdr>
        <w:top w:val="none" w:sz="0" w:space="0" w:color="auto"/>
        <w:left w:val="none" w:sz="0" w:space="0" w:color="auto"/>
        <w:bottom w:val="none" w:sz="0" w:space="0" w:color="auto"/>
        <w:right w:val="none" w:sz="0" w:space="0" w:color="auto"/>
      </w:divBdr>
    </w:div>
    <w:div w:id="21064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4EC20-A039-48A0-B662-5339C53C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3</cp:revision>
  <cp:lastPrinted>2015-04-01T08:34:00Z</cp:lastPrinted>
  <dcterms:created xsi:type="dcterms:W3CDTF">2015-04-03T12:13:00Z</dcterms:created>
  <dcterms:modified xsi:type="dcterms:W3CDTF">2015-04-03T12:14:00Z</dcterms:modified>
</cp:coreProperties>
</file>