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13A8" w:rsidRPr="00960B63" w:rsidRDefault="00C33528" w:rsidP="00954CDD">
      <w:pPr>
        <w:spacing w:line="276" w:lineRule="auto"/>
        <w:jc w:val="center"/>
        <w:rPr>
          <w:rFonts w:asciiTheme="minorHAnsi" w:hAnsiTheme="minorHAnsi" w:cstheme="minorHAnsi"/>
          <w:b/>
          <w:sz w:val="22"/>
          <w:szCs w:val="22"/>
          <w:highlight w:val="yellow"/>
        </w:rPr>
      </w:pPr>
      <w:r>
        <w:rPr>
          <w:rFonts w:asciiTheme="minorHAnsi" w:hAnsiTheme="minorHAnsi" w:cstheme="minorHAnsi"/>
          <w:b/>
          <w:noProof/>
          <w:sz w:val="28"/>
          <w:szCs w:val="28"/>
        </w:rPr>
        <mc:AlternateContent>
          <mc:Choice Requires="wps">
            <w:drawing>
              <wp:anchor distT="0" distB="0" distL="114300" distR="114300" simplePos="0" relativeHeight="251661312" behindDoc="0" locked="0" layoutInCell="1" allowOverlap="1">
                <wp:simplePos x="0" y="0"/>
                <wp:positionH relativeFrom="column">
                  <wp:posOffset>1788795</wp:posOffset>
                </wp:positionH>
                <wp:positionV relativeFrom="paragraph">
                  <wp:posOffset>-356870</wp:posOffset>
                </wp:positionV>
                <wp:extent cx="3524250" cy="457200"/>
                <wp:effectExtent l="0" t="0" r="0" b="0"/>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13A8" w:rsidRPr="00196536" w:rsidRDefault="00FE13A8" w:rsidP="00FE13A8">
                            <w:pPr>
                              <w:rPr>
                                <w:rFonts w:ascii="Cambria" w:hAnsi="Cambria"/>
                                <w:b/>
                                <w:sz w:val="44"/>
                                <w:szCs w:val="44"/>
                              </w:rPr>
                            </w:pPr>
                            <w:r>
                              <w:rPr>
                                <w:rFonts w:ascii="Cambria" w:hAnsi="Cambria"/>
                                <w:b/>
                                <w:sz w:val="44"/>
                                <w:szCs w:val="44"/>
                              </w:rPr>
                              <w:t>Araştırma Notu 15</w:t>
                            </w:r>
                            <w:r w:rsidRPr="004C6D72">
                              <w:rPr>
                                <w:rFonts w:ascii="Cambria" w:hAnsi="Cambria"/>
                                <w:b/>
                                <w:sz w:val="44"/>
                                <w:szCs w:val="44"/>
                              </w:rPr>
                              <w:t>/</w:t>
                            </w:r>
                            <w:r w:rsidR="00520924">
                              <w:rPr>
                                <w:rFonts w:ascii="Cambria" w:hAnsi="Cambria"/>
                                <w:b/>
                                <w:sz w:val="44"/>
                                <w:szCs w:val="44"/>
                              </w:rPr>
                              <w:t>181</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40.85pt;margin-top:-28.1pt;width:277.5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" filled="f" stroked="f">
                <v:textbox inset=",7.2pt,,7.2pt">
                  <w:txbxContent>
                    <w:p w:rsidR="00FE13A8" w:rsidRPr="00196536" w:rsidRDefault="00FE13A8" w:rsidP="00FE13A8">
                      <w:pPr>
                        <w:rPr>
                          <w:rFonts w:ascii="Cambria" w:hAnsi="Cambria"/>
                          <w:b/>
                          <w:sz w:val="44"/>
                          <w:szCs w:val="44"/>
                        </w:rPr>
                      </w:pPr>
                      <w:r>
                        <w:rPr>
                          <w:rFonts w:ascii="Cambria" w:hAnsi="Cambria"/>
                          <w:b/>
                          <w:sz w:val="44"/>
                          <w:szCs w:val="44"/>
                        </w:rPr>
                        <w:t>Araştırma Notu 15</w:t>
                      </w:r>
                      <w:r w:rsidRPr="004C6D72">
                        <w:rPr>
                          <w:rFonts w:ascii="Cambria" w:hAnsi="Cambria"/>
                          <w:b/>
                          <w:sz w:val="44"/>
                          <w:szCs w:val="44"/>
                        </w:rPr>
                        <w:t>/</w:t>
                      </w:r>
                      <w:r w:rsidR="00520924">
                        <w:rPr>
                          <w:rFonts w:ascii="Cambria" w:hAnsi="Cambria"/>
                          <w:b/>
                          <w:sz w:val="44"/>
                          <w:szCs w:val="44"/>
                        </w:rPr>
                        <w:t>181</w:t>
                      </w:r>
                    </w:p>
                  </w:txbxContent>
                </v:textbox>
              </v:shape>
            </w:pict>
          </mc:Fallback>
        </mc:AlternateContent>
      </w:r>
    </w:p>
    <w:p w:rsidR="00FE13A8" w:rsidRPr="00960B63" w:rsidRDefault="00C33528" w:rsidP="00954CDD">
      <w:pPr>
        <w:spacing w:line="276" w:lineRule="auto"/>
        <w:jc w:val="center"/>
        <w:rPr>
          <w:rFonts w:asciiTheme="minorHAnsi" w:hAnsiTheme="minorHAnsi" w:cstheme="minorHAnsi"/>
          <w:b/>
          <w:sz w:val="22"/>
          <w:szCs w:val="22"/>
          <w:highlight w:val="yellow"/>
        </w:rPr>
      </w:pPr>
      <w:r>
        <w:rPr>
          <w:rFonts w:asciiTheme="minorHAnsi" w:hAnsiTheme="minorHAnsi" w:cstheme="minorHAnsi"/>
          <w:b/>
          <w:noProof/>
          <w:sz w:val="22"/>
          <w:szCs w:val="22"/>
        </w:rPr>
        <mc:AlternateContent>
          <mc:Choice Requires="wps">
            <w:drawing>
              <wp:anchor distT="0" distB="0" distL="114935" distR="114935" simplePos="0" relativeHeight="251660288" behindDoc="0" locked="0" layoutInCell="1" allowOverlap="1">
                <wp:simplePos x="0" y="0"/>
                <wp:positionH relativeFrom="column">
                  <wp:posOffset>4915535</wp:posOffset>
                </wp:positionH>
                <wp:positionV relativeFrom="paragraph">
                  <wp:posOffset>115570</wp:posOffset>
                </wp:positionV>
                <wp:extent cx="1511935" cy="45466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1935" cy="4546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13A8" w:rsidRPr="00DF0B5B" w:rsidRDefault="003813C6" w:rsidP="00FE13A8">
                            <w:pPr>
                              <w:pStyle w:val="Heading3"/>
                              <w:numPr>
                                <w:ilvl w:val="2"/>
                                <w:numId w:val="0"/>
                              </w:numPr>
                              <w:tabs>
                                <w:tab w:val="num" w:pos="720"/>
                              </w:tabs>
                              <w:suppressAutoHyphens/>
                              <w:ind w:left="720" w:hanging="720"/>
                              <w:jc w:val="right"/>
                              <w:rPr>
                                <w:rFonts w:ascii="Cambria" w:hAnsi="Cambria"/>
                                <w:color w:val="FFFFFF"/>
                                <w:sz w:val="24"/>
                                <w:szCs w:val="24"/>
                                <w:lang w:val="tr-TR"/>
                              </w:rPr>
                            </w:pPr>
                            <w:r>
                              <w:rPr>
                                <w:rFonts w:ascii="Cambria" w:hAnsi="Cambria"/>
                                <w:color w:val="FFFFFF"/>
                                <w:sz w:val="24"/>
                                <w:szCs w:val="24"/>
                                <w:lang w:val="tr-TR"/>
                              </w:rPr>
                              <w:t>29</w:t>
                            </w:r>
                            <w:r w:rsidR="00FE13A8">
                              <w:rPr>
                                <w:rFonts w:ascii="Cambria" w:hAnsi="Cambria"/>
                                <w:color w:val="FFFFFF"/>
                                <w:sz w:val="24"/>
                                <w:szCs w:val="24"/>
                                <w:lang w:val="tr-TR"/>
                              </w:rPr>
                              <w:t xml:space="preserve"> Nisan 2015</w:t>
                            </w:r>
                          </w:p>
                          <w:p w:rsidR="00FE13A8" w:rsidRPr="00DF0B5B" w:rsidRDefault="00FE13A8" w:rsidP="00FE13A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387.05pt;margin-top:9.1pt;width:119.05pt;height:35.8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" stroked="f">
                <v:fill opacity="0"/>
                <v:textbox inset="0,0,0,0">
                  <w:txbxContent>
                    <w:p w:rsidR="00FE13A8" w:rsidRPr="00DF0B5B" w:rsidRDefault="003813C6" w:rsidP="00FE13A8">
                      <w:pPr>
                        <w:pStyle w:val="Heading3"/>
                        <w:numPr>
                          <w:ilvl w:val="2"/>
                          <w:numId w:val="0"/>
                        </w:numPr>
                        <w:tabs>
                          <w:tab w:val="num" w:pos="720"/>
                        </w:tabs>
                        <w:suppressAutoHyphens/>
                        <w:ind w:left="720" w:hanging="720"/>
                        <w:jc w:val="right"/>
                        <w:rPr>
                          <w:rFonts w:ascii="Cambria" w:hAnsi="Cambria"/>
                          <w:color w:val="FFFFFF"/>
                          <w:sz w:val="24"/>
                          <w:szCs w:val="24"/>
                          <w:lang w:val="tr-TR"/>
                        </w:rPr>
                      </w:pPr>
                      <w:r>
                        <w:rPr>
                          <w:rFonts w:ascii="Cambria" w:hAnsi="Cambria"/>
                          <w:color w:val="FFFFFF"/>
                          <w:sz w:val="24"/>
                          <w:szCs w:val="24"/>
                          <w:lang w:val="tr-TR"/>
                        </w:rPr>
                        <w:t>29</w:t>
                      </w:r>
                      <w:r w:rsidR="00FE13A8">
                        <w:rPr>
                          <w:rFonts w:ascii="Cambria" w:hAnsi="Cambria"/>
                          <w:color w:val="FFFFFF"/>
                          <w:sz w:val="24"/>
                          <w:szCs w:val="24"/>
                          <w:lang w:val="tr-TR"/>
                        </w:rPr>
                        <w:t xml:space="preserve"> Nisan 2015</w:t>
                      </w:r>
                    </w:p>
                    <w:p w:rsidR="00FE13A8" w:rsidRPr="00DF0B5B" w:rsidRDefault="00FE13A8" w:rsidP="00FE13A8"/>
                  </w:txbxContent>
                </v:textbox>
              </v:shape>
            </w:pict>
          </mc:Fallback>
        </mc:AlternateContent>
      </w:r>
      <w:r w:rsidR="00C9435C" w:rsidRPr="00960B63">
        <w:rPr>
          <w:rFonts w:asciiTheme="minorHAnsi" w:hAnsiTheme="minorHAnsi" w:cstheme="minorHAnsi"/>
          <w:b/>
          <w:noProof/>
          <w:sz w:val="22"/>
          <w:szCs w:val="22"/>
        </w:rPr>
        <w:drawing>
          <wp:anchor distT="0" distB="0" distL="114300" distR="114300" simplePos="0" relativeHeight="251659264" behindDoc="1" locked="0" layoutInCell="1" allowOverlap="1">
            <wp:simplePos x="0" y="0"/>
            <wp:positionH relativeFrom="column">
              <wp:posOffset>-802640</wp:posOffset>
            </wp:positionH>
            <wp:positionV relativeFrom="paragraph">
              <wp:posOffset>-763905</wp:posOffset>
            </wp:positionV>
            <wp:extent cx="7391400" cy="1333500"/>
            <wp:effectExtent l="19050" t="0" r="0" b="0"/>
            <wp:wrapNone/>
            <wp:docPr id="3" name="Picture 1" descr=":banner(T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TUR).jpg"/>
                    <pic:cNvPicPr>
                      <a:picLocks noChangeAspect="1" noChangeArrowheads="1"/>
                    </pic:cNvPicPr>
                  </pic:nvPicPr>
                  <pic:blipFill>
                    <a:blip r:embed="rId8" cstate="print"/>
                    <a:srcRect/>
                    <a:stretch>
                      <a:fillRect/>
                    </a:stretch>
                  </pic:blipFill>
                  <pic:spPr bwMode="auto">
                    <a:xfrm>
                      <a:off x="0" y="0"/>
                      <a:ext cx="7391400" cy="1333500"/>
                    </a:xfrm>
                    <a:prstGeom prst="rect">
                      <a:avLst/>
                    </a:prstGeom>
                    <a:noFill/>
                    <a:ln w="9525">
                      <a:noFill/>
                      <a:miter lim="800000"/>
                      <a:headEnd/>
                      <a:tailEnd/>
                    </a:ln>
                  </pic:spPr>
                </pic:pic>
              </a:graphicData>
            </a:graphic>
          </wp:anchor>
        </w:drawing>
      </w:r>
    </w:p>
    <w:p w:rsidR="00FE13A8" w:rsidRPr="00960B63" w:rsidRDefault="00FE13A8" w:rsidP="00954CDD">
      <w:pPr>
        <w:spacing w:line="276" w:lineRule="auto"/>
        <w:jc w:val="center"/>
        <w:rPr>
          <w:rFonts w:asciiTheme="minorHAnsi" w:hAnsiTheme="minorHAnsi" w:cstheme="minorHAnsi"/>
          <w:b/>
          <w:sz w:val="22"/>
          <w:szCs w:val="22"/>
          <w:highlight w:val="yellow"/>
        </w:rPr>
      </w:pPr>
    </w:p>
    <w:p w:rsidR="00FE13A8" w:rsidRPr="00960B63" w:rsidRDefault="00FE13A8" w:rsidP="00954CDD">
      <w:pPr>
        <w:spacing w:line="276" w:lineRule="auto"/>
        <w:rPr>
          <w:rFonts w:asciiTheme="minorHAnsi" w:hAnsiTheme="minorHAnsi" w:cstheme="minorHAnsi"/>
          <w:b/>
          <w:sz w:val="22"/>
          <w:szCs w:val="22"/>
          <w:highlight w:val="yellow"/>
        </w:rPr>
      </w:pPr>
    </w:p>
    <w:p w:rsidR="00FE13A8" w:rsidRPr="00960B63" w:rsidRDefault="00FE13A8" w:rsidP="00954CDD">
      <w:pPr>
        <w:spacing w:line="276" w:lineRule="auto"/>
        <w:jc w:val="center"/>
        <w:rPr>
          <w:rFonts w:asciiTheme="minorHAnsi" w:hAnsiTheme="minorHAnsi" w:cstheme="minorHAnsi"/>
          <w:b/>
          <w:sz w:val="22"/>
          <w:szCs w:val="22"/>
          <w:highlight w:val="yellow"/>
        </w:rPr>
      </w:pPr>
    </w:p>
    <w:p w:rsidR="00960B63" w:rsidRPr="00960B63" w:rsidRDefault="00960B63" w:rsidP="00960B63">
      <w:pPr>
        <w:spacing w:line="276" w:lineRule="auto"/>
        <w:jc w:val="center"/>
        <w:rPr>
          <w:rFonts w:asciiTheme="minorHAnsi" w:hAnsiTheme="minorHAnsi" w:cstheme="minorHAnsi"/>
          <w:b/>
          <w:sz w:val="28"/>
          <w:szCs w:val="28"/>
        </w:rPr>
      </w:pPr>
      <w:r w:rsidRPr="00960B63">
        <w:rPr>
          <w:rFonts w:asciiTheme="minorHAnsi" w:hAnsiTheme="minorHAnsi" w:cstheme="minorHAnsi"/>
          <w:b/>
          <w:sz w:val="28"/>
          <w:szCs w:val="28"/>
        </w:rPr>
        <w:t>İdeolojik Yönelimler Çatışma ve Güven Algısını Şekillendiriyor</w:t>
      </w:r>
    </w:p>
    <w:p w:rsidR="00AC4418" w:rsidRPr="00960B63" w:rsidRDefault="00AC4418" w:rsidP="00AC4418">
      <w:pPr>
        <w:spacing w:line="276" w:lineRule="auto"/>
        <w:jc w:val="center"/>
        <w:rPr>
          <w:rFonts w:asciiTheme="minorHAnsi" w:hAnsiTheme="minorHAnsi" w:cstheme="minorHAnsi"/>
          <w:b/>
          <w:sz w:val="28"/>
          <w:szCs w:val="28"/>
        </w:rPr>
      </w:pPr>
    </w:p>
    <w:p w:rsidR="008F2537" w:rsidRPr="00960B63" w:rsidRDefault="00AC4418" w:rsidP="00AC4418">
      <w:pPr>
        <w:spacing w:line="276" w:lineRule="auto"/>
        <w:jc w:val="center"/>
        <w:rPr>
          <w:rFonts w:asciiTheme="minorHAnsi" w:hAnsiTheme="minorHAnsi" w:cstheme="minorHAnsi"/>
          <w:b/>
          <w:sz w:val="22"/>
          <w:szCs w:val="22"/>
        </w:rPr>
      </w:pPr>
      <w:r w:rsidRPr="00960B63">
        <w:rPr>
          <w:rFonts w:asciiTheme="minorHAnsi" w:hAnsiTheme="minorHAnsi" w:cstheme="minorHAnsi"/>
          <w:b/>
          <w:sz w:val="22"/>
          <w:szCs w:val="22"/>
        </w:rPr>
        <w:t>Çiğdem Ok</w:t>
      </w:r>
      <w:r w:rsidR="00960B63" w:rsidRPr="00960B63">
        <w:rPr>
          <w:rFonts w:asciiTheme="minorHAnsi" w:hAnsiTheme="minorHAnsi" w:cstheme="minorHAnsi"/>
          <w:b/>
          <w:sz w:val="22"/>
          <w:szCs w:val="22"/>
        </w:rPr>
        <w:t>*</w:t>
      </w:r>
      <w:r w:rsidRPr="00960B63">
        <w:rPr>
          <w:rFonts w:asciiTheme="minorHAnsi" w:hAnsiTheme="minorHAnsi" w:cstheme="minorHAnsi"/>
          <w:b/>
          <w:sz w:val="22"/>
          <w:szCs w:val="22"/>
        </w:rPr>
        <w:t xml:space="preserve">, </w:t>
      </w:r>
      <w:r w:rsidR="005F6F3F" w:rsidRPr="00960B63">
        <w:rPr>
          <w:rFonts w:asciiTheme="minorHAnsi" w:hAnsiTheme="minorHAnsi" w:cstheme="minorHAnsi"/>
          <w:b/>
          <w:sz w:val="22"/>
          <w:szCs w:val="22"/>
        </w:rPr>
        <w:t>Bahar Ayça Okçuoğlu</w:t>
      </w:r>
      <w:r w:rsidR="00960B63" w:rsidRPr="00960B63">
        <w:rPr>
          <w:rFonts w:asciiTheme="minorHAnsi" w:hAnsiTheme="minorHAnsi" w:cstheme="minorHAnsi"/>
          <w:b/>
          <w:sz w:val="22"/>
          <w:szCs w:val="22"/>
        </w:rPr>
        <w:t>**</w:t>
      </w:r>
    </w:p>
    <w:p w:rsidR="00AC4418" w:rsidRPr="00960B63" w:rsidRDefault="00AC4418" w:rsidP="00AC4418">
      <w:pPr>
        <w:spacing w:line="276" w:lineRule="auto"/>
        <w:jc w:val="center"/>
        <w:rPr>
          <w:rFonts w:asciiTheme="minorHAnsi" w:hAnsiTheme="minorHAnsi" w:cstheme="minorHAnsi"/>
          <w:b/>
          <w:sz w:val="22"/>
          <w:szCs w:val="22"/>
        </w:rPr>
      </w:pPr>
    </w:p>
    <w:p w:rsidR="008F2537" w:rsidRPr="00960B63" w:rsidRDefault="008F2537" w:rsidP="00954CDD">
      <w:pPr>
        <w:spacing w:line="276" w:lineRule="auto"/>
        <w:jc w:val="center"/>
        <w:rPr>
          <w:rFonts w:asciiTheme="minorHAnsi" w:hAnsiTheme="minorHAnsi" w:cstheme="minorHAnsi"/>
          <w:b/>
          <w:sz w:val="22"/>
          <w:szCs w:val="22"/>
        </w:rPr>
      </w:pPr>
      <w:r w:rsidRPr="00960B63">
        <w:rPr>
          <w:rFonts w:asciiTheme="minorHAnsi" w:hAnsiTheme="minorHAnsi" w:cstheme="minorHAnsi"/>
          <w:b/>
          <w:sz w:val="22"/>
          <w:szCs w:val="22"/>
        </w:rPr>
        <w:t>Yönetici Özeti</w:t>
      </w:r>
    </w:p>
    <w:p w:rsidR="008F2537" w:rsidRPr="00960B63" w:rsidRDefault="008F2537" w:rsidP="00954CDD">
      <w:pPr>
        <w:pStyle w:val="Default"/>
        <w:spacing w:line="276" w:lineRule="auto"/>
        <w:rPr>
          <w:rFonts w:asciiTheme="minorHAnsi" w:hAnsiTheme="minorHAnsi" w:cstheme="minorHAnsi"/>
          <w:sz w:val="22"/>
          <w:szCs w:val="22"/>
        </w:rPr>
      </w:pPr>
    </w:p>
    <w:p w:rsidR="008F2537" w:rsidRPr="00960B63" w:rsidRDefault="008F2537" w:rsidP="00954CDD">
      <w:pPr>
        <w:pStyle w:val="Default"/>
        <w:spacing w:line="276" w:lineRule="auto"/>
        <w:jc w:val="both"/>
        <w:rPr>
          <w:rFonts w:asciiTheme="minorHAnsi" w:hAnsiTheme="minorHAnsi" w:cstheme="minorHAnsi"/>
          <w:sz w:val="22"/>
          <w:szCs w:val="22"/>
        </w:rPr>
      </w:pPr>
      <w:r w:rsidRPr="00960B63">
        <w:rPr>
          <w:rFonts w:asciiTheme="minorHAnsi" w:hAnsiTheme="minorHAnsi" w:cstheme="minorHAnsi"/>
          <w:sz w:val="22"/>
          <w:szCs w:val="22"/>
        </w:rPr>
        <w:t>Toplumlardaki elitlerin değerlerini, inançlarını ve tutumlarını araştıran bir grup sosyal bilimci, 2007 ve 2013 yıllarında</w:t>
      </w:r>
      <w:r w:rsidR="0058300B">
        <w:rPr>
          <w:rStyle w:val="FootnoteReference"/>
          <w:rFonts w:asciiTheme="minorHAnsi" w:hAnsiTheme="minorHAnsi" w:cstheme="minorHAnsi"/>
          <w:sz w:val="22"/>
          <w:szCs w:val="22"/>
        </w:rPr>
        <w:footnoteReference w:id="1"/>
      </w:r>
      <w:r w:rsidRPr="00960B63">
        <w:rPr>
          <w:rFonts w:asciiTheme="minorHAnsi" w:hAnsiTheme="minorHAnsi" w:cstheme="minorHAnsi"/>
          <w:sz w:val="22"/>
          <w:szCs w:val="22"/>
        </w:rPr>
        <w:t>, parlamenterlerle ilgili geniş kapsamlı araştırmalar gerçekleştirdi. Türkiye’den başka</w:t>
      </w:r>
      <w:bookmarkStart w:id="0" w:name="_GoBack"/>
      <w:bookmarkEnd w:id="0"/>
      <w:r w:rsidRPr="00960B63">
        <w:rPr>
          <w:rFonts w:asciiTheme="minorHAnsi" w:hAnsiTheme="minorHAnsi" w:cstheme="minorHAnsi"/>
          <w:sz w:val="22"/>
          <w:szCs w:val="22"/>
        </w:rPr>
        <w:t xml:space="preserve"> Almanya, Güney Afrika, Güney Kore, İsveç, Polonya ve Şili’yi kapsayan araştırma bu ülkelerin parlamenterlerinin dünya görüşleri, ideolojileri ve siyasal tercihleri ile ilgili önemli kar</w:t>
      </w:r>
      <w:r w:rsidR="00350A4B" w:rsidRPr="00960B63">
        <w:rPr>
          <w:rFonts w:asciiTheme="minorHAnsi" w:hAnsiTheme="minorHAnsi" w:cstheme="minorHAnsi"/>
          <w:sz w:val="22"/>
          <w:szCs w:val="22"/>
        </w:rPr>
        <w:t>şılaştırmalı bilgiler edinilmesini</w:t>
      </w:r>
      <w:r w:rsidRPr="00960B63">
        <w:rPr>
          <w:rFonts w:asciiTheme="minorHAnsi" w:hAnsiTheme="minorHAnsi" w:cstheme="minorHAnsi"/>
          <w:sz w:val="22"/>
          <w:szCs w:val="22"/>
        </w:rPr>
        <w:t xml:space="preserve"> sağladı. </w:t>
      </w:r>
    </w:p>
    <w:p w:rsidR="008F2537" w:rsidRPr="00960B63" w:rsidRDefault="008F2537" w:rsidP="00954CDD">
      <w:pPr>
        <w:pStyle w:val="Default"/>
        <w:spacing w:line="276" w:lineRule="auto"/>
        <w:jc w:val="both"/>
        <w:rPr>
          <w:rFonts w:asciiTheme="minorHAnsi" w:hAnsiTheme="minorHAnsi" w:cstheme="minorHAnsi"/>
          <w:sz w:val="22"/>
          <w:szCs w:val="22"/>
        </w:rPr>
      </w:pPr>
    </w:p>
    <w:p w:rsidR="002539E7" w:rsidRPr="00960B63" w:rsidRDefault="008F2537" w:rsidP="00954CDD">
      <w:pPr>
        <w:pStyle w:val="Default"/>
        <w:spacing w:line="276" w:lineRule="auto"/>
        <w:jc w:val="both"/>
        <w:rPr>
          <w:rFonts w:asciiTheme="minorHAnsi" w:hAnsiTheme="minorHAnsi" w:cstheme="minorHAnsi"/>
          <w:sz w:val="22"/>
          <w:szCs w:val="22"/>
        </w:rPr>
      </w:pPr>
      <w:r w:rsidRPr="00960B63">
        <w:rPr>
          <w:rFonts w:asciiTheme="minorHAnsi" w:hAnsiTheme="minorHAnsi" w:cstheme="minorHAnsi"/>
          <w:sz w:val="22"/>
          <w:szCs w:val="22"/>
        </w:rPr>
        <w:t xml:space="preserve">2007 ve 2013 yılları arasında, </w:t>
      </w:r>
      <w:r w:rsidR="00350A4B" w:rsidRPr="00960B63">
        <w:rPr>
          <w:rFonts w:asciiTheme="minorHAnsi" w:hAnsiTheme="minorHAnsi" w:cstheme="minorHAnsi"/>
          <w:sz w:val="22"/>
          <w:szCs w:val="22"/>
        </w:rPr>
        <w:t>Türkiye’de ve Avrupa’da işçi hareketleri ve işçi sendikalarının siyasi alandaki görünürlükleri değişmiştir. Türkiye’de son yıllarda, aynı amaç için çalışan sendikaların dahi ideolojik olarak ayrıştığını</w:t>
      </w:r>
      <w:r w:rsidR="002539E7" w:rsidRPr="00960B63">
        <w:rPr>
          <w:rFonts w:asciiTheme="minorHAnsi" w:hAnsiTheme="minorHAnsi" w:cstheme="minorHAnsi"/>
          <w:sz w:val="22"/>
          <w:szCs w:val="22"/>
        </w:rPr>
        <w:t xml:space="preserve"> söyleyebiliriz</w:t>
      </w:r>
      <w:r w:rsidR="00350A4B" w:rsidRPr="00960B63">
        <w:rPr>
          <w:rFonts w:asciiTheme="minorHAnsi" w:hAnsiTheme="minorHAnsi" w:cstheme="minorHAnsi"/>
          <w:sz w:val="22"/>
          <w:szCs w:val="22"/>
        </w:rPr>
        <w:t xml:space="preserve">. Aynı zamanda, kimi sendikaların hükümetin amaçlarına öncelik vererek </w:t>
      </w:r>
      <w:r w:rsidR="00951CE9" w:rsidRPr="000C16A3">
        <w:rPr>
          <w:rFonts w:asciiTheme="minorHAnsi" w:hAnsiTheme="minorHAnsi" w:cstheme="minorHAnsi"/>
          <w:color w:val="auto"/>
          <w:sz w:val="22"/>
          <w:szCs w:val="22"/>
        </w:rPr>
        <w:t>korporatif</w:t>
      </w:r>
      <w:r w:rsidR="00350A4B" w:rsidRPr="00960B63">
        <w:rPr>
          <w:rFonts w:asciiTheme="minorHAnsi" w:hAnsiTheme="minorHAnsi" w:cstheme="minorHAnsi"/>
          <w:sz w:val="22"/>
          <w:szCs w:val="22"/>
        </w:rPr>
        <w:t xml:space="preserve"> devlet yapısının aktörleri gibi davrandığını </w:t>
      </w:r>
      <w:r w:rsidR="002539E7" w:rsidRPr="00960B63">
        <w:rPr>
          <w:rFonts w:asciiTheme="minorHAnsi" w:hAnsiTheme="minorHAnsi" w:cstheme="minorHAnsi"/>
          <w:sz w:val="22"/>
          <w:szCs w:val="22"/>
        </w:rPr>
        <w:t xml:space="preserve">gözlemleyebiliyoruz. </w:t>
      </w:r>
      <w:r w:rsidR="009A61D3" w:rsidRPr="00960B63">
        <w:rPr>
          <w:rFonts w:asciiTheme="minorHAnsi" w:hAnsiTheme="minorHAnsi" w:cstheme="minorHAnsi"/>
          <w:sz w:val="22"/>
          <w:szCs w:val="22"/>
        </w:rPr>
        <w:t xml:space="preserve">Bu olguların siyasi elitlerin düşünce yapısındaki değişimlerini birkaç soru ile </w:t>
      </w:r>
      <w:r w:rsidR="009A61D3" w:rsidRPr="00A01919">
        <w:rPr>
          <w:rFonts w:asciiTheme="minorHAnsi" w:hAnsiTheme="minorHAnsi" w:cstheme="minorHAnsi"/>
          <w:sz w:val="22"/>
          <w:szCs w:val="22"/>
        </w:rPr>
        <w:t>inceleme</w:t>
      </w:r>
      <w:r w:rsidR="00E47F71" w:rsidRPr="00A01919">
        <w:rPr>
          <w:rFonts w:asciiTheme="minorHAnsi" w:hAnsiTheme="minorHAnsi" w:cstheme="minorHAnsi"/>
          <w:sz w:val="22"/>
          <w:szCs w:val="22"/>
        </w:rPr>
        <w:t>k istiyoruz</w:t>
      </w:r>
      <w:r w:rsidR="009A61D3" w:rsidRPr="00A01919">
        <w:rPr>
          <w:rFonts w:asciiTheme="minorHAnsi" w:hAnsiTheme="minorHAnsi" w:cstheme="minorHAnsi"/>
          <w:sz w:val="22"/>
          <w:szCs w:val="22"/>
        </w:rPr>
        <w:t>.</w:t>
      </w:r>
      <w:r w:rsidR="009A61D3" w:rsidRPr="00960B63">
        <w:rPr>
          <w:rFonts w:asciiTheme="minorHAnsi" w:hAnsiTheme="minorHAnsi" w:cstheme="minorHAnsi"/>
          <w:sz w:val="22"/>
          <w:szCs w:val="22"/>
        </w:rPr>
        <w:t xml:space="preserve"> </w:t>
      </w:r>
    </w:p>
    <w:p w:rsidR="002539E7" w:rsidRPr="00960B63" w:rsidRDefault="002539E7" w:rsidP="00954CDD">
      <w:pPr>
        <w:pStyle w:val="Default"/>
        <w:spacing w:line="276" w:lineRule="auto"/>
        <w:jc w:val="both"/>
        <w:rPr>
          <w:rFonts w:asciiTheme="minorHAnsi" w:hAnsiTheme="minorHAnsi" w:cstheme="minorHAnsi"/>
          <w:sz w:val="22"/>
          <w:szCs w:val="22"/>
        </w:rPr>
      </w:pPr>
    </w:p>
    <w:p w:rsidR="00350A4B" w:rsidRPr="003813C6" w:rsidRDefault="009A61D3" w:rsidP="00954CDD">
      <w:pPr>
        <w:pStyle w:val="Default"/>
        <w:spacing w:line="276" w:lineRule="auto"/>
        <w:jc w:val="both"/>
        <w:rPr>
          <w:rFonts w:asciiTheme="minorHAnsi" w:hAnsiTheme="minorHAnsi" w:cstheme="minorHAnsi"/>
          <w:color w:val="auto"/>
          <w:sz w:val="22"/>
          <w:szCs w:val="22"/>
        </w:rPr>
      </w:pPr>
      <w:r w:rsidRPr="003813C6">
        <w:rPr>
          <w:rFonts w:asciiTheme="minorHAnsi" w:hAnsiTheme="minorHAnsi" w:cstheme="minorHAnsi"/>
          <w:color w:val="auto"/>
          <w:sz w:val="22"/>
          <w:szCs w:val="22"/>
        </w:rPr>
        <w:t>Bu araştırma notunun, dünya genelinde kutlanılan 1 Mayıs İşçi Bayramı öncesi daha anlamlı olmasını umuyoruz.</w:t>
      </w:r>
    </w:p>
    <w:p w:rsidR="008F2537" w:rsidRPr="00960B63" w:rsidRDefault="008F2537" w:rsidP="00954CDD">
      <w:pPr>
        <w:pStyle w:val="Default"/>
        <w:spacing w:line="276" w:lineRule="auto"/>
        <w:jc w:val="both"/>
        <w:rPr>
          <w:rFonts w:asciiTheme="minorHAnsi" w:hAnsiTheme="minorHAnsi" w:cstheme="minorHAnsi"/>
          <w:sz w:val="22"/>
          <w:szCs w:val="22"/>
        </w:rPr>
      </w:pPr>
    </w:p>
    <w:p w:rsidR="008F2537" w:rsidRPr="00960B63" w:rsidRDefault="008F2537" w:rsidP="00954CDD">
      <w:pPr>
        <w:pStyle w:val="Default"/>
        <w:spacing w:line="276" w:lineRule="auto"/>
        <w:jc w:val="both"/>
        <w:rPr>
          <w:rFonts w:asciiTheme="minorHAnsi" w:hAnsiTheme="minorHAnsi" w:cstheme="minorHAnsi"/>
          <w:sz w:val="22"/>
          <w:szCs w:val="22"/>
        </w:rPr>
      </w:pPr>
      <w:r w:rsidRPr="00960B63">
        <w:rPr>
          <w:rFonts w:asciiTheme="minorHAnsi" w:hAnsiTheme="minorHAnsi" w:cstheme="minorHAnsi"/>
          <w:sz w:val="22"/>
          <w:szCs w:val="22"/>
        </w:rPr>
        <w:t>Türkiye’de, araştırma kapsamında, 2007 yılında 148, 2013 yılında ise 152 parlamenterle yüz</w:t>
      </w:r>
      <w:r w:rsidR="007B47E1" w:rsidRPr="00960B63">
        <w:rPr>
          <w:rFonts w:asciiTheme="minorHAnsi" w:hAnsiTheme="minorHAnsi" w:cstheme="minorHAnsi"/>
          <w:sz w:val="22"/>
          <w:szCs w:val="22"/>
        </w:rPr>
        <w:t xml:space="preserve"> </w:t>
      </w:r>
      <w:r w:rsidRPr="00960B63">
        <w:rPr>
          <w:rFonts w:asciiTheme="minorHAnsi" w:hAnsiTheme="minorHAnsi" w:cstheme="minorHAnsi"/>
          <w:sz w:val="22"/>
          <w:szCs w:val="22"/>
        </w:rPr>
        <w:t>yüze görüşmeler yapıldı. Görüşülen parlamenterlerin seçilmesinde, TBMM’</w:t>
      </w:r>
      <w:r w:rsidR="009A61D3" w:rsidRPr="00960B63">
        <w:rPr>
          <w:rFonts w:asciiTheme="minorHAnsi" w:hAnsiTheme="minorHAnsi" w:cstheme="minorHAnsi"/>
          <w:sz w:val="22"/>
          <w:szCs w:val="22"/>
        </w:rPr>
        <w:t xml:space="preserve">deki sandalye oranlarına uyuldu: AKP’den </w:t>
      </w:r>
      <w:r w:rsidR="00D32D07" w:rsidRPr="00960B63">
        <w:rPr>
          <w:rFonts w:asciiTheme="minorHAnsi" w:hAnsiTheme="minorHAnsi" w:cstheme="minorHAnsi"/>
          <w:sz w:val="22"/>
          <w:szCs w:val="22"/>
        </w:rPr>
        <w:t>90</w:t>
      </w:r>
      <w:r w:rsidR="009A61D3" w:rsidRPr="00960B63">
        <w:rPr>
          <w:rFonts w:asciiTheme="minorHAnsi" w:hAnsiTheme="minorHAnsi" w:cstheme="minorHAnsi"/>
          <w:sz w:val="22"/>
          <w:szCs w:val="22"/>
        </w:rPr>
        <w:t xml:space="preserve">, CHP’den </w:t>
      </w:r>
      <w:r w:rsidR="00D32D07" w:rsidRPr="00960B63">
        <w:rPr>
          <w:rFonts w:asciiTheme="minorHAnsi" w:hAnsiTheme="minorHAnsi" w:cstheme="minorHAnsi"/>
          <w:sz w:val="22"/>
          <w:szCs w:val="22"/>
        </w:rPr>
        <w:t>37</w:t>
      </w:r>
      <w:r w:rsidR="009A61D3" w:rsidRPr="00960B63">
        <w:rPr>
          <w:rFonts w:asciiTheme="minorHAnsi" w:hAnsiTheme="minorHAnsi" w:cstheme="minorHAnsi"/>
          <w:sz w:val="22"/>
          <w:szCs w:val="22"/>
        </w:rPr>
        <w:t xml:space="preserve">, MHP’den </w:t>
      </w:r>
      <w:r w:rsidR="00D32D07" w:rsidRPr="00960B63">
        <w:rPr>
          <w:rFonts w:asciiTheme="minorHAnsi" w:hAnsiTheme="minorHAnsi" w:cstheme="minorHAnsi"/>
          <w:sz w:val="22"/>
          <w:szCs w:val="22"/>
        </w:rPr>
        <w:t>17</w:t>
      </w:r>
      <w:r w:rsidR="009A61D3" w:rsidRPr="00960B63">
        <w:rPr>
          <w:rFonts w:asciiTheme="minorHAnsi" w:hAnsiTheme="minorHAnsi" w:cstheme="minorHAnsi"/>
          <w:sz w:val="22"/>
          <w:szCs w:val="22"/>
        </w:rPr>
        <w:t xml:space="preserve">, HDP’den </w:t>
      </w:r>
      <w:r w:rsidR="00D32D07" w:rsidRPr="00960B63">
        <w:rPr>
          <w:rFonts w:asciiTheme="minorHAnsi" w:hAnsiTheme="minorHAnsi" w:cstheme="minorHAnsi"/>
          <w:sz w:val="22"/>
          <w:szCs w:val="22"/>
        </w:rPr>
        <w:t xml:space="preserve">8 </w:t>
      </w:r>
      <w:r w:rsidR="00E901A2" w:rsidRPr="00960B63">
        <w:rPr>
          <w:rFonts w:asciiTheme="minorHAnsi" w:hAnsiTheme="minorHAnsi" w:cstheme="minorHAnsi"/>
          <w:sz w:val="22"/>
          <w:szCs w:val="22"/>
        </w:rPr>
        <w:t>milletvekili ile görüşüldü</w:t>
      </w:r>
      <w:r w:rsidR="000A38C1" w:rsidRPr="00960B63">
        <w:rPr>
          <w:rStyle w:val="FootnoteReference"/>
          <w:rFonts w:asciiTheme="minorHAnsi" w:hAnsiTheme="minorHAnsi" w:cstheme="minorHAnsi"/>
          <w:sz w:val="22"/>
          <w:szCs w:val="22"/>
        </w:rPr>
        <w:footnoteReference w:id="2"/>
      </w:r>
      <w:r w:rsidR="009A61D3" w:rsidRPr="00960B63">
        <w:rPr>
          <w:rFonts w:asciiTheme="minorHAnsi" w:hAnsiTheme="minorHAnsi" w:cstheme="minorHAnsi"/>
          <w:sz w:val="22"/>
          <w:szCs w:val="22"/>
        </w:rPr>
        <w:t>.</w:t>
      </w:r>
      <w:r w:rsidRPr="00960B63">
        <w:rPr>
          <w:rFonts w:asciiTheme="minorHAnsi" w:hAnsiTheme="minorHAnsi" w:cstheme="minorHAnsi"/>
          <w:sz w:val="22"/>
          <w:szCs w:val="22"/>
        </w:rPr>
        <w:t xml:space="preserve"> Böylece, örneklemin hem ayrı ayrı partilerin, hem de bir bütün olarak parlamentonun tercihlerini yansıtması sağlandı. </w:t>
      </w:r>
    </w:p>
    <w:p w:rsidR="008F2537" w:rsidRPr="00960B63" w:rsidRDefault="008F2537" w:rsidP="00954CDD">
      <w:pPr>
        <w:pStyle w:val="Default"/>
        <w:spacing w:line="276" w:lineRule="auto"/>
        <w:jc w:val="both"/>
        <w:rPr>
          <w:rFonts w:asciiTheme="minorHAnsi" w:hAnsiTheme="minorHAnsi" w:cstheme="minorHAnsi"/>
          <w:sz w:val="22"/>
          <w:szCs w:val="22"/>
        </w:rPr>
      </w:pPr>
    </w:p>
    <w:p w:rsidR="00AC4418" w:rsidRPr="00960B63" w:rsidRDefault="00597428" w:rsidP="0010222D">
      <w:pPr>
        <w:pStyle w:val="FootnoteText"/>
        <w:spacing w:line="276" w:lineRule="auto"/>
        <w:jc w:val="both"/>
        <w:rPr>
          <w:rFonts w:asciiTheme="minorHAnsi" w:hAnsiTheme="minorHAnsi" w:cstheme="minorHAnsi"/>
          <w:sz w:val="18"/>
          <w:szCs w:val="18"/>
        </w:rPr>
      </w:pPr>
      <w:r w:rsidRPr="00960B63">
        <w:rPr>
          <w:rFonts w:asciiTheme="minorHAnsi" w:hAnsiTheme="minorHAnsi" w:cstheme="minorHAnsi"/>
          <w:sz w:val="22"/>
          <w:szCs w:val="22"/>
        </w:rPr>
        <w:t>Genel değerlendirmeye bakacak olursak;</w:t>
      </w:r>
      <w:r w:rsidR="00AC4418" w:rsidRPr="00960B63">
        <w:rPr>
          <w:rFonts w:asciiTheme="minorHAnsi" w:hAnsiTheme="minorHAnsi" w:cstheme="minorHAnsi"/>
          <w:sz w:val="22"/>
          <w:szCs w:val="22"/>
        </w:rPr>
        <w:t xml:space="preserve"> işveren-çalışan/işçi çatışması konusunda partiler arası bir algı benzerliği yoktur. AKP milletvekilleri bu çatışmanın çok şiddetli olmadığını ifade ederken, CHP ve HDP mill</w:t>
      </w:r>
      <w:r w:rsidR="0046406E">
        <w:rPr>
          <w:rFonts w:asciiTheme="minorHAnsi" w:hAnsiTheme="minorHAnsi" w:cstheme="minorHAnsi"/>
          <w:sz w:val="22"/>
          <w:szCs w:val="22"/>
        </w:rPr>
        <w:t xml:space="preserve">etvekilleri </w:t>
      </w:r>
      <w:r w:rsidR="0046406E" w:rsidRPr="00A01919">
        <w:rPr>
          <w:rFonts w:asciiTheme="minorHAnsi" w:hAnsiTheme="minorHAnsi" w:cstheme="minorHAnsi"/>
          <w:sz w:val="22"/>
          <w:szCs w:val="22"/>
        </w:rPr>
        <w:t xml:space="preserve">çatışmanın </w:t>
      </w:r>
      <w:r w:rsidR="0010222D" w:rsidRPr="00A01919">
        <w:rPr>
          <w:rFonts w:asciiTheme="minorHAnsi" w:hAnsiTheme="minorHAnsi" w:cstheme="minorHAnsi"/>
          <w:sz w:val="22"/>
          <w:szCs w:val="22"/>
        </w:rPr>
        <w:t>şiddeti</w:t>
      </w:r>
      <w:r w:rsidR="0046406E" w:rsidRPr="00A01919">
        <w:rPr>
          <w:rFonts w:asciiTheme="minorHAnsi" w:hAnsiTheme="minorHAnsi" w:cstheme="minorHAnsi"/>
          <w:sz w:val="22"/>
          <w:szCs w:val="22"/>
        </w:rPr>
        <w:t xml:space="preserve">ne </w:t>
      </w:r>
      <w:r w:rsidR="00AC4418" w:rsidRPr="00A01919">
        <w:rPr>
          <w:rFonts w:asciiTheme="minorHAnsi" w:hAnsiTheme="minorHAnsi" w:cstheme="minorHAnsi"/>
          <w:sz w:val="22"/>
          <w:szCs w:val="22"/>
        </w:rPr>
        <w:t>dikkat</w:t>
      </w:r>
      <w:r w:rsidR="00AC4418" w:rsidRPr="00960B63">
        <w:rPr>
          <w:rFonts w:asciiTheme="minorHAnsi" w:hAnsiTheme="minorHAnsi" w:cstheme="minorHAnsi"/>
          <w:sz w:val="22"/>
          <w:szCs w:val="22"/>
        </w:rPr>
        <w:t xml:space="preserve"> çekmektedir</w:t>
      </w:r>
      <w:r w:rsidR="00AC4418" w:rsidRPr="00A01919">
        <w:rPr>
          <w:rFonts w:asciiTheme="minorHAnsi" w:hAnsiTheme="minorHAnsi" w:cstheme="minorHAnsi"/>
          <w:sz w:val="22"/>
          <w:szCs w:val="22"/>
        </w:rPr>
        <w:t xml:space="preserve">. </w:t>
      </w:r>
      <w:r w:rsidR="0046406E" w:rsidRPr="00A01919">
        <w:rPr>
          <w:rFonts w:asciiTheme="minorHAnsi" w:hAnsiTheme="minorHAnsi" w:cstheme="minorHAnsi"/>
          <w:sz w:val="22"/>
          <w:szCs w:val="22"/>
        </w:rPr>
        <w:t>Bununla birlikte</w:t>
      </w:r>
      <w:r w:rsidR="00AC4418" w:rsidRPr="00A01919">
        <w:rPr>
          <w:rFonts w:asciiTheme="minorHAnsi" w:hAnsiTheme="minorHAnsi" w:cstheme="minorHAnsi"/>
          <w:sz w:val="22"/>
          <w:szCs w:val="22"/>
        </w:rPr>
        <w:t xml:space="preserve"> sendikalara</w:t>
      </w:r>
      <w:r w:rsidR="00AC4418" w:rsidRPr="00960B63">
        <w:rPr>
          <w:rFonts w:asciiTheme="minorHAnsi" w:hAnsiTheme="minorHAnsi" w:cstheme="minorHAnsi"/>
          <w:sz w:val="22"/>
          <w:szCs w:val="22"/>
        </w:rPr>
        <w:t xml:space="preserve"> güven konusunda, partilerin benzeştiği bulgusuna varılmıştır. </w:t>
      </w:r>
    </w:p>
    <w:p w:rsidR="00AC4418" w:rsidRPr="00960B63" w:rsidRDefault="00AC4418" w:rsidP="00954CDD">
      <w:pPr>
        <w:spacing w:line="276" w:lineRule="auto"/>
        <w:jc w:val="both"/>
        <w:rPr>
          <w:rFonts w:asciiTheme="minorHAnsi" w:hAnsiTheme="minorHAnsi" w:cstheme="minorHAnsi"/>
          <w:sz w:val="22"/>
          <w:szCs w:val="22"/>
        </w:rPr>
      </w:pPr>
    </w:p>
    <w:p w:rsidR="00960B63" w:rsidRPr="00960B63" w:rsidRDefault="00960B63" w:rsidP="00954CDD">
      <w:pPr>
        <w:spacing w:line="276" w:lineRule="auto"/>
        <w:jc w:val="both"/>
        <w:rPr>
          <w:rFonts w:asciiTheme="minorHAnsi" w:hAnsiTheme="minorHAnsi" w:cstheme="minorHAnsi"/>
          <w:sz w:val="22"/>
          <w:szCs w:val="22"/>
        </w:rPr>
      </w:pPr>
    </w:p>
    <w:p w:rsidR="0058300B" w:rsidRDefault="0058300B" w:rsidP="00954CDD">
      <w:pPr>
        <w:spacing w:line="276" w:lineRule="auto"/>
        <w:jc w:val="both"/>
        <w:rPr>
          <w:rFonts w:asciiTheme="minorHAnsi" w:hAnsiTheme="minorHAnsi" w:cstheme="minorHAnsi"/>
          <w:b/>
          <w:sz w:val="22"/>
          <w:szCs w:val="22"/>
        </w:rPr>
      </w:pPr>
    </w:p>
    <w:p w:rsidR="006A0550" w:rsidRPr="00960B63" w:rsidRDefault="00954CDD" w:rsidP="00954CDD">
      <w:pPr>
        <w:spacing w:line="276" w:lineRule="auto"/>
        <w:jc w:val="both"/>
        <w:rPr>
          <w:rFonts w:asciiTheme="minorHAnsi" w:hAnsiTheme="minorHAnsi" w:cstheme="minorHAnsi"/>
          <w:b/>
          <w:sz w:val="22"/>
          <w:szCs w:val="22"/>
        </w:rPr>
      </w:pPr>
      <w:r w:rsidRPr="00960B63">
        <w:rPr>
          <w:rFonts w:asciiTheme="minorHAnsi" w:hAnsiTheme="minorHAnsi" w:cstheme="minorHAnsi"/>
          <w:b/>
          <w:sz w:val="22"/>
          <w:szCs w:val="22"/>
        </w:rPr>
        <w:lastRenderedPageBreak/>
        <w:t>İdeoloji çerçevesinden işveren-</w:t>
      </w:r>
      <w:r w:rsidR="00AC4418" w:rsidRPr="00960B63">
        <w:rPr>
          <w:rFonts w:asciiTheme="minorHAnsi" w:hAnsiTheme="minorHAnsi" w:cstheme="minorHAnsi"/>
          <w:b/>
          <w:sz w:val="22"/>
          <w:szCs w:val="22"/>
        </w:rPr>
        <w:t>çalışan/</w:t>
      </w:r>
      <w:r w:rsidRPr="00960B63">
        <w:rPr>
          <w:rFonts w:asciiTheme="minorHAnsi" w:hAnsiTheme="minorHAnsi" w:cstheme="minorHAnsi"/>
          <w:b/>
          <w:sz w:val="22"/>
          <w:szCs w:val="22"/>
        </w:rPr>
        <w:t>işçi çatışması</w:t>
      </w:r>
    </w:p>
    <w:p w:rsidR="00274DDD" w:rsidRDefault="00975C1E" w:rsidP="00954CDD">
      <w:pPr>
        <w:spacing w:line="276" w:lineRule="auto"/>
        <w:jc w:val="both"/>
        <w:rPr>
          <w:rFonts w:asciiTheme="minorHAnsi" w:hAnsiTheme="minorHAnsi" w:cstheme="minorHAnsi"/>
          <w:sz w:val="22"/>
          <w:szCs w:val="22"/>
        </w:rPr>
      </w:pPr>
      <w:r w:rsidRPr="00960B63">
        <w:rPr>
          <w:rFonts w:asciiTheme="minorHAnsi" w:hAnsiTheme="minorHAnsi" w:cstheme="minorHAnsi"/>
          <w:sz w:val="22"/>
          <w:szCs w:val="22"/>
        </w:rPr>
        <w:t>İstisnasız her ülkede birtakım toplumsal gruplar arasında ortaya çıkan çatışmalara şahit olma</w:t>
      </w:r>
      <w:r w:rsidR="00942245" w:rsidRPr="00960B63">
        <w:rPr>
          <w:rFonts w:asciiTheme="minorHAnsi" w:hAnsiTheme="minorHAnsi" w:cstheme="minorHAnsi"/>
          <w:sz w:val="22"/>
          <w:szCs w:val="22"/>
        </w:rPr>
        <w:t xml:space="preserve">ktayız. Şüphesiz bu çatışmalar </w:t>
      </w:r>
      <w:r w:rsidRPr="00960B63">
        <w:rPr>
          <w:rFonts w:asciiTheme="minorHAnsi" w:hAnsiTheme="minorHAnsi" w:cstheme="minorHAnsi"/>
          <w:sz w:val="22"/>
          <w:szCs w:val="22"/>
        </w:rPr>
        <w:t xml:space="preserve">sosyal bilimlerin yakın ilgisi ve araştırması </w:t>
      </w:r>
      <w:r w:rsidR="00D32D07" w:rsidRPr="00960B63">
        <w:rPr>
          <w:rFonts w:asciiTheme="minorHAnsi" w:hAnsiTheme="minorHAnsi" w:cstheme="minorHAnsi"/>
          <w:sz w:val="22"/>
          <w:szCs w:val="22"/>
        </w:rPr>
        <w:t>altında</w:t>
      </w:r>
      <w:r w:rsidRPr="00960B63">
        <w:rPr>
          <w:rFonts w:asciiTheme="minorHAnsi" w:hAnsiTheme="minorHAnsi" w:cstheme="minorHAnsi"/>
          <w:sz w:val="22"/>
          <w:szCs w:val="22"/>
        </w:rPr>
        <w:t xml:space="preserve">. Türkiye’deki toplumsal gruplar arasındaki çatışmalar da siyasi ve sosyolojik tartışmaların </w:t>
      </w:r>
      <w:r w:rsidR="00D32D07" w:rsidRPr="00960B63">
        <w:rPr>
          <w:rFonts w:asciiTheme="minorHAnsi" w:hAnsiTheme="minorHAnsi" w:cstheme="minorHAnsi"/>
          <w:sz w:val="22"/>
          <w:szCs w:val="22"/>
        </w:rPr>
        <w:t>ana gündemini oluşturmakta</w:t>
      </w:r>
      <w:r w:rsidRPr="00960B63">
        <w:rPr>
          <w:rFonts w:asciiTheme="minorHAnsi" w:hAnsiTheme="minorHAnsi" w:cstheme="minorHAnsi"/>
          <w:sz w:val="22"/>
          <w:szCs w:val="22"/>
        </w:rPr>
        <w:t>lar. Bu araştırma notunun alt</w:t>
      </w:r>
      <w:r w:rsidR="00D32D07" w:rsidRPr="00960B63">
        <w:rPr>
          <w:rFonts w:asciiTheme="minorHAnsi" w:hAnsiTheme="minorHAnsi" w:cstheme="minorHAnsi"/>
          <w:sz w:val="22"/>
          <w:szCs w:val="22"/>
        </w:rPr>
        <w:t xml:space="preserve"> </w:t>
      </w:r>
      <w:r w:rsidRPr="00960B63">
        <w:rPr>
          <w:rFonts w:asciiTheme="minorHAnsi" w:hAnsiTheme="minorHAnsi" w:cstheme="minorHAnsi"/>
          <w:sz w:val="22"/>
          <w:szCs w:val="22"/>
        </w:rPr>
        <w:t xml:space="preserve">başlık olarak benimsediği konuyu da göz önünde bulundurarak, </w:t>
      </w:r>
      <w:r w:rsidR="00DC7B41" w:rsidRPr="00960B63">
        <w:rPr>
          <w:rFonts w:asciiTheme="minorHAnsi" w:hAnsiTheme="minorHAnsi" w:cstheme="minorHAnsi"/>
          <w:sz w:val="22"/>
          <w:szCs w:val="22"/>
        </w:rPr>
        <w:t>ilk olarak Türkiye’de işverenler ile çalışanlar/işçiler arasındaki çatışmayı ele aldık</w:t>
      </w:r>
      <w:r w:rsidR="003622E2" w:rsidRPr="00960B63">
        <w:rPr>
          <w:rFonts w:asciiTheme="minorHAnsi" w:hAnsiTheme="minorHAnsi" w:cstheme="minorHAnsi"/>
          <w:sz w:val="22"/>
          <w:szCs w:val="22"/>
        </w:rPr>
        <w:t xml:space="preserve">. </w:t>
      </w:r>
      <w:r w:rsidR="00CE5B94" w:rsidRPr="00960B63">
        <w:rPr>
          <w:rFonts w:asciiTheme="minorHAnsi" w:hAnsiTheme="minorHAnsi" w:cstheme="minorHAnsi"/>
          <w:sz w:val="22"/>
          <w:szCs w:val="22"/>
        </w:rPr>
        <w:t>Parlamenterler</w:t>
      </w:r>
      <w:r w:rsidR="00BB2455" w:rsidRPr="00960B63">
        <w:rPr>
          <w:rFonts w:asciiTheme="minorHAnsi" w:hAnsiTheme="minorHAnsi" w:cstheme="minorHAnsi"/>
          <w:sz w:val="22"/>
          <w:szCs w:val="22"/>
        </w:rPr>
        <w:t>den</w:t>
      </w:r>
      <w:r w:rsidRPr="00960B63">
        <w:rPr>
          <w:rFonts w:asciiTheme="minorHAnsi" w:hAnsiTheme="minorHAnsi" w:cstheme="minorHAnsi"/>
          <w:sz w:val="22"/>
          <w:szCs w:val="22"/>
        </w:rPr>
        <w:t xml:space="preserve"> </w:t>
      </w:r>
      <w:r w:rsidR="003B1885" w:rsidRPr="00960B63">
        <w:rPr>
          <w:rFonts w:asciiTheme="minorHAnsi" w:hAnsiTheme="minorHAnsi" w:cstheme="minorHAnsi"/>
          <w:sz w:val="22"/>
          <w:szCs w:val="22"/>
        </w:rPr>
        <w:t xml:space="preserve">araştırmanın bu </w:t>
      </w:r>
      <w:r w:rsidR="00BB2455" w:rsidRPr="00960B63">
        <w:rPr>
          <w:rFonts w:asciiTheme="minorHAnsi" w:hAnsiTheme="minorHAnsi" w:cstheme="minorHAnsi"/>
          <w:sz w:val="22"/>
          <w:szCs w:val="22"/>
        </w:rPr>
        <w:t>kısmında</w:t>
      </w:r>
      <w:r w:rsidR="003B1885" w:rsidRPr="00960B63">
        <w:rPr>
          <w:rFonts w:asciiTheme="minorHAnsi" w:hAnsiTheme="minorHAnsi" w:cstheme="minorHAnsi"/>
          <w:sz w:val="22"/>
          <w:szCs w:val="22"/>
        </w:rPr>
        <w:t xml:space="preserve">, meslek grupları belirtilmeden, </w:t>
      </w:r>
      <w:r w:rsidR="00BB2455" w:rsidRPr="00960B63">
        <w:rPr>
          <w:rFonts w:asciiTheme="minorHAnsi" w:hAnsiTheme="minorHAnsi" w:cstheme="minorHAnsi"/>
          <w:sz w:val="22"/>
          <w:szCs w:val="22"/>
        </w:rPr>
        <w:t>işçi</w:t>
      </w:r>
      <w:r w:rsidR="00960B63" w:rsidRPr="00960B63">
        <w:rPr>
          <w:rFonts w:asciiTheme="minorHAnsi" w:hAnsiTheme="minorHAnsi" w:cstheme="minorHAnsi"/>
          <w:sz w:val="22"/>
          <w:szCs w:val="22"/>
        </w:rPr>
        <w:t xml:space="preserve">lerin </w:t>
      </w:r>
      <w:r w:rsidR="00BB2455" w:rsidRPr="00960B63">
        <w:rPr>
          <w:rFonts w:asciiTheme="minorHAnsi" w:hAnsiTheme="minorHAnsi" w:cstheme="minorHAnsi"/>
          <w:sz w:val="22"/>
          <w:szCs w:val="22"/>
        </w:rPr>
        <w:t>geneliyle ilgili değerlendirme yapmaları istenmiştir. Soruda,</w:t>
      </w:r>
      <w:r w:rsidR="003B1885" w:rsidRPr="00960B63">
        <w:rPr>
          <w:rFonts w:asciiTheme="minorHAnsi" w:hAnsiTheme="minorHAnsi" w:cstheme="minorHAnsi"/>
          <w:sz w:val="22"/>
          <w:szCs w:val="22"/>
        </w:rPr>
        <w:t xml:space="preserve"> </w:t>
      </w:r>
      <w:r w:rsidRPr="00960B63">
        <w:rPr>
          <w:rFonts w:asciiTheme="minorHAnsi" w:hAnsiTheme="minorHAnsi" w:cstheme="minorHAnsi"/>
          <w:sz w:val="22"/>
          <w:szCs w:val="22"/>
        </w:rPr>
        <w:t xml:space="preserve">bu iki grup arasında bir çatışma olup olmadığı ve var ise bu durumunun hangisi ile daha iyi açıklanabileceği sorulmuştur: “ılımlı bir </w:t>
      </w:r>
      <w:r w:rsidR="003622E2" w:rsidRPr="00960B63">
        <w:rPr>
          <w:rFonts w:asciiTheme="minorHAnsi" w:hAnsiTheme="minorHAnsi" w:cstheme="minorHAnsi"/>
          <w:sz w:val="22"/>
          <w:szCs w:val="22"/>
        </w:rPr>
        <w:t>ihtilaf, zıtlaşma” ya da “ş</w:t>
      </w:r>
      <w:r w:rsidR="00274DDD" w:rsidRPr="00960B63">
        <w:rPr>
          <w:rFonts w:asciiTheme="minorHAnsi" w:hAnsiTheme="minorHAnsi" w:cstheme="minorHAnsi"/>
          <w:sz w:val="22"/>
          <w:szCs w:val="22"/>
        </w:rPr>
        <w:t>iddetli ihtilaf, çatışma”</w:t>
      </w:r>
      <w:r w:rsidR="003622E2" w:rsidRPr="00960B63">
        <w:rPr>
          <w:rStyle w:val="FootnoteReference"/>
          <w:rFonts w:asciiTheme="minorHAnsi" w:hAnsiTheme="minorHAnsi" w:cstheme="minorHAnsi"/>
          <w:sz w:val="22"/>
          <w:szCs w:val="22"/>
        </w:rPr>
        <w:footnoteReference w:id="3"/>
      </w:r>
      <w:r w:rsidR="00274DDD" w:rsidRPr="00960B63">
        <w:rPr>
          <w:rFonts w:asciiTheme="minorHAnsi" w:hAnsiTheme="minorHAnsi" w:cstheme="minorHAnsi"/>
          <w:sz w:val="22"/>
          <w:szCs w:val="22"/>
        </w:rPr>
        <w:t>.</w:t>
      </w:r>
      <w:r w:rsidR="00816E2C">
        <w:rPr>
          <w:rFonts w:asciiTheme="minorHAnsi" w:hAnsiTheme="minorHAnsi" w:cstheme="minorHAnsi"/>
          <w:sz w:val="22"/>
          <w:szCs w:val="22"/>
        </w:rPr>
        <w:t xml:space="preserve"> </w:t>
      </w:r>
    </w:p>
    <w:p w:rsidR="003813C6" w:rsidRPr="00960B63" w:rsidRDefault="003813C6" w:rsidP="00954CDD">
      <w:pPr>
        <w:spacing w:line="276" w:lineRule="auto"/>
        <w:jc w:val="both"/>
        <w:rPr>
          <w:rFonts w:asciiTheme="minorHAnsi" w:hAnsiTheme="minorHAnsi" w:cstheme="minorHAnsi"/>
          <w:sz w:val="22"/>
          <w:szCs w:val="22"/>
        </w:rPr>
      </w:pPr>
    </w:p>
    <w:p w:rsidR="00274DDD" w:rsidRPr="00960B63" w:rsidRDefault="00274DDD" w:rsidP="00954CDD">
      <w:pPr>
        <w:spacing w:line="276" w:lineRule="auto"/>
        <w:jc w:val="both"/>
        <w:rPr>
          <w:rFonts w:asciiTheme="minorHAnsi" w:hAnsiTheme="minorHAnsi" w:cstheme="minorHAnsi"/>
          <w:sz w:val="22"/>
          <w:szCs w:val="22"/>
        </w:rPr>
      </w:pPr>
      <w:r w:rsidRPr="00960B63">
        <w:rPr>
          <w:rFonts w:asciiTheme="minorHAnsi" w:hAnsiTheme="minorHAnsi" w:cstheme="minorHAnsi"/>
          <w:sz w:val="22"/>
          <w:szCs w:val="22"/>
        </w:rPr>
        <w:t xml:space="preserve">Bu soruya verilen cevaplar </w:t>
      </w:r>
      <w:r w:rsidR="00DA3176" w:rsidRPr="00960B63">
        <w:rPr>
          <w:rFonts w:asciiTheme="minorHAnsi" w:hAnsiTheme="minorHAnsi" w:cstheme="minorHAnsi"/>
          <w:sz w:val="22"/>
          <w:szCs w:val="22"/>
        </w:rPr>
        <w:t>ilginç bir tablo oluştururken</w:t>
      </w:r>
      <w:r w:rsidR="0010222D">
        <w:rPr>
          <w:rFonts w:asciiTheme="minorHAnsi" w:hAnsiTheme="minorHAnsi" w:cstheme="minorHAnsi"/>
          <w:sz w:val="22"/>
          <w:szCs w:val="22"/>
        </w:rPr>
        <w:t xml:space="preserve"> (Tablo 1)</w:t>
      </w:r>
      <w:r w:rsidR="00DA3176" w:rsidRPr="00960B63">
        <w:rPr>
          <w:rFonts w:asciiTheme="minorHAnsi" w:hAnsiTheme="minorHAnsi" w:cstheme="minorHAnsi"/>
          <w:sz w:val="22"/>
          <w:szCs w:val="22"/>
        </w:rPr>
        <w:t>;</w:t>
      </w:r>
      <w:r w:rsidRPr="00960B63">
        <w:rPr>
          <w:rFonts w:asciiTheme="minorHAnsi" w:hAnsiTheme="minorHAnsi" w:cstheme="minorHAnsi"/>
          <w:sz w:val="22"/>
          <w:szCs w:val="22"/>
        </w:rPr>
        <w:t xml:space="preserve"> </w:t>
      </w:r>
      <w:r w:rsidR="00DA3176" w:rsidRPr="00960B63">
        <w:rPr>
          <w:rFonts w:asciiTheme="minorHAnsi" w:hAnsiTheme="minorHAnsi" w:cstheme="minorHAnsi"/>
          <w:sz w:val="22"/>
          <w:szCs w:val="22"/>
        </w:rPr>
        <w:t>c</w:t>
      </w:r>
      <w:r w:rsidRPr="00960B63">
        <w:rPr>
          <w:rFonts w:asciiTheme="minorHAnsi" w:hAnsiTheme="minorHAnsi" w:cstheme="minorHAnsi"/>
          <w:sz w:val="22"/>
          <w:szCs w:val="22"/>
        </w:rPr>
        <w:t>evaplar</w:t>
      </w:r>
      <w:r w:rsidR="006F32F1" w:rsidRPr="00960B63">
        <w:rPr>
          <w:rFonts w:asciiTheme="minorHAnsi" w:hAnsiTheme="minorHAnsi" w:cstheme="minorHAnsi"/>
          <w:sz w:val="22"/>
          <w:szCs w:val="22"/>
        </w:rPr>
        <w:t>ın</w:t>
      </w:r>
      <w:r w:rsidRPr="00960B63">
        <w:rPr>
          <w:rFonts w:asciiTheme="minorHAnsi" w:hAnsiTheme="minorHAnsi" w:cstheme="minorHAnsi"/>
          <w:sz w:val="22"/>
          <w:szCs w:val="22"/>
        </w:rPr>
        <w:t xml:space="preserve"> Türkiye siyasetindeki ideolojik </w:t>
      </w:r>
      <w:r w:rsidR="00DA3176" w:rsidRPr="00960B63">
        <w:rPr>
          <w:rFonts w:asciiTheme="minorHAnsi" w:hAnsiTheme="minorHAnsi" w:cstheme="minorHAnsi"/>
          <w:sz w:val="22"/>
          <w:szCs w:val="22"/>
        </w:rPr>
        <w:t>kutuplaşmanın</w:t>
      </w:r>
      <w:r w:rsidRPr="00960B63">
        <w:rPr>
          <w:rFonts w:asciiTheme="minorHAnsi" w:hAnsiTheme="minorHAnsi" w:cstheme="minorHAnsi"/>
          <w:sz w:val="22"/>
          <w:szCs w:val="22"/>
        </w:rPr>
        <w:t xml:space="preserve"> bir yansıması</w:t>
      </w:r>
      <w:r w:rsidR="006F32F1" w:rsidRPr="00960B63">
        <w:rPr>
          <w:rFonts w:asciiTheme="minorHAnsi" w:hAnsiTheme="minorHAnsi" w:cstheme="minorHAnsi"/>
          <w:sz w:val="22"/>
          <w:szCs w:val="22"/>
        </w:rPr>
        <w:t xml:space="preserve"> olduğu görülebilmektedir</w:t>
      </w:r>
      <w:r w:rsidR="00A31B57" w:rsidRPr="00960B63">
        <w:rPr>
          <w:rStyle w:val="FootnoteReference"/>
          <w:rFonts w:asciiTheme="minorHAnsi" w:hAnsiTheme="minorHAnsi" w:cstheme="minorHAnsi"/>
          <w:sz w:val="22"/>
          <w:szCs w:val="22"/>
        </w:rPr>
        <w:footnoteReference w:id="4"/>
      </w:r>
      <w:r w:rsidRPr="00960B63">
        <w:rPr>
          <w:rFonts w:asciiTheme="minorHAnsi" w:hAnsiTheme="minorHAnsi" w:cstheme="minorHAnsi"/>
          <w:sz w:val="22"/>
          <w:szCs w:val="22"/>
        </w:rPr>
        <w:t xml:space="preserve">. </w:t>
      </w:r>
      <w:r w:rsidR="0010222D">
        <w:rPr>
          <w:rFonts w:asciiTheme="minorHAnsi" w:hAnsiTheme="minorHAnsi" w:cstheme="minorHAnsi"/>
          <w:sz w:val="22"/>
          <w:szCs w:val="22"/>
        </w:rPr>
        <w:t xml:space="preserve">Çoğunlukla muhafazakâr sağda yer alan bir parti olarak </w:t>
      </w:r>
      <w:r w:rsidR="0010222D" w:rsidRPr="00960B63">
        <w:rPr>
          <w:rFonts w:asciiTheme="minorHAnsi" w:hAnsiTheme="minorHAnsi" w:cstheme="minorHAnsi"/>
          <w:sz w:val="22"/>
          <w:szCs w:val="22"/>
        </w:rPr>
        <w:t xml:space="preserve">tanımlanabilecek AKP milletvekillerinin </w:t>
      </w:r>
      <w:r w:rsidR="005B38F7">
        <w:rPr>
          <w:rFonts w:asciiTheme="minorHAnsi" w:hAnsiTheme="minorHAnsi" w:cstheme="minorHAnsi"/>
          <w:sz w:val="22"/>
          <w:szCs w:val="22"/>
        </w:rPr>
        <w:t>sadece yüzde 2,</w:t>
      </w:r>
      <w:r w:rsidRPr="00960B63">
        <w:rPr>
          <w:rFonts w:asciiTheme="minorHAnsi" w:hAnsiTheme="minorHAnsi" w:cstheme="minorHAnsi"/>
          <w:sz w:val="22"/>
          <w:szCs w:val="22"/>
        </w:rPr>
        <w:t>3’ü işveren-</w:t>
      </w:r>
      <w:r w:rsidR="00AC4418" w:rsidRPr="00960B63">
        <w:rPr>
          <w:rFonts w:asciiTheme="minorHAnsi" w:hAnsiTheme="minorHAnsi" w:cstheme="minorHAnsi"/>
          <w:sz w:val="22"/>
          <w:szCs w:val="22"/>
        </w:rPr>
        <w:t>çalışan/</w:t>
      </w:r>
      <w:r w:rsidRPr="00960B63">
        <w:rPr>
          <w:rFonts w:asciiTheme="minorHAnsi" w:hAnsiTheme="minorHAnsi" w:cstheme="minorHAnsi"/>
          <w:sz w:val="22"/>
          <w:szCs w:val="22"/>
        </w:rPr>
        <w:t xml:space="preserve">işçi çatışmasının şiddetli olduğunu belirtmiştir. Bunun yanı sıra </w:t>
      </w:r>
      <w:r w:rsidR="005B38F7">
        <w:rPr>
          <w:rFonts w:asciiTheme="minorHAnsi" w:hAnsiTheme="minorHAnsi" w:cstheme="minorHAnsi"/>
          <w:sz w:val="22"/>
          <w:szCs w:val="22"/>
        </w:rPr>
        <w:t>kendisini sosyal demokrat bir</w:t>
      </w:r>
      <w:r w:rsidRPr="000C16A3">
        <w:rPr>
          <w:rFonts w:asciiTheme="minorHAnsi" w:hAnsiTheme="minorHAnsi" w:cstheme="minorHAnsi"/>
          <w:sz w:val="22"/>
          <w:szCs w:val="22"/>
        </w:rPr>
        <w:t xml:space="preserve"> çizgide tanımlayan </w:t>
      </w:r>
      <w:r w:rsidR="007B47E1" w:rsidRPr="000C16A3">
        <w:rPr>
          <w:rFonts w:asciiTheme="minorHAnsi" w:hAnsiTheme="minorHAnsi" w:cstheme="minorHAnsi"/>
          <w:sz w:val="22"/>
          <w:szCs w:val="22"/>
        </w:rPr>
        <w:t xml:space="preserve">CHP </w:t>
      </w:r>
      <w:r w:rsidR="003D7525" w:rsidRPr="000C16A3">
        <w:rPr>
          <w:rFonts w:asciiTheme="minorHAnsi" w:hAnsiTheme="minorHAnsi" w:cstheme="minorHAnsi"/>
          <w:sz w:val="22"/>
          <w:szCs w:val="22"/>
        </w:rPr>
        <w:t>milletvekilleri</w:t>
      </w:r>
      <w:r w:rsidRPr="000C16A3">
        <w:rPr>
          <w:rFonts w:asciiTheme="minorHAnsi" w:hAnsiTheme="minorHAnsi" w:cstheme="minorHAnsi"/>
          <w:sz w:val="22"/>
          <w:szCs w:val="22"/>
        </w:rPr>
        <w:t>n</w:t>
      </w:r>
      <w:r w:rsidR="007B47E1" w:rsidRPr="000C16A3">
        <w:rPr>
          <w:rFonts w:asciiTheme="minorHAnsi" w:hAnsiTheme="minorHAnsi" w:cstheme="minorHAnsi"/>
          <w:sz w:val="22"/>
          <w:szCs w:val="22"/>
        </w:rPr>
        <w:t>in</w:t>
      </w:r>
      <w:r w:rsidRPr="000C16A3">
        <w:rPr>
          <w:rFonts w:asciiTheme="minorHAnsi" w:hAnsiTheme="minorHAnsi" w:cstheme="minorHAnsi"/>
          <w:sz w:val="22"/>
          <w:szCs w:val="22"/>
        </w:rPr>
        <w:t xml:space="preserve"> yüzde 27’si çatışmayı şiddetli görmektedir. </w:t>
      </w:r>
      <w:r w:rsidR="00890EC9">
        <w:rPr>
          <w:rFonts w:asciiTheme="minorHAnsi" w:hAnsiTheme="minorHAnsi" w:cstheme="minorHAnsi"/>
          <w:sz w:val="22"/>
          <w:szCs w:val="22"/>
        </w:rPr>
        <w:t xml:space="preserve">Milliyetçi ve muhafazakâr çizgide tanımlanabilecek </w:t>
      </w:r>
      <w:r w:rsidR="007B47E1" w:rsidRPr="000C16A3">
        <w:rPr>
          <w:rFonts w:asciiTheme="minorHAnsi" w:hAnsiTheme="minorHAnsi" w:cstheme="minorHAnsi"/>
          <w:sz w:val="22"/>
          <w:szCs w:val="22"/>
        </w:rPr>
        <w:t>MHP</w:t>
      </w:r>
      <w:r w:rsidR="006F32F1" w:rsidRPr="000C16A3">
        <w:rPr>
          <w:rFonts w:asciiTheme="minorHAnsi" w:hAnsiTheme="minorHAnsi" w:cstheme="minorHAnsi"/>
          <w:sz w:val="22"/>
          <w:szCs w:val="22"/>
        </w:rPr>
        <w:t xml:space="preserve"> </w:t>
      </w:r>
      <w:r w:rsidR="007B47E1" w:rsidRPr="000C16A3">
        <w:rPr>
          <w:rFonts w:asciiTheme="minorHAnsi" w:hAnsiTheme="minorHAnsi" w:cstheme="minorHAnsi"/>
          <w:sz w:val="22"/>
          <w:szCs w:val="22"/>
        </w:rPr>
        <w:t>millet</w:t>
      </w:r>
      <w:r w:rsidR="006F32F1" w:rsidRPr="000C16A3">
        <w:rPr>
          <w:rFonts w:asciiTheme="minorHAnsi" w:hAnsiTheme="minorHAnsi" w:cstheme="minorHAnsi"/>
          <w:sz w:val="22"/>
          <w:szCs w:val="22"/>
        </w:rPr>
        <w:t>vekillerin</w:t>
      </w:r>
      <w:r w:rsidR="007B47E1" w:rsidRPr="000C16A3">
        <w:rPr>
          <w:rFonts w:asciiTheme="minorHAnsi" w:hAnsiTheme="minorHAnsi" w:cstheme="minorHAnsi"/>
          <w:sz w:val="22"/>
          <w:szCs w:val="22"/>
        </w:rPr>
        <w:t>in</w:t>
      </w:r>
      <w:r w:rsidR="005B38F7">
        <w:rPr>
          <w:rFonts w:asciiTheme="minorHAnsi" w:hAnsiTheme="minorHAnsi" w:cstheme="minorHAnsi"/>
          <w:sz w:val="22"/>
          <w:szCs w:val="22"/>
        </w:rPr>
        <w:t xml:space="preserve"> ise yüzde 12,</w:t>
      </w:r>
      <w:r w:rsidR="006F32F1" w:rsidRPr="000C16A3">
        <w:rPr>
          <w:rFonts w:asciiTheme="minorHAnsi" w:hAnsiTheme="minorHAnsi" w:cstheme="minorHAnsi"/>
          <w:sz w:val="22"/>
          <w:szCs w:val="22"/>
        </w:rPr>
        <w:t>5’</w:t>
      </w:r>
      <w:r w:rsidR="0042346E" w:rsidRPr="000C16A3">
        <w:rPr>
          <w:rFonts w:asciiTheme="minorHAnsi" w:hAnsiTheme="minorHAnsi" w:cstheme="minorHAnsi"/>
          <w:sz w:val="22"/>
          <w:szCs w:val="22"/>
        </w:rPr>
        <w:t xml:space="preserve">i çatışmayı şiddetli olarak nitelendirmiştir. </w:t>
      </w:r>
      <w:r w:rsidR="00890EC9">
        <w:rPr>
          <w:rFonts w:asciiTheme="minorHAnsi" w:hAnsiTheme="minorHAnsi" w:cstheme="minorHAnsi"/>
          <w:sz w:val="22"/>
          <w:szCs w:val="22"/>
        </w:rPr>
        <w:t>Sol ideolojik</w:t>
      </w:r>
      <w:r w:rsidR="00463847" w:rsidRPr="000C16A3">
        <w:rPr>
          <w:rFonts w:asciiTheme="minorHAnsi" w:hAnsiTheme="minorHAnsi" w:cstheme="minorHAnsi"/>
          <w:sz w:val="22"/>
          <w:szCs w:val="22"/>
        </w:rPr>
        <w:t xml:space="preserve"> söylemleri partilerine temel alan </w:t>
      </w:r>
      <w:r w:rsidR="007B47E1" w:rsidRPr="000C16A3">
        <w:rPr>
          <w:rFonts w:asciiTheme="minorHAnsi" w:hAnsiTheme="minorHAnsi" w:cstheme="minorHAnsi"/>
          <w:sz w:val="22"/>
          <w:szCs w:val="22"/>
        </w:rPr>
        <w:t>HDP’nin</w:t>
      </w:r>
      <w:r w:rsidR="0042346E" w:rsidRPr="000C16A3">
        <w:rPr>
          <w:rFonts w:asciiTheme="minorHAnsi" w:hAnsiTheme="minorHAnsi" w:cstheme="minorHAnsi"/>
          <w:sz w:val="22"/>
          <w:szCs w:val="22"/>
        </w:rPr>
        <w:t xml:space="preserve"> görüşülen 8 </w:t>
      </w:r>
      <w:r w:rsidR="007B47E1" w:rsidRPr="000C16A3">
        <w:rPr>
          <w:rFonts w:asciiTheme="minorHAnsi" w:hAnsiTheme="minorHAnsi" w:cstheme="minorHAnsi"/>
          <w:sz w:val="22"/>
          <w:szCs w:val="22"/>
        </w:rPr>
        <w:t>millet</w:t>
      </w:r>
      <w:r w:rsidR="0042346E" w:rsidRPr="000C16A3">
        <w:rPr>
          <w:rFonts w:asciiTheme="minorHAnsi" w:hAnsiTheme="minorHAnsi" w:cstheme="minorHAnsi"/>
          <w:sz w:val="22"/>
          <w:szCs w:val="22"/>
        </w:rPr>
        <w:t>vekilinden 6’sı çatışmanın şiddetli olduğuna dikkat çekmiştir</w:t>
      </w:r>
      <w:r w:rsidR="006F32F1" w:rsidRPr="000C16A3">
        <w:rPr>
          <w:rStyle w:val="FootnoteReference"/>
          <w:rFonts w:asciiTheme="minorHAnsi" w:hAnsiTheme="minorHAnsi" w:cstheme="minorHAnsi"/>
          <w:sz w:val="22"/>
          <w:szCs w:val="22"/>
        </w:rPr>
        <w:footnoteReference w:id="5"/>
      </w:r>
      <w:r w:rsidR="00890EC9">
        <w:rPr>
          <w:rFonts w:asciiTheme="minorHAnsi" w:hAnsiTheme="minorHAnsi" w:cstheme="minorHAnsi"/>
          <w:sz w:val="22"/>
          <w:szCs w:val="22"/>
        </w:rPr>
        <w:t xml:space="preserve"> </w:t>
      </w:r>
      <w:r w:rsidR="00890EC9">
        <w:rPr>
          <w:rStyle w:val="FootnoteReference"/>
          <w:rFonts w:asciiTheme="minorHAnsi" w:hAnsiTheme="minorHAnsi" w:cstheme="minorHAnsi"/>
          <w:sz w:val="22"/>
          <w:szCs w:val="22"/>
        </w:rPr>
        <w:footnoteReference w:id="6"/>
      </w:r>
      <w:r w:rsidR="0042346E" w:rsidRPr="000C16A3">
        <w:rPr>
          <w:rFonts w:asciiTheme="minorHAnsi" w:hAnsiTheme="minorHAnsi" w:cstheme="minorHAnsi"/>
          <w:sz w:val="22"/>
          <w:szCs w:val="22"/>
        </w:rPr>
        <w:t>.</w:t>
      </w:r>
      <w:r w:rsidR="001447C6" w:rsidRPr="000C16A3">
        <w:rPr>
          <w:rFonts w:asciiTheme="minorHAnsi" w:hAnsiTheme="minorHAnsi" w:cstheme="minorHAnsi"/>
          <w:sz w:val="22"/>
          <w:szCs w:val="22"/>
        </w:rPr>
        <w:t xml:space="preserve"> 2007 yılında</w:t>
      </w:r>
      <w:r w:rsidR="001447C6" w:rsidRPr="00960B63">
        <w:rPr>
          <w:rFonts w:asciiTheme="minorHAnsi" w:hAnsiTheme="minorHAnsi" w:cstheme="minorHAnsi"/>
          <w:sz w:val="22"/>
          <w:szCs w:val="22"/>
        </w:rPr>
        <w:t xml:space="preserve"> bu soru araştırmada yer almadığı için, 2007-2013 yılları arası değişim ne yazık ki izlenememiştir.</w:t>
      </w:r>
    </w:p>
    <w:p w:rsidR="00056F2A" w:rsidRPr="00960B63" w:rsidRDefault="00056F2A" w:rsidP="00954CDD">
      <w:pPr>
        <w:spacing w:line="276" w:lineRule="auto"/>
        <w:jc w:val="both"/>
        <w:rPr>
          <w:rFonts w:asciiTheme="minorHAnsi" w:hAnsiTheme="minorHAnsi" w:cstheme="minorHAnsi"/>
          <w:sz w:val="22"/>
          <w:szCs w:val="22"/>
        </w:rPr>
      </w:pPr>
    </w:p>
    <w:p w:rsidR="00056F2A" w:rsidRPr="00960B63" w:rsidRDefault="00BB2455" w:rsidP="00954CDD">
      <w:pPr>
        <w:spacing w:line="276" w:lineRule="auto"/>
        <w:jc w:val="both"/>
        <w:rPr>
          <w:rFonts w:asciiTheme="minorHAnsi" w:hAnsiTheme="minorHAnsi" w:cstheme="minorHAnsi"/>
          <w:sz w:val="22"/>
          <w:szCs w:val="22"/>
        </w:rPr>
      </w:pPr>
      <w:r w:rsidRPr="00E00CF4">
        <w:rPr>
          <w:rFonts w:asciiTheme="minorHAnsi" w:hAnsiTheme="minorHAnsi" w:cstheme="minorHAnsi"/>
          <w:sz w:val="22"/>
          <w:szCs w:val="22"/>
        </w:rPr>
        <w:t>2013 yılı verileri göstermektedir ki</w:t>
      </w:r>
      <w:r w:rsidR="00D32D07" w:rsidRPr="00E00CF4">
        <w:rPr>
          <w:rFonts w:asciiTheme="minorHAnsi" w:hAnsiTheme="minorHAnsi" w:cstheme="minorHAnsi"/>
          <w:sz w:val="22"/>
          <w:szCs w:val="22"/>
        </w:rPr>
        <w:t xml:space="preserve"> </w:t>
      </w:r>
      <w:r w:rsidRPr="00E00CF4">
        <w:rPr>
          <w:rFonts w:asciiTheme="minorHAnsi" w:hAnsiTheme="minorHAnsi" w:cstheme="minorHAnsi"/>
          <w:sz w:val="22"/>
          <w:szCs w:val="22"/>
        </w:rPr>
        <w:t>Türkiye’deki parlamenterlerin</w:t>
      </w:r>
      <w:r w:rsidR="00056F2A" w:rsidRPr="00E00CF4">
        <w:rPr>
          <w:rFonts w:asciiTheme="minorHAnsi" w:hAnsiTheme="minorHAnsi" w:cstheme="minorHAnsi"/>
          <w:sz w:val="22"/>
          <w:szCs w:val="22"/>
        </w:rPr>
        <w:t xml:space="preserve"> şiddetli çatışma a</w:t>
      </w:r>
      <w:r w:rsidR="005B38F7">
        <w:rPr>
          <w:rFonts w:asciiTheme="minorHAnsi" w:hAnsiTheme="minorHAnsi" w:cstheme="minorHAnsi"/>
          <w:sz w:val="22"/>
          <w:szCs w:val="22"/>
        </w:rPr>
        <w:t>lgısı yüzde 13,</w:t>
      </w:r>
      <w:r w:rsidR="003813C6" w:rsidRPr="00E00CF4">
        <w:rPr>
          <w:rFonts w:asciiTheme="minorHAnsi" w:hAnsiTheme="minorHAnsi" w:cstheme="minorHAnsi"/>
          <w:sz w:val="22"/>
          <w:szCs w:val="22"/>
        </w:rPr>
        <w:t xml:space="preserve">4 ile </w:t>
      </w:r>
      <w:r w:rsidR="004B0371" w:rsidRPr="00E00CF4">
        <w:rPr>
          <w:rFonts w:asciiTheme="minorHAnsi" w:hAnsiTheme="minorHAnsi" w:cstheme="minorHAnsi"/>
          <w:sz w:val="22"/>
          <w:szCs w:val="22"/>
        </w:rPr>
        <w:t xml:space="preserve">aynı sorunun sorulduğu </w:t>
      </w:r>
      <w:r w:rsidR="003813C6" w:rsidRPr="00E00CF4">
        <w:rPr>
          <w:rFonts w:asciiTheme="minorHAnsi" w:hAnsiTheme="minorHAnsi" w:cstheme="minorHAnsi"/>
          <w:sz w:val="22"/>
          <w:szCs w:val="22"/>
        </w:rPr>
        <w:t>Avrupa</w:t>
      </w:r>
      <w:r w:rsidR="004B0371" w:rsidRPr="00E00CF4">
        <w:rPr>
          <w:rFonts w:asciiTheme="minorHAnsi" w:hAnsiTheme="minorHAnsi" w:cstheme="minorHAnsi"/>
          <w:sz w:val="22"/>
          <w:szCs w:val="22"/>
        </w:rPr>
        <w:t xml:space="preserve"> </w:t>
      </w:r>
      <w:r w:rsidRPr="00E00CF4">
        <w:rPr>
          <w:rFonts w:asciiTheme="minorHAnsi" w:hAnsiTheme="minorHAnsi" w:cstheme="minorHAnsi"/>
          <w:sz w:val="22"/>
          <w:szCs w:val="22"/>
        </w:rPr>
        <w:t>parla</w:t>
      </w:r>
      <w:r w:rsidR="00056F2A" w:rsidRPr="00E00CF4">
        <w:rPr>
          <w:rFonts w:asciiTheme="minorHAnsi" w:hAnsiTheme="minorHAnsi" w:cstheme="minorHAnsi"/>
          <w:sz w:val="22"/>
          <w:szCs w:val="22"/>
        </w:rPr>
        <w:t>menterlerin</w:t>
      </w:r>
      <w:r w:rsidR="004B0371" w:rsidRPr="00E00CF4">
        <w:rPr>
          <w:rFonts w:asciiTheme="minorHAnsi" w:hAnsiTheme="minorHAnsi" w:cstheme="minorHAnsi"/>
          <w:sz w:val="22"/>
          <w:szCs w:val="22"/>
        </w:rPr>
        <w:t>in</w:t>
      </w:r>
      <w:r w:rsidR="00056F2A" w:rsidRPr="00E00CF4">
        <w:rPr>
          <w:rFonts w:asciiTheme="minorHAnsi" w:hAnsiTheme="minorHAnsi" w:cstheme="minorHAnsi"/>
          <w:sz w:val="22"/>
          <w:szCs w:val="22"/>
        </w:rPr>
        <w:t xml:space="preserve"> yüzdelerini</w:t>
      </w:r>
      <w:r w:rsidRPr="00E00CF4">
        <w:rPr>
          <w:rFonts w:asciiTheme="minorHAnsi" w:hAnsiTheme="minorHAnsi" w:cstheme="minorHAnsi"/>
          <w:sz w:val="22"/>
          <w:szCs w:val="22"/>
        </w:rPr>
        <w:t xml:space="preserve"> geriden</w:t>
      </w:r>
      <w:r w:rsidRPr="00960B63">
        <w:rPr>
          <w:rFonts w:asciiTheme="minorHAnsi" w:hAnsiTheme="minorHAnsi" w:cstheme="minorHAnsi"/>
          <w:sz w:val="22"/>
          <w:szCs w:val="22"/>
        </w:rPr>
        <w:t xml:space="preserve"> takip etmektedir:</w:t>
      </w:r>
      <w:r w:rsidR="00056F2A" w:rsidRPr="00960B63">
        <w:rPr>
          <w:rFonts w:asciiTheme="minorHAnsi" w:hAnsiTheme="minorHAnsi" w:cstheme="minorHAnsi"/>
          <w:sz w:val="22"/>
          <w:szCs w:val="22"/>
        </w:rPr>
        <w:t xml:space="preserve"> </w:t>
      </w:r>
      <w:r w:rsidR="00B61B4A" w:rsidRPr="003813C6">
        <w:rPr>
          <w:rFonts w:asciiTheme="minorHAnsi" w:hAnsiTheme="minorHAnsi" w:cstheme="minorHAnsi"/>
          <w:sz w:val="22"/>
          <w:szCs w:val="22"/>
        </w:rPr>
        <w:t>Bu oranlar</w:t>
      </w:r>
      <w:r w:rsidR="00B61B4A">
        <w:rPr>
          <w:rFonts w:asciiTheme="minorHAnsi" w:hAnsiTheme="minorHAnsi" w:cstheme="minorHAnsi"/>
          <w:sz w:val="22"/>
          <w:szCs w:val="22"/>
        </w:rPr>
        <w:t xml:space="preserve"> </w:t>
      </w:r>
      <w:r w:rsidR="00056F2A" w:rsidRPr="00960B63">
        <w:rPr>
          <w:rFonts w:asciiTheme="minorHAnsi" w:hAnsiTheme="minorHAnsi" w:cstheme="minorHAnsi"/>
          <w:sz w:val="22"/>
          <w:szCs w:val="22"/>
        </w:rPr>
        <w:t xml:space="preserve">Polonya’da </w:t>
      </w:r>
      <w:r w:rsidR="005B38F7">
        <w:rPr>
          <w:rFonts w:asciiTheme="minorHAnsi" w:hAnsiTheme="minorHAnsi" w:cstheme="minorHAnsi"/>
          <w:sz w:val="22"/>
          <w:szCs w:val="22"/>
        </w:rPr>
        <w:t>yüzde 37, Almanya’da yüzde 30,</w:t>
      </w:r>
      <w:r w:rsidRPr="00960B63">
        <w:rPr>
          <w:rFonts w:asciiTheme="minorHAnsi" w:hAnsiTheme="minorHAnsi" w:cstheme="minorHAnsi"/>
          <w:sz w:val="22"/>
          <w:szCs w:val="22"/>
        </w:rPr>
        <w:t>7</w:t>
      </w:r>
      <w:r w:rsidR="00B61B4A">
        <w:rPr>
          <w:rFonts w:asciiTheme="minorHAnsi" w:hAnsiTheme="minorHAnsi" w:cstheme="minorHAnsi"/>
          <w:sz w:val="22"/>
          <w:szCs w:val="22"/>
        </w:rPr>
        <w:t>’dir</w:t>
      </w:r>
      <w:r w:rsidR="00056F2A" w:rsidRPr="00960B63">
        <w:rPr>
          <w:rFonts w:asciiTheme="minorHAnsi" w:hAnsiTheme="minorHAnsi" w:cstheme="minorHAnsi"/>
          <w:sz w:val="22"/>
          <w:szCs w:val="22"/>
        </w:rPr>
        <w:t>.</w:t>
      </w:r>
    </w:p>
    <w:p w:rsidR="00E00CF4" w:rsidRDefault="00E00CF4" w:rsidP="00954CDD">
      <w:pPr>
        <w:spacing w:line="276" w:lineRule="auto"/>
        <w:jc w:val="both"/>
        <w:rPr>
          <w:rFonts w:asciiTheme="minorHAnsi" w:hAnsiTheme="minorHAnsi" w:cstheme="minorHAnsi"/>
          <w:sz w:val="22"/>
          <w:szCs w:val="22"/>
        </w:rPr>
      </w:pPr>
    </w:p>
    <w:p w:rsidR="0010222D" w:rsidRPr="00960B63" w:rsidRDefault="0010222D" w:rsidP="00954CDD">
      <w:pPr>
        <w:spacing w:line="276" w:lineRule="auto"/>
        <w:jc w:val="both"/>
        <w:rPr>
          <w:rFonts w:asciiTheme="minorHAnsi" w:hAnsiTheme="minorHAnsi" w:cstheme="minorHAnsi"/>
          <w:b/>
          <w:caps/>
          <w:sz w:val="22"/>
          <w:szCs w:val="22"/>
        </w:rPr>
      </w:pPr>
      <w:r>
        <w:rPr>
          <w:rFonts w:asciiTheme="minorHAnsi" w:hAnsiTheme="minorHAnsi" w:cstheme="minorHAnsi"/>
          <w:b/>
          <w:caps/>
          <w:sz w:val="22"/>
          <w:szCs w:val="22"/>
        </w:rPr>
        <w:t>Tablo 1</w:t>
      </w:r>
    </w:p>
    <w:p w:rsidR="00A94C8E" w:rsidRDefault="00DA3176" w:rsidP="00954CDD">
      <w:pPr>
        <w:spacing w:line="276" w:lineRule="auto"/>
        <w:jc w:val="both"/>
        <w:rPr>
          <w:rFonts w:asciiTheme="minorHAnsi" w:hAnsiTheme="minorHAnsi" w:cstheme="minorHAnsi"/>
          <w:b/>
          <w:sz w:val="22"/>
          <w:szCs w:val="22"/>
        </w:rPr>
      </w:pPr>
      <w:r w:rsidRPr="00960B63">
        <w:rPr>
          <w:rFonts w:asciiTheme="minorHAnsi" w:hAnsiTheme="minorHAnsi" w:cstheme="minorHAnsi"/>
          <w:b/>
          <w:noProof/>
          <w:sz w:val="22"/>
          <w:szCs w:val="22"/>
        </w:rPr>
        <w:drawing>
          <wp:inline distT="0" distB="0" distL="0" distR="0">
            <wp:extent cx="5572125" cy="2609850"/>
            <wp:effectExtent l="19050" t="0" r="9525"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6A0550" w:rsidRPr="00960B63" w:rsidRDefault="00355475" w:rsidP="00954CDD">
      <w:pPr>
        <w:spacing w:line="276" w:lineRule="auto"/>
        <w:jc w:val="both"/>
        <w:rPr>
          <w:rFonts w:asciiTheme="minorHAnsi" w:hAnsiTheme="minorHAnsi" w:cstheme="minorHAnsi"/>
          <w:b/>
          <w:sz w:val="22"/>
          <w:szCs w:val="22"/>
        </w:rPr>
      </w:pPr>
      <w:r w:rsidRPr="00960B63">
        <w:rPr>
          <w:rFonts w:asciiTheme="minorHAnsi" w:hAnsiTheme="minorHAnsi" w:cstheme="minorHAnsi"/>
          <w:b/>
          <w:sz w:val="22"/>
          <w:szCs w:val="22"/>
        </w:rPr>
        <w:lastRenderedPageBreak/>
        <w:t>Türkiye’de işçi sendikalarına “bir ölçüde” güveniliyor</w:t>
      </w:r>
    </w:p>
    <w:p w:rsidR="00A26F51" w:rsidRPr="00960B63" w:rsidRDefault="00056F2A" w:rsidP="00954CDD">
      <w:pPr>
        <w:spacing w:line="276" w:lineRule="auto"/>
        <w:jc w:val="both"/>
        <w:rPr>
          <w:rFonts w:asciiTheme="minorHAnsi" w:hAnsiTheme="minorHAnsi" w:cstheme="minorHAnsi"/>
          <w:sz w:val="22"/>
          <w:szCs w:val="22"/>
        </w:rPr>
      </w:pPr>
      <w:r w:rsidRPr="00960B63">
        <w:rPr>
          <w:rFonts w:asciiTheme="minorHAnsi" w:hAnsiTheme="minorHAnsi" w:cstheme="minorHAnsi"/>
          <w:sz w:val="22"/>
          <w:szCs w:val="22"/>
        </w:rPr>
        <w:t>Türkiye’de herhangi bir sosyal olguyu incelemek, güven kültürüne yakından bakmak ile mümkün olabilir.</w:t>
      </w:r>
      <w:r w:rsidR="00A26F51" w:rsidRPr="00960B63">
        <w:rPr>
          <w:rFonts w:asciiTheme="minorHAnsi" w:hAnsiTheme="minorHAnsi" w:cstheme="minorHAnsi"/>
          <w:sz w:val="22"/>
          <w:szCs w:val="22"/>
        </w:rPr>
        <w:t xml:space="preserve"> Son araştırmalar ortaya çıkarmıştır ki Tür</w:t>
      </w:r>
      <w:r w:rsidR="00774086" w:rsidRPr="00960B63">
        <w:rPr>
          <w:rFonts w:asciiTheme="minorHAnsi" w:hAnsiTheme="minorHAnsi" w:cstheme="minorHAnsi"/>
          <w:sz w:val="22"/>
          <w:szCs w:val="22"/>
        </w:rPr>
        <w:t>kiye “güven” değil “güvensizlik</w:t>
      </w:r>
      <w:r w:rsidR="00A26F51" w:rsidRPr="00960B63">
        <w:rPr>
          <w:rFonts w:asciiTheme="minorHAnsi" w:hAnsiTheme="minorHAnsi" w:cstheme="minorHAnsi"/>
          <w:sz w:val="22"/>
          <w:szCs w:val="22"/>
        </w:rPr>
        <w:t xml:space="preserve"> kültürüne</w:t>
      </w:r>
      <w:r w:rsidR="00774086" w:rsidRPr="00960B63">
        <w:rPr>
          <w:rFonts w:asciiTheme="minorHAnsi" w:hAnsiTheme="minorHAnsi" w:cstheme="minorHAnsi"/>
          <w:sz w:val="22"/>
          <w:szCs w:val="22"/>
        </w:rPr>
        <w:t>”</w:t>
      </w:r>
      <w:r w:rsidR="00774086" w:rsidRPr="00960B63">
        <w:rPr>
          <w:rStyle w:val="FootnoteReference"/>
          <w:rFonts w:asciiTheme="minorHAnsi" w:hAnsiTheme="minorHAnsi" w:cstheme="minorHAnsi"/>
          <w:sz w:val="22"/>
          <w:szCs w:val="22"/>
        </w:rPr>
        <w:footnoteReference w:id="7"/>
      </w:r>
      <w:r w:rsidR="00A26F51" w:rsidRPr="00960B63">
        <w:rPr>
          <w:rFonts w:asciiTheme="minorHAnsi" w:hAnsiTheme="minorHAnsi" w:cstheme="minorHAnsi"/>
          <w:sz w:val="22"/>
          <w:szCs w:val="22"/>
        </w:rPr>
        <w:t xml:space="preserve"> sahiptir. Bu güvensizlik kültürü kişilerarası ilişkilerde de</w:t>
      </w:r>
      <w:r w:rsidR="00DE2BCC" w:rsidRPr="00960B63">
        <w:rPr>
          <w:rFonts w:asciiTheme="minorHAnsi" w:hAnsiTheme="minorHAnsi" w:cstheme="minorHAnsi"/>
          <w:sz w:val="22"/>
          <w:szCs w:val="22"/>
        </w:rPr>
        <w:t>,</w:t>
      </w:r>
      <w:r w:rsidR="00A26F51" w:rsidRPr="00960B63">
        <w:rPr>
          <w:rFonts w:asciiTheme="minorHAnsi" w:hAnsiTheme="minorHAnsi" w:cstheme="minorHAnsi"/>
          <w:sz w:val="22"/>
          <w:szCs w:val="22"/>
        </w:rPr>
        <w:t xml:space="preserve"> kurumlara güvende de açıkça hissedilmektedir. </w:t>
      </w:r>
      <w:r w:rsidR="00DE2BCC" w:rsidRPr="00960B63">
        <w:rPr>
          <w:rFonts w:asciiTheme="minorHAnsi" w:hAnsiTheme="minorHAnsi" w:cstheme="minorHAnsi"/>
          <w:sz w:val="22"/>
          <w:szCs w:val="22"/>
        </w:rPr>
        <w:t>Bu araştırma notu kapsamında ise, i</w:t>
      </w:r>
      <w:r w:rsidR="00A26F51" w:rsidRPr="00960B63">
        <w:rPr>
          <w:rFonts w:asciiTheme="minorHAnsi" w:hAnsiTheme="minorHAnsi" w:cstheme="minorHAnsi"/>
          <w:sz w:val="22"/>
          <w:szCs w:val="22"/>
        </w:rPr>
        <w:t>şçi sendikalarının toplumun ana kurumlarından biri olarak önemini incelemeden meselenin özüne inemey</w:t>
      </w:r>
      <w:r w:rsidR="00E9510A">
        <w:rPr>
          <w:rFonts w:asciiTheme="minorHAnsi" w:hAnsiTheme="minorHAnsi" w:cstheme="minorHAnsi"/>
          <w:sz w:val="22"/>
          <w:szCs w:val="22"/>
        </w:rPr>
        <w:t>iz. Bu bağlamda hem 2007</w:t>
      </w:r>
      <w:r w:rsidR="00A26F51" w:rsidRPr="00960B63">
        <w:rPr>
          <w:rFonts w:asciiTheme="minorHAnsi" w:hAnsiTheme="minorHAnsi" w:cstheme="minorHAnsi"/>
          <w:sz w:val="22"/>
          <w:szCs w:val="22"/>
        </w:rPr>
        <w:t xml:space="preserve"> </w:t>
      </w:r>
      <w:r w:rsidR="00E9510A">
        <w:rPr>
          <w:rFonts w:asciiTheme="minorHAnsi" w:hAnsiTheme="minorHAnsi" w:cstheme="minorHAnsi"/>
          <w:sz w:val="22"/>
          <w:szCs w:val="22"/>
        </w:rPr>
        <w:t>hem de 2013</w:t>
      </w:r>
      <w:r w:rsidR="00A26F51" w:rsidRPr="00960B63">
        <w:rPr>
          <w:rFonts w:asciiTheme="minorHAnsi" w:hAnsiTheme="minorHAnsi" w:cstheme="minorHAnsi"/>
          <w:sz w:val="22"/>
          <w:szCs w:val="22"/>
        </w:rPr>
        <w:t xml:space="preserve"> </w:t>
      </w:r>
      <w:r w:rsidR="00E9510A">
        <w:rPr>
          <w:rFonts w:asciiTheme="minorHAnsi" w:hAnsiTheme="minorHAnsi" w:cstheme="minorHAnsi"/>
          <w:sz w:val="22"/>
          <w:szCs w:val="22"/>
        </w:rPr>
        <w:t>yılında milletvekillerine</w:t>
      </w:r>
      <w:r w:rsidR="00A26F51" w:rsidRPr="00960B63">
        <w:rPr>
          <w:rFonts w:asciiTheme="minorHAnsi" w:hAnsiTheme="minorHAnsi" w:cstheme="minorHAnsi"/>
          <w:sz w:val="22"/>
          <w:szCs w:val="22"/>
        </w:rPr>
        <w:t>, işç</w:t>
      </w:r>
      <w:r w:rsidR="007B47E1" w:rsidRPr="00960B63">
        <w:rPr>
          <w:rFonts w:asciiTheme="minorHAnsi" w:hAnsiTheme="minorHAnsi" w:cstheme="minorHAnsi"/>
          <w:sz w:val="22"/>
          <w:szCs w:val="22"/>
        </w:rPr>
        <w:t>i sendikalarına ne kadar güven</w:t>
      </w:r>
      <w:r w:rsidR="00A26F51" w:rsidRPr="00960B63">
        <w:rPr>
          <w:rFonts w:asciiTheme="minorHAnsi" w:hAnsiTheme="minorHAnsi" w:cstheme="minorHAnsi"/>
          <w:sz w:val="22"/>
          <w:szCs w:val="22"/>
        </w:rPr>
        <w:t xml:space="preserve">dikleri sorulmuştur. </w:t>
      </w:r>
      <w:r w:rsidR="00351A85">
        <w:rPr>
          <w:rFonts w:asciiTheme="minorHAnsi" w:hAnsiTheme="minorHAnsi" w:cstheme="minorHAnsi"/>
          <w:sz w:val="22"/>
          <w:szCs w:val="22"/>
        </w:rPr>
        <w:t xml:space="preserve">Cevaplar “tamamen güvenirim”, “bir ölçüde güvenirim”, “pek güvenmem”, “hiç güvenmem” şeklinde sıralanırken, </w:t>
      </w:r>
      <w:r w:rsidR="00A26F51" w:rsidRPr="00960B63">
        <w:rPr>
          <w:rFonts w:asciiTheme="minorHAnsi" w:hAnsiTheme="minorHAnsi" w:cstheme="minorHAnsi"/>
          <w:sz w:val="22"/>
          <w:szCs w:val="22"/>
        </w:rPr>
        <w:t>soruya verilen cevaplardan “tamamen güvenirim” ve “hiç güvenmem” kategorileri bize ilginç sonuçlar vermektedir.</w:t>
      </w:r>
    </w:p>
    <w:p w:rsidR="00A26F51" w:rsidRPr="00960B63" w:rsidRDefault="00A26F51" w:rsidP="00954CDD">
      <w:pPr>
        <w:spacing w:line="276" w:lineRule="auto"/>
        <w:jc w:val="both"/>
        <w:rPr>
          <w:rFonts w:asciiTheme="minorHAnsi" w:hAnsiTheme="minorHAnsi" w:cstheme="minorHAnsi"/>
          <w:sz w:val="22"/>
          <w:szCs w:val="22"/>
        </w:rPr>
      </w:pPr>
    </w:p>
    <w:p w:rsidR="00391FD2" w:rsidRPr="00960B63" w:rsidRDefault="0058300B" w:rsidP="00954CDD">
      <w:pPr>
        <w:spacing w:line="276" w:lineRule="auto"/>
        <w:jc w:val="both"/>
        <w:rPr>
          <w:rFonts w:asciiTheme="minorHAnsi" w:hAnsiTheme="minorHAnsi" w:cstheme="minorHAnsi"/>
          <w:sz w:val="22"/>
          <w:szCs w:val="22"/>
        </w:rPr>
      </w:pPr>
      <w:r>
        <w:rPr>
          <w:rFonts w:asciiTheme="minorHAnsi" w:hAnsiTheme="minorHAnsi" w:cstheme="minorHAnsi"/>
          <w:sz w:val="22"/>
          <w:szCs w:val="22"/>
        </w:rPr>
        <w:t>2007-2013</w:t>
      </w:r>
      <w:r w:rsidR="00DE2BCC" w:rsidRPr="00960B63">
        <w:rPr>
          <w:rFonts w:asciiTheme="minorHAnsi" w:hAnsiTheme="minorHAnsi" w:cstheme="minorHAnsi"/>
          <w:sz w:val="22"/>
          <w:szCs w:val="22"/>
        </w:rPr>
        <w:t xml:space="preserve"> </w:t>
      </w:r>
      <w:r>
        <w:rPr>
          <w:rFonts w:asciiTheme="minorHAnsi" w:hAnsiTheme="minorHAnsi" w:cstheme="minorHAnsi"/>
          <w:sz w:val="22"/>
          <w:szCs w:val="22"/>
        </w:rPr>
        <w:t>araştırmalarının</w:t>
      </w:r>
      <w:r w:rsidR="001264E1" w:rsidRPr="00960B63">
        <w:rPr>
          <w:rFonts w:asciiTheme="minorHAnsi" w:hAnsiTheme="minorHAnsi" w:cstheme="minorHAnsi"/>
          <w:sz w:val="22"/>
          <w:szCs w:val="22"/>
        </w:rPr>
        <w:t xml:space="preserve"> veriler</w:t>
      </w:r>
      <w:r>
        <w:rPr>
          <w:rFonts w:asciiTheme="minorHAnsi" w:hAnsiTheme="minorHAnsi" w:cstheme="minorHAnsi"/>
          <w:sz w:val="22"/>
          <w:szCs w:val="22"/>
        </w:rPr>
        <w:t>i</w:t>
      </w:r>
      <w:r w:rsidR="00DE2BCC" w:rsidRPr="00960B63">
        <w:rPr>
          <w:rFonts w:asciiTheme="minorHAnsi" w:hAnsiTheme="minorHAnsi" w:cstheme="minorHAnsi"/>
          <w:sz w:val="22"/>
          <w:szCs w:val="22"/>
        </w:rPr>
        <w:t xml:space="preserve"> karşılaştırılırken, 2007 </w:t>
      </w:r>
      <w:r>
        <w:rPr>
          <w:rFonts w:asciiTheme="minorHAnsi" w:hAnsiTheme="minorHAnsi" w:cstheme="minorHAnsi"/>
          <w:sz w:val="22"/>
          <w:szCs w:val="22"/>
        </w:rPr>
        <w:t>araştırmasında</w:t>
      </w:r>
      <w:r w:rsidR="00C44738">
        <w:rPr>
          <w:rFonts w:asciiTheme="minorHAnsi" w:hAnsiTheme="minorHAnsi" w:cstheme="minorHAnsi"/>
          <w:sz w:val="22"/>
          <w:szCs w:val="22"/>
        </w:rPr>
        <w:t xml:space="preserve"> </w:t>
      </w:r>
      <w:r w:rsidR="001264E1" w:rsidRPr="00960B63">
        <w:rPr>
          <w:rFonts w:asciiTheme="minorHAnsi" w:hAnsiTheme="minorHAnsi" w:cstheme="minorHAnsi"/>
          <w:sz w:val="22"/>
          <w:szCs w:val="22"/>
        </w:rPr>
        <w:t>sadece AKP</w:t>
      </w:r>
      <w:r w:rsidR="00DE2BCC" w:rsidRPr="00960B63">
        <w:rPr>
          <w:rFonts w:asciiTheme="minorHAnsi" w:hAnsiTheme="minorHAnsi" w:cstheme="minorHAnsi"/>
          <w:sz w:val="22"/>
          <w:szCs w:val="22"/>
        </w:rPr>
        <w:t xml:space="preserve"> ve CHP yer aldığı için </w:t>
      </w:r>
      <w:r w:rsidR="001264E1" w:rsidRPr="00960B63">
        <w:rPr>
          <w:rFonts w:asciiTheme="minorHAnsi" w:hAnsiTheme="minorHAnsi" w:cstheme="minorHAnsi"/>
          <w:sz w:val="22"/>
          <w:szCs w:val="22"/>
        </w:rPr>
        <w:t xml:space="preserve">analizi iki parti üzerinden yapmak daha </w:t>
      </w:r>
      <w:r w:rsidR="007B47E1" w:rsidRPr="00960B63">
        <w:rPr>
          <w:rFonts w:asciiTheme="minorHAnsi" w:hAnsiTheme="minorHAnsi" w:cstheme="minorHAnsi"/>
          <w:sz w:val="22"/>
          <w:szCs w:val="22"/>
        </w:rPr>
        <w:t>anlamlı</w:t>
      </w:r>
      <w:r w:rsidR="001264E1" w:rsidRPr="00960B63">
        <w:rPr>
          <w:rFonts w:asciiTheme="minorHAnsi" w:hAnsiTheme="minorHAnsi" w:cstheme="minorHAnsi"/>
          <w:sz w:val="22"/>
          <w:szCs w:val="22"/>
        </w:rPr>
        <w:t xml:space="preserve"> olacaktır. </w:t>
      </w:r>
      <w:r w:rsidR="00A26F51" w:rsidRPr="00960B63">
        <w:rPr>
          <w:rFonts w:asciiTheme="minorHAnsi" w:hAnsiTheme="minorHAnsi" w:cstheme="minorHAnsi"/>
          <w:sz w:val="22"/>
          <w:szCs w:val="22"/>
        </w:rPr>
        <w:t xml:space="preserve">2007 </w:t>
      </w:r>
      <w:r>
        <w:rPr>
          <w:rFonts w:asciiTheme="minorHAnsi" w:hAnsiTheme="minorHAnsi" w:cstheme="minorHAnsi"/>
          <w:sz w:val="22"/>
          <w:szCs w:val="22"/>
        </w:rPr>
        <w:t xml:space="preserve">yılı verilerine göre, </w:t>
      </w:r>
      <w:r w:rsidR="005B38F7">
        <w:rPr>
          <w:rFonts w:asciiTheme="minorHAnsi" w:hAnsiTheme="minorHAnsi" w:cstheme="minorHAnsi"/>
          <w:sz w:val="22"/>
          <w:szCs w:val="22"/>
        </w:rPr>
        <w:t>AKP milletvekillerinden yüzde 4,</w:t>
      </w:r>
      <w:r w:rsidR="00A26F51" w:rsidRPr="00960B63">
        <w:rPr>
          <w:rFonts w:asciiTheme="minorHAnsi" w:hAnsiTheme="minorHAnsi" w:cstheme="minorHAnsi"/>
          <w:sz w:val="22"/>
          <w:szCs w:val="22"/>
        </w:rPr>
        <w:t>3’ü işçi sendikalarına tamamen güvendik</w:t>
      </w:r>
      <w:r>
        <w:rPr>
          <w:rFonts w:asciiTheme="minorHAnsi" w:hAnsiTheme="minorHAnsi" w:cstheme="minorHAnsi"/>
          <w:sz w:val="22"/>
          <w:szCs w:val="22"/>
        </w:rPr>
        <w:t>lerini belirtirken, bu oran 2013</w:t>
      </w:r>
      <w:r w:rsidR="00A26F51" w:rsidRPr="00960B63">
        <w:rPr>
          <w:rFonts w:asciiTheme="minorHAnsi" w:hAnsiTheme="minorHAnsi" w:cstheme="minorHAnsi"/>
          <w:sz w:val="22"/>
          <w:szCs w:val="22"/>
        </w:rPr>
        <w:t xml:space="preserve"> </w:t>
      </w:r>
      <w:r>
        <w:rPr>
          <w:rFonts w:asciiTheme="minorHAnsi" w:hAnsiTheme="minorHAnsi" w:cstheme="minorHAnsi"/>
          <w:sz w:val="22"/>
          <w:szCs w:val="22"/>
        </w:rPr>
        <w:t>araştırması verilerinde</w:t>
      </w:r>
      <w:r w:rsidR="005B38F7">
        <w:rPr>
          <w:rFonts w:asciiTheme="minorHAnsi" w:hAnsiTheme="minorHAnsi" w:cstheme="minorHAnsi"/>
          <w:sz w:val="22"/>
          <w:szCs w:val="22"/>
        </w:rPr>
        <w:t xml:space="preserve"> 1,</w:t>
      </w:r>
      <w:r w:rsidR="00A26F51" w:rsidRPr="00960B63">
        <w:rPr>
          <w:rFonts w:asciiTheme="minorHAnsi" w:hAnsiTheme="minorHAnsi" w:cstheme="minorHAnsi"/>
          <w:sz w:val="22"/>
          <w:szCs w:val="22"/>
        </w:rPr>
        <w:t>1’e düşmüştür</w:t>
      </w:r>
      <w:r>
        <w:rPr>
          <w:rFonts w:asciiTheme="minorHAnsi" w:hAnsiTheme="minorHAnsi" w:cstheme="minorHAnsi"/>
          <w:sz w:val="22"/>
          <w:szCs w:val="22"/>
        </w:rPr>
        <w:t xml:space="preserve">. </w:t>
      </w:r>
      <w:r w:rsidR="00391FD2" w:rsidRPr="00960B63">
        <w:rPr>
          <w:rFonts w:asciiTheme="minorHAnsi" w:hAnsiTheme="minorHAnsi" w:cstheme="minorHAnsi"/>
          <w:sz w:val="22"/>
          <w:szCs w:val="22"/>
        </w:rPr>
        <w:t>Aynı cevap kategorisi</w:t>
      </w:r>
      <w:r w:rsidR="005B38F7">
        <w:rPr>
          <w:rFonts w:asciiTheme="minorHAnsi" w:hAnsiTheme="minorHAnsi" w:cstheme="minorHAnsi"/>
          <w:sz w:val="22"/>
          <w:szCs w:val="22"/>
        </w:rPr>
        <w:t>nde CHP milletvekilleri yüzde 6,5’ten yüzde 5,</w:t>
      </w:r>
      <w:r w:rsidR="00391FD2" w:rsidRPr="00960B63">
        <w:rPr>
          <w:rFonts w:asciiTheme="minorHAnsi" w:hAnsiTheme="minorHAnsi" w:cstheme="minorHAnsi"/>
          <w:sz w:val="22"/>
          <w:szCs w:val="22"/>
        </w:rPr>
        <w:t>4’e gerilemiştir. Güven tablosunun diğer ucunu temsil edenler, yani işçi sendikalarına hiç güvenmediklerini belirtenler ise hem AKP hem de CHP milletvekilleri arasında azalmıştır. Fakat fark</w:t>
      </w:r>
      <w:r w:rsidR="007B47E1" w:rsidRPr="00960B63">
        <w:rPr>
          <w:rFonts w:asciiTheme="minorHAnsi" w:hAnsiTheme="minorHAnsi" w:cstheme="minorHAnsi"/>
          <w:sz w:val="22"/>
          <w:szCs w:val="22"/>
        </w:rPr>
        <w:t xml:space="preserve"> </w:t>
      </w:r>
      <w:r w:rsidR="00391FD2" w:rsidRPr="00960B63">
        <w:rPr>
          <w:rFonts w:asciiTheme="minorHAnsi" w:hAnsiTheme="minorHAnsi" w:cstheme="minorHAnsi"/>
          <w:sz w:val="22"/>
          <w:szCs w:val="22"/>
        </w:rPr>
        <w:t xml:space="preserve">edilmesi </w:t>
      </w:r>
      <w:r>
        <w:rPr>
          <w:rFonts w:asciiTheme="minorHAnsi" w:hAnsiTheme="minorHAnsi" w:cstheme="minorHAnsi"/>
          <w:sz w:val="22"/>
          <w:szCs w:val="22"/>
        </w:rPr>
        <w:t xml:space="preserve">gereken </w:t>
      </w:r>
      <w:r w:rsidRPr="00E00CF4">
        <w:rPr>
          <w:rFonts w:asciiTheme="minorHAnsi" w:hAnsiTheme="minorHAnsi" w:cstheme="minorHAnsi"/>
          <w:sz w:val="22"/>
          <w:szCs w:val="22"/>
        </w:rPr>
        <w:t xml:space="preserve">nokta, iki partinin </w:t>
      </w:r>
      <w:r w:rsidR="00DA3F4A" w:rsidRPr="00E00CF4">
        <w:rPr>
          <w:rFonts w:asciiTheme="minorHAnsi" w:hAnsiTheme="minorHAnsi" w:cstheme="minorHAnsi"/>
          <w:sz w:val="22"/>
          <w:szCs w:val="22"/>
        </w:rPr>
        <w:t>2007 araştırmasıyla</w:t>
      </w:r>
      <w:r w:rsidR="00E9510A" w:rsidRPr="00E00CF4">
        <w:rPr>
          <w:rFonts w:asciiTheme="minorHAnsi" w:hAnsiTheme="minorHAnsi" w:cstheme="minorHAnsi"/>
          <w:sz w:val="22"/>
          <w:szCs w:val="22"/>
        </w:rPr>
        <w:t xml:space="preserve"> incelenen parlamentoda</w:t>
      </w:r>
      <w:r w:rsidR="00391FD2" w:rsidRPr="00E00CF4">
        <w:rPr>
          <w:rFonts w:asciiTheme="minorHAnsi" w:hAnsiTheme="minorHAnsi" w:cstheme="minorHAnsi"/>
          <w:sz w:val="22"/>
          <w:szCs w:val="22"/>
        </w:rPr>
        <w:t xml:space="preserve"> zaten çok farklı görüşlerde olduklarıdır.</w:t>
      </w:r>
      <w:r w:rsidR="00391FD2" w:rsidRPr="00960B63">
        <w:rPr>
          <w:rFonts w:asciiTheme="minorHAnsi" w:hAnsiTheme="minorHAnsi" w:cstheme="minorHAnsi"/>
          <w:sz w:val="22"/>
          <w:szCs w:val="22"/>
        </w:rPr>
        <w:t xml:space="preserve"> 2007 </w:t>
      </w:r>
      <w:r>
        <w:rPr>
          <w:rFonts w:asciiTheme="minorHAnsi" w:hAnsiTheme="minorHAnsi" w:cstheme="minorHAnsi"/>
          <w:sz w:val="22"/>
          <w:szCs w:val="22"/>
        </w:rPr>
        <w:t xml:space="preserve">verilerine göre, </w:t>
      </w:r>
      <w:r w:rsidR="005B38F7">
        <w:rPr>
          <w:rFonts w:asciiTheme="minorHAnsi" w:hAnsiTheme="minorHAnsi" w:cstheme="minorHAnsi"/>
          <w:sz w:val="22"/>
          <w:szCs w:val="22"/>
        </w:rPr>
        <w:t>AKP milletvekillerinin yüzde 19,</w:t>
      </w:r>
      <w:r w:rsidR="00391FD2" w:rsidRPr="00960B63">
        <w:rPr>
          <w:rFonts w:asciiTheme="minorHAnsi" w:hAnsiTheme="minorHAnsi" w:cstheme="minorHAnsi"/>
          <w:sz w:val="22"/>
          <w:szCs w:val="22"/>
        </w:rPr>
        <w:t>4’ü işçi sendikalarına hiç güvenmediklerini belirtirken; bu oran CHP milletvekilleri ara</w:t>
      </w:r>
      <w:r w:rsidR="005B38F7">
        <w:rPr>
          <w:rFonts w:asciiTheme="minorHAnsi" w:hAnsiTheme="minorHAnsi" w:cstheme="minorHAnsi"/>
          <w:sz w:val="22"/>
          <w:szCs w:val="22"/>
        </w:rPr>
        <w:t>sında sadece yüzde 2,</w:t>
      </w:r>
      <w:r>
        <w:rPr>
          <w:rFonts w:asciiTheme="minorHAnsi" w:hAnsiTheme="minorHAnsi" w:cstheme="minorHAnsi"/>
          <w:sz w:val="22"/>
          <w:szCs w:val="22"/>
        </w:rPr>
        <w:t>2’dir. 2013</w:t>
      </w:r>
      <w:r w:rsidR="00391FD2" w:rsidRPr="00960B63">
        <w:rPr>
          <w:rFonts w:asciiTheme="minorHAnsi" w:hAnsiTheme="minorHAnsi" w:cstheme="minorHAnsi"/>
          <w:sz w:val="22"/>
          <w:szCs w:val="22"/>
        </w:rPr>
        <w:t xml:space="preserve"> </w:t>
      </w:r>
      <w:r>
        <w:rPr>
          <w:rFonts w:asciiTheme="minorHAnsi" w:hAnsiTheme="minorHAnsi" w:cstheme="minorHAnsi"/>
          <w:sz w:val="22"/>
          <w:szCs w:val="22"/>
        </w:rPr>
        <w:t>araştırmasına</w:t>
      </w:r>
      <w:r w:rsidR="00391FD2" w:rsidRPr="00960B63">
        <w:rPr>
          <w:rFonts w:asciiTheme="minorHAnsi" w:hAnsiTheme="minorHAnsi" w:cstheme="minorHAnsi"/>
          <w:sz w:val="22"/>
          <w:szCs w:val="22"/>
        </w:rPr>
        <w:t xml:space="preserve"> gelindiğinde ise AKP milletvekilleri arasında güvensizlik </w:t>
      </w:r>
      <w:r w:rsidRPr="0058300B">
        <w:rPr>
          <w:rFonts w:asciiTheme="minorHAnsi" w:hAnsiTheme="minorHAnsi" w:cstheme="minorHAnsi"/>
          <w:sz w:val="22"/>
          <w:szCs w:val="22"/>
        </w:rPr>
        <w:t xml:space="preserve">yüzde </w:t>
      </w:r>
      <w:r w:rsidR="005B38F7">
        <w:rPr>
          <w:rFonts w:asciiTheme="minorHAnsi" w:hAnsiTheme="minorHAnsi" w:cstheme="minorHAnsi"/>
          <w:sz w:val="22"/>
          <w:szCs w:val="22"/>
        </w:rPr>
        <w:t>2,</w:t>
      </w:r>
      <w:r w:rsidR="00391FD2" w:rsidRPr="00960B63">
        <w:rPr>
          <w:rFonts w:asciiTheme="minorHAnsi" w:hAnsiTheme="minorHAnsi" w:cstheme="minorHAnsi"/>
          <w:sz w:val="22"/>
          <w:szCs w:val="22"/>
        </w:rPr>
        <w:t>4</w:t>
      </w:r>
      <w:r w:rsidR="00137E7A">
        <w:rPr>
          <w:rFonts w:asciiTheme="minorHAnsi" w:hAnsiTheme="minorHAnsi" w:cstheme="minorHAnsi"/>
          <w:sz w:val="22"/>
          <w:szCs w:val="22"/>
        </w:rPr>
        <w:t xml:space="preserve"> </w:t>
      </w:r>
      <w:r w:rsidR="00391FD2" w:rsidRPr="00960B63">
        <w:rPr>
          <w:rFonts w:asciiTheme="minorHAnsi" w:hAnsiTheme="minorHAnsi" w:cstheme="minorHAnsi"/>
          <w:sz w:val="22"/>
          <w:szCs w:val="22"/>
        </w:rPr>
        <w:t>azalma göstererek yüzde 17’ye gerilemiştir</w:t>
      </w:r>
      <w:r w:rsidR="00391FD2" w:rsidRPr="0058300B">
        <w:rPr>
          <w:rFonts w:asciiTheme="minorHAnsi" w:hAnsiTheme="minorHAnsi" w:cstheme="minorHAnsi"/>
          <w:sz w:val="22"/>
          <w:szCs w:val="22"/>
        </w:rPr>
        <w:t xml:space="preserve">. </w:t>
      </w:r>
      <w:r>
        <w:rPr>
          <w:rFonts w:asciiTheme="minorHAnsi" w:hAnsiTheme="minorHAnsi" w:cstheme="minorHAnsi"/>
          <w:sz w:val="22"/>
          <w:szCs w:val="22"/>
        </w:rPr>
        <w:t>2013</w:t>
      </w:r>
      <w:r w:rsidR="003B46B9" w:rsidRPr="0058300B">
        <w:rPr>
          <w:rFonts w:asciiTheme="minorHAnsi" w:hAnsiTheme="minorHAnsi" w:cstheme="minorHAnsi"/>
          <w:sz w:val="22"/>
          <w:szCs w:val="22"/>
        </w:rPr>
        <w:t xml:space="preserve"> </w:t>
      </w:r>
      <w:r>
        <w:rPr>
          <w:rFonts w:asciiTheme="minorHAnsi" w:hAnsiTheme="minorHAnsi" w:cstheme="minorHAnsi"/>
          <w:sz w:val="22"/>
          <w:szCs w:val="22"/>
        </w:rPr>
        <w:t>araştırmasında</w:t>
      </w:r>
      <w:r w:rsidR="003B46B9" w:rsidRPr="0058300B">
        <w:rPr>
          <w:rFonts w:asciiTheme="minorHAnsi" w:hAnsiTheme="minorHAnsi" w:cstheme="minorHAnsi"/>
          <w:sz w:val="22"/>
          <w:szCs w:val="22"/>
        </w:rPr>
        <w:t xml:space="preserve"> CHP</w:t>
      </w:r>
      <w:r w:rsidR="003B46B9">
        <w:rPr>
          <w:rFonts w:asciiTheme="minorHAnsi" w:hAnsiTheme="minorHAnsi" w:cstheme="minorHAnsi"/>
          <w:sz w:val="22"/>
          <w:szCs w:val="22"/>
        </w:rPr>
        <w:t xml:space="preserve"> milletvekilleri arasında </w:t>
      </w:r>
      <w:r w:rsidR="00391FD2" w:rsidRPr="00960B63">
        <w:rPr>
          <w:rFonts w:asciiTheme="minorHAnsi" w:hAnsiTheme="minorHAnsi" w:cstheme="minorHAnsi"/>
          <w:sz w:val="22"/>
          <w:szCs w:val="22"/>
        </w:rPr>
        <w:t xml:space="preserve">işçi sendikalarına </w:t>
      </w:r>
      <w:r>
        <w:rPr>
          <w:rFonts w:asciiTheme="minorHAnsi" w:hAnsiTheme="minorHAnsi" w:cstheme="minorHAnsi"/>
          <w:sz w:val="22"/>
          <w:szCs w:val="22"/>
        </w:rPr>
        <w:t>“</w:t>
      </w:r>
      <w:r w:rsidR="00391FD2" w:rsidRPr="00960B63">
        <w:rPr>
          <w:rFonts w:asciiTheme="minorHAnsi" w:hAnsiTheme="minorHAnsi" w:cstheme="minorHAnsi"/>
          <w:sz w:val="22"/>
          <w:szCs w:val="22"/>
        </w:rPr>
        <w:t>hiç güvenmem</w:t>
      </w:r>
      <w:r>
        <w:rPr>
          <w:rFonts w:asciiTheme="minorHAnsi" w:hAnsiTheme="minorHAnsi" w:cstheme="minorHAnsi"/>
          <w:sz w:val="22"/>
          <w:szCs w:val="22"/>
        </w:rPr>
        <w:t>”</w:t>
      </w:r>
      <w:r w:rsidR="00391FD2" w:rsidRPr="00960B63">
        <w:rPr>
          <w:rFonts w:asciiTheme="minorHAnsi" w:hAnsiTheme="minorHAnsi" w:cstheme="minorHAnsi"/>
          <w:sz w:val="22"/>
          <w:szCs w:val="22"/>
        </w:rPr>
        <w:t xml:space="preserve"> diyen herhangi bir</w:t>
      </w:r>
      <w:r w:rsidR="003B46B9">
        <w:rPr>
          <w:rFonts w:asciiTheme="minorHAnsi" w:hAnsiTheme="minorHAnsi" w:cstheme="minorHAnsi"/>
          <w:sz w:val="22"/>
          <w:szCs w:val="22"/>
        </w:rPr>
        <w:t>i</w:t>
      </w:r>
      <w:r w:rsidR="00391FD2" w:rsidRPr="00960B63">
        <w:rPr>
          <w:rFonts w:asciiTheme="minorHAnsi" w:hAnsiTheme="minorHAnsi" w:cstheme="minorHAnsi"/>
          <w:sz w:val="22"/>
          <w:szCs w:val="22"/>
        </w:rPr>
        <w:t xml:space="preserve"> olmamıştır.</w:t>
      </w:r>
    </w:p>
    <w:p w:rsidR="001264E1" w:rsidRPr="00960B63" w:rsidRDefault="001264E1" w:rsidP="00954CDD">
      <w:pPr>
        <w:spacing w:line="276" w:lineRule="auto"/>
        <w:jc w:val="both"/>
        <w:rPr>
          <w:rFonts w:asciiTheme="minorHAnsi" w:hAnsiTheme="minorHAnsi" w:cstheme="minorHAnsi"/>
          <w:sz w:val="22"/>
          <w:szCs w:val="22"/>
        </w:rPr>
      </w:pPr>
    </w:p>
    <w:p w:rsidR="001264E1" w:rsidRDefault="003D7525" w:rsidP="00954CDD">
      <w:pPr>
        <w:spacing w:line="276" w:lineRule="auto"/>
        <w:jc w:val="both"/>
        <w:rPr>
          <w:rFonts w:asciiTheme="minorHAnsi" w:hAnsiTheme="minorHAnsi" w:cstheme="minorHAnsi"/>
          <w:sz w:val="22"/>
          <w:szCs w:val="22"/>
        </w:rPr>
      </w:pPr>
      <w:r w:rsidRPr="00960B63">
        <w:rPr>
          <w:rFonts w:asciiTheme="minorHAnsi" w:hAnsiTheme="minorHAnsi" w:cstheme="minorHAnsi"/>
          <w:sz w:val="22"/>
          <w:szCs w:val="22"/>
        </w:rPr>
        <w:t xml:space="preserve">2007 ve </w:t>
      </w:r>
      <w:r w:rsidR="0058300B">
        <w:rPr>
          <w:rFonts w:asciiTheme="minorHAnsi" w:hAnsiTheme="minorHAnsi" w:cstheme="minorHAnsi"/>
          <w:sz w:val="22"/>
          <w:szCs w:val="22"/>
        </w:rPr>
        <w:t>2013</w:t>
      </w:r>
      <w:r w:rsidR="001264E1" w:rsidRPr="00960B63">
        <w:rPr>
          <w:rFonts w:asciiTheme="minorHAnsi" w:hAnsiTheme="minorHAnsi" w:cstheme="minorHAnsi"/>
          <w:sz w:val="22"/>
          <w:szCs w:val="22"/>
        </w:rPr>
        <w:t xml:space="preserve"> </w:t>
      </w:r>
      <w:r w:rsidR="0058300B">
        <w:rPr>
          <w:rFonts w:asciiTheme="minorHAnsi" w:hAnsiTheme="minorHAnsi" w:cstheme="minorHAnsi"/>
          <w:sz w:val="22"/>
          <w:szCs w:val="22"/>
        </w:rPr>
        <w:t>araştırmalarında</w:t>
      </w:r>
      <w:r w:rsidR="001264E1" w:rsidRPr="00960B63">
        <w:rPr>
          <w:rFonts w:asciiTheme="minorHAnsi" w:hAnsiTheme="minorHAnsi" w:cstheme="minorHAnsi"/>
          <w:sz w:val="22"/>
          <w:szCs w:val="22"/>
        </w:rPr>
        <w:t xml:space="preserve"> bulunan diğer partilere ait milletvekillerinin görüşleri ve diğer cevap kategorilerine ait yüzdeler aşağıdaki tablo</w:t>
      </w:r>
      <w:r w:rsidRPr="00960B63">
        <w:rPr>
          <w:rFonts w:asciiTheme="minorHAnsi" w:hAnsiTheme="minorHAnsi" w:cstheme="minorHAnsi"/>
          <w:sz w:val="22"/>
          <w:szCs w:val="22"/>
        </w:rPr>
        <w:t>lar</w:t>
      </w:r>
      <w:r w:rsidR="001264E1" w:rsidRPr="00960B63">
        <w:rPr>
          <w:rFonts w:asciiTheme="minorHAnsi" w:hAnsiTheme="minorHAnsi" w:cstheme="minorHAnsi"/>
          <w:sz w:val="22"/>
          <w:szCs w:val="22"/>
        </w:rPr>
        <w:t xml:space="preserve">da </w:t>
      </w:r>
      <w:r w:rsidR="0058300B">
        <w:rPr>
          <w:rFonts w:asciiTheme="minorHAnsi" w:hAnsiTheme="minorHAnsi" w:cstheme="minorHAnsi"/>
          <w:sz w:val="22"/>
          <w:szCs w:val="22"/>
        </w:rPr>
        <w:t xml:space="preserve">(Tablo 2, Tablo 3) </w:t>
      </w:r>
      <w:r w:rsidR="001264E1" w:rsidRPr="00960B63">
        <w:rPr>
          <w:rFonts w:asciiTheme="minorHAnsi" w:hAnsiTheme="minorHAnsi" w:cstheme="minorHAnsi"/>
          <w:sz w:val="22"/>
          <w:szCs w:val="22"/>
        </w:rPr>
        <w:t>görülmektedir.</w:t>
      </w:r>
      <w:r w:rsidR="00951222">
        <w:rPr>
          <w:rFonts w:asciiTheme="minorHAnsi" w:hAnsiTheme="minorHAnsi" w:cstheme="minorHAnsi"/>
          <w:sz w:val="22"/>
          <w:szCs w:val="22"/>
        </w:rPr>
        <w:t xml:space="preserve"> </w:t>
      </w:r>
    </w:p>
    <w:p w:rsidR="00F77E31" w:rsidRDefault="00F77E31" w:rsidP="00954CDD">
      <w:pPr>
        <w:spacing w:line="276" w:lineRule="auto"/>
        <w:jc w:val="both"/>
        <w:rPr>
          <w:rFonts w:asciiTheme="minorHAnsi" w:hAnsiTheme="minorHAnsi" w:cstheme="minorHAnsi"/>
          <w:sz w:val="22"/>
          <w:szCs w:val="22"/>
        </w:rPr>
      </w:pPr>
    </w:p>
    <w:p w:rsidR="00E00CF4" w:rsidRDefault="00E00CF4" w:rsidP="00954CDD">
      <w:pPr>
        <w:spacing w:line="276" w:lineRule="auto"/>
        <w:jc w:val="both"/>
        <w:rPr>
          <w:rFonts w:asciiTheme="minorHAnsi" w:hAnsiTheme="minorHAnsi" w:cstheme="minorHAnsi"/>
          <w:b/>
          <w:sz w:val="22"/>
          <w:szCs w:val="22"/>
        </w:rPr>
      </w:pPr>
    </w:p>
    <w:p w:rsidR="00E00CF4" w:rsidRDefault="00E00CF4" w:rsidP="00954CDD">
      <w:pPr>
        <w:spacing w:line="276" w:lineRule="auto"/>
        <w:jc w:val="both"/>
        <w:rPr>
          <w:rFonts w:asciiTheme="minorHAnsi" w:hAnsiTheme="minorHAnsi" w:cstheme="minorHAnsi"/>
          <w:b/>
          <w:sz w:val="22"/>
          <w:szCs w:val="22"/>
        </w:rPr>
      </w:pPr>
    </w:p>
    <w:p w:rsidR="00E00CF4" w:rsidRDefault="00E00CF4" w:rsidP="00954CDD">
      <w:pPr>
        <w:spacing w:line="276" w:lineRule="auto"/>
        <w:jc w:val="both"/>
        <w:rPr>
          <w:rFonts w:asciiTheme="minorHAnsi" w:hAnsiTheme="minorHAnsi" w:cstheme="minorHAnsi"/>
          <w:b/>
          <w:sz w:val="22"/>
          <w:szCs w:val="22"/>
        </w:rPr>
      </w:pPr>
    </w:p>
    <w:p w:rsidR="00E00CF4" w:rsidRDefault="00E00CF4" w:rsidP="00954CDD">
      <w:pPr>
        <w:spacing w:line="276" w:lineRule="auto"/>
        <w:jc w:val="both"/>
        <w:rPr>
          <w:rFonts w:asciiTheme="minorHAnsi" w:hAnsiTheme="minorHAnsi" w:cstheme="minorHAnsi"/>
          <w:b/>
          <w:sz w:val="22"/>
          <w:szCs w:val="22"/>
        </w:rPr>
      </w:pPr>
    </w:p>
    <w:p w:rsidR="00E00CF4" w:rsidRDefault="00E00CF4" w:rsidP="00954CDD">
      <w:pPr>
        <w:spacing w:line="276" w:lineRule="auto"/>
        <w:jc w:val="both"/>
        <w:rPr>
          <w:rFonts w:asciiTheme="minorHAnsi" w:hAnsiTheme="minorHAnsi" w:cstheme="minorHAnsi"/>
          <w:b/>
          <w:sz w:val="22"/>
          <w:szCs w:val="22"/>
        </w:rPr>
      </w:pPr>
    </w:p>
    <w:p w:rsidR="00E00CF4" w:rsidRDefault="00E00CF4" w:rsidP="00954CDD">
      <w:pPr>
        <w:spacing w:line="276" w:lineRule="auto"/>
        <w:jc w:val="both"/>
        <w:rPr>
          <w:rFonts w:asciiTheme="minorHAnsi" w:hAnsiTheme="minorHAnsi" w:cstheme="minorHAnsi"/>
          <w:b/>
          <w:sz w:val="22"/>
          <w:szCs w:val="22"/>
        </w:rPr>
      </w:pPr>
    </w:p>
    <w:p w:rsidR="00E00CF4" w:rsidRDefault="00E00CF4" w:rsidP="00954CDD">
      <w:pPr>
        <w:spacing w:line="276" w:lineRule="auto"/>
        <w:jc w:val="both"/>
        <w:rPr>
          <w:rFonts w:asciiTheme="minorHAnsi" w:hAnsiTheme="minorHAnsi" w:cstheme="minorHAnsi"/>
          <w:b/>
          <w:sz w:val="22"/>
          <w:szCs w:val="22"/>
        </w:rPr>
      </w:pPr>
    </w:p>
    <w:p w:rsidR="00E00CF4" w:rsidRDefault="00E00CF4" w:rsidP="00954CDD">
      <w:pPr>
        <w:spacing w:line="276" w:lineRule="auto"/>
        <w:jc w:val="both"/>
        <w:rPr>
          <w:rFonts w:asciiTheme="minorHAnsi" w:hAnsiTheme="minorHAnsi" w:cstheme="minorHAnsi"/>
          <w:b/>
          <w:sz w:val="22"/>
          <w:szCs w:val="22"/>
        </w:rPr>
      </w:pPr>
    </w:p>
    <w:p w:rsidR="00E00CF4" w:rsidRDefault="00E00CF4" w:rsidP="00954CDD">
      <w:pPr>
        <w:spacing w:line="276" w:lineRule="auto"/>
        <w:jc w:val="both"/>
        <w:rPr>
          <w:rFonts w:asciiTheme="minorHAnsi" w:hAnsiTheme="minorHAnsi" w:cstheme="minorHAnsi"/>
          <w:b/>
          <w:sz w:val="22"/>
          <w:szCs w:val="22"/>
        </w:rPr>
      </w:pPr>
    </w:p>
    <w:p w:rsidR="00E00CF4" w:rsidRDefault="00E00CF4" w:rsidP="00954CDD">
      <w:pPr>
        <w:spacing w:line="276" w:lineRule="auto"/>
        <w:jc w:val="both"/>
        <w:rPr>
          <w:rFonts w:asciiTheme="minorHAnsi" w:hAnsiTheme="minorHAnsi" w:cstheme="minorHAnsi"/>
          <w:b/>
          <w:sz w:val="22"/>
          <w:szCs w:val="22"/>
        </w:rPr>
      </w:pPr>
    </w:p>
    <w:p w:rsidR="00E00CF4" w:rsidRDefault="00E00CF4" w:rsidP="00954CDD">
      <w:pPr>
        <w:spacing w:line="276" w:lineRule="auto"/>
        <w:jc w:val="both"/>
        <w:rPr>
          <w:rFonts w:asciiTheme="minorHAnsi" w:hAnsiTheme="minorHAnsi" w:cstheme="minorHAnsi"/>
          <w:b/>
          <w:sz w:val="22"/>
          <w:szCs w:val="22"/>
        </w:rPr>
      </w:pPr>
    </w:p>
    <w:p w:rsidR="00E00CF4" w:rsidRDefault="00E00CF4" w:rsidP="00954CDD">
      <w:pPr>
        <w:spacing w:line="276" w:lineRule="auto"/>
        <w:jc w:val="both"/>
        <w:rPr>
          <w:rFonts w:asciiTheme="minorHAnsi" w:hAnsiTheme="minorHAnsi" w:cstheme="minorHAnsi"/>
          <w:b/>
          <w:sz w:val="22"/>
          <w:szCs w:val="22"/>
        </w:rPr>
      </w:pPr>
    </w:p>
    <w:p w:rsidR="00E00CF4" w:rsidRDefault="00E00CF4" w:rsidP="00954CDD">
      <w:pPr>
        <w:spacing w:line="276" w:lineRule="auto"/>
        <w:jc w:val="both"/>
        <w:rPr>
          <w:rFonts w:asciiTheme="minorHAnsi" w:hAnsiTheme="minorHAnsi" w:cstheme="minorHAnsi"/>
          <w:b/>
          <w:sz w:val="22"/>
          <w:szCs w:val="22"/>
        </w:rPr>
      </w:pPr>
    </w:p>
    <w:p w:rsidR="00E00CF4" w:rsidRDefault="00E00CF4" w:rsidP="00954CDD">
      <w:pPr>
        <w:spacing w:line="276" w:lineRule="auto"/>
        <w:jc w:val="both"/>
        <w:rPr>
          <w:rFonts w:asciiTheme="minorHAnsi" w:hAnsiTheme="minorHAnsi" w:cstheme="minorHAnsi"/>
          <w:b/>
          <w:sz w:val="22"/>
          <w:szCs w:val="22"/>
        </w:rPr>
      </w:pPr>
    </w:p>
    <w:p w:rsidR="00E00CF4" w:rsidRDefault="00E00CF4" w:rsidP="00954CDD">
      <w:pPr>
        <w:spacing w:line="276" w:lineRule="auto"/>
        <w:jc w:val="both"/>
        <w:rPr>
          <w:rFonts w:asciiTheme="minorHAnsi" w:hAnsiTheme="minorHAnsi" w:cstheme="minorHAnsi"/>
          <w:b/>
          <w:sz w:val="22"/>
          <w:szCs w:val="22"/>
        </w:rPr>
      </w:pPr>
    </w:p>
    <w:p w:rsidR="00E00CF4" w:rsidRDefault="00E00CF4" w:rsidP="00954CDD">
      <w:pPr>
        <w:spacing w:line="276" w:lineRule="auto"/>
        <w:jc w:val="both"/>
        <w:rPr>
          <w:rFonts w:asciiTheme="minorHAnsi" w:hAnsiTheme="minorHAnsi" w:cstheme="minorHAnsi"/>
          <w:b/>
          <w:sz w:val="22"/>
          <w:szCs w:val="22"/>
        </w:rPr>
      </w:pPr>
    </w:p>
    <w:p w:rsidR="00951222" w:rsidRPr="0058300B" w:rsidRDefault="00F77E31" w:rsidP="00954CDD">
      <w:pPr>
        <w:spacing w:line="276" w:lineRule="auto"/>
        <w:jc w:val="both"/>
        <w:rPr>
          <w:rFonts w:asciiTheme="minorHAnsi" w:hAnsiTheme="minorHAnsi" w:cstheme="minorHAnsi"/>
          <w:b/>
          <w:sz w:val="22"/>
          <w:szCs w:val="22"/>
        </w:rPr>
      </w:pPr>
      <w:r w:rsidRPr="0058300B">
        <w:rPr>
          <w:rFonts w:asciiTheme="minorHAnsi" w:hAnsiTheme="minorHAnsi" w:cstheme="minorHAnsi"/>
          <w:b/>
          <w:sz w:val="22"/>
          <w:szCs w:val="22"/>
        </w:rPr>
        <w:lastRenderedPageBreak/>
        <w:t>TABLO 2</w:t>
      </w:r>
    </w:p>
    <w:p w:rsidR="001264E1" w:rsidRPr="00960B63" w:rsidRDefault="001264E1" w:rsidP="00954CDD">
      <w:pPr>
        <w:spacing w:line="276" w:lineRule="auto"/>
        <w:jc w:val="both"/>
        <w:rPr>
          <w:rFonts w:asciiTheme="minorHAnsi" w:hAnsiTheme="minorHAnsi" w:cstheme="minorHAnsi"/>
          <w:sz w:val="22"/>
          <w:szCs w:val="22"/>
        </w:rPr>
      </w:pPr>
      <w:r w:rsidRPr="00960B63">
        <w:rPr>
          <w:rFonts w:asciiTheme="minorHAnsi" w:hAnsiTheme="minorHAnsi" w:cstheme="minorHAnsi"/>
          <w:noProof/>
          <w:sz w:val="22"/>
          <w:szCs w:val="22"/>
        </w:rPr>
        <w:drawing>
          <wp:inline distT="0" distB="0" distL="0" distR="0">
            <wp:extent cx="5353050" cy="3124200"/>
            <wp:effectExtent l="19050" t="0" r="1905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8300B" w:rsidRDefault="0058300B" w:rsidP="00954CDD">
      <w:pPr>
        <w:spacing w:line="276" w:lineRule="auto"/>
        <w:jc w:val="both"/>
        <w:rPr>
          <w:rFonts w:asciiTheme="minorHAnsi" w:hAnsiTheme="minorHAnsi" w:cstheme="minorHAnsi"/>
          <w:sz w:val="22"/>
          <w:szCs w:val="22"/>
        </w:rPr>
      </w:pPr>
    </w:p>
    <w:p w:rsidR="0058300B" w:rsidRPr="0058300B" w:rsidRDefault="0058300B" w:rsidP="00954CDD">
      <w:pPr>
        <w:spacing w:line="276" w:lineRule="auto"/>
        <w:jc w:val="both"/>
        <w:rPr>
          <w:rFonts w:asciiTheme="minorHAnsi" w:hAnsiTheme="minorHAnsi" w:cstheme="minorHAnsi"/>
          <w:b/>
          <w:sz w:val="22"/>
          <w:szCs w:val="22"/>
        </w:rPr>
      </w:pPr>
      <w:r w:rsidRPr="0058300B">
        <w:rPr>
          <w:rFonts w:asciiTheme="minorHAnsi" w:hAnsiTheme="minorHAnsi" w:cstheme="minorHAnsi"/>
          <w:b/>
          <w:sz w:val="22"/>
          <w:szCs w:val="22"/>
        </w:rPr>
        <w:t>TABLO 3</w:t>
      </w:r>
    </w:p>
    <w:p w:rsidR="00DE2BCC" w:rsidRPr="00960B63" w:rsidRDefault="006A0ED7" w:rsidP="00954CDD">
      <w:pPr>
        <w:spacing w:line="276" w:lineRule="auto"/>
        <w:jc w:val="both"/>
        <w:rPr>
          <w:rFonts w:asciiTheme="minorHAnsi" w:hAnsiTheme="minorHAnsi" w:cstheme="minorHAnsi"/>
          <w:sz w:val="22"/>
          <w:szCs w:val="22"/>
        </w:rPr>
      </w:pPr>
      <w:r w:rsidRPr="00960B63">
        <w:rPr>
          <w:rFonts w:asciiTheme="minorHAnsi" w:hAnsiTheme="minorHAnsi" w:cstheme="minorHAnsi"/>
          <w:noProof/>
          <w:sz w:val="22"/>
          <w:szCs w:val="22"/>
        </w:rPr>
        <w:drawing>
          <wp:inline distT="0" distB="0" distL="0" distR="0">
            <wp:extent cx="5353050" cy="3067050"/>
            <wp:effectExtent l="19050" t="0" r="1905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D7525" w:rsidRPr="00960B63" w:rsidRDefault="003D7525" w:rsidP="003D7525">
      <w:pPr>
        <w:spacing w:line="276" w:lineRule="auto"/>
        <w:jc w:val="both"/>
        <w:rPr>
          <w:rFonts w:asciiTheme="minorHAnsi" w:hAnsiTheme="minorHAnsi" w:cstheme="minorHAnsi"/>
          <w:color w:val="FF0000"/>
          <w:sz w:val="22"/>
          <w:szCs w:val="22"/>
        </w:rPr>
      </w:pPr>
    </w:p>
    <w:p w:rsidR="003813C6" w:rsidRDefault="00E9510A" w:rsidP="00954CDD">
      <w:pPr>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Türkiye’de ise </w:t>
      </w:r>
      <w:r w:rsidRPr="00E00CF4">
        <w:rPr>
          <w:rFonts w:asciiTheme="minorHAnsi" w:hAnsiTheme="minorHAnsi" w:cstheme="minorHAnsi"/>
          <w:sz w:val="22"/>
          <w:szCs w:val="22"/>
        </w:rPr>
        <w:t>2013</w:t>
      </w:r>
      <w:r w:rsidR="003D7525" w:rsidRPr="00E00CF4">
        <w:rPr>
          <w:rFonts w:asciiTheme="minorHAnsi" w:hAnsiTheme="minorHAnsi" w:cstheme="minorHAnsi"/>
          <w:sz w:val="22"/>
          <w:szCs w:val="22"/>
        </w:rPr>
        <w:t xml:space="preserve"> </w:t>
      </w:r>
      <w:r w:rsidRPr="00E00CF4">
        <w:rPr>
          <w:rFonts w:asciiTheme="minorHAnsi" w:hAnsiTheme="minorHAnsi" w:cstheme="minorHAnsi"/>
          <w:sz w:val="22"/>
          <w:szCs w:val="22"/>
        </w:rPr>
        <w:t>yılına</w:t>
      </w:r>
      <w:r w:rsidR="003D7525" w:rsidRPr="00E00CF4">
        <w:rPr>
          <w:rFonts w:asciiTheme="minorHAnsi" w:hAnsiTheme="minorHAnsi" w:cstheme="minorHAnsi"/>
          <w:sz w:val="22"/>
          <w:szCs w:val="22"/>
        </w:rPr>
        <w:t xml:space="preserve"> gelindiğinde görülmüştür ki partiler özelindeki gerileme trendinin bir yansıması olarak </w:t>
      </w:r>
      <w:r w:rsidR="00951222" w:rsidRPr="00E00CF4">
        <w:rPr>
          <w:rFonts w:asciiTheme="minorHAnsi" w:hAnsiTheme="minorHAnsi" w:cstheme="minorHAnsi"/>
          <w:sz w:val="22"/>
          <w:szCs w:val="22"/>
        </w:rPr>
        <w:t xml:space="preserve">toplamda </w:t>
      </w:r>
      <w:r w:rsidR="003D7525" w:rsidRPr="00E00CF4">
        <w:rPr>
          <w:rFonts w:asciiTheme="minorHAnsi" w:hAnsiTheme="minorHAnsi" w:cstheme="minorHAnsi"/>
          <w:sz w:val="22"/>
          <w:szCs w:val="22"/>
        </w:rPr>
        <w:t>işçi se</w:t>
      </w:r>
      <w:r w:rsidR="00DA3F4A" w:rsidRPr="00E00CF4">
        <w:rPr>
          <w:rFonts w:asciiTheme="minorHAnsi" w:hAnsiTheme="minorHAnsi" w:cstheme="minorHAnsi"/>
          <w:sz w:val="22"/>
          <w:szCs w:val="22"/>
        </w:rPr>
        <w:t>ndikalarına tamamen güvenen parlamenterlerin</w:t>
      </w:r>
      <w:r w:rsidR="005B38F7">
        <w:rPr>
          <w:rFonts w:asciiTheme="minorHAnsi" w:hAnsiTheme="minorHAnsi" w:cstheme="minorHAnsi"/>
          <w:sz w:val="22"/>
          <w:szCs w:val="22"/>
        </w:rPr>
        <w:t xml:space="preserve"> oranı (2007’de yüzde 4,9 olmak üzere) yüzde 2,</w:t>
      </w:r>
      <w:r w:rsidR="003D7525" w:rsidRPr="00E00CF4">
        <w:rPr>
          <w:rFonts w:asciiTheme="minorHAnsi" w:hAnsiTheme="minorHAnsi" w:cstheme="minorHAnsi"/>
          <w:sz w:val="22"/>
          <w:szCs w:val="22"/>
        </w:rPr>
        <w:t>7’ye gerilemiştir. Diğer bir yandan işçi sendikalarına “hiç</w:t>
      </w:r>
      <w:r w:rsidR="00DA3F4A" w:rsidRPr="00E00CF4">
        <w:rPr>
          <w:rFonts w:asciiTheme="minorHAnsi" w:hAnsiTheme="minorHAnsi" w:cstheme="minorHAnsi"/>
          <w:sz w:val="22"/>
          <w:szCs w:val="22"/>
        </w:rPr>
        <w:t xml:space="preserve"> güvenmem” diyen parlamenterlerin</w:t>
      </w:r>
      <w:r>
        <w:rPr>
          <w:rFonts w:asciiTheme="minorHAnsi" w:hAnsiTheme="minorHAnsi" w:cstheme="minorHAnsi"/>
          <w:sz w:val="22"/>
          <w:szCs w:val="22"/>
        </w:rPr>
        <w:t xml:space="preserve"> oranı 2007</w:t>
      </w:r>
      <w:r w:rsidR="003D7525" w:rsidRPr="00960B63">
        <w:rPr>
          <w:rFonts w:asciiTheme="minorHAnsi" w:hAnsiTheme="minorHAnsi" w:cstheme="minorHAnsi"/>
          <w:sz w:val="22"/>
          <w:szCs w:val="22"/>
        </w:rPr>
        <w:t xml:space="preserve"> </w:t>
      </w:r>
      <w:r>
        <w:rPr>
          <w:rFonts w:asciiTheme="minorHAnsi" w:hAnsiTheme="minorHAnsi" w:cstheme="minorHAnsi"/>
          <w:sz w:val="22"/>
          <w:szCs w:val="22"/>
        </w:rPr>
        <w:t>araştırması verileri</w:t>
      </w:r>
      <w:r w:rsidR="005B38F7">
        <w:rPr>
          <w:rFonts w:asciiTheme="minorHAnsi" w:hAnsiTheme="minorHAnsi" w:cstheme="minorHAnsi"/>
          <w:sz w:val="22"/>
          <w:szCs w:val="22"/>
        </w:rPr>
        <w:t xml:space="preserve"> ile 0,</w:t>
      </w:r>
      <w:r w:rsidR="003D7525" w:rsidRPr="00960B63">
        <w:rPr>
          <w:rFonts w:asciiTheme="minorHAnsi" w:hAnsiTheme="minorHAnsi" w:cstheme="minorHAnsi"/>
          <w:sz w:val="22"/>
          <w:szCs w:val="22"/>
        </w:rPr>
        <w:t>1 pua</w:t>
      </w:r>
      <w:r w:rsidR="005A386A">
        <w:rPr>
          <w:rFonts w:asciiTheme="minorHAnsi" w:hAnsiTheme="minorHAnsi" w:cstheme="minorHAnsi"/>
          <w:sz w:val="22"/>
          <w:szCs w:val="22"/>
        </w:rPr>
        <w:t>nlık</w:t>
      </w:r>
      <w:r w:rsidR="005B38F7">
        <w:rPr>
          <w:rFonts w:asciiTheme="minorHAnsi" w:hAnsiTheme="minorHAnsi" w:cstheme="minorHAnsi"/>
          <w:sz w:val="22"/>
          <w:szCs w:val="22"/>
        </w:rPr>
        <w:t xml:space="preserve"> bir farklılık göstermiştir: 13,2’den 13,</w:t>
      </w:r>
      <w:r w:rsidR="005A386A">
        <w:rPr>
          <w:rFonts w:asciiTheme="minorHAnsi" w:hAnsiTheme="minorHAnsi" w:cstheme="minorHAnsi"/>
          <w:sz w:val="22"/>
          <w:szCs w:val="22"/>
        </w:rPr>
        <w:t xml:space="preserve">3’e </w:t>
      </w:r>
      <w:r w:rsidR="003813C6">
        <w:rPr>
          <w:rFonts w:asciiTheme="minorHAnsi" w:hAnsiTheme="minorHAnsi" w:cstheme="minorHAnsi"/>
          <w:sz w:val="22"/>
          <w:szCs w:val="22"/>
        </w:rPr>
        <w:t>yükselmiştir</w:t>
      </w:r>
      <w:r w:rsidR="005A386A">
        <w:rPr>
          <w:rFonts w:asciiTheme="minorHAnsi" w:hAnsiTheme="minorHAnsi" w:cstheme="minorHAnsi"/>
          <w:sz w:val="22"/>
          <w:szCs w:val="22"/>
        </w:rPr>
        <w:t>.</w:t>
      </w:r>
      <w:r w:rsidR="003D7525" w:rsidRPr="00960B63">
        <w:rPr>
          <w:rFonts w:asciiTheme="minorHAnsi" w:hAnsiTheme="minorHAnsi" w:cstheme="minorHAnsi"/>
          <w:sz w:val="22"/>
          <w:szCs w:val="22"/>
        </w:rPr>
        <w:t xml:space="preserve"> </w:t>
      </w:r>
      <w:r w:rsidR="005A386A">
        <w:rPr>
          <w:rFonts w:asciiTheme="minorHAnsi" w:hAnsiTheme="minorHAnsi" w:cstheme="minorHAnsi"/>
          <w:sz w:val="22"/>
          <w:szCs w:val="22"/>
        </w:rPr>
        <w:t>Aynı zamanda,</w:t>
      </w:r>
      <w:r w:rsidR="00951222">
        <w:rPr>
          <w:rFonts w:asciiTheme="minorHAnsi" w:hAnsiTheme="minorHAnsi" w:cstheme="minorHAnsi"/>
          <w:sz w:val="22"/>
          <w:szCs w:val="22"/>
        </w:rPr>
        <w:t xml:space="preserve"> </w:t>
      </w:r>
      <w:r w:rsidR="005A386A">
        <w:rPr>
          <w:rFonts w:asciiTheme="minorHAnsi" w:hAnsiTheme="minorHAnsi" w:cstheme="minorHAnsi"/>
          <w:sz w:val="22"/>
          <w:szCs w:val="22"/>
        </w:rPr>
        <w:t xml:space="preserve">2007-2013 yılları arasında işçi sendikalarına </w:t>
      </w:r>
      <w:r w:rsidR="00951222" w:rsidRPr="005A386A">
        <w:rPr>
          <w:rFonts w:asciiTheme="minorHAnsi" w:hAnsiTheme="minorHAnsi" w:cstheme="minorHAnsi"/>
          <w:sz w:val="22"/>
          <w:szCs w:val="22"/>
        </w:rPr>
        <w:t>“pek güvenmem” diyenler</w:t>
      </w:r>
      <w:r w:rsidR="005A386A">
        <w:rPr>
          <w:rFonts w:asciiTheme="minorHAnsi" w:hAnsiTheme="minorHAnsi" w:cstheme="minorHAnsi"/>
          <w:sz w:val="22"/>
          <w:szCs w:val="22"/>
        </w:rPr>
        <w:t>in oranı AKP’de hemen hemen sabi</w:t>
      </w:r>
      <w:r w:rsidR="00951222" w:rsidRPr="005A386A">
        <w:rPr>
          <w:rFonts w:asciiTheme="minorHAnsi" w:hAnsiTheme="minorHAnsi" w:cstheme="minorHAnsi"/>
          <w:sz w:val="22"/>
          <w:szCs w:val="22"/>
        </w:rPr>
        <w:t>t kalmış</w:t>
      </w:r>
      <w:r w:rsidR="005A386A">
        <w:rPr>
          <w:rFonts w:asciiTheme="minorHAnsi" w:hAnsiTheme="minorHAnsi" w:cstheme="minorHAnsi"/>
          <w:sz w:val="22"/>
          <w:szCs w:val="22"/>
        </w:rPr>
        <w:t>;</w:t>
      </w:r>
      <w:r w:rsidR="00951222" w:rsidRPr="005A386A">
        <w:rPr>
          <w:rFonts w:asciiTheme="minorHAnsi" w:hAnsiTheme="minorHAnsi" w:cstheme="minorHAnsi"/>
          <w:sz w:val="22"/>
          <w:szCs w:val="22"/>
        </w:rPr>
        <w:t xml:space="preserve"> </w:t>
      </w:r>
      <w:r w:rsidR="005B38F7">
        <w:rPr>
          <w:rFonts w:asciiTheme="minorHAnsi" w:hAnsiTheme="minorHAnsi" w:cstheme="minorHAnsi"/>
          <w:sz w:val="22"/>
          <w:szCs w:val="22"/>
        </w:rPr>
        <w:t>CHP’de yüzde 23,9’dan yüzde 43,</w:t>
      </w:r>
      <w:r w:rsidR="00951222" w:rsidRPr="005A386A">
        <w:rPr>
          <w:rFonts w:asciiTheme="minorHAnsi" w:hAnsiTheme="minorHAnsi" w:cstheme="minorHAnsi"/>
          <w:sz w:val="22"/>
          <w:szCs w:val="22"/>
        </w:rPr>
        <w:t xml:space="preserve">2’ye </w:t>
      </w:r>
      <w:r w:rsidR="003813C6">
        <w:rPr>
          <w:rFonts w:asciiTheme="minorHAnsi" w:hAnsiTheme="minorHAnsi" w:cstheme="minorHAnsi"/>
          <w:sz w:val="22"/>
          <w:szCs w:val="22"/>
        </w:rPr>
        <w:t>yükselmiştir</w:t>
      </w:r>
      <w:r w:rsidR="00951222" w:rsidRPr="005A386A">
        <w:rPr>
          <w:rFonts w:asciiTheme="minorHAnsi" w:hAnsiTheme="minorHAnsi" w:cstheme="minorHAnsi"/>
          <w:sz w:val="22"/>
          <w:szCs w:val="22"/>
        </w:rPr>
        <w:t xml:space="preserve">. </w:t>
      </w:r>
    </w:p>
    <w:p w:rsidR="009120DD" w:rsidRDefault="009120DD" w:rsidP="00954CDD">
      <w:pPr>
        <w:spacing w:line="276" w:lineRule="auto"/>
        <w:jc w:val="both"/>
        <w:rPr>
          <w:rFonts w:asciiTheme="minorHAnsi" w:hAnsiTheme="minorHAnsi" w:cstheme="minorHAnsi"/>
          <w:b/>
          <w:sz w:val="22"/>
          <w:szCs w:val="22"/>
        </w:rPr>
      </w:pPr>
    </w:p>
    <w:p w:rsidR="00E00CF4" w:rsidRDefault="00E00CF4" w:rsidP="00954CDD">
      <w:pPr>
        <w:spacing w:line="276" w:lineRule="auto"/>
        <w:jc w:val="both"/>
        <w:rPr>
          <w:rFonts w:asciiTheme="minorHAnsi" w:hAnsiTheme="minorHAnsi" w:cstheme="minorHAnsi"/>
          <w:b/>
          <w:sz w:val="22"/>
          <w:szCs w:val="22"/>
        </w:rPr>
      </w:pPr>
    </w:p>
    <w:p w:rsidR="005A386A" w:rsidRPr="003813C6" w:rsidRDefault="00D4767C" w:rsidP="00954CDD">
      <w:pPr>
        <w:spacing w:line="276" w:lineRule="auto"/>
        <w:jc w:val="both"/>
        <w:rPr>
          <w:rFonts w:asciiTheme="minorHAnsi" w:hAnsiTheme="minorHAnsi" w:cstheme="minorHAnsi"/>
          <w:sz w:val="22"/>
          <w:szCs w:val="22"/>
        </w:rPr>
      </w:pPr>
      <w:r>
        <w:rPr>
          <w:rFonts w:asciiTheme="minorHAnsi" w:hAnsiTheme="minorHAnsi" w:cstheme="minorHAnsi"/>
          <w:b/>
          <w:sz w:val="22"/>
          <w:szCs w:val="22"/>
        </w:rPr>
        <w:lastRenderedPageBreak/>
        <w:t xml:space="preserve">Sendikalara güven: İsveç, </w:t>
      </w:r>
      <w:r w:rsidR="005A386A" w:rsidRPr="005A386A">
        <w:rPr>
          <w:rFonts w:asciiTheme="minorHAnsi" w:hAnsiTheme="minorHAnsi" w:cstheme="minorHAnsi"/>
          <w:b/>
          <w:sz w:val="22"/>
          <w:szCs w:val="22"/>
        </w:rPr>
        <w:t xml:space="preserve">Şili </w:t>
      </w:r>
      <w:r>
        <w:rPr>
          <w:rFonts w:asciiTheme="minorHAnsi" w:hAnsiTheme="minorHAnsi" w:cstheme="minorHAnsi"/>
          <w:b/>
          <w:sz w:val="22"/>
          <w:szCs w:val="22"/>
        </w:rPr>
        <w:t>ve Polonya örnekleri</w:t>
      </w:r>
    </w:p>
    <w:p w:rsidR="00056F2A" w:rsidRPr="00960B63" w:rsidRDefault="003D7525" w:rsidP="00954CDD">
      <w:pPr>
        <w:spacing w:line="276" w:lineRule="auto"/>
        <w:jc w:val="both"/>
        <w:rPr>
          <w:rFonts w:asciiTheme="minorHAnsi" w:hAnsiTheme="minorHAnsi" w:cstheme="minorHAnsi"/>
          <w:sz w:val="22"/>
          <w:szCs w:val="22"/>
        </w:rPr>
      </w:pPr>
      <w:r w:rsidRPr="00960B63">
        <w:rPr>
          <w:rFonts w:asciiTheme="minorHAnsi" w:hAnsiTheme="minorHAnsi" w:cstheme="minorHAnsi"/>
          <w:sz w:val="22"/>
          <w:szCs w:val="22"/>
        </w:rPr>
        <w:t>Projede</w:t>
      </w:r>
      <w:r w:rsidR="0006614D" w:rsidRPr="00960B63">
        <w:rPr>
          <w:rFonts w:asciiTheme="minorHAnsi" w:hAnsiTheme="minorHAnsi" w:cstheme="minorHAnsi"/>
          <w:sz w:val="22"/>
          <w:szCs w:val="22"/>
        </w:rPr>
        <w:t xml:space="preserve"> yer alan diğer ülkelerde de aynı soruya verilen cevapları inceleyerek Türkiye’nin bulunduğu nok</w:t>
      </w:r>
      <w:r w:rsidRPr="00960B63">
        <w:rPr>
          <w:rFonts w:asciiTheme="minorHAnsi" w:hAnsiTheme="minorHAnsi" w:cstheme="minorHAnsi"/>
          <w:sz w:val="22"/>
          <w:szCs w:val="22"/>
        </w:rPr>
        <w:t>tayı daha iyi anlamaya çalıştık</w:t>
      </w:r>
      <w:r w:rsidR="0006614D" w:rsidRPr="00960B63">
        <w:rPr>
          <w:rFonts w:asciiTheme="minorHAnsi" w:hAnsiTheme="minorHAnsi" w:cstheme="minorHAnsi"/>
          <w:sz w:val="22"/>
          <w:szCs w:val="22"/>
        </w:rPr>
        <w:t xml:space="preserve">. </w:t>
      </w:r>
      <w:r w:rsidR="00445440" w:rsidRPr="00960B63">
        <w:rPr>
          <w:rFonts w:asciiTheme="minorHAnsi" w:hAnsiTheme="minorHAnsi" w:cstheme="minorHAnsi"/>
          <w:sz w:val="22"/>
          <w:szCs w:val="22"/>
        </w:rPr>
        <w:t>Bu noktada, diğer ülkelerin bulgularının anlamlı hale gelmesi için her ülkenin p</w:t>
      </w:r>
      <w:r w:rsidRPr="00960B63">
        <w:rPr>
          <w:rFonts w:asciiTheme="minorHAnsi" w:hAnsiTheme="minorHAnsi" w:cstheme="minorHAnsi"/>
          <w:sz w:val="22"/>
          <w:szCs w:val="22"/>
        </w:rPr>
        <w:t>arla</w:t>
      </w:r>
      <w:r w:rsidR="0006614D" w:rsidRPr="00960B63">
        <w:rPr>
          <w:rFonts w:asciiTheme="minorHAnsi" w:hAnsiTheme="minorHAnsi" w:cstheme="minorHAnsi"/>
          <w:sz w:val="22"/>
          <w:szCs w:val="22"/>
        </w:rPr>
        <w:t xml:space="preserve">menterlerin cevaplarını, cevap verdikleri yılların siyasi ve sosyal bağlamı içerisinde değerlendirmek gerekmektedir. Bunun da ötesinde işçi sendikaları gibi </w:t>
      </w:r>
      <w:r w:rsidR="001447C6" w:rsidRPr="00960B63">
        <w:rPr>
          <w:rFonts w:asciiTheme="minorHAnsi" w:hAnsiTheme="minorHAnsi" w:cstheme="minorHAnsi"/>
          <w:sz w:val="22"/>
          <w:szCs w:val="22"/>
        </w:rPr>
        <w:t>“sosyal kapital”</w:t>
      </w:r>
      <w:r w:rsidR="0006614D" w:rsidRPr="00960B63">
        <w:rPr>
          <w:rFonts w:asciiTheme="minorHAnsi" w:hAnsiTheme="minorHAnsi" w:cstheme="minorHAnsi"/>
          <w:sz w:val="22"/>
          <w:szCs w:val="22"/>
        </w:rPr>
        <w:t xml:space="preserve"> </w:t>
      </w:r>
      <w:r w:rsidR="004611DE" w:rsidRPr="00960B63">
        <w:rPr>
          <w:rFonts w:asciiTheme="minorHAnsi" w:hAnsiTheme="minorHAnsi" w:cstheme="minorHAnsi"/>
          <w:sz w:val="22"/>
          <w:szCs w:val="22"/>
        </w:rPr>
        <w:t xml:space="preserve">ögeleri, </w:t>
      </w:r>
      <w:r w:rsidR="00445440" w:rsidRPr="00960B63">
        <w:rPr>
          <w:rFonts w:asciiTheme="minorHAnsi" w:hAnsiTheme="minorHAnsi" w:cstheme="minorHAnsi"/>
          <w:sz w:val="22"/>
          <w:szCs w:val="22"/>
        </w:rPr>
        <w:t xml:space="preserve">ancak </w:t>
      </w:r>
      <w:r w:rsidR="004611DE" w:rsidRPr="00960B63">
        <w:rPr>
          <w:rFonts w:asciiTheme="minorHAnsi" w:hAnsiTheme="minorHAnsi" w:cstheme="minorHAnsi"/>
          <w:sz w:val="22"/>
          <w:szCs w:val="22"/>
        </w:rPr>
        <w:t xml:space="preserve">ülkelerin siyasi, ekonomik, sosyal ve kültürel gelişmeleri tarihsel bir bakış açısıyla ele alındığında anlaşılabilir ya da anlatılabilir. </w:t>
      </w:r>
    </w:p>
    <w:p w:rsidR="002450DA" w:rsidRPr="00960B63" w:rsidRDefault="002450DA" w:rsidP="00954CDD">
      <w:pPr>
        <w:spacing w:line="276" w:lineRule="auto"/>
        <w:jc w:val="both"/>
        <w:rPr>
          <w:rFonts w:asciiTheme="minorHAnsi" w:hAnsiTheme="minorHAnsi" w:cstheme="minorHAnsi"/>
          <w:sz w:val="22"/>
          <w:szCs w:val="22"/>
        </w:rPr>
      </w:pPr>
    </w:p>
    <w:p w:rsidR="009D4623" w:rsidRPr="00960B63" w:rsidRDefault="002450DA" w:rsidP="00954CDD">
      <w:pPr>
        <w:spacing w:line="276" w:lineRule="auto"/>
        <w:jc w:val="both"/>
        <w:rPr>
          <w:rFonts w:asciiTheme="minorHAnsi" w:hAnsiTheme="minorHAnsi" w:cstheme="minorHAnsi"/>
          <w:sz w:val="22"/>
          <w:szCs w:val="22"/>
        </w:rPr>
      </w:pPr>
      <w:r w:rsidRPr="00960B63">
        <w:rPr>
          <w:rFonts w:asciiTheme="minorHAnsi" w:hAnsiTheme="minorHAnsi" w:cstheme="minorHAnsi"/>
          <w:sz w:val="22"/>
          <w:szCs w:val="22"/>
        </w:rPr>
        <w:t>Buradan yola çıkarak</w:t>
      </w:r>
      <w:r w:rsidR="00445440" w:rsidRPr="00960B63">
        <w:rPr>
          <w:rFonts w:asciiTheme="minorHAnsi" w:hAnsiTheme="minorHAnsi" w:cstheme="minorHAnsi"/>
          <w:sz w:val="22"/>
          <w:szCs w:val="22"/>
        </w:rPr>
        <w:t>;</w:t>
      </w:r>
      <w:r w:rsidRPr="00960B63">
        <w:rPr>
          <w:rFonts w:asciiTheme="minorHAnsi" w:hAnsiTheme="minorHAnsi" w:cstheme="minorHAnsi"/>
          <w:sz w:val="22"/>
          <w:szCs w:val="22"/>
        </w:rPr>
        <w:t xml:space="preserve"> İsveç Parlamentosu üyelerin</w:t>
      </w:r>
      <w:r w:rsidR="00445440" w:rsidRPr="00960B63">
        <w:rPr>
          <w:rFonts w:asciiTheme="minorHAnsi" w:hAnsiTheme="minorHAnsi" w:cstheme="minorHAnsi"/>
          <w:sz w:val="22"/>
          <w:szCs w:val="22"/>
        </w:rPr>
        <w:t>in her iki araştırma yılında da</w:t>
      </w:r>
      <w:r w:rsidRPr="00960B63">
        <w:rPr>
          <w:rFonts w:asciiTheme="minorHAnsi" w:hAnsiTheme="minorHAnsi" w:cstheme="minorHAnsi"/>
          <w:sz w:val="22"/>
          <w:szCs w:val="22"/>
        </w:rPr>
        <w:t xml:space="preserve"> işçi sendikalarına tamamen güvendiklerini </w:t>
      </w:r>
      <w:r w:rsidR="00445440" w:rsidRPr="00960B63">
        <w:rPr>
          <w:rFonts w:asciiTheme="minorHAnsi" w:hAnsiTheme="minorHAnsi" w:cstheme="minorHAnsi"/>
          <w:sz w:val="22"/>
          <w:szCs w:val="22"/>
        </w:rPr>
        <w:t xml:space="preserve">diğer ülkelerden daha yüksek yüzdelerle </w:t>
      </w:r>
      <w:r w:rsidRPr="00960B63">
        <w:rPr>
          <w:rFonts w:asciiTheme="minorHAnsi" w:hAnsiTheme="minorHAnsi" w:cstheme="minorHAnsi"/>
          <w:sz w:val="22"/>
          <w:szCs w:val="22"/>
        </w:rPr>
        <w:t>belirtmeleri</w:t>
      </w:r>
      <w:r w:rsidR="00445440" w:rsidRPr="00960B63">
        <w:rPr>
          <w:rFonts w:asciiTheme="minorHAnsi" w:hAnsiTheme="minorHAnsi" w:cstheme="minorHAnsi"/>
          <w:sz w:val="22"/>
          <w:szCs w:val="22"/>
        </w:rPr>
        <w:t>nin - 20</w:t>
      </w:r>
      <w:r w:rsidR="005B38F7">
        <w:rPr>
          <w:rFonts w:asciiTheme="minorHAnsi" w:hAnsiTheme="minorHAnsi" w:cstheme="minorHAnsi"/>
          <w:sz w:val="22"/>
          <w:szCs w:val="22"/>
        </w:rPr>
        <w:t>07’de yüzde 22,8, 2013’de yüzde 20,</w:t>
      </w:r>
      <w:r w:rsidR="00445440" w:rsidRPr="00960B63">
        <w:rPr>
          <w:rFonts w:asciiTheme="minorHAnsi" w:hAnsiTheme="minorHAnsi" w:cstheme="minorHAnsi"/>
          <w:sz w:val="22"/>
          <w:szCs w:val="22"/>
        </w:rPr>
        <w:t>6 -</w:t>
      </w:r>
      <w:r w:rsidRPr="00960B63">
        <w:rPr>
          <w:rFonts w:asciiTheme="minorHAnsi" w:hAnsiTheme="minorHAnsi" w:cstheme="minorHAnsi"/>
          <w:sz w:val="22"/>
          <w:szCs w:val="22"/>
        </w:rPr>
        <w:t>, İsveç’in gelişmiş sosyal demokrat</w:t>
      </w:r>
      <w:r w:rsidR="00445440" w:rsidRPr="00960B63">
        <w:rPr>
          <w:rFonts w:asciiTheme="minorHAnsi" w:hAnsiTheme="minorHAnsi" w:cstheme="minorHAnsi"/>
          <w:sz w:val="22"/>
          <w:szCs w:val="22"/>
        </w:rPr>
        <w:t>ik yapısının doğal bir sonucu olduğunu söylemek mümkündür</w:t>
      </w:r>
      <w:r w:rsidRPr="00960B63">
        <w:rPr>
          <w:rFonts w:asciiTheme="minorHAnsi" w:hAnsiTheme="minorHAnsi" w:cstheme="minorHAnsi"/>
          <w:sz w:val="22"/>
          <w:szCs w:val="22"/>
        </w:rPr>
        <w:t xml:space="preserve">. Bu sonuç, </w:t>
      </w:r>
      <w:r w:rsidR="00617444" w:rsidRPr="00960B63">
        <w:rPr>
          <w:rFonts w:asciiTheme="minorHAnsi" w:hAnsiTheme="minorHAnsi" w:cstheme="minorHAnsi"/>
          <w:sz w:val="22"/>
          <w:szCs w:val="22"/>
        </w:rPr>
        <w:t xml:space="preserve">işçi sendikalarına </w:t>
      </w:r>
      <w:r w:rsidR="00445440" w:rsidRPr="00960B63">
        <w:rPr>
          <w:rFonts w:asciiTheme="minorHAnsi" w:hAnsiTheme="minorHAnsi" w:cstheme="minorHAnsi"/>
          <w:sz w:val="22"/>
          <w:szCs w:val="22"/>
        </w:rPr>
        <w:t>“</w:t>
      </w:r>
      <w:r w:rsidRPr="00960B63">
        <w:rPr>
          <w:rFonts w:asciiTheme="minorHAnsi" w:hAnsiTheme="minorHAnsi" w:cstheme="minorHAnsi"/>
          <w:sz w:val="22"/>
          <w:szCs w:val="22"/>
        </w:rPr>
        <w:t>hiç güvenmem</w:t>
      </w:r>
      <w:r w:rsidR="00445440" w:rsidRPr="00960B63">
        <w:rPr>
          <w:rFonts w:asciiTheme="minorHAnsi" w:hAnsiTheme="minorHAnsi" w:cstheme="minorHAnsi"/>
          <w:sz w:val="22"/>
          <w:szCs w:val="22"/>
        </w:rPr>
        <w:t>”</w:t>
      </w:r>
      <w:r w:rsidRPr="00960B63">
        <w:rPr>
          <w:rFonts w:asciiTheme="minorHAnsi" w:hAnsiTheme="minorHAnsi" w:cstheme="minorHAnsi"/>
          <w:sz w:val="22"/>
          <w:szCs w:val="22"/>
        </w:rPr>
        <w:t xml:space="preserve"> diyen İsveç parlamenterlerinin 2007’</w:t>
      </w:r>
      <w:r w:rsidR="005B38F7">
        <w:rPr>
          <w:rFonts w:asciiTheme="minorHAnsi" w:hAnsiTheme="minorHAnsi" w:cstheme="minorHAnsi"/>
          <w:sz w:val="22"/>
          <w:szCs w:val="22"/>
        </w:rPr>
        <w:t>de yüzde 4, 2013’te ise yüzde 0,</w:t>
      </w:r>
      <w:r w:rsidRPr="00960B63">
        <w:rPr>
          <w:rFonts w:asciiTheme="minorHAnsi" w:hAnsiTheme="minorHAnsi" w:cstheme="minorHAnsi"/>
          <w:sz w:val="22"/>
          <w:szCs w:val="22"/>
        </w:rPr>
        <w:t xml:space="preserve">9 olmasıyla da desteklenmektedir. </w:t>
      </w:r>
    </w:p>
    <w:p w:rsidR="00B2794F" w:rsidRPr="00960B63" w:rsidRDefault="00B2794F" w:rsidP="00954CDD">
      <w:pPr>
        <w:spacing w:line="276" w:lineRule="auto"/>
        <w:jc w:val="both"/>
        <w:rPr>
          <w:rFonts w:asciiTheme="minorHAnsi" w:hAnsiTheme="minorHAnsi" w:cstheme="minorHAnsi"/>
          <w:sz w:val="22"/>
          <w:szCs w:val="22"/>
        </w:rPr>
      </w:pPr>
    </w:p>
    <w:p w:rsidR="005A46EB" w:rsidRDefault="00B2794F" w:rsidP="00954CDD">
      <w:pPr>
        <w:spacing w:line="276" w:lineRule="auto"/>
        <w:jc w:val="both"/>
        <w:rPr>
          <w:rFonts w:asciiTheme="minorHAnsi" w:hAnsiTheme="minorHAnsi" w:cstheme="minorHAnsi"/>
          <w:sz w:val="22"/>
          <w:szCs w:val="22"/>
        </w:rPr>
      </w:pPr>
      <w:r w:rsidRPr="00E00CF4">
        <w:rPr>
          <w:rFonts w:asciiTheme="minorHAnsi" w:hAnsiTheme="minorHAnsi" w:cstheme="minorHAnsi"/>
          <w:sz w:val="22"/>
          <w:szCs w:val="22"/>
        </w:rPr>
        <w:t>Diğer bir örnek olarak Şili’yi ele a</w:t>
      </w:r>
      <w:r w:rsidR="003D7525" w:rsidRPr="00E00CF4">
        <w:rPr>
          <w:rFonts w:asciiTheme="minorHAnsi" w:hAnsiTheme="minorHAnsi" w:cstheme="minorHAnsi"/>
          <w:sz w:val="22"/>
          <w:szCs w:val="22"/>
        </w:rPr>
        <w:t>l</w:t>
      </w:r>
      <w:r w:rsidR="00BD58BD" w:rsidRPr="00E00CF4">
        <w:rPr>
          <w:rFonts w:asciiTheme="minorHAnsi" w:hAnsiTheme="minorHAnsi" w:cstheme="minorHAnsi"/>
          <w:sz w:val="22"/>
          <w:szCs w:val="22"/>
        </w:rPr>
        <w:t>abiliriz. Bilindiği üzere Şili</w:t>
      </w:r>
      <w:r w:rsidR="00B405AD" w:rsidRPr="00E00CF4">
        <w:rPr>
          <w:rFonts w:asciiTheme="minorHAnsi" w:hAnsiTheme="minorHAnsi" w:cstheme="minorHAnsi"/>
          <w:sz w:val="22"/>
          <w:szCs w:val="22"/>
        </w:rPr>
        <w:t>’nin yakın tarihi</w:t>
      </w:r>
      <w:r w:rsidR="00BD58BD" w:rsidRPr="00E00CF4">
        <w:rPr>
          <w:rFonts w:asciiTheme="minorHAnsi" w:hAnsiTheme="minorHAnsi" w:cstheme="minorHAnsi"/>
          <w:sz w:val="22"/>
          <w:szCs w:val="22"/>
        </w:rPr>
        <w:t xml:space="preserve"> askeri dar</w:t>
      </w:r>
      <w:r w:rsidR="00B405AD" w:rsidRPr="00E00CF4">
        <w:rPr>
          <w:rFonts w:asciiTheme="minorHAnsi" w:hAnsiTheme="minorHAnsi" w:cstheme="minorHAnsi"/>
          <w:sz w:val="22"/>
          <w:szCs w:val="22"/>
        </w:rPr>
        <w:t>be ve yeniden demo</w:t>
      </w:r>
      <w:r w:rsidR="00E00CF4" w:rsidRPr="00E00CF4">
        <w:rPr>
          <w:rFonts w:asciiTheme="minorHAnsi" w:hAnsiTheme="minorHAnsi" w:cstheme="minorHAnsi"/>
          <w:sz w:val="22"/>
          <w:szCs w:val="22"/>
        </w:rPr>
        <w:t>kratikleşme ile şekillenmiştir.</w:t>
      </w:r>
      <w:r w:rsidR="00BD58BD" w:rsidRPr="00E00CF4">
        <w:rPr>
          <w:rFonts w:asciiTheme="minorHAnsi" w:hAnsiTheme="minorHAnsi" w:cstheme="minorHAnsi"/>
          <w:sz w:val="22"/>
          <w:szCs w:val="22"/>
        </w:rPr>
        <w:t xml:space="preserve"> Askeri darbe öncesi </w:t>
      </w:r>
      <w:r w:rsidR="003D7525" w:rsidRPr="00E00CF4">
        <w:rPr>
          <w:rFonts w:asciiTheme="minorHAnsi" w:hAnsiTheme="minorHAnsi" w:cstheme="minorHAnsi"/>
          <w:sz w:val="22"/>
          <w:szCs w:val="22"/>
        </w:rPr>
        <w:t>Şili’</w:t>
      </w:r>
      <w:r w:rsidRPr="00E00CF4">
        <w:rPr>
          <w:rFonts w:asciiTheme="minorHAnsi" w:hAnsiTheme="minorHAnsi" w:cstheme="minorHAnsi"/>
          <w:sz w:val="22"/>
          <w:szCs w:val="22"/>
        </w:rPr>
        <w:t>de sendika geleneği güçlüdür</w:t>
      </w:r>
      <w:r w:rsidR="00E00CF4" w:rsidRPr="00E00CF4">
        <w:rPr>
          <w:rFonts w:asciiTheme="minorHAnsi" w:hAnsiTheme="minorHAnsi" w:cstheme="minorHAnsi"/>
          <w:sz w:val="22"/>
          <w:szCs w:val="22"/>
        </w:rPr>
        <w:t>;</w:t>
      </w:r>
      <w:r w:rsidR="00CC64A6" w:rsidRPr="00E00CF4">
        <w:rPr>
          <w:rFonts w:asciiTheme="minorHAnsi" w:hAnsiTheme="minorHAnsi" w:cstheme="minorHAnsi"/>
          <w:sz w:val="22"/>
          <w:szCs w:val="22"/>
        </w:rPr>
        <w:t xml:space="preserve"> askeri darbe ile demokrasiye tekrar geçiş arasında </w:t>
      </w:r>
      <w:r w:rsidR="003C2537" w:rsidRPr="00E00CF4">
        <w:rPr>
          <w:rFonts w:asciiTheme="minorHAnsi" w:hAnsiTheme="minorHAnsi" w:cstheme="minorHAnsi"/>
          <w:sz w:val="22"/>
          <w:szCs w:val="22"/>
        </w:rPr>
        <w:t>bu geleneğin</w:t>
      </w:r>
      <w:r w:rsidR="00B405AD" w:rsidRPr="00E00CF4">
        <w:rPr>
          <w:rFonts w:asciiTheme="minorHAnsi" w:hAnsiTheme="minorHAnsi" w:cstheme="minorHAnsi"/>
          <w:sz w:val="22"/>
          <w:szCs w:val="22"/>
        </w:rPr>
        <w:t xml:space="preserve"> zayıfladığını </w:t>
      </w:r>
      <w:r w:rsidR="00CC64A6" w:rsidRPr="00E00CF4">
        <w:rPr>
          <w:rFonts w:asciiTheme="minorHAnsi" w:hAnsiTheme="minorHAnsi" w:cstheme="minorHAnsi"/>
          <w:sz w:val="22"/>
          <w:szCs w:val="22"/>
        </w:rPr>
        <w:t>söyleyebiliriz</w:t>
      </w:r>
      <w:r w:rsidR="003813C6" w:rsidRPr="00E00CF4">
        <w:rPr>
          <w:rFonts w:asciiTheme="minorHAnsi" w:hAnsiTheme="minorHAnsi" w:cstheme="minorHAnsi"/>
          <w:sz w:val="22"/>
          <w:szCs w:val="22"/>
        </w:rPr>
        <w:t>.</w:t>
      </w:r>
      <w:r w:rsidR="00BD58BD" w:rsidRPr="00E00CF4">
        <w:rPr>
          <w:rFonts w:asciiTheme="minorHAnsi" w:hAnsiTheme="minorHAnsi" w:cstheme="minorHAnsi"/>
          <w:sz w:val="22"/>
          <w:szCs w:val="22"/>
        </w:rPr>
        <w:t xml:space="preserve"> İşçi sendikalarına güvenin iki araştırma yılı arasında artış göstermesi</w:t>
      </w:r>
      <w:r w:rsidR="00CC64A6" w:rsidRPr="00E00CF4">
        <w:rPr>
          <w:rFonts w:asciiTheme="minorHAnsi" w:hAnsiTheme="minorHAnsi" w:cstheme="minorHAnsi"/>
          <w:sz w:val="22"/>
          <w:szCs w:val="22"/>
        </w:rPr>
        <w:t>, iyileşen demokrasiyle beraber güven k</w:t>
      </w:r>
      <w:r w:rsidR="009120DD" w:rsidRPr="00E00CF4">
        <w:rPr>
          <w:rFonts w:asciiTheme="minorHAnsi" w:hAnsiTheme="minorHAnsi" w:cstheme="minorHAnsi"/>
          <w:sz w:val="22"/>
          <w:szCs w:val="22"/>
        </w:rPr>
        <w:t>ültürünün de yeniden inşa edildiği</w:t>
      </w:r>
      <w:r w:rsidR="00CC64A6" w:rsidRPr="00E00CF4">
        <w:rPr>
          <w:rFonts w:asciiTheme="minorHAnsi" w:hAnsiTheme="minorHAnsi" w:cstheme="minorHAnsi"/>
          <w:sz w:val="22"/>
          <w:szCs w:val="22"/>
        </w:rPr>
        <w:t xml:space="preserve"> savını </w:t>
      </w:r>
      <w:r w:rsidR="00BD58BD" w:rsidRPr="00E00CF4">
        <w:rPr>
          <w:rFonts w:asciiTheme="minorHAnsi" w:hAnsiTheme="minorHAnsi" w:cstheme="minorHAnsi"/>
          <w:sz w:val="22"/>
          <w:szCs w:val="22"/>
        </w:rPr>
        <w:t xml:space="preserve">destekler niteliktedir. </w:t>
      </w:r>
      <w:r w:rsidRPr="00E00CF4">
        <w:rPr>
          <w:rFonts w:asciiTheme="minorHAnsi" w:hAnsiTheme="minorHAnsi" w:cstheme="minorHAnsi"/>
          <w:sz w:val="22"/>
          <w:szCs w:val="22"/>
        </w:rPr>
        <w:t>Şili</w:t>
      </w:r>
      <w:r w:rsidRPr="00960B63">
        <w:rPr>
          <w:rFonts w:asciiTheme="minorHAnsi" w:hAnsiTheme="minorHAnsi" w:cstheme="minorHAnsi"/>
          <w:sz w:val="22"/>
          <w:szCs w:val="22"/>
        </w:rPr>
        <w:t xml:space="preserve"> parlamen</w:t>
      </w:r>
      <w:r w:rsidR="005B38F7">
        <w:rPr>
          <w:rFonts w:asciiTheme="minorHAnsi" w:hAnsiTheme="minorHAnsi" w:cstheme="minorHAnsi"/>
          <w:sz w:val="22"/>
          <w:szCs w:val="22"/>
        </w:rPr>
        <w:t>terlerinin 2007 yılında yüzde 3,</w:t>
      </w:r>
      <w:r w:rsidRPr="00960B63">
        <w:rPr>
          <w:rFonts w:asciiTheme="minorHAnsi" w:hAnsiTheme="minorHAnsi" w:cstheme="minorHAnsi"/>
          <w:sz w:val="22"/>
          <w:szCs w:val="22"/>
        </w:rPr>
        <w:t>1’i işçi sendikalarına hiç güvenmediklerini belirtirken, 2013 yılında bu durum ortadan kal</w:t>
      </w:r>
      <w:r w:rsidR="003D7525" w:rsidRPr="00960B63">
        <w:rPr>
          <w:rFonts w:asciiTheme="minorHAnsi" w:hAnsiTheme="minorHAnsi" w:cstheme="minorHAnsi"/>
          <w:sz w:val="22"/>
          <w:szCs w:val="22"/>
        </w:rPr>
        <w:t>k</w:t>
      </w:r>
      <w:r w:rsidRPr="00960B63">
        <w:rPr>
          <w:rFonts w:asciiTheme="minorHAnsi" w:hAnsiTheme="minorHAnsi" w:cstheme="minorHAnsi"/>
          <w:sz w:val="22"/>
          <w:szCs w:val="22"/>
        </w:rPr>
        <w:t xml:space="preserve">mıştır (yüzde 0). Yine demokrasinin güçlenmesiyle paralel olarak 2007 yılında işçi sendikalarına </w:t>
      </w:r>
      <w:r w:rsidR="003D7525" w:rsidRPr="00960B63">
        <w:rPr>
          <w:rFonts w:asciiTheme="minorHAnsi" w:hAnsiTheme="minorHAnsi" w:cstheme="minorHAnsi"/>
          <w:sz w:val="22"/>
          <w:szCs w:val="22"/>
        </w:rPr>
        <w:t>“</w:t>
      </w:r>
      <w:r w:rsidRPr="00960B63">
        <w:rPr>
          <w:rFonts w:asciiTheme="minorHAnsi" w:hAnsiTheme="minorHAnsi" w:cstheme="minorHAnsi"/>
          <w:sz w:val="22"/>
          <w:szCs w:val="22"/>
        </w:rPr>
        <w:t>tamamen güvenirim</w:t>
      </w:r>
      <w:r w:rsidR="003D7525" w:rsidRPr="00960B63">
        <w:rPr>
          <w:rFonts w:asciiTheme="minorHAnsi" w:hAnsiTheme="minorHAnsi" w:cstheme="minorHAnsi"/>
          <w:sz w:val="22"/>
          <w:szCs w:val="22"/>
        </w:rPr>
        <w:t>”</w:t>
      </w:r>
      <w:r w:rsidRPr="00960B63">
        <w:rPr>
          <w:rFonts w:asciiTheme="minorHAnsi" w:hAnsiTheme="minorHAnsi" w:cstheme="minorHAnsi"/>
          <w:sz w:val="22"/>
          <w:szCs w:val="22"/>
        </w:rPr>
        <w:t xml:space="preserve"> diyen </w:t>
      </w:r>
      <w:r w:rsidR="005B38F7">
        <w:rPr>
          <w:rFonts w:asciiTheme="minorHAnsi" w:hAnsiTheme="minorHAnsi" w:cstheme="minorHAnsi"/>
          <w:sz w:val="22"/>
          <w:szCs w:val="22"/>
        </w:rPr>
        <w:t>parlamenterlerin oranı yüzde 11,</w:t>
      </w:r>
      <w:r w:rsidRPr="00960B63">
        <w:rPr>
          <w:rFonts w:asciiTheme="minorHAnsi" w:hAnsiTheme="minorHAnsi" w:cstheme="minorHAnsi"/>
          <w:sz w:val="22"/>
          <w:szCs w:val="22"/>
        </w:rPr>
        <w:t>2 iken 2013</w:t>
      </w:r>
      <w:r w:rsidR="00613E5D">
        <w:rPr>
          <w:rFonts w:asciiTheme="minorHAnsi" w:hAnsiTheme="minorHAnsi" w:cstheme="minorHAnsi"/>
          <w:sz w:val="22"/>
          <w:szCs w:val="22"/>
        </w:rPr>
        <w:t xml:space="preserve"> </w:t>
      </w:r>
      <w:r w:rsidR="005A386A">
        <w:rPr>
          <w:rFonts w:asciiTheme="minorHAnsi" w:hAnsiTheme="minorHAnsi" w:cstheme="minorHAnsi"/>
          <w:sz w:val="22"/>
          <w:szCs w:val="22"/>
        </w:rPr>
        <w:t>araştırmasında</w:t>
      </w:r>
      <w:r w:rsidRPr="00960B63">
        <w:rPr>
          <w:rFonts w:asciiTheme="minorHAnsi" w:hAnsiTheme="minorHAnsi" w:cstheme="minorHAnsi"/>
          <w:sz w:val="22"/>
          <w:szCs w:val="22"/>
        </w:rPr>
        <w:t xml:space="preserve"> bu oran yüzde 20’ye çıkarak</w:t>
      </w:r>
      <w:r w:rsidR="003D7525" w:rsidRPr="00960B63">
        <w:rPr>
          <w:rFonts w:asciiTheme="minorHAnsi" w:hAnsiTheme="minorHAnsi" w:cstheme="minorHAnsi"/>
          <w:sz w:val="22"/>
          <w:szCs w:val="22"/>
        </w:rPr>
        <w:t>,</w:t>
      </w:r>
      <w:r w:rsidRPr="00960B63">
        <w:rPr>
          <w:rFonts w:asciiTheme="minorHAnsi" w:hAnsiTheme="minorHAnsi" w:cstheme="minorHAnsi"/>
          <w:sz w:val="22"/>
          <w:szCs w:val="22"/>
        </w:rPr>
        <w:t xml:space="preserve"> proje kapsamındaki ülkeler arasında İsveç’in hemen </w:t>
      </w:r>
      <w:r w:rsidR="003D7525" w:rsidRPr="00960B63">
        <w:rPr>
          <w:rFonts w:asciiTheme="minorHAnsi" w:hAnsiTheme="minorHAnsi" w:cstheme="minorHAnsi"/>
          <w:sz w:val="22"/>
          <w:szCs w:val="22"/>
        </w:rPr>
        <w:t>ardındaki</w:t>
      </w:r>
      <w:r w:rsidRPr="00960B63">
        <w:rPr>
          <w:rFonts w:asciiTheme="minorHAnsi" w:hAnsiTheme="minorHAnsi" w:cstheme="minorHAnsi"/>
          <w:sz w:val="22"/>
          <w:szCs w:val="22"/>
        </w:rPr>
        <w:t xml:space="preserve"> yerini almaktadır.</w:t>
      </w:r>
      <w:r w:rsidR="00613E5D">
        <w:rPr>
          <w:rFonts w:asciiTheme="minorHAnsi" w:hAnsiTheme="minorHAnsi" w:cstheme="minorHAnsi"/>
          <w:sz w:val="22"/>
          <w:szCs w:val="22"/>
        </w:rPr>
        <w:t xml:space="preserve"> </w:t>
      </w:r>
      <w:r w:rsidR="005A46EB">
        <w:rPr>
          <w:rFonts w:asciiTheme="minorHAnsi" w:hAnsiTheme="minorHAnsi" w:cstheme="minorHAnsi"/>
          <w:sz w:val="22"/>
          <w:szCs w:val="22"/>
        </w:rPr>
        <w:t xml:space="preserve">                </w:t>
      </w:r>
    </w:p>
    <w:p w:rsidR="007655D1" w:rsidRDefault="007655D1" w:rsidP="00954CDD">
      <w:pPr>
        <w:spacing w:line="276" w:lineRule="auto"/>
        <w:jc w:val="both"/>
        <w:rPr>
          <w:rFonts w:asciiTheme="minorHAnsi" w:hAnsiTheme="minorHAnsi" w:cstheme="minorHAnsi"/>
          <w:sz w:val="22"/>
          <w:szCs w:val="22"/>
        </w:rPr>
      </w:pPr>
    </w:p>
    <w:p w:rsidR="007655D1" w:rsidRPr="00960B63" w:rsidRDefault="00372094" w:rsidP="00954CDD">
      <w:pPr>
        <w:spacing w:line="276" w:lineRule="auto"/>
        <w:jc w:val="both"/>
        <w:rPr>
          <w:rFonts w:asciiTheme="minorHAnsi" w:hAnsiTheme="minorHAnsi" w:cstheme="minorHAnsi"/>
          <w:sz w:val="22"/>
          <w:szCs w:val="22"/>
        </w:rPr>
      </w:pPr>
      <w:r>
        <w:rPr>
          <w:rFonts w:asciiTheme="minorHAnsi" w:hAnsiTheme="minorHAnsi" w:cstheme="minorHAnsi"/>
          <w:sz w:val="22"/>
          <w:szCs w:val="22"/>
        </w:rPr>
        <w:t>İ</w:t>
      </w:r>
      <w:r w:rsidR="007655D1">
        <w:rPr>
          <w:rFonts w:asciiTheme="minorHAnsi" w:hAnsiTheme="minorHAnsi" w:cstheme="minorHAnsi"/>
          <w:sz w:val="22"/>
          <w:szCs w:val="22"/>
        </w:rPr>
        <w:t>şçi sendikalarına güven konusunda, Polonya çok farklı bir tablo çizmektedir. 2007 araştırmasında Po</w:t>
      </w:r>
      <w:r w:rsidR="005B38F7">
        <w:rPr>
          <w:rFonts w:asciiTheme="minorHAnsi" w:hAnsiTheme="minorHAnsi" w:cstheme="minorHAnsi"/>
          <w:sz w:val="22"/>
          <w:szCs w:val="22"/>
        </w:rPr>
        <w:t>lonya Parlamentosu’nun yüzde 18,</w:t>
      </w:r>
      <w:r w:rsidR="007655D1">
        <w:rPr>
          <w:rFonts w:asciiTheme="minorHAnsi" w:hAnsiTheme="minorHAnsi" w:cstheme="minorHAnsi"/>
          <w:sz w:val="22"/>
          <w:szCs w:val="22"/>
        </w:rPr>
        <w:t>8’i işçi sendikalarına hiç güvenmediğini belirtirken, bu or</w:t>
      </w:r>
      <w:r w:rsidR="005B38F7">
        <w:rPr>
          <w:rFonts w:asciiTheme="minorHAnsi" w:hAnsiTheme="minorHAnsi" w:cstheme="minorHAnsi"/>
          <w:sz w:val="22"/>
          <w:szCs w:val="22"/>
        </w:rPr>
        <w:t>an 2013 araştırmasında yüzde 44,</w:t>
      </w:r>
      <w:r w:rsidR="007655D1">
        <w:rPr>
          <w:rFonts w:asciiTheme="minorHAnsi" w:hAnsiTheme="minorHAnsi" w:cstheme="minorHAnsi"/>
          <w:sz w:val="22"/>
          <w:szCs w:val="22"/>
        </w:rPr>
        <w:t xml:space="preserve">5’e </w:t>
      </w:r>
      <w:r w:rsidR="003813C6">
        <w:rPr>
          <w:rFonts w:asciiTheme="minorHAnsi" w:hAnsiTheme="minorHAnsi" w:cstheme="minorHAnsi"/>
          <w:sz w:val="22"/>
          <w:szCs w:val="22"/>
        </w:rPr>
        <w:t>yükselmiştir</w:t>
      </w:r>
      <w:r w:rsidR="007655D1">
        <w:rPr>
          <w:rFonts w:asciiTheme="minorHAnsi" w:hAnsiTheme="minorHAnsi" w:cstheme="minorHAnsi"/>
          <w:sz w:val="22"/>
          <w:szCs w:val="22"/>
        </w:rPr>
        <w:t xml:space="preserve">. Bu </w:t>
      </w:r>
      <w:r w:rsidR="00E00CF4">
        <w:rPr>
          <w:rFonts w:asciiTheme="minorHAnsi" w:hAnsiTheme="minorHAnsi" w:cstheme="minorHAnsi"/>
          <w:sz w:val="22"/>
          <w:szCs w:val="22"/>
        </w:rPr>
        <w:t>artış dikkate değer</w:t>
      </w:r>
      <w:r>
        <w:rPr>
          <w:rFonts w:asciiTheme="minorHAnsi" w:hAnsiTheme="minorHAnsi" w:cstheme="minorHAnsi"/>
          <w:sz w:val="22"/>
          <w:szCs w:val="22"/>
        </w:rPr>
        <w:t xml:space="preserve"> bir nitelik taşırken,</w:t>
      </w:r>
      <w:r w:rsidR="00804DBF">
        <w:rPr>
          <w:rFonts w:asciiTheme="minorHAnsi" w:hAnsiTheme="minorHAnsi" w:cstheme="minorHAnsi"/>
          <w:sz w:val="22"/>
          <w:szCs w:val="22"/>
        </w:rPr>
        <w:t xml:space="preserve"> </w:t>
      </w:r>
      <w:r w:rsidR="007655D1">
        <w:rPr>
          <w:rFonts w:asciiTheme="minorHAnsi" w:hAnsiTheme="minorHAnsi" w:cstheme="minorHAnsi"/>
          <w:sz w:val="22"/>
          <w:szCs w:val="22"/>
        </w:rPr>
        <w:t>tamamen güvendiklerini söyleyen milletvekillerinin oranında önemli bir değişiklik olmamıştır: 2007 araştırmasında yüzde</w:t>
      </w:r>
      <w:r w:rsidR="005B38F7">
        <w:rPr>
          <w:rFonts w:asciiTheme="minorHAnsi" w:hAnsiTheme="minorHAnsi" w:cstheme="minorHAnsi"/>
          <w:sz w:val="22"/>
          <w:szCs w:val="22"/>
        </w:rPr>
        <w:t xml:space="preserve"> 1, 2013 araştırmasında yüzde 0,</w:t>
      </w:r>
      <w:r w:rsidR="007655D1">
        <w:rPr>
          <w:rFonts w:asciiTheme="minorHAnsi" w:hAnsiTheme="minorHAnsi" w:cstheme="minorHAnsi"/>
          <w:sz w:val="22"/>
          <w:szCs w:val="22"/>
        </w:rPr>
        <w:t>7.</w:t>
      </w:r>
    </w:p>
    <w:p w:rsidR="00960B63" w:rsidRPr="00960B63" w:rsidRDefault="00960B63" w:rsidP="00954CDD">
      <w:pPr>
        <w:spacing w:line="276" w:lineRule="auto"/>
        <w:jc w:val="both"/>
        <w:rPr>
          <w:rFonts w:asciiTheme="minorHAnsi" w:hAnsiTheme="minorHAnsi" w:cstheme="minorHAnsi"/>
          <w:sz w:val="22"/>
          <w:szCs w:val="22"/>
        </w:rPr>
      </w:pPr>
    </w:p>
    <w:p w:rsidR="004823EC" w:rsidRPr="00960B63" w:rsidRDefault="00960B63" w:rsidP="00954CDD">
      <w:pPr>
        <w:spacing w:line="276" w:lineRule="auto"/>
        <w:jc w:val="both"/>
        <w:rPr>
          <w:rFonts w:asciiTheme="minorHAnsi" w:hAnsiTheme="minorHAnsi" w:cstheme="minorHAnsi"/>
          <w:b/>
          <w:sz w:val="22"/>
          <w:szCs w:val="22"/>
        </w:rPr>
      </w:pPr>
      <w:r w:rsidRPr="00960B63">
        <w:rPr>
          <w:rFonts w:asciiTheme="minorHAnsi" w:hAnsiTheme="minorHAnsi" w:cstheme="minorHAnsi"/>
          <w:b/>
          <w:sz w:val="22"/>
          <w:szCs w:val="22"/>
        </w:rPr>
        <w:t>İdeolojik yönelimler çatışma ve güven algısını şekillendiriyor</w:t>
      </w:r>
    </w:p>
    <w:p w:rsidR="004823EC" w:rsidRPr="00960B63" w:rsidRDefault="004823EC" w:rsidP="00954CDD">
      <w:pPr>
        <w:spacing w:line="276" w:lineRule="auto"/>
        <w:jc w:val="both"/>
        <w:rPr>
          <w:rFonts w:asciiTheme="minorHAnsi" w:hAnsiTheme="minorHAnsi" w:cstheme="minorHAnsi"/>
          <w:sz w:val="22"/>
          <w:szCs w:val="22"/>
        </w:rPr>
      </w:pPr>
      <w:r w:rsidRPr="00960B63">
        <w:rPr>
          <w:rFonts w:asciiTheme="minorHAnsi" w:hAnsiTheme="minorHAnsi" w:cstheme="minorHAnsi"/>
          <w:sz w:val="22"/>
          <w:szCs w:val="22"/>
        </w:rPr>
        <w:t xml:space="preserve">Türkiye’de parlamenterlerin </w:t>
      </w:r>
      <w:r w:rsidR="002539E7" w:rsidRPr="00960B63">
        <w:rPr>
          <w:rFonts w:asciiTheme="minorHAnsi" w:hAnsiTheme="minorHAnsi" w:cstheme="minorHAnsi"/>
          <w:sz w:val="22"/>
          <w:szCs w:val="22"/>
        </w:rPr>
        <w:t>işveren-çalışan/</w:t>
      </w:r>
      <w:r w:rsidRPr="00960B63">
        <w:rPr>
          <w:rFonts w:asciiTheme="minorHAnsi" w:hAnsiTheme="minorHAnsi" w:cstheme="minorHAnsi"/>
          <w:sz w:val="22"/>
          <w:szCs w:val="22"/>
        </w:rPr>
        <w:t>işçi ilişkileri ve örgütlenmelerine dair zihin yapılarına birkaç soru ile bakmaya çalıştık. Milletvekilleri</w:t>
      </w:r>
      <w:r w:rsidR="002539E7" w:rsidRPr="00960B63">
        <w:rPr>
          <w:rFonts w:asciiTheme="minorHAnsi" w:hAnsiTheme="minorHAnsi" w:cstheme="minorHAnsi"/>
          <w:sz w:val="22"/>
          <w:szCs w:val="22"/>
        </w:rPr>
        <w:t>nin</w:t>
      </w:r>
      <w:r w:rsidRPr="00960B63">
        <w:rPr>
          <w:rFonts w:asciiTheme="minorHAnsi" w:hAnsiTheme="minorHAnsi" w:cstheme="minorHAnsi"/>
          <w:sz w:val="22"/>
          <w:szCs w:val="22"/>
        </w:rPr>
        <w:t xml:space="preserve">, </w:t>
      </w:r>
      <w:r w:rsidR="002539E7" w:rsidRPr="00960B63">
        <w:rPr>
          <w:rFonts w:asciiTheme="minorHAnsi" w:hAnsiTheme="minorHAnsi" w:cstheme="minorHAnsi"/>
          <w:sz w:val="22"/>
          <w:szCs w:val="22"/>
        </w:rPr>
        <w:t>çatışma değerlendirmesini yaparken partilerinin ideolojik yönelimlerine uyumlu bir şekilde kendilerini ifade ettikleri görülmektedir. Sendikalara güven sorusuna verilen cevapların, “bir ölçüde güvenirim” kategorisinde partiler arası benzerlik göstermesi, milletvekillerinin kendi parti ideolojilerine yakın sendikalara dair değerlendirmeler yapmaları sebebiyle olabilir. Bu muhtemel neden, ileriki çalışmalarda analiz edilmeye değer görünüyor.</w:t>
      </w:r>
    </w:p>
    <w:sectPr w:rsidR="004823EC" w:rsidRPr="00960B63" w:rsidSect="007E690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235E" w:rsidRDefault="0007235E">
      <w:r>
        <w:separator/>
      </w:r>
    </w:p>
  </w:endnote>
  <w:endnote w:type="continuationSeparator" w:id="0">
    <w:p w:rsidR="0007235E" w:rsidRDefault="000723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235E" w:rsidRDefault="0007235E">
      <w:r>
        <w:separator/>
      </w:r>
    </w:p>
  </w:footnote>
  <w:footnote w:type="continuationSeparator" w:id="0">
    <w:p w:rsidR="0007235E" w:rsidRDefault="0007235E">
      <w:r>
        <w:continuationSeparator/>
      </w:r>
    </w:p>
  </w:footnote>
  <w:footnote w:id="1">
    <w:p w:rsidR="0058300B" w:rsidRPr="0058300B" w:rsidRDefault="0058300B">
      <w:pPr>
        <w:pStyle w:val="FootnoteText"/>
        <w:rPr>
          <w:rFonts w:asciiTheme="minorHAnsi" w:hAnsiTheme="minorHAnsi" w:cstheme="minorHAnsi"/>
          <w:sz w:val="18"/>
          <w:szCs w:val="18"/>
        </w:rPr>
      </w:pPr>
      <w:r w:rsidRPr="003813C6">
        <w:rPr>
          <w:rStyle w:val="FootnoteReference"/>
          <w:rFonts w:asciiTheme="minorHAnsi" w:hAnsiTheme="minorHAnsi" w:cstheme="minorHAnsi"/>
          <w:sz w:val="18"/>
          <w:szCs w:val="18"/>
        </w:rPr>
        <w:footnoteRef/>
      </w:r>
      <w:r w:rsidRPr="003813C6">
        <w:rPr>
          <w:rFonts w:asciiTheme="minorHAnsi" w:hAnsiTheme="minorHAnsi" w:cstheme="minorHAnsi"/>
          <w:sz w:val="18"/>
          <w:szCs w:val="18"/>
        </w:rPr>
        <w:t xml:space="preserve"> 2007 yılında gerçekleştirilen araştırma, 2002 seçimleri ile belirlenen parlamentoyu kapsarken, 2013 araştırması 2011 seçimleri ile belirlenen parlamentoyu kapsamaktadır.</w:t>
      </w:r>
    </w:p>
  </w:footnote>
  <w:footnote w:id="2">
    <w:p w:rsidR="00960B63" w:rsidRDefault="00960B63" w:rsidP="00960B63">
      <w:pPr>
        <w:pStyle w:val="FootnoteText"/>
        <w:rPr>
          <w:rFonts w:asciiTheme="minorHAnsi" w:hAnsiTheme="minorHAnsi" w:cs="Arial"/>
          <w:sz w:val="18"/>
          <w:szCs w:val="18"/>
        </w:rPr>
      </w:pPr>
      <w:r w:rsidRPr="00922E45">
        <w:rPr>
          <w:rStyle w:val="FootnoteReference"/>
          <w:rFonts w:asciiTheme="minorHAnsi" w:hAnsiTheme="minorHAnsi" w:cs="Arial"/>
          <w:b/>
          <w:sz w:val="18"/>
          <w:szCs w:val="18"/>
        </w:rPr>
        <w:t>*</w:t>
      </w:r>
      <w:r w:rsidRPr="00783A23">
        <w:rPr>
          <w:rFonts w:asciiTheme="minorHAnsi" w:hAnsiTheme="minorHAnsi" w:cs="Arial"/>
          <w:sz w:val="18"/>
          <w:szCs w:val="18"/>
        </w:rPr>
        <w:t xml:space="preserve"> </w:t>
      </w:r>
      <w:r w:rsidRPr="003622E2">
        <w:rPr>
          <w:rFonts w:asciiTheme="minorHAnsi" w:hAnsiTheme="minorHAnsi" w:cstheme="minorHAnsi"/>
          <w:sz w:val="18"/>
          <w:szCs w:val="18"/>
        </w:rPr>
        <w:t xml:space="preserve">Çiğdem OK, </w:t>
      </w:r>
      <w:r w:rsidRPr="000C16A3">
        <w:rPr>
          <w:rFonts w:asciiTheme="minorHAnsi" w:hAnsiTheme="minorHAnsi" w:cstheme="minorHAnsi"/>
          <w:b/>
          <w:sz w:val="18"/>
          <w:szCs w:val="18"/>
        </w:rPr>
        <w:t>Freie Universität Berlin</w:t>
      </w:r>
      <w:r w:rsidRPr="003622E2">
        <w:rPr>
          <w:rFonts w:asciiTheme="minorHAnsi" w:hAnsiTheme="minorHAnsi" w:cstheme="minorHAnsi"/>
          <w:sz w:val="18"/>
          <w:szCs w:val="18"/>
        </w:rPr>
        <w:t>, Yüksek Lisans Öğrencisi, ok.cigdem@gmail.com</w:t>
      </w:r>
    </w:p>
    <w:p w:rsidR="00960B63" w:rsidRDefault="00960B63" w:rsidP="00960B63">
      <w:pPr>
        <w:pStyle w:val="FootnoteText"/>
      </w:pPr>
      <w:r w:rsidRPr="00922E45">
        <w:rPr>
          <w:rStyle w:val="FootnoteReference"/>
          <w:rFonts w:asciiTheme="minorHAnsi" w:hAnsiTheme="minorHAnsi" w:cs="Arial"/>
          <w:b/>
          <w:sz w:val="18"/>
          <w:szCs w:val="18"/>
        </w:rPr>
        <w:t>**</w:t>
      </w:r>
      <w:r>
        <w:rPr>
          <w:rFonts w:asciiTheme="minorHAnsi" w:hAnsiTheme="minorHAnsi" w:cs="Arial"/>
          <w:sz w:val="18"/>
          <w:szCs w:val="18"/>
        </w:rPr>
        <w:t xml:space="preserve"> Bahar Ayça Okçuoğlu</w:t>
      </w:r>
      <w:r w:rsidRPr="00922E45">
        <w:rPr>
          <w:rFonts w:asciiTheme="minorHAnsi" w:hAnsiTheme="minorHAnsi" w:cs="Arial"/>
          <w:sz w:val="18"/>
          <w:szCs w:val="18"/>
        </w:rPr>
        <w:t xml:space="preserve">, </w:t>
      </w:r>
      <w:r w:rsidRPr="00922E45">
        <w:rPr>
          <w:rFonts w:asciiTheme="minorHAnsi" w:hAnsiTheme="minorHAnsi" w:cs="Arial"/>
          <w:b/>
          <w:sz w:val="18"/>
          <w:szCs w:val="18"/>
        </w:rPr>
        <w:t>Betam</w:t>
      </w:r>
      <w:r w:rsidRPr="00922E45">
        <w:rPr>
          <w:rFonts w:asciiTheme="minorHAnsi" w:hAnsiTheme="minorHAnsi" w:cs="Arial"/>
          <w:sz w:val="18"/>
          <w:szCs w:val="18"/>
        </w:rPr>
        <w:t xml:space="preserve">, Araştırma Görevlisi, </w:t>
      </w:r>
      <w:r w:rsidRPr="00783A23">
        <w:rPr>
          <w:rFonts w:asciiTheme="minorHAnsi" w:hAnsiTheme="minorHAnsi" w:cs="Arial"/>
          <w:sz w:val="18"/>
          <w:szCs w:val="18"/>
        </w:rPr>
        <w:t>baharayca.okcuoglu@eas.</w:t>
      </w:r>
      <w:r>
        <w:rPr>
          <w:rFonts w:asciiTheme="minorHAnsi" w:hAnsiTheme="minorHAnsi" w:cs="Arial"/>
          <w:sz w:val="18"/>
          <w:szCs w:val="18"/>
        </w:rPr>
        <w:t>bahcesehir.edu.tr</w:t>
      </w:r>
    </w:p>
    <w:p w:rsidR="000A38C1" w:rsidRDefault="000A38C1">
      <w:pPr>
        <w:pStyle w:val="FootnoteText"/>
      </w:pPr>
      <w:r>
        <w:rPr>
          <w:rStyle w:val="FootnoteReference"/>
        </w:rPr>
        <w:footnoteRef/>
      </w:r>
      <w:r>
        <w:t xml:space="preserve"> </w:t>
      </w:r>
      <w:r w:rsidRPr="006F32F1">
        <w:rPr>
          <w:rFonts w:asciiTheme="minorHAnsi" w:hAnsiTheme="minorHAnsi" w:cstheme="minorHAnsi"/>
          <w:sz w:val="18"/>
          <w:szCs w:val="18"/>
        </w:rPr>
        <w:t xml:space="preserve">Araştırma sırasında Barış ve Demokrasi Partisi’nin ismi Halkların Demokratik Partisi olarak </w:t>
      </w:r>
      <w:r w:rsidR="00B636A1">
        <w:rPr>
          <w:rFonts w:asciiTheme="minorHAnsi" w:hAnsiTheme="minorHAnsi" w:cstheme="minorHAnsi"/>
          <w:sz w:val="18"/>
          <w:szCs w:val="18"/>
        </w:rPr>
        <w:t>değiştiği için</w:t>
      </w:r>
      <w:r w:rsidRPr="006F32F1">
        <w:rPr>
          <w:rFonts w:asciiTheme="minorHAnsi" w:hAnsiTheme="minorHAnsi" w:cstheme="minorHAnsi"/>
          <w:sz w:val="18"/>
          <w:szCs w:val="18"/>
        </w:rPr>
        <w:t xml:space="preserve">, </w:t>
      </w:r>
      <w:r w:rsidR="00B636A1">
        <w:rPr>
          <w:rFonts w:asciiTheme="minorHAnsi" w:hAnsiTheme="minorHAnsi" w:cstheme="minorHAnsi"/>
          <w:sz w:val="18"/>
          <w:szCs w:val="18"/>
        </w:rPr>
        <w:t>araştırma notund</w:t>
      </w:r>
      <w:r w:rsidRPr="006F32F1">
        <w:rPr>
          <w:rFonts w:asciiTheme="minorHAnsi" w:hAnsiTheme="minorHAnsi" w:cstheme="minorHAnsi"/>
          <w:sz w:val="18"/>
          <w:szCs w:val="18"/>
        </w:rPr>
        <w:t>a “Halkların Demokratik Partisi”</w:t>
      </w:r>
      <w:r>
        <w:rPr>
          <w:rFonts w:asciiTheme="minorHAnsi" w:hAnsiTheme="minorHAnsi" w:cstheme="minorHAnsi"/>
          <w:sz w:val="18"/>
          <w:szCs w:val="18"/>
        </w:rPr>
        <w:t xml:space="preserve"> ismi kullanılmıştır</w:t>
      </w:r>
      <w:r w:rsidRPr="006F32F1">
        <w:rPr>
          <w:rFonts w:asciiTheme="minorHAnsi" w:hAnsiTheme="minorHAnsi" w:cstheme="minorHAnsi"/>
          <w:sz w:val="18"/>
          <w:szCs w:val="18"/>
        </w:rPr>
        <w:t>.</w:t>
      </w:r>
    </w:p>
  </w:footnote>
  <w:footnote w:id="3">
    <w:p w:rsidR="003622E2" w:rsidRPr="003622E2" w:rsidRDefault="003622E2" w:rsidP="003622E2">
      <w:pPr>
        <w:pStyle w:val="FootnoteText"/>
        <w:rPr>
          <w:color w:val="FF0000"/>
        </w:rPr>
      </w:pPr>
      <w:r w:rsidRPr="003622E2">
        <w:rPr>
          <w:rStyle w:val="FootnoteReference"/>
          <w:rFonts w:asciiTheme="minorHAnsi" w:hAnsiTheme="minorHAnsi" w:cstheme="minorHAnsi"/>
          <w:sz w:val="18"/>
          <w:szCs w:val="18"/>
        </w:rPr>
        <w:footnoteRef/>
      </w:r>
      <w:r w:rsidRPr="003622E2">
        <w:rPr>
          <w:rFonts w:asciiTheme="minorHAnsi" w:hAnsiTheme="minorHAnsi" w:cstheme="minorHAnsi"/>
          <w:sz w:val="18"/>
          <w:szCs w:val="18"/>
        </w:rPr>
        <w:t xml:space="preserve"> </w:t>
      </w:r>
      <w:r>
        <w:rPr>
          <w:rFonts w:asciiTheme="minorHAnsi" w:hAnsiTheme="minorHAnsi" w:cstheme="minorHAnsi"/>
          <w:sz w:val="18"/>
          <w:szCs w:val="18"/>
        </w:rPr>
        <w:t>Sosyal bilimlerde ç</w:t>
      </w:r>
      <w:r w:rsidRPr="003622E2">
        <w:rPr>
          <w:rFonts w:asciiTheme="minorHAnsi" w:hAnsiTheme="minorHAnsi" w:cstheme="minorHAnsi"/>
          <w:sz w:val="18"/>
          <w:szCs w:val="18"/>
        </w:rPr>
        <w:t>alışanlar/işçil</w:t>
      </w:r>
      <w:r>
        <w:rPr>
          <w:rFonts w:asciiTheme="minorHAnsi" w:hAnsiTheme="minorHAnsi" w:cstheme="minorHAnsi"/>
          <w:sz w:val="18"/>
          <w:szCs w:val="18"/>
        </w:rPr>
        <w:t>er grubunu tekil bir karakterle</w:t>
      </w:r>
      <w:r w:rsidRPr="003622E2">
        <w:rPr>
          <w:rFonts w:asciiTheme="minorHAnsi" w:hAnsiTheme="minorHAnsi" w:cstheme="minorHAnsi"/>
          <w:sz w:val="18"/>
          <w:szCs w:val="18"/>
        </w:rPr>
        <w:t xml:space="preserve"> ince</w:t>
      </w:r>
      <w:r>
        <w:rPr>
          <w:rFonts w:asciiTheme="minorHAnsi" w:hAnsiTheme="minorHAnsi" w:cstheme="minorHAnsi"/>
          <w:sz w:val="18"/>
          <w:szCs w:val="18"/>
        </w:rPr>
        <w:t>leme refleksi yerine, mesleki alt grupları temel alan analizler başla</w:t>
      </w:r>
      <w:r w:rsidRPr="003622E2">
        <w:rPr>
          <w:rFonts w:asciiTheme="minorHAnsi" w:hAnsiTheme="minorHAnsi" w:cstheme="minorHAnsi"/>
          <w:sz w:val="18"/>
          <w:szCs w:val="18"/>
        </w:rPr>
        <w:t>mıştır</w:t>
      </w:r>
      <w:r>
        <w:rPr>
          <w:rFonts w:asciiTheme="minorHAnsi" w:hAnsiTheme="minorHAnsi" w:cstheme="minorHAnsi"/>
          <w:sz w:val="18"/>
          <w:szCs w:val="18"/>
        </w:rPr>
        <w:t>.</w:t>
      </w:r>
      <w:r w:rsidRPr="003622E2">
        <w:rPr>
          <w:rFonts w:asciiTheme="minorHAnsi" w:hAnsiTheme="minorHAnsi" w:cstheme="minorHAnsi"/>
          <w:sz w:val="18"/>
          <w:szCs w:val="18"/>
        </w:rPr>
        <w:t xml:space="preserve"> </w:t>
      </w:r>
      <w:r w:rsidRPr="000C16A3">
        <w:rPr>
          <w:rFonts w:asciiTheme="minorHAnsi" w:hAnsiTheme="minorHAnsi" w:cstheme="minorHAnsi"/>
          <w:sz w:val="18"/>
          <w:szCs w:val="18"/>
        </w:rPr>
        <w:t xml:space="preserve">Bknz: Goldthorpe, Chan, </w:t>
      </w:r>
      <w:r w:rsidR="00960B63" w:rsidRPr="000C16A3">
        <w:rPr>
          <w:rFonts w:asciiTheme="minorHAnsi" w:hAnsiTheme="minorHAnsi" w:cstheme="minorHAnsi"/>
          <w:sz w:val="18"/>
          <w:szCs w:val="18"/>
        </w:rPr>
        <w:t>vb</w:t>
      </w:r>
      <w:r w:rsidRPr="000C16A3">
        <w:rPr>
          <w:rFonts w:asciiTheme="minorHAnsi" w:hAnsiTheme="minorHAnsi" w:cstheme="minorHAnsi"/>
          <w:sz w:val="18"/>
          <w:szCs w:val="18"/>
        </w:rPr>
        <w:t>.</w:t>
      </w:r>
    </w:p>
  </w:footnote>
  <w:footnote w:id="4">
    <w:p w:rsidR="006A0EB0" w:rsidRPr="006F32F1" w:rsidRDefault="006A0EB0">
      <w:pPr>
        <w:pStyle w:val="FootnoteText"/>
        <w:rPr>
          <w:rFonts w:asciiTheme="minorHAnsi" w:hAnsiTheme="minorHAnsi" w:cstheme="minorHAnsi"/>
          <w:sz w:val="18"/>
          <w:szCs w:val="18"/>
        </w:rPr>
      </w:pPr>
      <w:r w:rsidRPr="00C51410">
        <w:rPr>
          <w:rStyle w:val="FootnoteReference"/>
          <w:rFonts w:asciiTheme="minorHAnsi" w:hAnsiTheme="minorHAnsi" w:cstheme="minorHAnsi"/>
          <w:sz w:val="18"/>
          <w:szCs w:val="18"/>
        </w:rPr>
        <w:footnoteRef/>
      </w:r>
      <w:r w:rsidRPr="00C51410">
        <w:rPr>
          <w:rFonts w:asciiTheme="minorHAnsi" w:hAnsiTheme="minorHAnsi" w:cstheme="minorHAnsi"/>
          <w:sz w:val="18"/>
          <w:szCs w:val="18"/>
        </w:rPr>
        <w:t xml:space="preserve"> </w:t>
      </w:r>
      <w:r w:rsidRPr="00C51410">
        <w:rPr>
          <w:rFonts w:asciiTheme="minorHAnsi" w:hAnsiTheme="minorHAnsi" w:cstheme="minorHAnsi"/>
          <w:sz w:val="18"/>
          <w:szCs w:val="18"/>
        </w:rPr>
        <w:t>Bu ideolojik ayrışma Prof. Yılmaz Esmer ve Bahar Ayça Okçuoğlu</w:t>
      </w:r>
      <w:r w:rsidR="00463847">
        <w:rPr>
          <w:rFonts w:asciiTheme="minorHAnsi" w:hAnsiTheme="minorHAnsi" w:cstheme="minorHAnsi"/>
          <w:sz w:val="18"/>
          <w:szCs w:val="18"/>
        </w:rPr>
        <w:t>’nun, “Parla</w:t>
      </w:r>
      <w:r w:rsidRPr="00C51410">
        <w:rPr>
          <w:rFonts w:asciiTheme="minorHAnsi" w:hAnsiTheme="minorHAnsi" w:cstheme="minorHAnsi"/>
          <w:sz w:val="18"/>
          <w:szCs w:val="18"/>
        </w:rPr>
        <w:t xml:space="preserve">mentoda kutuplaşma derinleşiyor” isimli </w:t>
      </w:r>
      <w:r w:rsidRPr="006F32F1">
        <w:rPr>
          <w:rFonts w:asciiTheme="minorHAnsi" w:hAnsiTheme="minorHAnsi" w:cstheme="minorHAnsi"/>
          <w:sz w:val="18"/>
          <w:szCs w:val="18"/>
        </w:rPr>
        <w:t>araştırma notunda, aynı araştırmaya dayanan verilerle gösterilmiştir.</w:t>
      </w:r>
    </w:p>
  </w:footnote>
  <w:footnote w:id="5">
    <w:p w:rsidR="006F32F1" w:rsidRPr="00472231" w:rsidRDefault="006F32F1">
      <w:pPr>
        <w:pStyle w:val="FootnoteText"/>
        <w:rPr>
          <w:rFonts w:asciiTheme="minorHAnsi" w:hAnsiTheme="minorHAnsi" w:cstheme="minorHAnsi"/>
          <w:sz w:val="18"/>
          <w:szCs w:val="18"/>
        </w:rPr>
      </w:pPr>
      <w:r w:rsidRPr="00472231">
        <w:rPr>
          <w:rStyle w:val="FootnoteReference"/>
          <w:rFonts w:asciiTheme="minorHAnsi" w:hAnsiTheme="minorHAnsi" w:cstheme="minorHAnsi"/>
          <w:sz w:val="18"/>
          <w:szCs w:val="18"/>
        </w:rPr>
        <w:footnoteRef/>
      </w:r>
      <w:r w:rsidRPr="00472231">
        <w:rPr>
          <w:rFonts w:asciiTheme="minorHAnsi" w:hAnsiTheme="minorHAnsi" w:cstheme="minorHAnsi"/>
          <w:sz w:val="18"/>
          <w:szCs w:val="18"/>
        </w:rPr>
        <w:t xml:space="preserve"> </w:t>
      </w:r>
      <w:r w:rsidR="00352974" w:rsidRPr="00472231">
        <w:rPr>
          <w:rFonts w:asciiTheme="minorHAnsi" w:hAnsiTheme="minorHAnsi" w:cstheme="minorHAnsi"/>
          <w:sz w:val="18"/>
          <w:szCs w:val="18"/>
        </w:rPr>
        <w:t xml:space="preserve">HDP’ye </w:t>
      </w:r>
      <w:r w:rsidR="00352974" w:rsidRPr="00472231">
        <w:rPr>
          <w:rFonts w:asciiTheme="minorHAnsi" w:hAnsiTheme="minorHAnsi" w:cstheme="minorHAnsi"/>
          <w:sz w:val="18"/>
          <w:szCs w:val="18"/>
        </w:rPr>
        <w:t xml:space="preserve">ait örneklemin kısıtlı olması sebebiyle, </w:t>
      </w:r>
      <w:r w:rsidR="00277C4E">
        <w:rPr>
          <w:rFonts w:asciiTheme="minorHAnsi" w:hAnsiTheme="minorHAnsi" w:cstheme="minorHAnsi"/>
          <w:sz w:val="18"/>
          <w:szCs w:val="18"/>
        </w:rPr>
        <w:t xml:space="preserve">sonucun </w:t>
      </w:r>
      <w:r w:rsidR="00352974" w:rsidRPr="00472231">
        <w:rPr>
          <w:rFonts w:asciiTheme="minorHAnsi" w:hAnsiTheme="minorHAnsi" w:cstheme="minorHAnsi"/>
          <w:sz w:val="18"/>
          <w:szCs w:val="18"/>
        </w:rPr>
        <w:t xml:space="preserve">yüzde ile ifade edilmesi gerçek bulguyu yansıtmayacaktır. </w:t>
      </w:r>
    </w:p>
  </w:footnote>
  <w:footnote w:id="6">
    <w:p w:rsidR="00890EC9" w:rsidRPr="00890EC9" w:rsidRDefault="00890EC9">
      <w:pPr>
        <w:pStyle w:val="FootnoteText"/>
        <w:rPr>
          <w:rFonts w:asciiTheme="minorHAnsi" w:hAnsiTheme="minorHAnsi" w:cstheme="minorHAnsi"/>
          <w:sz w:val="18"/>
          <w:szCs w:val="18"/>
        </w:rPr>
      </w:pPr>
      <w:r w:rsidRPr="00890EC9">
        <w:rPr>
          <w:rStyle w:val="FootnoteReference"/>
          <w:rFonts w:asciiTheme="minorHAnsi" w:hAnsiTheme="minorHAnsi" w:cstheme="minorHAnsi"/>
          <w:sz w:val="18"/>
          <w:szCs w:val="18"/>
        </w:rPr>
        <w:footnoteRef/>
      </w:r>
      <w:r w:rsidRPr="00890EC9">
        <w:rPr>
          <w:rFonts w:asciiTheme="minorHAnsi" w:hAnsiTheme="minorHAnsi" w:cstheme="minorHAnsi"/>
          <w:sz w:val="18"/>
          <w:szCs w:val="18"/>
        </w:rPr>
        <w:t xml:space="preserve"> </w:t>
      </w:r>
      <w:r>
        <w:rPr>
          <w:rFonts w:asciiTheme="minorHAnsi" w:hAnsiTheme="minorHAnsi" w:cstheme="minorHAnsi"/>
          <w:sz w:val="18"/>
          <w:szCs w:val="18"/>
        </w:rPr>
        <w:t xml:space="preserve">Bu </w:t>
      </w:r>
      <w:r>
        <w:rPr>
          <w:rFonts w:asciiTheme="minorHAnsi" w:hAnsiTheme="minorHAnsi" w:cstheme="minorHAnsi"/>
          <w:sz w:val="18"/>
          <w:szCs w:val="18"/>
        </w:rPr>
        <w:t>tanımlamaları destekleyecek nitelikte olan partilerin sol-sağ ideolojik cetvelindeki ortalamaları şöyledir: AKP 7,45; CHP 2,14; MHP 6,79; HDP 2,14 (Cetvelde 1 sol ideolojiyi, 10 sağ ideolojiyi belirtmektedir).</w:t>
      </w:r>
    </w:p>
  </w:footnote>
  <w:footnote w:id="7">
    <w:p w:rsidR="00774086" w:rsidRDefault="00774086">
      <w:pPr>
        <w:pStyle w:val="FootnoteText"/>
      </w:pPr>
      <w:r w:rsidRPr="00472231">
        <w:rPr>
          <w:rStyle w:val="FootnoteReference"/>
          <w:rFonts w:asciiTheme="minorHAnsi" w:hAnsiTheme="minorHAnsi" w:cstheme="minorHAnsi"/>
          <w:sz w:val="18"/>
          <w:szCs w:val="18"/>
        </w:rPr>
        <w:footnoteRef/>
      </w:r>
      <w:r w:rsidRPr="00472231">
        <w:rPr>
          <w:rFonts w:asciiTheme="minorHAnsi" w:hAnsiTheme="minorHAnsi" w:cstheme="minorHAnsi"/>
          <w:sz w:val="18"/>
          <w:szCs w:val="18"/>
        </w:rPr>
        <w:t xml:space="preserve"> </w:t>
      </w:r>
      <w:r w:rsidR="00472231" w:rsidRPr="00472231">
        <w:rPr>
          <w:rFonts w:asciiTheme="minorHAnsi" w:hAnsiTheme="minorHAnsi" w:cstheme="minorHAnsi"/>
          <w:sz w:val="18"/>
          <w:szCs w:val="18"/>
        </w:rPr>
        <w:t xml:space="preserve">Esmer, </w:t>
      </w:r>
      <w:r w:rsidR="00472231" w:rsidRPr="00472231">
        <w:rPr>
          <w:rFonts w:asciiTheme="minorHAnsi" w:hAnsiTheme="minorHAnsi" w:cstheme="minorHAnsi"/>
          <w:sz w:val="18"/>
          <w:szCs w:val="18"/>
        </w:rPr>
        <w:t xml:space="preserve">Y. (2012). </w:t>
      </w:r>
      <w:r w:rsidR="00472231" w:rsidRPr="000C16A3">
        <w:rPr>
          <w:rFonts w:asciiTheme="minorHAnsi" w:hAnsiTheme="minorHAnsi" w:cstheme="minorHAnsi"/>
          <w:i/>
          <w:sz w:val="18"/>
          <w:szCs w:val="18"/>
        </w:rPr>
        <w:t>Türkiye Değerler Atlası 2012</w:t>
      </w:r>
      <w:r w:rsidR="000C16A3">
        <w:rPr>
          <w:rFonts w:asciiTheme="minorHAnsi" w:hAnsiTheme="minorHAnsi" w:cstheme="minorHAnsi"/>
          <w:i/>
          <w:sz w:val="18"/>
          <w:szCs w:val="18"/>
        </w:rPr>
        <w:t>: Değişimin Kültürel Sınırları</w:t>
      </w:r>
      <w:r w:rsidR="00472231" w:rsidRPr="000C16A3">
        <w:rPr>
          <w:rFonts w:asciiTheme="minorHAnsi" w:hAnsiTheme="minorHAnsi" w:cstheme="minorHAnsi"/>
          <w:i/>
          <w:sz w:val="18"/>
          <w:szCs w:val="18"/>
        </w:rPr>
        <w:t>.</w:t>
      </w:r>
      <w:r w:rsidR="00472231" w:rsidRPr="00472231">
        <w:rPr>
          <w:rFonts w:asciiTheme="minorHAnsi" w:hAnsiTheme="minorHAnsi" w:cstheme="minorHAnsi"/>
          <w:sz w:val="18"/>
          <w:szCs w:val="18"/>
        </w:rPr>
        <w:t xml:space="preserve"> İstanbul: Bahçeşehir Üniversitesi Yayınları.</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537"/>
    <w:rsid w:val="0000527E"/>
    <w:rsid w:val="00036A98"/>
    <w:rsid w:val="00053B59"/>
    <w:rsid w:val="00056F2A"/>
    <w:rsid w:val="0006614D"/>
    <w:rsid w:val="0007235E"/>
    <w:rsid w:val="000A38C1"/>
    <w:rsid w:val="000C16A3"/>
    <w:rsid w:val="000C48F8"/>
    <w:rsid w:val="00100CF3"/>
    <w:rsid w:val="0010222D"/>
    <w:rsid w:val="001264E1"/>
    <w:rsid w:val="00137E7A"/>
    <w:rsid w:val="001447C6"/>
    <w:rsid w:val="001457CB"/>
    <w:rsid w:val="0017381F"/>
    <w:rsid w:val="001911C1"/>
    <w:rsid w:val="001A1AF3"/>
    <w:rsid w:val="0022423B"/>
    <w:rsid w:val="002327B4"/>
    <w:rsid w:val="002450DA"/>
    <w:rsid w:val="002539E7"/>
    <w:rsid w:val="00274DDD"/>
    <w:rsid w:val="00277C4E"/>
    <w:rsid w:val="002B2B9C"/>
    <w:rsid w:val="002D783D"/>
    <w:rsid w:val="002E40C9"/>
    <w:rsid w:val="002F14CE"/>
    <w:rsid w:val="003016EE"/>
    <w:rsid w:val="00350A4B"/>
    <w:rsid w:val="00351A85"/>
    <w:rsid w:val="00352974"/>
    <w:rsid w:val="00355475"/>
    <w:rsid w:val="003622E2"/>
    <w:rsid w:val="00372094"/>
    <w:rsid w:val="003813C6"/>
    <w:rsid w:val="0038489F"/>
    <w:rsid w:val="00391FD2"/>
    <w:rsid w:val="003A4A27"/>
    <w:rsid w:val="003B1885"/>
    <w:rsid w:val="003B46B9"/>
    <w:rsid w:val="003C2537"/>
    <w:rsid w:val="003D5A71"/>
    <w:rsid w:val="003D7525"/>
    <w:rsid w:val="0042346E"/>
    <w:rsid w:val="00445440"/>
    <w:rsid w:val="004611DE"/>
    <w:rsid w:val="00463847"/>
    <w:rsid w:val="0046406E"/>
    <w:rsid w:val="004657AD"/>
    <w:rsid w:val="00472231"/>
    <w:rsid w:val="004823EC"/>
    <w:rsid w:val="004B0371"/>
    <w:rsid w:val="004E5C19"/>
    <w:rsid w:val="004F14F3"/>
    <w:rsid w:val="00516A5D"/>
    <w:rsid w:val="00520924"/>
    <w:rsid w:val="00551797"/>
    <w:rsid w:val="0058300B"/>
    <w:rsid w:val="00597428"/>
    <w:rsid w:val="005A386A"/>
    <w:rsid w:val="005A46EB"/>
    <w:rsid w:val="005B38F7"/>
    <w:rsid w:val="005D6A2D"/>
    <w:rsid w:val="005F6F3F"/>
    <w:rsid w:val="00613E5D"/>
    <w:rsid w:val="00617444"/>
    <w:rsid w:val="00642367"/>
    <w:rsid w:val="006741F4"/>
    <w:rsid w:val="0068014B"/>
    <w:rsid w:val="006A04DC"/>
    <w:rsid w:val="006A0550"/>
    <w:rsid w:val="006A0EB0"/>
    <w:rsid w:val="006A0ED7"/>
    <w:rsid w:val="006C4EBF"/>
    <w:rsid w:val="006C55E3"/>
    <w:rsid w:val="006F32F1"/>
    <w:rsid w:val="00706D72"/>
    <w:rsid w:val="00740B12"/>
    <w:rsid w:val="007655D1"/>
    <w:rsid w:val="00774086"/>
    <w:rsid w:val="0078142B"/>
    <w:rsid w:val="007862B4"/>
    <w:rsid w:val="007B47E1"/>
    <w:rsid w:val="007E690D"/>
    <w:rsid w:val="007F7611"/>
    <w:rsid w:val="008031D3"/>
    <w:rsid w:val="00804DBF"/>
    <w:rsid w:val="00807418"/>
    <w:rsid w:val="00811BF8"/>
    <w:rsid w:val="00816E2C"/>
    <w:rsid w:val="00841235"/>
    <w:rsid w:val="00856458"/>
    <w:rsid w:val="00890EC9"/>
    <w:rsid w:val="008A645C"/>
    <w:rsid w:val="008A775E"/>
    <w:rsid w:val="008F2537"/>
    <w:rsid w:val="0090600B"/>
    <w:rsid w:val="009120DD"/>
    <w:rsid w:val="00942245"/>
    <w:rsid w:val="00951222"/>
    <w:rsid w:val="00951CE9"/>
    <w:rsid w:val="00954CDD"/>
    <w:rsid w:val="00960B63"/>
    <w:rsid w:val="00975C1E"/>
    <w:rsid w:val="009A0031"/>
    <w:rsid w:val="009A61D3"/>
    <w:rsid w:val="009D4623"/>
    <w:rsid w:val="009E3082"/>
    <w:rsid w:val="00A01919"/>
    <w:rsid w:val="00A0375D"/>
    <w:rsid w:val="00A26F51"/>
    <w:rsid w:val="00A31B57"/>
    <w:rsid w:val="00A51AF1"/>
    <w:rsid w:val="00A56F0C"/>
    <w:rsid w:val="00A94C8E"/>
    <w:rsid w:val="00AC4418"/>
    <w:rsid w:val="00AD0F6F"/>
    <w:rsid w:val="00AE3C3D"/>
    <w:rsid w:val="00B24A9D"/>
    <w:rsid w:val="00B26323"/>
    <w:rsid w:val="00B2794F"/>
    <w:rsid w:val="00B405AD"/>
    <w:rsid w:val="00B61B4A"/>
    <w:rsid w:val="00B636A1"/>
    <w:rsid w:val="00BB2455"/>
    <w:rsid w:val="00BD58BD"/>
    <w:rsid w:val="00BE5FD3"/>
    <w:rsid w:val="00C066B2"/>
    <w:rsid w:val="00C075E1"/>
    <w:rsid w:val="00C30F9F"/>
    <w:rsid w:val="00C33528"/>
    <w:rsid w:val="00C44738"/>
    <w:rsid w:val="00C51410"/>
    <w:rsid w:val="00C9435C"/>
    <w:rsid w:val="00CA4F01"/>
    <w:rsid w:val="00CC64A6"/>
    <w:rsid w:val="00CE035E"/>
    <w:rsid w:val="00CE2C64"/>
    <w:rsid w:val="00CE3FA5"/>
    <w:rsid w:val="00CE5B94"/>
    <w:rsid w:val="00CF5D30"/>
    <w:rsid w:val="00D06F5E"/>
    <w:rsid w:val="00D32D07"/>
    <w:rsid w:val="00D4767C"/>
    <w:rsid w:val="00D61385"/>
    <w:rsid w:val="00D900DC"/>
    <w:rsid w:val="00D9550E"/>
    <w:rsid w:val="00DA3176"/>
    <w:rsid w:val="00DA3F4A"/>
    <w:rsid w:val="00DC7B41"/>
    <w:rsid w:val="00DD56F1"/>
    <w:rsid w:val="00DD6D76"/>
    <w:rsid w:val="00DE2BCC"/>
    <w:rsid w:val="00E00CF4"/>
    <w:rsid w:val="00E400EF"/>
    <w:rsid w:val="00E47F71"/>
    <w:rsid w:val="00E57645"/>
    <w:rsid w:val="00E57B3C"/>
    <w:rsid w:val="00E8310D"/>
    <w:rsid w:val="00E901A2"/>
    <w:rsid w:val="00E9510A"/>
    <w:rsid w:val="00ED3669"/>
    <w:rsid w:val="00EE16C2"/>
    <w:rsid w:val="00F109B7"/>
    <w:rsid w:val="00F77E31"/>
    <w:rsid w:val="00F84724"/>
    <w:rsid w:val="00FD6726"/>
    <w:rsid w:val="00FE13A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E690D"/>
    <w:rPr>
      <w:sz w:val="24"/>
      <w:szCs w:val="24"/>
    </w:rPr>
  </w:style>
  <w:style w:type="paragraph" w:styleId="Heading3">
    <w:name w:val="heading 3"/>
    <w:basedOn w:val="Normal"/>
    <w:next w:val="Normal"/>
    <w:link w:val="Heading3Char"/>
    <w:qFormat/>
    <w:rsid w:val="00FE13A8"/>
    <w:pPr>
      <w:keepNext/>
      <w:spacing w:before="240" w:after="60"/>
      <w:outlineLvl w:val="2"/>
    </w:pPr>
    <w:rPr>
      <w:rFonts w:ascii="Arial" w:hAnsi="Arial" w:cs="Arial"/>
      <w:b/>
      <w:bCs/>
      <w:sz w:val="26"/>
      <w:szCs w:val="2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F2537"/>
    <w:pPr>
      <w:autoSpaceDE w:val="0"/>
      <w:autoSpaceDN w:val="0"/>
      <w:adjustRightInd w:val="0"/>
    </w:pPr>
    <w:rPr>
      <w:rFonts w:ascii="Calibri" w:hAnsi="Calibri" w:cs="Calibri"/>
      <w:color w:val="000000"/>
      <w:sz w:val="24"/>
      <w:szCs w:val="24"/>
    </w:rPr>
  </w:style>
  <w:style w:type="paragraph" w:styleId="FootnoteText">
    <w:name w:val="footnote text"/>
    <w:basedOn w:val="Normal"/>
    <w:link w:val="FootnoteTextChar"/>
    <w:semiHidden/>
    <w:rsid w:val="00975C1E"/>
    <w:rPr>
      <w:sz w:val="20"/>
      <w:szCs w:val="20"/>
    </w:rPr>
  </w:style>
  <w:style w:type="character" w:styleId="FootnoteReference">
    <w:name w:val="footnote reference"/>
    <w:basedOn w:val="DefaultParagraphFont"/>
    <w:semiHidden/>
    <w:rsid w:val="00975C1E"/>
    <w:rPr>
      <w:vertAlign w:val="superscript"/>
    </w:rPr>
  </w:style>
  <w:style w:type="character" w:styleId="CommentReference">
    <w:name w:val="annotation reference"/>
    <w:basedOn w:val="DefaultParagraphFont"/>
    <w:semiHidden/>
    <w:rsid w:val="00A31B57"/>
    <w:rPr>
      <w:sz w:val="16"/>
      <w:szCs w:val="16"/>
    </w:rPr>
  </w:style>
  <w:style w:type="paragraph" w:styleId="CommentText">
    <w:name w:val="annotation text"/>
    <w:basedOn w:val="Normal"/>
    <w:semiHidden/>
    <w:rsid w:val="00A31B57"/>
    <w:rPr>
      <w:sz w:val="20"/>
      <w:szCs w:val="20"/>
    </w:rPr>
  </w:style>
  <w:style w:type="paragraph" w:styleId="CommentSubject">
    <w:name w:val="annotation subject"/>
    <w:basedOn w:val="CommentText"/>
    <w:next w:val="CommentText"/>
    <w:semiHidden/>
    <w:rsid w:val="00A31B57"/>
    <w:rPr>
      <w:b/>
      <w:bCs/>
    </w:rPr>
  </w:style>
  <w:style w:type="paragraph" w:styleId="BalloonText">
    <w:name w:val="Balloon Text"/>
    <w:basedOn w:val="Normal"/>
    <w:semiHidden/>
    <w:rsid w:val="00A31B57"/>
    <w:rPr>
      <w:rFonts w:ascii="Tahoma" w:hAnsi="Tahoma" w:cs="Tahoma"/>
      <w:sz w:val="16"/>
      <w:szCs w:val="16"/>
    </w:rPr>
  </w:style>
  <w:style w:type="character" w:customStyle="1" w:styleId="Heading3Char">
    <w:name w:val="Heading 3 Char"/>
    <w:basedOn w:val="DefaultParagraphFont"/>
    <w:link w:val="Heading3"/>
    <w:rsid w:val="00FE13A8"/>
    <w:rPr>
      <w:rFonts w:ascii="Arial" w:hAnsi="Arial" w:cs="Arial"/>
      <w:b/>
      <w:bCs/>
      <w:sz w:val="26"/>
      <w:szCs w:val="26"/>
      <w:lang w:val="en-GB" w:eastAsia="en-GB"/>
    </w:rPr>
  </w:style>
  <w:style w:type="character" w:customStyle="1" w:styleId="FootnoteTextChar">
    <w:name w:val="Footnote Text Char"/>
    <w:basedOn w:val="DefaultParagraphFont"/>
    <w:link w:val="FootnoteText"/>
    <w:semiHidden/>
    <w:rsid w:val="00960B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E690D"/>
    <w:rPr>
      <w:sz w:val="24"/>
      <w:szCs w:val="24"/>
    </w:rPr>
  </w:style>
  <w:style w:type="paragraph" w:styleId="Heading3">
    <w:name w:val="heading 3"/>
    <w:basedOn w:val="Normal"/>
    <w:next w:val="Normal"/>
    <w:link w:val="Heading3Char"/>
    <w:qFormat/>
    <w:rsid w:val="00FE13A8"/>
    <w:pPr>
      <w:keepNext/>
      <w:spacing w:before="240" w:after="60"/>
      <w:outlineLvl w:val="2"/>
    </w:pPr>
    <w:rPr>
      <w:rFonts w:ascii="Arial" w:hAnsi="Arial" w:cs="Arial"/>
      <w:b/>
      <w:bCs/>
      <w:sz w:val="26"/>
      <w:szCs w:val="2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F2537"/>
    <w:pPr>
      <w:autoSpaceDE w:val="0"/>
      <w:autoSpaceDN w:val="0"/>
      <w:adjustRightInd w:val="0"/>
    </w:pPr>
    <w:rPr>
      <w:rFonts w:ascii="Calibri" w:hAnsi="Calibri" w:cs="Calibri"/>
      <w:color w:val="000000"/>
      <w:sz w:val="24"/>
      <w:szCs w:val="24"/>
    </w:rPr>
  </w:style>
  <w:style w:type="paragraph" w:styleId="FootnoteText">
    <w:name w:val="footnote text"/>
    <w:basedOn w:val="Normal"/>
    <w:link w:val="FootnoteTextChar"/>
    <w:semiHidden/>
    <w:rsid w:val="00975C1E"/>
    <w:rPr>
      <w:sz w:val="20"/>
      <w:szCs w:val="20"/>
    </w:rPr>
  </w:style>
  <w:style w:type="character" w:styleId="FootnoteReference">
    <w:name w:val="footnote reference"/>
    <w:basedOn w:val="DefaultParagraphFont"/>
    <w:semiHidden/>
    <w:rsid w:val="00975C1E"/>
    <w:rPr>
      <w:vertAlign w:val="superscript"/>
    </w:rPr>
  </w:style>
  <w:style w:type="character" w:styleId="CommentReference">
    <w:name w:val="annotation reference"/>
    <w:basedOn w:val="DefaultParagraphFont"/>
    <w:semiHidden/>
    <w:rsid w:val="00A31B57"/>
    <w:rPr>
      <w:sz w:val="16"/>
      <w:szCs w:val="16"/>
    </w:rPr>
  </w:style>
  <w:style w:type="paragraph" w:styleId="CommentText">
    <w:name w:val="annotation text"/>
    <w:basedOn w:val="Normal"/>
    <w:semiHidden/>
    <w:rsid w:val="00A31B57"/>
    <w:rPr>
      <w:sz w:val="20"/>
      <w:szCs w:val="20"/>
    </w:rPr>
  </w:style>
  <w:style w:type="paragraph" w:styleId="CommentSubject">
    <w:name w:val="annotation subject"/>
    <w:basedOn w:val="CommentText"/>
    <w:next w:val="CommentText"/>
    <w:semiHidden/>
    <w:rsid w:val="00A31B57"/>
    <w:rPr>
      <w:b/>
      <w:bCs/>
    </w:rPr>
  </w:style>
  <w:style w:type="paragraph" w:styleId="BalloonText">
    <w:name w:val="Balloon Text"/>
    <w:basedOn w:val="Normal"/>
    <w:semiHidden/>
    <w:rsid w:val="00A31B57"/>
    <w:rPr>
      <w:rFonts w:ascii="Tahoma" w:hAnsi="Tahoma" w:cs="Tahoma"/>
      <w:sz w:val="16"/>
      <w:szCs w:val="16"/>
    </w:rPr>
  </w:style>
  <w:style w:type="character" w:customStyle="1" w:styleId="Heading3Char">
    <w:name w:val="Heading 3 Char"/>
    <w:basedOn w:val="DefaultParagraphFont"/>
    <w:link w:val="Heading3"/>
    <w:rsid w:val="00FE13A8"/>
    <w:rPr>
      <w:rFonts w:ascii="Arial" w:hAnsi="Arial" w:cs="Arial"/>
      <w:b/>
      <w:bCs/>
      <w:sz w:val="26"/>
      <w:szCs w:val="26"/>
      <w:lang w:val="en-GB" w:eastAsia="en-GB"/>
    </w:rPr>
  </w:style>
  <w:style w:type="character" w:customStyle="1" w:styleId="FootnoteTextChar">
    <w:name w:val="Footnote Text Char"/>
    <w:basedOn w:val="DefaultParagraphFont"/>
    <w:link w:val="FootnoteText"/>
    <w:semiHidden/>
    <w:rsid w:val="00960B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tr-TR" sz="1400"/>
              <a:t>Şiddetli</a:t>
            </a:r>
            <a:r>
              <a:rPr lang="tr-TR" sz="1400" baseline="0"/>
              <a:t> ihtilaf, çatışma olduğunu düşünen milletvekillerinin partilere göre yüzdeleri</a:t>
            </a:r>
            <a:endParaRPr lang="en-US" sz="1400"/>
          </a:p>
        </c:rich>
      </c:tx>
      <c:overlay val="0"/>
    </c:title>
    <c:autoTitleDeleted val="0"/>
    <c:plotArea>
      <c:layout/>
      <c:barChart>
        <c:barDir val="col"/>
        <c:grouping val="clustered"/>
        <c:varyColors val="0"/>
        <c:ser>
          <c:idx val="0"/>
          <c:order val="0"/>
          <c:tx>
            <c:strRef>
              <c:f>Sheet1!$B$1</c:f>
              <c:strCache>
                <c:ptCount val="1"/>
                <c:pt idx="0">
                  <c:v>2013</c:v>
                </c:pt>
              </c:strCache>
            </c:strRef>
          </c:tx>
          <c:invertIfNegative val="0"/>
          <c:dLbls>
            <c:dLbl>
              <c:idx val="0"/>
              <c:layout>
                <c:manualLayout>
                  <c:x val="2.1218890680033515E-17"/>
                  <c:y val="1.1904761904761923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Sheet1!$A$2:$A$5</c:f>
              <c:strCache>
                <c:ptCount val="4"/>
                <c:pt idx="0">
                  <c:v>AKP</c:v>
                </c:pt>
                <c:pt idx="1">
                  <c:v>CHP</c:v>
                </c:pt>
                <c:pt idx="2">
                  <c:v>MHP</c:v>
                </c:pt>
                <c:pt idx="3">
                  <c:v>HDP</c:v>
                </c:pt>
              </c:strCache>
            </c:strRef>
          </c:cat>
          <c:val>
            <c:numRef>
              <c:f>Sheet1!$B$2:$B$5</c:f>
              <c:numCache>
                <c:formatCode>General</c:formatCode>
                <c:ptCount val="4"/>
                <c:pt idx="0">
                  <c:v>2.2999999999999998</c:v>
                </c:pt>
                <c:pt idx="1">
                  <c:v>27</c:v>
                </c:pt>
                <c:pt idx="2">
                  <c:v>12.5</c:v>
                </c:pt>
                <c:pt idx="3">
                  <c:v>75</c:v>
                </c:pt>
              </c:numCache>
            </c:numRef>
          </c:val>
        </c:ser>
        <c:dLbls>
          <c:showLegendKey val="0"/>
          <c:showVal val="0"/>
          <c:showCatName val="0"/>
          <c:showSerName val="0"/>
          <c:showPercent val="0"/>
          <c:showBubbleSize val="0"/>
        </c:dLbls>
        <c:gapWidth val="150"/>
        <c:axId val="159048832"/>
        <c:axId val="159050368"/>
      </c:barChart>
      <c:catAx>
        <c:axId val="159048832"/>
        <c:scaling>
          <c:orientation val="minMax"/>
        </c:scaling>
        <c:delete val="0"/>
        <c:axPos val="b"/>
        <c:majorTickMark val="out"/>
        <c:minorTickMark val="none"/>
        <c:tickLblPos val="nextTo"/>
        <c:crossAx val="159050368"/>
        <c:crosses val="autoZero"/>
        <c:auto val="1"/>
        <c:lblAlgn val="ctr"/>
        <c:lblOffset val="100"/>
        <c:noMultiLvlLbl val="0"/>
      </c:catAx>
      <c:valAx>
        <c:axId val="159050368"/>
        <c:scaling>
          <c:orientation val="minMax"/>
          <c:max val="100"/>
        </c:scaling>
        <c:delete val="0"/>
        <c:axPos val="l"/>
        <c:majorGridlines/>
        <c:numFmt formatCode="General" sourceLinked="1"/>
        <c:majorTickMark val="out"/>
        <c:minorTickMark val="none"/>
        <c:tickLblPos val="nextTo"/>
        <c:crossAx val="159048832"/>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tr-TR"/>
              <a:t>2007</a:t>
            </a:r>
          </a:p>
        </c:rich>
      </c:tx>
      <c:overlay val="0"/>
    </c:title>
    <c:autoTitleDeleted val="0"/>
    <c:plotArea>
      <c:layout/>
      <c:barChart>
        <c:barDir val="col"/>
        <c:grouping val="clustered"/>
        <c:varyColors val="0"/>
        <c:ser>
          <c:idx val="0"/>
          <c:order val="0"/>
          <c:tx>
            <c:strRef>
              <c:f>Sheet1!$B$1</c:f>
              <c:strCache>
                <c:ptCount val="1"/>
                <c:pt idx="0">
                  <c:v>Tamamen güvenirim</c:v>
                </c:pt>
              </c:strCache>
            </c:strRef>
          </c:tx>
          <c:invertIfNegative val="0"/>
          <c:dLbls>
            <c:dLbl>
              <c:idx val="0"/>
              <c:layout>
                <c:manualLayout>
                  <c:x val="0"/>
                  <c:y val="1.9841269841269871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Sheet1!$A$2:$A$5</c:f>
              <c:strCache>
                <c:ptCount val="2"/>
                <c:pt idx="0">
                  <c:v>AKP</c:v>
                </c:pt>
                <c:pt idx="1">
                  <c:v>CHP</c:v>
                </c:pt>
              </c:strCache>
            </c:strRef>
          </c:cat>
          <c:val>
            <c:numRef>
              <c:f>Sheet1!$B$2:$B$5</c:f>
              <c:numCache>
                <c:formatCode>General</c:formatCode>
                <c:ptCount val="4"/>
                <c:pt idx="0">
                  <c:v>4.3</c:v>
                </c:pt>
                <c:pt idx="1">
                  <c:v>6.5</c:v>
                </c:pt>
              </c:numCache>
            </c:numRef>
          </c:val>
        </c:ser>
        <c:ser>
          <c:idx val="1"/>
          <c:order val="1"/>
          <c:tx>
            <c:strRef>
              <c:f>Sheet1!$C$1</c:f>
              <c:strCache>
                <c:ptCount val="1"/>
                <c:pt idx="0">
                  <c:v>Bir ölçüde güvenirim</c:v>
                </c:pt>
              </c:strCache>
            </c:strRef>
          </c:tx>
          <c:invertIfNegative val="0"/>
          <c:dLbls>
            <c:showLegendKey val="0"/>
            <c:showVal val="1"/>
            <c:showCatName val="0"/>
            <c:showSerName val="0"/>
            <c:showPercent val="0"/>
            <c:showBubbleSize val="0"/>
            <c:showLeaderLines val="0"/>
          </c:dLbls>
          <c:cat>
            <c:strRef>
              <c:f>Sheet1!$A$2:$A$5</c:f>
              <c:strCache>
                <c:ptCount val="2"/>
                <c:pt idx="0">
                  <c:v>AKP</c:v>
                </c:pt>
                <c:pt idx="1">
                  <c:v>CHP</c:v>
                </c:pt>
              </c:strCache>
            </c:strRef>
          </c:cat>
          <c:val>
            <c:numRef>
              <c:f>Sheet1!$C$2:$C$5</c:f>
              <c:numCache>
                <c:formatCode>General</c:formatCode>
                <c:ptCount val="4"/>
                <c:pt idx="0">
                  <c:v>38.700000000000003</c:v>
                </c:pt>
                <c:pt idx="1">
                  <c:v>67.400000000000006</c:v>
                </c:pt>
              </c:numCache>
            </c:numRef>
          </c:val>
        </c:ser>
        <c:ser>
          <c:idx val="2"/>
          <c:order val="2"/>
          <c:tx>
            <c:strRef>
              <c:f>Sheet1!$D$1</c:f>
              <c:strCache>
                <c:ptCount val="1"/>
                <c:pt idx="0">
                  <c:v>Pek güvenmem</c:v>
                </c:pt>
              </c:strCache>
            </c:strRef>
          </c:tx>
          <c:invertIfNegative val="0"/>
          <c:dLbls>
            <c:dLbl>
              <c:idx val="0"/>
              <c:layout>
                <c:manualLayout>
                  <c:x val="1.4234875444839869E-2"/>
                  <c:y val="1.2194801869278541E-2"/>
                </c:manualLayout>
              </c:layout>
              <c:showLegendKey val="0"/>
              <c:showVal val="1"/>
              <c:showCatName val="0"/>
              <c:showSerName val="0"/>
              <c:showPercent val="0"/>
              <c:showBubbleSize val="0"/>
            </c:dLbl>
            <c:dLbl>
              <c:idx val="1"/>
              <c:layout>
                <c:manualLayout>
                  <c:x val="1.4234688635450819E-2"/>
                  <c:y val="2.3906280007681968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Sheet1!$A$2:$A$5</c:f>
              <c:strCache>
                <c:ptCount val="2"/>
                <c:pt idx="0">
                  <c:v>AKP</c:v>
                </c:pt>
                <c:pt idx="1">
                  <c:v>CHP</c:v>
                </c:pt>
              </c:strCache>
            </c:strRef>
          </c:cat>
          <c:val>
            <c:numRef>
              <c:f>Sheet1!$D$2:$D$5</c:f>
              <c:numCache>
                <c:formatCode>General</c:formatCode>
                <c:ptCount val="4"/>
                <c:pt idx="0">
                  <c:v>37.6</c:v>
                </c:pt>
                <c:pt idx="1">
                  <c:v>23.9</c:v>
                </c:pt>
              </c:numCache>
            </c:numRef>
          </c:val>
        </c:ser>
        <c:ser>
          <c:idx val="3"/>
          <c:order val="3"/>
          <c:tx>
            <c:strRef>
              <c:f>Sheet1!$E$1</c:f>
              <c:strCache>
                <c:ptCount val="1"/>
                <c:pt idx="0">
                  <c:v>Hiç güvenmem</c:v>
                </c:pt>
              </c:strCache>
            </c:strRef>
          </c:tx>
          <c:invertIfNegative val="0"/>
          <c:dLbls>
            <c:dLbl>
              <c:idx val="0"/>
              <c:layout>
                <c:manualLayout>
                  <c:x val="1.1862396204033249E-2"/>
                  <c:y val="-4.0650406504065054E-3"/>
                </c:manualLayout>
              </c:layout>
              <c:showLegendKey val="0"/>
              <c:showVal val="1"/>
              <c:showCatName val="0"/>
              <c:showSerName val="0"/>
              <c:showPercent val="0"/>
              <c:showBubbleSize val="0"/>
            </c:dLbl>
            <c:dLbl>
              <c:idx val="1"/>
              <c:layout>
                <c:manualLayout>
                  <c:x val="7.1174377224199293E-3"/>
                  <c:y val="8.130081300813009E-3"/>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Sheet1!$A$2:$A$5</c:f>
              <c:strCache>
                <c:ptCount val="2"/>
                <c:pt idx="0">
                  <c:v>AKP</c:v>
                </c:pt>
                <c:pt idx="1">
                  <c:v>CHP</c:v>
                </c:pt>
              </c:strCache>
            </c:strRef>
          </c:cat>
          <c:val>
            <c:numRef>
              <c:f>Sheet1!$E$2:$E$5</c:f>
              <c:numCache>
                <c:formatCode>General</c:formatCode>
                <c:ptCount val="4"/>
                <c:pt idx="0">
                  <c:v>19.399999999999999</c:v>
                </c:pt>
                <c:pt idx="1">
                  <c:v>2.2000000000000002</c:v>
                </c:pt>
              </c:numCache>
            </c:numRef>
          </c:val>
        </c:ser>
        <c:dLbls>
          <c:showLegendKey val="0"/>
          <c:showVal val="0"/>
          <c:showCatName val="0"/>
          <c:showSerName val="0"/>
          <c:showPercent val="0"/>
          <c:showBubbleSize val="0"/>
        </c:dLbls>
        <c:gapWidth val="150"/>
        <c:axId val="127593088"/>
        <c:axId val="127738240"/>
      </c:barChart>
      <c:catAx>
        <c:axId val="127593088"/>
        <c:scaling>
          <c:orientation val="minMax"/>
        </c:scaling>
        <c:delete val="0"/>
        <c:axPos val="b"/>
        <c:majorTickMark val="none"/>
        <c:minorTickMark val="none"/>
        <c:tickLblPos val="nextTo"/>
        <c:crossAx val="127738240"/>
        <c:crosses val="autoZero"/>
        <c:auto val="1"/>
        <c:lblAlgn val="ctr"/>
        <c:lblOffset val="100"/>
        <c:noMultiLvlLbl val="0"/>
      </c:catAx>
      <c:valAx>
        <c:axId val="127738240"/>
        <c:scaling>
          <c:orientation val="minMax"/>
          <c:max val="100"/>
        </c:scaling>
        <c:delete val="0"/>
        <c:axPos val="l"/>
        <c:majorGridlines/>
        <c:numFmt formatCode="General" sourceLinked="1"/>
        <c:majorTickMark val="none"/>
        <c:minorTickMark val="none"/>
        <c:tickLblPos val="nextTo"/>
        <c:crossAx val="127593088"/>
        <c:crosses val="autoZero"/>
        <c:crossBetween val="between"/>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tr-TR"/>
              <a:t>2013</a:t>
            </a:r>
          </a:p>
        </c:rich>
      </c:tx>
      <c:overlay val="0"/>
    </c:title>
    <c:autoTitleDeleted val="0"/>
    <c:plotArea>
      <c:layout/>
      <c:barChart>
        <c:barDir val="col"/>
        <c:grouping val="clustered"/>
        <c:varyColors val="0"/>
        <c:ser>
          <c:idx val="0"/>
          <c:order val="0"/>
          <c:tx>
            <c:strRef>
              <c:f>Sheet1!$B$1</c:f>
              <c:strCache>
                <c:ptCount val="1"/>
                <c:pt idx="0">
                  <c:v>Tamamen güvenirim</c:v>
                </c:pt>
              </c:strCache>
            </c:strRef>
          </c:tx>
          <c:invertIfNegative val="0"/>
          <c:dLbls>
            <c:dLbl>
              <c:idx val="3"/>
              <c:layout>
                <c:manualLayout>
                  <c:x val="-9.25925925925929E-3"/>
                  <c:y val="0"/>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Sheet1!$A$2:$A$5</c:f>
              <c:strCache>
                <c:ptCount val="4"/>
                <c:pt idx="0">
                  <c:v>AKP</c:v>
                </c:pt>
                <c:pt idx="1">
                  <c:v>CHP</c:v>
                </c:pt>
                <c:pt idx="2">
                  <c:v>MHP</c:v>
                </c:pt>
                <c:pt idx="3">
                  <c:v>HDP</c:v>
                </c:pt>
              </c:strCache>
            </c:strRef>
          </c:cat>
          <c:val>
            <c:numRef>
              <c:f>Sheet1!$B$2:$B$5</c:f>
              <c:numCache>
                <c:formatCode>General</c:formatCode>
                <c:ptCount val="4"/>
                <c:pt idx="0">
                  <c:v>1.1000000000000001</c:v>
                </c:pt>
                <c:pt idx="1">
                  <c:v>5.4</c:v>
                </c:pt>
                <c:pt idx="2">
                  <c:v>0</c:v>
                </c:pt>
                <c:pt idx="3">
                  <c:v>12.5</c:v>
                </c:pt>
              </c:numCache>
            </c:numRef>
          </c:val>
        </c:ser>
        <c:ser>
          <c:idx val="1"/>
          <c:order val="1"/>
          <c:tx>
            <c:strRef>
              <c:f>Sheet1!$C$1</c:f>
              <c:strCache>
                <c:ptCount val="1"/>
                <c:pt idx="0">
                  <c:v>Bir ölçüde güvenirim</c:v>
                </c:pt>
              </c:strCache>
            </c:strRef>
          </c:tx>
          <c:invertIfNegative val="0"/>
          <c:dLbls>
            <c:dLbl>
              <c:idx val="2"/>
              <c:layout>
                <c:manualLayout>
                  <c:x val="-1.3888888888888919E-2"/>
                  <c:y val="7.2750482331543448E-17"/>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Sheet1!$A$2:$A$5</c:f>
              <c:strCache>
                <c:ptCount val="4"/>
                <c:pt idx="0">
                  <c:v>AKP</c:v>
                </c:pt>
                <c:pt idx="1">
                  <c:v>CHP</c:v>
                </c:pt>
                <c:pt idx="2">
                  <c:v>MHP</c:v>
                </c:pt>
                <c:pt idx="3">
                  <c:v>HDP</c:v>
                </c:pt>
              </c:strCache>
            </c:strRef>
          </c:cat>
          <c:val>
            <c:numRef>
              <c:f>Sheet1!$C$2:$C$5</c:f>
              <c:numCache>
                <c:formatCode>General</c:formatCode>
                <c:ptCount val="4"/>
                <c:pt idx="0">
                  <c:v>43.2</c:v>
                </c:pt>
                <c:pt idx="1">
                  <c:v>51.4</c:v>
                </c:pt>
                <c:pt idx="2">
                  <c:v>17.600000000000001</c:v>
                </c:pt>
                <c:pt idx="3">
                  <c:v>62.5</c:v>
                </c:pt>
              </c:numCache>
            </c:numRef>
          </c:val>
        </c:ser>
        <c:ser>
          <c:idx val="2"/>
          <c:order val="2"/>
          <c:tx>
            <c:strRef>
              <c:f>Sheet1!$D$1</c:f>
              <c:strCache>
                <c:ptCount val="1"/>
                <c:pt idx="0">
                  <c:v>Pek güvenmem</c:v>
                </c:pt>
              </c:strCache>
            </c:strRef>
          </c:tx>
          <c:invertIfNegative val="0"/>
          <c:dLbls>
            <c:dLbl>
              <c:idx val="0"/>
              <c:layout>
                <c:manualLayout>
                  <c:x val="1.3888888888888919E-2"/>
                  <c:y val="0"/>
                </c:manualLayout>
              </c:layout>
              <c:showLegendKey val="0"/>
              <c:showVal val="1"/>
              <c:showCatName val="0"/>
              <c:showSerName val="0"/>
              <c:showPercent val="0"/>
              <c:showBubbleSize val="0"/>
            </c:dLbl>
            <c:dLbl>
              <c:idx val="1"/>
              <c:layout>
                <c:manualLayout>
                  <c:x val="1.3888888888888919E-2"/>
                  <c:y val="0"/>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Sheet1!$A$2:$A$5</c:f>
              <c:strCache>
                <c:ptCount val="4"/>
                <c:pt idx="0">
                  <c:v>AKP</c:v>
                </c:pt>
                <c:pt idx="1">
                  <c:v>CHP</c:v>
                </c:pt>
                <c:pt idx="2">
                  <c:v>MHP</c:v>
                </c:pt>
                <c:pt idx="3">
                  <c:v>HDP</c:v>
                </c:pt>
              </c:strCache>
            </c:strRef>
          </c:cat>
          <c:val>
            <c:numRef>
              <c:f>Sheet1!$D$2:$D$5</c:f>
              <c:numCache>
                <c:formatCode>General</c:formatCode>
                <c:ptCount val="4"/>
                <c:pt idx="0">
                  <c:v>38.6</c:v>
                </c:pt>
                <c:pt idx="1">
                  <c:v>43.2</c:v>
                </c:pt>
                <c:pt idx="2">
                  <c:v>52.9</c:v>
                </c:pt>
                <c:pt idx="3">
                  <c:v>25</c:v>
                </c:pt>
              </c:numCache>
            </c:numRef>
          </c:val>
        </c:ser>
        <c:ser>
          <c:idx val="3"/>
          <c:order val="3"/>
          <c:tx>
            <c:strRef>
              <c:f>Sheet1!$E$1</c:f>
              <c:strCache>
                <c:ptCount val="1"/>
                <c:pt idx="0">
                  <c:v>Hiç güvenmem</c:v>
                </c:pt>
              </c:strCache>
            </c:strRef>
          </c:tx>
          <c:invertIfNegative val="0"/>
          <c:dLbls>
            <c:dLbl>
              <c:idx val="2"/>
              <c:layout>
                <c:manualLayout>
                  <c:x val="1.3888888888888919E-2"/>
                  <c:y val="-7.2750482331543448E-17"/>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Sheet1!$A$2:$A$5</c:f>
              <c:strCache>
                <c:ptCount val="4"/>
                <c:pt idx="0">
                  <c:v>AKP</c:v>
                </c:pt>
                <c:pt idx="1">
                  <c:v>CHP</c:v>
                </c:pt>
                <c:pt idx="2">
                  <c:v>MHP</c:v>
                </c:pt>
                <c:pt idx="3">
                  <c:v>HDP</c:v>
                </c:pt>
              </c:strCache>
            </c:strRef>
          </c:cat>
          <c:val>
            <c:numRef>
              <c:f>Sheet1!$E$2:$E$5</c:f>
              <c:numCache>
                <c:formatCode>General</c:formatCode>
                <c:ptCount val="4"/>
                <c:pt idx="0">
                  <c:v>17</c:v>
                </c:pt>
                <c:pt idx="1">
                  <c:v>0</c:v>
                </c:pt>
                <c:pt idx="2">
                  <c:v>29.4</c:v>
                </c:pt>
                <c:pt idx="3">
                  <c:v>0</c:v>
                </c:pt>
              </c:numCache>
            </c:numRef>
          </c:val>
        </c:ser>
        <c:dLbls>
          <c:showLegendKey val="0"/>
          <c:showVal val="0"/>
          <c:showCatName val="0"/>
          <c:showSerName val="0"/>
          <c:showPercent val="0"/>
          <c:showBubbleSize val="0"/>
        </c:dLbls>
        <c:gapWidth val="150"/>
        <c:axId val="127778816"/>
        <c:axId val="127780352"/>
      </c:barChart>
      <c:catAx>
        <c:axId val="127778816"/>
        <c:scaling>
          <c:orientation val="minMax"/>
        </c:scaling>
        <c:delete val="0"/>
        <c:axPos val="b"/>
        <c:majorTickMark val="none"/>
        <c:minorTickMark val="none"/>
        <c:tickLblPos val="nextTo"/>
        <c:crossAx val="127780352"/>
        <c:crosses val="autoZero"/>
        <c:auto val="1"/>
        <c:lblAlgn val="ctr"/>
        <c:lblOffset val="100"/>
        <c:noMultiLvlLbl val="0"/>
      </c:catAx>
      <c:valAx>
        <c:axId val="127780352"/>
        <c:scaling>
          <c:orientation val="minMax"/>
        </c:scaling>
        <c:delete val="0"/>
        <c:axPos val="l"/>
        <c:majorGridlines/>
        <c:numFmt formatCode="General" sourceLinked="1"/>
        <c:majorTickMark val="none"/>
        <c:minorTickMark val="none"/>
        <c:tickLblPos val="nextTo"/>
        <c:crossAx val="127778816"/>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943DC7-39B5-4D6C-B93A-C628035DB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1461</Words>
  <Characters>8328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AAA</Company>
  <LinksUpToDate>false</LinksUpToDate>
  <CharactersWithSpaces>9770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nazlı hazar</dc:creator>
  <cp:lastModifiedBy>merve.akgul</cp:lastModifiedBy>
  <cp:revision>3</cp:revision>
  <cp:lastPrinted>2015-04-28T10:41:00Z</cp:lastPrinted>
  <dcterms:created xsi:type="dcterms:W3CDTF">2015-04-29T07:25:00Z</dcterms:created>
  <dcterms:modified xsi:type="dcterms:W3CDTF">2015-04-29T07:29:00Z</dcterms:modified>
</cp:coreProperties>
</file>