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Override PartName="/word/charts/chart2.xml" ContentType="application/vnd.openxmlformats-officedocument.drawingml.chart+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F1F55" w:rsidRPr="00525CA7" w:rsidRDefault="00551297" w:rsidP="006F1F55">
      <w:pPr>
        <w:ind w:right="4457"/>
      </w:pPr>
      <w:r w:rsidRPr="00551297">
        <w:rPr>
          <w:noProof/>
        </w:rPr>
        <w:pict>
          <v:shapetype id="_x0000_t202" coordsize="21600,21600" o:spt="202" path="m0,0l0,21600,21600,21600,21600,0xe">
            <v:stroke joinstyle="miter"/>
            <v:path gradientshapeok="t" o:connecttype="rect"/>
          </v:shapetype>
          <v:shape id="Text Box 2" o:spid="_x0000_s1026" type="#_x0000_t202" style="position:absolute;margin-left:399.3pt;margin-top:21.9pt;width:116.4pt;height:23.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" stroked="f">
            <v:fill opacity="0"/>
            <v:textbox inset="0,0,0,0">
              <w:txbxContent>
                <w:p w:rsidR="00476758" w:rsidRDefault="00476758" w:rsidP="006F1F55">
                  <w:pPr>
                    <w:pStyle w:val="Heading3"/>
                    <w:jc w:val="center"/>
                  </w:pPr>
                  <w:r>
                    <w:rPr>
                      <w:color w:val="FFFFFF"/>
                      <w:sz w:val="22"/>
                      <w:szCs w:val="22"/>
                      <w:lang w:val="tr-TR"/>
                    </w:rPr>
                    <w:t>22 Nisan 2015</w:t>
                  </w:r>
                </w:p>
              </w:txbxContent>
            </v:textbox>
          </v:shape>
        </w:pict>
      </w:r>
      <w:r w:rsidR="006F1F55" w:rsidRPr="00525CA7">
        <w:rPr>
          <w:noProof/>
          <w:lang w:val="en-US" w:eastAsia="en-US"/>
        </w:rPr>
        <w:drawing>
          <wp:anchor distT="0" distB="0" distL="114300" distR="114300" simplePos="0" relativeHeight="251659264" behindDoc="1" locked="0" layoutInCell="1" allowOverlap="1">
            <wp:simplePos x="0" y="0"/>
            <wp:positionH relativeFrom="column">
              <wp:posOffset>-795020</wp:posOffset>
            </wp:positionH>
            <wp:positionV relativeFrom="paragraph">
              <wp:posOffset>-658495</wp:posOffset>
            </wp:positionV>
            <wp:extent cx="7315200" cy="1333500"/>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15200" cy="1333500"/>
                    </a:xfrm>
                    <a:prstGeom prst="rect">
                      <a:avLst/>
                    </a:prstGeom>
                    <a:noFill/>
                  </pic:spPr>
                </pic:pic>
              </a:graphicData>
            </a:graphic>
          </wp:anchor>
        </w:drawing>
      </w:r>
      <w:r w:rsidRPr="00551297">
        <w:rPr>
          <w:noProof/>
        </w:rPr>
        <w:pict>
          <v:shape id="Text Box 3" o:spid="_x0000_s1027" type="#_x0000_t202" style="position:absolute;margin-left:131.6pt;margin-top:-36.3pt;width:312.1pt;height:3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" stroked="f">
            <v:fill opacity="0"/>
            <v:textbox inset="0,0,0,0">
              <w:txbxContent>
                <w:p w:rsidR="00476758" w:rsidRPr="002865A7" w:rsidRDefault="00476758" w:rsidP="006F1F55">
                  <w:pPr>
                    <w:pStyle w:val="Heading1"/>
                    <w:rPr>
                      <w:rFonts w:ascii="Times New Roman" w:hAnsi="Times New Roman"/>
                      <w:sz w:val="52"/>
                      <w:szCs w:val="52"/>
                    </w:rPr>
                  </w:pPr>
                  <w:r>
                    <w:rPr>
                      <w:rFonts w:ascii="Times New Roman" w:hAnsi="Times New Roman"/>
                      <w:sz w:val="52"/>
                      <w:szCs w:val="52"/>
                    </w:rPr>
                    <w:t>Araştırma Notu 15</w:t>
                  </w:r>
                  <w:r w:rsidRPr="002865A7">
                    <w:rPr>
                      <w:rFonts w:ascii="Times New Roman" w:hAnsi="Times New Roman"/>
                      <w:sz w:val="52"/>
                      <w:szCs w:val="52"/>
                    </w:rPr>
                    <w:t>/</w:t>
                  </w:r>
                  <w:r w:rsidR="004E21A0">
                    <w:rPr>
                      <w:rFonts w:ascii="Times New Roman" w:hAnsi="Times New Roman"/>
                      <w:sz w:val="52"/>
                      <w:szCs w:val="52"/>
                    </w:rPr>
                    <w:t>180</w:t>
                  </w:r>
                </w:p>
                <w:p w:rsidR="00476758" w:rsidRPr="00526178" w:rsidRDefault="00476758" w:rsidP="006F1F55">
                  <w:pPr>
                    <w:pStyle w:val="Heading2"/>
                    <w:rPr>
                      <w:b w:val="0"/>
                      <w:bCs w:val="0"/>
                      <w:i w:val="0"/>
                      <w:iCs w:val="0"/>
                    </w:rPr>
                  </w:pPr>
                </w:p>
              </w:txbxContent>
            </v:textbox>
          </v:shape>
        </w:pict>
      </w:r>
    </w:p>
    <w:p w:rsidR="006F1F55" w:rsidRPr="00525CA7" w:rsidRDefault="006F1F55" w:rsidP="006F1F55"/>
    <w:p w:rsidR="006F1F55" w:rsidRPr="00525CA7" w:rsidRDefault="006F1F55" w:rsidP="006F1F55">
      <w:pPr>
        <w:pStyle w:val="Caption"/>
        <w:keepNext/>
      </w:pPr>
    </w:p>
    <w:p w:rsidR="006F1F55" w:rsidRPr="00525CA7" w:rsidRDefault="006F1F55" w:rsidP="006F1F55">
      <w:pPr>
        <w:pStyle w:val="Caption"/>
        <w:keepNext/>
      </w:pPr>
    </w:p>
    <w:p w:rsidR="00DA1A18" w:rsidRDefault="00DA1A18" w:rsidP="006F1F55">
      <w:pPr>
        <w:jc w:val="center"/>
        <w:rPr>
          <w:b/>
          <w:sz w:val="32"/>
          <w:szCs w:val="32"/>
        </w:rPr>
      </w:pPr>
      <w:r>
        <w:rPr>
          <w:b/>
          <w:sz w:val="32"/>
          <w:szCs w:val="32"/>
        </w:rPr>
        <w:t xml:space="preserve">ÇOCUKLARIN YARISI MADDİ YOKSUNLUK İÇİNDE </w:t>
      </w:r>
    </w:p>
    <w:p w:rsidR="006F1F55" w:rsidRPr="00441DBA" w:rsidRDefault="006F1F55" w:rsidP="006F1F55">
      <w:pPr>
        <w:jc w:val="center"/>
        <w:rPr>
          <w:b/>
          <w:bCs/>
        </w:rPr>
      </w:pPr>
      <w:r w:rsidRPr="00441DBA">
        <w:rPr>
          <w:b/>
          <w:bCs/>
        </w:rPr>
        <w:t>Seyfettin Gürsel</w:t>
      </w:r>
      <w:r w:rsidRPr="00441DBA">
        <w:rPr>
          <w:b/>
          <w:bCs/>
          <w:vertAlign w:val="superscript"/>
        </w:rPr>
        <w:footnoteReference w:customMarkFollows="1" w:id="1"/>
        <w:t>*</w:t>
      </w:r>
      <w:r w:rsidRPr="00441DBA">
        <w:rPr>
          <w:b/>
          <w:bCs/>
        </w:rPr>
        <w:t>, Gökçe Uysal</w:t>
      </w:r>
      <w:r w:rsidRPr="00441DBA">
        <w:rPr>
          <w:b/>
          <w:bCs/>
          <w:vertAlign w:val="superscript"/>
        </w:rPr>
        <w:footnoteReference w:customMarkFollows="1" w:id="2"/>
        <w:sym w:font="Symbol" w:char="F02A"/>
      </w:r>
      <w:r w:rsidRPr="00441DBA">
        <w:rPr>
          <w:b/>
          <w:bCs/>
          <w:vertAlign w:val="superscript"/>
        </w:rPr>
        <w:sym w:font="Symbol" w:char="F02A"/>
      </w:r>
      <w:r w:rsidRPr="00441DBA">
        <w:rPr>
          <w:b/>
          <w:bCs/>
        </w:rPr>
        <w:t xml:space="preserve"> ve </w:t>
      </w:r>
      <w:r>
        <w:rPr>
          <w:b/>
          <w:bCs/>
        </w:rPr>
        <w:t xml:space="preserve">Mine Durmaz </w:t>
      </w:r>
      <w:r w:rsidRPr="00441DBA">
        <w:rPr>
          <w:b/>
          <w:bCs/>
          <w:vertAlign w:val="superscript"/>
        </w:rPr>
        <w:footnoteReference w:customMarkFollows="1" w:id="3"/>
        <w:sym w:font="Symbol" w:char="F02A"/>
      </w:r>
      <w:r w:rsidRPr="00441DBA">
        <w:rPr>
          <w:b/>
          <w:bCs/>
          <w:vertAlign w:val="superscript"/>
        </w:rPr>
        <w:sym w:font="Symbol" w:char="F02A"/>
      </w:r>
      <w:r w:rsidRPr="00441DBA">
        <w:rPr>
          <w:b/>
          <w:bCs/>
          <w:vertAlign w:val="superscript"/>
        </w:rPr>
        <w:sym w:font="Symbol" w:char="F02A"/>
      </w:r>
      <w:bookmarkStart w:id="0" w:name="_GoBack"/>
      <w:bookmarkEnd w:id="0"/>
    </w:p>
    <w:p w:rsidR="006F1F55" w:rsidRPr="00525CA7" w:rsidRDefault="006F1F55" w:rsidP="006F1F55">
      <w:pPr>
        <w:jc w:val="center"/>
        <w:rPr>
          <w:b/>
          <w:bCs/>
          <w:sz w:val="28"/>
          <w:szCs w:val="28"/>
        </w:rPr>
      </w:pPr>
      <w:r w:rsidRPr="00525CA7">
        <w:rPr>
          <w:b/>
          <w:bCs/>
          <w:sz w:val="28"/>
          <w:szCs w:val="28"/>
        </w:rPr>
        <w:t>Yönetici Özeti</w:t>
      </w:r>
    </w:p>
    <w:p w:rsidR="00D236A8" w:rsidRDefault="00541B14" w:rsidP="005D3B96">
      <w:pPr>
        <w:jc w:val="both"/>
      </w:pPr>
      <w:r>
        <w:t>Avrupa Birliği standartlarına göre 2013 yılında Türkiye’de 0-15 yaş arasındaki çocukların yarısı</w:t>
      </w:r>
      <w:r w:rsidR="008C4EA7">
        <w:t>, yani</w:t>
      </w:r>
      <w:r>
        <w:t xml:space="preserve"> yaklaşık 10 milyon çocuk şiddetli maddi y</w:t>
      </w:r>
      <w:r w:rsidR="0086736B">
        <w:t>oksunluk içindedir. Türkiye’de</w:t>
      </w:r>
      <w:r w:rsidR="004B704F">
        <w:t>ki</w:t>
      </w:r>
      <w:r>
        <w:t xml:space="preserve"> </w:t>
      </w:r>
      <w:r w:rsidR="00661545">
        <w:t xml:space="preserve">çocuklar arasında </w:t>
      </w:r>
      <w:r>
        <w:t xml:space="preserve">şiddetli </w:t>
      </w:r>
      <w:r w:rsidR="00661545">
        <w:t>maddi yoksunluk</w:t>
      </w:r>
      <w:r>
        <w:t xml:space="preserve"> sadece </w:t>
      </w:r>
      <w:r w:rsidR="00AB4107">
        <w:t xml:space="preserve">Kuzey </w:t>
      </w:r>
      <w:r w:rsidR="00092FCE">
        <w:t xml:space="preserve">Avrupa’daki </w:t>
      </w:r>
      <w:r>
        <w:t>gelişmiş ülkelerden değil, ayrıca kişi başı</w:t>
      </w:r>
      <w:r w:rsidR="00B719CE">
        <w:t xml:space="preserve">na geliri </w:t>
      </w:r>
      <w:r w:rsidR="00F1581F">
        <w:t>düşük</w:t>
      </w:r>
      <w:r>
        <w:t xml:space="preserve"> Bulgaristan, Romanya gibi ülkelerden ve </w:t>
      </w:r>
      <w:r w:rsidR="00362EAE">
        <w:rPr>
          <w:rFonts w:cs="Arial"/>
        </w:rPr>
        <w:t>y</w:t>
      </w:r>
      <w:r w:rsidRPr="00591291">
        <w:rPr>
          <w:rFonts w:cs="Arial"/>
        </w:rPr>
        <w:t>ıllardır şiddetli bir ekonomik krizin ortasında yer alan Yunanistan</w:t>
      </w:r>
      <w:r>
        <w:t xml:space="preserve">’dan bile daha yüksektir. </w:t>
      </w:r>
      <w:r w:rsidR="00402834">
        <w:t>TÜİK tarafından yayımlanan Gelir ve Yaşam Koşulları Anketi 2013 yılı kesit verilerine göre ş</w:t>
      </w:r>
      <w:r w:rsidR="006566F1">
        <w:t xml:space="preserve">iddetli maddi yoksunluk içinde olan çocukların oranı Türkiye’nin batı bölgelerinde yüzde 30-40 civarında iken, </w:t>
      </w:r>
      <w:r w:rsidR="00D236A8">
        <w:t>doğu bölgelerinde bu oran yüzde 60-70’lere çıkmaktadır. Şiddetli çocuk yoksunluğunun en y</w:t>
      </w:r>
      <w:r w:rsidR="00B719CE">
        <w:t>aygın</w:t>
      </w:r>
      <w:r w:rsidR="00D236A8">
        <w:t xml:space="preserve"> olduğu bölge Güney Doğu Anadolu bölgesidir ve bu bölgede her dört çocuktan üçü şiddetli maddi yoksunluk içerisindedir. Türkiye’de çocukların yarısının şiddetli maddi yoksunluk içinde yaşamasının </w:t>
      </w:r>
      <w:r w:rsidR="005A2B8E">
        <w:t xml:space="preserve">altında </w:t>
      </w:r>
      <w:r w:rsidR="00D236A8">
        <w:t xml:space="preserve">birkaç alt kalemdeki yoksunluk ön plana çıkmaktadır. Her 5 çocuktan 4’ü tatil yapamazken, çocukların yarısı haftada en az 3 gün et, tavuk, balık gibi protein içeren gıdalarla beslenememektedir.  </w:t>
      </w:r>
      <w:r w:rsidR="005D3B96">
        <w:t>Türkiye'nin politika gündeminde doğurganlığı artırmayı hedefleyen politikaların mevcut çocukların durumunu iyileştirmeyi dikkate almadan tasarlanması bu politikalar neticesinde doğacak çocukların gelecekleri açısından da ümitsizlik vermektedir.</w:t>
      </w:r>
    </w:p>
    <w:p w:rsidR="00005C13" w:rsidRDefault="007B2693" w:rsidP="00005C13">
      <w:pPr>
        <w:rPr>
          <w:b/>
          <w:bCs/>
          <w:sz w:val="24"/>
          <w:szCs w:val="24"/>
        </w:rPr>
      </w:pPr>
      <w:r>
        <w:rPr>
          <w:b/>
          <w:bCs/>
          <w:sz w:val="24"/>
          <w:szCs w:val="24"/>
        </w:rPr>
        <w:t xml:space="preserve">Avrupa’da en şiddetli </w:t>
      </w:r>
      <w:r w:rsidR="00005C13" w:rsidRPr="00525CA7">
        <w:rPr>
          <w:b/>
          <w:bCs/>
          <w:sz w:val="24"/>
          <w:szCs w:val="24"/>
        </w:rPr>
        <w:t xml:space="preserve">maddi yoksunluk </w:t>
      </w:r>
      <w:r>
        <w:rPr>
          <w:b/>
          <w:bCs/>
          <w:sz w:val="24"/>
          <w:szCs w:val="24"/>
        </w:rPr>
        <w:t>Türkiye’de</w:t>
      </w:r>
      <w:r w:rsidR="00005C13" w:rsidRPr="00525CA7">
        <w:rPr>
          <w:b/>
          <w:bCs/>
          <w:sz w:val="24"/>
          <w:szCs w:val="24"/>
        </w:rPr>
        <w:t xml:space="preserve"> </w:t>
      </w:r>
    </w:p>
    <w:p w:rsidR="004F4D6F" w:rsidRPr="00591291" w:rsidRDefault="004F4D6F" w:rsidP="004F4D6F">
      <w:pPr>
        <w:jc w:val="both"/>
        <w:rPr>
          <w:rFonts w:cs="Arial"/>
        </w:rPr>
      </w:pPr>
      <w:r w:rsidRPr="00591291">
        <w:rPr>
          <w:rFonts w:cs="Arial"/>
        </w:rPr>
        <w:t xml:space="preserve">Yetişkin yoksulluğu geçici olabilen bir durumken çocuk yoksulluğu genelde ömür boyu süren ve sonraki nesillere aktarılan bir yoksulluktur. Bu bağlamda, her ülkenin çocuk yoksulluğunu tanımlaması, tanıması ve kararlılıkla çocuk yoksulluğuna karşı savaşması önemlidir. </w:t>
      </w:r>
    </w:p>
    <w:p w:rsidR="004F4D6F" w:rsidRPr="00591291" w:rsidRDefault="004F4D6F" w:rsidP="004F4D6F">
      <w:pPr>
        <w:jc w:val="both"/>
        <w:rPr>
          <w:rFonts w:cs="Arial"/>
        </w:rPr>
      </w:pPr>
      <w:r w:rsidRPr="00591291">
        <w:rPr>
          <w:rFonts w:cs="Arial"/>
        </w:rPr>
        <w:t xml:space="preserve">Çocuk yoksulluğu çok boyutlu bir durumdur ve dolayısıyla birçok farklı ölçütü bulunmaktadır. Bu araştırma notunda </w:t>
      </w:r>
      <w:r w:rsidR="00101E9A">
        <w:rPr>
          <w:rFonts w:cs="Arial"/>
        </w:rPr>
        <w:t xml:space="preserve">yoksulluk ölçütlerinden biri olan </w:t>
      </w:r>
      <w:r w:rsidRPr="00591291">
        <w:rPr>
          <w:rFonts w:cs="Arial"/>
        </w:rPr>
        <w:t>Avrupa Birl</w:t>
      </w:r>
      <w:r w:rsidR="00101E9A">
        <w:rPr>
          <w:rFonts w:cs="Arial"/>
        </w:rPr>
        <w:t xml:space="preserve">iği İstatistik Ofisi'nin  (Eurostat) tanımladığı </w:t>
      </w:r>
      <w:r w:rsidRPr="00591291">
        <w:rPr>
          <w:rFonts w:cs="Arial"/>
        </w:rPr>
        <w:t>şiddetli maddi yoksunluk ölçütü kullanılmıştır. Şiddetli maddi yoksunluk bireylerin hayatlarına düzgün bir şekilde devam edebilmeleri için gerekli olan çeşitli ihtiyaçların zorunluluktan yerine getirilememesi olarak tanımlanabilir. Avrupa Birliği İstatistik Ofisi'nin bu ölçütüne göre  (1) kira ve faturaların ödenmesi, (2) evin ısınma ihtiyacının yeterince karşılanması, (3) beklenmedik harcamaların karşılanması, (4) her iki günde bir et, balık ya da protein eşdeğer gıdalarının tüketilmesi, (5) evden uzakta bir haftalık tatil masrafının karşılanması, (6) bir arabaya, (7) bir çamaşır makinesine, (8) bir renkli televizyona ve (9) bir telefona sahip olunması (cep telefonu da dahil), olarak belirlenen dokuz kriterlerden dördünü yerine getiremeyen hanelerde yaşan bireyler şiddetli maddi yoksunluk içerisinde kabul edilmektedir.</w:t>
      </w:r>
      <w:r w:rsidR="0066350F">
        <w:rPr>
          <w:rFonts w:cs="Arial"/>
        </w:rPr>
        <w:t xml:space="preserve"> Araştırmada kullanılan veriler TÜİK tarafından yapılan Gelir ve Yaşam Koşulları Anketi 2013 yılı kesit verileridir. </w:t>
      </w:r>
    </w:p>
    <w:p w:rsidR="00AE0069" w:rsidRPr="00A70A3E" w:rsidRDefault="00551297" w:rsidP="004F4D6F">
      <w:pPr>
        <w:jc w:val="both"/>
        <w:rPr>
          <w:rFonts w:cs="Arial"/>
        </w:rPr>
      </w:pPr>
      <w:r>
        <w:rPr>
          <w:rFonts w:cs="Arial"/>
        </w:rPr>
        <w:fldChar w:fldCharType="begin"/>
      </w:r>
      <w:r w:rsidR="007A717A">
        <w:rPr>
          <w:rFonts w:cs="Arial"/>
        </w:rPr>
        <w:instrText xml:space="preserve"> REF _Ref417458022 \h </w:instrText>
      </w:r>
      <w:r w:rsidR="001558B2" w:rsidRPr="00551297">
        <w:rPr>
          <w:rFonts w:cs="Arial"/>
        </w:rPr>
      </w:r>
      <w:r>
        <w:rPr>
          <w:rFonts w:cs="Arial"/>
        </w:rPr>
        <w:fldChar w:fldCharType="separate"/>
      </w:r>
      <w:r w:rsidR="007A717A" w:rsidRPr="00591291">
        <w:rPr>
          <w:sz w:val="24"/>
          <w:szCs w:val="24"/>
        </w:rPr>
        <w:t xml:space="preserve">Şekil </w:t>
      </w:r>
      <w:r w:rsidR="007A717A">
        <w:rPr>
          <w:noProof/>
          <w:sz w:val="24"/>
          <w:szCs w:val="24"/>
        </w:rPr>
        <w:t>1</w:t>
      </w:r>
      <w:r>
        <w:rPr>
          <w:rFonts w:cs="Arial"/>
        </w:rPr>
        <w:fldChar w:fldCharType="end"/>
      </w:r>
      <w:r w:rsidR="004F4D6F" w:rsidRPr="00591291">
        <w:rPr>
          <w:rFonts w:cs="Arial"/>
        </w:rPr>
        <w:t xml:space="preserve">'de birçok ülkede 0 ila 15 yaş arasındaki çocukların şiddetli maddi yoksunluk oranları verilmektedir. 2013 verilerine göre Türkiye'de yaklaşık iki çocuktan biri Avrupa standartlarına göre şiddetli maddi yoksunluk içerisindedir. Bu çerçevede Türkiye’de yaşayan çocukların maddi yoksunluk oranları diğer ülkelerle kıyaslandığında Türkiye'deki oranın diğer Avrupa ülkelerinden çok daha yüksek olduğu göze çarpmaktadır. İskandinav ülkelerinde şiddetli maddi yoksunluk oranları yüzde </w:t>
      </w:r>
      <w:r w:rsidR="004F4D6F" w:rsidRPr="00126F41">
        <w:rPr>
          <w:rFonts w:cs="Arial"/>
        </w:rPr>
        <w:t>2’nin</w:t>
      </w:r>
      <w:r w:rsidR="004F4D6F" w:rsidRPr="00591291">
        <w:rPr>
          <w:rFonts w:cs="Arial"/>
        </w:rPr>
        <w:t xml:space="preserve"> altına düşmektedir</w:t>
      </w:r>
      <w:r w:rsidR="004F4D6F">
        <w:rPr>
          <w:rFonts w:cs="Arial"/>
        </w:rPr>
        <w:t xml:space="preserve">. </w:t>
      </w:r>
      <w:r w:rsidR="004F4D6F" w:rsidRPr="00591291">
        <w:rPr>
          <w:rFonts w:cs="Arial"/>
        </w:rPr>
        <w:t xml:space="preserve">Diğer gelişmiş Almanya, Fransa ve Belçika gibi ülkelerde ise yüzde 5 civarındadır. </w:t>
      </w:r>
    </w:p>
    <w:p w:rsidR="00492F5F" w:rsidRPr="00591291" w:rsidRDefault="00492F5F" w:rsidP="00492F5F">
      <w:pPr>
        <w:pStyle w:val="Caption"/>
        <w:keepNext/>
        <w:rPr>
          <w:color w:val="auto"/>
          <w:sz w:val="24"/>
          <w:szCs w:val="24"/>
        </w:rPr>
      </w:pPr>
      <w:bookmarkStart w:id="1" w:name="_Ref417458022"/>
      <w:bookmarkStart w:id="2" w:name="_Ref417457985"/>
      <w:r w:rsidRPr="00591291">
        <w:rPr>
          <w:color w:val="auto"/>
          <w:sz w:val="24"/>
          <w:szCs w:val="24"/>
        </w:rPr>
        <w:t xml:space="preserve">Şekil </w:t>
      </w:r>
      <w:r w:rsidR="00551297" w:rsidRPr="00591291">
        <w:rPr>
          <w:color w:val="auto"/>
          <w:sz w:val="24"/>
          <w:szCs w:val="24"/>
        </w:rPr>
        <w:fldChar w:fldCharType="begin"/>
      </w:r>
      <w:r w:rsidRPr="00591291">
        <w:rPr>
          <w:color w:val="auto"/>
          <w:sz w:val="24"/>
          <w:szCs w:val="24"/>
        </w:rPr>
        <w:instrText xml:space="preserve"> SEQ Şekil \* ARABIC </w:instrText>
      </w:r>
      <w:r w:rsidR="00551297" w:rsidRPr="00591291">
        <w:rPr>
          <w:color w:val="auto"/>
          <w:sz w:val="24"/>
          <w:szCs w:val="24"/>
        </w:rPr>
        <w:fldChar w:fldCharType="separate"/>
      </w:r>
      <w:r w:rsidR="007A717A">
        <w:rPr>
          <w:noProof/>
          <w:color w:val="auto"/>
          <w:sz w:val="24"/>
          <w:szCs w:val="24"/>
        </w:rPr>
        <w:t>1</w:t>
      </w:r>
      <w:r w:rsidR="00551297" w:rsidRPr="00591291">
        <w:rPr>
          <w:color w:val="auto"/>
          <w:sz w:val="24"/>
          <w:szCs w:val="24"/>
        </w:rPr>
        <w:fldChar w:fldCharType="end"/>
      </w:r>
      <w:bookmarkEnd w:id="1"/>
      <w:r w:rsidRPr="00591291">
        <w:rPr>
          <w:color w:val="auto"/>
          <w:sz w:val="24"/>
          <w:szCs w:val="24"/>
        </w:rPr>
        <w:t xml:space="preserve"> :  0-15 Yaş grubundaki çocukların şiddetli maddi yoksunluk oranları (%), 2013</w:t>
      </w:r>
      <w:bookmarkEnd w:id="2"/>
      <w:r w:rsidRPr="00591291">
        <w:rPr>
          <w:color w:val="auto"/>
          <w:sz w:val="24"/>
          <w:szCs w:val="24"/>
        </w:rPr>
        <w:t xml:space="preserve"> </w:t>
      </w:r>
    </w:p>
    <w:p w:rsidR="00591291" w:rsidRDefault="00430B8A" w:rsidP="00591291">
      <w:pPr>
        <w:keepNext/>
      </w:pPr>
      <w:r w:rsidRPr="00430B8A">
        <w:rPr>
          <w:noProof/>
          <w:lang w:val="en-US" w:eastAsia="en-US"/>
        </w:rPr>
        <w:drawing>
          <wp:inline distT="0" distB="0" distL="0" distR="0">
            <wp:extent cx="4305300" cy="5516784"/>
            <wp:effectExtent l="2540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2F5F" w:rsidRPr="00591291" w:rsidRDefault="00492F5F" w:rsidP="00591291">
      <w:pPr>
        <w:keepNext/>
        <w:rPr>
          <w:sz w:val="18"/>
          <w:szCs w:val="18"/>
        </w:rPr>
      </w:pPr>
      <w:r w:rsidRPr="00591291">
        <w:rPr>
          <w:sz w:val="18"/>
          <w:szCs w:val="18"/>
        </w:rPr>
        <w:t xml:space="preserve">Kaynak: Eurostat; </w:t>
      </w:r>
      <w:r w:rsidR="00231CB6" w:rsidRPr="00591291">
        <w:rPr>
          <w:sz w:val="18"/>
          <w:szCs w:val="18"/>
        </w:rPr>
        <w:t xml:space="preserve">2013 Gelir ve Yaşam Koşulları Anketi mikro veri seti; Betam </w:t>
      </w:r>
    </w:p>
    <w:p w:rsidR="00A70A3E" w:rsidRPr="00591291" w:rsidRDefault="00A70A3E" w:rsidP="00A70A3E">
      <w:pPr>
        <w:jc w:val="both"/>
        <w:rPr>
          <w:rFonts w:cs="Arial"/>
        </w:rPr>
      </w:pPr>
      <w:r w:rsidRPr="00591291">
        <w:rPr>
          <w:rFonts w:cs="Arial"/>
        </w:rPr>
        <w:t>Eurostat verileri sadece gelişmiş ülkeleri değil, Avrupa Birl</w:t>
      </w:r>
      <w:r>
        <w:rPr>
          <w:rFonts w:cs="Arial"/>
        </w:rPr>
        <w:t>i</w:t>
      </w:r>
      <w:r w:rsidRPr="00591291">
        <w:rPr>
          <w:rFonts w:cs="Arial"/>
        </w:rPr>
        <w:t xml:space="preserve">ği’ne yeni üye olan Bulgaristan, </w:t>
      </w:r>
      <w:r w:rsidR="005077C4">
        <w:rPr>
          <w:rFonts w:cs="Arial"/>
        </w:rPr>
        <w:t>Romanya ve</w:t>
      </w:r>
      <w:r>
        <w:rPr>
          <w:rFonts w:cs="Arial"/>
        </w:rPr>
        <w:t xml:space="preserve"> Hırvatistan</w:t>
      </w:r>
      <w:r w:rsidRPr="00591291">
        <w:rPr>
          <w:rFonts w:cs="Arial"/>
        </w:rPr>
        <w:t xml:space="preserve"> gibi </w:t>
      </w:r>
      <w:r>
        <w:rPr>
          <w:rFonts w:cs="Arial"/>
        </w:rPr>
        <w:t>kişi başı</w:t>
      </w:r>
      <w:r w:rsidR="00494E3F">
        <w:rPr>
          <w:rFonts w:cs="Arial"/>
        </w:rPr>
        <w:t>na</w:t>
      </w:r>
      <w:r>
        <w:rPr>
          <w:rFonts w:cs="Arial"/>
        </w:rPr>
        <w:t xml:space="preserve"> </w:t>
      </w:r>
      <w:r w:rsidR="00494E3F">
        <w:rPr>
          <w:rFonts w:cs="Arial"/>
        </w:rPr>
        <w:t xml:space="preserve">gelirlerin düşük olduğu </w:t>
      </w:r>
      <w:r w:rsidRPr="00591291">
        <w:rPr>
          <w:rFonts w:cs="Arial"/>
        </w:rPr>
        <w:t>ülkeleri de içermektedir. Türkiye’de yaşa</w:t>
      </w:r>
      <w:r>
        <w:rPr>
          <w:rFonts w:cs="Arial"/>
        </w:rPr>
        <w:t>y</w:t>
      </w:r>
      <w:r w:rsidRPr="00591291">
        <w:rPr>
          <w:rFonts w:cs="Arial"/>
        </w:rPr>
        <w:t xml:space="preserve">an çocuklar arasında şiddetli maddi yoksunluk bütün </w:t>
      </w:r>
      <w:r>
        <w:rPr>
          <w:rFonts w:cs="Arial"/>
        </w:rPr>
        <w:t>D</w:t>
      </w:r>
      <w:r w:rsidRPr="00591291">
        <w:rPr>
          <w:rFonts w:cs="Arial"/>
        </w:rPr>
        <w:t xml:space="preserve">oğu Avrupa ülkelerinden </w:t>
      </w:r>
      <w:r w:rsidR="00345883">
        <w:rPr>
          <w:rFonts w:cs="Arial"/>
        </w:rPr>
        <w:t xml:space="preserve">de </w:t>
      </w:r>
      <w:r w:rsidRPr="00591291">
        <w:rPr>
          <w:rFonts w:cs="Arial"/>
        </w:rPr>
        <w:t xml:space="preserve">daha ciddi bir boyuttadır. Yıllardır şiddetli bir ekonomik krizin ortasında yer alan Yunanistan’da bile </w:t>
      </w:r>
      <w:r>
        <w:rPr>
          <w:rFonts w:cs="Arial"/>
        </w:rPr>
        <w:t xml:space="preserve">şiddetli </w:t>
      </w:r>
      <w:r w:rsidRPr="00591291">
        <w:rPr>
          <w:rFonts w:cs="Arial"/>
        </w:rPr>
        <w:t>çocuk yoksu</w:t>
      </w:r>
      <w:r>
        <w:rPr>
          <w:rFonts w:cs="Arial"/>
        </w:rPr>
        <w:t xml:space="preserve">nluğu </w:t>
      </w:r>
      <w:r w:rsidRPr="00591291">
        <w:rPr>
          <w:rFonts w:cs="Arial"/>
        </w:rPr>
        <w:t>yüzde 23,4’tür.</w:t>
      </w:r>
      <w:r w:rsidRPr="000E05CD">
        <w:rPr>
          <w:rFonts w:cs="Arial"/>
        </w:rPr>
        <w:t xml:space="preserve"> </w:t>
      </w:r>
      <w:r w:rsidRPr="00591291">
        <w:rPr>
          <w:rFonts w:cs="Arial"/>
        </w:rPr>
        <w:t xml:space="preserve">Türkiye </w:t>
      </w:r>
      <w:r>
        <w:rPr>
          <w:rFonts w:cs="Arial"/>
        </w:rPr>
        <w:t>Avrupa’da</w:t>
      </w:r>
      <w:r w:rsidRPr="00591291">
        <w:rPr>
          <w:rFonts w:cs="Arial"/>
        </w:rPr>
        <w:t xml:space="preserve"> </w:t>
      </w:r>
      <w:r>
        <w:rPr>
          <w:rFonts w:cs="Arial"/>
        </w:rPr>
        <w:t xml:space="preserve">çocukların </w:t>
      </w:r>
      <w:r w:rsidRPr="00591291">
        <w:rPr>
          <w:rFonts w:cs="Arial"/>
        </w:rPr>
        <w:t xml:space="preserve">en şiddetli bir şekilde maddi yoksunluk çektikleri ülkelerin başında gelmektedir. </w:t>
      </w:r>
    </w:p>
    <w:p w:rsidR="004F4D6F" w:rsidRDefault="00BE6A74" w:rsidP="004F4D6F">
      <w:pPr>
        <w:rPr>
          <w:b/>
          <w:bCs/>
          <w:sz w:val="24"/>
          <w:szCs w:val="24"/>
        </w:rPr>
      </w:pPr>
      <w:r>
        <w:rPr>
          <w:b/>
          <w:bCs/>
          <w:sz w:val="24"/>
          <w:szCs w:val="24"/>
        </w:rPr>
        <w:t xml:space="preserve">En büyük yoksunluk tatil </w:t>
      </w:r>
    </w:p>
    <w:p w:rsidR="00F43F57" w:rsidRPr="006D5094" w:rsidRDefault="00F43F57" w:rsidP="00F43F57">
      <w:pPr>
        <w:jc w:val="both"/>
        <w:rPr>
          <w:rFonts w:cs="Arial"/>
        </w:rPr>
      </w:pPr>
      <w:r w:rsidRPr="006D5094">
        <w:rPr>
          <w:rFonts w:cs="Arial"/>
        </w:rPr>
        <w:t xml:space="preserve">Şiddetli maddi yoksunluk tanımındaki alt kalemlerin dökümü </w:t>
      </w:r>
      <w:r w:rsidR="00551297">
        <w:rPr>
          <w:rFonts w:cs="Arial"/>
        </w:rPr>
        <w:fldChar w:fldCharType="begin"/>
      </w:r>
      <w:r w:rsidR="007A717A">
        <w:rPr>
          <w:rFonts w:cs="Arial"/>
        </w:rPr>
        <w:instrText xml:space="preserve"> REF _Ref417458049 \h </w:instrText>
      </w:r>
      <w:r w:rsidR="001558B2" w:rsidRPr="00551297">
        <w:rPr>
          <w:rFonts w:cs="Arial"/>
        </w:rPr>
      </w:r>
      <w:r w:rsidR="00551297">
        <w:rPr>
          <w:rFonts w:cs="Arial"/>
        </w:rPr>
        <w:fldChar w:fldCharType="separate"/>
      </w:r>
      <w:r w:rsidR="007A717A" w:rsidRPr="007A717A">
        <w:rPr>
          <w:sz w:val="24"/>
          <w:szCs w:val="24"/>
        </w:rPr>
        <w:t>Tablo 1</w:t>
      </w:r>
      <w:r w:rsidR="00551297">
        <w:rPr>
          <w:rFonts w:cs="Arial"/>
        </w:rPr>
        <w:fldChar w:fldCharType="end"/>
      </w:r>
      <w:r w:rsidR="007A717A">
        <w:rPr>
          <w:rFonts w:cs="Arial"/>
        </w:rPr>
        <w:t xml:space="preserve">'de </w:t>
      </w:r>
      <w:r w:rsidRPr="006D5094">
        <w:rPr>
          <w:rFonts w:cs="Arial"/>
        </w:rPr>
        <w:t>verilmektedir. Ver</w:t>
      </w:r>
      <w:r>
        <w:rPr>
          <w:rFonts w:cs="Arial"/>
        </w:rPr>
        <w:t>ilerle Türkiye geneli için oluş</w:t>
      </w:r>
      <w:r w:rsidRPr="006D5094">
        <w:rPr>
          <w:rFonts w:cs="Arial"/>
        </w:rPr>
        <w:t>turulan tabloda şiddetli maddi yoksunluğu</w:t>
      </w:r>
      <w:r w:rsidR="00850C16">
        <w:rPr>
          <w:rFonts w:cs="Arial"/>
        </w:rPr>
        <w:t xml:space="preserve"> oluşturan ihti</w:t>
      </w:r>
      <w:r w:rsidR="00101E9A">
        <w:rPr>
          <w:rFonts w:cs="Arial"/>
        </w:rPr>
        <w:t>yaçların karşıla</w:t>
      </w:r>
      <w:r w:rsidR="00850C16">
        <w:rPr>
          <w:rFonts w:cs="Arial"/>
        </w:rPr>
        <w:t>nma oranları verilmektedir.</w:t>
      </w:r>
      <w:r w:rsidRPr="006D5094">
        <w:rPr>
          <w:rFonts w:cs="Arial"/>
        </w:rPr>
        <w:t xml:space="preserve"> Türkiye’de çocukların yarısının şiddetli maddi yoksunluk içinde yaşamasının arkasında birkaç </w:t>
      </w:r>
      <w:r w:rsidR="00101E9A">
        <w:rPr>
          <w:rFonts w:cs="Arial"/>
        </w:rPr>
        <w:t xml:space="preserve">alt </w:t>
      </w:r>
      <w:r w:rsidRPr="006D5094">
        <w:rPr>
          <w:rFonts w:cs="Arial"/>
        </w:rPr>
        <w:t>kalemdeki yok</w:t>
      </w:r>
      <w:r>
        <w:rPr>
          <w:rFonts w:cs="Arial"/>
        </w:rPr>
        <w:t>s</w:t>
      </w:r>
      <w:r w:rsidRPr="006D5094">
        <w:rPr>
          <w:rFonts w:cs="Arial"/>
        </w:rPr>
        <w:t>unlukların ön plana çıktığı görülmektedir. Çocukların yüzde 82,5’i bir haftalık tatile çıkamayan hanelerde yaşamaktadır. Diğer önemli kalemler otomobil</w:t>
      </w:r>
      <w:r w:rsidR="00850C16">
        <w:rPr>
          <w:rFonts w:cs="Arial"/>
        </w:rPr>
        <w:t>, beslenme</w:t>
      </w:r>
      <w:r w:rsidRPr="006D5094">
        <w:rPr>
          <w:rFonts w:cs="Arial"/>
        </w:rPr>
        <w:t xml:space="preserve"> ve beklenmeyen harcamalardır</w:t>
      </w:r>
      <w:r w:rsidR="00101E9A">
        <w:rPr>
          <w:rFonts w:cs="Arial"/>
        </w:rPr>
        <w:t>.</w:t>
      </w:r>
      <w:r w:rsidRPr="006D5094">
        <w:rPr>
          <w:rFonts w:cs="Arial"/>
        </w:rPr>
        <w:t xml:space="preserve"> Çocukların yüzde 55,9’unun yaşadığı hanelerde otomobil yoktur. Beklenmeyen 410 TL’lik bir harcamayı karşılayamayacağını söyleyen hanelerde yaşayan çocuk oranı yüzde 54’tür.</w:t>
      </w:r>
      <w:r w:rsidR="00850C16">
        <w:rPr>
          <w:rFonts w:cs="Arial"/>
        </w:rPr>
        <w:t xml:space="preserve"> Çocukların yaklaşık yarısı </w:t>
      </w:r>
      <w:r w:rsidR="00101E9A">
        <w:rPr>
          <w:rFonts w:cs="Arial"/>
        </w:rPr>
        <w:t xml:space="preserve">haftada en az 3 gün </w:t>
      </w:r>
      <w:r w:rsidR="00850C16">
        <w:rPr>
          <w:rFonts w:cs="Arial"/>
        </w:rPr>
        <w:t>et, tavuk, balık gibi protein</w:t>
      </w:r>
      <w:r w:rsidR="00F95F21">
        <w:rPr>
          <w:rFonts w:cs="Arial"/>
        </w:rPr>
        <w:t xml:space="preserve"> içeren gıdalarla</w:t>
      </w:r>
      <w:r w:rsidR="00850C16">
        <w:rPr>
          <w:rFonts w:cs="Arial"/>
        </w:rPr>
        <w:t xml:space="preserve"> beslenememektedir.</w:t>
      </w:r>
      <w:r w:rsidR="00F95F21">
        <w:rPr>
          <w:rFonts w:cs="Arial"/>
        </w:rPr>
        <w:t xml:space="preserve"> </w:t>
      </w:r>
    </w:p>
    <w:p w:rsidR="007A717A" w:rsidRPr="007A717A" w:rsidRDefault="00F43F57" w:rsidP="007A717A">
      <w:pPr>
        <w:pStyle w:val="Caption"/>
        <w:keepNext/>
        <w:rPr>
          <w:color w:val="auto"/>
          <w:sz w:val="24"/>
          <w:szCs w:val="24"/>
        </w:rPr>
      </w:pPr>
      <w:r w:rsidRPr="00591291">
        <w:rPr>
          <w:color w:val="auto"/>
          <w:sz w:val="24"/>
          <w:szCs w:val="24"/>
        </w:rPr>
        <w:t xml:space="preserve"> </w:t>
      </w:r>
      <w:bookmarkStart w:id="3" w:name="_Ref417458049"/>
      <w:r w:rsidR="007A717A" w:rsidRPr="007A717A">
        <w:rPr>
          <w:color w:val="auto"/>
          <w:sz w:val="24"/>
          <w:szCs w:val="24"/>
        </w:rPr>
        <w:t xml:space="preserve">Tablo </w:t>
      </w:r>
      <w:r w:rsidR="00551297" w:rsidRPr="007A717A">
        <w:rPr>
          <w:color w:val="auto"/>
          <w:sz w:val="24"/>
          <w:szCs w:val="24"/>
        </w:rPr>
        <w:fldChar w:fldCharType="begin"/>
      </w:r>
      <w:r w:rsidR="007A717A" w:rsidRPr="007A717A">
        <w:rPr>
          <w:color w:val="auto"/>
          <w:sz w:val="24"/>
          <w:szCs w:val="24"/>
        </w:rPr>
        <w:instrText xml:space="preserve"> SEQ Tablo \* ARABIC </w:instrText>
      </w:r>
      <w:r w:rsidR="00551297" w:rsidRPr="007A717A">
        <w:rPr>
          <w:color w:val="auto"/>
          <w:sz w:val="24"/>
          <w:szCs w:val="24"/>
        </w:rPr>
        <w:fldChar w:fldCharType="separate"/>
      </w:r>
      <w:r w:rsidR="007A717A">
        <w:rPr>
          <w:noProof/>
          <w:color w:val="auto"/>
          <w:sz w:val="24"/>
          <w:szCs w:val="24"/>
        </w:rPr>
        <w:t>1</w:t>
      </w:r>
      <w:r w:rsidR="00551297" w:rsidRPr="007A717A">
        <w:rPr>
          <w:color w:val="auto"/>
          <w:sz w:val="24"/>
          <w:szCs w:val="24"/>
        </w:rPr>
        <w:fldChar w:fldCharType="end"/>
      </w:r>
      <w:bookmarkEnd w:id="3"/>
      <w:r w:rsidR="007A717A" w:rsidRPr="007A717A">
        <w:rPr>
          <w:color w:val="auto"/>
          <w:sz w:val="24"/>
          <w:szCs w:val="24"/>
        </w:rPr>
        <w:t xml:space="preserve">: </w:t>
      </w:r>
      <w:r w:rsidR="007A717A" w:rsidRPr="00591291">
        <w:rPr>
          <w:color w:val="auto"/>
          <w:sz w:val="24"/>
          <w:szCs w:val="24"/>
        </w:rPr>
        <w:t>:  Alt kalemlere göre bölgesel şiddetli çocuk maddi yoksunluğu (2013)</w:t>
      </w:r>
    </w:p>
    <w:tbl>
      <w:tblPr>
        <w:tblW w:w="625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tblPr>
      <w:tblGrid>
        <w:gridCol w:w="3014"/>
        <w:gridCol w:w="1619"/>
        <w:gridCol w:w="1619"/>
      </w:tblGrid>
      <w:tr w:rsidR="00F43F57" w:rsidRPr="0099093A">
        <w:trPr>
          <w:trHeight w:val="304"/>
        </w:trPr>
        <w:tc>
          <w:tcPr>
            <w:tcW w:w="3014" w:type="dxa"/>
            <w:vMerge w:val="restart"/>
            <w:shd w:val="clear" w:color="auto" w:fill="auto"/>
            <w:noWrap/>
            <w:vAlign w:val="bottom"/>
          </w:tcPr>
          <w:p w:rsidR="00F43F57" w:rsidRPr="0099093A" w:rsidRDefault="00F43F57" w:rsidP="004D08DE">
            <w:pPr>
              <w:spacing w:after="0" w:line="240" w:lineRule="auto"/>
              <w:jc w:val="center"/>
              <w:rPr>
                <w:rFonts w:ascii="Calibri" w:eastAsia="Times New Roman" w:hAnsi="Calibri" w:cs="Times New Roman"/>
                <w:color w:val="000000"/>
              </w:rPr>
            </w:pPr>
          </w:p>
        </w:tc>
        <w:tc>
          <w:tcPr>
            <w:tcW w:w="3238" w:type="dxa"/>
            <w:gridSpan w:val="2"/>
            <w:shd w:val="clear" w:color="auto" w:fill="auto"/>
            <w:noWrap/>
            <w:vAlign w:val="bottom"/>
          </w:tcPr>
          <w:p w:rsidR="00F43F57" w:rsidRPr="0099093A" w:rsidRDefault="00F43F57" w:rsidP="004D08DE">
            <w:pPr>
              <w:spacing w:after="0" w:line="240" w:lineRule="auto"/>
              <w:jc w:val="center"/>
              <w:rPr>
                <w:rFonts w:ascii="Calibri" w:eastAsia="Times New Roman" w:hAnsi="Calibri" w:cs="Times New Roman"/>
                <w:color w:val="000000"/>
              </w:rPr>
            </w:pPr>
            <w:r w:rsidRPr="0099093A">
              <w:rPr>
                <w:rFonts w:ascii="Calibri" w:eastAsia="Times New Roman" w:hAnsi="Calibri" w:cs="Times New Roman"/>
                <w:color w:val="000000"/>
              </w:rPr>
              <w:t>2013</w:t>
            </w:r>
          </w:p>
        </w:tc>
      </w:tr>
      <w:tr w:rsidR="00F43F57" w:rsidRPr="0099093A">
        <w:trPr>
          <w:trHeight w:val="912"/>
        </w:trPr>
        <w:tc>
          <w:tcPr>
            <w:tcW w:w="3014" w:type="dxa"/>
            <w:vMerge/>
            <w:vAlign w:val="center"/>
          </w:tcPr>
          <w:p w:rsidR="00F43F57" w:rsidRPr="0099093A" w:rsidRDefault="00F43F57" w:rsidP="004D08DE">
            <w:pPr>
              <w:spacing w:after="0" w:line="240" w:lineRule="auto"/>
              <w:rPr>
                <w:rFonts w:ascii="Calibri" w:eastAsia="Times New Roman" w:hAnsi="Calibri" w:cs="Times New Roman"/>
                <w:color w:val="000000"/>
              </w:rPr>
            </w:pPr>
          </w:p>
        </w:tc>
        <w:tc>
          <w:tcPr>
            <w:tcW w:w="1619" w:type="dxa"/>
            <w:shd w:val="clear" w:color="auto" w:fill="auto"/>
            <w:vAlign w:val="center"/>
          </w:tcPr>
          <w:p w:rsidR="00F43F57" w:rsidRPr="0099093A" w:rsidRDefault="00F43F57" w:rsidP="002D7157">
            <w:pPr>
              <w:spacing w:after="0" w:line="240" w:lineRule="auto"/>
              <w:jc w:val="right"/>
              <w:rPr>
                <w:rFonts w:ascii="Calibri" w:eastAsia="Times New Roman" w:hAnsi="Calibri" w:cs="Times New Roman"/>
                <w:color w:val="000000"/>
              </w:rPr>
            </w:pPr>
            <w:r w:rsidRPr="0099093A">
              <w:rPr>
                <w:rFonts w:ascii="Calibri" w:eastAsia="Times New Roman" w:hAnsi="Calibri" w:cs="Times New Roman"/>
                <w:color w:val="000000"/>
              </w:rPr>
              <w:t xml:space="preserve">Yoksun çocuk sayısı (bin kişi) </w:t>
            </w:r>
          </w:p>
        </w:tc>
        <w:tc>
          <w:tcPr>
            <w:tcW w:w="1619" w:type="dxa"/>
            <w:shd w:val="clear" w:color="auto" w:fill="auto"/>
            <w:vAlign w:val="center"/>
          </w:tcPr>
          <w:p w:rsidR="00F43F57" w:rsidRPr="0099093A" w:rsidRDefault="00F43F57" w:rsidP="002D7157">
            <w:pPr>
              <w:spacing w:after="0" w:line="240" w:lineRule="auto"/>
              <w:jc w:val="right"/>
              <w:rPr>
                <w:rFonts w:ascii="Calibri" w:eastAsia="Times New Roman" w:hAnsi="Calibri" w:cs="Times New Roman"/>
                <w:color w:val="000000"/>
              </w:rPr>
            </w:pPr>
            <w:r w:rsidRPr="0099093A">
              <w:rPr>
                <w:rFonts w:ascii="Calibri" w:eastAsia="Times New Roman" w:hAnsi="Calibri" w:cs="Times New Roman"/>
                <w:color w:val="000000"/>
              </w:rPr>
              <w:t>Yoksun çocukların oranı (%)</w:t>
            </w:r>
          </w:p>
        </w:tc>
      </w:tr>
      <w:tr w:rsidR="00F43F57" w:rsidRPr="0099093A">
        <w:trPr>
          <w:trHeight w:val="351"/>
        </w:trPr>
        <w:tc>
          <w:tcPr>
            <w:tcW w:w="3014" w:type="dxa"/>
            <w:shd w:val="clear" w:color="auto" w:fill="auto"/>
            <w:vAlign w:val="bottom"/>
          </w:tcPr>
          <w:p w:rsidR="00F43F57" w:rsidRPr="0099093A" w:rsidRDefault="00F43F57" w:rsidP="004D08DE">
            <w:pPr>
              <w:spacing w:after="0" w:line="240" w:lineRule="auto"/>
              <w:rPr>
                <w:rFonts w:ascii="Calibri" w:eastAsia="Times New Roman" w:hAnsi="Calibri" w:cs="Times New Roman"/>
                <w:color w:val="000000"/>
              </w:rPr>
            </w:pPr>
            <w:r w:rsidRPr="0099093A">
              <w:rPr>
                <w:rFonts w:ascii="Calibri" w:eastAsia="Times New Roman" w:hAnsi="Calibri" w:cs="Times New Roman"/>
                <w:color w:val="000000"/>
              </w:rPr>
              <w:t xml:space="preserve">Şiddetli maddi yoksun </w:t>
            </w:r>
          </w:p>
        </w:tc>
        <w:tc>
          <w:tcPr>
            <w:tcW w:w="1619" w:type="dxa"/>
            <w:shd w:val="clear" w:color="auto" w:fill="auto"/>
            <w:noWrap/>
            <w:vAlign w:val="bottom"/>
          </w:tcPr>
          <w:p w:rsidR="00F43F57" w:rsidRPr="0099093A" w:rsidRDefault="00F43F57" w:rsidP="004D08DE">
            <w:pPr>
              <w:spacing w:after="0" w:line="240" w:lineRule="auto"/>
              <w:jc w:val="right"/>
              <w:rPr>
                <w:rFonts w:ascii="Calibri" w:eastAsia="Times New Roman" w:hAnsi="Calibri" w:cs="Times New Roman"/>
                <w:color w:val="000000"/>
              </w:rPr>
            </w:pPr>
            <w:r w:rsidRPr="0099093A">
              <w:rPr>
                <w:rFonts w:ascii="Calibri" w:eastAsia="Times New Roman" w:hAnsi="Calibri" w:cs="Times New Roman"/>
                <w:color w:val="000000"/>
              </w:rPr>
              <w:t>10</w:t>
            </w:r>
            <w:r w:rsidR="00001354">
              <w:rPr>
                <w:rFonts w:ascii="Calibri" w:eastAsia="Times New Roman" w:hAnsi="Calibri" w:cs="Times New Roman"/>
                <w:color w:val="000000"/>
              </w:rPr>
              <w:t>.</w:t>
            </w:r>
            <w:r w:rsidRPr="0099093A">
              <w:rPr>
                <w:rFonts w:ascii="Calibri" w:eastAsia="Times New Roman" w:hAnsi="Calibri" w:cs="Times New Roman"/>
                <w:color w:val="000000"/>
              </w:rPr>
              <w:t>033</w:t>
            </w:r>
          </w:p>
        </w:tc>
        <w:tc>
          <w:tcPr>
            <w:tcW w:w="1619" w:type="dxa"/>
            <w:shd w:val="clear" w:color="auto" w:fill="auto"/>
            <w:noWrap/>
            <w:vAlign w:val="bottom"/>
          </w:tcPr>
          <w:p w:rsidR="00F43F57" w:rsidRPr="0099093A" w:rsidRDefault="00B524FD" w:rsidP="004D08D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49,</w:t>
            </w:r>
            <w:r w:rsidR="00F43F57" w:rsidRPr="0099093A">
              <w:rPr>
                <w:rFonts w:ascii="Calibri" w:eastAsia="Times New Roman" w:hAnsi="Calibri" w:cs="Times New Roman"/>
                <w:color w:val="000000"/>
              </w:rPr>
              <w:t>8</w:t>
            </w:r>
          </w:p>
        </w:tc>
      </w:tr>
      <w:tr w:rsidR="00F43F57" w:rsidRPr="0099093A">
        <w:trPr>
          <w:trHeight w:val="352"/>
        </w:trPr>
        <w:tc>
          <w:tcPr>
            <w:tcW w:w="3014" w:type="dxa"/>
            <w:shd w:val="clear" w:color="auto" w:fill="auto"/>
            <w:vAlign w:val="bottom"/>
          </w:tcPr>
          <w:p w:rsidR="00F43F57" w:rsidRPr="0099093A" w:rsidRDefault="00F43F57" w:rsidP="004D08DE">
            <w:pPr>
              <w:spacing w:after="0" w:line="240" w:lineRule="auto"/>
              <w:rPr>
                <w:rFonts w:ascii="Calibri" w:eastAsia="Times New Roman" w:hAnsi="Calibri" w:cs="Times New Roman"/>
                <w:color w:val="000000"/>
              </w:rPr>
            </w:pPr>
            <w:r w:rsidRPr="0099093A">
              <w:rPr>
                <w:rFonts w:ascii="Calibri" w:eastAsia="Times New Roman" w:hAnsi="Calibri" w:cs="Times New Roman"/>
                <w:color w:val="000000"/>
              </w:rPr>
              <w:t>Isınma</w:t>
            </w:r>
          </w:p>
        </w:tc>
        <w:tc>
          <w:tcPr>
            <w:tcW w:w="1619" w:type="dxa"/>
            <w:shd w:val="clear" w:color="auto" w:fill="auto"/>
            <w:noWrap/>
            <w:vAlign w:val="bottom"/>
          </w:tcPr>
          <w:p w:rsidR="00F43F57" w:rsidRPr="0099093A" w:rsidRDefault="00F43F57" w:rsidP="004D08DE">
            <w:pPr>
              <w:spacing w:after="0" w:line="240" w:lineRule="auto"/>
              <w:jc w:val="right"/>
              <w:rPr>
                <w:rFonts w:ascii="Calibri" w:eastAsia="Times New Roman" w:hAnsi="Calibri" w:cs="Times New Roman"/>
                <w:color w:val="000000"/>
              </w:rPr>
            </w:pPr>
            <w:r w:rsidRPr="0099093A">
              <w:rPr>
                <w:rFonts w:ascii="Calibri" w:eastAsia="Times New Roman" w:hAnsi="Calibri" w:cs="Times New Roman"/>
                <w:color w:val="000000"/>
              </w:rPr>
              <w:t>6</w:t>
            </w:r>
            <w:r w:rsidR="00001354">
              <w:rPr>
                <w:rFonts w:ascii="Calibri" w:eastAsia="Times New Roman" w:hAnsi="Calibri" w:cs="Times New Roman"/>
                <w:color w:val="000000"/>
              </w:rPr>
              <w:t>.</w:t>
            </w:r>
            <w:r w:rsidRPr="0099093A">
              <w:rPr>
                <w:rFonts w:ascii="Calibri" w:eastAsia="Times New Roman" w:hAnsi="Calibri" w:cs="Times New Roman"/>
                <w:color w:val="000000"/>
              </w:rPr>
              <w:t>880</w:t>
            </w:r>
          </w:p>
        </w:tc>
        <w:tc>
          <w:tcPr>
            <w:tcW w:w="1619" w:type="dxa"/>
            <w:shd w:val="clear" w:color="auto" w:fill="auto"/>
            <w:noWrap/>
            <w:vAlign w:val="bottom"/>
          </w:tcPr>
          <w:p w:rsidR="00F43F57" w:rsidRPr="0099093A" w:rsidRDefault="00B524FD" w:rsidP="004D08D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w:t>
            </w:r>
            <w:r w:rsidR="00F43F57" w:rsidRPr="0099093A">
              <w:rPr>
                <w:rFonts w:ascii="Calibri" w:eastAsia="Times New Roman" w:hAnsi="Calibri" w:cs="Times New Roman"/>
                <w:color w:val="000000"/>
              </w:rPr>
              <w:t>1</w:t>
            </w:r>
          </w:p>
        </w:tc>
      </w:tr>
      <w:tr w:rsidR="00F43F57" w:rsidRPr="0099093A">
        <w:trPr>
          <w:trHeight w:val="351"/>
        </w:trPr>
        <w:tc>
          <w:tcPr>
            <w:tcW w:w="3014" w:type="dxa"/>
            <w:shd w:val="clear" w:color="auto" w:fill="auto"/>
            <w:vAlign w:val="bottom"/>
          </w:tcPr>
          <w:p w:rsidR="00F43F57" w:rsidRPr="0099093A" w:rsidRDefault="00F43F57" w:rsidP="004D08DE">
            <w:pPr>
              <w:spacing w:after="0" w:line="240" w:lineRule="auto"/>
              <w:rPr>
                <w:rFonts w:ascii="Calibri" w:eastAsia="Times New Roman" w:hAnsi="Calibri" w:cs="Times New Roman"/>
                <w:color w:val="000000"/>
              </w:rPr>
            </w:pPr>
            <w:r w:rsidRPr="0099093A">
              <w:rPr>
                <w:rFonts w:ascii="Calibri" w:eastAsia="Times New Roman" w:hAnsi="Calibri" w:cs="Times New Roman"/>
                <w:color w:val="000000"/>
              </w:rPr>
              <w:t>Beklenmeyen harcamalar</w:t>
            </w:r>
          </w:p>
        </w:tc>
        <w:tc>
          <w:tcPr>
            <w:tcW w:w="1619" w:type="dxa"/>
            <w:shd w:val="clear" w:color="auto" w:fill="auto"/>
            <w:noWrap/>
            <w:vAlign w:val="bottom"/>
          </w:tcPr>
          <w:p w:rsidR="00F43F57" w:rsidRPr="0099093A" w:rsidRDefault="00F43F57" w:rsidP="004D08DE">
            <w:pPr>
              <w:spacing w:after="0" w:line="240" w:lineRule="auto"/>
              <w:jc w:val="right"/>
              <w:rPr>
                <w:rFonts w:ascii="Calibri" w:eastAsia="Times New Roman" w:hAnsi="Calibri" w:cs="Times New Roman"/>
                <w:color w:val="000000"/>
              </w:rPr>
            </w:pPr>
            <w:r w:rsidRPr="0099093A">
              <w:rPr>
                <w:rFonts w:ascii="Calibri" w:eastAsia="Times New Roman" w:hAnsi="Calibri" w:cs="Times New Roman"/>
                <w:color w:val="000000"/>
              </w:rPr>
              <w:t>10</w:t>
            </w:r>
            <w:r w:rsidR="00001354">
              <w:rPr>
                <w:rFonts w:ascii="Calibri" w:eastAsia="Times New Roman" w:hAnsi="Calibri" w:cs="Times New Roman"/>
                <w:color w:val="000000"/>
              </w:rPr>
              <w:t>.</w:t>
            </w:r>
            <w:r w:rsidRPr="0099093A">
              <w:rPr>
                <w:rFonts w:ascii="Calibri" w:eastAsia="Times New Roman" w:hAnsi="Calibri" w:cs="Times New Roman"/>
                <w:color w:val="000000"/>
              </w:rPr>
              <w:t>892</w:t>
            </w:r>
          </w:p>
        </w:tc>
        <w:tc>
          <w:tcPr>
            <w:tcW w:w="1619" w:type="dxa"/>
            <w:shd w:val="clear" w:color="auto" w:fill="auto"/>
            <w:noWrap/>
            <w:vAlign w:val="bottom"/>
          </w:tcPr>
          <w:p w:rsidR="00F43F57" w:rsidRPr="0099093A" w:rsidRDefault="00B524FD" w:rsidP="004D08D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54,</w:t>
            </w:r>
            <w:r w:rsidR="00F43F57" w:rsidRPr="0099093A">
              <w:rPr>
                <w:rFonts w:ascii="Calibri" w:eastAsia="Times New Roman" w:hAnsi="Calibri" w:cs="Times New Roman"/>
                <w:color w:val="000000"/>
              </w:rPr>
              <w:t>0</w:t>
            </w:r>
          </w:p>
        </w:tc>
      </w:tr>
      <w:tr w:rsidR="00F43F57" w:rsidRPr="0099093A">
        <w:trPr>
          <w:trHeight w:val="352"/>
        </w:trPr>
        <w:tc>
          <w:tcPr>
            <w:tcW w:w="3014" w:type="dxa"/>
            <w:shd w:val="clear" w:color="auto" w:fill="auto"/>
            <w:vAlign w:val="bottom"/>
          </w:tcPr>
          <w:p w:rsidR="00F43F57" w:rsidRPr="0099093A" w:rsidRDefault="00F43F57" w:rsidP="004D08DE">
            <w:pPr>
              <w:spacing w:after="0" w:line="240" w:lineRule="auto"/>
              <w:rPr>
                <w:rFonts w:ascii="Calibri" w:eastAsia="Times New Roman" w:hAnsi="Calibri" w:cs="Times New Roman"/>
                <w:color w:val="000000"/>
              </w:rPr>
            </w:pPr>
            <w:r w:rsidRPr="0099093A">
              <w:rPr>
                <w:rFonts w:ascii="Calibri" w:eastAsia="Times New Roman" w:hAnsi="Calibri" w:cs="Times New Roman"/>
                <w:color w:val="000000"/>
              </w:rPr>
              <w:t>Beslenme</w:t>
            </w:r>
          </w:p>
        </w:tc>
        <w:tc>
          <w:tcPr>
            <w:tcW w:w="1619" w:type="dxa"/>
            <w:shd w:val="clear" w:color="auto" w:fill="auto"/>
            <w:noWrap/>
            <w:vAlign w:val="bottom"/>
          </w:tcPr>
          <w:p w:rsidR="00F43F57" w:rsidRPr="0099093A" w:rsidRDefault="00F43F57" w:rsidP="004D08DE">
            <w:pPr>
              <w:spacing w:after="0" w:line="240" w:lineRule="auto"/>
              <w:jc w:val="right"/>
              <w:rPr>
                <w:rFonts w:ascii="Calibri" w:eastAsia="Times New Roman" w:hAnsi="Calibri" w:cs="Times New Roman"/>
                <w:color w:val="000000"/>
              </w:rPr>
            </w:pPr>
            <w:r w:rsidRPr="0099093A">
              <w:rPr>
                <w:rFonts w:ascii="Calibri" w:eastAsia="Times New Roman" w:hAnsi="Calibri" w:cs="Times New Roman"/>
                <w:color w:val="000000"/>
              </w:rPr>
              <w:t>10</w:t>
            </w:r>
            <w:r w:rsidR="00001354">
              <w:rPr>
                <w:rFonts w:ascii="Calibri" w:eastAsia="Times New Roman" w:hAnsi="Calibri" w:cs="Times New Roman"/>
                <w:color w:val="000000"/>
              </w:rPr>
              <w:t>.</w:t>
            </w:r>
            <w:r w:rsidRPr="0099093A">
              <w:rPr>
                <w:rFonts w:ascii="Calibri" w:eastAsia="Times New Roman" w:hAnsi="Calibri" w:cs="Times New Roman"/>
                <w:color w:val="000000"/>
              </w:rPr>
              <w:t>339</w:t>
            </w:r>
          </w:p>
        </w:tc>
        <w:tc>
          <w:tcPr>
            <w:tcW w:w="1619" w:type="dxa"/>
            <w:shd w:val="clear" w:color="auto" w:fill="auto"/>
            <w:noWrap/>
            <w:vAlign w:val="bottom"/>
          </w:tcPr>
          <w:p w:rsidR="00F43F57" w:rsidRPr="0099093A" w:rsidRDefault="00B524FD" w:rsidP="004D08D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r w:rsidR="00F43F57" w:rsidRPr="0099093A">
              <w:rPr>
                <w:rFonts w:ascii="Calibri" w:eastAsia="Times New Roman" w:hAnsi="Calibri" w:cs="Times New Roman"/>
                <w:color w:val="000000"/>
              </w:rPr>
              <w:t>3</w:t>
            </w:r>
          </w:p>
        </w:tc>
      </w:tr>
      <w:tr w:rsidR="00F43F57" w:rsidRPr="0099093A">
        <w:trPr>
          <w:trHeight w:val="352"/>
        </w:trPr>
        <w:tc>
          <w:tcPr>
            <w:tcW w:w="3014" w:type="dxa"/>
            <w:shd w:val="clear" w:color="auto" w:fill="auto"/>
            <w:vAlign w:val="bottom"/>
          </w:tcPr>
          <w:p w:rsidR="00F43F57" w:rsidRPr="0099093A" w:rsidRDefault="00F43F57" w:rsidP="004D08DE">
            <w:pPr>
              <w:spacing w:after="0" w:line="240" w:lineRule="auto"/>
              <w:rPr>
                <w:rFonts w:ascii="Calibri" w:eastAsia="Times New Roman" w:hAnsi="Calibri" w:cs="Times New Roman"/>
                <w:color w:val="000000"/>
              </w:rPr>
            </w:pPr>
            <w:r w:rsidRPr="0099093A">
              <w:rPr>
                <w:rFonts w:ascii="Calibri" w:eastAsia="Times New Roman" w:hAnsi="Calibri" w:cs="Times New Roman"/>
                <w:color w:val="000000"/>
              </w:rPr>
              <w:t>Tatil</w:t>
            </w:r>
          </w:p>
        </w:tc>
        <w:tc>
          <w:tcPr>
            <w:tcW w:w="1619" w:type="dxa"/>
            <w:shd w:val="clear" w:color="auto" w:fill="auto"/>
            <w:noWrap/>
            <w:vAlign w:val="bottom"/>
          </w:tcPr>
          <w:p w:rsidR="00F43F57" w:rsidRPr="0099093A" w:rsidRDefault="00F43F57" w:rsidP="004D08DE">
            <w:pPr>
              <w:spacing w:after="0" w:line="240" w:lineRule="auto"/>
              <w:jc w:val="right"/>
              <w:rPr>
                <w:rFonts w:ascii="Calibri" w:eastAsia="Times New Roman" w:hAnsi="Calibri" w:cs="Times New Roman"/>
                <w:color w:val="000000"/>
              </w:rPr>
            </w:pPr>
            <w:r w:rsidRPr="0099093A">
              <w:rPr>
                <w:rFonts w:ascii="Calibri" w:eastAsia="Times New Roman" w:hAnsi="Calibri" w:cs="Times New Roman"/>
                <w:color w:val="000000"/>
              </w:rPr>
              <w:t>16</w:t>
            </w:r>
            <w:r w:rsidR="00001354">
              <w:rPr>
                <w:rFonts w:ascii="Calibri" w:eastAsia="Times New Roman" w:hAnsi="Calibri" w:cs="Times New Roman"/>
                <w:color w:val="000000"/>
              </w:rPr>
              <w:t>.</w:t>
            </w:r>
            <w:r w:rsidRPr="0099093A">
              <w:rPr>
                <w:rFonts w:ascii="Calibri" w:eastAsia="Times New Roman" w:hAnsi="Calibri" w:cs="Times New Roman"/>
                <w:color w:val="000000"/>
              </w:rPr>
              <w:t>638</w:t>
            </w:r>
          </w:p>
        </w:tc>
        <w:tc>
          <w:tcPr>
            <w:tcW w:w="1619" w:type="dxa"/>
            <w:shd w:val="clear" w:color="auto" w:fill="auto"/>
            <w:noWrap/>
            <w:vAlign w:val="bottom"/>
          </w:tcPr>
          <w:p w:rsidR="00F43F57" w:rsidRPr="0099093A" w:rsidRDefault="00B524FD" w:rsidP="004D08D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82,</w:t>
            </w:r>
            <w:r w:rsidR="00F43F57" w:rsidRPr="0099093A">
              <w:rPr>
                <w:rFonts w:ascii="Calibri" w:eastAsia="Times New Roman" w:hAnsi="Calibri" w:cs="Times New Roman"/>
                <w:color w:val="000000"/>
              </w:rPr>
              <w:t>5</w:t>
            </w:r>
          </w:p>
        </w:tc>
      </w:tr>
      <w:tr w:rsidR="00F43F57" w:rsidRPr="0099093A">
        <w:trPr>
          <w:trHeight w:val="351"/>
        </w:trPr>
        <w:tc>
          <w:tcPr>
            <w:tcW w:w="3014" w:type="dxa"/>
            <w:shd w:val="clear" w:color="auto" w:fill="auto"/>
            <w:vAlign w:val="bottom"/>
          </w:tcPr>
          <w:p w:rsidR="00F43F57" w:rsidRPr="0099093A" w:rsidRDefault="00F43F57" w:rsidP="004D08DE">
            <w:pPr>
              <w:spacing w:after="0" w:line="240" w:lineRule="auto"/>
              <w:rPr>
                <w:rFonts w:ascii="Calibri" w:eastAsia="Times New Roman" w:hAnsi="Calibri" w:cs="Times New Roman"/>
                <w:color w:val="000000"/>
              </w:rPr>
            </w:pPr>
            <w:r w:rsidRPr="0099093A">
              <w:rPr>
                <w:rFonts w:ascii="Calibri" w:eastAsia="Times New Roman" w:hAnsi="Calibri" w:cs="Times New Roman"/>
                <w:color w:val="000000"/>
              </w:rPr>
              <w:t>Televizyon</w:t>
            </w:r>
          </w:p>
        </w:tc>
        <w:tc>
          <w:tcPr>
            <w:tcW w:w="1619" w:type="dxa"/>
            <w:shd w:val="clear" w:color="auto" w:fill="auto"/>
            <w:noWrap/>
            <w:vAlign w:val="bottom"/>
          </w:tcPr>
          <w:p w:rsidR="00F43F57" w:rsidRPr="0099093A" w:rsidRDefault="00F43F57" w:rsidP="004D08DE">
            <w:pPr>
              <w:spacing w:after="0" w:line="240" w:lineRule="auto"/>
              <w:jc w:val="right"/>
              <w:rPr>
                <w:rFonts w:ascii="Calibri" w:eastAsia="Times New Roman" w:hAnsi="Calibri" w:cs="Times New Roman"/>
                <w:color w:val="000000"/>
              </w:rPr>
            </w:pPr>
            <w:r w:rsidRPr="0099093A">
              <w:rPr>
                <w:rFonts w:ascii="Calibri" w:eastAsia="Times New Roman" w:hAnsi="Calibri" w:cs="Times New Roman"/>
                <w:color w:val="000000"/>
              </w:rPr>
              <w:t>91</w:t>
            </w:r>
          </w:p>
        </w:tc>
        <w:tc>
          <w:tcPr>
            <w:tcW w:w="1619" w:type="dxa"/>
            <w:shd w:val="clear" w:color="auto" w:fill="auto"/>
            <w:noWrap/>
            <w:vAlign w:val="bottom"/>
          </w:tcPr>
          <w:p w:rsidR="00F43F57" w:rsidRPr="0099093A" w:rsidRDefault="00B524FD" w:rsidP="004D08D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r w:rsidR="00F43F57" w:rsidRPr="0099093A">
              <w:rPr>
                <w:rFonts w:ascii="Calibri" w:eastAsia="Times New Roman" w:hAnsi="Calibri" w:cs="Times New Roman"/>
                <w:color w:val="000000"/>
              </w:rPr>
              <w:t>5</w:t>
            </w:r>
          </w:p>
        </w:tc>
      </w:tr>
      <w:tr w:rsidR="00F43F57" w:rsidRPr="0099093A">
        <w:trPr>
          <w:trHeight w:val="352"/>
        </w:trPr>
        <w:tc>
          <w:tcPr>
            <w:tcW w:w="3014" w:type="dxa"/>
            <w:shd w:val="clear" w:color="auto" w:fill="auto"/>
            <w:vAlign w:val="bottom"/>
          </w:tcPr>
          <w:p w:rsidR="00F43F57" w:rsidRPr="0099093A" w:rsidRDefault="00F43F57" w:rsidP="004D08DE">
            <w:pPr>
              <w:spacing w:after="0" w:line="240" w:lineRule="auto"/>
              <w:rPr>
                <w:rFonts w:ascii="Calibri" w:eastAsia="Times New Roman" w:hAnsi="Calibri" w:cs="Times New Roman"/>
                <w:color w:val="000000"/>
              </w:rPr>
            </w:pPr>
            <w:r w:rsidRPr="0099093A">
              <w:rPr>
                <w:rFonts w:ascii="Calibri" w:eastAsia="Times New Roman" w:hAnsi="Calibri" w:cs="Times New Roman"/>
                <w:color w:val="000000"/>
              </w:rPr>
              <w:t>Çamaşır Makinesi</w:t>
            </w:r>
          </w:p>
        </w:tc>
        <w:tc>
          <w:tcPr>
            <w:tcW w:w="1619" w:type="dxa"/>
            <w:shd w:val="clear" w:color="auto" w:fill="auto"/>
            <w:noWrap/>
            <w:vAlign w:val="bottom"/>
          </w:tcPr>
          <w:p w:rsidR="00F43F57" w:rsidRPr="0099093A" w:rsidRDefault="00F43F57" w:rsidP="004D08DE">
            <w:pPr>
              <w:spacing w:after="0" w:line="240" w:lineRule="auto"/>
              <w:jc w:val="right"/>
              <w:rPr>
                <w:rFonts w:ascii="Calibri" w:eastAsia="Times New Roman" w:hAnsi="Calibri" w:cs="Times New Roman"/>
                <w:color w:val="000000"/>
              </w:rPr>
            </w:pPr>
            <w:r w:rsidRPr="0099093A">
              <w:rPr>
                <w:rFonts w:ascii="Calibri" w:eastAsia="Times New Roman" w:hAnsi="Calibri" w:cs="Times New Roman"/>
                <w:color w:val="000000"/>
              </w:rPr>
              <w:t>685</w:t>
            </w:r>
          </w:p>
        </w:tc>
        <w:tc>
          <w:tcPr>
            <w:tcW w:w="1619" w:type="dxa"/>
            <w:shd w:val="clear" w:color="auto" w:fill="auto"/>
            <w:noWrap/>
            <w:vAlign w:val="bottom"/>
          </w:tcPr>
          <w:p w:rsidR="00F43F57" w:rsidRPr="0099093A" w:rsidRDefault="00B524FD" w:rsidP="004D08D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r w:rsidR="00F43F57" w:rsidRPr="0099093A">
              <w:rPr>
                <w:rFonts w:ascii="Calibri" w:eastAsia="Times New Roman" w:hAnsi="Calibri" w:cs="Times New Roman"/>
                <w:color w:val="000000"/>
              </w:rPr>
              <w:t>4</w:t>
            </w:r>
          </w:p>
        </w:tc>
      </w:tr>
      <w:tr w:rsidR="00F43F57" w:rsidRPr="0099093A">
        <w:trPr>
          <w:trHeight w:val="351"/>
        </w:trPr>
        <w:tc>
          <w:tcPr>
            <w:tcW w:w="3014" w:type="dxa"/>
            <w:shd w:val="clear" w:color="auto" w:fill="auto"/>
            <w:vAlign w:val="bottom"/>
          </w:tcPr>
          <w:p w:rsidR="00F43F57" w:rsidRPr="0099093A" w:rsidRDefault="00F43F57" w:rsidP="004D08DE">
            <w:pPr>
              <w:spacing w:after="0" w:line="240" w:lineRule="auto"/>
              <w:rPr>
                <w:rFonts w:ascii="Calibri" w:eastAsia="Times New Roman" w:hAnsi="Calibri" w:cs="Times New Roman"/>
                <w:color w:val="000000"/>
              </w:rPr>
            </w:pPr>
            <w:r w:rsidRPr="0099093A">
              <w:rPr>
                <w:rFonts w:ascii="Calibri" w:eastAsia="Times New Roman" w:hAnsi="Calibri" w:cs="Times New Roman"/>
                <w:color w:val="000000"/>
              </w:rPr>
              <w:t>Otomobil</w:t>
            </w:r>
          </w:p>
        </w:tc>
        <w:tc>
          <w:tcPr>
            <w:tcW w:w="1619" w:type="dxa"/>
            <w:shd w:val="clear" w:color="auto" w:fill="auto"/>
            <w:noWrap/>
            <w:vAlign w:val="bottom"/>
          </w:tcPr>
          <w:p w:rsidR="00F43F57" w:rsidRPr="0099093A" w:rsidRDefault="00F43F57" w:rsidP="004D08DE">
            <w:pPr>
              <w:spacing w:after="0" w:line="240" w:lineRule="auto"/>
              <w:jc w:val="right"/>
              <w:rPr>
                <w:rFonts w:ascii="Calibri" w:eastAsia="Times New Roman" w:hAnsi="Calibri" w:cs="Times New Roman"/>
                <w:color w:val="000000"/>
              </w:rPr>
            </w:pPr>
            <w:r w:rsidRPr="0099093A">
              <w:rPr>
                <w:rFonts w:ascii="Calibri" w:eastAsia="Times New Roman" w:hAnsi="Calibri" w:cs="Times New Roman"/>
                <w:color w:val="000000"/>
              </w:rPr>
              <w:t>11</w:t>
            </w:r>
            <w:r w:rsidR="00001354">
              <w:rPr>
                <w:rFonts w:ascii="Calibri" w:eastAsia="Times New Roman" w:hAnsi="Calibri" w:cs="Times New Roman"/>
                <w:color w:val="000000"/>
              </w:rPr>
              <w:t>.</w:t>
            </w:r>
            <w:r w:rsidRPr="0099093A">
              <w:rPr>
                <w:rFonts w:ascii="Calibri" w:eastAsia="Times New Roman" w:hAnsi="Calibri" w:cs="Times New Roman"/>
                <w:color w:val="000000"/>
              </w:rPr>
              <w:t>277</w:t>
            </w:r>
          </w:p>
        </w:tc>
        <w:tc>
          <w:tcPr>
            <w:tcW w:w="1619" w:type="dxa"/>
            <w:shd w:val="clear" w:color="auto" w:fill="auto"/>
            <w:noWrap/>
            <w:vAlign w:val="bottom"/>
          </w:tcPr>
          <w:p w:rsidR="00F43F57" w:rsidRPr="0099093A" w:rsidRDefault="00B524FD" w:rsidP="004D08D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55,</w:t>
            </w:r>
            <w:r w:rsidR="00F43F57" w:rsidRPr="0099093A">
              <w:rPr>
                <w:rFonts w:ascii="Calibri" w:eastAsia="Times New Roman" w:hAnsi="Calibri" w:cs="Times New Roman"/>
                <w:color w:val="000000"/>
              </w:rPr>
              <w:t>9</w:t>
            </w:r>
          </w:p>
        </w:tc>
      </w:tr>
      <w:tr w:rsidR="00F43F57" w:rsidRPr="0099093A">
        <w:trPr>
          <w:trHeight w:val="352"/>
        </w:trPr>
        <w:tc>
          <w:tcPr>
            <w:tcW w:w="3014" w:type="dxa"/>
            <w:shd w:val="clear" w:color="auto" w:fill="auto"/>
            <w:vAlign w:val="bottom"/>
          </w:tcPr>
          <w:p w:rsidR="00F43F57" w:rsidRPr="0099093A" w:rsidRDefault="00F43F57" w:rsidP="004D08DE">
            <w:pPr>
              <w:spacing w:after="0" w:line="240" w:lineRule="auto"/>
              <w:rPr>
                <w:rFonts w:ascii="Calibri" w:eastAsia="Times New Roman" w:hAnsi="Calibri" w:cs="Times New Roman"/>
                <w:color w:val="000000"/>
              </w:rPr>
            </w:pPr>
            <w:r w:rsidRPr="0099093A">
              <w:rPr>
                <w:rFonts w:ascii="Calibri" w:eastAsia="Times New Roman" w:hAnsi="Calibri" w:cs="Times New Roman"/>
                <w:color w:val="000000"/>
              </w:rPr>
              <w:t>Telefon</w:t>
            </w:r>
          </w:p>
        </w:tc>
        <w:tc>
          <w:tcPr>
            <w:tcW w:w="1619" w:type="dxa"/>
            <w:shd w:val="clear" w:color="auto" w:fill="auto"/>
            <w:noWrap/>
            <w:vAlign w:val="bottom"/>
          </w:tcPr>
          <w:p w:rsidR="00F43F57" w:rsidRPr="0099093A" w:rsidRDefault="00F43F57" w:rsidP="004D08DE">
            <w:pPr>
              <w:spacing w:after="0" w:line="240" w:lineRule="auto"/>
              <w:jc w:val="right"/>
              <w:rPr>
                <w:rFonts w:ascii="Calibri" w:eastAsia="Times New Roman" w:hAnsi="Calibri" w:cs="Times New Roman"/>
                <w:color w:val="000000"/>
              </w:rPr>
            </w:pPr>
            <w:r w:rsidRPr="0099093A">
              <w:rPr>
                <w:rFonts w:ascii="Calibri" w:eastAsia="Times New Roman" w:hAnsi="Calibri" w:cs="Times New Roman"/>
                <w:color w:val="000000"/>
              </w:rPr>
              <w:t>49</w:t>
            </w:r>
          </w:p>
        </w:tc>
        <w:tc>
          <w:tcPr>
            <w:tcW w:w="1619" w:type="dxa"/>
            <w:shd w:val="clear" w:color="auto" w:fill="auto"/>
            <w:noWrap/>
            <w:vAlign w:val="bottom"/>
          </w:tcPr>
          <w:p w:rsidR="00F43F57" w:rsidRPr="0099093A" w:rsidRDefault="00B524FD" w:rsidP="004D08D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r w:rsidR="00F43F57" w:rsidRPr="0099093A">
              <w:rPr>
                <w:rFonts w:ascii="Calibri" w:eastAsia="Times New Roman" w:hAnsi="Calibri" w:cs="Times New Roman"/>
                <w:color w:val="000000"/>
              </w:rPr>
              <w:t>2</w:t>
            </w:r>
          </w:p>
        </w:tc>
      </w:tr>
      <w:tr w:rsidR="00F43F57" w:rsidRPr="0099093A">
        <w:trPr>
          <w:trHeight w:val="352"/>
        </w:trPr>
        <w:tc>
          <w:tcPr>
            <w:tcW w:w="3014" w:type="dxa"/>
            <w:shd w:val="clear" w:color="auto" w:fill="auto"/>
            <w:vAlign w:val="bottom"/>
          </w:tcPr>
          <w:p w:rsidR="00F43F57" w:rsidRPr="0099093A" w:rsidRDefault="00F43F57" w:rsidP="004D08DE">
            <w:pPr>
              <w:spacing w:after="0" w:line="240" w:lineRule="auto"/>
              <w:rPr>
                <w:rFonts w:ascii="Calibri" w:eastAsia="Times New Roman" w:hAnsi="Calibri" w:cs="Times New Roman"/>
                <w:color w:val="000000"/>
              </w:rPr>
            </w:pPr>
            <w:r w:rsidRPr="0099093A">
              <w:rPr>
                <w:rFonts w:ascii="Calibri" w:eastAsia="Times New Roman" w:hAnsi="Calibri" w:cs="Times New Roman"/>
                <w:color w:val="000000"/>
              </w:rPr>
              <w:t xml:space="preserve">Kira ve faturalar </w:t>
            </w:r>
          </w:p>
        </w:tc>
        <w:tc>
          <w:tcPr>
            <w:tcW w:w="1619" w:type="dxa"/>
            <w:shd w:val="clear" w:color="auto" w:fill="auto"/>
            <w:noWrap/>
            <w:vAlign w:val="bottom"/>
          </w:tcPr>
          <w:p w:rsidR="00F43F57" w:rsidRPr="0099093A" w:rsidRDefault="00F43F57" w:rsidP="004D08DE">
            <w:pPr>
              <w:spacing w:after="0" w:line="240" w:lineRule="auto"/>
              <w:jc w:val="right"/>
              <w:rPr>
                <w:rFonts w:ascii="Calibri" w:eastAsia="Times New Roman" w:hAnsi="Calibri" w:cs="Times New Roman"/>
                <w:color w:val="000000"/>
              </w:rPr>
            </w:pPr>
            <w:r w:rsidRPr="0099093A">
              <w:rPr>
                <w:rFonts w:ascii="Calibri" w:eastAsia="Times New Roman" w:hAnsi="Calibri" w:cs="Times New Roman"/>
                <w:color w:val="000000"/>
              </w:rPr>
              <w:t>9</w:t>
            </w:r>
            <w:r w:rsidR="00001354">
              <w:rPr>
                <w:rFonts w:ascii="Calibri" w:eastAsia="Times New Roman" w:hAnsi="Calibri" w:cs="Times New Roman"/>
                <w:color w:val="000000"/>
              </w:rPr>
              <w:t>.</w:t>
            </w:r>
            <w:r w:rsidRPr="0099093A">
              <w:rPr>
                <w:rFonts w:ascii="Calibri" w:eastAsia="Times New Roman" w:hAnsi="Calibri" w:cs="Times New Roman"/>
                <w:color w:val="000000"/>
              </w:rPr>
              <w:t>828</w:t>
            </w:r>
          </w:p>
        </w:tc>
        <w:tc>
          <w:tcPr>
            <w:tcW w:w="1619" w:type="dxa"/>
            <w:shd w:val="clear" w:color="auto" w:fill="auto"/>
            <w:noWrap/>
            <w:vAlign w:val="bottom"/>
          </w:tcPr>
          <w:p w:rsidR="00F43F57" w:rsidRPr="0099093A" w:rsidRDefault="00B524FD" w:rsidP="004D08D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w:t>
            </w:r>
            <w:r w:rsidR="00F43F57" w:rsidRPr="0099093A">
              <w:rPr>
                <w:rFonts w:ascii="Calibri" w:eastAsia="Times New Roman" w:hAnsi="Calibri" w:cs="Times New Roman"/>
                <w:color w:val="000000"/>
              </w:rPr>
              <w:t>7</w:t>
            </w:r>
          </w:p>
        </w:tc>
      </w:tr>
    </w:tbl>
    <w:p w:rsidR="00F43F57" w:rsidRPr="00DD3DED" w:rsidRDefault="00F43F57" w:rsidP="00F43F57">
      <w:pPr>
        <w:pStyle w:val="Caption"/>
        <w:keepNext/>
        <w:rPr>
          <w:b w:val="0"/>
          <w:color w:val="auto"/>
        </w:rPr>
      </w:pPr>
      <w:r w:rsidRPr="00DD3DED">
        <w:rPr>
          <w:b w:val="0"/>
          <w:color w:val="auto"/>
        </w:rPr>
        <w:t>Kaynak: TUİK 201</w:t>
      </w:r>
      <w:r w:rsidR="00FF5747">
        <w:rPr>
          <w:b w:val="0"/>
          <w:color w:val="auto"/>
        </w:rPr>
        <w:t>3</w:t>
      </w:r>
      <w:r w:rsidRPr="00DD3DED">
        <w:rPr>
          <w:b w:val="0"/>
          <w:color w:val="auto"/>
        </w:rPr>
        <w:t xml:space="preserve"> Gelir ve Yaşam Koşulları Anketi mikro veri seti; Betam </w:t>
      </w:r>
    </w:p>
    <w:p w:rsidR="006F1F55" w:rsidRPr="006D1AF7" w:rsidRDefault="006D1AF7">
      <w:pPr>
        <w:rPr>
          <w:b/>
          <w:bCs/>
          <w:sz w:val="24"/>
          <w:szCs w:val="24"/>
        </w:rPr>
      </w:pPr>
      <w:r w:rsidRPr="006D1AF7">
        <w:rPr>
          <w:b/>
          <w:bCs/>
          <w:sz w:val="24"/>
          <w:szCs w:val="24"/>
        </w:rPr>
        <w:t xml:space="preserve">Bölgelere göre şiddetli maddi yoksunluk oranları </w:t>
      </w:r>
    </w:p>
    <w:p w:rsidR="00367BBD" w:rsidRPr="006D5094" w:rsidRDefault="00551297" w:rsidP="00367BBD">
      <w:pPr>
        <w:jc w:val="both"/>
        <w:rPr>
          <w:rFonts w:cs="Arial"/>
        </w:rPr>
      </w:pPr>
      <w:fldSimple w:instr=" REF _Ref417458181 \h  \* MERGEFORMAT ">
        <w:r w:rsidR="007A717A" w:rsidRPr="007A717A">
          <w:rPr>
            <w:rFonts w:cs="Arial"/>
          </w:rPr>
          <w:t>Şekil 2</w:t>
        </w:r>
      </w:fldSimple>
      <w:r w:rsidR="007A717A">
        <w:rPr>
          <w:rFonts w:cs="Arial"/>
        </w:rPr>
        <w:t xml:space="preserve"> ve </w:t>
      </w:r>
      <w:fldSimple w:instr=" REF _Ref417458188 \h  \* MERGEFORMAT ">
        <w:r w:rsidR="007A717A" w:rsidRPr="007A717A">
          <w:rPr>
            <w:rFonts w:cs="Arial"/>
          </w:rPr>
          <w:t>Tablo 2</w:t>
        </w:r>
      </w:fldSimple>
      <w:r w:rsidR="00831084" w:rsidRPr="006D5094">
        <w:rPr>
          <w:rFonts w:cs="Arial"/>
        </w:rPr>
        <w:t>’de şiddetli maddi yoksunluk olarak ölçülen çocuk yoksu</w:t>
      </w:r>
      <w:r w:rsidR="00F95F21">
        <w:rPr>
          <w:rFonts w:cs="Arial"/>
        </w:rPr>
        <w:t>l</w:t>
      </w:r>
      <w:r w:rsidR="00101E9A">
        <w:rPr>
          <w:rFonts w:cs="Arial"/>
        </w:rPr>
        <w:t>luğu</w:t>
      </w:r>
      <w:r w:rsidR="00831084" w:rsidRPr="006D5094">
        <w:rPr>
          <w:rFonts w:cs="Arial"/>
        </w:rPr>
        <w:t xml:space="preserve"> bölgeler ayrımında verilmektedir. Genel bir bakışla Türkiye'nin doğusuna gidildikçe şiddetli maddi çocuk yoksu</w:t>
      </w:r>
      <w:r w:rsidR="00F95F21">
        <w:rPr>
          <w:rFonts w:cs="Arial"/>
        </w:rPr>
        <w:t xml:space="preserve">nluğunun </w:t>
      </w:r>
      <w:r w:rsidR="00831084" w:rsidRPr="006D5094">
        <w:rPr>
          <w:rFonts w:cs="Arial"/>
        </w:rPr>
        <w:t>arttığını görmek mümkündür.</w:t>
      </w:r>
      <w:r w:rsidR="00367BBD" w:rsidRPr="006D5094">
        <w:rPr>
          <w:rFonts w:cs="Arial"/>
        </w:rPr>
        <w:t xml:space="preserve"> </w:t>
      </w:r>
      <w:r w:rsidR="00900B24">
        <w:rPr>
          <w:rFonts w:cs="Arial"/>
        </w:rPr>
        <w:t xml:space="preserve">Tablo </w:t>
      </w:r>
      <w:r w:rsidR="001D0B58">
        <w:rPr>
          <w:rFonts w:cs="Arial"/>
        </w:rPr>
        <w:t>2</w:t>
      </w:r>
      <w:r w:rsidR="00900B24">
        <w:rPr>
          <w:rFonts w:cs="Arial"/>
        </w:rPr>
        <w:t xml:space="preserve">'deki verilere göre 2013 yılında </w:t>
      </w:r>
      <w:r w:rsidR="00606DA1" w:rsidRPr="006D5094">
        <w:rPr>
          <w:rFonts w:cs="Arial"/>
        </w:rPr>
        <w:t>Türkiye'de yaklaşık 10 milyon çocuk şiddetli maddi yoksundur ve bu 10 milyon çocuğunun büyük bir çoğunluğu (yüzd</w:t>
      </w:r>
      <w:r w:rsidR="00101E9A">
        <w:rPr>
          <w:rFonts w:cs="Arial"/>
        </w:rPr>
        <w:t>e 37, yaklaşık 3 milyon 3</w:t>
      </w:r>
      <w:r w:rsidR="00541B14">
        <w:rPr>
          <w:rFonts w:cs="Arial"/>
        </w:rPr>
        <w:t>70</w:t>
      </w:r>
      <w:r w:rsidR="00101E9A">
        <w:rPr>
          <w:rFonts w:cs="Arial"/>
        </w:rPr>
        <w:t xml:space="preserve"> bin</w:t>
      </w:r>
      <w:r w:rsidR="00FC6703">
        <w:rPr>
          <w:rFonts w:cs="Arial"/>
        </w:rPr>
        <w:t xml:space="preserve">) doğu bölgelerindedir </w:t>
      </w:r>
      <w:r w:rsidR="00606DA1" w:rsidRPr="006D5094">
        <w:rPr>
          <w:rFonts w:cs="Arial"/>
        </w:rPr>
        <w:t xml:space="preserve">(Orta Doğu, Kuzey Doğu ve Güney Doğu Anadolu). </w:t>
      </w:r>
      <w:r w:rsidR="00900B24">
        <w:rPr>
          <w:rFonts w:cs="Arial"/>
        </w:rPr>
        <w:t xml:space="preserve"> </w:t>
      </w:r>
      <w:r w:rsidR="00367BBD" w:rsidRPr="006D5094">
        <w:rPr>
          <w:rFonts w:cs="Arial"/>
        </w:rPr>
        <w:t xml:space="preserve">Şiddetli maddi yoksun çocukların payının 7 bölgede yüzde </w:t>
      </w:r>
      <w:r w:rsidR="00101E9A">
        <w:rPr>
          <w:rFonts w:cs="Arial"/>
        </w:rPr>
        <w:t>49,</w:t>
      </w:r>
      <w:r w:rsidR="00367BBD" w:rsidRPr="006D5094">
        <w:rPr>
          <w:rFonts w:cs="Arial"/>
        </w:rPr>
        <w:t>8 olan Türkiye ortalamasının altında iken, Akdeniz, Orta Doğu Anadolu, Kuzey Doğu Anadolu ve Güney Doğu Anadolu bölgelerinde Türkiye ortalamasının üzerindedir</w:t>
      </w:r>
      <w:r w:rsidR="00900B24">
        <w:rPr>
          <w:rFonts w:cs="Arial"/>
        </w:rPr>
        <w:t xml:space="preserve"> (</w:t>
      </w:r>
      <w:r>
        <w:rPr>
          <w:rFonts w:cs="Arial"/>
        </w:rPr>
        <w:fldChar w:fldCharType="begin"/>
      </w:r>
      <w:r w:rsidR="008B1330">
        <w:rPr>
          <w:rFonts w:cs="Arial"/>
        </w:rPr>
        <w:instrText xml:space="preserve"> REF _Ref417458181 \h </w:instrText>
      </w:r>
      <w:r w:rsidR="001558B2" w:rsidRPr="00551297">
        <w:rPr>
          <w:rFonts w:cs="Arial"/>
        </w:rPr>
      </w:r>
      <w:r>
        <w:rPr>
          <w:rFonts w:cs="Arial"/>
        </w:rPr>
        <w:fldChar w:fldCharType="separate"/>
      </w:r>
      <w:r w:rsidR="008B1330" w:rsidRPr="008B1330">
        <w:rPr>
          <w:sz w:val="24"/>
          <w:szCs w:val="24"/>
        </w:rPr>
        <w:t>Şekil 2</w:t>
      </w:r>
      <w:r>
        <w:rPr>
          <w:rFonts w:cs="Arial"/>
        </w:rPr>
        <w:fldChar w:fldCharType="end"/>
      </w:r>
      <w:r w:rsidR="00900B24">
        <w:rPr>
          <w:rFonts w:cs="Arial"/>
        </w:rPr>
        <w:t>)</w:t>
      </w:r>
      <w:r w:rsidR="00367BBD" w:rsidRPr="006D5094">
        <w:rPr>
          <w:rFonts w:cs="Arial"/>
        </w:rPr>
        <w:t xml:space="preserve">. Çocuk maddi yoksunluğu en yaygın Kuzey Doğu ve Güney Doğu Anadolu bölgesinde görülmektedir ve bu bölgelerde yoksun çocukların oranı sırasıyla yüzde 69,3 ve yüzde 74,7'dir. </w:t>
      </w:r>
      <w:r w:rsidR="00856B22" w:rsidRPr="006D5094">
        <w:rPr>
          <w:rFonts w:cs="Arial"/>
        </w:rPr>
        <w:t>Diğer bir deyişle</w:t>
      </w:r>
      <w:r w:rsidR="00541B14">
        <w:rPr>
          <w:rFonts w:cs="Arial"/>
        </w:rPr>
        <w:t>,</w:t>
      </w:r>
      <w:r w:rsidR="00856B22" w:rsidRPr="006D5094">
        <w:rPr>
          <w:rFonts w:cs="Arial"/>
        </w:rPr>
        <w:t xml:space="preserve"> Güney Doğu Anadolu bölgesinde her dört çocuktan üçü şiddetli maddi yoksunluk içerisindedir. </w:t>
      </w:r>
      <w:r w:rsidR="00E722B4" w:rsidRPr="006D5094">
        <w:rPr>
          <w:rFonts w:cs="Arial"/>
        </w:rPr>
        <w:t>Bunun yanı sıra ş</w:t>
      </w:r>
      <w:r w:rsidR="00367BBD" w:rsidRPr="006D5094">
        <w:rPr>
          <w:rFonts w:cs="Arial"/>
        </w:rPr>
        <w:t xml:space="preserve">iddetli çocuk yoksunluğunun en az olduğu Batı Marmara bölgesiyle en yüksek olduğu Güney Doğu Anadolu bölgesi arasındaki fark </w:t>
      </w:r>
      <w:r w:rsidR="002B7807">
        <w:rPr>
          <w:rFonts w:cs="Arial"/>
        </w:rPr>
        <w:t xml:space="preserve">oldukça fazladır. </w:t>
      </w:r>
      <w:r w:rsidR="00367BBD" w:rsidRPr="006D5094">
        <w:rPr>
          <w:rFonts w:cs="Arial"/>
        </w:rPr>
        <w:t>Batı Marmara'da 213 bin çocuk şiddetli maddi yoksun iken, Güney Doğu Anadolu bölgesinde bu rakam</w:t>
      </w:r>
      <w:r w:rsidR="002B7807">
        <w:rPr>
          <w:rFonts w:cs="Arial"/>
        </w:rPr>
        <w:t xml:space="preserve"> 2 milyon 390 bin civarındadır (</w:t>
      </w:r>
      <w:r>
        <w:rPr>
          <w:rFonts w:cs="Arial"/>
        </w:rPr>
        <w:fldChar w:fldCharType="begin"/>
      </w:r>
      <w:r w:rsidR="008B1330">
        <w:rPr>
          <w:rFonts w:cs="Arial"/>
        </w:rPr>
        <w:instrText xml:space="preserve"> REF _Ref417458188 \h </w:instrText>
      </w:r>
      <w:r w:rsidR="001558B2" w:rsidRPr="00551297">
        <w:rPr>
          <w:rFonts w:cs="Arial"/>
        </w:rPr>
      </w:r>
      <w:r>
        <w:rPr>
          <w:rFonts w:cs="Arial"/>
        </w:rPr>
        <w:fldChar w:fldCharType="separate"/>
      </w:r>
      <w:r w:rsidR="008B1330" w:rsidRPr="007A717A">
        <w:rPr>
          <w:sz w:val="24"/>
          <w:szCs w:val="24"/>
        </w:rPr>
        <w:t>Tablo 2</w:t>
      </w:r>
      <w:r>
        <w:rPr>
          <w:rFonts w:cs="Arial"/>
        </w:rPr>
        <w:fldChar w:fldCharType="end"/>
      </w:r>
      <w:r w:rsidR="002B7807">
        <w:rPr>
          <w:rFonts w:cs="Arial"/>
        </w:rPr>
        <w:t xml:space="preserve">). </w:t>
      </w:r>
    </w:p>
    <w:p w:rsidR="007A717A" w:rsidRPr="008B1330" w:rsidRDefault="007A717A" w:rsidP="007A717A">
      <w:pPr>
        <w:pStyle w:val="Caption"/>
        <w:keepNext/>
        <w:rPr>
          <w:sz w:val="24"/>
          <w:szCs w:val="24"/>
        </w:rPr>
      </w:pPr>
      <w:bookmarkStart w:id="4" w:name="_Ref417458181"/>
      <w:r w:rsidRPr="008B1330">
        <w:rPr>
          <w:color w:val="auto"/>
          <w:sz w:val="24"/>
          <w:szCs w:val="24"/>
        </w:rPr>
        <w:t xml:space="preserve">Şekil </w:t>
      </w:r>
      <w:r w:rsidR="00551297" w:rsidRPr="008B1330">
        <w:rPr>
          <w:color w:val="auto"/>
          <w:sz w:val="24"/>
          <w:szCs w:val="24"/>
        </w:rPr>
        <w:fldChar w:fldCharType="begin"/>
      </w:r>
      <w:r w:rsidRPr="008B1330">
        <w:rPr>
          <w:color w:val="auto"/>
          <w:sz w:val="24"/>
          <w:szCs w:val="24"/>
        </w:rPr>
        <w:instrText xml:space="preserve"> SEQ Şekil \* ARABIC </w:instrText>
      </w:r>
      <w:r w:rsidR="00551297" w:rsidRPr="008B1330">
        <w:rPr>
          <w:color w:val="auto"/>
          <w:sz w:val="24"/>
          <w:szCs w:val="24"/>
        </w:rPr>
        <w:fldChar w:fldCharType="separate"/>
      </w:r>
      <w:r w:rsidRPr="008B1330">
        <w:rPr>
          <w:color w:val="auto"/>
          <w:sz w:val="24"/>
          <w:szCs w:val="24"/>
        </w:rPr>
        <w:t>2</w:t>
      </w:r>
      <w:r w:rsidR="00551297" w:rsidRPr="008B1330">
        <w:rPr>
          <w:color w:val="auto"/>
          <w:sz w:val="24"/>
          <w:szCs w:val="24"/>
        </w:rPr>
        <w:fldChar w:fldCharType="end"/>
      </w:r>
      <w:bookmarkEnd w:id="4"/>
      <w:r w:rsidRPr="008B1330">
        <w:rPr>
          <w:color w:val="auto"/>
          <w:sz w:val="24"/>
          <w:szCs w:val="24"/>
        </w:rPr>
        <w:t>: Bölgelere göre çocukların şiddetli maddi yoksunluğu (%, 2013)</w:t>
      </w:r>
    </w:p>
    <w:p w:rsidR="00687397" w:rsidRDefault="005A2A67" w:rsidP="00AC03C1">
      <w:pPr>
        <w:pStyle w:val="Caption"/>
        <w:keepNext/>
        <w:ind w:left="-1134" w:firstLine="1134"/>
        <w:rPr>
          <w:b w:val="0"/>
          <w:color w:val="auto"/>
        </w:rPr>
      </w:pPr>
      <w:r w:rsidRPr="00B94CCE">
        <w:rPr>
          <w:b w:val="0"/>
          <w:noProof/>
          <w:color w:val="auto"/>
          <w:lang w:val="en-US" w:eastAsia="en-US"/>
        </w:rPr>
        <w:drawing>
          <wp:inline distT="0" distB="0" distL="0" distR="0">
            <wp:extent cx="6146358" cy="283066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7807" w:rsidRPr="00556E68" w:rsidRDefault="00AA6FBC" w:rsidP="00556E68">
      <w:pPr>
        <w:pStyle w:val="Caption"/>
        <w:keepNext/>
        <w:rPr>
          <w:color w:val="auto"/>
          <w:sz w:val="22"/>
          <w:szCs w:val="22"/>
        </w:rPr>
      </w:pPr>
      <w:r>
        <w:rPr>
          <w:b w:val="0"/>
          <w:color w:val="auto"/>
        </w:rPr>
        <w:t>Kaynak</w:t>
      </w:r>
      <w:r w:rsidR="00A95B3D" w:rsidRPr="00A95B3D">
        <w:rPr>
          <w:b w:val="0"/>
          <w:color w:val="auto"/>
        </w:rPr>
        <w:t xml:space="preserve">: TUİK 2013 Gelir ve Yaşam Koşulları mikro veri seti; Betam </w:t>
      </w:r>
    </w:p>
    <w:p w:rsidR="003B66D0" w:rsidRDefault="005A2A67" w:rsidP="00A92A43">
      <w:pPr>
        <w:pStyle w:val="Caption"/>
        <w:keepNext/>
        <w:rPr>
          <w:color w:val="auto"/>
          <w:sz w:val="24"/>
          <w:szCs w:val="24"/>
        </w:rPr>
      </w:pPr>
      <w:r w:rsidRPr="005A2A67">
        <w:rPr>
          <w:color w:val="auto"/>
          <w:sz w:val="24"/>
          <w:szCs w:val="24"/>
        </w:rPr>
        <w:t xml:space="preserve"> </w:t>
      </w:r>
      <w:bookmarkStart w:id="5" w:name="_Ref417458188"/>
      <w:r w:rsidR="007A717A" w:rsidRPr="007A717A">
        <w:rPr>
          <w:color w:val="auto"/>
          <w:sz w:val="24"/>
          <w:szCs w:val="24"/>
        </w:rPr>
        <w:t xml:space="preserve">Tablo </w:t>
      </w:r>
      <w:r w:rsidR="00551297" w:rsidRPr="007A717A">
        <w:rPr>
          <w:color w:val="auto"/>
          <w:sz w:val="24"/>
          <w:szCs w:val="24"/>
        </w:rPr>
        <w:fldChar w:fldCharType="begin"/>
      </w:r>
      <w:r w:rsidR="007A717A" w:rsidRPr="007A717A">
        <w:rPr>
          <w:color w:val="auto"/>
          <w:sz w:val="24"/>
          <w:szCs w:val="24"/>
        </w:rPr>
        <w:instrText xml:space="preserve"> SEQ Tablo \* ARABIC </w:instrText>
      </w:r>
      <w:r w:rsidR="00551297" w:rsidRPr="007A717A">
        <w:rPr>
          <w:color w:val="auto"/>
          <w:sz w:val="24"/>
          <w:szCs w:val="24"/>
        </w:rPr>
        <w:fldChar w:fldCharType="separate"/>
      </w:r>
      <w:r w:rsidR="007A717A" w:rsidRPr="007A717A">
        <w:rPr>
          <w:color w:val="auto"/>
          <w:sz w:val="24"/>
          <w:szCs w:val="24"/>
        </w:rPr>
        <w:t>2</w:t>
      </w:r>
      <w:r w:rsidR="00551297" w:rsidRPr="007A717A">
        <w:rPr>
          <w:color w:val="auto"/>
          <w:sz w:val="24"/>
          <w:szCs w:val="24"/>
        </w:rPr>
        <w:fldChar w:fldCharType="end"/>
      </w:r>
      <w:bookmarkEnd w:id="5"/>
      <w:r w:rsidR="007A717A" w:rsidRPr="007A717A">
        <w:rPr>
          <w:color w:val="auto"/>
          <w:sz w:val="24"/>
          <w:szCs w:val="24"/>
        </w:rPr>
        <w:t xml:space="preserve">: </w:t>
      </w:r>
      <w:r w:rsidR="007A717A" w:rsidRPr="005A2A67">
        <w:rPr>
          <w:color w:val="auto"/>
          <w:sz w:val="24"/>
          <w:szCs w:val="24"/>
        </w:rPr>
        <w:t>Bölgelere göre şiddetli yoksun çocuklar(2013)</w:t>
      </w:r>
    </w:p>
    <w:tbl>
      <w:tblPr>
        <w:tblW w:w="8560" w:type="dxa"/>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tblPr>
      <w:tblGrid>
        <w:gridCol w:w="2980"/>
        <w:gridCol w:w="2220"/>
        <w:gridCol w:w="1620"/>
        <w:gridCol w:w="1740"/>
      </w:tblGrid>
      <w:tr w:rsidR="003B66D0" w:rsidRPr="003B66D0">
        <w:trPr>
          <w:trHeight w:val="900"/>
        </w:trPr>
        <w:tc>
          <w:tcPr>
            <w:tcW w:w="2980" w:type="dxa"/>
            <w:shd w:val="clear" w:color="auto" w:fill="auto"/>
            <w:vAlign w:val="center"/>
          </w:tcPr>
          <w:p w:rsidR="003B66D0" w:rsidRPr="003B66D0" w:rsidRDefault="003B66D0" w:rsidP="003B66D0">
            <w:pPr>
              <w:spacing w:after="0" w:line="240" w:lineRule="auto"/>
              <w:rPr>
                <w:rFonts w:ascii="Calibri" w:eastAsia="Times New Roman" w:hAnsi="Calibri" w:cs="Times New Roman"/>
                <w:color w:val="000000"/>
              </w:rPr>
            </w:pPr>
            <w:r w:rsidRPr="003B66D0">
              <w:rPr>
                <w:rFonts w:ascii="Calibri" w:eastAsia="Times New Roman" w:hAnsi="Calibri" w:cs="Times New Roman"/>
                <w:color w:val="000000"/>
              </w:rPr>
              <w:t xml:space="preserve">Bölgeler </w:t>
            </w:r>
          </w:p>
        </w:tc>
        <w:tc>
          <w:tcPr>
            <w:tcW w:w="2220" w:type="dxa"/>
            <w:shd w:val="clear" w:color="auto" w:fill="auto"/>
            <w:vAlign w:val="center"/>
          </w:tcPr>
          <w:p w:rsidR="003B66D0" w:rsidRPr="003B66D0" w:rsidRDefault="003B66D0" w:rsidP="003B66D0">
            <w:pPr>
              <w:spacing w:after="0" w:line="240" w:lineRule="auto"/>
              <w:rPr>
                <w:rFonts w:ascii="Calibri" w:eastAsia="Times New Roman" w:hAnsi="Calibri" w:cs="Times New Roman"/>
                <w:color w:val="000000"/>
              </w:rPr>
            </w:pPr>
            <w:r w:rsidRPr="003B66D0">
              <w:rPr>
                <w:rFonts w:ascii="Calibri" w:eastAsia="Times New Roman" w:hAnsi="Calibri" w:cs="Times New Roman"/>
                <w:color w:val="000000"/>
              </w:rPr>
              <w:t xml:space="preserve">Şiddetli Maddi Yoksun Çocuk Sayısı (bin kişi) </w:t>
            </w:r>
          </w:p>
        </w:tc>
        <w:tc>
          <w:tcPr>
            <w:tcW w:w="1620" w:type="dxa"/>
            <w:shd w:val="clear" w:color="auto" w:fill="auto"/>
            <w:vAlign w:val="center"/>
          </w:tcPr>
          <w:p w:rsidR="003B66D0" w:rsidRPr="003B66D0" w:rsidRDefault="003B66D0" w:rsidP="003B66D0">
            <w:pPr>
              <w:spacing w:after="0" w:line="240" w:lineRule="auto"/>
              <w:rPr>
                <w:rFonts w:ascii="Calibri" w:eastAsia="Times New Roman" w:hAnsi="Calibri" w:cs="Times New Roman"/>
                <w:color w:val="000000"/>
              </w:rPr>
            </w:pPr>
            <w:r w:rsidRPr="003B66D0">
              <w:rPr>
                <w:rFonts w:ascii="Calibri" w:eastAsia="Times New Roman" w:hAnsi="Calibri" w:cs="Times New Roman"/>
                <w:color w:val="000000"/>
              </w:rPr>
              <w:t xml:space="preserve">Toplam Çocuk Sayısı (bin kişi) </w:t>
            </w:r>
          </w:p>
        </w:tc>
        <w:tc>
          <w:tcPr>
            <w:tcW w:w="1740" w:type="dxa"/>
            <w:shd w:val="clear" w:color="auto" w:fill="auto"/>
            <w:vAlign w:val="center"/>
          </w:tcPr>
          <w:p w:rsidR="003B66D0" w:rsidRPr="003B66D0" w:rsidRDefault="003B66D0" w:rsidP="003B66D0">
            <w:pPr>
              <w:spacing w:after="0" w:line="240" w:lineRule="auto"/>
              <w:rPr>
                <w:rFonts w:ascii="Calibri" w:eastAsia="Times New Roman" w:hAnsi="Calibri" w:cs="Times New Roman"/>
                <w:color w:val="000000"/>
              </w:rPr>
            </w:pPr>
            <w:r w:rsidRPr="003B66D0">
              <w:rPr>
                <w:rFonts w:ascii="Calibri" w:eastAsia="Times New Roman" w:hAnsi="Calibri" w:cs="Times New Roman"/>
                <w:color w:val="000000"/>
              </w:rPr>
              <w:t>Yoksun çocukların oranı (%)</w:t>
            </w:r>
          </w:p>
        </w:tc>
      </w:tr>
      <w:tr w:rsidR="003B66D0" w:rsidRPr="003B66D0">
        <w:trPr>
          <w:trHeight w:val="300"/>
        </w:trPr>
        <w:tc>
          <w:tcPr>
            <w:tcW w:w="2980" w:type="dxa"/>
            <w:shd w:val="clear" w:color="auto" w:fill="auto"/>
            <w:noWrap/>
            <w:vAlign w:val="bottom"/>
          </w:tcPr>
          <w:p w:rsidR="003B66D0" w:rsidRPr="003B66D0" w:rsidRDefault="003B66D0" w:rsidP="003B66D0">
            <w:pPr>
              <w:spacing w:after="0" w:line="240" w:lineRule="auto"/>
              <w:rPr>
                <w:rFonts w:ascii="Calibri" w:eastAsia="Times New Roman" w:hAnsi="Calibri" w:cs="Times New Roman"/>
                <w:color w:val="000000"/>
              </w:rPr>
            </w:pPr>
            <w:r w:rsidRPr="003B66D0">
              <w:rPr>
                <w:rFonts w:ascii="Calibri" w:eastAsia="Times New Roman" w:hAnsi="Calibri" w:cs="Times New Roman"/>
                <w:color w:val="000000"/>
              </w:rPr>
              <w:t xml:space="preserve">TR2- Batı Marmara </w:t>
            </w:r>
          </w:p>
        </w:tc>
        <w:tc>
          <w:tcPr>
            <w:tcW w:w="22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213</w:t>
            </w:r>
          </w:p>
        </w:tc>
        <w:tc>
          <w:tcPr>
            <w:tcW w:w="16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655</w:t>
            </w:r>
          </w:p>
        </w:tc>
        <w:tc>
          <w:tcPr>
            <w:tcW w:w="174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32.6</w:t>
            </w:r>
          </w:p>
        </w:tc>
      </w:tr>
      <w:tr w:rsidR="003B66D0" w:rsidRPr="003B66D0">
        <w:trPr>
          <w:trHeight w:val="300"/>
        </w:trPr>
        <w:tc>
          <w:tcPr>
            <w:tcW w:w="2980" w:type="dxa"/>
            <w:shd w:val="clear" w:color="auto" w:fill="auto"/>
            <w:noWrap/>
            <w:vAlign w:val="bottom"/>
          </w:tcPr>
          <w:p w:rsidR="003B66D0" w:rsidRPr="003B66D0" w:rsidRDefault="003B66D0" w:rsidP="003B66D0">
            <w:pPr>
              <w:spacing w:after="0" w:line="240" w:lineRule="auto"/>
              <w:rPr>
                <w:rFonts w:ascii="Calibri" w:eastAsia="Times New Roman" w:hAnsi="Calibri" w:cs="Times New Roman"/>
                <w:color w:val="000000"/>
              </w:rPr>
            </w:pPr>
            <w:r w:rsidRPr="003B66D0">
              <w:rPr>
                <w:rFonts w:ascii="Calibri" w:eastAsia="Times New Roman" w:hAnsi="Calibri" w:cs="Times New Roman"/>
                <w:color w:val="000000"/>
              </w:rPr>
              <w:t>TR3-Ege</w:t>
            </w:r>
          </w:p>
        </w:tc>
        <w:tc>
          <w:tcPr>
            <w:tcW w:w="22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795</w:t>
            </w:r>
          </w:p>
        </w:tc>
        <w:tc>
          <w:tcPr>
            <w:tcW w:w="16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2219</w:t>
            </w:r>
          </w:p>
        </w:tc>
        <w:tc>
          <w:tcPr>
            <w:tcW w:w="174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35.8</w:t>
            </w:r>
          </w:p>
        </w:tc>
      </w:tr>
      <w:tr w:rsidR="003B66D0" w:rsidRPr="003B66D0">
        <w:trPr>
          <w:trHeight w:val="300"/>
        </w:trPr>
        <w:tc>
          <w:tcPr>
            <w:tcW w:w="2980" w:type="dxa"/>
            <w:shd w:val="clear" w:color="auto" w:fill="auto"/>
            <w:noWrap/>
            <w:vAlign w:val="bottom"/>
          </w:tcPr>
          <w:p w:rsidR="003B66D0" w:rsidRPr="003B66D0" w:rsidRDefault="003B66D0" w:rsidP="003B66D0">
            <w:pPr>
              <w:spacing w:after="0" w:line="240" w:lineRule="auto"/>
              <w:rPr>
                <w:rFonts w:ascii="Calibri" w:eastAsia="Times New Roman" w:hAnsi="Calibri" w:cs="Times New Roman"/>
                <w:color w:val="000000"/>
              </w:rPr>
            </w:pPr>
            <w:r w:rsidRPr="003B66D0">
              <w:rPr>
                <w:rFonts w:ascii="Calibri" w:eastAsia="Times New Roman" w:hAnsi="Calibri" w:cs="Times New Roman"/>
                <w:color w:val="000000"/>
              </w:rPr>
              <w:t xml:space="preserve">TR4-Doğu Marmara </w:t>
            </w:r>
          </w:p>
        </w:tc>
        <w:tc>
          <w:tcPr>
            <w:tcW w:w="22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643</w:t>
            </w:r>
          </w:p>
        </w:tc>
        <w:tc>
          <w:tcPr>
            <w:tcW w:w="16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1694</w:t>
            </w:r>
          </w:p>
        </w:tc>
        <w:tc>
          <w:tcPr>
            <w:tcW w:w="174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37.9</w:t>
            </w:r>
          </w:p>
        </w:tc>
      </w:tr>
      <w:tr w:rsidR="003B66D0" w:rsidRPr="003B66D0">
        <w:trPr>
          <w:trHeight w:val="300"/>
        </w:trPr>
        <w:tc>
          <w:tcPr>
            <w:tcW w:w="2980" w:type="dxa"/>
            <w:shd w:val="clear" w:color="auto" w:fill="auto"/>
            <w:noWrap/>
            <w:vAlign w:val="bottom"/>
          </w:tcPr>
          <w:p w:rsidR="003B66D0" w:rsidRPr="003B66D0" w:rsidRDefault="003B66D0" w:rsidP="003B66D0">
            <w:pPr>
              <w:spacing w:after="0" w:line="240" w:lineRule="auto"/>
              <w:rPr>
                <w:rFonts w:ascii="Calibri" w:eastAsia="Times New Roman" w:hAnsi="Calibri" w:cs="Times New Roman"/>
                <w:color w:val="000000"/>
              </w:rPr>
            </w:pPr>
            <w:r w:rsidRPr="003B66D0">
              <w:rPr>
                <w:rFonts w:ascii="Calibri" w:eastAsia="Times New Roman" w:hAnsi="Calibri" w:cs="Times New Roman"/>
                <w:color w:val="000000"/>
              </w:rPr>
              <w:t>TR8-Batı Karadeniz</w:t>
            </w:r>
          </w:p>
        </w:tc>
        <w:tc>
          <w:tcPr>
            <w:tcW w:w="22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411</w:t>
            </w:r>
          </w:p>
        </w:tc>
        <w:tc>
          <w:tcPr>
            <w:tcW w:w="16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1063</w:t>
            </w:r>
          </w:p>
        </w:tc>
        <w:tc>
          <w:tcPr>
            <w:tcW w:w="174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38.6</w:t>
            </w:r>
          </w:p>
        </w:tc>
      </w:tr>
      <w:tr w:rsidR="003B66D0" w:rsidRPr="003B66D0">
        <w:trPr>
          <w:trHeight w:val="300"/>
        </w:trPr>
        <w:tc>
          <w:tcPr>
            <w:tcW w:w="2980" w:type="dxa"/>
            <w:shd w:val="clear" w:color="auto" w:fill="auto"/>
            <w:noWrap/>
            <w:vAlign w:val="bottom"/>
          </w:tcPr>
          <w:p w:rsidR="003B66D0" w:rsidRPr="003B66D0" w:rsidRDefault="003B66D0" w:rsidP="003B66D0">
            <w:pPr>
              <w:spacing w:after="0" w:line="240" w:lineRule="auto"/>
              <w:rPr>
                <w:rFonts w:ascii="Calibri" w:eastAsia="Times New Roman" w:hAnsi="Calibri" w:cs="Times New Roman"/>
                <w:color w:val="000000"/>
              </w:rPr>
            </w:pPr>
            <w:r w:rsidRPr="003B66D0">
              <w:rPr>
                <w:rFonts w:ascii="Calibri" w:eastAsia="Times New Roman" w:hAnsi="Calibri" w:cs="Times New Roman"/>
                <w:color w:val="000000"/>
              </w:rPr>
              <w:t>TR5-Batı Anadolu</w:t>
            </w:r>
          </w:p>
        </w:tc>
        <w:tc>
          <w:tcPr>
            <w:tcW w:w="22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739</w:t>
            </w:r>
          </w:p>
        </w:tc>
        <w:tc>
          <w:tcPr>
            <w:tcW w:w="16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1829</w:t>
            </w:r>
          </w:p>
        </w:tc>
        <w:tc>
          <w:tcPr>
            <w:tcW w:w="174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40.4</w:t>
            </w:r>
          </w:p>
        </w:tc>
      </w:tr>
      <w:tr w:rsidR="003B66D0" w:rsidRPr="003B66D0">
        <w:trPr>
          <w:trHeight w:val="300"/>
        </w:trPr>
        <w:tc>
          <w:tcPr>
            <w:tcW w:w="2980" w:type="dxa"/>
            <w:shd w:val="clear" w:color="auto" w:fill="auto"/>
            <w:noWrap/>
            <w:vAlign w:val="bottom"/>
          </w:tcPr>
          <w:p w:rsidR="003B66D0" w:rsidRPr="003B66D0" w:rsidRDefault="003B66D0" w:rsidP="003B66D0">
            <w:pPr>
              <w:spacing w:after="0" w:line="240" w:lineRule="auto"/>
              <w:rPr>
                <w:rFonts w:ascii="Calibri" w:eastAsia="Times New Roman" w:hAnsi="Calibri" w:cs="Times New Roman"/>
                <w:color w:val="000000"/>
              </w:rPr>
            </w:pPr>
            <w:r w:rsidRPr="003B66D0">
              <w:rPr>
                <w:rFonts w:ascii="Calibri" w:eastAsia="Times New Roman" w:hAnsi="Calibri" w:cs="Times New Roman"/>
                <w:color w:val="000000"/>
              </w:rPr>
              <w:t>TR9-Doğu Karadeniz</w:t>
            </w:r>
          </w:p>
        </w:tc>
        <w:tc>
          <w:tcPr>
            <w:tcW w:w="22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231</w:t>
            </w:r>
          </w:p>
        </w:tc>
        <w:tc>
          <w:tcPr>
            <w:tcW w:w="16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564</w:t>
            </w:r>
          </w:p>
        </w:tc>
        <w:tc>
          <w:tcPr>
            <w:tcW w:w="174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40.9</w:t>
            </w:r>
          </w:p>
        </w:tc>
      </w:tr>
      <w:tr w:rsidR="003B66D0" w:rsidRPr="003B66D0">
        <w:trPr>
          <w:trHeight w:val="300"/>
        </w:trPr>
        <w:tc>
          <w:tcPr>
            <w:tcW w:w="2980" w:type="dxa"/>
            <w:shd w:val="clear" w:color="auto" w:fill="auto"/>
            <w:noWrap/>
            <w:vAlign w:val="bottom"/>
          </w:tcPr>
          <w:p w:rsidR="003B66D0" w:rsidRPr="003B66D0" w:rsidRDefault="003B66D0" w:rsidP="003B66D0">
            <w:pPr>
              <w:spacing w:after="0" w:line="240" w:lineRule="auto"/>
              <w:rPr>
                <w:rFonts w:ascii="Calibri" w:eastAsia="Times New Roman" w:hAnsi="Calibri" w:cs="Times New Roman"/>
                <w:color w:val="000000"/>
              </w:rPr>
            </w:pPr>
            <w:r w:rsidRPr="003B66D0">
              <w:rPr>
                <w:rFonts w:ascii="Calibri" w:eastAsia="Times New Roman" w:hAnsi="Calibri" w:cs="Times New Roman"/>
                <w:color w:val="000000"/>
              </w:rPr>
              <w:t>TR1- İstanbul</w:t>
            </w:r>
          </w:p>
        </w:tc>
        <w:tc>
          <w:tcPr>
            <w:tcW w:w="22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1345</w:t>
            </w:r>
          </w:p>
        </w:tc>
        <w:tc>
          <w:tcPr>
            <w:tcW w:w="16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3139</w:t>
            </w:r>
          </w:p>
        </w:tc>
        <w:tc>
          <w:tcPr>
            <w:tcW w:w="174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42.9</w:t>
            </w:r>
          </w:p>
        </w:tc>
      </w:tr>
      <w:tr w:rsidR="003B66D0" w:rsidRPr="003B66D0">
        <w:trPr>
          <w:trHeight w:val="300"/>
        </w:trPr>
        <w:tc>
          <w:tcPr>
            <w:tcW w:w="2980" w:type="dxa"/>
            <w:shd w:val="clear" w:color="auto" w:fill="auto"/>
            <w:noWrap/>
            <w:vAlign w:val="bottom"/>
          </w:tcPr>
          <w:p w:rsidR="003B66D0" w:rsidRPr="003B66D0" w:rsidRDefault="003B66D0" w:rsidP="003B66D0">
            <w:pPr>
              <w:spacing w:after="0" w:line="240" w:lineRule="auto"/>
              <w:rPr>
                <w:rFonts w:ascii="Calibri" w:eastAsia="Times New Roman" w:hAnsi="Calibri" w:cs="Times New Roman"/>
                <w:color w:val="000000"/>
              </w:rPr>
            </w:pPr>
            <w:r w:rsidRPr="003B66D0">
              <w:rPr>
                <w:rFonts w:ascii="Calibri" w:eastAsia="Times New Roman" w:hAnsi="Calibri" w:cs="Times New Roman"/>
                <w:color w:val="000000"/>
              </w:rPr>
              <w:t>TR7-Orta Anadolu</w:t>
            </w:r>
          </w:p>
        </w:tc>
        <w:tc>
          <w:tcPr>
            <w:tcW w:w="22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524</w:t>
            </w:r>
          </w:p>
        </w:tc>
        <w:tc>
          <w:tcPr>
            <w:tcW w:w="16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1074</w:t>
            </w:r>
          </w:p>
        </w:tc>
        <w:tc>
          <w:tcPr>
            <w:tcW w:w="174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48.8</w:t>
            </w:r>
          </w:p>
        </w:tc>
      </w:tr>
      <w:tr w:rsidR="003B66D0" w:rsidRPr="003B66D0">
        <w:trPr>
          <w:trHeight w:val="300"/>
        </w:trPr>
        <w:tc>
          <w:tcPr>
            <w:tcW w:w="2980" w:type="dxa"/>
            <w:shd w:val="clear" w:color="auto" w:fill="auto"/>
            <w:noWrap/>
            <w:vAlign w:val="bottom"/>
          </w:tcPr>
          <w:p w:rsidR="003B66D0" w:rsidRPr="003B66D0" w:rsidRDefault="003B66D0" w:rsidP="003B66D0">
            <w:pPr>
              <w:spacing w:after="0" w:line="240" w:lineRule="auto"/>
              <w:rPr>
                <w:rFonts w:ascii="Calibri" w:eastAsia="Times New Roman" w:hAnsi="Calibri" w:cs="Times New Roman"/>
                <w:color w:val="000000"/>
              </w:rPr>
            </w:pPr>
            <w:r w:rsidRPr="003B66D0">
              <w:rPr>
                <w:rFonts w:ascii="Calibri" w:eastAsia="Times New Roman" w:hAnsi="Calibri" w:cs="Times New Roman"/>
                <w:color w:val="000000"/>
              </w:rPr>
              <w:t>TR6-Akdeniz</w:t>
            </w:r>
          </w:p>
        </w:tc>
        <w:tc>
          <w:tcPr>
            <w:tcW w:w="22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1463</w:t>
            </w:r>
          </w:p>
        </w:tc>
        <w:tc>
          <w:tcPr>
            <w:tcW w:w="16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2739</w:t>
            </w:r>
          </w:p>
        </w:tc>
        <w:tc>
          <w:tcPr>
            <w:tcW w:w="174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53.4</w:t>
            </w:r>
          </w:p>
        </w:tc>
      </w:tr>
      <w:tr w:rsidR="003B66D0" w:rsidRPr="003B66D0">
        <w:trPr>
          <w:trHeight w:val="300"/>
        </w:trPr>
        <w:tc>
          <w:tcPr>
            <w:tcW w:w="2980" w:type="dxa"/>
            <w:shd w:val="clear" w:color="auto" w:fill="auto"/>
            <w:noWrap/>
            <w:vAlign w:val="bottom"/>
          </w:tcPr>
          <w:p w:rsidR="003B66D0" w:rsidRPr="003B66D0" w:rsidRDefault="003B66D0" w:rsidP="003B66D0">
            <w:pPr>
              <w:spacing w:after="0" w:line="240" w:lineRule="auto"/>
              <w:rPr>
                <w:rFonts w:ascii="Calibri" w:eastAsia="Times New Roman" w:hAnsi="Calibri" w:cs="Times New Roman"/>
                <w:color w:val="000000"/>
              </w:rPr>
            </w:pPr>
            <w:r w:rsidRPr="003B66D0">
              <w:rPr>
                <w:rFonts w:ascii="Calibri" w:eastAsia="Times New Roman" w:hAnsi="Calibri" w:cs="Times New Roman"/>
                <w:color w:val="000000"/>
              </w:rPr>
              <w:t>TRB-Orta Doğu Anadolu</w:t>
            </w:r>
          </w:p>
        </w:tc>
        <w:tc>
          <w:tcPr>
            <w:tcW w:w="22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761</w:t>
            </w:r>
          </w:p>
        </w:tc>
        <w:tc>
          <w:tcPr>
            <w:tcW w:w="16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1240</w:t>
            </w:r>
          </w:p>
        </w:tc>
        <w:tc>
          <w:tcPr>
            <w:tcW w:w="174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61.4</w:t>
            </w:r>
          </w:p>
        </w:tc>
      </w:tr>
      <w:tr w:rsidR="003B66D0" w:rsidRPr="003B66D0">
        <w:trPr>
          <w:trHeight w:val="300"/>
        </w:trPr>
        <w:tc>
          <w:tcPr>
            <w:tcW w:w="2980" w:type="dxa"/>
            <w:shd w:val="clear" w:color="auto" w:fill="auto"/>
            <w:noWrap/>
            <w:vAlign w:val="bottom"/>
          </w:tcPr>
          <w:p w:rsidR="003B66D0" w:rsidRPr="003B66D0" w:rsidRDefault="003B66D0" w:rsidP="003B66D0">
            <w:pPr>
              <w:spacing w:after="0" w:line="240" w:lineRule="auto"/>
              <w:rPr>
                <w:rFonts w:ascii="Calibri" w:eastAsia="Times New Roman" w:hAnsi="Calibri" w:cs="Times New Roman"/>
                <w:color w:val="000000"/>
              </w:rPr>
            </w:pPr>
            <w:r w:rsidRPr="003B66D0">
              <w:rPr>
                <w:rFonts w:ascii="Calibri" w:eastAsia="Times New Roman" w:hAnsi="Calibri" w:cs="Times New Roman"/>
                <w:color w:val="000000"/>
              </w:rPr>
              <w:t>TRA- Kuzey Doğu Anadolu</w:t>
            </w:r>
          </w:p>
        </w:tc>
        <w:tc>
          <w:tcPr>
            <w:tcW w:w="22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518</w:t>
            </w:r>
          </w:p>
        </w:tc>
        <w:tc>
          <w:tcPr>
            <w:tcW w:w="16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748</w:t>
            </w:r>
          </w:p>
        </w:tc>
        <w:tc>
          <w:tcPr>
            <w:tcW w:w="174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69.3</w:t>
            </w:r>
          </w:p>
        </w:tc>
      </w:tr>
      <w:tr w:rsidR="003B66D0" w:rsidRPr="003B66D0">
        <w:trPr>
          <w:trHeight w:val="300"/>
        </w:trPr>
        <w:tc>
          <w:tcPr>
            <w:tcW w:w="2980" w:type="dxa"/>
            <w:shd w:val="clear" w:color="auto" w:fill="auto"/>
            <w:noWrap/>
            <w:vAlign w:val="bottom"/>
          </w:tcPr>
          <w:p w:rsidR="003B66D0" w:rsidRPr="003B66D0" w:rsidRDefault="003B66D0" w:rsidP="003B66D0">
            <w:pPr>
              <w:spacing w:after="0" w:line="240" w:lineRule="auto"/>
              <w:rPr>
                <w:rFonts w:ascii="Calibri" w:eastAsia="Times New Roman" w:hAnsi="Calibri" w:cs="Times New Roman"/>
                <w:color w:val="000000"/>
              </w:rPr>
            </w:pPr>
            <w:r w:rsidRPr="003B66D0">
              <w:rPr>
                <w:rFonts w:ascii="Calibri" w:eastAsia="Times New Roman" w:hAnsi="Calibri" w:cs="Times New Roman"/>
                <w:color w:val="000000"/>
              </w:rPr>
              <w:t xml:space="preserve">TRC- Güney Doğu Anadolu </w:t>
            </w:r>
          </w:p>
        </w:tc>
        <w:tc>
          <w:tcPr>
            <w:tcW w:w="22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2390</w:t>
            </w:r>
          </w:p>
        </w:tc>
        <w:tc>
          <w:tcPr>
            <w:tcW w:w="16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3201</w:t>
            </w:r>
          </w:p>
        </w:tc>
        <w:tc>
          <w:tcPr>
            <w:tcW w:w="174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74.7</w:t>
            </w:r>
          </w:p>
        </w:tc>
      </w:tr>
      <w:tr w:rsidR="003B66D0" w:rsidRPr="003B66D0">
        <w:trPr>
          <w:trHeight w:val="300"/>
        </w:trPr>
        <w:tc>
          <w:tcPr>
            <w:tcW w:w="2980" w:type="dxa"/>
            <w:shd w:val="clear" w:color="auto" w:fill="auto"/>
            <w:noWrap/>
            <w:vAlign w:val="bottom"/>
          </w:tcPr>
          <w:p w:rsidR="003B66D0" w:rsidRPr="003B66D0" w:rsidRDefault="003B66D0" w:rsidP="003B66D0">
            <w:pPr>
              <w:spacing w:after="0" w:line="240" w:lineRule="auto"/>
              <w:rPr>
                <w:rFonts w:ascii="Calibri" w:eastAsia="Times New Roman" w:hAnsi="Calibri" w:cs="Times New Roman"/>
                <w:color w:val="000000"/>
              </w:rPr>
            </w:pPr>
            <w:r w:rsidRPr="003B66D0">
              <w:rPr>
                <w:rFonts w:ascii="Calibri" w:eastAsia="Times New Roman" w:hAnsi="Calibri" w:cs="Times New Roman"/>
                <w:color w:val="000000"/>
              </w:rPr>
              <w:t xml:space="preserve">Türkiye </w:t>
            </w:r>
          </w:p>
        </w:tc>
        <w:tc>
          <w:tcPr>
            <w:tcW w:w="22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10033</w:t>
            </w:r>
          </w:p>
        </w:tc>
        <w:tc>
          <w:tcPr>
            <w:tcW w:w="162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20164</w:t>
            </w:r>
          </w:p>
        </w:tc>
        <w:tc>
          <w:tcPr>
            <w:tcW w:w="1740" w:type="dxa"/>
            <w:shd w:val="clear" w:color="auto" w:fill="auto"/>
            <w:noWrap/>
            <w:vAlign w:val="bottom"/>
          </w:tcPr>
          <w:p w:rsidR="003B66D0" w:rsidRPr="003B66D0" w:rsidRDefault="003B66D0" w:rsidP="003B66D0">
            <w:pPr>
              <w:spacing w:after="0" w:line="240" w:lineRule="auto"/>
              <w:jc w:val="right"/>
              <w:rPr>
                <w:rFonts w:ascii="Calibri" w:eastAsia="Times New Roman" w:hAnsi="Calibri" w:cs="Times New Roman"/>
                <w:color w:val="000000"/>
              </w:rPr>
            </w:pPr>
            <w:r w:rsidRPr="003B66D0">
              <w:rPr>
                <w:rFonts w:ascii="Calibri" w:eastAsia="Times New Roman" w:hAnsi="Calibri" w:cs="Times New Roman"/>
                <w:color w:val="000000"/>
              </w:rPr>
              <w:t>49.8</w:t>
            </w:r>
          </w:p>
        </w:tc>
      </w:tr>
    </w:tbl>
    <w:p w:rsidR="003E2FBD" w:rsidRPr="00A92A43" w:rsidRDefault="00993FD6" w:rsidP="00A92A43">
      <w:pPr>
        <w:pStyle w:val="Caption"/>
        <w:keepNext/>
        <w:rPr>
          <w:color w:val="auto"/>
          <w:sz w:val="22"/>
          <w:szCs w:val="22"/>
        </w:rPr>
      </w:pPr>
      <w:r>
        <w:rPr>
          <w:b w:val="0"/>
          <w:color w:val="auto"/>
        </w:rPr>
        <w:t xml:space="preserve"> </w:t>
      </w:r>
      <w:r w:rsidR="005A2A67">
        <w:rPr>
          <w:b w:val="0"/>
          <w:color w:val="auto"/>
        </w:rPr>
        <w:t>Kaynak</w:t>
      </w:r>
      <w:r w:rsidR="005A2A67" w:rsidRPr="00A95B3D">
        <w:rPr>
          <w:b w:val="0"/>
          <w:color w:val="auto"/>
        </w:rPr>
        <w:t xml:space="preserve">: TUİK 2013 Gelir ve Yaşam Koşulları mikro veri seti; Betam </w:t>
      </w:r>
    </w:p>
    <w:p w:rsidR="003E2FBD" w:rsidRDefault="003E2FBD"/>
    <w:p w:rsidR="00E60C34" w:rsidRPr="001E01AE" w:rsidRDefault="009460E5">
      <w:pPr>
        <w:rPr>
          <w:b/>
          <w:sz w:val="24"/>
          <w:szCs w:val="24"/>
        </w:rPr>
      </w:pPr>
      <w:r w:rsidRPr="001E01AE">
        <w:rPr>
          <w:b/>
          <w:sz w:val="24"/>
          <w:szCs w:val="24"/>
        </w:rPr>
        <w:t>Sonuç</w:t>
      </w:r>
    </w:p>
    <w:p w:rsidR="003A2F90" w:rsidRDefault="003A2F90" w:rsidP="009460E5">
      <w:pPr>
        <w:jc w:val="both"/>
      </w:pPr>
      <w:r>
        <w:t>Veriler Türkiye'deki çocukların yarısının Avrupa Birliği k</w:t>
      </w:r>
      <w:r w:rsidR="00B719CE">
        <w:t>ıstaslarına göre şiddetli maddi</w:t>
      </w:r>
      <w:r>
        <w:t xml:space="preserve"> yoksunluk içinde yaşadığını göstermektedir. Türkiye bu açıdan sadece Avrupa'daki gelişmiş ülkelerin değil aynı zamanda kişi başına düşen gelir açısından düşük olan ülkelerin de gerisindedir. </w:t>
      </w:r>
    </w:p>
    <w:p w:rsidR="00F83F22" w:rsidRDefault="00F83F22" w:rsidP="009460E5">
      <w:pPr>
        <w:jc w:val="both"/>
      </w:pPr>
      <w:r>
        <w:t xml:space="preserve">Türkiye'nin politika gündeminde son günlerde doğurganlığı artırmayı hedefleyen politikalar göze çarpmaktadır. Türkiye'nin kalkınması için doğurganlığın artmasını elzem gören bu politikaların mevcut çocukların durumunu dikkate almadan tasarlanması bu politikalar neticesinde doğacak çocukların gelecekleri açısından da ümitsizlik vermektedir. İşe yaradığı takdirde doğurganlığı artırıcı politikalar gelir seviyesi daha düşük kesimlerde etkisini gösterir. </w:t>
      </w:r>
      <w:r w:rsidR="008B78D4">
        <w:t>Ç</w:t>
      </w:r>
      <w:r>
        <w:t xml:space="preserve">ocukları </w:t>
      </w:r>
      <w:r w:rsidR="008B78D4">
        <w:t xml:space="preserve">halihazırda </w:t>
      </w:r>
      <w:r>
        <w:t>şiddetli maddi yoksunluk içerisinde</w:t>
      </w:r>
      <w:r w:rsidR="008B78D4">
        <w:t xml:space="preserve"> büyüyen</w:t>
      </w:r>
      <w:r>
        <w:t xml:space="preserve"> hanelerin</w:t>
      </w:r>
      <w:r w:rsidR="00776A81">
        <w:t xml:space="preserve"> yeni doğacak çocuklarının, </w:t>
      </w:r>
      <w:r>
        <w:t>yoksullukla mücadele politikalarıyla desteklenmedikleri takdirde</w:t>
      </w:r>
      <w:r w:rsidR="00776A81">
        <w:t>,</w:t>
      </w:r>
      <w:r>
        <w:t xml:space="preserve"> olumsuz koşullarda büyümesi kaçınılmazdır. </w:t>
      </w:r>
    </w:p>
    <w:p w:rsidR="009460E5" w:rsidRDefault="009460E5" w:rsidP="009460E5">
      <w:pPr>
        <w:jc w:val="both"/>
      </w:pPr>
    </w:p>
    <w:p w:rsidR="00E60C34" w:rsidRDefault="00E60C34"/>
    <w:sectPr w:rsidR="00E60C34" w:rsidSect="009E4FBF">
      <w:footerReference w:type="default" r:id="rId10"/>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A93" w:rsidRDefault="00C34A93" w:rsidP="006F1F55">
      <w:pPr>
        <w:spacing w:after="0" w:line="240" w:lineRule="auto"/>
      </w:pPr>
      <w:r>
        <w:separator/>
      </w:r>
    </w:p>
  </w:endnote>
  <w:endnote w:type="continuationSeparator" w:id="0">
    <w:p w:rsidR="00C34A93" w:rsidRDefault="00C34A93" w:rsidP="006F1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Light">
    <w:charset w:val="A2"/>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6620"/>
      <w:docPartObj>
        <w:docPartGallery w:val="Page Numbers (Bottom of Page)"/>
        <w:docPartUnique/>
      </w:docPartObj>
    </w:sdtPr>
    <w:sdtContent>
      <w:p w:rsidR="00AC03C1" w:rsidRDefault="00551297">
        <w:pPr>
          <w:pStyle w:val="Footer"/>
          <w:jc w:val="right"/>
        </w:pPr>
        <w:fldSimple w:instr=" PAGE   \* MERGEFORMAT ">
          <w:r w:rsidR="001558B2">
            <w:rPr>
              <w:noProof/>
            </w:rPr>
            <w:t>2</w:t>
          </w:r>
        </w:fldSimple>
      </w:p>
    </w:sdtContent>
  </w:sdt>
  <w:p w:rsidR="00AC03C1" w:rsidRDefault="00AC03C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A93" w:rsidRDefault="00C34A93" w:rsidP="006F1F55">
      <w:pPr>
        <w:spacing w:after="0" w:line="240" w:lineRule="auto"/>
      </w:pPr>
      <w:r>
        <w:separator/>
      </w:r>
    </w:p>
  </w:footnote>
  <w:footnote w:type="continuationSeparator" w:id="0">
    <w:p w:rsidR="00C34A93" w:rsidRDefault="00C34A93" w:rsidP="006F1F55">
      <w:pPr>
        <w:spacing w:after="0" w:line="240" w:lineRule="auto"/>
      </w:pPr>
      <w:r>
        <w:continuationSeparator/>
      </w:r>
    </w:p>
  </w:footnote>
  <w:footnote w:id="1">
    <w:p w:rsidR="00476758" w:rsidRPr="00AC03C1" w:rsidRDefault="00476758" w:rsidP="006F1F55">
      <w:pPr>
        <w:pStyle w:val="FootnoteText"/>
        <w:rPr>
          <w:sz w:val="14"/>
          <w:szCs w:val="14"/>
        </w:rPr>
      </w:pPr>
      <w:r w:rsidRPr="00AC03C1">
        <w:rPr>
          <w:rStyle w:val="FootnoteReference"/>
          <w:rFonts w:ascii="Arial" w:hAnsi="Arial" w:cs="Arial"/>
          <w:b/>
          <w:bCs/>
          <w:sz w:val="14"/>
          <w:szCs w:val="14"/>
        </w:rPr>
        <w:t>*</w:t>
      </w:r>
      <w:r w:rsidRPr="00AC03C1">
        <w:rPr>
          <w:rFonts w:ascii="Arial" w:hAnsi="Arial" w:cs="Arial"/>
          <w:sz w:val="14"/>
          <w:szCs w:val="14"/>
        </w:rPr>
        <w:t>Prof. Dr. Seyfettin Gürsel, Betam, Direktör, seyfettin.gursel@eas.bahcesehir.edu.tr</w:t>
      </w:r>
    </w:p>
  </w:footnote>
  <w:footnote w:id="2">
    <w:p w:rsidR="00476758" w:rsidRPr="00AC03C1" w:rsidRDefault="00476758" w:rsidP="006F1F55">
      <w:pPr>
        <w:pStyle w:val="FootnoteText"/>
        <w:rPr>
          <w:sz w:val="14"/>
          <w:szCs w:val="14"/>
        </w:rPr>
      </w:pPr>
      <w:r w:rsidRPr="00AC03C1">
        <w:rPr>
          <w:rStyle w:val="FootnoteReference"/>
          <w:rFonts w:ascii="Arial" w:hAnsi="Arial" w:cs="Arial"/>
          <w:sz w:val="14"/>
          <w:szCs w:val="14"/>
        </w:rPr>
        <w:sym w:font="Symbol" w:char="F02A"/>
      </w:r>
      <w:r w:rsidRPr="00AC03C1">
        <w:rPr>
          <w:rStyle w:val="FootnoteReference"/>
          <w:rFonts w:ascii="Arial" w:hAnsi="Arial" w:cs="Arial"/>
          <w:sz w:val="14"/>
          <w:szCs w:val="14"/>
        </w:rPr>
        <w:sym w:font="Symbol" w:char="F02A"/>
      </w:r>
      <w:r w:rsidRPr="00AC03C1">
        <w:rPr>
          <w:rFonts w:ascii="Arial" w:hAnsi="Arial" w:cs="Arial"/>
          <w:sz w:val="14"/>
          <w:szCs w:val="14"/>
        </w:rPr>
        <w:t>Yrd. Doç. Dr. Gökçe Uysal, Betam, Direktör Yardımcısı, gokce.uysal@eas.bahcesehir.edu.tr</w:t>
      </w:r>
    </w:p>
  </w:footnote>
  <w:footnote w:id="3">
    <w:p w:rsidR="00476758" w:rsidRDefault="00476758" w:rsidP="006F1F55">
      <w:pPr>
        <w:pStyle w:val="FootnoteText"/>
      </w:pPr>
      <w:r w:rsidRPr="00AC03C1">
        <w:rPr>
          <w:rStyle w:val="FootnoteReference"/>
          <w:rFonts w:ascii="Arial" w:hAnsi="Arial" w:cs="Arial"/>
          <w:sz w:val="14"/>
          <w:szCs w:val="14"/>
        </w:rPr>
        <w:sym w:font="Symbol" w:char="F02A"/>
      </w:r>
      <w:r w:rsidRPr="00AC03C1">
        <w:rPr>
          <w:rStyle w:val="FootnoteReference"/>
          <w:rFonts w:ascii="Arial" w:hAnsi="Arial" w:cs="Arial"/>
          <w:sz w:val="14"/>
          <w:szCs w:val="14"/>
        </w:rPr>
        <w:sym w:font="Symbol" w:char="F02A"/>
      </w:r>
      <w:r w:rsidRPr="00AC03C1">
        <w:rPr>
          <w:rStyle w:val="FootnoteReference"/>
          <w:rFonts w:ascii="Arial" w:hAnsi="Arial" w:cs="Arial"/>
          <w:sz w:val="14"/>
          <w:szCs w:val="14"/>
        </w:rPr>
        <w:sym w:font="Symbol" w:char="F02A"/>
      </w:r>
      <w:r w:rsidRPr="00AC03C1">
        <w:rPr>
          <w:rFonts w:ascii="Arial" w:hAnsi="Arial" w:cs="Arial"/>
          <w:sz w:val="14"/>
          <w:szCs w:val="14"/>
        </w:rPr>
        <w:t>Mine Durmaz, Betam, Araştırma Görevlisi, mine.durmaz@eas.bahcesehir.edu.tr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96036"/>
    <w:rsid w:val="00000409"/>
    <w:rsid w:val="00001354"/>
    <w:rsid w:val="00005C13"/>
    <w:rsid w:val="00047508"/>
    <w:rsid w:val="00053CC5"/>
    <w:rsid w:val="00092FCE"/>
    <w:rsid w:val="000B42B0"/>
    <w:rsid w:val="000D7C5B"/>
    <w:rsid w:val="000F3898"/>
    <w:rsid w:val="00101E9A"/>
    <w:rsid w:val="001558B2"/>
    <w:rsid w:val="00175498"/>
    <w:rsid w:val="0019166C"/>
    <w:rsid w:val="001A3164"/>
    <w:rsid w:val="001B7DBC"/>
    <w:rsid w:val="001B7E42"/>
    <w:rsid w:val="001D0B58"/>
    <w:rsid w:val="001E01AE"/>
    <w:rsid w:val="00231CB6"/>
    <w:rsid w:val="00267576"/>
    <w:rsid w:val="00286E36"/>
    <w:rsid w:val="002B7807"/>
    <w:rsid w:val="002C31A2"/>
    <w:rsid w:val="002D5B89"/>
    <w:rsid w:val="002D7157"/>
    <w:rsid w:val="00303E19"/>
    <w:rsid w:val="0031470C"/>
    <w:rsid w:val="0031773B"/>
    <w:rsid w:val="00324D02"/>
    <w:rsid w:val="00345883"/>
    <w:rsid w:val="00350939"/>
    <w:rsid w:val="00362EAE"/>
    <w:rsid w:val="00367BBD"/>
    <w:rsid w:val="00371F89"/>
    <w:rsid w:val="003741A5"/>
    <w:rsid w:val="003A2F90"/>
    <w:rsid w:val="003B66D0"/>
    <w:rsid w:val="003D45AF"/>
    <w:rsid w:val="003E2FBD"/>
    <w:rsid w:val="00402834"/>
    <w:rsid w:val="00420E91"/>
    <w:rsid w:val="00430B8A"/>
    <w:rsid w:val="00431535"/>
    <w:rsid w:val="004570FB"/>
    <w:rsid w:val="00460418"/>
    <w:rsid w:val="0046715F"/>
    <w:rsid w:val="00476758"/>
    <w:rsid w:val="0049131D"/>
    <w:rsid w:val="00492F5F"/>
    <w:rsid w:val="00494E3F"/>
    <w:rsid w:val="00496843"/>
    <w:rsid w:val="00496D14"/>
    <w:rsid w:val="004A31D9"/>
    <w:rsid w:val="004A58AD"/>
    <w:rsid w:val="004B6BCC"/>
    <w:rsid w:val="004B704F"/>
    <w:rsid w:val="004C1555"/>
    <w:rsid w:val="004E21A0"/>
    <w:rsid w:val="004F4D6F"/>
    <w:rsid w:val="005077C4"/>
    <w:rsid w:val="00535B03"/>
    <w:rsid w:val="00537C63"/>
    <w:rsid w:val="00540F1B"/>
    <w:rsid w:val="00541B14"/>
    <w:rsid w:val="00551297"/>
    <w:rsid w:val="00556E68"/>
    <w:rsid w:val="00591291"/>
    <w:rsid w:val="00595394"/>
    <w:rsid w:val="005A2A67"/>
    <w:rsid w:val="005A2B8E"/>
    <w:rsid w:val="005D2428"/>
    <w:rsid w:val="005D28AC"/>
    <w:rsid w:val="005D3B96"/>
    <w:rsid w:val="005F6A3C"/>
    <w:rsid w:val="00606DA1"/>
    <w:rsid w:val="0064111C"/>
    <w:rsid w:val="00641DD0"/>
    <w:rsid w:val="00644831"/>
    <w:rsid w:val="006566F1"/>
    <w:rsid w:val="00661545"/>
    <w:rsid w:val="0066350F"/>
    <w:rsid w:val="00680DF1"/>
    <w:rsid w:val="00683E25"/>
    <w:rsid w:val="00687397"/>
    <w:rsid w:val="006A34D2"/>
    <w:rsid w:val="006D1AA6"/>
    <w:rsid w:val="006D1AF7"/>
    <w:rsid w:val="006D5094"/>
    <w:rsid w:val="006F1F55"/>
    <w:rsid w:val="0070428C"/>
    <w:rsid w:val="00721C59"/>
    <w:rsid w:val="007740D7"/>
    <w:rsid w:val="00776A81"/>
    <w:rsid w:val="00795361"/>
    <w:rsid w:val="007A717A"/>
    <w:rsid w:val="007B2693"/>
    <w:rsid w:val="007B4A8C"/>
    <w:rsid w:val="007E53AD"/>
    <w:rsid w:val="007F39DD"/>
    <w:rsid w:val="00831084"/>
    <w:rsid w:val="00836C04"/>
    <w:rsid w:val="00850C16"/>
    <w:rsid w:val="00852AAF"/>
    <w:rsid w:val="00856B22"/>
    <w:rsid w:val="0086736B"/>
    <w:rsid w:val="008730B4"/>
    <w:rsid w:val="00875BFE"/>
    <w:rsid w:val="008873D5"/>
    <w:rsid w:val="00890A65"/>
    <w:rsid w:val="008A2EAD"/>
    <w:rsid w:val="008B1330"/>
    <w:rsid w:val="008B78D4"/>
    <w:rsid w:val="008C19EA"/>
    <w:rsid w:val="008C405E"/>
    <w:rsid w:val="008C4EA7"/>
    <w:rsid w:val="008D29F5"/>
    <w:rsid w:val="008F034A"/>
    <w:rsid w:val="00900B24"/>
    <w:rsid w:val="009262DC"/>
    <w:rsid w:val="009460E5"/>
    <w:rsid w:val="00953983"/>
    <w:rsid w:val="0099093A"/>
    <w:rsid w:val="00993FD6"/>
    <w:rsid w:val="009E4FBF"/>
    <w:rsid w:val="009F74B1"/>
    <w:rsid w:val="00A275FB"/>
    <w:rsid w:val="00A51AF5"/>
    <w:rsid w:val="00A52E26"/>
    <w:rsid w:val="00A579DA"/>
    <w:rsid w:val="00A70A3E"/>
    <w:rsid w:val="00A92A43"/>
    <w:rsid w:val="00A95B3D"/>
    <w:rsid w:val="00AA0270"/>
    <w:rsid w:val="00AA0E2A"/>
    <w:rsid w:val="00AA6FBC"/>
    <w:rsid w:val="00AB0142"/>
    <w:rsid w:val="00AB0DBA"/>
    <w:rsid w:val="00AB4107"/>
    <w:rsid w:val="00AB56CD"/>
    <w:rsid w:val="00AC02A1"/>
    <w:rsid w:val="00AC03C1"/>
    <w:rsid w:val="00AC2C1D"/>
    <w:rsid w:val="00AE0069"/>
    <w:rsid w:val="00AE3E8C"/>
    <w:rsid w:val="00AF5E1E"/>
    <w:rsid w:val="00B01BFF"/>
    <w:rsid w:val="00B068CC"/>
    <w:rsid w:val="00B30718"/>
    <w:rsid w:val="00B524FD"/>
    <w:rsid w:val="00B719CE"/>
    <w:rsid w:val="00B94CCE"/>
    <w:rsid w:val="00B96036"/>
    <w:rsid w:val="00BD4843"/>
    <w:rsid w:val="00BE6A74"/>
    <w:rsid w:val="00C26D18"/>
    <w:rsid w:val="00C34A93"/>
    <w:rsid w:val="00C357A3"/>
    <w:rsid w:val="00C63228"/>
    <w:rsid w:val="00C66D10"/>
    <w:rsid w:val="00C93BC6"/>
    <w:rsid w:val="00CE37A8"/>
    <w:rsid w:val="00D1161D"/>
    <w:rsid w:val="00D236A8"/>
    <w:rsid w:val="00D31F83"/>
    <w:rsid w:val="00D905E9"/>
    <w:rsid w:val="00DA1A18"/>
    <w:rsid w:val="00DA6848"/>
    <w:rsid w:val="00DB3AF1"/>
    <w:rsid w:val="00DD3DED"/>
    <w:rsid w:val="00DE744B"/>
    <w:rsid w:val="00E15591"/>
    <w:rsid w:val="00E30F9C"/>
    <w:rsid w:val="00E36FF6"/>
    <w:rsid w:val="00E60C34"/>
    <w:rsid w:val="00E722B4"/>
    <w:rsid w:val="00E7675A"/>
    <w:rsid w:val="00E878EC"/>
    <w:rsid w:val="00EB5050"/>
    <w:rsid w:val="00EC6760"/>
    <w:rsid w:val="00EE5506"/>
    <w:rsid w:val="00F134A1"/>
    <w:rsid w:val="00F1466C"/>
    <w:rsid w:val="00F1581F"/>
    <w:rsid w:val="00F2694B"/>
    <w:rsid w:val="00F333A0"/>
    <w:rsid w:val="00F43F57"/>
    <w:rsid w:val="00F47A10"/>
    <w:rsid w:val="00F804C8"/>
    <w:rsid w:val="00F824CF"/>
    <w:rsid w:val="00F83F22"/>
    <w:rsid w:val="00F95F21"/>
    <w:rsid w:val="00FA34CA"/>
    <w:rsid w:val="00FC6703"/>
    <w:rsid w:val="00FE284A"/>
    <w:rsid w:val="00FF5747"/>
  </w:rsids>
  <m:mathPr>
    <m:mathFont m:val="Impact"/>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55"/>
    <w:pPr>
      <w:spacing w:after="200" w:line="276" w:lineRule="auto"/>
    </w:pPr>
    <w:rPr>
      <w:rFonts w:eastAsiaTheme="minorEastAsia"/>
      <w:lang w:eastAsia="tr-TR"/>
    </w:rPr>
  </w:style>
  <w:style w:type="paragraph" w:styleId="Heading1">
    <w:name w:val="heading 1"/>
    <w:basedOn w:val="Normal"/>
    <w:next w:val="Normal"/>
    <w:link w:val="Heading1Char"/>
    <w:uiPriority w:val="99"/>
    <w:qFormat/>
    <w:rsid w:val="006F1F55"/>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6F1F55"/>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6F1F55"/>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6F1F55"/>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6F1F5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6F1F55"/>
    <w:rPr>
      <w:rFonts w:ascii="Arial" w:eastAsia="Times New Roman" w:hAnsi="Arial" w:cs="Arial"/>
      <w:b/>
      <w:bCs/>
      <w:sz w:val="26"/>
      <w:szCs w:val="26"/>
      <w:lang w:val="en-GB" w:eastAsia="ar-SA"/>
    </w:rPr>
  </w:style>
  <w:style w:type="paragraph" w:styleId="Caption">
    <w:name w:val="caption"/>
    <w:basedOn w:val="Normal"/>
    <w:next w:val="Normal"/>
    <w:unhideWhenUsed/>
    <w:qFormat/>
    <w:rsid w:val="006F1F55"/>
    <w:pPr>
      <w:spacing w:line="240" w:lineRule="auto"/>
    </w:pPr>
    <w:rPr>
      <w:b/>
      <w:bCs/>
      <w:color w:val="5B9BD5" w:themeColor="accent1"/>
      <w:sz w:val="18"/>
      <w:szCs w:val="18"/>
    </w:rPr>
  </w:style>
  <w:style w:type="paragraph" w:styleId="FootnoteText">
    <w:name w:val="footnote text"/>
    <w:basedOn w:val="Normal"/>
    <w:link w:val="FootnoteTextChar"/>
    <w:uiPriority w:val="99"/>
    <w:semiHidden/>
    <w:unhideWhenUsed/>
    <w:rsid w:val="006F1F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F55"/>
    <w:rPr>
      <w:rFonts w:eastAsiaTheme="minorEastAsia"/>
      <w:sz w:val="20"/>
      <w:szCs w:val="20"/>
      <w:lang w:eastAsia="tr-TR"/>
    </w:rPr>
  </w:style>
  <w:style w:type="character" w:styleId="FootnoteReference">
    <w:name w:val="footnote reference"/>
    <w:basedOn w:val="DefaultParagraphFont"/>
    <w:uiPriority w:val="99"/>
    <w:semiHidden/>
    <w:unhideWhenUsed/>
    <w:rsid w:val="006F1F55"/>
    <w:rPr>
      <w:vertAlign w:val="superscript"/>
    </w:rPr>
  </w:style>
  <w:style w:type="paragraph" w:styleId="BalloonText">
    <w:name w:val="Balloon Text"/>
    <w:basedOn w:val="Normal"/>
    <w:link w:val="BalloonTextChar"/>
    <w:uiPriority w:val="99"/>
    <w:semiHidden/>
    <w:unhideWhenUsed/>
    <w:rsid w:val="004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5F"/>
    <w:rPr>
      <w:rFonts w:ascii="Tahoma" w:eastAsiaTheme="minorEastAsia" w:hAnsi="Tahoma" w:cs="Tahoma"/>
      <w:sz w:val="16"/>
      <w:szCs w:val="16"/>
      <w:lang w:eastAsia="tr-TR"/>
    </w:rPr>
  </w:style>
  <w:style w:type="paragraph" w:styleId="Header">
    <w:name w:val="header"/>
    <w:basedOn w:val="Normal"/>
    <w:link w:val="HeaderChar"/>
    <w:uiPriority w:val="99"/>
    <w:semiHidden/>
    <w:unhideWhenUsed/>
    <w:rsid w:val="00AC03C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03C1"/>
    <w:rPr>
      <w:rFonts w:eastAsiaTheme="minorEastAsia"/>
      <w:lang w:eastAsia="tr-TR"/>
    </w:rPr>
  </w:style>
  <w:style w:type="paragraph" w:styleId="Footer">
    <w:name w:val="footer"/>
    <w:basedOn w:val="Normal"/>
    <w:link w:val="FooterChar"/>
    <w:uiPriority w:val="99"/>
    <w:unhideWhenUsed/>
    <w:rsid w:val="00AC03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3C1"/>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55"/>
    <w:pPr>
      <w:spacing w:after="200" w:line="276" w:lineRule="auto"/>
    </w:pPr>
    <w:rPr>
      <w:rFonts w:eastAsiaTheme="minorEastAsia"/>
      <w:lang w:eastAsia="tr-TR"/>
    </w:rPr>
  </w:style>
  <w:style w:type="paragraph" w:styleId="Heading1">
    <w:name w:val="heading 1"/>
    <w:basedOn w:val="Normal"/>
    <w:next w:val="Normal"/>
    <w:link w:val="Heading1Char"/>
    <w:uiPriority w:val="99"/>
    <w:qFormat/>
    <w:rsid w:val="006F1F55"/>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6F1F55"/>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6F1F55"/>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1F55"/>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6F1F5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6F1F55"/>
    <w:rPr>
      <w:rFonts w:ascii="Arial" w:eastAsia="Times New Roman" w:hAnsi="Arial" w:cs="Arial"/>
      <w:b/>
      <w:bCs/>
      <w:sz w:val="26"/>
      <w:szCs w:val="26"/>
      <w:lang w:val="en-GB" w:eastAsia="ar-SA"/>
    </w:rPr>
  </w:style>
  <w:style w:type="paragraph" w:styleId="Caption">
    <w:name w:val="caption"/>
    <w:basedOn w:val="Normal"/>
    <w:next w:val="Normal"/>
    <w:unhideWhenUsed/>
    <w:qFormat/>
    <w:rsid w:val="006F1F55"/>
    <w:pPr>
      <w:spacing w:line="240" w:lineRule="auto"/>
    </w:pPr>
    <w:rPr>
      <w:b/>
      <w:bCs/>
      <w:color w:val="5B9BD5" w:themeColor="accent1"/>
      <w:sz w:val="18"/>
      <w:szCs w:val="18"/>
    </w:rPr>
  </w:style>
  <w:style w:type="paragraph" w:styleId="FootnoteText">
    <w:name w:val="footnote text"/>
    <w:basedOn w:val="Normal"/>
    <w:link w:val="FootnoteTextChar"/>
    <w:uiPriority w:val="99"/>
    <w:semiHidden/>
    <w:unhideWhenUsed/>
    <w:rsid w:val="006F1F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F55"/>
    <w:rPr>
      <w:rFonts w:eastAsiaTheme="minorEastAsia"/>
      <w:sz w:val="20"/>
      <w:szCs w:val="20"/>
      <w:lang w:eastAsia="tr-TR"/>
    </w:rPr>
  </w:style>
  <w:style w:type="character" w:styleId="FootnoteReference">
    <w:name w:val="footnote reference"/>
    <w:basedOn w:val="DefaultParagraphFont"/>
    <w:uiPriority w:val="99"/>
    <w:semiHidden/>
    <w:unhideWhenUsed/>
    <w:rsid w:val="006F1F55"/>
    <w:rPr>
      <w:vertAlign w:val="superscript"/>
    </w:rPr>
  </w:style>
  <w:style w:type="paragraph" w:styleId="BalloonText">
    <w:name w:val="Balloon Text"/>
    <w:basedOn w:val="Normal"/>
    <w:link w:val="BalloonTextChar"/>
    <w:uiPriority w:val="99"/>
    <w:semiHidden/>
    <w:unhideWhenUsed/>
    <w:rsid w:val="004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5F"/>
    <w:rPr>
      <w:rFonts w:ascii="Tahoma" w:eastAsiaTheme="minorEastAsia" w:hAnsi="Tahoma" w:cs="Tahoma"/>
      <w:sz w:val="16"/>
      <w:szCs w:val="16"/>
      <w:lang w:eastAsia="tr-TR"/>
    </w:rPr>
  </w:style>
  <w:style w:type="paragraph" w:styleId="Header">
    <w:name w:val="header"/>
    <w:basedOn w:val="Normal"/>
    <w:link w:val="HeaderChar"/>
    <w:uiPriority w:val="99"/>
    <w:semiHidden/>
    <w:unhideWhenUsed/>
    <w:rsid w:val="00AC03C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03C1"/>
    <w:rPr>
      <w:rFonts w:eastAsiaTheme="minorEastAsia"/>
      <w:lang w:eastAsia="tr-TR"/>
    </w:rPr>
  </w:style>
  <w:style w:type="paragraph" w:styleId="Footer">
    <w:name w:val="footer"/>
    <w:basedOn w:val="Normal"/>
    <w:link w:val="FooterChar"/>
    <w:uiPriority w:val="99"/>
    <w:unhideWhenUsed/>
    <w:rsid w:val="00AC03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3C1"/>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4666898">
      <w:bodyDiv w:val="1"/>
      <w:marLeft w:val="0"/>
      <w:marRight w:val="0"/>
      <w:marTop w:val="0"/>
      <w:marBottom w:val="0"/>
      <w:divBdr>
        <w:top w:val="none" w:sz="0" w:space="0" w:color="auto"/>
        <w:left w:val="none" w:sz="0" w:space="0" w:color="auto"/>
        <w:bottom w:val="none" w:sz="0" w:space="0" w:color="auto"/>
        <w:right w:val="none" w:sz="0" w:space="0" w:color="auto"/>
      </w:divBdr>
    </w:div>
    <w:div w:id="757019950">
      <w:bodyDiv w:val="1"/>
      <w:marLeft w:val="0"/>
      <w:marRight w:val="0"/>
      <w:marTop w:val="0"/>
      <w:marBottom w:val="0"/>
      <w:divBdr>
        <w:top w:val="none" w:sz="0" w:space="0" w:color="auto"/>
        <w:left w:val="none" w:sz="0" w:space="0" w:color="auto"/>
        <w:bottom w:val="none" w:sz="0" w:space="0" w:color="auto"/>
        <w:right w:val="none" w:sz="0" w:space="0" w:color="auto"/>
      </w:divBdr>
    </w:div>
    <w:div w:id="834102770">
      <w:bodyDiv w:val="1"/>
      <w:marLeft w:val="0"/>
      <w:marRight w:val="0"/>
      <w:marTop w:val="0"/>
      <w:marBottom w:val="0"/>
      <w:divBdr>
        <w:top w:val="none" w:sz="0" w:space="0" w:color="auto"/>
        <w:left w:val="none" w:sz="0" w:space="0" w:color="auto"/>
        <w:bottom w:val="none" w:sz="0" w:space="0" w:color="auto"/>
        <w:right w:val="none" w:sz="0" w:space="0" w:color="auto"/>
      </w:divBdr>
    </w:div>
    <w:div w:id="978876519">
      <w:bodyDiv w:val="1"/>
      <w:marLeft w:val="0"/>
      <w:marRight w:val="0"/>
      <w:marTop w:val="0"/>
      <w:marBottom w:val="0"/>
      <w:divBdr>
        <w:top w:val="none" w:sz="0" w:space="0" w:color="auto"/>
        <w:left w:val="none" w:sz="0" w:space="0" w:color="auto"/>
        <w:bottom w:val="none" w:sz="0" w:space="0" w:color="auto"/>
        <w:right w:val="none" w:sz="0" w:space="0" w:color="auto"/>
      </w:divBdr>
    </w:div>
    <w:div w:id="1223057563">
      <w:bodyDiv w:val="1"/>
      <w:marLeft w:val="0"/>
      <w:marRight w:val="0"/>
      <w:marTop w:val="0"/>
      <w:marBottom w:val="0"/>
      <w:divBdr>
        <w:top w:val="none" w:sz="0" w:space="0" w:color="auto"/>
        <w:left w:val="none" w:sz="0" w:space="0" w:color="auto"/>
        <w:bottom w:val="none" w:sz="0" w:space="0" w:color="auto"/>
        <w:right w:val="none" w:sz="0" w:space="0" w:color="auto"/>
      </w:divBdr>
    </w:div>
    <w:div w:id="1249272376">
      <w:bodyDiv w:val="1"/>
      <w:marLeft w:val="0"/>
      <w:marRight w:val="0"/>
      <w:marTop w:val="0"/>
      <w:marBottom w:val="0"/>
      <w:divBdr>
        <w:top w:val="none" w:sz="0" w:space="0" w:color="auto"/>
        <w:left w:val="none" w:sz="0" w:space="0" w:color="auto"/>
        <w:bottom w:val="none" w:sz="0" w:space="0" w:color="auto"/>
        <w:right w:val="none" w:sz="0" w:space="0" w:color="auto"/>
      </w:divBdr>
    </w:div>
    <w:div w:id="1275404900">
      <w:bodyDiv w:val="1"/>
      <w:marLeft w:val="0"/>
      <w:marRight w:val="0"/>
      <w:marTop w:val="0"/>
      <w:marBottom w:val="0"/>
      <w:divBdr>
        <w:top w:val="none" w:sz="0" w:space="0" w:color="auto"/>
        <w:left w:val="none" w:sz="0" w:space="0" w:color="auto"/>
        <w:bottom w:val="none" w:sz="0" w:space="0" w:color="auto"/>
        <w:right w:val="none" w:sz="0" w:space="0" w:color="auto"/>
      </w:divBdr>
    </w:div>
    <w:div w:id="1415739921">
      <w:bodyDiv w:val="1"/>
      <w:marLeft w:val="0"/>
      <w:marRight w:val="0"/>
      <w:marTop w:val="0"/>
      <w:marBottom w:val="0"/>
      <w:divBdr>
        <w:top w:val="none" w:sz="0" w:space="0" w:color="auto"/>
        <w:left w:val="none" w:sz="0" w:space="0" w:color="auto"/>
        <w:bottom w:val="none" w:sz="0" w:space="0" w:color="auto"/>
        <w:right w:val="none" w:sz="0" w:space="0" w:color="auto"/>
      </w:divBdr>
    </w:div>
    <w:div w:id="1915775300">
      <w:bodyDiv w:val="1"/>
      <w:marLeft w:val="0"/>
      <w:marRight w:val="0"/>
      <w:marTop w:val="0"/>
      <w:marBottom w:val="0"/>
      <w:divBdr>
        <w:top w:val="none" w:sz="0" w:space="0" w:color="auto"/>
        <w:left w:val="none" w:sz="0" w:space="0" w:color="auto"/>
        <w:bottom w:val="none" w:sz="0" w:space="0" w:color="auto"/>
        <w:right w:val="none" w:sz="0" w:space="0" w:color="auto"/>
      </w:divBdr>
    </w:div>
    <w:div w:id="2037192620">
      <w:bodyDiv w:val="1"/>
      <w:marLeft w:val="0"/>
      <w:marRight w:val="0"/>
      <w:marTop w:val="0"/>
      <w:marBottom w:val="0"/>
      <w:divBdr>
        <w:top w:val="none" w:sz="0" w:space="0" w:color="auto"/>
        <w:left w:val="none" w:sz="0" w:space="0" w:color="auto"/>
        <w:bottom w:val="none" w:sz="0" w:space="0" w:color="auto"/>
        <w:right w:val="none" w:sz="0" w:space="0" w:color="auto"/>
      </w:divBdr>
    </w:div>
    <w:div w:id="20909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ne.durmaz\Documents\AN\AN%20&#199;ocuk\AN_&#231;ocuk_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ne.durmaz\Google%20Drive\AN%2023%20Nisan_\AN_&#231;ocuk_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15"/>
  <c:chart>
    <c:autoTitleDeleted val="1"/>
    <c:plotArea>
      <c:layout>
        <c:manualLayout>
          <c:layoutTarget val="inner"/>
          <c:xMode val="edge"/>
          <c:yMode val="edge"/>
          <c:x val="0.28784069420062"/>
          <c:y val="0.0298439485895216"/>
          <c:w val="0.647199495046787"/>
          <c:h val="0.935119313524207"/>
        </c:manualLayout>
      </c:layout>
      <c:barChart>
        <c:barDir val="bar"/>
        <c:grouping val="clustered"/>
        <c:ser>
          <c:idx val="0"/>
          <c:order val="0"/>
          <c:dLbls>
            <c:spPr>
              <a:noFill/>
              <a:ln>
                <a:noFill/>
              </a:ln>
              <a:effectLst/>
            </c:spPr>
            <c:txPr>
              <a:bodyPr/>
              <a:lstStyle/>
              <a:p>
                <a:pPr>
                  <a:defRPr lang="tr-TR"/>
                </a:pPr>
                <a:endParaRPr lang="en-US"/>
              </a:p>
            </c:txPr>
            <c:showVal val="1"/>
            <c:extLst>
              <c:ext xmlns:c15="http://schemas.microsoft.com/office/drawing/2012/chart" uri="{CE6537A1-D6FC-4f65-9D91-7224C49458BB}">
                <c15:showLeaderLines val="0"/>
              </c:ext>
            </c:extLst>
          </c:dLbls>
          <c:cat>
            <c:strRef>
              <c:f>'Şekil 1'!$B$2:$B$35</c:f>
              <c:strCache>
                <c:ptCount val="34"/>
                <c:pt idx="0">
                  <c:v>İsviçre</c:v>
                </c:pt>
                <c:pt idx="1">
                  <c:v>Finlandiya</c:v>
                </c:pt>
                <c:pt idx="2">
                  <c:v>İşveç</c:v>
                </c:pt>
                <c:pt idx="3">
                  <c:v>Hollanda</c:v>
                </c:pt>
                <c:pt idx="4">
                  <c:v>Lüksemburg</c:v>
                </c:pt>
                <c:pt idx="5">
                  <c:v>Norveç</c:v>
                </c:pt>
                <c:pt idx="6">
                  <c:v>İzlanda</c:v>
                </c:pt>
                <c:pt idx="7">
                  <c:v>Danimarka</c:v>
                </c:pt>
                <c:pt idx="8">
                  <c:v>Belçika</c:v>
                </c:pt>
                <c:pt idx="9">
                  <c:v>Fransa</c:v>
                </c:pt>
                <c:pt idx="10">
                  <c:v>Almanya</c:v>
                </c:pt>
                <c:pt idx="11">
                  <c:v>Slovenya</c:v>
                </c:pt>
                <c:pt idx="12">
                  <c:v>Çek Cumhuriyeti</c:v>
                </c:pt>
                <c:pt idx="13">
                  <c:v>Estonya</c:v>
                </c:pt>
                <c:pt idx="14">
                  <c:v>Avusturya</c:v>
                </c:pt>
                <c:pt idx="15">
                  <c:v>İspanya</c:v>
                </c:pt>
                <c:pt idx="16">
                  <c:v>AB (28 Ülke) </c:v>
                </c:pt>
                <c:pt idx="17">
                  <c:v>Polonya</c:v>
                </c:pt>
                <c:pt idx="18">
                  <c:v>Malta</c:v>
                </c:pt>
                <c:pt idx="19">
                  <c:v>İngiltere</c:v>
                </c:pt>
                <c:pt idx="20">
                  <c:v>Slovakya</c:v>
                </c:pt>
                <c:pt idx="21">
                  <c:v>Hırvatistan</c:v>
                </c:pt>
                <c:pt idx="22">
                  <c:v>İrlanda</c:v>
                </c:pt>
                <c:pt idx="23">
                  <c:v>Portekiz</c:v>
                </c:pt>
                <c:pt idx="24">
                  <c:v>İtalya</c:v>
                </c:pt>
                <c:pt idx="25">
                  <c:v>Litvanya</c:v>
                </c:pt>
                <c:pt idx="26">
                  <c:v>Kıbrıs</c:v>
                </c:pt>
                <c:pt idx="27">
                  <c:v>Yunanistan</c:v>
                </c:pt>
                <c:pt idx="28">
                  <c:v>Letonya</c:v>
                </c:pt>
                <c:pt idx="29">
                  <c:v>Sırbistan</c:v>
                </c:pt>
                <c:pt idx="30">
                  <c:v>Romanya</c:v>
                </c:pt>
                <c:pt idx="31">
                  <c:v>Macaristan</c:v>
                </c:pt>
                <c:pt idx="32">
                  <c:v>Bulgaristan</c:v>
                </c:pt>
                <c:pt idx="33">
                  <c:v>Türkiye </c:v>
                </c:pt>
              </c:strCache>
            </c:strRef>
          </c:cat>
          <c:val>
            <c:numRef>
              <c:f>'Şekil 1'!$C$2:$C$35</c:f>
              <c:numCache>
                <c:formatCode>#,##0.0</c:formatCode>
                <c:ptCount val="34"/>
                <c:pt idx="0">
                  <c:v>0.700000000000003</c:v>
                </c:pt>
                <c:pt idx="1">
                  <c:v>1.7</c:v>
                </c:pt>
                <c:pt idx="2">
                  <c:v>1.9</c:v>
                </c:pt>
                <c:pt idx="3">
                  <c:v>2.2</c:v>
                </c:pt>
                <c:pt idx="4">
                  <c:v>2.5</c:v>
                </c:pt>
                <c:pt idx="5">
                  <c:v>2.5</c:v>
                </c:pt>
                <c:pt idx="6">
                  <c:v>2.9</c:v>
                </c:pt>
                <c:pt idx="7">
                  <c:v>3.8</c:v>
                </c:pt>
                <c:pt idx="8">
                  <c:v>5.4</c:v>
                </c:pt>
                <c:pt idx="9">
                  <c:v>5.5</c:v>
                </c:pt>
                <c:pt idx="10">
                  <c:v>5.7</c:v>
                </c:pt>
                <c:pt idx="11">
                  <c:v>5.7</c:v>
                </c:pt>
                <c:pt idx="12">
                  <c:v>6.9</c:v>
                </c:pt>
                <c:pt idx="13">
                  <c:v>7.0</c:v>
                </c:pt>
                <c:pt idx="14">
                  <c:v>7.0</c:v>
                </c:pt>
                <c:pt idx="15">
                  <c:v>8.4</c:v>
                </c:pt>
                <c:pt idx="16">
                  <c:v>11.0</c:v>
                </c:pt>
                <c:pt idx="17">
                  <c:v>11.5</c:v>
                </c:pt>
                <c:pt idx="18">
                  <c:v>11.8</c:v>
                </c:pt>
                <c:pt idx="19">
                  <c:v>12.4</c:v>
                </c:pt>
                <c:pt idx="20">
                  <c:v>12.7</c:v>
                </c:pt>
                <c:pt idx="21">
                  <c:v>13.5</c:v>
                </c:pt>
                <c:pt idx="22">
                  <c:v>13.6</c:v>
                </c:pt>
                <c:pt idx="23">
                  <c:v>13.6</c:v>
                </c:pt>
                <c:pt idx="24">
                  <c:v>13.7</c:v>
                </c:pt>
                <c:pt idx="25">
                  <c:v>17.9</c:v>
                </c:pt>
                <c:pt idx="26">
                  <c:v>18.2</c:v>
                </c:pt>
                <c:pt idx="27">
                  <c:v>23.4</c:v>
                </c:pt>
                <c:pt idx="28">
                  <c:v>24.7</c:v>
                </c:pt>
                <c:pt idx="29">
                  <c:v>26.7</c:v>
                </c:pt>
                <c:pt idx="30">
                  <c:v>35.0</c:v>
                </c:pt>
                <c:pt idx="31">
                  <c:v>35.3</c:v>
                </c:pt>
                <c:pt idx="32">
                  <c:v>46.4</c:v>
                </c:pt>
                <c:pt idx="33">
                  <c:v>49.76000000000001</c:v>
                </c:pt>
              </c:numCache>
            </c:numRef>
          </c:val>
        </c:ser>
        <c:dLbls>
          <c:showVal val="1"/>
        </c:dLbls>
        <c:axId val="579271784"/>
        <c:axId val="579256552"/>
      </c:barChart>
      <c:catAx>
        <c:axId val="579271784"/>
        <c:scaling>
          <c:orientation val="minMax"/>
        </c:scaling>
        <c:axPos val="l"/>
        <c:numFmt formatCode="General" sourceLinked="1"/>
        <c:tickLblPos val="nextTo"/>
        <c:txPr>
          <a:bodyPr/>
          <a:lstStyle/>
          <a:p>
            <a:pPr>
              <a:defRPr lang="tr-TR"/>
            </a:pPr>
            <a:endParaRPr lang="en-US"/>
          </a:p>
        </c:txPr>
        <c:crossAx val="579256552"/>
        <c:crosses val="autoZero"/>
        <c:auto val="1"/>
        <c:lblAlgn val="ctr"/>
        <c:lblOffset val="100"/>
      </c:catAx>
      <c:valAx>
        <c:axId val="579256552"/>
        <c:scaling>
          <c:orientation val="minMax"/>
        </c:scaling>
        <c:axPos val="b"/>
        <c:numFmt formatCode="0" sourceLinked="0"/>
        <c:tickLblPos val="nextTo"/>
        <c:txPr>
          <a:bodyPr/>
          <a:lstStyle/>
          <a:p>
            <a:pPr>
              <a:defRPr lang="tr-TR"/>
            </a:pPr>
            <a:endParaRPr lang="en-US"/>
          </a:p>
        </c:txPr>
        <c:crossAx val="579271784"/>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lang="tr-TR"/>
            </a:pPr>
            <a:r>
              <a:rPr lang="tr-TR" sz="1000"/>
              <a:t>Türkiye %49.8</a:t>
            </a:r>
          </a:p>
        </c:rich>
      </c:tx>
      <c:layout>
        <c:manualLayout>
          <c:xMode val="edge"/>
          <c:yMode val="edge"/>
          <c:x val="0.166214536127508"/>
          <c:y val="0.355976301007979"/>
        </c:manualLayout>
      </c:layout>
      <c:overlay val="1"/>
      <c:spPr>
        <a:solidFill>
          <a:schemeClr val="accent6">
            <a:lumMod val="40000"/>
            <a:lumOff val="60000"/>
          </a:schemeClr>
        </a:solidFill>
      </c:spPr>
    </c:title>
    <c:plotArea>
      <c:layout/>
      <c:barChart>
        <c:barDir val="col"/>
        <c:grouping val="clustered"/>
        <c:ser>
          <c:idx val="0"/>
          <c:order val="0"/>
          <c:tx>
            <c:strRef>
              <c:f>'Bölgeler 2013 '!$M$18</c:f>
              <c:strCache>
                <c:ptCount val="1"/>
              </c:strCache>
            </c:strRef>
          </c:tx>
          <c:dLbls>
            <c:spPr>
              <a:noFill/>
              <a:ln>
                <a:noFill/>
              </a:ln>
              <a:effectLst/>
            </c:spPr>
            <c:txPr>
              <a:bodyPr/>
              <a:lstStyle/>
              <a:p>
                <a:pPr>
                  <a:defRPr lang="tr-TR"/>
                </a:pPr>
                <a:endParaRPr lang="en-US"/>
              </a:p>
            </c:txPr>
            <c:showVal val="1"/>
            <c:extLst>
              <c:ext xmlns:c15="http://schemas.microsoft.com/office/drawing/2012/chart" uri="{CE6537A1-D6FC-4f65-9D91-7224C49458BB}">
                <c15:showLeaderLines val="0"/>
              </c:ext>
            </c:extLst>
          </c:dLbls>
          <c:cat>
            <c:strRef>
              <c:f>'Bölgeler 2013 '!$L$19:$L$30</c:f>
              <c:strCache>
                <c:ptCount val="12"/>
                <c:pt idx="0">
                  <c:v>TR2- Batı Marmara </c:v>
                </c:pt>
                <c:pt idx="1">
                  <c:v>TR3-Ege Bölgesi</c:v>
                </c:pt>
                <c:pt idx="2">
                  <c:v>TR4-Doğu Marmara </c:v>
                </c:pt>
                <c:pt idx="3">
                  <c:v>TR8-Batı Karadeniz</c:v>
                </c:pt>
                <c:pt idx="4">
                  <c:v>TR5-Batı Anadolu</c:v>
                </c:pt>
                <c:pt idx="5">
                  <c:v>TR9-Doğu Karadeniz</c:v>
                </c:pt>
                <c:pt idx="6">
                  <c:v>TR1- İstanbul</c:v>
                </c:pt>
                <c:pt idx="7">
                  <c:v>TR7-Orta Anadolu</c:v>
                </c:pt>
                <c:pt idx="8">
                  <c:v>TR6-Akdeniz</c:v>
                </c:pt>
                <c:pt idx="9">
                  <c:v>TRB-Orta Doğu Anadolu</c:v>
                </c:pt>
                <c:pt idx="10">
                  <c:v>TRA- Kuzey Doğu Anadolu</c:v>
                </c:pt>
                <c:pt idx="11">
                  <c:v>TRC- Güney Doğu Anadolu </c:v>
                </c:pt>
              </c:strCache>
            </c:strRef>
          </c:cat>
          <c:val>
            <c:numRef>
              <c:f>'Bölgeler 2013 '!$M$19:$M$30</c:f>
              <c:numCache>
                <c:formatCode>General</c:formatCode>
                <c:ptCount val="12"/>
              </c:numCache>
            </c:numRef>
          </c:val>
        </c:ser>
        <c:ser>
          <c:idx val="1"/>
          <c:order val="1"/>
          <c:tx>
            <c:strRef>
              <c:f>'Bölgeler 2013 '!$N$18</c:f>
              <c:strCache>
                <c:ptCount val="1"/>
                <c:pt idx="0">
                  <c:v>Yoksun çocukların oranı (%)</c:v>
                </c:pt>
              </c:strCache>
            </c:strRef>
          </c:tx>
          <c:spPr>
            <a:solidFill>
              <a:schemeClr val="accent1">
                <a:lumMod val="75000"/>
              </a:schemeClr>
            </a:solidFill>
          </c:spPr>
          <c:dLbls>
            <c:spPr>
              <a:noFill/>
              <a:ln>
                <a:noFill/>
              </a:ln>
              <a:effectLst/>
            </c:spPr>
            <c:txPr>
              <a:bodyPr/>
              <a:lstStyle/>
              <a:p>
                <a:pPr>
                  <a:defRPr lang="tr-TR" sz="900" b="1"/>
                </a:pPr>
                <a:endParaRPr lang="en-US"/>
              </a:p>
            </c:txPr>
            <c:showVal val="1"/>
            <c:extLst>
              <c:ext xmlns:c15="http://schemas.microsoft.com/office/drawing/2012/chart" uri="{CE6537A1-D6FC-4f65-9D91-7224C49458BB}">
                <c15:showLeaderLines val="0"/>
              </c:ext>
            </c:extLst>
          </c:dLbls>
          <c:cat>
            <c:strRef>
              <c:f>'Bölgeler 2013 '!$L$19:$L$30</c:f>
              <c:strCache>
                <c:ptCount val="12"/>
                <c:pt idx="0">
                  <c:v>TR2- Batı Marmara </c:v>
                </c:pt>
                <c:pt idx="1">
                  <c:v>TR3-Ege Bölgesi</c:v>
                </c:pt>
                <c:pt idx="2">
                  <c:v>TR4-Doğu Marmara </c:v>
                </c:pt>
                <c:pt idx="3">
                  <c:v>TR8-Batı Karadeniz</c:v>
                </c:pt>
                <c:pt idx="4">
                  <c:v>TR5-Batı Anadolu</c:v>
                </c:pt>
                <c:pt idx="5">
                  <c:v>TR9-Doğu Karadeniz</c:v>
                </c:pt>
                <c:pt idx="6">
                  <c:v>TR1- İstanbul</c:v>
                </c:pt>
                <c:pt idx="7">
                  <c:v>TR7-Orta Anadolu</c:v>
                </c:pt>
                <c:pt idx="8">
                  <c:v>TR6-Akdeniz</c:v>
                </c:pt>
                <c:pt idx="9">
                  <c:v>TRB-Orta Doğu Anadolu</c:v>
                </c:pt>
                <c:pt idx="10">
                  <c:v>TRA- Kuzey Doğu Anadolu</c:v>
                </c:pt>
                <c:pt idx="11">
                  <c:v>TRC- Güney Doğu Anadolu </c:v>
                </c:pt>
              </c:strCache>
            </c:strRef>
          </c:cat>
          <c:val>
            <c:numRef>
              <c:f>'Bölgeler 2013 '!$N$19:$N$30</c:f>
              <c:numCache>
                <c:formatCode>0.0</c:formatCode>
                <c:ptCount val="12"/>
                <c:pt idx="0">
                  <c:v>32.58</c:v>
                </c:pt>
                <c:pt idx="1">
                  <c:v>35.83</c:v>
                </c:pt>
                <c:pt idx="2">
                  <c:v>37.92</c:v>
                </c:pt>
                <c:pt idx="3">
                  <c:v>38.63</c:v>
                </c:pt>
                <c:pt idx="4">
                  <c:v>40.41</c:v>
                </c:pt>
                <c:pt idx="5">
                  <c:v>40.9</c:v>
                </c:pt>
                <c:pt idx="6">
                  <c:v>42.86</c:v>
                </c:pt>
                <c:pt idx="7">
                  <c:v>48.82</c:v>
                </c:pt>
                <c:pt idx="8">
                  <c:v>53.43</c:v>
                </c:pt>
                <c:pt idx="9">
                  <c:v>61.37</c:v>
                </c:pt>
                <c:pt idx="10">
                  <c:v>69.28</c:v>
                </c:pt>
                <c:pt idx="11">
                  <c:v>74.66</c:v>
                </c:pt>
              </c:numCache>
            </c:numRef>
          </c:val>
        </c:ser>
        <c:dLbls>
          <c:showVal val="1"/>
        </c:dLbls>
        <c:gapWidth val="0"/>
        <c:axId val="579359208"/>
        <c:axId val="579362552"/>
      </c:barChart>
      <c:lineChart>
        <c:grouping val="standard"/>
        <c:ser>
          <c:idx val="2"/>
          <c:order val="2"/>
          <c:spPr>
            <a:ln w="34925">
              <a:solidFill>
                <a:schemeClr val="accent6">
                  <a:lumMod val="50000"/>
                </a:schemeClr>
              </a:solidFill>
            </a:ln>
          </c:spPr>
          <c:marker>
            <c:symbol val="none"/>
          </c:marker>
          <c:val>
            <c:numRef>
              <c:f>'Bölgeler 2013 '!$O$19:$O$30</c:f>
              <c:numCache>
                <c:formatCode>0.0</c:formatCode>
                <c:ptCount val="12"/>
                <c:pt idx="0">
                  <c:v>49.76000000000001</c:v>
                </c:pt>
                <c:pt idx="1">
                  <c:v>49.76000000000001</c:v>
                </c:pt>
                <c:pt idx="2">
                  <c:v>49.76000000000001</c:v>
                </c:pt>
                <c:pt idx="3">
                  <c:v>49.76000000000001</c:v>
                </c:pt>
                <c:pt idx="4">
                  <c:v>49.76000000000001</c:v>
                </c:pt>
                <c:pt idx="5">
                  <c:v>49.76000000000001</c:v>
                </c:pt>
                <c:pt idx="6">
                  <c:v>49.76000000000001</c:v>
                </c:pt>
                <c:pt idx="7">
                  <c:v>49.76000000000001</c:v>
                </c:pt>
                <c:pt idx="8">
                  <c:v>49.76000000000001</c:v>
                </c:pt>
                <c:pt idx="9">
                  <c:v>49.76000000000001</c:v>
                </c:pt>
                <c:pt idx="10">
                  <c:v>49.76000000000001</c:v>
                </c:pt>
                <c:pt idx="11">
                  <c:v>49.76000000000001</c:v>
                </c:pt>
              </c:numCache>
            </c:numRef>
          </c:val>
        </c:ser>
        <c:dLbls/>
        <c:marker val="1"/>
        <c:axId val="579368920"/>
        <c:axId val="579365704"/>
      </c:lineChart>
      <c:catAx>
        <c:axId val="579359208"/>
        <c:scaling>
          <c:orientation val="minMax"/>
        </c:scaling>
        <c:axPos val="b"/>
        <c:numFmt formatCode="General" sourceLinked="0"/>
        <c:tickLblPos val="nextTo"/>
        <c:txPr>
          <a:bodyPr rot="-1320000" vert="horz" anchor="t" anchorCtr="0"/>
          <a:lstStyle/>
          <a:p>
            <a:pPr>
              <a:defRPr lang="tr-TR" sz="900" b="1"/>
            </a:pPr>
            <a:endParaRPr lang="en-US"/>
          </a:p>
        </c:txPr>
        <c:crossAx val="579362552"/>
        <c:crosses val="autoZero"/>
        <c:auto val="1"/>
        <c:lblAlgn val="ctr"/>
        <c:lblOffset val="100"/>
      </c:catAx>
      <c:valAx>
        <c:axId val="579362552"/>
        <c:scaling>
          <c:orientation val="minMax"/>
          <c:min val="25.0"/>
        </c:scaling>
        <c:axPos val="l"/>
        <c:numFmt formatCode="General" sourceLinked="1"/>
        <c:tickLblPos val="nextTo"/>
        <c:txPr>
          <a:bodyPr/>
          <a:lstStyle/>
          <a:p>
            <a:pPr>
              <a:defRPr lang="tr-TR" sz="900"/>
            </a:pPr>
            <a:endParaRPr lang="en-US"/>
          </a:p>
        </c:txPr>
        <c:crossAx val="579359208"/>
        <c:crosses val="autoZero"/>
        <c:crossBetween val="between"/>
      </c:valAx>
      <c:valAx>
        <c:axId val="579365704"/>
        <c:scaling>
          <c:orientation val="minMax"/>
          <c:max val="85.0"/>
          <c:min val="25.0"/>
        </c:scaling>
        <c:delete val="1"/>
        <c:axPos val="r"/>
        <c:numFmt formatCode="0.0" sourceLinked="1"/>
        <c:tickLblPos val="none"/>
        <c:crossAx val="579368920"/>
        <c:crosses val="max"/>
        <c:crossBetween val="between"/>
      </c:valAx>
      <c:catAx>
        <c:axId val="579368920"/>
        <c:scaling>
          <c:orientation val="minMax"/>
        </c:scaling>
        <c:delete val="1"/>
        <c:axPos val="b"/>
        <c:tickLblPos val="none"/>
        <c:crossAx val="579365704"/>
        <c:crosses val="autoZero"/>
        <c:auto val="1"/>
        <c:lblAlgn val="ctr"/>
        <c:lblOffset val="100"/>
      </c:catAx>
    </c:plotArea>
    <c:plotVisOnly val="1"/>
    <c:dispBlanksAs val="gap"/>
  </c:chart>
  <c:spPr>
    <a:ln>
      <a:noFill/>
    </a:ln>
  </c:spPr>
  <c:externalData r:id="rId1"/>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ED5AA-B3EC-0146-8AA5-D4A8CB61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1296</Words>
  <Characters>7391</Characters>
  <Application>Microsoft Macintosh Word</Application>
  <DocSecurity>0</DocSecurity>
  <Lines>61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 Durmaz</dc:creator>
  <cp:lastModifiedBy>pinar uysal</cp:lastModifiedBy>
  <cp:revision>5</cp:revision>
  <cp:lastPrinted>2015-04-21T17:04:00Z</cp:lastPrinted>
  <dcterms:created xsi:type="dcterms:W3CDTF">2015-04-22T09:33:00Z</dcterms:created>
  <dcterms:modified xsi:type="dcterms:W3CDTF">2015-04-23T07:24:00Z</dcterms:modified>
</cp:coreProperties>
</file>