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3" w:rsidRPr="00C45AC0" w:rsidRDefault="002B73C6" w:rsidP="001E4BF5">
      <w:pPr>
        <w:spacing w:line="360" w:lineRule="auto"/>
        <w:ind w:right="-319"/>
        <w:jc w:val="center"/>
        <w:outlineLvl w:val="0"/>
        <w:rPr>
          <w:rFonts w:ascii="Arial" w:hAnsi="Arial" w:cs="Arial"/>
          <w:b/>
          <w:bCs/>
          <w:sz w:val="32"/>
          <w:szCs w:val="32"/>
        </w:rPr>
      </w:pPr>
      <w:r>
        <w:rPr>
          <w:noProof/>
        </w:rPr>
        <mc:AlternateContent>
          <mc:Choice Requires="wps">
            <w:drawing>
              <wp:anchor distT="0" distB="0" distL="114935" distR="114935" simplePos="0" relativeHeight="251664384" behindDoc="0" locked="0" layoutInCell="1" allowOverlap="1">
                <wp:simplePos x="0" y="0"/>
                <wp:positionH relativeFrom="column">
                  <wp:posOffset>5159375</wp:posOffset>
                </wp:positionH>
                <wp:positionV relativeFrom="paragraph">
                  <wp:posOffset>189865</wp:posOffset>
                </wp:positionV>
                <wp:extent cx="2187575" cy="3486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DB7229" w:rsidRDefault="00193F73" w:rsidP="00E57928">
                            <w:pPr>
                              <w:pStyle w:val="Heading3"/>
                              <w:rPr>
                                <w:color w:val="FFFFFF"/>
                                <w:sz w:val="22"/>
                                <w:szCs w:val="22"/>
                              </w:rPr>
                            </w:pPr>
                            <w:r>
                              <w:rPr>
                                <w:color w:val="FFFFFF"/>
                                <w:sz w:val="22"/>
                                <w:szCs w:val="22"/>
                              </w:rPr>
                              <w:t xml:space="preserve">   13</w:t>
                            </w:r>
                            <w:r w:rsidR="00C76E90">
                              <w:rPr>
                                <w:color w:val="FFFFFF"/>
                                <w:sz w:val="22"/>
                                <w:szCs w:val="22"/>
                              </w:rPr>
                              <w:t xml:space="preserve"> </w:t>
                            </w:r>
                            <w:r>
                              <w:rPr>
                                <w:color w:val="FFFFFF"/>
                                <w:sz w:val="22"/>
                                <w:szCs w:val="22"/>
                              </w:rPr>
                              <w:t xml:space="preserve">Nisan </w:t>
                            </w:r>
                            <w:r w:rsidR="00C76E90">
                              <w:rPr>
                                <w:color w:val="FFFFFF"/>
                                <w:sz w:val="22"/>
                                <w:szCs w:val="22"/>
                              </w:rPr>
                              <w:t>2015</w:t>
                            </w:r>
                          </w:p>
                          <w:p w:rsidR="00C76E90" w:rsidRDefault="00C76E90" w:rsidP="00E579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6.25pt;margin-top:14.95pt;width:172.25pt;height:27.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hnjQIAABw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" stroked="f">
                <v:fill opacity="0"/>
                <v:textbox inset="0,0,0,0">
                  <w:txbxContent>
                    <w:p w:rsidR="00C76E90" w:rsidRPr="00DB7229" w:rsidRDefault="00193F73" w:rsidP="00E57928">
                      <w:pPr>
                        <w:pStyle w:val="Heading3"/>
                        <w:rPr>
                          <w:color w:val="FFFFFF"/>
                          <w:sz w:val="22"/>
                          <w:szCs w:val="22"/>
                        </w:rPr>
                      </w:pPr>
                      <w:r>
                        <w:rPr>
                          <w:color w:val="FFFFFF"/>
                          <w:sz w:val="22"/>
                          <w:szCs w:val="22"/>
                        </w:rPr>
                        <w:t xml:space="preserve">   13</w:t>
                      </w:r>
                      <w:r w:rsidR="00C76E90">
                        <w:rPr>
                          <w:color w:val="FFFFFF"/>
                          <w:sz w:val="22"/>
                          <w:szCs w:val="22"/>
                        </w:rPr>
                        <w:t xml:space="preserve"> </w:t>
                      </w:r>
                      <w:r>
                        <w:rPr>
                          <w:color w:val="FFFFFF"/>
                          <w:sz w:val="22"/>
                          <w:szCs w:val="22"/>
                        </w:rPr>
                        <w:t xml:space="preserve">Nisan </w:t>
                      </w:r>
                      <w:r w:rsidR="00C76E90">
                        <w:rPr>
                          <w:color w:val="FFFFFF"/>
                          <w:sz w:val="22"/>
                          <w:szCs w:val="22"/>
                        </w:rPr>
                        <w:t>2015</w:t>
                      </w:r>
                    </w:p>
                    <w:p w:rsidR="00C76E90" w:rsidRDefault="00C76E90" w:rsidP="00E57928"/>
                  </w:txbxContent>
                </v:textbox>
              </v:shape>
            </w:pict>
          </mc:Fallback>
        </mc:AlternateContent>
      </w:r>
      <w:r>
        <w:rPr>
          <w:noProof/>
        </w:rPr>
        <mc:AlternateContent>
          <mc:Choice Requires="wps">
            <w:drawing>
              <wp:anchor distT="0" distB="0" distL="114935" distR="114935" simplePos="0" relativeHeight="251663360" behindDoc="0" locked="0" layoutInCell="1" allowOverlap="1">
                <wp:simplePos x="0" y="0"/>
                <wp:positionH relativeFrom="column">
                  <wp:posOffset>1668780</wp:posOffset>
                </wp:positionH>
                <wp:positionV relativeFrom="paragraph">
                  <wp:posOffset>-490855</wp:posOffset>
                </wp:positionV>
                <wp:extent cx="4396740" cy="568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193F73">
                              <w:rPr>
                                <w:rFonts w:ascii="Times New Roman" w:hAnsi="Times New Roman"/>
                                <w:sz w:val="40"/>
                                <w:szCs w:val="40"/>
                              </w:rPr>
                              <w:t xml:space="preserve">Nisan </w:t>
                            </w:r>
                            <w:r>
                              <w:rPr>
                                <w:rFonts w:ascii="Times New Roman" w:hAnsi="Times New Roman"/>
                                <w:sz w:val="40"/>
                                <w:szCs w:val="40"/>
                              </w:rPr>
                              <w:t>2015</w:t>
                            </w:r>
                          </w:p>
                          <w:p w:rsidR="00C76E90" w:rsidRPr="00A75A46" w:rsidRDefault="00C76E90" w:rsidP="00E57928">
                            <w:pPr>
                              <w:pStyle w:val="Heading2"/>
                              <w:rPr>
                                <w:b w:val="0"/>
                                <w:bCs w:val="0"/>
                                <w:i w:val="0"/>
                                <w:iCs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1.4pt;margin-top:-38.65pt;width:346.2pt;height:4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" stroked="f">
                <v:fill opacity="0"/>
                <v:textbox inset="0,0,0,0">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193F73">
                        <w:rPr>
                          <w:rFonts w:ascii="Times New Roman" w:hAnsi="Times New Roman"/>
                          <w:sz w:val="40"/>
                          <w:szCs w:val="40"/>
                        </w:rPr>
                        <w:t xml:space="preserve">Nisan </w:t>
                      </w:r>
                      <w:r>
                        <w:rPr>
                          <w:rFonts w:ascii="Times New Roman" w:hAnsi="Times New Roman"/>
                          <w:sz w:val="40"/>
                          <w:szCs w:val="40"/>
                        </w:rPr>
                        <w:t>2015</w:t>
                      </w:r>
                    </w:p>
                    <w:p w:rsidR="00C76E90" w:rsidRPr="00A75A46" w:rsidRDefault="00C76E90" w:rsidP="00E57928">
                      <w:pPr>
                        <w:pStyle w:val="Heading2"/>
                        <w:rPr>
                          <w:b w:val="0"/>
                          <w:bCs w:val="0"/>
                          <w:i w:val="0"/>
                          <w:iCs w:val="0"/>
                          <w:lang w:val="nl-NL"/>
                        </w:rPr>
                      </w:pPr>
                    </w:p>
                  </w:txbxContent>
                </v:textbox>
              </v:shape>
            </w:pict>
          </mc:Fallback>
        </mc:AlternateContent>
      </w:r>
      <w:r w:rsidR="00E57928" w:rsidRPr="00C45AC0">
        <w:rPr>
          <w:rFonts w:ascii="Arial" w:hAnsi="Arial" w:cs="Arial"/>
          <w:b/>
          <w:bCs/>
          <w:noProof/>
          <w:sz w:val="32"/>
          <w:szCs w:val="32"/>
        </w:rPr>
        <w:drawing>
          <wp:anchor distT="0" distB="0" distL="114300" distR="114300" simplePos="0" relativeHeight="251658752"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9"/>
                    <a:srcRect/>
                    <a:stretch>
                      <a:fillRect/>
                    </a:stretch>
                  </pic:blipFill>
                  <pic:spPr bwMode="auto">
                    <a:xfrm>
                      <a:off x="0" y="0"/>
                      <a:ext cx="6858000" cy="1261745"/>
                    </a:xfrm>
                    <a:prstGeom prst="rect">
                      <a:avLst/>
                    </a:prstGeom>
                    <a:noFill/>
                    <a:ln w="9525">
                      <a:noFill/>
                      <a:miter lim="800000"/>
                      <a:headEnd/>
                      <a:tailEnd/>
                    </a:ln>
                  </pic:spPr>
                </pic:pic>
              </a:graphicData>
            </a:graphic>
          </wp:anchor>
        </w:drawing>
      </w:r>
    </w:p>
    <w:p w:rsidR="00054BD3" w:rsidRPr="00C45AC0" w:rsidRDefault="00054BD3" w:rsidP="001E4BF5">
      <w:pPr>
        <w:spacing w:line="360" w:lineRule="auto"/>
        <w:ind w:right="-319"/>
        <w:jc w:val="center"/>
        <w:outlineLvl w:val="0"/>
        <w:rPr>
          <w:rFonts w:ascii="Arial" w:hAnsi="Arial" w:cs="Arial"/>
          <w:b/>
          <w:bCs/>
          <w:sz w:val="32"/>
          <w:szCs w:val="32"/>
        </w:rPr>
      </w:pPr>
    </w:p>
    <w:p w:rsidR="00EB408D" w:rsidRPr="00C45AC0" w:rsidRDefault="000E2708" w:rsidP="00EB408D">
      <w:pPr>
        <w:ind w:right="-317"/>
        <w:jc w:val="center"/>
        <w:outlineLvl w:val="0"/>
        <w:rPr>
          <w:rFonts w:ascii="Arial" w:hAnsi="Arial" w:cs="Arial"/>
          <w:b/>
          <w:bCs/>
          <w:caps/>
          <w:sz w:val="28"/>
          <w:szCs w:val="28"/>
        </w:rPr>
      </w:pPr>
      <w:r>
        <w:rPr>
          <w:rFonts w:ascii="Arial" w:hAnsi="Arial" w:cs="Arial"/>
          <w:b/>
          <w:bCs/>
          <w:caps/>
          <w:sz w:val="28"/>
          <w:szCs w:val="28"/>
        </w:rPr>
        <w:t>büyüme</w:t>
      </w:r>
      <w:r w:rsidR="002854D6">
        <w:rPr>
          <w:rFonts w:ascii="Arial" w:hAnsi="Arial" w:cs="Arial"/>
          <w:b/>
          <w:bCs/>
          <w:caps/>
          <w:sz w:val="28"/>
          <w:szCs w:val="28"/>
        </w:rPr>
        <w:t xml:space="preserve"> düşmeye</w:t>
      </w:r>
      <w:r>
        <w:rPr>
          <w:rFonts w:ascii="Arial" w:hAnsi="Arial" w:cs="Arial"/>
          <w:b/>
          <w:bCs/>
          <w:caps/>
          <w:sz w:val="28"/>
          <w:szCs w:val="28"/>
        </w:rPr>
        <w:t xml:space="preserve"> devam ediyor</w:t>
      </w:r>
    </w:p>
    <w:p w:rsidR="00EB408D" w:rsidRPr="00C45AC0" w:rsidRDefault="00EB408D" w:rsidP="00EB408D">
      <w:pPr>
        <w:ind w:right="-317"/>
        <w:jc w:val="center"/>
        <w:outlineLvl w:val="0"/>
        <w:rPr>
          <w:rFonts w:ascii="Arial" w:hAnsi="Arial" w:cs="Arial"/>
          <w:b/>
          <w:bCs/>
          <w:caps/>
          <w:sz w:val="28"/>
          <w:szCs w:val="28"/>
        </w:rPr>
      </w:pPr>
    </w:p>
    <w:p w:rsidR="00EB408D" w:rsidRDefault="00EB408D" w:rsidP="00EB408D">
      <w:pPr>
        <w:ind w:right="-317"/>
        <w:jc w:val="center"/>
        <w:outlineLvl w:val="0"/>
        <w:rPr>
          <w:rFonts w:ascii="Arial" w:hAnsi="Arial" w:cs="Arial"/>
          <w:b/>
          <w:bCs/>
          <w:sz w:val="21"/>
          <w:szCs w:val="21"/>
          <w:vertAlign w:val="superscript"/>
        </w:rPr>
      </w:pPr>
      <w:r w:rsidRPr="00C45AC0">
        <w:rPr>
          <w:rFonts w:ascii="Arial" w:hAnsi="Arial" w:cs="Arial"/>
          <w:b/>
          <w:bCs/>
          <w:sz w:val="21"/>
          <w:szCs w:val="21"/>
        </w:rPr>
        <w:t>Zümrüt İmamoğlu* ve Barış Soybilgen</w:t>
      </w:r>
      <w:r w:rsidRPr="00C45AC0">
        <w:rPr>
          <w:rFonts w:ascii="Arial" w:hAnsi="Arial" w:cs="Arial"/>
          <w:b/>
          <w:bCs/>
          <w:sz w:val="21"/>
          <w:szCs w:val="21"/>
          <w:vertAlign w:val="superscript"/>
        </w:rPr>
        <w:t>**</w:t>
      </w:r>
    </w:p>
    <w:p w:rsidR="00EB408D" w:rsidRDefault="00EB408D" w:rsidP="00EB408D">
      <w:pPr>
        <w:ind w:right="-317"/>
        <w:jc w:val="center"/>
        <w:outlineLvl w:val="0"/>
        <w:rPr>
          <w:rFonts w:ascii="Arial" w:hAnsi="Arial" w:cs="Arial"/>
          <w:b/>
          <w:bCs/>
          <w:sz w:val="21"/>
          <w:szCs w:val="21"/>
          <w:vertAlign w:val="superscript"/>
        </w:rPr>
      </w:pPr>
    </w:p>
    <w:p w:rsidR="00EB408D" w:rsidRPr="00C45AC0" w:rsidRDefault="00EB408D" w:rsidP="00EB408D">
      <w:pPr>
        <w:spacing w:line="360" w:lineRule="auto"/>
        <w:ind w:right="-319"/>
        <w:jc w:val="center"/>
        <w:outlineLvl w:val="0"/>
        <w:rPr>
          <w:rFonts w:ascii="Arial" w:hAnsi="Arial" w:cs="Arial"/>
          <w:sz w:val="22"/>
          <w:szCs w:val="22"/>
          <w:vertAlign w:val="superscript"/>
        </w:rPr>
      </w:pPr>
    </w:p>
    <w:p w:rsidR="00EB408D" w:rsidRPr="00C45AC0" w:rsidRDefault="00EB408D" w:rsidP="00EB408D">
      <w:pPr>
        <w:spacing w:line="360" w:lineRule="auto"/>
        <w:ind w:right="-319"/>
        <w:jc w:val="center"/>
        <w:outlineLvl w:val="0"/>
        <w:rPr>
          <w:rFonts w:ascii="Arial" w:hAnsi="Arial" w:cs="Arial"/>
          <w:sz w:val="22"/>
          <w:szCs w:val="22"/>
          <w:vertAlign w:val="superscript"/>
        </w:rPr>
        <w:sectPr w:rsidR="00EB408D" w:rsidRPr="00C45AC0" w:rsidSect="008651A8">
          <w:footerReference w:type="default" r:id="rId10"/>
          <w:type w:val="continuous"/>
          <w:pgSz w:w="11906" w:h="16838"/>
          <w:pgMar w:top="1417" w:right="1417" w:bottom="1417" w:left="1417" w:header="708" w:footer="708" w:gutter="0"/>
          <w:cols w:space="708"/>
          <w:docGrid w:linePitch="360"/>
        </w:sectPr>
      </w:pPr>
    </w:p>
    <w:p w:rsidR="00EB408D" w:rsidRPr="00C45AC0" w:rsidRDefault="00EB408D" w:rsidP="00EB408D">
      <w:pPr>
        <w:spacing w:line="360" w:lineRule="auto"/>
        <w:ind w:left="-360" w:right="42" w:firstLine="360"/>
        <w:jc w:val="center"/>
        <w:rPr>
          <w:b/>
          <w:bCs/>
          <w:sz w:val="22"/>
          <w:szCs w:val="22"/>
        </w:rPr>
      </w:pPr>
      <w:r w:rsidRPr="00C45AC0">
        <w:rPr>
          <w:b/>
          <w:bCs/>
          <w:sz w:val="22"/>
          <w:szCs w:val="22"/>
        </w:rPr>
        <w:lastRenderedPageBreak/>
        <w:t>Yönetici Özeti</w:t>
      </w:r>
    </w:p>
    <w:p w:rsidR="00EB408D" w:rsidRPr="00C45AC0" w:rsidRDefault="00EB408D" w:rsidP="00EB408D">
      <w:pPr>
        <w:spacing w:line="360" w:lineRule="auto"/>
        <w:ind w:left="-360" w:right="42" w:firstLine="360"/>
        <w:jc w:val="center"/>
        <w:rPr>
          <w:b/>
          <w:bCs/>
          <w:sz w:val="16"/>
          <w:szCs w:val="16"/>
        </w:rPr>
      </w:pPr>
    </w:p>
    <w:p w:rsidR="00EB408D" w:rsidRDefault="00EB408D" w:rsidP="00EB408D">
      <w:pPr>
        <w:spacing w:line="360" w:lineRule="auto"/>
        <w:ind w:left="-360" w:right="40"/>
        <w:jc w:val="both"/>
        <w:rPr>
          <w:sz w:val="22"/>
          <w:szCs w:val="22"/>
        </w:rPr>
      </w:pPr>
      <w:r w:rsidRPr="00C45AC0">
        <w:rPr>
          <w:sz w:val="22"/>
          <w:szCs w:val="22"/>
        </w:rPr>
        <w:t xml:space="preserve">Mevsim ve takvim etkisinden arındırılmış Sanayi Üretim Endeksi (SÜE) </w:t>
      </w:r>
      <w:r w:rsidR="008C654F">
        <w:rPr>
          <w:sz w:val="22"/>
          <w:szCs w:val="22"/>
        </w:rPr>
        <w:t>Şubat</w:t>
      </w:r>
      <w:r w:rsidRPr="00C45AC0">
        <w:rPr>
          <w:sz w:val="22"/>
          <w:szCs w:val="22"/>
        </w:rPr>
        <w:t xml:space="preserve"> ayın</w:t>
      </w:r>
      <w:r>
        <w:rPr>
          <w:sz w:val="22"/>
          <w:szCs w:val="22"/>
        </w:rPr>
        <w:t>da bir önceki aya göre yüzde 1,</w:t>
      </w:r>
      <w:r w:rsidR="008C654F">
        <w:rPr>
          <w:sz w:val="22"/>
          <w:szCs w:val="22"/>
        </w:rPr>
        <w:t>7</w:t>
      </w:r>
      <w:r w:rsidRPr="00C45AC0">
        <w:rPr>
          <w:sz w:val="22"/>
          <w:szCs w:val="22"/>
        </w:rPr>
        <w:t xml:space="preserve"> oranında a</w:t>
      </w:r>
      <w:r w:rsidR="008C654F">
        <w:rPr>
          <w:sz w:val="22"/>
          <w:szCs w:val="22"/>
        </w:rPr>
        <w:t>rttı. İhracat miktar endeksi</w:t>
      </w:r>
      <w:r>
        <w:rPr>
          <w:sz w:val="22"/>
          <w:szCs w:val="22"/>
        </w:rPr>
        <w:t xml:space="preserve"> </w:t>
      </w:r>
      <w:r w:rsidRPr="00C45AC0">
        <w:rPr>
          <w:sz w:val="22"/>
          <w:szCs w:val="22"/>
        </w:rPr>
        <w:t xml:space="preserve">yüzde </w:t>
      </w:r>
      <w:r w:rsidR="008C654F">
        <w:rPr>
          <w:sz w:val="22"/>
          <w:szCs w:val="22"/>
        </w:rPr>
        <w:t>1,7</w:t>
      </w:r>
      <w:r>
        <w:rPr>
          <w:sz w:val="22"/>
          <w:szCs w:val="22"/>
        </w:rPr>
        <w:t xml:space="preserve"> </w:t>
      </w:r>
      <w:r w:rsidR="008C654F">
        <w:rPr>
          <w:sz w:val="22"/>
          <w:szCs w:val="22"/>
        </w:rPr>
        <w:t>düşerken</w:t>
      </w:r>
      <w:r w:rsidRPr="00C45AC0">
        <w:rPr>
          <w:sz w:val="22"/>
          <w:szCs w:val="22"/>
        </w:rPr>
        <w:t>, it</w:t>
      </w:r>
      <w:r>
        <w:rPr>
          <w:sz w:val="22"/>
          <w:szCs w:val="22"/>
        </w:rPr>
        <w:t xml:space="preserve">halat miktar endeksi yüzde </w:t>
      </w:r>
      <w:r w:rsidR="008C654F">
        <w:rPr>
          <w:sz w:val="22"/>
          <w:szCs w:val="22"/>
        </w:rPr>
        <w:t>2</w:t>
      </w:r>
      <w:r w:rsidRPr="00C45AC0">
        <w:rPr>
          <w:sz w:val="22"/>
          <w:szCs w:val="22"/>
        </w:rPr>
        <w:t>,</w:t>
      </w:r>
      <w:r w:rsidR="008C654F">
        <w:rPr>
          <w:sz w:val="22"/>
          <w:szCs w:val="22"/>
        </w:rPr>
        <w:t>4</w:t>
      </w:r>
      <w:r w:rsidRPr="00C45AC0">
        <w:rPr>
          <w:sz w:val="22"/>
          <w:szCs w:val="22"/>
        </w:rPr>
        <w:t xml:space="preserve"> oranında a</w:t>
      </w:r>
      <w:r w:rsidR="008C654F">
        <w:rPr>
          <w:sz w:val="22"/>
          <w:szCs w:val="22"/>
        </w:rPr>
        <w:t>rttı</w:t>
      </w:r>
      <w:r w:rsidRPr="00C45AC0">
        <w:rPr>
          <w:sz w:val="22"/>
          <w:szCs w:val="22"/>
        </w:rPr>
        <w:t xml:space="preserve">. </w:t>
      </w:r>
      <w:r>
        <w:rPr>
          <w:sz w:val="22"/>
          <w:szCs w:val="22"/>
        </w:rPr>
        <w:t>İlk çeyrekte altın hariç ihracat oldukça zayıf seyre</w:t>
      </w:r>
      <w:r w:rsidR="00CF058B">
        <w:rPr>
          <w:sz w:val="22"/>
          <w:szCs w:val="22"/>
        </w:rPr>
        <w:t>tmeye devam ediyor.</w:t>
      </w:r>
      <w:r>
        <w:rPr>
          <w:sz w:val="22"/>
          <w:szCs w:val="22"/>
        </w:rPr>
        <w:t xml:space="preserve"> </w:t>
      </w:r>
      <w:r w:rsidR="00CF058B">
        <w:rPr>
          <w:sz w:val="22"/>
          <w:szCs w:val="22"/>
        </w:rPr>
        <w:t>Ancak Şubat'ta SÜE'de görülen artış görünümü bir miktar düzeltti. G</w:t>
      </w:r>
      <w:r>
        <w:rPr>
          <w:sz w:val="22"/>
          <w:szCs w:val="22"/>
        </w:rPr>
        <w:t xml:space="preserve">üven endekslerindeki gerileme </w:t>
      </w:r>
      <w:r w:rsidR="00CF058B">
        <w:rPr>
          <w:sz w:val="22"/>
          <w:szCs w:val="22"/>
        </w:rPr>
        <w:t>ise Mart ayı için olumsuz sinyaller veriyor</w:t>
      </w:r>
      <w:r>
        <w:rPr>
          <w:sz w:val="22"/>
          <w:szCs w:val="22"/>
        </w:rPr>
        <w:t>. Betam'ın ilk çeyreğe ilişkin büyüme tahmini</w:t>
      </w:r>
      <w:r w:rsidR="00CF058B">
        <w:rPr>
          <w:sz w:val="22"/>
          <w:szCs w:val="22"/>
        </w:rPr>
        <w:t>ni</w:t>
      </w:r>
      <w:r>
        <w:rPr>
          <w:sz w:val="22"/>
          <w:szCs w:val="22"/>
        </w:rPr>
        <w:t xml:space="preserve"> </w:t>
      </w:r>
      <w:r w:rsidR="00CF058B">
        <w:rPr>
          <w:sz w:val="22"/>
          <w:szCs w:val="22"/>
        </w:rPr>
        <w:t>SÜE'deki artış nedeniyle yukarı yönde revize ediyoruz.</w:t>
      </w:r>
      <w:r>
        <w:rPr>
          <w:sz w:val="22"/>
          <w:szCs w:val="22"/>
        </w:rPr>
        <w:t xml:space="preserve"> </w:t>
      </w:r>
      <w:r w:rsidR="00CF058B">
        <w:rPr>
          <w:sz w:val="22"/>
          <w:szCs w:val="22"/>
        </w:rPr>
        <w:t>Ö</w:t>
      </w:r>
      <w:r>
        <w:rPr>
          <w:sz w:val="22"/>
          <w:szCs w:val="22"/>
        </w:rPr>
        <w:t xml:space="preserve">nceki çeyreğe kıyasla yüzde </w:t>
      </w:r>
      <w:r w:rsidR="00CF058B">
        <w:rPr>
          <w:sz w:val="22"/>
          <w:szCs w:val="22"/>
        </w:rPr>
        <w:t xml:space="preserve">büyüme tahminimizi </w:t>
      </w:r>
      <w:r>
        <w:rPr>
          <w:sz w:val="22"/>
          <w:szCs w:val="22"/>
        </w:rPr>
        <w:t>0,2</w:t>
      </w:r>
      <w:r w:rsidR="00CF058B">
        <w:rPr>
          <w:sz w:val="22"/>
          <w:szCs w:val="22"/>
        </w:rPr>
        <w:t>'den yüzde 0,4'e çekiyoruz</w:t>
      </w:r>
      <w:r>
        <w:rPr>
          <w:sz w:val="22"/>
          <w:szCs w:val="22"/>
        </w:rPr>
        <w:t xml:space="preserve">. </w:t>
      </w:r>
      <w:r w:rsidRPr="00C45AC0">
        <w:rPr>
          <w:sz w:val="22"/>
          <w:szCs w:val="22"/>
        </w:rPr>
        <w:t xml:space="preserve">Önceki yılın aynı çeyreğine göre </w:t>
      </w:r>
      <w:r>
        <w:rPr>
          <w:sz w:val="22"/>
          <w:szCs w:val="22"/>
        </w:rPr>
        <w:t xml:space="preserve">ise </w:t>
      </w:r>
      <w:r w:rsidR="00052EFB">
        <w:rPr>
          <w:sz w:val="22"/>
          <w:szCs w:val="22"/>
        </w:rPr>
        <w:t xml:space="preserve">ekonominin </w:t>
      </w:r>
      <w:r w:rsidR="00CF058B">
        <w:rPr>
          <w:sz w:val="22"/>
          <w:szCs w:val="22"/>
        </w:rPr>
        <w:t>yüzde 1,2</w:t>
      </w:r>
      <w:r w:rsidR="00052EFB">
        <w:rPr>
          <w:sz w:val="22"/>
          <w:szCs w:val="22"/>
        </w:rPr>
        <w:t xml:space="preserve"> büyüyeceğini öngörüyoruz.</w:t>
      </w:r>
    </w:p>
    <w:p w:rsidR="00EB408D" w:rsidRPr="00C45AC0" w:rsidRDefault="00EB408D" w:rsidP="00EB408D">
      <w:pPr>
        <w:spacing w:line="360" w:lineRule="auto"/>
        <w:ind w:left="-360" w:right="40"/>
        <w:jc w:val="both"/>
        <w:rPr>
          <w:sz w:val="22"/>
          <w:szCs w:val="22"/>
        </w:rPr>
      </w:pPr>
    </w:p>
    <w:p w:rsidR="00E07F02" w:rsidRPr="00C45AC0" w:rsidRDefault="0083392D" w:rsidP="00EB408D">
      <w:pPr>
        <w:spacing w:line="360" w:lineRule="auto"/>
        <w:ind w:left="-360" w:right="40"/>
        <w:jc w:val="both"/>
        <w:rPr>
          <w:sz w:val="22"/>
          <w:szCs w:val="22"/>
        </w:rPr>
      </w:pPr>
      <w:r>
        <w:rPr>
          <w:sz w:val="22"/>
          <w:szCs w:val="22"/>
        </w:rPr>
        <w:t>Şubat</w:t>
      </w:r>
      <w:r w:rsidR="00EB408D">
        <w:rPr>
          <w:sz w:val="22"/>
          <w:szCs w:val="22"/>
        </w:rPr>
        <w:t xml:space="preserve"> ayında cari açık </w:t>
      </w:r>
      <w:r>
        <w:rPr>
          <w:sz w:val="22"/>
          <w:szCs w:val="22"/>
        </w:rPr>
        <w:t>3,</w:t>
      </w:r>
      <w:r w:rsidR="00EB408D">
        <w:rPr>
          <w:sz w:val="22"/>
          <w:szCs w:val="22"/>
        </w:rPr>
        <w:t>2 milyar dolar olarak gerçekleşti</w:t>
      </w:r>
      <w:r w:rsidR="00EB408D" w:rsidRPr="00C45AC0">
        <w:rPr>
          <w:sz w:val="22"/>
          <w:szCs w:val="22"/>
        </w:rPr>
        <w:t>.</w:t>
      </w:r>
      <w:r w:rsidR="00EB408D">
        <w:rPr>
          <w:sz w:val="22"/>
          <w:szCs w:val="22"/>
        </w:rPr>
        <w:t xml:space="preserve"> 12 aylık cari açık 4</w:t>
      </w:r>
      <w:r>
        <w:rPr>
          <w:sz w:val="22"/>
          <w:szCs w:val="22"/>
        </w:rPr>
        <w:t>3</w:t>
      </w:r>
      <w:r w:rsidR="00723BCD">
        <w:rPr>
          <w:sz w:val="22"/>
          <w:szCs w:val="22"/>
        </w:rPr>
        <w:t xml:space="preserve"> milyar dolardan</w:t>
      </w:r>
      <w:r w:rsidR="00EB408D">
        <w:rPr>
          <w:sz w:val="22"/>
          <w:szCs w:val="22"/>
        </w:rPr>
        <w:t xml:space="preserve"> 42,</w:t>
      </w:r>
      <w:r>
        <w:rPr>
          <w:sz w:val="22"/>
          <w:szCs w:val="22"/>
        </w:rPr>
        <w:t>8</w:t>
      </w:r>
      <w:r w:rsidR="00EB408D">
        <w:rPr>
          <w:sz w:val="22"/>
          <w:szCs w:val="22"/>
        </w:rPr>
        <w:t xml:space="preserve"> milyar dolara </w:t>
      </w:r>
      <w:r w:rsidR="004A3EE9">
        <w:rPr>
          <w:sz w:val="22"/>
          <w:szCs w:val="22"/>
        </w:rPr>
        <w:t>geriledi</w:t>
      </w:r>
      <w:r w:rsidR="00EB408D">
        <w:rPr>
          <w:sz w:val="22"/>
          <w:szCs w:val="22"/>
        </w:rPr>
        <w:t xml:space="preserve">. </w:t>
      </w:r>
      <w:r w:rsidR="00EB408D" w:rsidRPr="00C45AC0">
        <w:rPr>
          <w:sz w:val="22"/>
          <w:szCs w:val="22"/>
        </w:rPr>
        <w:t>Cari açığın GSYH’a oranı</w:t>
      </w:r>
      <w:r w:rsidR="00EB408D">
        <w:rPr>
          <w:sz w:val="22"/>
          <w:szCs w:val="22"/>
        </w:rPr>
        <w:t>nın</w:t>
      </w:r>
      <w:r w:rsidR="00EB408D" w:rsidRPr="00C45AC0">
        <w:rPr>
          <w:sz w:val="22"/>
          <w:szCs w:val="22"/>
        </w:rPr>
        <w:t xml:space="preserve"> </w:t>
      </w:r>
      <w:r w:rsidR="00CF282B">
        <w:rPr>
          <w:sz w:val="22"/>
          <w:szCs w:val="22"/>
        </w:rPr>
        <w:t xml:space="preserve">2014 </w:t>
      </w:r>
      <w:r w:rsidR="00EB408D">
        <w:rPr>
          <w:sz w:val="22"/>
          <w:szCs w:val="22"/>
        </w:rPr>
        <w:t>yıl</w:t>
      </w:r>
      <w:r w:rsidR="00EB408D" w:rsidRPr="00C45AC0">
        <w:rPr>
          <w:sz w:val="22"/>
          <w:szCs w:val="22"/>
        </w:rPr>
        <w:t xml:space="preserve"> sonunda yüzde 5,</w:t>
      </w:r>
      <w:r w:rsidR="00CF282B">
        <w:rPr>
          <w:sz w:val="22"/>
          <w:szCs w:val="22"/>
        </w:rPr>
        <w:t>7</w:t>
      </w:r>
      <w:r w:rsidR="00EB408D" w:rsidRPr="00C45AC0">
        <w:rPr>
          <w:sz w:val="22"/>
          <w:szCs w:val="22"/>
        </w:rPr>
        <w:t>'</w:t>
      </w:r>
      <w:r w:rsidR="00EB408D">
        <w:rPr>
          <w:sz w:val="22"/>
          <w:szCs w:val="22"/>
        </w:rPr>
        <w:t>den ilk çeyrek</w:t>
      </w:r>
      <w:r w:rsidR="00CF282B">
        <w:rPr>
          <w:sz w:val="22"/>
          <w:szCs w:val="22"/>
        </w:rPr>
        <w:t xml:space="preserve"> sonunda</w:t>
      </w:r>
      <w:r w:rsidR="00EB408D">
        <w:rPr>
          <w:sz w:val="22"/>
          <w:szCs w:val="22"/>
        </w:rPr>
        <w:t xml:space="preserve"> yüzde 5,4'e</w:t>
      </w:r>
      <w:r w:rsidR="00EB408D" w:rsidRPr="00C45AC0">
        <w:rPr>
          <w:sz w:val="22"/>
          <w:szCs w:val="22"/>
        </w:rPr>
        <w:t xml:space="preserve"> düşmesini bekliyoruz.</w:t>
      </w:r>
      <w:r w:rsidR="00EB408D">
        <w:rPr>
          <w:sz w:val="22"/>
          <w:szCs w:val="22"/>
        </w:rPr>
        <w:t xml:space="preserve"> </w:t>
      </w:r>
      <w:r w:rsidR="00CF282B">
        <w:rPr>
          <w:sz w:val="22"/>
          <w:szCs w:val="22"/>
        </w:rPr>
        <w:t>Altın hariç cari açığın ise yüzde 5,1 olarak gerçekleşeceğini tahmin ediyoruz.</w:t>
      </w:r>
    </w:p>
    <w:p w:rsidR="00EB408D" w:rsidRPr="00C45AC0" w:rsidRDefault="002B73C6" w:rsidP="00EB408D">
      <w:pPr>
        <w:spacing w:line="288" w:lineRule="auto"/>
        <w:ind w:right="-318"/>
        <w:jc w:val="both"/>
        <w:rPr>
          <w:rFonts w:ascii="Arial" w:hAnsi="Arial" w:cs="Arial"/>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rFQIAACs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WSGf6xUCAAArBAAADgAAAAAAAAAAAAAAAAAuAgAAZHJzL2Uyb0RvYy54bWxQSwECLQAUAAYACAAA&#10;ACEA+QGAlN0AAAAJAQAADwAAAAAAAAAAAAAAAABvBAAAZHJzL2Rvd25yZXYueG1sUEsFBgAAAAAE&#10;AAQA8wAAAHkFAAAAAA==&#10;"/>
            </w:pict>
          </mc:Fallback>
        </mc:AlternateContent>
      </w:r>
      <w:r>
        <w:rPr>
          <w:rFonts w:ascii="Arial" w:hAnsi="Arial" w:cs="Arial"/>
          <w:noProof/>
          <w:sz w:val="16"/>
          <w:szCs w:val="16"/>
        </w:rPr>
        <mc:AlternateContent>
          <mc:Choice Requires="wpc">
            <w:drawing>
              <wp:inline distT="0" distB="0" distL="0" distR="0">
                <wp:extent cx="2514600" cy="45720"/>
                <wp:effectExtent l="0" t="0" r="0" b="0"/>
                <wp:docPr id="1"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EB408D" w:rsidRPr="00C45AC0" w:rsidRDefault="00EB408D" w:rsidP="00EB408D">
      <w:pPr>
        <w:spacing w:line="288" w:lineRule="auto"/>
        <w:ind w:left="-360" w:right="-318"/>
        <w:jc w:val="both"/>
        <w:rPr>
          <w:sz w:val="16"/>
          <w:szCs w:val="16"/>
        </w:rPr>
      </w:pPr>
      <w:r w:rsidRPr="00C45AC0">
        <w:rPr>
          <w:sz w:val="16"/>
          <w:szCs w:val="16"/>
        </w:rPr>
        <w:t>* Dr. Zümrüt İmamoğlu, Betam, Uzman Araştırmacı.</w:t>
      </w:r>
    </w:p>
    <w:p w:rsidR="00EB408D" w:rsidRPr="00C45AC0" w:rsidRDefault="00924234" w:rsidP="00EB408D">
      <w:pPr>
        <w:spacing w:line="288" w:lineRule="auto"/>
        <w:ind w:left="-360" w:right="-318"/>
        <w:jc w:val="both"/>
        <w:rPr>
          <w:sz w:val="16"/>
          <w:szCs w:val="16"/>
          <w:vertAlign w:val="superscript"/>
        </w:rPr>
      </w:pPr>
      <w:hyperlink r:id="rId11" w:history="1">
        <w:r w:rsidR="00EB408D" w:rsidRPr="00C45AC0">
          <w:rPr>
            <w:rStyle w:val="Hyperlink"/>
            <w:sz w:val="16"/>
            <w:szCs w:val="16"/>
          </w:rPr>
          <w:t>zumrut.imamoglu@eas.bahcesehir.edu.tr</w:t>
        </w:r>
      </w:hyperlink>
    </w:p>
    <w:p w:rsidR="00EB408D" w:rsidRPr="00C45AC0" w:rsidRDefault="00EB408D" w:rsidP="00EB408D">
      <w:pPr>
        <w:spacing w:line="288" w:lineRule="auto"/>
        <w:ind w:left="-360" w:right="-318"/>
        <w:jc w:val="both"/>
        <w:rPr>
          <w:sz w:val="16"/>
          <w:szCs w:val="16"/>
        </w:rPr>
      </w:pPr>
      <w:r w:rsidRPr="00C45AC0">
        <w:rPr>
          <w:sz w:val="16"/>
          <w:szCs w:val="16"/>
        </w:rPr>
        <w:t>** Barış Soybilgen, Betam, Araştırma Görevlisi</w:t>
      </w:r>
    </w:p>
    <w:p w:rsidR="00EB408D" w:rsidRPr="00C45AC0" w:rsidRDefault="00924234" w:rsidP="00EB408D">
      <w:pPr>
        <w:ind w:left="-360"/>
        <w:rPr>
          <w:sz w:val="16"/>
          <w:szCs w:val="16"/>
        </w:rPr>
      </w:pPr>
      <w:hyperlink r:id="rId12" w:history="1">
        <w:r w:rsidR="00EB408D" w:rsidRPr="00C45AC0">
          <w:rPr>
            <w:rStyle w:val="Hyperlink"/>
            <w:sz w:val="16"/>
            <w:szCs w:val="16"/>
          </w:rPr>
          <w:t>baris.soybilgen@eas.bahcesehir.edu.tr</w:t>
        </w:r>
      </w:hyperlink>
    </w:p>
    <w:p w:rsidR="00EB408D" w:rsidRDefault="00EB408D" w:rsidP="00EB408D">
      <w:pPr>
        <w:ind w:right="42"/>
        <w:rPr>
          <w:b/>
          <w:bCs/>
          <w:sz w:val="22"/>
          <w:szCs w:val="22"/>
        </w:rPr>
      </w:pPr>
    </w:p>
    <w:p w:rsidR="00EB408D" w:rsidRPr="00C45AC0" w:rsidRDefault="00EB408D" w:rsidP="00EB408D">
      <w:pPr>
        <w:ind w:right="42"/>
        <w:rPr>
          <w:b/>
          <w:bCs/>
          <w:sz w:val="22"/>
          <w:szCs w:val="22"/>
        </w:rPr>
      </w:pPr>
    </w:p>
    <w:p w:rsidR="00EB408D" w:rsidRDefault="00EB408D" w:rsidP="00EB408D">
      <w:pPr>
        <w:outlineLvl w:val="0"/>
        <w:rPr>
          <w:b/>
          <w:bCs/>
          <w:sz w:val="22"/>
          <w:szCs w:val="22"/>
        </w:rPr>
      </w:pPr>
    </w:p>
    <w:p w:rsidR="00EB408D" w:rsidRDefault="00EB408D" w:rsidP="00EB408D">
      <w:pPr>
        <w:outlineLvl w:val="0"/>
        <w:rPr>
          <w:b/>
          <w:bCs/>
          <w:sz w:val="22"/>
          <w:szCs w:val="22"/>
        </w:rPr>
      </w:pPr>
    </w:p>
    <w:p w:rsidR="00EB408D" w:rsidRPr="00C45AC0" w:rsidRDefault="00EB408D" w:rsidP="00EB408D">
      <w:pPr>
        <w:outlineLvl w:val="0"/>
        <w:rPr>
          <w:b/>
          <w:bCs/>
          <w:sz w:val="22"/>
          <w:szCs w:val="22"/>
        </w:rPr>
      </w:pPr>
      <w:r w:rsidRPr="00C45AC0">
        <w:rPr>
          <w:b/>
          <w:bCs/>
          <w:sz w:val="22"/>
          <w:szCs w:val="22"/>
        </w:rPr>
        <w:t>Tablo 1. Betam’ın GSYH ve Cari Açık Tahminleri</w:t>
      </w:r>
    </w:p>
    <w:tbl>
      <w:tblPr>
        <w:tblpPr w:leftFromText="141" w:rightFromText="141" w:vertAnchor="text" w:horzAnchor="margin" w:tblpXSpec="right" w:tblpY="129"/>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4"/>
        <w:gridCol w:w="1362"/>
      </w:tblGrid>
      <w:tr w:rsidR="003B33D9" w:rsidRPr="00C45AC0" w:rsidTr="003B33D9">
        <w:trPr>
          <w:trHeight w:val="986"/>
        </w:trPr>
        <w:tc>
          <w:tcPr>
            <w:tcW w:w="3244" w:type="dxa"/>
            <w:tcMar>
              <w:left w:w="28" w:type="dxa"/>
              <w:right w:w="28" w:type="dxa"/>
            </w:tcMar>
            <w:vAlign w:val="center"/>
          </w:tcPr>
          <w:p w:rsidR="003B33D9" w:rsidRPr="00C45AC0" w:rsidRDefault="003B33D9" w:rsidP="001763E1">
            <w:pPr>
              <w:ind w:right="42"/>
              <w:jc w:val="center"/>
              <w:rPr>
                <w:sz w:val="20"/>
                <w:szCs w:val="20"/>
              </w:rPr>
            </w:pPr>
          </w:p>
        </w:tc>
        <w:tc>
          <w:tcPr>
            <w:tcW w:w="1362" w:type="dxa"/>
            <w:vAlign w:val="center"/>
          </w:tcPr>
          <w:p w:rsidR="003B33D9" w:rsidRDefault="003B33D9" w:rsidP="001763E1">
            <w:pPr>
              <w:ind w:right="40"/>
              <w:jc w:val="center"/>
              <w:rPr>
                <w:b/>
                <w:bCs/>
                <w:sz w:val="20"/>
                <w:szCs w:val="20"/>
              </w:rPr>
            </w:pPr>
            <w:r>
              <w:rPr>
                <w:b/>
                <w:bCs/>
                <w:sz w:val="20"/>
                <w:szCs w:val="20"/>
              </w:rPr>
              <w:t>2015</w:t>
            </w:r>
          </w:p>
          <w:p w:rsidR="003B33D9" w:rsidRDefault="003B33D9" w:rsidP="001763E1">
            <w:pPr>
              <w:ind w:right="40"/>
              <w:jc w:val="center"/>
              <w:rPr>
                <w:b/>
                <w:bCs/>
                <w:sz w:val="20"/>
                <w:szCs w:val="20"/>
              </w:rPr>
            </w:pPr>
            <w:r>
              <w:rPr>
                <w:b/>
                <w:bCs/>
                <w:sz w:val="20"/>
                <w:szCs w:val="20"/>
              </w:rPr>
              <w:t>1. Çeyrek</w:t>
            </w:r>
          </w:p>
          <w:p w:rsidR="003B33D9" w:rsidRDefault="003B33D9" w:rsidP="001763E1">
            <w:pPr>
              <w:ind w:right="40"/>
              <w:jc w:val="center"/>
              <w:rPr>
                <w:b/>
                <w:bCs/>
                <w:sz w:val="20"/>
                <w:szCs w:val="20"/>
              </w:rPr>
            </w:pPr>
            <w:r>
              <w:rPr>
                <w:b/>
                <w:bCs/>
                <w:sz w:val="20"/>
                <w:szCs w:val="20"/>
              </w:rPr>
              <w:t>Tahmin</w:t>
            </w:r>
          </w:p>
          <w:p w:rsidR="003B33D9" w:rsidRPr="00C45AC0" w:rsidRDefault="003B33D9" w:rsidP="001763E1">
            <w:pPr>
              <w:ind w:right="40"/>
              <w:jc w:val="center"/>
              <w:rPr>
                <w:b/>
                <w:bCs/>
                <w:sz w:val="20"/>
                <w:szCs w:val="20"/>
              </w:rPr>
            </w:pPr>
            <w:r>
              <w:rPr>
                <w:b/>
                <w:bCs/>
                <w:sz w:val="20"/>
                <w:szCs w:val="20"/>
              </w:rPr>
              <w:t>(%)</w:t>
            </w:r>
          </w:p>
        </w:tc>
      </w:tr>
      <w:tr w:rsidR="003B33D9" w:rsidRPr="00C45AC0" w:rsidTr="003B33D9">
        <w:trPr>
          <w:trHeight w:val="771"/>
        </w:trPr>
        <w:tc>
          <w:tcPr>
            <w:tcW w:w="3244" w:type="dxa"/>
            <w:tcMar>
              <w:left w:w="28" w:type="dxa"/>
              <w:right w:w="28" w:type="dxa"/>
            </w:tcMar>
            <w:vAlign w:val="center"/>
          </w:tcPr>
          <w:p w:rsidR="003B33D9" w:rsidRPr="00C45AC0" w:rsidRDefault="003B33D9" w:rsidP="001763E1">
            <w:pPr>
              <w:ind w:right="42"/>
              <w:rPr>
                <w:sz w:val="20"/>
                <w:szCs w:val="20"/>
              </w:rPr>
            </w:pPr>
            <w:r w:rsidRPr="00C45AC0">
              <w:rPr>
                <w:sz w:val="20"/>
                <w:szCs w:val="20"/>
              </w:rPr>
              <w:t>GSYH büyüme, reel</w:t>
            </w:r>
          </w:p>
          <w:p w:rsidR="003B33D9" w:rsidRPr="00C45AC0" w:rsidRDefault="003B33D9" w:rsidP="001763E1">
            <w:pPr>
              <w:ind w:right="42"/>
              <w:rPr>
                <w:sz w:val="20"/>
                <w:szCs w:val="20"/>
              </w:rPr>
            </w:pPr>
            <w:r w:rsidRPr="00C45AC0">
              <w:rPr>
                <w:sz w:val="20"/>
                <w:szCs w:val="20"/>
              </w:rPr>
              <w:t>(bir önceki çeyreğe göre, mea*)</w:t>
            </w:r>
          </w:p>
        </w:tc>
        <w:tc>
          <w:tcPr>
            <w:tcW w:w="1362" w:type="dxa"/>
            <w:vAlign w:val="center"/>
          </w:tcPr>
          <w:p w:rsidR="003B33D9" w:rsidRDefault="003B33D9" w:rsidP="00991315">
            <w:pPr>
              <w:ind w:right="42"/>
              <w:jc w:val="center"/>
              <w:rPr>
                <w:sz w:val="20"/>
                <w:szCs w:val="20"/>
              </w:rPr>
            </w:pPr>
            <w:r>
              <w:rPr>
                <w:sz w:val="20"/>
                <w:szCs w:val="20"/>
              </w:rPr>
              <w:t>0,</w:t>
            </w:r>
            <w:r w:rsidR="00991315">
              <w:rPr>
                <w:sz w:val="20"/>
                <w:szCs w:val="20"/>
              </w:rPr>
              <w:t>4</w:t>
            </w:r>
          </w:p>
        </w:tc>
      </w:tr>
      <w:tr w:rsidR="003B33D9" w:rsidRPr="00C45AC0" w:rsidTr="003B33D9">
        <w:trPr>
          <w:trHeight w:val="756"/>
        </w:trPr>
        <w:tc>
          <w:tcPr>
            <w:tcW w:w="3244" w:type="dxa"/>
            <w:tcMar>
              <w:left w:w="28" w:type="dxa"/>
              <w:right w:w="28" w:type="dxa"/>
            </w:tcMar>
            <w:vAlign w:val="center"/>
          </w:tcPr>
          <w:p w:rsidR="003B33D9" w:rsidRPr="00C45AC0" w:rsidRDefault="003B33D9" w:rsidP="001763E1">
            <w:pPr>
              <w:ind w:right="42"/>
              <w:rPr>
                <w:sz w:val="20"/>
                <w:szCs w:val="20"/>
              </w:rPr>
            </w:pPr>
            <w:r w:rsidRPr="00C45AC0">
              <w:rPr>
                <w:sz w:val="20"/>
                <w:szCs w:val="20"/>
              </w:rPr>
              <w:t xml:space="preserve">GSYH büyüme, reel (geçen yılın aynı çeyreğine göre, </w:t>
            </w:r>
            <w:r>
              <w:rPr>
                <w:sz w:val="20"/>
                <w:szCs w:val="20"/>
              </w:rPr>
              <w:t>mea*</w:t>
            </w:r>
            <w:r w:rsidRPr="00C45AC0">
              <w:rPr>
                <w:sz w:val="20"/>
                <w:szCs w:val="20"/>
              </w:rPr>
              <w:t>)</w:t>
            </w:r>
          </w:p>
        </w:tc>
        <w:tc>
          <w:tcPr>
            <w:tcW w:w="1362" w:type="dxa"/>
            <w:vAlign w:val="center"/>
          </w:tcPr>
          <w:p w:rsidR="003B33D9" w:rsidRDefault="003B33D9" w:rsidP="001763E1">
            <w:pPr>
              <w:ind w:right="42"/>
              <w:jc w:val="center"/>
              <w:rPr>
                <w:sz w:val="20"/>
                <w:szCs w:val="20"/>
              </w:rPr>
            </w:pPr>
          </w:p>
          <w:p w:rsidR="003B33D9" w:rsidRDefault="003B33D9" w:rsidP="001763E1">
            <w:pPr>
              <w:ind w:right="42"/>
              <w:jc w:val="center"/>
              <w:rPr>
                <w:sz w:val="20"/>
                <w:szCs w:val="20"/>
              </w:rPr>
            </w:pPr>
            <w:r>
              <w:rPr>
                <w:sz w:val="20"/>
                <w:szCs w:val="20"/>
              </w:rPr>
              <w:t>1,2</w:t>
            </w:r>
          </w:p>
          <w:p w:rsidR="003B33D9" w:rsidRDefault="003B33D9" w:rsidP="001763E1">
            <w:pPr>
              <w:ind w:right="42"/>
              <w:jc w:val="center"/>
              <w:rPr>
                <w:sz w:val="20"/>
                <w:szCs w:val="20"/>
              </w:rPr>
            </w:pPr>
          </w:p>
        </w:tc>
      </w:tr>
      <w:tr w:rsidR="003B33D9" w:rsidRPr="00C45AC0" w:rsidTr="003B33D9">
        <w:trPr>
          <w:trHeight w:val="756"/>
        </w:trPr>
        <w:tc>
          <w:tcPr>
            <w:tcW w:w="3244" w:type="dxa"/>
            <w:tcMar>
              <w:left w:w="28" w:type="dxa"/>
              <w:right w:w="28" w:type="dxa"/>
            </w:tcMar>
            <w:vAlign w:val="center"/>
          </w:tcPr>
          <w:p w:rsidR="003B33D9" w:rsidRPr="00C45AC0" w:rsidRDefault="003B33D9" w:rsidP="001763E1">
            <w:pPr>
              <w:ind w:right="40"/>
              <w:rPr>
                <w:sz w:val="20"/>
                <w:szCs w:val="20"/>
              </w:rPr>
            </w:pPr>
            <w:r w:rsidRPr="00C45AC0">
              <w:rPr>
                <w:sz w:val="20"/>
                <w:szCs w:val="20"/>
              </w:rPr>
              <w:t>Cari açık (yıllık)</w:t>
            </w:r>
          </w:p>
        </w:tc>
        <w:tc>
          <w:tcPr>
            <w:tcW w:w="1362" w:type="dxa"/>
            <w:vAlign w:val="center"/>
          </w:tcPr>
          <w:p w:rsidR="003B33D9" w:rsidRPr="00C45AC0" w:rsidRDefault="003B33D9" w:rsidP="001763E1">
            <w:pPr>
              <w:ind w:right="40"/>
              <w:jc w:val="center"/>
              <w:rPr>
                <w:sz w:val="20"/>
                <w:szCs w:val="20"/>
              </w:rPr>
            </w:pPr>
            <w:r>
              <w:rPr>
                <w:sz w:val="20"/>
                <w:szCs w:val="20"/>
              </w:rPr>
              <w:t>5,4</w:t>
            </w:r>
          </w:p>
        </w:tc>
      </w:tr>
      <w:tr w:rsidR="003B33D9" w:rsidRPr="00C45AC0" w:rsidTr="003B33D9">
        <w:trPr>
          <w:trHeight w:val="583"/>
        </w:trPr>
        <w:tc>
          <w:tcPr>
            <w:tcW w:w="3244" w:type="dxa"/>
            <w:tcMar>
              <w:left w:w="28" w:type="dxa"/>
              <w:right w:w="28" w:type="dxa"/>
            </w:tcMar>
            <w:vAlign w:val="center"/>
          </w:tcPr>
          <w:p w:rsidR="003B33D9" w:rsidRPr="00C45AC0" w:rsidRDefault="003B33D9" w:rsidP="001763E1">
            <w:pPr>
              <w:ind w:right="40"/>
              <w:rPr>
                <w:sz w:val="20"/>
                <w:szCs w:val="20"/>
              </w:rPr>
            </w:pPr>
            <w:r w:rsidRPr="00C45AC0">
              <w:rPr>
                <w:sz w:val="20"/>
                <w:szCs w:val="20"/>
              </w:rPr>
              <w:t>Altın hariç cari açık (yıllık)</w:t>
            </w:r>
          </w:p>
        </w:tc>
        <w:tc>
          <w:tcPr>
            <w:tcW w:w="1362" w:type="dxa"/>
            <w:vAlign w:val="center"/>
          </w:tcPr>
          <w:p w:rsidR="003B33D9" w:rsidRPr="00C45AC0" w:rsidRDefault="0039785D" w:rsidP="0039785D">
            <w:pPr>
              <w:ind w:right="40"/>
              <w:jc w:val="center"/>
              <w:rPr>
                <w:sz w:val="20"/>
                <w:szCs w:val="20"/>
              </w:rPr>
            </w:pPr>
            <w:r>
              <w:rPr>
                <w:sz w:val="20"/>
                <w:szCs w:val="20"/>
              </w:rPr>
              <w:t>5</w:t>
            </w:r>
            <w:r w:rsidR="003B33D9">
              <w:rPr>
                <w:sz w:val="20"/>
                <w:szCs w:val="20"/>
              </w:rPr>
              <w:t>,</w:t>
            </w:r>
            <w:r>
              <w:rPr>
                <w:sz w:val="20"/>
                <w:szCs w:val="20"/>
              </w:rPr>
              <w:t>1</w:t>
            </w:r>
          </w:p>
        </w:tc>
      </w:tr>
    </w:tbl>
    <w:p w:rsidR="00EB408D" w:rsidRPr="00C45AC0" w:rsidRDefault="00EB408D" w:rsidP="00EB408D">
      <w:pPr>
        <w:ind w:left="-360" w:right="40"/>
        <w:rPr>
          <w:sz w:val="4"/>
          <w:szCs w:val="4"/>
        </w:rPr>
      </w:pPr>
    </w:p>
    <w:p w:rsidR="00EB408D" w:rsidRPr="00C45AC0" w:rsidRDefault="00EB408D" w:rsidP="00EB408D">
      <w:pPr>
        <w:ind w:left="-360" w:right="40"/>
        <w:rPr>
          <w:sz w:val="18"/>
          <w:szCs w:val="18"/>
        </w:rPr>
      </w:pPr>
      <w:r w:rsidRPr="00C45AC0">
        <w:rPr>
          <w:sz w:val="18"/>
          <w:szCs w:val="18"/>
        </w:rPr>
        <w:t>Kaynak: Betam. *mea: mevsim ve takvim etkilerinden arındırılmış.  **tea: takvim etkilerinden arındırılmış.</w:t>
      </w:r>
    </w:p>
    <w:p w:rsidR="00EB408D" w:rsidRPr="00C45AC0" w:rsidRDefault="00EB408D" w:rsidP="00EB408D">
      <w:pPr>
        <w:spacing w:line="360" w:lineRule="auto"/>
        <w:ind w:right="42"/>
        <w:rPr>
          <w:b/>
          <w:bCs/>
          <w:sz w:val="22"/>
          <w:szCs w:val="22"/>
        </w:rPr>
      </w:pPr>
    </w:p>
    <w:p w:rsidR="00EB408D" w:rsidRPr="00C45AC0" w:rsidRDefault="00EB408D" w:rsidP="00EB408D">
      <w:pPr>
        <w:ind w:left="-360"/>
        <w:rPr>
          <w:rFonts w:ascii="Arial" w:hAnsi="Arial" w:cs="Arial"/>
          <w:sz w:val="16"/>
          <w:szCs w:val="16"/>
        </w:rPr>
      </w:pPr>
    </w:p>
    <w:p w:rsidR="00EB408D" w:rsidRDefault="00EB408D" w:rsidP="00EB408D">
      <w:pPr>
        <w:spacing w:line="360" w:lineRule="auto"/>
        <w:ind w:left="-360" w:right="42"/>
        <w:jc w:val="center"/>
        <w:rPr>
          <w:b/>
          <w:sz w:val="22"/>
          <w:szCs w:val="22"/>
        </w:rPr>
      </w:pPr>
      <w:r>
        <w:rPr>
          <w:b/>
          <w:sz w:val="22"/>
          <w:szCs w:val="22"/>
        </w:rPr>
        <w:t>İlk çeyrekte iç ve dış talep zayıf</w:t>
      </w:r>
    </w:p>
    <w:p w:rsidR="00EB408D" w:rsidRPr="00C45AC0" w:rsidRDefault="00EB408D" w:rsidP="00EB408D">
      <w:pPr>
        <w:spacing w:line="360" w:lineRule="auto"/>
        <w:ind w:left="-360" w:right="42"/>
        <w:jc w:val="center"/>
        <w:rPr>
          <w:b/>
          <w:sz w:val="22"/>
          <w:szCs w:val="22"/>
        </w:rPr>
      </w:pPr>
    </w:p>
    <w:p w:rsidR="00EB408D" w:rsidRDefault="00EB408D" w:rsidP="00EB408D">
      <w:pPr>
        <w:spacing w:line="360" w:lineRule="auto"/>
        <w:ind w:left="-360" w:right="42"/>
        <w:jc w:val="both"/>
        <w:rPr>
          <w:sz w:val="22"/>
          <w:szCs w:val="22"/>
        </w:rPr>
      </w:pPr>
      <w:r>
        <w:rPr>
          <w:sz w:val="22"/>
          <w:szCs w:val="22"/>
        </w:rPr>
        <w:t xml:space="preserve">Sanayi üretiminde </w:t>
      </w:r>
      <w:r w:rsidR="000E2708">
        <w:rPr>
          <w:sz w:val="22"/>
          <w:szCs w:val="22"/>
        </w:rPr>
        <w:t>dalgalı seyir devam ediyor. Ocak ayındaki 1,2'lik düşüşün ardından endeks Şubat ayında yüzde 1,7 arttı. İki aylık ortalama  2014 son çeyreğe kıyasla ilk çeyrekte sanayi üretiminde yatay seyre işaret ediyor.</w:t>
      </w:r>
      <w:r>
        <w:rPr>
          <w:sz w:val="22"/>
          <w:szCs w:val="22"/>
        </w:rPr>
        <w:t xml:space="preserve"> </w:t>
      </w:r>
      <w:r w:rsidR="000E2708">
        <w:rPr>
          <w:sz w:val="22"/>
          <w:szCs w:val="22"/>
        </w:rPr>
        <w:t xml:space="preserve">Mart ayı sanayi üretimi ilk çeyreği artışla mı yoksa düşüşle mi kapatacağımızı belirleyecek. İhracatta ise nominal rakamlar parite etkisiyle düşerken miktar endeksleri de altın etkisiyle hem Ocak hem de Şubat'ta yükseldi. Ancak altın hariç ihracat miktarının ilk iki ayda yüzde 0,9 oranında düştüğünü </w:t>
      </w:r>
      <w:r w:rsidR="004A3EE9">
        <w:rPr>
          <w:sz w:val="22"/>
          <w:szCs w:val="22"/>
        </w:rPr>
        <w:t>hesaplıyoruz</w:t>
      </w:r>
      <w:r w:rsidR="000E2708">
        <w:rPr>
          <w:sz w:val="22"/>
          <w:szCs w:val="22"/>
        </w:rPr>
        <w:t xml:space="preserve">. </w:t>
      </w:r>
      <w:r>
        <w:rPr>
          <w:sz w:val="22"/>
          <w:szCs w:val="22"/>
        </w:rPr>
        <w:t>İthalat talebi de gerilemeye devam ediyor. İthalattaki gerileme</w:t>
      </w:r>
      <w:r w:rsidR="000E2708">
        <w:rPr>
          <w:sz w:val="22"/>
          <w:szCs w:val="22"/>
        </w:rPr>
        <w:t xml:space="preserve"> </w:t>
      </w:r>
      <w:r w:rsidR="000E2708">
        <w:rPr>
          <w:sz w:val="22"/>
          <w:szCs w:val="22"/>
        </w:rPr>
        <w:lastRenderedPageBreak/>
        <w:t>devam ediyor. Zayıf sanayi üretimi ara malı ithalatını olumsuz etkilerken, tüketim ve yatırım malı ithalatı Ocak-Şubat döneminde artış gösterdi.</w:t>
      </w:r>
    </w:p>
    <w:p w:rsidR="00EB408D" w:rsidRDefault="00EB408D" w:rsidP="00EB408D">
      <w:pPr>
        <w:spacing w:line="360" w:lineRule="auto"/>
        <w:ind w:left="-360" w:right="42"/>
        <w:jc w:val="both"/>
        <w:rPr>
          <w:sz w:val="22"/>
          <w:szCs w:val="22"/>
        </w:rPr>
      </w:pPr>
    </w:p>
    <w:p w:rsidR="00EB408D" w:rsidRDefault="00EB408D" w:rsidP="00EB408D">
      <w:pPr>
        <w:spacing w:line="360" w:lineRule="auto"/>
        <w:ind w:left="-360" w:right="42"/>
        <w:jc w:val="both"/>
        <w:rPr>
          <w:sz w:val="22"/>
          <w:szCs w:val="22"/>
        </w:rPr>
      </w:pPr>
      <w:r>
        <w:rPr>
          <w:sz w:val="22"/>
          <w:szCs w:val="22"/>
        </w:rPr>
        <w:t xml:space="preserve">Tüketim </w:t>
      </w:r>
      <w:r w:rsidR="000E2708">
        <w:rPr>
          <w:sz w:val="22"/>
          <w:szCs w:val="22"/>
        </w:rPr>
        <w:t>ithalatı artarken,</w:t>
      </w:r>
      <w:r>
        <w:rPr>
          <w:sz w:val="22"/>
          <w:szCs w:val="22"/>
        </w:rPr>
        <w:t xml:space="preserve"> otomobil üretim ve sa</w:t>
      </w:r>
      <w:r w:rsidR="000E2708">
        <w:rPr>
          <w:sz w:val="22"/>
          <w:szCs w:val="22"/>
        </w:rPr>
        <w:t>tış rakamları da artmaya devam ediyor. Euro'nun zayıflaması otomobil fiyatlarına olumlu yansıyarak satışları artırdı</w:t>
      </w:r>
      <w:r>
        <w:rPr>
          <w:sz w:val="22"/>
          <w:szCs w:val="22"/>
        </w:rPr>
        <w:t xml:space="preserve">. </w:t>
      </w:r>
      <w:r w:rsidR="0060133B">
        <w:rPr>
          <w:sz w:val="22"/>
          <w:szCs w:val="22"/>
        </w:rPr>
        <w:t>Ancak son 4 aydır düşmekte olan t</w:t>
      </w:r>
      <w:r>
        <w:rPr>
          <w:sz w:val="22"/>
          <w:szCs w:val="22"/>
        </w:rPr>
        <w:t xml:space="preserve">üketici güven endeksi </w:t>
      </w:r>
      <w:r w:rsidR="0060133B">
        <w:rPr>
          <w:sz w:val="22"/>
          <w:szCs w:val="22"/>
        </w:rPr>
        <w:t>Mart ayında yüzde 4,8 oranında gerileyerek 2009 krizinde görülen seviyelere indi</w:t>
      </w:r>
      <w:r>
        <w:rPr>
          <w:sz w:val="22"/>
          <w:szCs w:val="22"/>
        </w:rPr>
        <w:t xml:space="preserve">. Yatırım tarafında ise </w:t>
      </w:r>
      <w:r w:rsidR="002C11F9">
        <w:rPr>
          <w:sz w:val="22"/>
          <w:szCs w:val="22"/>
        </w:rPr>
        <w:t>görünüm</w:t>
      </w:r>
      <w:r>
        <w:rPr>
          <w:sz w:val="22"/>
          <w:szCs w:val="22"/>
        </w:rPr>
        <w:t xml:space="preserve"> </w:t>
      </w:r>
      <w:r w:rsidR="004C2D19">
        <w:rPr>
          <w:sz w:val="22"/>
          <w:szCs w:val="22"/>
        </w:rPr>
        <w:t>nispeten</w:t>
      </w:r>
      <w:r>
        <w:rPr>
          <w:sz w:val="22"/>
          <w:szCs w:val="22"/>
        </w:rPr>
        <w:t xml:space="preserve"> olumlu. Sanayi üretimindeki düşüşe rağmen yatırım malı imalat ve ithalatında artışlar </w:t>
      </w:r>
      <w:r w:rsidR="0060133B">
        <w:rPr>
          <w:sz w:val="22"/>
          <w:szCs w:val="22"/>
        </w:rPr>
        <w:t>devam ediyor</w:t>
      </w:r>
      <w:r>
        <w:rPr>
          <w:sz w:val="22"/>
          <w:szCs w:val="22"/>
        </w:rPr>
        <w:t xml:space="preserve">. </w:t>
      </w:r>
      <w:r w:rsidR="00E236D4">
        <w:rPr>
          <w:sz w:val="22"/>
          <w:szCs w:val="22"/>
        </w:rPr>
        <w:t>Ancak r</w:t>
      </w:r>
      <w:r>
        <w:rPr>
          <w:sz w:val="22"/>
          <w:szCs w:val="22"/>
        </w:rPr>
        <w:t xml:space="preserve">eel kesim güven endeksi </w:t>
      </w:r>
      <w:r w:rsidR="00E236D4">
        <w:rPr>
          <w:sz w:val="22"/>
          <w:szCs w:val="22"/>
        </w:rPr>
        <w:t>de tıpkı tüketici güveni gibi Mart ayında sert düşüş gösterdi.</w:t>
      </w:r>
      <w:r>
        <w:rPr>
          <w:sz w:val="22"/>
          <w:szCs w:val="22"/>
        </w:rPr>
        <w:t xml:space="preserve"> Kamu harcamaları </w:t>
      </w:r>
      <w:r w:rsidR="00E236D4">
        <w:rPr>
          <w:sz w:val="22"/>
          <w:szCs w:val="22"/>
        </w:rPr>
        <w:t>ise</w:t>
      </w:r>
      <w:r>
        <w:rPr>
          <w:sz w:val="22"/>
          <w:szCs w:val="22"/>
        </w:rPr>
        <w:t xml:space="preserve"> </w:t>
      </w:r>
      <w:r w:rsidR="00E236D4">
        <w:rPr>
          <w:sz w:val="22"/>
          <w:szCs w:val="22"/>
        </w:rPr>
        <w:t xml:space="preserve">ılımlı oranda artarak </w:t>
      </w:r>
      <w:r>
        <w:rPr>
          <w:sz w:val="22"/>
          <w:szCs w:val="22"/>
        </w:rPr>
        <w:t>büyümeyi destekl</w:t>
      </w:r>
      <w:r w:rsidR="00E236D4">
        <w:rPr>
          <w:sz w:val="22"/>
          <w:szCs w:val="22"/>
        </w:rPr>
        <w:t>emeye devam ediyor</w:t>
      </w:r>
      <w:r>
        <w:rPr>
          <w:sz w:val="22"/>
          <w:szCs w:val="22"/>
        </w:rPr>
        <w:t>.</w:t>
      </w:r>
    </w:p>
    <w:p w:rsidR="00EB408D" w:rsidRPr="00C45AC0" w:rsidRDefault="00EB408D" w:rsidP="00EB408D">
      <w:pPr>
        <w:spacing w:line="360" w:lineRule="auto"/>
        <w:ind w:left="-360" w:right="42"/>
        <w:jc w:val="both"/>
        <w:rPr>
          <w:sz w:val="22"/>
          <w:szCs w:val="22"/>
        </w:rPr>
      </w:pPr>
    </w:p>
    <w:p w:rsidR="00EB408D" w:rsidRDefault="006511AA" w:rsidP="00EB408D">
      <w:pPr>
        <w:spacing w:line="360" w:lineRule="auto"/>
        <w:ind w:left="-360" w:right="40"/>
        <w:jc w:val="both"/>
        <w:rPr>
          <w:sz w:val="22"/>
          <w:szCs w:val="22"/>
        </w:rPr>
      </w:pPr>
      <w:r>
        <w:rPr>
          <w:sz w:val="22"/>
          <w:szCs w:val="22"/>
        </w:rPr>
        <w:t xml:space="preserve">Şubat ayında üretim verileri ekonomik görünümü desteklerken, Mart ayında sert düşen güven endeksleri önümüzdeki aylar için olumsuz sinyaller verdi. Bu gelişmeler ve 2014 yılı son çeyrek verilerinin de beklentimizin bir miktar üzerinde gelmesiyle </w:t>
      </w:r>
      <w:r w:rsidR="00EB408D">
        <w:rPr>
          <w:sz w:val="22"/>
          <w:szCs w:val="22"/>
        </w:rPr>
        <w:t>Betam</w:t>
      </w:r>
      <w:r>
        <w:rPr>
          <w:sz w:val="22"/>
          <w:szCs w:val="22"/>
        </w:rPr>
        <w:t xml:space="preserve"> ilk çeyreğe ilişkin ilk tahminini yukarı yönlü revize etti. B</w:t>
      </w:r>
      <w:r w:rsidR="00EB408D">
        <w:rPr>
          <w:sz w:val="22"/>
          <w:szCs w:val="22"/>
        </w:rPr>
        <w:t xml:space="preserve">ir önceki çeyreğe kıyasla </w:t>
      </w:r>
      <w:r>
        <w:rPr>
          <w:sz w:val="22"/>
          <w:szCs w:val="22"/>
        </w:rPr>
        <w:t xml:space="preserve">büyüme tahminimizi </w:t>
      </w:r>
      <w:r w:rsidR="00EB408D">
        <w:rPr>
          <w:sz w:val="22"/>
          <w:szCs w:val="22"/>
        </w:rPr>
        <w:t>yüzde 0,2'</w:t>
      </w:r>
      <w:r>
        <w:rPr>
          <w:sz w:val="22"/>
          <w:szCs w:val="22"/>
        </w:rPr>
        <w:t>den 0,4'e revize ediyoruz.</w:t>
      </w:r>
      <w:r w:rsidR="00EB408D">
        <w:rPr>
          <w:sz w:val="22"/>
          <w:szCs w:val="22"/>
        </w:rPr>
        <w:t xml:space="preserve"> </w:t>
      </w:r>
      <w:r w:rsidR="00EB408D" w:rsidRPr="00C45AC0">
        <w:rPr>
          <w:sz w:val="22"/>
          <w:szCs w:val="22"/>
        </w:rPr>
        <w:t xml:space="preserve">Önceki yılın aynı çeyreğine göre </w:t>
      </w:r>
      <w:r>
        <w:rPr>
          <w:sz w:val="22"/>
          <w:szCs w:val="22"/>
        </w:rPr>
        <w:t>ise büyüme</w:t>
      </w:r>
      <w:r w:rsidR="00D06B79">
        <w:rPr>
          <w:sz w:val="22"/>
          <w:szCs w:val="22"/>
        </w:rPr>
        <w:t>nin</w:t>
      </w:r>
      <w:r>
        <w:rPr>
          <w:sz w:val="22"/>
          <w:szCs w:val="22"/>
        </w:rPr>
        <w:t xml:space="preserve"> ise yüzde 1,2 ol</w:t>
      </w:r>
      <w:r w:rsidR="00D06B79">
        <w:rPr>
          <w:sz w:val="22"/>
          <w:szCs w:val="22"/>
        </w:rPr>
        <w:t xml:space="preserve">acağını </w:t>
      </w:r>
      <w:r>
        <w:rPr>
          <w:sz w:val="22"/>
          <w:szCs w:val="22"/>
        </w:rPr>
        <w:t>tahmin ediyoruz.</w:t>
      </w:r>
      <w:r w:rsidR="00EB408D">
        <w:rPr>
          <w:sz w:val="22"/>
          <w:szCs w:val="22"/>
        </w:rPr>
        <w:t xml:space="preserve"> </w:t>
      </w:r>
    </w:p>
    <w:p w:rsidR="00EB408D" w:rsidRDefault="00EB408D" w:rsidP="00EB408D">
      <w:pPr>
        <w:spacing w:line="360" w:lineRule="auto"/>
        <w:ind w:left="-360" w:right="42"/>
        <w:jc w:val="both"/>
        <w:rPr>
          <w:sz w:val="22"/>
          <w:szCs w:val="22"/>
        </w:rPr>
      </w:pPr>
    </w:p>
    <w:p w:rsidR="00EB408D" w:rsidRDefault="006E3B24" w:rsidP="00EB408D">
      <w:pPr>
        <w:spacing w:line="360" w:lineRule="auto"/>
        <w:ind w:left="-360" w:right="42"/>
        <w:jc w:val="center"/>
        <w:rPr>
          <w:b/>
          <w:sz w:val="22"/>
          <w:szCs w:val="22"/>
        </w:rPr>
      </w:pPr>
      <w:r>
        <w:rPr>
          <w:b/>
          <w:sz w:val="22"/>
          <w:szCs w:val="22"/>
        </w:rPr>
        <w:t>Reel sektör paketi ve seçimler</w:t>
      </w:r>
    </w:p>
    <w:p w:rsidR="00E07F02" w:rsidRPr="000056C3" w:rsidRDefault="00E07F02" w:rsidP="00EB408D">
      <w:pPr>
        <w:spacing w:line="360" w:lineRule="auto"/>
        <w:ind w:left="-360" w:right="42"/>
        <w:jc w:val="center"/>
        <w:rPr>
          <w:b/>
          <w:sz w:val="22"/>
          <w:szCs w:val="22"/>
        </w:rPr>
      </w:pPr>
    </w:p>
    <w:p w:rsidR="00AE4BF0" w:rsidRDefault="006E3B24" w:rsidP="00CE382D">
      <w:pPr>
        <w:spacing w:line="360" w:lineRule="auto"/>
        <w:ind w:left="-360" w:right="42"/>
        <w:jc w:val="both"/>
        <w:rPr>
          <w:sz w:val="22"/>
          <w:szCs w:val="22"/>
        </w:rPr>
      </w:pPr>
      <w:r>
        <w:rPr>
          <w:sz w:val="22"/>
          <w:szCs w:val="22"/>
        </w:rPr>
        <w:t xml:space="preserve">2014 yılına dair açıklanan büyüme verileri Türkiye'de düşük büyüme trendinin devam ettiğini teyit etti. Büyüme ağırlıklı olarak tüketim ve </w:t>
      </w:r>
      <w:r>
        <w:rPr>
          <w:sz w:val="22"/>
          <w:szCs w:val="22"/>
        </w:rPr>
        <w:lastRenderedPageBreak/>
        <w:t xml:space="preserve">ihracattaki artıştan kaynaklanırken yatırımlar yine büyümeye sıfıra yakın katkı yaptı. </w:t>
      </w:r>
    </w:p>
    <w:p w:rsidR="00AE4BF0" w:rsidRDefault="00AE4BF0" w:rsidP="00CE382D">
      <w:pPr>
        <w:spacing w:line="360" w:lineRule="auto"/>
        <w:ind w:left="-360" w:right="42"/>
        <w:jc w:val="both"/>
        <w:rPr>
          <w:sz w:val="22"/>
          <w:szCs w:val="22"/>
        </w:rPr>
      </w:pPr>
    </w:p>
    <w:p w:rsidR="00AE4BF0" w:rsidRDefault="006E3B24" w:rsidP="00CE382D">
      <w:pPr>
        <w:spacing w:line="360" w:lineRule="auto"/>
        <w:ind w:left="-360" w:right="42"/>
        <w:jc w:val="both"/>
        <w:rPr>
          <w:sz w:val="22"/>
          <w:szCs w:val="22"/>
        </w:rPr>
      </w:pPr>
      <w:r>
        <w:rPr>
          <w:sz w:val="22"/>
          <w:szCs w:val="22"/>
        </w:rPr>
        <w:t xml:space="preserve">Son 3 senedir yatırımların artmıyor hatta azalıyor oluşu, ve işsizlikteki yukarı yönlü trend hükümeti harekete geçirdi ve başbakan Davutoğlu reel sektöre yönelik bir yatırım teşvik paketi açıkladı. Paketin olumlu ve etkili olacağını düşündüğümüz kısımları </w:t>
      </w:r>
      <w:r w:rsidR="004C2D19">
        <w:rPr>
          <w:sz w:val="22"/>
          <w:szCs w:val="22"/>
        </w:rPr>
        <w:t>gel</w:t>
      </w:r>
      <w:r w:rsidR="00E83CC8">
        <w:rPr>
          <w:sz w:val="22"/>
          <w:szCs w:val="22"/>
        </w:rPr>
        <w:t>i</w:t>
      </w:r>
      <w:r w:rsidR="004C2D19">
        <w:rPr>
          <w:sz w:val="22"/>
          <w:szCs w:val="22"/>
        </w:rPr>
        <w:t>şmiş bölgelere</w:t>
      </w:r>
      <w:r>
        <w:rPr>
          <w:sz w:val="22"/>
          <w:szCs w:val="22"/>
        </w:rPr>
        <w:t xml:space="preserve"> getirilen yatırım teşvikleri ve vadeli ithalatta KKDF'nin kaldırılıyor oluşu. Ayrıca büyüme açısından para politikasının üzerinde baskı kurmak yerine mali politika'nın vergi teşvikleri yoluyla kullanılıyor olması oldukça olumlu. Ancak 3 yıldır yatırımlarda görülen durgunluğu yalnızca teşvik paketiyle gidermek oldukça güç. </w:t>
      </w:r>
    </w:p>
    <w:p w:rsidR="00AE4BF0" w:rsidRDefault="00AE4BF0" w:rsidP="00CE382D">
      <w:pPr>
        <w:spacing w:line="360" w:lineRule="auto"/>
        <w:ind w:left="-360" w:right="42"/>
        <w:jc w:val="both"/>
        <w:rPr>
          <w:sz w:val="22"/>
          <w:szCs w:val="22"/>
        </w:rPr>
      </w:pPr>
    </w:p>
    <w:p w:rsidR="006E3B24" w:rsidRDefault="00AE4BF0" w:rsidP="00CE382D">
      <w:pPr>
        <w:spacing w:line="360" w:lineRule="auto"/>
        <w:ind w:left="-360" w:right="42"/>
        <w:jc w:val="both"/>
        <w:rPr>
          <w:sz w:val="22"/>
          <w:szCs w:val="22"/>
        </w:rPr>
      </w:pPr>
      <w:r>
        <w:rPr>
          <w:sz w:val="22"/>
          <w:szCs w:val="22"/>
        </w:rPr>
        <w:t>Çeşitli hükümet plan ve programlarında söz verilen y</w:t>
      </w:r>
      <w:r w:rsidR="006E3B24">
        <w:rPr>
          <w:sz w:val="22"/>
          <w:szCs w:val="22"/>
        </w:rPr>
        <w:t>apısal reformlar</w:t>
      </w:r>
      <w:r>
        <w:rPr>
          <w:sz w:val="22"/>
          <w:szCs w:val="22"/>
        </w:rPr>
        <w:t>ın uzun zamandır gerçekleştirilememiş olması</w:t>
      </w:r>
      <w:r w:rsidR="006E3B24">
        <w:rPr>
          <w:sz w:val="22"/>
          <w:szCs w:val="22"/>
        </w:rPr>
        <w:t xml:space="preserve"> </w:t>
      </w:r>
      <w:r>
        <w:rPr>
          <w:sz w:val="22"/>
          <w:szCs w:val="22"/>
        </w:rPr>
        <w:t>ekonomide verimlilik ve rekabet sorunlarını ön plana çıkararak beklentiler üzerinde olumsuz etki yapmaya devam ediyor. Bu temel sorun ortadan kalkmadan, diğer bir değişle</w:t>
      </w:r>
      <w:r w:rsidR="00512E41">
        <w:rPr>
          <w:sz w:val="22"/>
          <w:szCs w:val="22"/>
        </w:rPr>
        <w:t>,</w:t>
      </w:r>
      <w:r>
        <w:rPr>
          <w:sz w:val="22"/>
          <w:szCs w:val="22"/>
        </w:rPr>
        <w:t xml:space="preserve"> hükümet reform ajandasının inandırıcılığını yeniden sağlamadan, yatırımlarda büyük bir canlanmanın olmasını beklemek mümkün değil. Seçim yaklaşırken hükümetin bu inandırıcılığı sağlaması oldukça zor. Ayrıca başkanlık sistemi etrafında oluşan belirsizliğin seçimler sona erdikten sonra devam etme riski de var. Bu nedenlerle açıklanan paketin etkilerinin yılın ilk yarısında oldukça sınırlı </w:t>
      </w:r>
      <w:r w:rsidR="00A25F93">
        <w:rPr>
          <w:sz w:val="22"/>
          <w:szCs w:val="22"/>
        </w:rPr>
        <w:t>kalacağına inanıyoruz.</w:t>
      </w:r>
    </w:p>
    <w:p w:rsidR="00A25F93" w:rsidRDefault="00A25F93" w:rsidP="00CE382D">
      <w:pPr>
        <w:spacing w:line="360" w:lineRule="auto"/>
        <w:ind w:left="-360" w:right="42"/>
        <w:jc w:val="both"/>
        <w:rPr>
          <w:sz w:val="22"/>
          <w:szCs w:val="22"/>
        </w:rPr>
      </w:pPr>
    </w:p>
    <w:p w:rsidR="006E3B24" w:rsidRDefault="00A25F93" w:rsidP="00CE382D">
      <w:pPr>
        <w:spacing w:line="360" w:lineRule="auto"/>
        <w:ind w:left="-360" w:right="42"/>
        <w:jc w:val="both"/>
        <w:rPr>
          <w:sz w:val="22"/>
          <w:szCs w:val="22"/>
        </w:rPr>
      </w:pPr>
      <w:r>
        <w:rPr>
          <w:sz w:val="22"/>
          <w:szCs w:val="22"/>
        </w:rPr>
        <w:t xml:space="preserve">Yılın ikinci yarısına ise yurtdışı kaynaklı belirsizlikler damgasını vuruyor. Amerikan Merkez Bankası FED'in yıl içerisinde ne zaman </w:t>
      </w:r>
      <w:r>
        <w:rPr>
          <w:sz w:val="22"/>
          <w:szCs w:val="22"/>
        </w:rPr>
        <w:lastRenderedPageBreak/>
        <w:t xml:space="preserve">faiz artıracağı hala belirsiz. Avrupa'da ise miktarsal genişlemenin büyümeye üzerindeki etkili olup olmayacağı tartışma konusu. Tüm bu belirsizlikler yıl sonu büyümesi için aşağı yönlü risk oluşturuyor. </w:t>
      </w:r>
    </w:p>
    <w:p w:rsidR="00D06B79" w:rsidRPr="00C45AC0" w:rsidRDefault="006E3B24" w:rsidP="00CE382D">
      <w:pPr>
        <w:spacing w:line="360" w:lineRule="auto"/>
        <w:ind w:left="-360" w:right="42"/>
        <w:jc w:val="both"/>
        <w:rPr>
          <w:sz w:val="22"/>
          <w:szCs w:val="22"/>
        </w:rPr>
      </w:pPr>
      <w:r>
        <w:rPr>
          <w:sz w:val="22"/>
          <w:szCs w:val="22"/>
        </w:rPr>
        <w:t xml:space="preserve"> </w:t>
      </w:r>
    </w:p>
    <w:p w:rsidR="00197085" w:rsidRDefault="00197085" w:rsidP="00197085">
      <w:pPr>
        <w:spacing w:line="360" w:lineRule="auto"/>
        <w:ind w:left="-360" w:right="42"/>
        <w:jc w:val="center"/>
        <w:rPr>
          <w:b/>
          <w:bCs/>
          <w:sz w:val="22"/>
          <w:szCs w:val="22"/>
        </w:rPr>
      </w:pPr>
      <w:r>
        <w:rPr>
          <w:b/>
          <w:bCs/>
          <w:sz w:val="22"/>
          <w:szCs w:val="22"/>
        </w:rPr>
        <w:t>Tüketici güveni 6 aydır azalıyor</w:t>
      </w:r>
    </w:p>
    <w:p w:rsidR="00197085" w:rsidRPr="007F160B" w:rsidRDefault="00197085" w:rsidP="00197085">
      <w:pPr>
        <w:spacing w:line="360" w:lineRule="auto"/>
        <w:ind w:left="-360" w:right="42"/>
        <w:jc w:val="center"/>
        <w:rPr>
          <w:b/>
          <w:bCs/>
          <w:sz w:val="22"/>
          <w:szCs w:val="22"/>
        </w:rPr>
      </w:pPr>
    </w:p>
    <w:p w:rsidR="00197085" w:rsidRDefault="00197085" w:rsidP="00197085">
      <w:pPr>
        <w:spacing w:line="360" w:lineRule="auto"/>
        <w:ind w:left="-360" w:right="42"/>
        <w:jc w:val="both"/>
        <w:rPr>
          <w:sz w:val="22"/>
          <w:szCs w:val="22"/>
        </w:rPr>
      </w:pPr>
      <w:r>
        <w:rPr>
          <w:sz w:val="22"/>
          <w:szCs w:val="22"/>
        </w:rPr>
        <w:t xml:space="preserve">Ocak </w:t>
      </w:r>
      <w:r w:rsidRPr="00997A4D">
        <w:rPr>
          <w:sz w:val="22"/>
          <w:szCs w:val="22"/>
        </w:rPr>
        <w:t>ayında bir önceki aya göre tüketim malı ithalatı</w:t>
      </w:r>
      <w:r>
        <w:rPr>
          <w:sz w:val="22"/>
          <w:szCs w:val="22"/>
        </w:rPr>
        <w:t>,</w:t>
      </w:r>
      <w:r w:rsidRPr="00997A4D">
        <w:rPr>
          <w:sz w:val="22"/>
          <w:szCs w:val="22"/>
        </w:rPr>
        <w:t xml:space="preserve"> dayanık</w:t>
      </w:r>
      <w:r>
        <w:rPr>
          <w:sz w:val="22"/>
          <w:szCs w:val="22"/>
        </w:rPr>
        <w:t>lı</w:t>
      </w:r>
      <w:r w:rsidRPr="00997A4D">
        <w:rPr>
          <w:sz w:val="22"/>
          <w:szCs w:val="22"/>
        </w:rPr>
        <w:t xml:space="preserve"> tüketim malı imalatı</w:t>
      </w:r>
      <w:r>
        <w:rPr>
          <w:sz w:val="22"/>
          <w:szCs w:val="22"/>
        </w:rPr>
        <w:t xml:space="preserve"> ve dayanıksız tüketim malı imalatı</w:t>
      </w:r>
      <w:r w:rsidRPr="00997A4D">
        <w:rPr>
          <w:sz w:val="22"/>
          <w:szCs w:val="22"/>
        </w:rPr>
        <w:t xml:space="preserve"> sırasıyla yüzde </w:t>
      </w:r>
      <w:r>
        <w:rPr>
          <w:sz w:val="22"/>
          <w:szCs w:val="22"/>
        </w:rPr>
        <w:t>5,4, yüzde 6,6 ve</w:t>
      </w:r>
      <w:r w:rsidRPr="00997A4D">
        <w:rPr>
          <w:sz w:val="22"/>
          <w:szCs w:val="22"/>
        </w:rPr>
        <w:t xml:space="preserve"> </w:t>
      </w:r>
      <w:r>
        <w:rPr>
          <w:sz w:val="22"/>
          <w:szCs w:val="22"/>
        </w:rPr>
        <w:t>yüzde 2,3 arttı. Tüketici güven endeksi ise uzun zamandır a</w:t>
      </w:r>
      <w:r w:rsidR="00592358">
        <w:rPr>
          <w:sz w:val="22"/>
          <w:szCs w:val="22"/>
        </w:rPr>
        <w:t>zalma</w:t>
      </w:r>
      <w:r>
        <w:rPr>
          <w:sz w:val="22"/>
          <w:szCs w:val="22"/>
        </w:rPr>
        <w:t xml:space="preserve"> eğiliminde. En son Şubat ayında yüzde 4,8 daha azaldı. Özel tüketim vergisi gelirleri ise Şubat ayında yüzde 0,4 arttı. Bu verilere göre 2015'in ilk çeyreğinde özel tüketimde sınırlı bir artış bekliyoruz.</w:t>
      </w:r>
    </w:p>
    <w:p w:rsidR="00197085" w:rsidRDefault="00197085" w:rsidP="00197085">
      <w:pPr>
        <w:spacing w:line="360" w:lineRule="auto"/>
        <w:ind w:left="-360" w:right="42"/>
        <w:jc w:val="both"/>
        <w:rPr>
          <w:b/>
          <w:bCs/>
          <w:sz w:val="22"/>
          <w:szCs w:val="22"/>
        </w:rPr>
      </w:pPr>
    </w:p>
    <w:p w:rsidR="00197085" w:rsidRDefault="00197085" w:rsidP="00197085">
      <w:pPr>
        <w:spacing w:line="360" w:lineRule="auto"/>
        <w:ind w:left="-360" w:right="42"/>
        <w:jc w:val="center"/>
        <w:rPr>
          <w:b/>
          <w:bCs/>
          <w:sz w:val="22"/>
          <w:szCs w:val="22"/>
        </w:rPr>
      </w:pPr>
      <w:r>
        <w:rPr>
          <w:b/>
          <w:bCs/>
          <w:sz w:val="22"/>
          <w:szCs w:val="22"/>
        </w:rPr>
        <w:t>Özel yatırımda durgunluk devam ediyor</w:t>
      </w:r>
    </w:p>
    <w:p w:rsidR="00197085" w:rsidRPr="007F160B" w:rsidRDefault="00197085" w:rsidP="00197085">
      <w:pPr>
        <w:spacing w:line="360" w:lineRule="auto"/>
        <w:ind w:left="-360" w:right="42"/>
        <w:jc w:val="center"/>
        <w:rPr>
          <w:b/>
          <w:bCs/>
          <w:sz w:val="22"/>
          <w:szCs w:val="22"/>
        </w:rPr>
      </w:pPr>
      <w:bookmarkStart w:id="0" w:name="_GoBack"/>
      <w:bookmarkEnd w:id="0"/>
    </w:p>
    <w:p w:rsidR="00197085" w:rsidRDefault="00197085" w:rsidP="00197085">
      <w:pPr>
        <w:spacing w:line="360" w:lineRule="auto"/>
        <w:ind w:left="-360" w:right="42"/>
        <w:jc w:val="both"/>
        <w:rPr>
          <w:bCs/>
          <w:sz w:val="22"/>
          <w:szCs w:val="22"/>
        </w:rPr>
      </w:pPr>
      <w:r>
        <w:rPr>
          <w:bCs/>
          <w:sz w:val="22"/>
          <w:szCs w:val="22"/>
        </w:rPr>
        <w:t>Ocak ayında bir önceki aya göre yatırım malı imalatı ve SÜE sırasıyla yüzde 1,0 ve yüzde 1,7 arttı. Yatırım malı ithalatı ise aynı dönemde yüzde 7,4 azaldı. Reel kesim güven endeksi de Şubat ayındaki düş</w:t>
      </w:r>
      <w:r w:rsidR="00592358">
        <w:rPr>
          <w:bCs/>
          <w:sz w:val="22"/>
          <w:szCs w:val="22"/>
        </w:rPr>
        <w:t>üş</w:t>
      </w:r>
      <w:r>
        <w:rPr>
          <w:bCs/>
          <w:sz w:val="22"/>
          <w:szCs w:val="22"/>
        </w:rPr>
        <w:t>ün ardından, Mart ayında da yüzde 3,0</w:t>
      </w:r>
      <w:r w:rsidR="00592358">
        <w:rPr>
          <w:bCs/>
          <w:sz w:val="22"/>
          <w:szCs w:val="22"/>
        </w:rPr>
        <w:t xml:space="preserve"> azaldı</w:t>
      </w:r>
      <w:r>
        <w:rPr>
          <w:bCs/>
          <w:sz w:val="22"/>
          <w:szCs w:val="22"/>
        </w:rPr>
        <w:t>. Genel olarak 2015'in ilk çeyreğinde özel yatırımların yatay seyretmesini bekliyoruz.</w:t>
      </w:r>
    </w:p>
    <w:p w:rsidR="00197085" w:rsidRDefault="00197085" w:rsidP="00197085">
      <w:pPr>
        <w:spacing w:line="360" w:lineRule="auto"/>
        <w:ind w:left="-360" w:right="43"/>
        <w:jc w:val="center"/>
        <w:rPr>
          <w:b/>
          <w:bCs/>
          <w:sz w:val="22"/>
          <w:szCs w:val="22"/>
        </w:rPr>
      </w:pPr>
    </w:p>
    <w:p w:rsidR="00197085" w:rsidRDefault="00197085" w:rsidP="00197085">
      <w:pPr>
        <w:spacing w:line="360" w:lineRule="auto"/>
        <w:ind w:left="-360" w:right="43"/>
        <w:jc w:val="center"/>
        <w:rPr>
          <w:b/>
          <w:bCs/>
          <w:sz w:val="22"/>
          <w:szCs w:val="22"/>
        </w:rPr>
      </w:pPr>
      <w:r>
        <w:rPr>
          <w:b/>
          <w:bCs/>
          <w:sz w:val="22"/>
          <w:szCs w:val="22"/>
        </w:rPr>
        <w:t>İlk çeyrekte n</w:t>
      </w:r>
      <w:r w:rsidRPr="00C45AC0">
        <w:rPr>
          <w:b/>
          <w:bCs/>
          <w:sz w:val="22"/>
          <w:szCs w:val="22"/>
        </w:rPr>
        <w:t xml:space="preserve">et ihracat </w:t>
      </w:r>
      <w:r>
        <w:rPr>
          <w:b/>
          <w:bCs/>
          <w:sz w:val="22"/>
          <w:szCs w:val="22"/>
        </w:rPr>
        <w:t>pozitifte</w:t>
      </w:r>
    </w:p>
    <w:p w:rsidR="00197085" w:rsidRPr="00C45AC0" w:rsidRDefault="00197085" w:rsidP="00197085">
      <w:pPr>
        <w:spacing w:line="360" w:lineRule="auto"/>
        <w:ind w:left="-360" w:right="43"/>
        <w:jc w:val="center"/>
        <w:rPr>
          <w:b/>
          <w:bCs/>
          <w:sz w:val="22"/>
          <w:szCs w:val="22"/>
        </w:rPr>
      </w:pPr>
    </w:p>
    <w:p w:rsidR="00197085" w:rsidRDefault="00197085" w:rsidP="00197085">
      <w:pPr>
        <w:spacing w:line="360" w:lineRule="auto"/>
        <w:ind w:left="-360" w:right="43"/>
        <w:jc w:val="both"/>
        <w:rPr>
          <w:sz w:val="22"/>
          <w:szCs w:val="22"/>
        </w:rPr>
      </w:pPr>
      <w:r w:rsidRPr="00C45AC0">
        <w:rPr>
          <w:sz w:val="22"/>
          <w:szCs w:val="22"/>
        </w:rPr>
        <w:t xml:space="preserve">Şekil 2 TÜİK’in açıkladığı mevsim ve takvim etkisinden arındırılmış ihracat ve ithalat miktar endekslerini gösteriyor. </w:t>
      </w:r>
      <w:r>
        <w:rPr>
          <w:sz w:val="22"/>
          <w:szCs w:val="22"/>
        </w:rPr>
        <w:t>Şubat</w:t>
      </w:r>
      <w:r w:rsidRPr="00C45AC0">
        <w:rPr>
          <w:sz w:val="22"/>
          <w:szCs w:val="22"/>
        </w:rPr>
        <w:t xml:space="preserve"> ayında bir önceki aya göre ihracat miktar endeksi</w:t>
      </w:r>
      <w:r>
        <w:rPr>
          <w:sz w:val="22"/>
          <w:szCs w:val="22"/>
        </w:rPr>
        <w:t xml:space="preserve"> yüzde 1,7 azalırken,</w:t>
      </w:r>
      <w:r w:rsidRPr="00C45AC0">
        <w:rPr>
          <w:sz w:val="22"/>
          <w:szCs w:val="22"/>
        </w:rPr>
        <w:t xml:space="preserve"> ithalat miktar endeksi yüzde </w:t>
      </w:r>
      <w:r>
        <w:rPr>
          <w:sz w:val="22"/>
          <w:szCs w:val="22"/>
        </w:rPr>
        <w:t>2,4</w:t>
      </w:r>
      <w:r w:rsidRPr="00C45AC0">
        <w:rPr>
          <w:sz w:val="22"/>
          <w:szCs w:val="22"/>
        </w:rPr>
        <w:t xml:space="preserve"> </w:t>
      </w:r>
      <w:r>
        <w:rPr>
          <w:sz w:val="22"/>
          <w:szCs w:val="22"/>
        </w:rPr>
        <w:t>arttı</w:t>
      </w:r>
      <w:r w:rsidRPr="00C45AC0">
        <w:rPr>
          <w:sz w:val="22"/>
          <w:szCs w:val="22"/>
        </w:rPr>
        <w:t xml:space="preserve">. </w:t>
      </w:r>
      <w:r w:rsidRPr="00C45AC0">
        <w:rPr>
          <w:sz w:val="22"/>
          <w:szCs w:val="22"/>
        </w:rPr>
        <w:lastRenderedPageBreak/>
        <w:t>Aynı dönemde altın hariç reel ihracat</w:t>
      </w:r>
      <w:r w:rsidRPr="00C45AC0">
        <w:rPr>
          <w:rStyle w:val="FootnoteReference"/>
          <w:sz w:val="22"/>
          <w:szCs w:val="22"/>
        </w:rPr>
        <w:footnoteReference w:id="1"/>
      </w:r>
      <w:r w:rsidRPr="00C45AC0">
        <w:rPr>
          <w:sz w:val="22"/>
          <w:szCs w:val="22"/>
        </w:rPr>
        <w:t xml:space="preserve"> </w:t>
      </w:r>
      <w:r>
        <w:rPr>
          <w:sz w:val="22"/>
          <w:szCs w:val="22"/>
        </w:rPr>
        <w:t xml:space="preserve">yüzde 2,3 azalırken, ithalat ise yüzde 3,5 arttı. Ocak ve Şubat ayı verileri </w:t>
      </w:r>
      <w:r w:rsidR="00592358">
        <w:rPr>
          <w:sz w:val="22"/>
          <w:szCs w:val="22"/>
        </w:rPr>
        <w:t>toplu olarak dikkate alındığında</w:t>
      </w:r>
      <w:r>
        <w:rPr>
          <w:sz w:val="22"/>
          <w:szCs w:val="22"/>
        </w:rPr>
        <w:t xml:space="preserve"> 2015 ilk çeyreğinde net ihracatın büyüme pozitif katkı yapmasını bekliyoruz.</w:t>
      </w:r>
    </w:p>
    <w:p w:rsidR="00EB408D" w:rsidRDefault="00EB408D" w:rsidP="0002037B">
      <w:pPr>
        <w:spacing w:line="360" w:lineRule="auto"/>
        <w:ind w:left="-360" w:right="43"/>
        <w:jc w:val="both"/>
        <w:rPr>
          <w:sz w:val="22"/>
          <w:szCs w:val="22"/>
        </w:rPr>
      </w:pPr>
    </w:p>
    <w:p w:rsidR="00EB408D" w:rsidRPr="00C45AC0" w:rsidRDefault="00EB408D" w:rsidP="00EB408D">
      <w:pPr>
        <w:spacing w:line="360" w:lineRule="auto"/>
        <w:ind w:left="-360" w:right="43"/>
        <w:jc w:val="center"/>
        <w:rPr>
          <w:b/>
          <w:bCs/>
          <w:sz w:val="22"/>
          <w:szCs w:val="22"/>
        </w:rPr>
      </w:pPr>
      <w:r>
        <w:rPr>
          <w:b/>
          <w:bCs/>
          <w:sz w:val="22"/>
          <w:szCs w:val="22"/>
        </w:rPr>
        <w:t>Cari açık düşmeye devam ediyor</w:t>
      </w:r>
    </w:p>
    <w:p w:rsidR="00EB408D" w:rsidRDefault="00EB408D" w:rsidP="00EB408D">
      <w:pPr>
        <w:spacing w:line="360" w:lineRule="auto"/>
        <w:ind w:left="-360" w:right="43"/>
        <w:jc w:val="both"/>
        <w:rPr>
          <w:sz w:val="22"/>
          <w:szCs w:val="22"/>
        </w:rPr>
      </w:pPr>
    </w:p>
    <w:p w:rsidR="00EB408D" w:rsidRPr="00C45AC0" w:rsidRDefault="00673A3D" w:rsidP="00EB408D">
      <w:pPr>
        <w:spacing w:line="360" w:lineRule="auto"/>
        <w:ind w:left="-360" w:right="40"/>
        <w:jc w:val="both"/>
        <w:rPr>
          <w:sz w:val="22"/>
          <w:szCs w:val="22"/>
        </w:rPr>
      </w:pPr>
      <w:r>
        <w:rPr>
          <w:sz w:val="22"/>
          <w:szCs w:val="22"/>
        </w:rPr>
        <w:t>Şubat</w:t>
      </w:r>
      <w:r w:rsidR="00EB408D">
        <w:rPr>
          <w:sz w:val="22"/>
          <w:szCs w:val="22"/>
        </w:rPr>
        <w:t xml:space="preserve"> ayında cari açık </w:t>
      </w:r>
      <w:r>
        <w:rPr>
          <w:sz w:val="22"/>
          <w:szCs w:val="22"/>
        </w:rPr>
        <w:t>3,</w:t>
      </w:r>
      <w:r w:rsidR="00EB408D">
        <w:rPr>
          <w:sz w:val="22"/>
          <w:szCs w:val="22"/>
        </w:rPr>
        <w:t>2 milyar dolar olarak gerçekleşti</w:t>
      </w:r>
      <w:r w:rsidR="00EB408D" w:rsidRPr="00C45AC0">
        <w:rPr>
          <w:sz w:val="22"/>
          <w:szCs w:val="22"/>
        </w:rPr>
        <w:t>.</w:t>
      </w:r>
      <w:r w:rsidR="00EB408D">
        <w:rPr>
          <w:sz w:val="22"/>
          <w:szCs w:val="22"/>
        </w:rPr>
        <w:t xml:space="preserve"> 12 aylık cari açık 4</w:t>
      </w:r>
      <w:r>
        <w:rPr>
          <w:sz w:val="22"/>
          <w:szCs w:val="22"/>
        </w:rPr>
        <w:t>3 milyar dolardan</w:t>
      </w:r>
      <w:r w:rsidR="00EB408D">
        <w:rPr>
          <w:sz w:val="22"/>
          <w:szCs w:val="22"/>
        </w:rPr>
        <w:t xml:space="preserve"> 42,</w:t>
      </w:r>
      <w:r>
        <w:rPr>
          <w:sz w:val="22"/>
          <w:szCs w:val="22"/>
        </w:rPr>
        <w:t>8</w:t>
      </w:r>
      <w:r w:rsidR="00EB408D">
        <w:rPr>
          <w:sz w:val="22"/>
          <w:szCs w:val="22"/>
        </w:rPr>
        <w:t xml:space="preserve"> milyar dolara </w:t>
      </w:r>
      <w:r w:rsidR="00592358">
        <w:rPr>
          <w:sz w:val="22"/>
          <w:szCs w:val="22"/>
        </w:rPr>
        <w:t>geriledi</w:t>
      </w:r>
      <w:r w:rsidR="00EB408D">
        <w:rPr>
          <w:sz w:val="22"/>
          <w:szCs w:val="22"/>
        </w:rPr>
        <w:t>. Ocak</w:t>
      </w:r>
      <w:r>
        <w:rPr>
          <w:sz w:val="22"/>
          <w:szCs w:val="22"/>
        </w:rPr>
        <w:t>-Şubat</w:t>
      </w:r>
      <w:r w:rsidR="00EB408D">
        <w:rPr>
          <w:sz w:val="22"/>
          <w:szCs w:val="22"/>
        </w:rPr>
        <w:t xml:space="preserve"> ay</w:t>
      </w:r>
      <w:r>
        <w:rPr>
          <w:sz w:val="22"/>
          <w:szCs w:val="22"/>
        </w:rPr>
        <w:t>lar</w:t>
      </w:r>
      <w:r w:rsidR="00EB408D">
        <w:rPr>
          <w:sz w:val="22"/>
          <w:szCs w:val="22"/>
        </w:rPr>
        <w:t>ında</w:t>
      </w:r>
      <w:r>
        <w:rPr>
          <w:sz w:val="22"/>
          <w:szCs w:val="22"/>
        </w:rPr>
        <w:t xml:space="preserve"> toplam</w:t>
      </w:r>
      <w:r w:rsidR="00EB408D">
        <w:rPr>
          <w:sz w:val="22"/>
          <w:szCs w:val="22"/>
        </w:rPr>
        <w:t xml:space="preserve"> </w:t>
      </w:r>
      <w:r w:rsidR="00381CA9">
        <w:rPr>
          <w:sz w:val="22"/>
          <w:szCs w:val="22"/>
        </w:rPr>
        <w:t>3</w:t>
      </w:r>
      <w:r w:rsidR="00EB408D">
        <w:rPr>
          <w:sz w:val="22"/>
          <w:szCs w:val="22"/>
        </w:rPr>
        <w:t xml:space="preserve"> milyar dolar net altın ihracatı gerçekleş</w:t>
      </w:r>
      <w:r w:rsidR="00592358">
        <w:rPr>
          <w:sz w:val="22"/>
          <w:szCs w:val="22"/>
        </w:rPr>
        <w:t>irken</w:t>
      </w:r>
      <w:r w:rsidR="00EB408D">
        <w:rPr>
          <w:sz w:val="22"/>
          <w:szCs w:val="22"/>
        </w:rPr>
        <w:t xml:space="preserve"> </w:t>
      </w:r>
      <w:r w:rsidR="00381CA9">
        <w:rPr>
          <w:sz w:val="22"/>
          <w:szCs w:val="22"/>
        </w:rPr>
        <w:t>12 aylık a</w:t>
      </w:r>
      <w:r w:rsidR="00EB408D">
        <w:rPr>
          <w:sz w:val="22"/>
          <w:szCs w:val="22"/>
        </w:rPr>
        <w:t xml:space="preserve">ltın hariç cari açık </w:t>
      </w:r>
      <w:r w:rsidR="00381CA9">
        <w:rPr>
          <w:sz w:val="22"/>
          <w:szCs w:val="22"/>
        </w:rPr>
        <w:t>40,3 milyar dolardan 41,1 milyar dolara yükseldi.</w:t>
      </w:r>
      <w:r w:rsidR="00EB408D">
        <w:rPr>
          <w:sz w:val="22"/>
          <w:szCs w:val="22"/>
        </w:rPr>
        <w:t xml:space="preserve"> </w:t>
      </w:r>
      <w:r w:rsidR="00EB408D" w:rsidRPr="00C45AC0">
        <w:rPr>
          <w:sz w:val="22"/>
          <w:szCs w:val="22"/>
        </w:rPr>
        <w:t>Cari açığın GSYH’a oranı</w:t>
      </w:r>
      <w:r w:rsidR="00EB408D">
        <w:rPr>
          <w:sz w:val="22"/>
          <w:szCs w:val="22"/>
        </w:rPr>
        <w:t>nın</w:t>
      </w:r>
      <w:r w:rsidR="00EB408D" w:rsidRPr="00C45AC0">
        <w:rPr>
          <w:sz w:val="22"/>
          <w:szCs w:val="22"/>
        </w:rPr>
        <w:t xml:space="preserve"> </w:t>
      </w:r>
      <w:r w:rsidR="00EB408D">
        <w:rPr>
          <w:sz w:val="22"/>
          <w:szCs w:val="22"/>
        </w:rPr>
        <w:t>yıl</w:t>
      </w:r>
      <w:r w:rsidR="00EB408D" w:rsidRPr="00C45AC0">
        <w:rPr>
          <w:sz w:val="22"/>
          <w:szCs w:val="22"/>
        </w:rPr>
        <w:t xml:space="preserve"> sonunda yüzde 5,</w:t>
      </w:r>
      <w:r w:rsidR="00BA2D15">
        <w:rPr>
          <w:sz w:val="22"/>
          <w:szCs w:val="22"/>
        </w:rPr>
        <w:t>7</w:t>
      </w:r>
      <w:r w:rsidR="00EB408D" w:rsidRPr="00C45AC0">
        <w:rPr>
          <w:sz w:val="22"/>
          <w:szCs w:val="22"/>
        </w:rPr>
        <w:t>'</w:t>
      </w:r>
      <w:r w:rsidR="00EB408D">
        <w:rPr>
          <w:sz w:val="22"/>
          <w:szCs w:val="22"/>
        </w:rPr>
        <w:t>den ilk çeyrekte yüzde 5,4'e</w:t>
      </w:r>
      <w:r w:rsidR="00EB408D" w:rsidRPr="00C45AC0">
        <w:rPr>
          <w:sz w:val="22"/>
          <w:szCs w:val="22"/>
        </w:rPr>
        <w:t xml:space="preserve"> düşmesini bekliyoruz.</w:t>
      </w:r>
      <w:r w:rsidR="00BA2D15">
        <w:rPr>
          <w:sz w:val="22"/>
          <w:szCs w:val="22"/>
        </w:rPr>
        <w:t xml:space="preserve"> altın hariç cari açığın ise yüzde 5,1 olacağını tahmin ediyoruz.</w:t>
      </w:r>
      <w:r w:rsidR="00EB408D">
        <w:rPr>
          <w:sz w:val="22"/>
          <w:szCs w:val="22"/>
        </w:rPr>
        <w:t xml:space="preserve"> </w:t>
      </w:r>
    </w:p>
    <w:p w:rsidR="00EB408D" w:rsidRPr="00AD1A46" w:rsidRDefault="00EB408D" w:rsidP="0002037B">
      <w:pPr>
        <w:spacing w:line="360" w:lineRule="auto"/>
        <w:ind w:left="-360" w:right="43"/>
        <w:jc w:val="both"/>
        <w:rPr>
          <w:sz w:val="22"/>
          <w:szCs w:val="22"/>
        </w:rPr>
      </w:pPr>
    </w:p>
    <w:p w:rsidR="00FD47F7" w:rsidRDefault="00FD47F7" w:rsidP="00407480">
      <w:pPr>
        <w:spacing w:line="360" w:lineRule="auto"/>
        <w:ind w:left="-360" w:right="43"/>
        <w:jc w:val="center"/>
        <w:rPr>
          <w:b/>
          <w:bCs/>
          <w:sz w:val="22"/>
          <w:szCs w:val="22"/>
        </w:rPr>
      </w:pPr>
    </w:p>
    <w:p w:rsidR="007F160B" w:rsidRDefault="007F160B" w:rsidP="00603888">
      <w:pPr>
        <w:spacing w:line="360" w:lineRule="auto"/>
        <w:ind w:left="-360" w:right="43"/>
        <w:jc w:val="both"/>
        <w:rPr>
          <w:sz w:val="22"/>
          <w:szCs w:val="22"/>
        </w:rPr>
      </w:pPr>
    </w:p>
    <w:p w:rsidR="007F160B" w:rsidRDefault="007F160B" w:rsidP="00603888">
      <w:pPr>
        <w:spacing w:line="360" w:lineRule="auto"/>
        <w:ind w:left="-360" w:right="43"/>
        <w:jc w:val="both"/>
        <w:rPr>
          <w:sz w:val="22"/>
          <w:szCs w:val="22"/>
        </w:rPr>
      </w:pPr>
    </w:p>
    <w:p w:rsidR="00C76E90" w:rsidRDefault="00C76E90" w:rsidP="00603888">
      <w:pPr>
        <w:spacing w:line="360" w:lineRule="auto"/>
        <w:ind w:left="-360" w:right="43"/>
        <w:jc w:val="both"/>
        <w:rPr>
          <w:sz w:val="22"/>
          <w:szCs w:val="22"/>
        </w:rPr>
      </w:pPr>
    </w:p>
    <w:p w:rsidR="00775D69" w:rsidRPr="00C45AC0" w:rsidRDefault="00775D69" w:rsidP="00603888">
      <w:pPr>
        <w:spacing w:line="360" w:lineRule="auto"/>
        <w:ind w:left="-360" w:right="43"/>
        <w:jc w:val="both"/>
        <w:rPr>
          <w:sz w:val="22"/>
          <w:szCs w:val="22"/>
        </w:rPr>
        <w:sectPr w:rsidR="00775D69" w:rsidRPr="00C45AC0" w:rsidSect="00EF12B8">
          <w:footerReference w:type="default" r:id="rId13"/>
          <w:type w:val="continuous"/>
          <w:pgSz w:w="11906" w:h="16838"/>
          <w:pgMar w:top="1417" w:right="1417" w:bottom="1417" w:left="1417" w:header="708" w:footer="708" w:gutter="0"/>
          <w:cols w:num="2" w:space="708"/>
          <w:docGrid w:linePitch="360"/>
        </w:sectPr>
      </w:pPr>
    </w:p>
    <w:p w:rsidR="00197085" w:rsidRPr="00C45AC0" w:rsidRDefault="00197085" w:rsidP="00197085">
      <w:pPr>
        <w:spacing w:line="360" w:lineRule="auto"/>
        <w:ind w:right="42"/>
        <w:jc w:val="both"/>
        <w:rPr>
          <w:sz w:val="22"/>
          <w:szCs w:val="22"/>
        </w:rPr>
      </w:pPr>
      <w:r w:rsidRPr="00C45AC0">
        <w:rPr>
          <w:b/>
          <w:bCs/>
          <w:sz w:val="22"/>
          <w:szCs w:val="22"/>
        </w:rPr>
        <w:lastRenderedPageBreak/>
        <w:t>Tablo 2. Ekonomik göstergelerin aydan aya ve çeyrekten çeyreğe değişimleri (Reel ve MEA)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1165"/>
        <w:gridCol w:w="1086"/>
        <w:gridCol w:w="1142"/>
        <w:gridCol w:w="1077"/>
        <w:gridCol w:w="959"/>
        <w:gridCol w:w="959"/>
      </w:tblGrid>
      <w:tr w:rsidR="00197085" w:rsidRPr="00C45AC0" w:rsidTr="00E24F81">
        <w:trPr>
          <w:trHeight w:val="607"/>
        </w:trPr>
        <w:tc>
          <w:tcPr>
            <w:tcW w:w="3134" w:type="dxa"/>
            <w:vAlign w:val="center"/>
          </w:tcPr>
          <w:p w:rsidR="00197085" w:rsidRPr="00C45AC0" w:rsidRDefault="00197085" w:rsidP="00E24F81">
            <w:pPr>
              <w:ind w:right="42"/>
              <w:jc w:val="center"/>
              <w:rPr>
                <w:b/>
                <w:bCs/>
              </w:rPr>
            </w:pPr>
            <w:r w:rsidRPr="00C45AC0">
              <w:rPr>
                <w:b/>
                <w:bCs/>
                <w:sz w:val="22"/>
                <w:szCs w:val="22"/>
              </w:rPr>
              <w:t>Ekonomik Göstergeler</w:t>
            </w:r>
          </w:p>
        </w:tc>
        <w:tc>
          <w:tcPr>
            <w:tcW w:w="1165" w:type="dxa"/>
            <w:vAlign w:val="center"/>
          </w:tcPr>
          <w:p w:rsidR="00197085" w:rsidRPr="00C45AC0" w:rsidRDefault="00197085" w:rsidP="00E24F81">
            <w:pPr>
              <w:ind w:right="42"/>
              <w:jc w:val="center"/>
              <w:rPr>
                <w:b/>
                <w:bCs/>
              </w:rPr>
            </w:pPr>
            <w:r>
              <w:rPr>
                <w:b/>
                <w:bCs/>
              </w:rPr>
              <w:t>Aralık</w:t>
            </w:r>
          </w:p>
        </w:tc>
        <w:tc>
          <w:tcPr>
            <w:tcW w:w="1086" w:type="dxa"/>
            <w:vAlign w:val="center"/>
          </w:tcPr>
          <w:p w:rsidR="00197085" w:rsidRPr="00C45AC0" w:rsidRDefault="00197085" w:rsidP="00E24F81">
            <w:pPr>
              <w:ind w:right="42"/>
              <w:jc w:val="center"/>
              <w:rPr>
                <w:b/>
                <w:bCs/>
              </w:rPr>
            </w:pPr>
            <w:r>
              <w:rPr>
                <w:b/>
                <w:bCs/>
              </w:rPr>
              <w:t>Ocak</w:t>
            </w:r>
          </w:p>
        </w:tc>
        <w:tc>
          <w:tcPr>
            <w:tcW w:w="1142" w:type="dxa"/>
            <w:vAlign w:val="center"/>
          </w:tcPr>
          <w:p w:rsidR="00197085" w:rsidRPr="00C45AC0" w:rsidRDefault="00197085" w:rsidP="00E24F81">
            <w:pPr>
              <w:ind w:right="42"/>
              <w:jc w:val="center"/>
              <w:rPr>
                <w:b/>
                <w:bCs/>
              </w:rPr>
            </w:pPr>
            <w:r>
              <w:rPr>
                <w:b/>
                <w:bCs/>
              </w:rPr>
              <w:t>Şubat</w:t>
            </w:r>
          </w:p>
        </w:tc>
        <w:tc>
          <w:tcPr>
            <w:tcW w:w="1077" w:type="dxa"/>
            <w:tcBorders>
              <w:right w:val="double" w:sz="4" w:space="0" w:color="auto"/>
            </w:tcBorders>
            <w:vAlign w:val="center"/>
          </w:tcPr>
          <w:p w:rsidR="00197085" w:rsidRPr="00C45AC0" w:rsidRDefault="00197085" w:rsidP="00E24F81">
            <w:pPr>
              <w:ind w:right="42"/>
              <w:jc w:val="center"/>
              <w:rPr>
                <w:b/>
                <w:bCs/>
              </w:rPr>
            </w:pPr>
            <w:r>
              <w:rPr>
                <w:b/>
                <w:bCs/>
              </w:rPr>
              <w:t>Mart</w:t>
            </w:r>
          </w:p>
        </w:tc>
        <w:tc>
          <w:tcPr>
            <w:tcW w:w="959" w:type="dxa"/>
            <w:tcBorders>
              <w:left w:val="double" w:sz="4" w:space="0" w:color="auto"/>
            </w:tcBorders>
            <w:vAlign w:val="center"/>
          </w:tcPr>
          <w:p w:rsidR="00197085" w:rsidRPr="00C45AC0" w:rsidRDefault="00197085" w:rsidP="00E24F81">
            <w:pPr>
              <w:ind w:right="42"/>
              <w:jc w:val="center"/>
              <w:rPr>
                <w:b/>
                <w:bCs/>
              </w:rPr>
            </w:pPr>
            <w:r>
              <w:rPr>
                <w:b/>
                <w:bCs/>
                <w:sz w:val="22"/>
                <w:szCs w:val="22"/>
              </w:rPr>
              <w:t>2014 4</w:t>
            </w:r>
            <w:r w:rsidRPr="00C45AC0">
              <w:rPr>
                <w:b/>
                <w:bCs/>
                <w:sz w:val="22"/>
                <w:szCs w:val="22"/>
              </w:rPr>
              <w:t>. Çeyrek</w:t>
            </w:r>
          </w:p>
        </w:tc>
        <w:tc>
          <w:tcPr>
            <w:tcW w:w="959" w:type="dxa"/>
            <w:vAlign w:val="center"/>
          </w:tcPr>
          <w:p w:rsidR="00197085" w:rsidRPr="00C45AC0" w:rsidRDefault="00197085" w:rsidP="00E24F81">
            <w:pPr>
              <w:ind w:right="42"/>
              <w:jc w:val="center"/>
              <w:rPr>
                <w:b/>
                <w:bCs/>
              </w:rPr>
            </w:pPr>
            <w:r>
              <w:rPr>
                <w:b/>
                <w:bCs/>
                <w:sz w:val="22"/>
                <w:szCs w:val="22"/>
              </w:rPr>
              <w:t>2015 1</w:t>
            </w:r>
            <w:r w:rsidRPr="00C45AC0">
              <w:rPr>
                <w:b/>
                <w:bCs/>
                <w:sz w:val="22"/>
                <w:szCs w:val="22"/>
              </w:rPr>
              <w:t>. Çeyrek</w:t>
            </w:r>
          </w:p>
        </w:tc>
      </w:tr>
      <w:tr w:rsidR="00197085" w:rsidRPr="00C45AC0" w:rsidTr="00E24F81">
        <w:trPr>
          <w:trHeight w:val="370"/>
        </w:trPr>
        <w:tc>
          <w:tcPr>
            <w:tcW w:w="3134" w:type="dxa"/>
            <w:vAlign w:val="center"/>
          </w:tcPr>
          <w:p w:rsidR="00197085" w:rsidRPr="00C45AC0" w:rsidRDefault="00197085" w:rsidP="00E24F81">
            <w:pPr>
              <w:ind w:right="42"/>
              <w:jc w:val="center"/>
              <w:rPr>
                <w:b/>
                <w:bCs/>
              </w:rPr>
            </w:pPr>
            <w:r w:rsidRPr="00C45AC0">
              <w:rPr>
                <w:b/>
                <w:bCs/>
                <w:sz w:val="22"/>
                <w:szCs w:val="22"/>
              </w:rPr>
              <w:t>İhracat*</w:t>
            </w:r>
          </w:p>
        </w:tc>
        <w:tc>
          <w:tcPr>
            <w:tcW w:w="1165" w:type="dxa"/>
            <w:vAlign w:val="center"/>
          </w:tcPr>
          <w:p w:rsidR="00197085" w:rsidRPr="00C45AC0" w:rsidRDefault="00197085" w:rsidP="00E24F81">
            <w:pPr>
              <w:ind w:right="42"/>
              <w:jc w:val="center"/>
              <w:rPr>
                <w:b/>
                <w:bCs/>
              </w:rPr>
            </w:pPr>
            <w:r>
              <w:rPr>
                <w:b/>
                <w:bCs/>
              </w:rPr>
              <w:t>1,5</w:t>
            </w:r>
          </w:p>
        </w:tc>
        <w:tc>
          <w:tcPr>
            <w:tcW w:w="1086" w:type="dxa"/>
            <w:vAlign w:val="center"/>
          </w:tcPr>
          <w:p w:rsidR="00197085" w:rsidRPr="00C45AC0" w:rsidRDefault="00197085" w:rsidP="00E24F81">
            <w:pPr>
              <w:ind w:right="42"/>
              <w:jc w:val="center"/>
              <w:rPr>
                <w:b/>
                <w:bCs/>
              </w:rPr>
            </w:pPr>
            <w:r>
              <w:rPr>
                <w:b/>
                <w:bCs/>
              </w:rPr>
              <w:t>6,0</w:t>
            </w:r>
          </w:p>
        </w:tc>
        <w:tc>
          <w:tcPr>
            <w:tcW w:w="1142" w:type="dxa"/>
            <w:vAlign w:val="center"/>
          </w:tcPr>
          <w:p w:rsidR="00197085" w:rsidRPr="00C45AC0" w:rsidRDefault="00197085" w:rsidP="00E24F81">
            <w:pPr>
              <w:ind w:right="42"/>
              <w:jc w:val="center"/>
              <w:rPr>
                <w:b/>
                <w:bCs/>
              </w:rPr>
            </w:pPr>
            <w:r>
              <w:rPr>
                <w:b/>
                <w:bCs/>
              </w:rPr>
              <w:t>-1,7</w:t>
            </w:r>
          </w:p>
        </w:tc>
        <w:tc>
          <w:tcPr>
            <w:tcW w:w="1077" w:type="dxa"/>
            <w:tcBorders>
              <w:right w:val="double" w:sz="4" w:space="0" w:color="auto"/>
            </w:tcBorders>
            <w:vAlign w:val="center"/>
          </w:tcPr>
          <w:p w:rsidR="00197085" w:rsidRPr="00C45AC0" w:rsidRDefault="00197085" w:rsidP="00E24F81">
            <w:pPr>
              <w:ind w:right="42"/>
              <w:jc w:val="center"/>
              <w:rPr>
                <w:b/>
                <w:bCs/>
              </w:rPr>
            </w:pPr>
            <w:r>
              <w:rPr>
                <w:b/>
                <w:bCs/>
              </w:rPr>
              <w:t>**</w:t>
            </w:r>
          </w:p>
        </w:tc>
        <w:tc>
          <w:tcPr>
            <w:tcW w:w="959" w:type="dxa"/>
            <w:tcBorders>
              <w:left w:val="double" w:sz="4" w:space="0" w:color="auto"/>
            </w:tcBorders>
            <w:vAlign w:val="center"/>
          </w:tcPr>
          <w:p w:rsidR="00197085" w:rsidRPr="00C45AC0" w:rsidRDefault="00197085" w:rsidP="00E24F81">
            <w:pPr>
              <w:ind w:right="42"/>
              <w:jc w:val="center"/>
              <w:rPr>
                <w:b/>
                <w:bCs/>
              </w:rPr>
            </w:pPr>
            <w:r>
              <w:rPr>
                <w:b/>
                <w:bCs/>
              </w:rPr>
              <w:t>2,6</w:t>
            </w:r>
          </w:p>
        </w:tc>
        <w:tc>
          <w:tcPr>
            <w:tcW w:w="959" w:type="dxa"/>
            <w:vAlign w:val="center"/>
          </w:tcPr>
          <w:p w:rsidR="00197085" w:rsidRPr="00C45AC0" w:rsidRDefault="00197085" w:rsidP="00E24F81">
            <w:pPr>
              <w:ind w:right="42"/>
              <w:jc w:val="center"/>
              <w:rPr>
                <w:b/>
                <w:bCs/>
              </w:rPr>
            </w:pPr>
            <w:r>
              <w:rPr>
                <w:b/>
                <w:bCs/>
              </w:rPr>
              <w:t>4,8</w:t>
            </w:r>
          </w:p>
        </w:tc>
      </w:tr>
      <w:tr w:rsidR="00197085" w:rsidRPr="00C45AC0" w:rsidTr="00E24F81">
        <w:trPr>
          <w:trHeight w:val="370"/>
        </w:trPr>
        <w:tc>
          <w:tcPr>
            <w:tcW w:w="3134" w:type="dxa"/>
            <w:tcBorders>
              <w:bottom w:val="nil"/>
            </w:tcBorders>
            <w:vAlign w:val="center"/>
          </w:tcPr>
          <w:p w:rsidR="00197085" w:rsidRPr="00C45AC0" w:rsidRDefault="00197085" w:rsidP="00E24F81">
            <w:pPr>
              <w:ind w:right="42"/>
              <w:jc w:val="center"/>
              <w:rPr>
                <w:b/>
                <w:bCs/>
              </w:rPr>
            </w:pPr>
            <w:r w:rsidRPr="00C45AC0">
              <w:rPr>
                <w:b/>
                <w:bCs/>
                <w:sz w:val="22"/>
                <w:szCs w:val="22"/>
              </w:rPr>
              <w:t>İthalat*</w:t>
            </w:r>
          </w:p>
        </w:tc>
        <w:tc>
          <w:tcPr>
            <w:tcW w:w="1165" w:type="dxa"/>
            <w:tcBorders>
              <w:bottom w:val="nil"/>
            </w:tcBorders>
            <w:vAlign w:val="center"/>
          </w:tcPr>
          <w:p w:rsidR="00197085" w:rsidRPr="00C45AC0" w:rsidRDefault="00197085" w:rsidP="00E24F81">
            <w:pPr>
              <w:ind w:right="42"/>
              <w:jc w:val="center"/>
              <w:rPr>
                <w:b/>
                <w:bCs/>
              </w:rPr>
            </w:pPr>
            <w:r>
              <w:rPr>
                <w:b/>
                <w:bCs/>
              </w:rPr>
              <w:t>-2,6</w:t>
            </w:r>
          </w:p>
        </w:tc>
        <w:tc>
          <w:tcPr>
            <w:tcW w:w="1086" w:type="dxa"/>
            <w:tcBorders>
              <w:bottom w:val="nil"/>
            </w:tcBorders>
            <w:vAlign w:val="center"/>
          </w:tcPr>
          <w:p w:rsidR="00197085" w:rsidRPr="00C45AC0" w:rsidRDefault="00197085" w:rsidP="00E24F81">
            <w:pPr>
              <w:ind w:right="42"/>
              <w:jc w:val="center"/>
              <w:rPr>
                <w:b/>
                <w:bCs/>
              </w:rPr>
            </w:pPr>
            <w:r>
              <w:rPr>
                <w:b/>
                <w:bCs/>
              </w:rPr>
              <w:t>-3,8</w:t>
            </w:r>
          </w:p>
        </w:tc>
        <w:tc>
          <w:tcPr>
            <w:tcW w:w="1142" w:type="dxa"/>
            <w:tcBorders>
              <w:bottom w:val="nil"/>
            </w:tcBorders>
            <w:vAlign w:val="center"/>
          </w:tcPr>
          <w:p w:rsidR="00197085" w:rsidRPr="00C45AC0" w:rsidRDefault="00197085" w:rsidP="00E24F81">
            <w:pPr>
              <w:ind w:right="42"/>
              <w:jc w:val="center"/>
              <w:rPr>
                <w:b/>
                <w:bCs/>
              </w:rPr>
            </w:pPr>
            <w:r>
              <w:rPr>
                <w:b/>
                <w:bCs/>
              </w:rPr>
              <w:t>2,4</w:t>
            </w:r>
          </w:p>
        </w:tc>
        <w:tc>
          <w:tcPr>
            <w:tcW w:w="1077" w:type="dxa"/>
            <w:tcBorders>
              <w:bottom w:val="nil"/>
              <w:right w:val="double" w:sz="4" w:space="0" w:color="auto"/>
            </w:tcBorders>
            <w:vAlign w:val="center"/>
          </w:tcPr>
          <w:p w:rsidR="00197085" w:rsidRPr="00C45AC0" w:rsidRDefault="00197085" w:rsidP="00E24F81">
            <w:pPr>
              <w:ind w:right="42"/>
              <w:jc w:val="center"/>
              <w:rPr>
                <w:b/>
                <w:bCs/>
              </w:rPr>
            </w:pPr>
            <w:r>
              <w:rPr>
                <w:b/>
                <w:bCs/>
              </w:rPr>
              <w:t>**</w:t>
            </w:r>
          </w:p>
        </w:tc>
        <w:tc>
          <w:tcPr>
            <w:tcW w:w="959" w:type="dxa"/>
            <w:tcBorders>
              <w:left w:val="double" w:sz="4" w:space="0" w:color="auto"/>
              <w:bottom w:val="nil"/>
            </w:tcBorders>
            <w:vAlign w:val="center"/>
          </w:tcPr>
          <w:p w:rsidR="00197085" w:rsidRPr="00C45AC0" w:rsidRDefault="00197085" w:rsidP="00E24F81">
            <w:pPr>
              <w:ind w:right="42"/>
              <w:jc w:val="center"/>
              <w:rPr>
                <w:b/>
                <w:bCs/>
              </w:rPr>
            </w:pPr>
            <w:r>
              <w:rPr>
                <w:b/>
                <w:bCs/>
              </w:rPr>
              <w:t>6,6</w:t>
            </w:r>
          </w:p>
        </w:tc>
        <w:tc>
          <w:tcPr>
            <w:tcW w:w="959" w:type="dxa"/>
            <w:tcBorders>
              <w:bottom w:val="nil"/>
            </w:tcBorders>
            <w:vAlign w:val="center"/>
          </w:tcPr>
          <w:p w:rsidR="00197085" w:rsidRPr="00C45AC0" w:rsidRDefault="00197085" w:rsidP="00E24F81">
            <w:pPr>
              <w:ind w:right="42"/>
              <w:jc w:val="center"/>
              <w:rPr>
                <w:b/>
                <w:bCs/>
              </w:rPr>
            </w:pPr>
            <w:r>
              <w:rPr>
                <w:b/>
                <w:bCs/>
              </w:rPr>
              <w:t>-2,5</w:t>
            </w:r>
          </w:p>
        </w:tc>
      </w:tr>
      <w:tr w:rsidR="00197085" w:rsidRPr="00C45AC0" w:rsidTr="00E24F81">
        <w:trPr>
          <w:trHeight w:val="370"/>
        </w:trPr>
        <w:tc>
          <w:tcPr>
            <w:tcW w:w="3134" w:type="dxa"/>
            <w:tcBorders>
              <w:top w:val="nil"/>
              <w:bottom w:val="nil"/>
            </w:tcBorders>
            <w:vAlign w:val="center"/>
          </w:tcPr>
          <w:p w:rsidR="00197085" w:rsidRPr="00C45AC0" w:rsidRDefault="00197085" w:rsidP="00E24F81">
            <w:pPr>
              <w:ind w:right="42"/>
              <w:jc w:val="center"/>
            </w:pPr>
            <w:r w:rsidRPr="00C45AC0">
              <w:rPr>
                <w:sz w:val="22"/>
                <w:szCs w:val="22"/>
              </w:rPr>
              <w:t>Ara malı ithalatı*</w:t>
            </w:r>
          </w:p>
        </w:tc>
        <w:tc>
          <w:tcPr>
            <w:tcW w:w="1165" w:type="dxa"/>
            <w:tcBorders>
              <w:top w:val="nil"/>
              <w:bottom w:val="nil"/>
            </w:tcBorders>
            <w:vAlign w:val="center"/>
          </w:tcPr>
          <w:p w:rsidR="00197085" w:rsidRPr="00C45AC0" w:rsidRDefault="00197085" w:rsidP="00E24F81">
            <w:pPr>
              <w:ind w:right="42"/>
              <w:jc w:val="center"/>
            </w:pPr>
            <w:r>
              <w:t>-8,5</w:t>
            </w:r>
          </w:p>
        </w:tc>
        <w:tc>
          <w:tcPr>
            <w:tcW w:w="1086" w:type="dxa"/>
            <w:tcBorders>
              <w:top w:val="nil"/>
              <w:bottom w:val="nil"/>
            </w:tcBorders>
            <w:vAlign w:val="center"/>
          </w:tcPr>
          <w:p w:rsidR="00197085" w:rsidRPr="00C45AC0" w:rsidRDefault="00197085" w:rsidP="00E24F81">
            <w:pPr>
              <w:ind w:right="42"/>
              <w:jc w:val="center"/>
            </w:pPr>
            <w:r>
              <w:t>-4,1</w:t>
            </w:r>
          </w:p>
        </w:tc>
        <w:tc>
          <w:tcPr>
            <w:tcW w:w="1142" w:type="dxa"/>
            <w:tcBorders>
              <w:top w:val="nil"/>
              <w:bottom w:val="nil"/>
            </w:tcBorders>
            <w:vAlign w:val="center"/>
          </w:tcPr>
          <w:p w:rsidR="00197085" w:rsidRPr="00C45AC0" w:rsidRDefault="00197085" w:rsidP="00E24F81">
            <w:pPr>
              <w:ind w:right="42"/>
              <w:jc w:val="center"/>
            </w:pPr>
            <w:r>
              <w:t>2,8</w:t>
            </w:r>
          </w:p>
        </w:tc>
        <w:tc>
          <w:tcPr>
            <w:tcW w:w="1077" w:type="dxa"/>
            <w:tcBorders>
              <w:top w:val="nil"/>
              <w:bottom w:val="nil"/>
              <w:right w:val="double" w:sz="4" w:space="0" w:color="auto"/>
            </w:tcBorders>
            <w:vAlign w:val="center"/>
          </w:tcPr>
          <w:p w:rsidR="00197085" w:rsidRPr="00C45AC0" w:rsidRDefault="00197085" w:rsidP="00E24F81">
            <w:pPr>
              <w:ind w:right="42"/>
              <w:jc w:val="center"/>
            </w:pPr>
            <w:r>
              <w:t>**</w:t>
            </w:r>
          </w:p>
        </w:tc>
        <w:tc>
          <w:tcPr>
            <w:tcW w:w="959" w:type="dxa"/>
            <w:tcBorders>
              <w:top w:val="nil"/>
              <w:left w:val="double" w:sz="4" w:space="0" w:color="auto"/>
              <w:bottom w:val="nil"/>
            </w:tcBorders>
            <w:vAlign w:val="center"/>
          </w:tcPr>
          <w:p w:rsidR="00197085" w:rsidRPr="00C45AC0" w:rsidRDefault="00197085" w:rsidP="00E24F81">
            <w:pPr>
              <w:ind w:right="42"/>
              <w:jc w:val="center"/>
            </w:pPr>
            <w:r>
              <w:t>9,2</w:t>
            </w:r>
          </w:p>
        </w:tc>
        <w:tc>
          <w:tcPr>
            <w:tcW w:w="959" w:type="dxa"/>
            <w:tcBorders>
              <w:top w:val="nil"/>
              <w:bottom w:val="nil"/>
            </w:tcBorders>
            <w:vAlign w:val="center"/>
          </w:tcPr>
          <w:p w:rsidR="00197085" w:rsidRPr="00C45AC0" w:rsidRDefault="00197085" w:rsidP="00E24F81">
            <w:pPr>
              <w:ind w:right="42"/>
              <w:jc w:val="center"/>
            </w:pPr>
            <w:r>
              <w:t>-4,9</w:t>
            </w:r>
          </w:p>
        </w:tc>
      </w:tr>
      <w:tr w:rsidR="00197085" w:rsidRPr="00C45AC0" w:rsidTr="00E24F81">
        <w:trPr>
          <w:trHeight w:val="370"/>
        </w:trPr>
        <w:tc>
          <w:tcPr>
            <w:tcW w:w="3134" w:type="dxa"/>
            <w:tcBorders>
              <w:top w:val="nil"/>
              <w:bottom w:val="nil"/>
            </w:tcBorders>
            <w:vAlign w:val="center"/>
          </w:tcPr>
          <w:p w:rsidR="00197085" w:rsidRPr="00C45AC0" w:rsidRDefault="00197085" w:rsidP="00E24F81">
            <w:pPr>
              <w:ind w:right="42"/>
              <w:jc w:val="center"/>
            </w:pPr>
            <w:r w:rsidRPr="00C45AC0">
              <w:rPr>
                <w:sz w:val="22"/>
                <w:szCs w:val="22"/>
              </w:rPr>
              <w:t>Tüketim malı ithalatı*</w:t>
            </w:r>
          </w:p>
        </w:tc>
        <w:tc>
          <w:tcPr>
            <w:tcW w:w="1165" w:type="dxa"/>
            <w:tcBorders>
              <w:top w:val="nil"/>
              <w:bottom w:val="nil"/>
            </w:tcBorders>
            <w:vAlign w:val="center"/>
          </w:tcPr>
          <w:p w:rsidR="00197085" w:rsidRPr="00C45AC0" w:rsidRDefault="00197085" w:rsidP="00E24F81">
            <w:pPr>
              <w:ind w:right="42"/>
              <w:jc w:val="center"/>
              <w:rPr>
                <w:bCs/>
              </w:rPr>
            </w:pPr>
            <w:r>
              <w:rPr>
                <w:bCs/>
              </w:rPr>
              <w:t>10,6</w:t>
            </w:r>
          </w:p>
        </w:tc>
        <w:tc>
          <w:tcPr>
            <w:tcW w:w="1086" w:type="dxa"/>
            <w:tcBorders>
              <w:top w:val="nil"/>
              <w:bottom w:val="nil"/>
            </w:tcBorders>
            <w:vAlign w:val="center"/>
          </w:tcPr>
          <w:p w:rsidR="00197085" w:rsidRPr="00C45AC0" w:rsidRDefault="00197085" w:rsidP="00E24F81">
            <w:pPr>
              <w:ind w:right="42"/>
              <w:jc w:val="center"/>
              <w:rPr>
                <w:bCs/>
              </w:rPr>
            </w:pPr>
            <w:r>
              <w:rPr>
                <w:bCs/>
              </w:rPr>
              <w:t>-6,3</w:t>
            </w:r>
          </w:p>
        </w:tc>
        <w:tc>
          <w:tcPr>
            <w:tcW w:w="1142" w:type="dxa"/>
            <w:tcBorders>
              <w:top w:val="nil"/>
              <w:bottom w:val="nil"/>
            </w:tcBorders>
            <w:vAlign w:val="center"/>
          </w:tcPr>
          <w:p w:rsidR="00197085" w:rsidRPr="00C45AC0" w:rsidRDefault="00197085" w:rsidP="00E24F81">
            <w:pPr>
              <w:ind w:right="42"/>
              <w:jc w:val="center"/>
              <w:rPr>
                <w:bCs/>
              </w:rPr>
            </w:pPr>
            <w:r>
              <w:rPr>
                <w:bCs/>
              </w:rPr>
              <w:t>5,4</w:t>
            </w:r>
          </w:p>
        </w:tc>
        <w:tc>
          <w:tcPr>
            <w:tcW w:w="1077" w:type="dxa"/>
            <w:tcBorders>
              <w:top w:val="nil"/>
              <w:bottom w:val="nil"/>
              <w:right w:val="double" w:sz="4" w:space="0" w:color="auto"/>
            </w:tcBorders>
            <w:vAlign w:val="center"/>
          </w:tcPr>
          <w:p w:rsidR="00197085" w:rsidRPr="00C45AC0" w:rsidRDefault="00197085" w:rsidP="00E24F81">
            <w:pPr>
              <w:ind w:right="42"/>
              <w:jc w:val="center"/>
            </w:pPr>
            <w:r>
              <w:t>**</w:t>
            </w:r>
          </w:p>
        </w:tc>
        <w:tc>
          <w:tcPr>
            <w:tcW w:w="959" w:type="dxa"/>
            <w:tcBorders>
              <w:top w:val="nil"/>
              <w:left w:val="double" w:sz="4" w:space="0" w:color="auto"/>
              <w:bottom w:val="nil"/>
            </w:tcBorders>
            <w:vAlign w:val="center"/>
          </w:tcPr>
          <w:p w:rsidR="00197085" w:rsidRPr="00C45AC0" w:rsidRDefault="00197085" w:rsidP="00E24F81">
            <w:pPr>
              <w:ind w:right="42"/>
              <w:jc w:val="center"/>
            </w:pPr>
            <w:r>
              <w:t>0,2</w:t>
            </w:r>
          </w:p>
        </w:tc>
        <w:tc>
          <w:tcPr>
            <w:tcW w:w="959" w:type="dxa"/>
            <w:tcBorders>
              <w:top w:val="nil"/>
              <w:bottom w:val="nil"/>
            </w:tcBorders>
            <w:vAlign w:val="center"/>
          </w:tcPr>
          <w:p w:rsidR="00197085" w:rsidRPr="00C45AC0" w:rsidRDefault="00197085" w:rsidP="00E24F81">
            <w:pPr>
              <w:ind w:right="42"/>
              <w:jc w:val="center"/>
            </w:pPr>
            <w:r>
              <w:t>2,1</w:t>
            </w:r>
          </w:p>
        </w:tc>
      </w:tr>
      <w:tr w:rsidR="00197085" w:rsidRPr="00C45AC0" w:rsidTr="00E24F81">
        <w:trPr>
          <w:trHeight w:val="370"/>
        </w:trPr>
        <w:tc>
          <w:tcPr>
            <w:tcW w:w="3134" w:type="dxa"/>
            <w:tcBorders>
              <w:top w:val="nil"/>
            </w:tcBorders>
            <w:vAlign w:val="center"/>
          </w:tcPr>
          <w:p w:rsidR="00197085" w:rsidRPr="00C45AC0" w:rsidRDefault="00197085" w:rsidP="00E24F81">
            <w:pPr>
              <w:ind w:right="42"/>
              <w:jc w:val="center"/>
            </w:pPr>
            <w:r w:rsidRPr="00C45AC0">
              <w:rPr>
                <w:sz w:val="22"/>
                <w:szCs w:val="22"/>
              </w:rPr>
              <w:t>Yatırım malı ithalatı*</w:t>
            </w:r>
          </w:p>
        </w:tc>
        <w:tc>
          <w:tcPr>
            <w:tcW w:w="1165" w:type="dxa"/>
            <w:tcBorders>
              <w:top w:val="nil"/>
            </w:tcBorders>
            <w:vAlign w:val="center"/>
          </w:tcPr>
          <w:p w:rsidR="00197085" w:rsidRPr="00C45AC0" w:rsidRDefault="00197085" w:rsidP="00E24F81">
            <w:pPr>
              <w:ind w:right="42"/>
              <w:jc w:val="center"/>
            </w:pPr>
            <w:r>
              <w:t>-3,1</w:t>
            </w:r>
          </w:p>
        </w:tc>
        <w:tc>
          <w:tcPr>
            <w:tcW w:w="1086" w:type="dxa"/>
            <w:tcBorders>
              <w:top w:val="nil"/>
            </w:tcBorders>
            <w:vAlign w:val="center"/>
          </w:tcPr>
          <w:p w:rsidR="00197085" w:rsidRPr="00C45AC0" w:rsidRDefault="00197085" w:rsidP="00E24F81">
            <w:pPr>
              <w:ind w:right="42"/>
              <w:jc w:val="center"/>
            </w:pPr>
            <w:r>
              <w:t>10,5</w:t>
            </w:r>
          </w:p>
        </w:tc>
        <w:tc>
          <w:tcPr>
            <w:tcW w:w="1142" w:type="dxa"/>
            <w:tcBorders>
              <w:top w:val="nil"/>
            </w:tcBorders>
            <w:vAlign w:val="center"/>
          </w:tcPr>
          <w:p w:rsidR="00197085" w:rsidRPr="00C45AC0" w:rsidRDefault="00197085" w:rsidP="00E24F81">
            <w:pPr>
              <w:ind w:right="42"/>
              <w:jc w:val="center"/>
            </w:pPr>
            <w:r>
              <w:t>-7,4</w:t>
            </w:r>
          </w:p>
        </w:tc>
        <w:tc>
          <w:tcPr>
            <w:tcW w:w="1077" w:type="dxa"/>
            <w:tcBorders>
              <w:top w:val="nil"/>
              <w:right w:val="double" w:sz="4" w:space="0" w:color="auto"/>
            </w:tcBorders>
            <w:vAlign w:val="center"/>
          </w:tcPr>
          <w:p w:rsidR="00197085" w:rsidRPr="00C45AC0" w:rsidRDefault="00197085" w:rsidP="00E24F81">
            <w:pPr>
              <w:ind w:right="42"/>
              <w:jc w:val="center"/>
            </w:pPr>
            <w:r>
              <w:t>**</w:t>
            </w:r>
          </w:p>
        </w:tc>
        <w:tc>
          <w:tcPr>
            <w:tcW w:w="959" w:type="dxa"/>
            <w:tcBorders>
              <w:top w:val="nil"/>
              <w:left w:val="double" w:sz="4" w:space="0" w:color="auto"/>
            </w:tcBorders>
            <w:vAlign w:val="center"/>
          </w:tcPr>
          <w:p w:rsidR="00197085" w:rsidRPr="00C45AC0" w:rsidRDefault="00197085" w:rsidP="00E24F81">
            <w:pPr>
              <w:ind w:right="42"/>
              <w:jc w:val="center"/>
            </w:pPr>
            <w:r>
              <w:t>3,6</w:t>
            </w:r>
          </w:p>
        </w:tc>
        <w:tc>
          <w:tcPr>
            <w:tcW w:w="959" w:type="dxa"/>
            <w:tcBorders>
              <w:top w:val="nil"/>
            </w:tcBorders>
            <w:vAlign w:val="center"/>
          </w:tcPr>
          <w:p w:rsidR="00197085" w:rsidRPr="00C45AC0" w:rsidRDefault="00197085" w:rsidP="00E24F81">
            <w:pPr>
              <w:ind w:right="42"/>
              <w:jc w:val="center"/>
            </w:pPr>
            <w:r>
              <w:t>3,5</w:t>
            </w:r>
          </w:p>
        </w:tc>
      </w:tr>
      <w:tr w:rsidR="00197085" w:rsidRPr="00C45AC0" w:rsidTr="00E24F81">
        <w:trPr>
          <w:trHeight w:val="370"/>
        </w:trPr>
        <w:tc>
          <w:tcPr>
            <w:tcW w:w="3134" w:type="dxa"/>
            <w:vAlign w:val="center"/>
          </w:tcPr>
          <w:p w:rsidR="00197085" w:rsidRPr="00C45AC0" w:rsidRDefault="00197085" w:rsidP="00E24F81">
            <w:pPr>
              <w:ind w:right="42"/>
              <w:jc w:val="center"/>
              <w:rPr>
                <w:b/>
                <w:bCs/>
              </w:rPr>
            </w:pPr>
            <w:r w:rsidRPr="00C45AC0">
              <w:rPr>
                <w:b/>
                <w:bCs/>
                <w:sz w:val="22"/>
                <w:szCs w:val="22"/>
              </w:rPr>
              <w:t>Altın hariç ihracat***</w:t>
            </w:r>
          </w:p>
        </w:tc>
        <w:tc>
          <w:tcPr>
            <w:tcW w:w="1165" w:type="dxa"/>
            <w:vAlign w:val="center"/>
          </w:tcPr>
          <w:p w:rsidR="00197085" w:rsidRPr="00C45AC0" w:rsidRDefault="00197085" w:rsidP="00E24F81">
            <w:pPr>
              <w:ind w:right="42"/>
              <w:jc w:val="center"/>
              <w:rPr>
                <w:b/>
                <w:bCs/>
              </w:rPr>
            </w:pPr>
            <w:r>
              <w:rPr>
                <w:b/>
                <w:bCs/>
              </w:rPr>
              <w:t>4,4</w:t>
            </w:r>
          </w:p>
        </w:tc>
        <w:tc>
          <w:tcPr>
            <w:tcW w:w="1086" w:type="dxa"/>
            <w:vAlign w:val="center"/>
          </w:tcPr>
          <w:p w:rsidR="00197085" w:rsidRPr="00C45AC0" w:rsidRDefault="00197085" w:rsidP="00E24F81">
            <w:pPr>
              <w:ind w:right="42"/>
              <w:jc w:val="center"/>
              <w:rPr>
                <w:b/>
                <w:bCs/>
              </w:rPr>
            </w:pPr>
            <w:r>
              <w:rPr>
                <w:b/>
                <w:bCs/>
              </w:rPr>
              <w:t>-1,5</w:t>
            </w:r>
          </w:p>
        </w:tc>
        <w:tc>
          <w:tcPr>
            <w:tcW w:w="1142" w:type="dxa"/>
            <w:vAlign w:val="center"/>
          </w:tcPr>
          <w:p w:rsidR="00197085" w:rsidRPr="00C45AC0" w:rsidRDefault="00197085" w:rsidP="00E24F81">
            <w:pPr>
              <w:ind w:right="42"/>
              <w:jc w:val="center"/>
              <w:rPr>
                <w:b/>
                <w:bCs/>
              </w:rPr>
            </w:pPr>
            <w:r>
              <w:rPr>
                <w:b/>
                <w:bCs/>
              </w:rPr>
              <w:t>-2,3</w:t>
            </w:r>
          </w:p>
        </w:tc>
        <w:tc>
          <w:tcPr>
            <w:tcW w:w="1077" w:type="dxa"/>
            <w:tcBorders>
              <w:right w:val="double" w:sz="4" w:space="0" w:color="auto"/>
            </w:tcBorders>
            <w:vAlign w:val="center"/>
          </w:tcPr>
          <w:p w:rsidR="00197085" w:rsidRPr="00C45AC0" w:rsidRDefault="00197085" w:rsidP="00E24F81">
            <w:pPr>
              <w:ind w:right="42"/>
              <w:jc w:val="center"/>
            </w:pPr>
            <w:r>
              <w:t>**</w:t>
            </w:r>
          </w:p>
        </w:tc>
        <w:tc>
          <w:tcPr>
            <w:tcW w:w="959" w:type="dxa"/>
            <w:tcBorders>
              <w:left w:val="double" w:sz="4" w:space="0" w:color="auto"/>
            </w:tcBorders>
            <w:vAlign w:val="center"/>
          </w:tcPr>
          <w:p w:rsidR="00197085" w:rsidRPr="00C45AC0" w:rsidRDefault="00197085" w:rsidP="00E24F81">
            <w:pPr>
              <w:ind w:right="42"/>
              <w:jc w:val="center"/>
              <w:rPr>
                <w:b/>
                <w:bCs/>
              </w:rPr>
            </w:pPr>
            <w:r>
              <w:rPr>
                <w:b/>
                <w:bCs/>
              </w:rPr>
              <w:t>-1,8</w:t>
            </w:r>
          </w:p>
        </w:tc>
        <w:tc>
          <w:tcPr>
            <w:tcW w:w="959" w:type="dxa"/>
            <w:vAlign w:val="center"/>
          </w:tcPr>
          <w:p w:rsidR="00197085" w:rsidRPr="00C45AC0" w:rsidRDefault="00197085" w:rsidP="00E24F81">
            <w:pPr>
              <w:ind w:right="42"/>
              <w:jc w:val="center"/>
              <w:rPr>
                <w:b/>
                <w:bCs/>
              </w:rPr>
            </w:pPr>
            <w:r>
              <w:rPr>
                <w:b/>
                <w:bCs/>
              </w:rPr>
              <w:t>-0,9</w:t>
            </w:r>
          </w:p>
        </w:tc>
      </w:tr>
      <w:tr w:rsidR="00197085" w:rsidRPr="00C45AC0" w:rsidTr="00E24F81">
        <w:trPr>
          <w:trHeight w:val="370"/>
        </w:trPr>
        <w:tc>
          <w:tcPr>
            <w:tcW w:w="3134" w:type="dxa"/>
            <w:vAlign w:val="center"/>
          </w:tcPr>
          <w:p w:rsidR="00197085" w:rsidRPr="00C45AC0" w:rsidRDefault="00197085" w:rsidP="00E24F81">
            <w:pPr>
              <w:ind w:right="42"/>
              <w:jc w:val="center"/>
              <w:rPr>
                <w:b/>
                <w:bCs/>
              </w:rPr>
            </w:pPr>
            <w:r w:rsidRPr="00C45AC0">
              <w:rPr>
                <w:b/>
                <w:bCs/>
                <w:sz w:val="22"/>
                <w:szCs w:val="22"/>
              </w:rPr>
              <w:t>Altın hariç ithalat***</w:t>
            </w:r>
          </w:p>
        </w:tc>
        <w:tc>
          <w:tcPr>
            <w:tcW w:w="1165" w:type="dxa"/>
            <w:vAlign w:val="center"/>
          </w:tcPr>
          <w:p w:rsidR="00197085" w:rsidRPr="00C45AC0" w:rsidRDefault="00197085" w:rsidP="00E24F81">
            <w:pPr>
              <w:ind w:right="42"/>
              <w:jc w:val="center"/>
              <w:rPr>
                <w:b/>
                <w:bCs/>
              </w:rPr>
            </w:pPr>
            <w:r>
              <w:rPr>
                <w:b/>
                <w:bCs/>
              </w:rPr>
              <w:t>7,5</w:t>
            </w:r>
          </w:p>
        </w:tc>
        <w:tc>
          <w:tcPr>
            <w:tcW w:w="1086" w:type="dxa"/>
            <w:vAlign w:val="center"/>
          </w:tcPr>
          <w:p w:rsidR="00197085" w:rsidRPr="00C45AC0" w:rsidRDefault="00197085" w:rsidP="00E24F81">
            <w:pPr>
              <w:ind w:right="42"/>
              <w:jc w:val="center"/>
              <w:rPr>
                <w:b/>
                <w:bCs/>
              </w:rPr>
            </w:pPr>
            <w:r>
              <w:rPr>
                <w:b/>
                <w:bCs/>
              </w:rPr>
              <w:t>-7,0</w:t>
            </w:r>
          </w:p>
        </w:tc>
        <w:tc>
          <w:tcPr>
            <w:tcW w:w="1142" w:type="dxa"/>
            <w:vAlign w:val="center"/>
          </w:tcPr>
          <w:p w:rsidR="00197085" w:rsidRPr="00C45AC0" w:rsidRDefault="00197085" w:rsidP="00E24F81">
            <w:pPr>
              <w:ind w:right="42"/>
              <w:jc w:val="center"/>
              <w:rPr>
                <w:b/>
                <w:bCs/>
              </w:rPr>
            </w:pPr>
            <w:r>
              <w:rPr>
                <w:b/>
                <w:bCs/>
              </w:rPr>
              <w:t>3,5</w:t>
            </w:r>
          </w:p>
        </w:tc>
        <w:tc>
          <w:tcPr>
            <w:tcW w:w="1077" w:type="dxa"/>
            <w:tcBorders>
              <w:right w:val="double" w:sz="4" w:space="0" w:color="auto"/>
            </w:tcBorders>
            <w:vAlign w:val="center"/>
          </w:tcPr>
          <w:p w:rsidR="00197085" w:rsidRPr="00C45AC0" w:rsidRDefault="00197085" w:rsidP="00E24F81">
            <w:pPr>
              <w:ind w:right="42"/>
              <w:jc w:val="center"/>
            </w:pPr>
            <w:r>
              <w:t>**</w:t>
            </w:r>
          </w:p>
        </w:tc>
        <w:tc>
          <w:tcPr>
            <w:tcW w:w="959" w:type="dxa"/>
            <w:tcBorders>
              <w:left w:val="double" w:sz="4" w:space="0" w:color="auto"/>
            </w:tcBorders>
            <w:vAlign w:val="center"/>
          </w:tcPr>
          <w:p w:rsidR="00197085" w:rsidRPr="00C45AC0" w:rsidRDefault="00197085" w:rsidP="00E24F81">
            <w:pPr>
              <w:ind w:right="42"/>
              <w:jc w:val="center"/>
              <w:rPr>
                <w:b/>
                <w:bCs/>
              </w:rPr>
            </w:pPr>
            <w:r>
              <w:rPr>
                <w:b/>
                <w:bCs/>
              </w:rPr>
              <w:t>3,2</w:t>
            </w:r>
          </w:p>
        </w:tc>
        <w:tc>
          <w:tcPr>
            <w:tcW w:w="959" w:type="dxa"/>
            <w:vAlign w:val="center"/>
          </w:tcPr>
          <w:p w:rsidR="00197085" w:rsidRPr="00C45AC0" w:rsidRDefault="00197085" w:rsidP="00E24F81">
            <w:pPr>
              <w:ind w:right="42"/>
              <w:jc w:val="center"/>
              <w:rPr>
                <w:b/>
                <w:bCs/>
              </w:rPr>
            </w:pPr>
            <w:r>
              <w:rPr>
                <w:b/>
                <w:bCs/>
              </w:rPr>
              <w:t>-1,7</w:t>
            </w:r>
          </w:p>
        </w:tc>
      </w:tr>
      <w:tr w:rsidR="00197085" w:rsidRPr="00C45AC0" w:rsidTr="00E24F81">
        <w:trPr>
          <w:trHeight w:val="370"/>
        </w:trPr>
        <w:tc>
          <w:tcPr>
            <w:tcW w:w="3134" w:type="dxa"/>
            <w:tcBorders>
              <w:bottom w:val="nil"/>
            </w:tcBorders>
            <w:vAlign w:val="center"/>
          </w:tcPr>
          <w:p w:rsidR="00197085" w:rsidRPr="00C45AC0" w:rsidRDefault="00197085" w:rsidP="00E24F81">
            <w:pPr>
              <w:ind w:right="42"/>
              <w:jc w:val="center"/>
              <w:rPr>
                <w:b/>
                <w:bCs/>
              </w:rPr>
            </w:pPr>
            <w:r w:rsidRPr="00C45AC0">
              <w:rPr>
                <w:b/>
                <w:bCs/>
                <w:sz w:val="22"/>
                <w:szCs w:val="22"/>
              </w:rPr>
              <w:t>Sanayi üretim endeksi (SÜE)*</w:t>
            </w:r>
          </w:p>
        </w:tc>
        <w:tc>
          <w:tcPr>
            <w:tcW w:w="1165" w:type="dxa"/>
            <w:tcBorders>
              <w:bottom w:val="nil"/>
            </w:tcBorders>
            <w:vAlign w:val="center"/>
          </w:tcPr>
          <w:p w:rsidR="00197085" w:rsidRPr="00C45AC0" w:rsidRDefault="00197085" w:rsidP="00E24F81">
            <w:pPr>
              <w:ind w:right="42"/>
              <w:jc w:val="center"/>
              <w:rPr>
                <w:b/>
                <w:bCs/>
              </w:rPr>
            </w:pPr>
            <w:r>
              <w:rPr>
                <w:b/>
                <w:bCs/>
              </w:rPr>
              <w:t>0,7</w:t>
            </w:r>
          </w:p>
        </w:tc>
        <w:tc>
          <w:tcPr>
            <w:tcW w:w="1086" w:type="dxa"/>
            <w:tcBorders>
              <w:bottom w:val="nil"/>
            </w:tcBorders>
            <w:vAlign w:val="center"/>
          </w:tcPr>
          <w:p w:rsidR="00197085" w:rsidRPr="00C45AC0" w:rsidRDefault="00197085" w:rsidP="00E24F81">
            <w:pPr>
              <w:ind w:right="42"/>
              <w:jc w:val="center"/>
              <w:rPr>
                <w:b/>
                <w:bCs/>
              </w:rPr>
            </w:pPr>
            <w:r>
              <w:rPr>
                <w:b/>
                <w:bCs/>
              </w:rPr>
              <w:t>-1,2</w:t>
            </w:r>
          </w:p>
        </w:tc>
        <w:tc>
          <w:tcPr>
            <w:tcW w:w="1142" w:type="dxa"/>
            <w:tcBorders>
              <w:bottom w:val="nil"/>
            </w:tcBorders>
            <w:vAlign w:val="center"/>
          </w:tcPr>
          <w:p w:rsidR="00197085" w:rsidRPr="00C45AC0" w:rsidRDefault="00197085" w:rsidP="00E24F81">
            <w:pPr>
              <w:ind w:right="42"/>
              <w:jc w:val="center"/>
              <w:rPr>
                <w:b/>
                <w:bCs/>
              </w:rPr>
            </w:pPr>
            <w:r>
              <w:rPr>
                <w:b/>
                <w:bCs/>
              </w:rPr>
              <w:t>1,7</w:t>
            </w:r>
          </w:p>
        </w:tc>
        <w:tc>
          <w:tcPr>
            <w:tcW w:w="1077" w:type="dxa"/>
            <w:tcBorders>
              <w:bottom w:val="nil"/>
              <w:right w:val="double" w:sz="4" w:space="0" w:color="auto"/>
            </w:tcBorders>
            <w:vAlign w:val="center"/>
          </w:tcPr>
          <w:p w:rsidR="00197085" w:rsidRPr="00C45AC0" w:rsidRDefault="00197085" w:rsidP="00E24F81">
            <w:pPr>
              <w:ind w:right="42"/>
              <w:jc w:val="center"/>
            </w:pPr>
            <w:r>
              <w:t>**</w:t>
            </w:r>
          </w:p>
        </w:tc>
        <w:tc>
          <w:tcPr>
            <w:tcW w:w="959" w:type="dxa"/>
            <w:tcBorders>
              <w:left w:val="double" w:sz="4" w:space="0" w:color="auto"/>
              <w:bottom w:val="nil"/>
            </w:tcBorders>
            <w:vAlign w:val="center"/>
          </w:tcPr>
          <w:p w:rsidR="00197085" w:rsidRPr="00C45AC0" w:rsidRDefault="00197085" w:rsidP="00E24F81">
            <w:pPr>
              <w:ind w:right="42"/>
              <w:jc w:val="center"/>
              <w:rPr>
                <w:b/>
                <w:bCs/>
              </w:rPr>
            </w:pPr>
            <w:r>
              <w:rPr>
                <w:b/>
                <w:bCs/>
              </w:rPr>
              <w:t>-0,6</w:t>
            </w:r>
          </w:p>
        </w:tc>
        <w:tc>
          <w:tcPr>
            <w:tcW w:w="959" w:type="dxa"/>
            <w:tcBorders>
              <w:bottom w:val="nil"/>
            </w:tcBorders>
            <w:vAlign w:val="center"/>
          </w:tcPr>
          <w:p w:rsidR="00197085" w:rsidRPr="00C45AC0" w:rsidRDefault="00197085" w:rsidP="00E24F81">
            <w:pPr>
              <w:ind w:right="42"/>
              <w:jc w:val="center"/>
              <w:rPr>
                <w:b/>
                <w:bCs/>
              </w:rPr>
            </w:pPr>
            <w:r>
              <w:rPr>
                <w:b/>
                <w:bCs/>
              </w:rPr>
              <w:t>0,0</w:t>
            </w:r>
          </w:p>
        </w:tc>
      </w:tr>
      <w:tr w:rsidR="00197085" w:rsidRPr="00C45AC0" w:rsidTr="00E24F81">
        <w:trPr>
          <w:trHeight w:val="370"/>
        </w:trPr>
        <w:tc>
          <w:tcPr>
            <w:tcW w:w="3134" w:type="dxa"/>
            <w:tcBorders>
              <w:top w:val="nil"/>
              <w:bottom w:val="nil"/>
            </w:tcBorders>
            <w:vAlign w:val="center"/>
          </w:tcPr>
          <w:p w:rsidR="00197085" w:rsidRPr="00C45AC0" w:rsidRDefault="00197085" w:rsidP="00E24F81">
            <w:pPr>
              <w:ind w:right="42"/>
              <w:jc w:val="center"/>
            </w:pPr>
            <w:r w:rsidRPr="00C45AC0">
              <w:rPr>
                <w:sz w:val="22"/>
                <w:szCs w:val="22"/>
              </w:rPr>
              <w:t>Dayanıksız tüketim malı imalatı*</w:t>
            </w:r>
          </w:p>
        </w:tc>
        <w:tc>
          <w:tcPr>
            <w:tcW w:w="1165" w:type="dxa"/>
            <w:tcBorders>
              <w:top w:val="nil"/>
              <w:bottom w:val="nil"/>
            </w:tcBorders>
            <w:vAlign w:val="center"/>
          </w:tcPr>
          <w:p w:rsidR="00197085" w:rsidRPr="00C45AC0" w:rsidRDefault="00197085" w:rsidP="00E24F81">
            <w:pPr>
              <w:ind w:right="42"/>
              <w:jc w:val="center"/>
            </w:pPr>
            <w:r>
              <w:t>0,5</w:t>
            </w:r>
          </w:p>
        </w:tc>
        <w:tc>
          <w:tcPr>
            <w:tcW w:w="1086" w:type="dxa"/>
            <w:tcBorders>
              <w:top w:val="nil"/>
              <w:bottom w:val="nil"/>
            </w:tcBorders>
            <w:vAlign w:val="center"/>
          </w:tcPr>
          <w:p w:rsidR="00197085" w:rsidRPr="00C45AC0" w:rsidRDefault="00197085" w:rsidP="00E24F81">
            <w:pPr>
              <w:ind w:right="42"/>
              <w:jc w:val="center"/>
            </w:pPr>
            <w:r>
              <w:t>-1,8</w:t>
            </w:r>
          </w:p>
        </w:tc>
        <w:tc>
          <w:tcPr>
            <w:tcW w:w="1142" w:type="dxa"/>
            <w:tcBorders>
              <w:top w:val="nil"/>
              <w:bottom w:val="nil"/>
            </w:tcBorders>
            <w:vAlign w:val="center"/>
          </w:tcPr>
          <w:p w:rsidR="00197085" w:rsidRPr="00C45AC0" w:rsidRDefault="00197085" w:rsidP="00E24F81">
            <w:pPr>
              <w:ind w:right="42"/>
              <w:jc w:val="center"/>
            </w:pPr>
            <w:r>
              <w:t>2,3</w:t>
            </w:r>
          </w:p>
        </w:tc>
        <w:tc>
          <w:tcPr>
            <w:tcW w:w="1077" w:type="dxa"/>
            <w:tcBorders>
              <w:top w:val="nil"/>
              <w:bottom w:val="nil"/>
              <w:right w:val="double" w:sz="4" w:space="0" w:color="auto"/>
            </w:tcBorders>
            <w:vAlign w:val="center"/>
          </w:tcPr>
          <w:p w:rsidR="00197085" w:rsidRPr="00C45AC0" w:rsidRDefault="00197085" w:rsidP="00E24F81">
            <w:pPr>
              <w:ind w:right="42"/>
              <w:jc w:val="center"/>
            </w:pPr>
            <w:r>
              <w:t>**</w:t>
            </w:r>
          </w:p>
        </w:tc>
        <w:tc>
          <w:tcPr>
            <w:tcW w:w="959" w:type="dxa"/>
            <w:tcBorders>
              <w:top w:val="nil"/>
              <w:left w:val="double" w:sz="4" w:space="0" w:color="auto"/>
              <w:bottom w:val="nil"/>
            </w:tcBorders>
            <w:vAlign w:val="center"/>
          </w:tcPr>
          <w:p w:rsidR="00197085" w:rsidRPr="00C45AC0" w:rsidRDefault="00197085" w:rsidP="00E24F81">
            <w:pPr>
              <w:ind w:right="42"/>
              <w:jc w:val="center"/>
            </w:pPr>
            <w:r>
              <w:t>0,9</w:t>
            </w:r>
          </w:p>
        </w:tc>
        <w:tc>
          <w:tcPr>
            <w:tcW w:w="959" w:type="dxa"/>
            <w:tcBorders>
              <w:top w:val="nil"/>
              <w:bottom w:val="nil"/>
            </w:tcBorders>
            <w:vAlign w:val="center"/>
          </w:tcPr>
          <w:p w:rsidR="00197085" w:rsidRPr="00C45AC0" w:rsidRDefault="00197085" w:rsidP="00E24F81">
            <w:pPr>
              <w:ind w:right="42"/>
              <w:jc w:val="center"/>
            </w:pPr>
            <w:r>
              <w:t>0,0</w:t>
            </w:r>
          </w:p>
        </w:tc>
      </w:tr>
      <w:tr w:rsidR="00197085" w:rsidRPr="00C45AC0" w:rsidTr="00E24F81">
        <w:trPr>
          <w:trHeight w:val="370"/>
        </w:trPr>
        <w:tc>
          <w:tcPr>
            <w:tcW w:w="3134" w:type="dxa"/>
            <w:tcBorders>
              <w:top w:val="nil"/>
              <w:bottom w:val="nil"/>
            </w:tcBorders>
            <w:vAlign w:val="center"/>
          </w:tcPr>
          <w:p w:rsidR="00197085" w:rsidRPr="00C45AC0" w:rsidRDefault="00197085" w:rsidP="00E24F81">
            <w:pPr>
              <w:ind w:right="42"/>
              <w:jc w:val="center"/>
              <w:rPr>
                <w:b/>
                <w:bCs/>
              </w:rPr>
            </w:pPr>
            <w:r w:rsidRPr="00C45AC0">
              <w:rPr>
                <w:sz w:val="22"/>
                <w:szCs w:val="22"/>
              </w:rPr>
              <w:t>Dayanıklı tüketim malı imalatı*</w:t>
            </w:r>
          </w:p>
        </w:tc>
        <w:tc>
          <w:tcPr>
            <w:tcW w:w="1165" w:type="dxa"/>
            <w:tcBorders>
              <w:top w:val="nil"/>
              <w:bottom w:val="nil"/>
            </w:tcBorders>
            <w:vAlign w:val="center"/>
          </w:tcPr>
          <w:p w:rsidR="00197085" w:rsidRPr="00C45AC0" w:rsidRDefault="00197085" w:rsidP="00E24F81">
            <w:pPr>
              <w:ind w:right="42"/>
              <w:jc w:val="center"/>
            </w:pPr>
            <w:r>
              <w:t>1,4</w:t>
            </w:r>
          </w:p>
        </w:tc>
        <w:tc>
          <w:tcPr>
            <w:tcW w:w="1086" w:type="dxa"/>
            <w:tcBorders>
              <w:top w:val="nil"/>
              <w:bottom w:val="nil"/>
            </w:tcBorders>
            <w:vAlign w:val="center"/>
          </w:tcPr>
          <w:p w:rsidR="00197085" w:rsidRPr="00C45AC0" w:rsidRDefault="00197085" w:rsidP="00E24F81">
            <w:pPr>
              <w:ind w:right="42"/>
              <w:jc w:val="center"/>
            </w:pPr>
            <w:r>
              <w:t>-5,0</w:t>
            </w:r>
          </w:p>
        </w:tc>
        <w:tc>
          <w:tcPr>
            <w:tcW w:w="1142" w:type="dxa"/>
            <w:tcBorders>
              <w:top w:val="nil"/>
              <w:bottom w:val="nil"/>
            </w:tcBorders>
            <w:vAlign w:val="center"/>
          </w:tcPr>
          <w:p w:rsidR="00197085" w:rsidRPr="00C45AC0" w:rsidRDefault="00197085" w:rsidP="00E24F81">
            <w:pPr>
              <w:ind w:right="42"/>
              <w:jc w:val="center"/>
            </w:pPr>
            <w:r>
              <w:t>6,6</w:t>
            </w:r>
          </w:p>
        </w:tc>
        <w:tc>
          <w:tcPr>
            <w:tcW w:w="1077" w:type="dxa"/>
            <w:tcBorders>
              <w:top w:val="nil"/>
              <w:bottom w:val="nil"/>
              <w:right w:val="double" w:sz="4" w:space="0" w:color="auto"/>
            </w:tcBorders>
            <w:vAlign w:val="center"/>
          </w:tcPr>
          <w:p w:rsidR="00197085" w:rsidRPr="00C45AC0" w:rsidRDefault="00197085" w:rsidP="00E24F81">
            <w:pPr>
              <w:ind w:right="42"/>
              <w:jc w:val="center"/>
            </w:pPr>
            <w:r>
              <w:t>**</w:t>
            </w:r>
          </w:p>
        </w:tc>
        <w:tc>
          <w:tcPr>
            <w:tcW w:w="959" w:type="dxa"/>
            <w:tcBorders>
              <w:top w:val="nil"/>
              <w:left w:val="double" w:sz="4" w:space="0" w:color="auto"/>
              <w:bottom w:val="nil"/>
            </w:tcBorders>
            <w:vAlign w:val="center"/>
          </w:tcPr>
          <w:p w:rsidR="00197085" w:rsidRPr="00C45AC0" w:rsidRDefault="00197085" w:rsidP="00E24F81">
            <w:pPr>
              <w:ind w:right="42"/>
              <w:jc w:val="center"/>
            </w:pPr>
            <w:r>
              <w:t>0,1</w:t>
            </w:r>
          </w:p>
        </w:tc>
        <w:tc>
          <w:tcPr>
            <w:tcW w:w="959" w:type="dxa"/>
            <w:tcBorders>
              <w:top w:val="nil"/>
              <w:bottom w:val="nil"/>
            </w:tcBorders>
            <w:vAlign w:val="center"/>
          </w:tcPr>
          <w:p w:rsidR="00197085" w:rsidRPr="00C45AC0" w:rsidRDefault="00197085" w:rsidP="00E24F81">
            <w:pPr>
              <w:ind w:right="42"/>
              <w:jc w:val="center"/>
            </w:pPr>
            <w:r>
              <w:t>-1,9</w:t>
            </w:r>
          </w:p>
        </w:tc>
      </w:tr>
      <w:tr w:rsidR="00197085" w:rsidRPr="00C45AC0" w:rsidTr="00E24F81">
        <w:trPr>
          <w:trHeight w:val="370"/>
        </w:trPr>
        <w:tc>
          <w:tcPr>
            <w:tcW w:w="3134" w:type="dxa"/>
            <w:tcBorders>
              <w:top w:val="nil"/>
              <w:bottom w:val="nil"/>
            </w:tcBorders>
            <w:vAlign w:val="center"/>
          </w:tcPr>
          <w:p w:rsidR="00197085" w:rsidRPr="00C45AC0" w:rsidRDefault="00197085" w:rsidP="00E24F81">
            <w:pPr>
              <w:ind w:right="42"/>
              <w:jc w:val="center"/>
            </w:pPr>
            <w:r w:rsidRPr="00C45AC0">
              <w:rPr>
                <w:sz w:val="22"/>
                <w:szCs w:val="22"/>
              </w:rPr>
              <w:t>Ara malı imalatı*</w:t>
            </w:r>
          </w:p>
        </w:tc>
        <w:tc>
          <w:tcPr>
            <w:tcW w:w="1165" w:type="dxa"/>
            <w:tcBorders>
              <w:top w:val="nil"/>
              <w:bottom w:val="nil"/>
            </w:tcBorders>
            <w:vAlign w:val="center"/>
          </w:tcPr>
          <w:p w:rsidR="00197085" w:rsidRPr="00C45AC0" w:rsidRDefault="00197085" w:rsidP="00E24F81">
            <w:pPr>
              <w:ind w:right="42"/>
              <w:jc w:val="center"/>
            </w:pPr>
            <w:r>
              <w:t>0,0</w:t>
            </w:r>
          </w:p>
        </w:tc>
        <w:tc>
          <w:tcPr>
            <w:tcW w:w="1086" w:type="dxa"/>
            <w:tcBorders>
              <w:top w:val="nil"/>
              <w:bottom w:val="nil"/>
            </w:tcBorders>
            <w:vAlign w:val="center"/>
          </w:tcPr>
          <w:p w:rsidR="00197085" w:rsidRPr="00C45AC0" w:rsidRDefault="00197085" w:rsidP="00E24F81">
            <w:pPr>
              <w:ind w:right="42"/>
              <w:jc w:val="center"/>
            </w:pPr>
            <w:r>
              <w:t>-2,6</w:t>
            </w:r>
          </w:p>
        </w:tc>
        <w:tc>
          <w:tcPr>
            <w:tcW w:w="1142" w:type="dxa"/>
            <w:tcBorders>
              <w:top w:val="nil"/>
              <w:bottom w:val="nil"/>
            </w:tcBorders>
            <w:vAlign w:val="center"/>
          </w:tcPr>
          <w:p w:rsidR="00197085" w:rsidRPr="00C45AC0" w:rsidRDefault="00197085" w:rsidP="00E24F81">
            <w:pPr>
              <w:ind w:right="42"/>
              <w:jc w:val="center"/>
            </w:pPr>
            <w:r>
              <w:t>0,9</w:t>
            </w:r>
          </w:p>
        </w:tc>
        <w:tc>
          <w:tcPr>
            <w:tcW w:w="1077" w:type="dxa"/>
            <w:tcBorders>
              <w:top w:val="nil"/>
              <w:bottom w:val="nil"/>
              <w:right w:val="double" w:sz="4" w:space="0" w:color="auto"/>
            </w:tcBorders>
            <w:vAlign w:val="center"/>
          </w:tcPr>
          <w:p w:rsidR="00197085" w:rsidRPr="00C45AC0" w:rsidRDefault="00197085" w:rsidP="00E24F81">
            <w:pPr>
              <w:ind w:right="42"/>
              <w:jc w:val="center"/>
            </w:pPr>
            <w:r>
              <w:t>**</w:t>
            </w:r>
          </w:p>
        </w:tc>
        <w:tc>
          <w:tcPr>
            <w:tcW w:w="959" w:type="dxa"/>
            <w:tcBorders>
              <w:top w:val="nil"/>
              <w:left w:val="double" w:sz="4" w:space="0" w:color="auto"/>
              <w:bottom w:val="nil"/>
            </w:tcBorders>
            <w:vAlign w:val="center"/>
          </w:tcPr>
          <w:p w:rsidR="00197085" w:rsidRPr="00C45AC0" w:rsidRDefault="00197085" w:rsidP="00E24F81">
            <w:pPr>
              <w:ind w:right="42"/>
              <w:jc w:val="center"/>
            </w:pPr>
            <w:r>
              <w:t>-0,4</w:t>
            </w:r>
          </w:p>
        </w:tc>
        <w:tc>
          <w:tcPr>
            <w:tcW w:w="959" w:type="dxa"/>
            <w:tcBorders>
              <w:top w:val="nil"/>
              <w:bottom w:val="nil"/>
            </w:tcBorders>
            <w:vAlign w:val="center"/>
          </w:tcPr>
          <w:p w:rsidR="00197085" w:rsidRPr="00C45AC0" w:rsidRDefault="00197085" w:rsidP="00E24F81">
            <w:pPr>
              <w:ind w:right="42"/>
              <w:jc w:val="center"/>
            </w:pPr>
            <w:r>
              <w:t>-2,2</w:t>
            </w:r>
          </w:p>
        </w:tc>
      </w:tr>
      <w:tr w:rsidR="00197085" w:rsidRPr="00C45AC0" w:rsidTr="00E24F81">
        <w:trPr>
          <w:trHeight w:val="370"/>
        </w:trPr>
        <w:tc>
          <w:tcPr>
            <w:tcW w:w="3134" w:type="dxa"/>
            <w:tcBorders>
              <w:top w:val="nil"/>
            </w:tcBorders>
            <w:vAlign w:val="center"/>
          </w:tcPr>
          <w:p w:rsidR="00197085" w:rsidRPr="00C45AC0" w:rsidRDefault="00197085" w:rsidP="00E24F81">
            <w:pPr>
              <w:ind w:right="42"/>
              <w:jc w:val="center"/>
            </w:pPr>
            <w:r w:rsidRPr="00C45AC0">
              <w:rPr>
                <w:sz w:val="22"/>
                <w:szCs w:val="22"/>
              </w:rPr>
              <w:t>Yatırım malı imalatı*</w:t>
            </w:r>
          </w:p>
        </w:tc>
        <w:tc>
          <w:tcPr>
            <w:tcW w:w="1165" w:type="dxa"/>
            <w:tcBorders>
              <w:top w:val="nil"/>
            </w:tcBorders>
            <w:vAlign w:val="center"/>
          </w:tcPr>
          <w:p w:rsidR="00197085" w:rsidRPr="00C45AC0" w:rsidRDefault="00197085" w:rsidP="00E24F81">
            <w:pPr>
              <w:ind w:right="42"/>
              <w:jc w:val="center"/>
            </w:pPr>
            <w:r>
              <w:t>4,3</w:t>
            </w:r>
          </w:p>
        </w:tc>
        <w:tc>
          <w:tcPr>
            <w:tcW w:w="1086" w:type="dxa"/>
            <w:tcBorders>
              <w:top w:val="nil"/>
            </w:tcBorders>
            <w:vAlign w:val="center"/>
          </w:tcPr>
          <w:p w:rsidR="00197085" w:rsidRPr="00C45AC0" w:rsidRDefault="00197085" w:rsidP="00E24F81">
            <w:pPr>
              <w:ind w:right="42"/>
              <w:jc w:val="center"/>
            </w:pPr>
            <w:r>
              <w:t>1,1</w:t>
            </w:r>
          </w:p>
        </w:tc>
        <w:tc>
          <w:tcPr>
            <w:tcW w:w="1142" w:type="dxa"/>
            <w:tcBorders>
              <w:top w:val="nil"/>
            </w:tcBorders>
            <w:vAlign w:val="center"/>
          </w:tcPr>
          <w:p w:rsidR="00197085" w:rsidRPr="00C45AC0" w:rsidRDefault="00197085" w:rsidP="00E24F81">
            <w:pPr>
              <w:ind w:right="42"/>
              <w:jc w:val="center"/>
            </w:pPr>
            <w:r>
              <w:t>1,0</w:t>
            </w:r>
          </w:p>
        </w:tc>
        <w:tc>
          <w:tcPr>
            <w:tcW w:w="1077" w:type="dxa"/>
            <w:tcBorders>
              <w:top w:val="nil"/>
              <w:right w:val="double" w:sz="4" w:space="0" w:color="auto"/>
            </w:tcBorders>
            <w:vAlign w:val="center"/>
          </w:tcPr>
          <w:p w:rsidR="00197085" w:rsidRPr="00C45AC0" w:rsidRDefault="00197085" w:rsidP="00E24F81">
            <w:pPr>
              <w:ind w:right="42"/>
              <w:jc w:val="center"/>
            </w:pPr>
            <w:r>
              <w:t>**</w:t>
            </w:r>
          </w:p>
        </w:tc>
        <w:tc>
          <w:tcPr>
            <w:tcW w:w="959" w:type="dxa"/>
            <w:tcBorders>
              <w:top w:val="nil"/>
              <w:left w:val="double" w:sz="4" w:space="0" w:color="auto"/>
            </w:tcBorders>
            <w:vAlign w:val="center"/>
          </w:tcPr>
          <w:p w:rsidR="00197085" w:rsidRPr="00C45AC0" w:rsidRDefault="00197085" w:rsidP="00E24F81">
            <w:pPr>
              <w:ind w:right="42"/>
              <w:jc w:val="center"/>
            </w:pPr>
            <w:r>
              <w:t>-2,1</w:t>
            </w:r>
          </w:p>
        </w:tc>
        <w:tc>
          <w:tcPr>
            <w:tcW w:w="959" w:type="dxa"/>
            <w:tcBorders>
              <w:top w:val="nil"/>
            </w:tcBorders>
            <w:vAlign w:val="center"/>
          </w:tcPr>
          <w:p w:rsidR="00197085" w:rsidRPr="00C45AC0" w:rsidRDefault="00197085" w:rsidP="00E24F81">
            <w:pPr>
              <w:ind w:right="42"/>
              <w:jc w:val="center"/>
            </w:pPr>
            <w:r>
              <w:t>4,1</w:t>
            </w:r>
          </w:p>
        </w:tc>
      </w:tr>
      <w:tr w:rsidR="00197085" w:rsidRPr="00C45AC0" w:rsidTr="00E24F81">
        <w:trPr>
          <w:trHeight w:val="370"/>
        </w:trPr>
        <w:tc>
          <w:tcPr>
            <w:tcW w:w="3134" w:type="dxa"/>
            <w:tcBorders>
              <w:bottom w:val="nil"/>
            </w:tcBorders>
            <w:vAlign w:val="center"/>
          </w:tcPr>
          <w:p w:rsidR="00197085" w:rsidRPr="00C45AC0" w:rsidRDefault="00197085" w:rsidP="00E24F81">
            <w:pPr>
              <w:ind w:right="42"/>
              <w:jc w:val="center"/>
              <w:rPr>
                <w:b/>
                <w:bCs/>
              </w:rPr>
            </w:pPr>
            <w:r w:rsidRPr="00C45AC0">
              <w:rPr>
                <w:b/>
                <w:bCs/>
                <w:sz w:val="22"/>
                <w:szCs w:val="22"/>
              </w:rPr>
              <w:t>Kapasite kullanım oranı (KKO)*</w:t>
            </w:r>
            <w:r w:rsidRPr="00C45AC0">
              <w:rPr>
                <w:b/>
                <w:bCs/>
                <w:sz w:val="22"/>
                <w:szCs w:val="22"/>
                <w:vertAlign w:val="superscript"/>
              </w:rPr>
              <w:t>, ‡</w:t>
            </w:r>
          </w:p>
        </w:tc>
        <w:tc>
          <w:tcPr>
            <w:tcW w:w="1165" w:type="dxa"/>
            <w:tcBorders>
              <w:bottom w:val="nil"/>
            </w:tcBorders>
            <w:vAlign w:val="center"/>
          </w:tcPr>
          <w:p w:rsidR="00197085" w:rsidRPr="00C45AC0" w:rsidRDefault="00197085" w:rsidP="00E24F81">
            <w:pPr>
              <w:ind w:right="42"/>
              <w:jc w:val="center"/>
              <w:rPr>
                <w:b/>
                <w:bCs/>
              </w:rPr>
            </w:pPr>
            <w:r>
              <w:rPr>
                <w:b/>
                <w:bCs/>
              </w:rPr>
              <w:t>0,4</w:t>
            </w:r>
          </w:p>
        </w:tc>
        <w:tc>
          <w:tcPr>
            <w:tcW w:w="1086" w:type="dxa"/>
            <w:tcBorders>
              <w:bottom w:val="nil"/>
            </w:tcBorders>
            <w:vAlign w:val="center"/>
          </w:tcPr>
          <w:p w:rsidR="00197085" w:rsidRPr="00C45AC0" w:rsidRDefault="00197085" w:rsidP="00E24F81">
            <w:pPr>
              <w:ind w:right="42"/>
              <w:jc w:val="center"/>
              <w:rPr>
                <w:b/>
                <w:bCs/>
              </w:rPr>
            </w:pPr>
            <w:r>
              <w:rPr>
                <w:b/>
                <w:bCs/>
              </w:rPr>
              <w:t>0,2</w:t>
            </w:r>
          </w:p>
        </w:tc>
        <w:tc>
          <w:tcPr>
            <w:tcW w:w="1142" w:type="dxa"/>
            <w:tcBorders>
              <w:bottom w:val="nil"/>
            </w:tcBorders>
            <w:vAlign w:val="center"/>
          </w:tcPr>
          <w:p w:rsidR="00197085" w:rsidRPr="00C45AC0" w:rsidRDefault="00197085" w:rsidP="00E24F81">
            <w:pPr>
              <w:ind w:right="42"/>
              <w:jc w:val="center"/>
              <w:rPr>
                <w:b/>
                <w:bCs/>
              </w:rPr>
            </w:pPr>
            <w:r>
              <w:rPr>
                <w:b/>
                <w:bCs/>
              </w:rPr>
              <w:t>-0,5</w:t>
            </w:r>
          </w:p>
        </w:tc>
        <w:tc>
          <w:tcPr>
            <w:tcW w:w="1077" w:type="dxa"/>
            <w:tcBorders>
              <w:bottom w:val="nil"/>
              <w:right w:val="double" w:sz="4" w:space="0" w:color="auto"/>
            </w:tcBorders>
            <w:vAlign w:val="center"/>
          </w:tcPr>
          <w:p w:rsidR="00197085" w:rsidRPr="00C45AC0" w:rsidRDefault="00197085" w:rsidP="00E24F81">
            <w:pPr>
              <w:ind w:right="42"/>
              <w:jc w:val="center"/>
              <w:rPr>
                <w:b/>
                <w:bCs/>
              </w:rPr>
            </w:pPr>
            <w:r>
              <w:rPr>
                <w:b/>
                <w:bCs/>
              </w:rPr>
              <w:t>-0,2</w:t>
            </w:r>
          </w:p>
        </w:tc>
        <w:tc>
          <w:tcPr>
            <w:tcW w:w="959" w:type="dxa"/>
            <w:tcBorders>
              <w:left w:val="double" w:sz="4" w:space="0" w:color="auto"/>
              <w:bottom w:val="nil"/>
            </w:tcBorders>
            <w:vAlign w:val="center"/>
          </w:tcPr>
          <w:p w:rsidR="00197085" w:rsidRPr="00C45AC0" w:rsidRDefault="00197085" w:rsidP="00E24F81">
            <w:pPr>
              <w:ind w:right="42"/>
              <w:jc w:val="center"/>
              <w:rPr>
                <w:b/>
                <w:bCs/>
              </w:rPr>
            </w:pPr>
            <w:r>
              <w:rPr>
                <w:b/>
                <w:bCs/>
              </w:rPr>
              <w:t>0,0</w:t>
            </w:r>
          </w:p>
        </w:tc>
        <w:tc>
          <w:tcPr>
            <w:tcW w:w="959" w:type="dxa"/>
            <w:tcBorders>
              <w:bottom w:val="nil"/>
            </w:tcBorders>
            <w:vAlign w:val="center"/>
          </w:tcPr>
          <w:p w:rsidR="00197085" w:rsidRPr="00C45AC0" w:rsidRDefault="00197085" w:rsidP="00E24F81">
            <w:pPr>
              <w:ind w:right="42"/>
              <w:jc w:val="center"/>
              <w:rPr>
                <w:b/>
                <w:bCs/>
              </w:rPr>
            </w:pPr>
            <w:r>
              <w:rPr>
                <w:b/>
                <w:bCs/>
              </w:rPr>
              <w:t>0,0</w:t>
            </w:r>
          </w:p>
        </w:tc>
      </w:tr>
      <w:tr w:rsidR="00197085" w:rsidRPr="00C45AC0" w:rsidTr="00E24F81">
        <w:trPr>
          <w:trHeight w:val="370"/>
        </w:trPr>
        <w:tc>
          <w:tcPr>
            <w:tcW w:w="3134" w:type="dxa"/>
            <w:tcBorders>
              <w:top w:val="nil"/>
              <w:bottom w:val="nil"/>
            </w:tcBorders>
            <w:vAlign w:val="center"/>
          </w:tcPr>
          <w:p w:rsidR="00197085" w:rsidRPr="00C45AC0" w:rsidRDefault="00197085" w:rsidP="00E24F81">
            <w:pPr>
              <w:ind w:right="42"/>
              <w:jc w:val="center"/>
            </w:pPr>
            <w:r w:rsidRPr="00C45AC0">
              <w:rPr>
                <w:sz w:val="22"/>
                <w:szCs w:val="22"/>
              </w:rPr>
              <w:t>Dayanıksız tüketim malı imalatı</w:t>
            </w:r>
            <w:r w:rsidRPr="00C45AC0">
              <w:rPr>
                <w:b/>
                <w:bCs/>
                <w:sz w:val="22"/>
                <w:szCs w:val="22"/>
                <w:vertAlign w:val="superscript"/>
              </w:rPr>
              <w:t>‡</w:t>
            </w:r>
          </w:p>
        </w:tc>
        <w:tc>
          <w:tcPr>
            <w:tcW w:w="1165" w:type="dxa"/>
            <w:tcBorders>
              <w:top w:val="nil"/>
              <w:bottom w:val="nil"/>
            </w:tcBorders>
            <w:vAlign w:val="center"/>
          </w:tcPr>
          <w:p w:rsidR="00197085" w:rsidRPr="00C45AC0" w:rsidRDefault="00197085" w:rsidP="00E24F81">
            <w:pPr>
              <w:ind w:right="42"/>
              <w:jc w:val="center"/>
            </w:pPr>
            <w:r>
              <w:t>0,3</w:t>
            </w:r>
          </w:p>
        </w:tc>
        <w:tc>
          <w:tcPr>
            <w:tcW w:w="1086" w:type="dxa"/>
            <w:tcBorders>
              <w:top w:val="nil"/>
              <w:bottom w:val="nil"/>
            </w:tcBorders>
            <w:vAlign w:val="center"/>
          </w:tcPr>
          <w:p w:rsidR="00197085" w:rsidRPr="00C45AC0" w:rsidRDefault="00197085" w:rsidP="00E24F81">
            <w:pPr>
              <w:ind w:right="42"/>
              <w:jc w:val="center"/>
            </w:pPr>
            <w:r>
              <w:t>0,0</w:t>
            </w:r>
          </w:p>
        </w:tc>
        <w:tc>
          <w:tcPr>
            <w:tcW w:w="1142" w:type="dxa"/>
            <w:tcBorders>
              <w:top w:val="nil"/>
              <w:bottom w:val="nil"/>
            </w:tcBorders>
            <w:vAlign w:val="center"/>
          </w:tcPr>
          <w:p w:rsidR="00197085" w:rsidRPr="00C45AC0" w:rsidRDefault="00197085" w:rsidP="00E24F81">
            <w:pPr>
              <w:ind w:right="42"/>
              <w:jc w:val="center"/>
            </w:pPr>
            <w:r>
              <w:t>-0,7</w:t>
            </w:r>
          </w:p>
        </w:tc>
        <w:tc>
          <w:tcPr>
            <w:tcW w:w="1077" w:type="dxa"/>
            <w:tcBorders>
              <w:top w:val="nil"/>
              <w:bottom w:val="nil"/>
              <w:right w:val="double" w:sz="4" w:space="0" w:color="auto"/>
            </w:tcBorders>
            <w:vAlign w:val="center"/>
          </w:tcPr>
          <w:p w:rsidR="00197085" w:rsidRPr="00C45AC0" w:rsidRDefault="00197085" w:rsidP="00E24F81">
            <w:pPr>
              <w:ind w:right="42"/>
              <w:jc w:val="center"/>
            </w:pPr>
            <w:r>
              <w:t>-0,3</w:t>
            </w:r>
          </w:p>
        </w:tc>
        <w:tc>
          <w:tcPr>
            <w:tcW w:w="959" w:type="dxa"/>
            <w:tcBorders>
              <w:top w:val="nil"/>
              <w:left w:val="double" w:sz="4" w:space="0" w:color="auto"/>
              <w:bottom w:val="nil"/>
            </w:tcBorders>
            <w:vAlign w:val="center"/>
          </w:tcPr>
          <w:p w:rsidR="00197085" w:rsidRPr="00C45AC0" w:rsidRDefault="00197085" w:rsidP="00E24F81">
            <w:pPr>
              <w:ind w:right="42"/>
              <w:jc w:val="center"/>
            </w:pPr>
            <w:r>
              <w:t>-0,4</w:t>
            </w:r>
          </w:p>
        </w:tc>
        <w:tc>
          <w:tcPr>
            <w:tcW w:w="959" w:type="dxa"/>
            <w:tcBorders>
              <w:top w:val="nil"/>
              <w:bottom w:val="nil"/>
            </w:tcBorders>
            <w:vAlign w:val="center"/>
          </w:tcPr>
          <w:p w:rsidR="00197085" w:rsidRPr="00C45AC0" w:rsidRDefault="00197085" w:rsidP="00E24F81">
            <w:pPr>
              <w:ind w:right="42"/>
              <w:jc w:val="center"/>
            </w:pPr>
            <w:r>
              <w:t>-0,2</w:t>
            </w:r>
          </w:p>
        </w:tc>
      </w:tr>
      <w:tr w:rsidR="00197085" w:rsidRPr="00C45AC0" w:rsidTr="00E24F81">
        <w:trPr>
          <w:trHeight w:val="370"/>
        </w:trPr>
        <w:tc>
          <w:tcPr>
            <w:tcW w:w="3134" w:type="dxa"/>
            <w:tcBorders>
              <w:top w:val="nil"/>
              <w:bottom w:val="nil"/>
            </w:tcBorders>
            <w:vAlign w:val="center"/>
          </w:tcPr>
          <w:p w:rsidR="00197085" w:rsidRPr="00C45AC0" w:rsidRDefault="00197085" w:rsidP="00E24F81">
            <w:pPr>
              <w:ind w:right="42"/>
              <w:jc w:val="center"/>
              <w:rPr>
                <w:b/>
                <w:bCs/>
              </w:rPr>
            </w:pPr>
            <w:r w:rsidRPr="00C45AC0">
              <w:rPr>
                <w:sz w:val="22"/>
                <w:szCs w:val="22"/>
              </w:rPr>
              <w:t>Dayanıklı tüketim malı imalatı</w:t>
            </w:r>
            <w:r w:rsidRPr="00C45AC0">
              <w:rPr>
                <w:b/>
                <w:bCs/>
                <w:sz w:val="22"/>
                <w:szCs w:val="22"/>
                <w:vertAlign w:val="superscript"/>
              </w:rPr>
              <w:t>‡</w:t>
            </w:r>
          </w:p>
        </w:tc>
        <w:tc>
          <w:tcPr>
            <w:tcW w:w="1165" w:type="dxa"/>
            <w:tcBorders>
              <w:top w:val="nil"/>
              <w:bottom w:val="nil"/>
            </w:tcBorders>
            <w:vAlign w:val="center"/>
          </w:tcPr>
          <w:p w:rsidR="00197085" w:rsidRPr="00C45AC0" w:rsidRDefault="00197085" w:rsidP="00E24F81">
            <w:pPr>
              <w:ind w:right="42"/>
              <w:jc w:val="center"/>
            </w:pPr>
            <w:r>
              <w:t>-1,0</w:t>
            </w:r>
          </w:p>
        </w:tc>
        <w:tc>
          <w:tcPr>
            <w:tcW w:w="1086" w:type="dxa"/>
            <w:tcBorders>
              <w:top w:val="nil"/>
              <w:bottom w:val="nil"/>
            </w:tcBorders>
            <w:vAlign w:val="center"/>
          </w:tcPr>
          <w:p w:rsidR="00197085" w:rsidRPr="00C45AC0" w:rsidRDefault="00197085" w:rsidP="00E24F81">
            <w:pPr>
              <w:ind w:right="42"/>
              <w:jc w:val="center"/>
            </w:pPr>
            <w:r>
              <w:t>1,2</w:t>
            </w:r>
          </w:p>
        </w:tc>
        <w:tc>
          <w:tcPr>
            <w:tcW w:w="1142" w:type="dxa"/>
            <w:tcBorders>
              <w:top w:val="nil"/>
              <w:bottom w:val="nil"/>
            </w:tcBorders>
            <w:vAlign w:val="center"/>
          </w:tcPr>
          <w:p w:rsidR="00197085" w:rsidRPr="00C45AC0" w:rsidRDefault="00197085" w:rsidP="00E24F81">
            <w:pPr>
              <w:ind w:right="42"/>
              <w:jc w:val="center"/>
            </w:pPr>
            <w:r>
              <w:t>-1,6</w:t>
            </w:r>
          </w:p>
        </w:tc>
        <w:tc>
          <w:tcPr>
            <w:tcW w:w="1077" w:type="dxa"/>
            <w:tcBorders>
              <w:top w:val="nil"/>
              <w:bottom w:val="nil"/>
              <w:right w:val="double" w:sz="4" w:space="0" w:color="auto"/>
            </w:tcBorders>
            <w:vAlign w:val="center"/>
          </w:tcPr>
          <w:p w:rsidR="00197085" w:rsidRPr="00C45AC0" w:rsidRDefault="00197085" w:rsidP="00E24F81">
            <w:pPr>
              <w:ind w:right="42"/>
              <w:jc w:val="center"/>
            </w:pPr>
            <w:r>
              <w:t>1,8</w:t>
            </w:r>
          </w:p>
        </w:tc>
        <w:tc>
          <w:tcPr>
            <w:tcW w:w="959" w:type="dxa"/>
            <w:tcBorders>
              <w:top w:val="nil"/>
              <w:left w:val="double" w:sz="4" w:space="0" w:color="auto"/>
              <w:bottom w:val="nil"/>
            </w:tcBorders>
            <w:vAlign w:val="center"/>
          </w:tcPr>
          <w:p w:rsidR="00197085" w:rsidRPr="00C45AC0" w:rsidRDefault="00197085" w:rsidP="00E24F81">
            <w:pPr>
              <w:ind w:right="42"/>
              <w:jc w:val="center"/>
            </w:pPr>
            <w:r>
              <w:t>-1,4</w:t>
            </w:r>
          </w:p>
        </w:tc>
        <w:tc>
          <w:tcPr>
            <w:tcW w:w="959" w:type="dxa"/>
            <w:tcBorders>
              <w:top w:val="nil"/>
              <w:bottom w:val="nil"/>
            </w:tcBorders>
            <w:vAlign w:val="center"/>
          </w:tcPr>
          <w:p w:rsidR="00197085" w:rsidRPr="00C45AC0" w:rsidRDefault="00197085" w:rsidP="00E24F81">
            <w:pPr>
              <w:ind w:right="42"/>
              <w:jc w:val="center"/>
            </w:pPr>
            <w:r>
              <w:t>-0,5</w:t>
            </w:r>
          </w:p>
        </w:tc>
      </w:tr>
      <w:tr w:rsidR="00197085" w:rsidRPr="00C45AC0" w:rsidTr="00E24F81">
        <w:trPr>
          <w:trHeight w:val="370"/>
        </w:trPr>
        <w:tc>
          <w:tcPr>
            <w:tcW w:w="3134" w:type="dxa"/>
            <w:tcBorders>
              <w:top w:val="nil"/>
              <w:bottom w:val="nil"/>
            </w:tcBorders>
            <w:vAlign w:val="center"/>
          </w:tcPr>
          <w:p w:rsidR="00197085" w:rsidRPr="00C45AC0" w:rsidRDefault="00197085" w:rsidP="00E24F81">
            <w:pPr>
              <w:ind w:right="42"/>
              <w:jc w:val="center"/>
            </w:pPr>
            <w:r w:rsidRPr="00C45AC0">
              <w:rPr>
                <w:sz w:val="22"/>
                <w:szCs w:val="22"/>
              </w:rPr>
              <w:t>Ara malı imalatı</w:t>
            </w:r>
            <w:r w:rsidRPr="00C45AC0">
              <w:rPr>
                <w:b/>
                <w:bCs/>
                <w:sz w:val="22"/>
                <w:szCs w:val="22"/>
                <w:vertAlign w:val="superscript"/>
              </w:rPr>
              <w:t>‡</w:t>
            </w:r>
          </w:p>
        </w:tc>
        <w:tc>
          <w:tcPr>
            <w:tcW w:w="1165" w:type="dxa"/>
            <w:tcBorders>
              <w:top w:val="nil"/>
              <w:bottom w:val="nil"/>
            </w:tcBorders>
            <w:vAlign w:val="center"/>
          </w:tcPr>
          <w:p w:rsidR="00197085" w:rsidRPr="00C45AC0" w:rsidRDefault="00197085" w:rsidP="00E24F81">
            <w:pPr>
              <w:ind w:right="42"/>
              <w:jc w:val="center"/>
            </w:pPr>
            <w:r>
              <w:t>0,8</w:t>
            </w:r>
          </w:p>
        </w:tc>
        <w:tc>
          <w:tcPr>
            <w:tcW w:w="1086" w:type="dxa"/>
            <w:tcBorders>
              <w:top w:val="nil"/>
              <w:bottom w:val="nil"/>
            </w:tcBorders>
            <w:vAlign w:val="center"/>
          </w:tcPr>
          <w:p w:rsidR="00197085" w:rsidRPr="00C45AC0" w:rsidRDefault="00197085" w:rsidP="00E24F81">
            <w:pPr>
              <w:ind w:right="42"/>
              <w:jc w:val="center"/>
            </w:pPr>
            <w:r>
              <w:t>0,3</w:t>
            </w:r>
          </w:p>
        </w:tc>
        <w:tc>
          <w:tcPr>
            <w:tcW w:w="1142" w:type="dxa"/>
            <w:tcBorders>
              <w:top w:val="nil"/>
              <w:bottom w:val="nil"/>
            </w:tcBorders>
            <w:vAlign w:val="center"/>
          </w:tcPr>
          <w:p w:rsidR="00197085" w:rsidRPr="00C45AC0" w:rsidRDefault="00197085" w:rsidP="00E24F81">
            <w:pPr>
              <w:ind w:right="42"/>
              <w:jc w:val="center"/>
            </w:pPr>
            <w:r>
              <w:t>-0,4</w:t>
            </w:r>
          </w:p>
        </w:tc>
        <w:tc>
          <w:tcPr>
            <w:tcW w:w="1077" w:type="dxa"/>
            <w:tcBorders>
              <w:top w:val="nil"/>
              <w:bottom w:val="nil"/>
              <w:right w:val="double" w:sz="4" w:space="0" w:color="auto"/>
            </w:tcBorders>
            <w:vAlign w:val="center"/>
          </w:tcPr>
          <w:p w:rsidR="00197085" w:rsidRPr="00C45AC0" w:rsidRDefault="00197085" w:rsidP="00E24F81">
            <w:pPr>
              <w:ind w:right="42"/>
              <w:jc w:val="center"/>
            </w:pPr>
            <w:r>
              <w:t>-1,0</w:t>
            </w:r>
          </w:p>
        </w:tc>
        <w:tc>
          <w:tcPr>
            <w:tcW w:w="959" w:type="dxa"/>
            <w:tcBorders>
              <w:top w:val="nil"/>
              <w:left w:val="double" w:sz="4" w:space="0" w:color="auto"/>
              <w:bottom w:val="nil"/>
            </w:tcBorders>
            <w:vAlign w:val="center"/>
          </w:tcPr>
          <w:p w:rsidR="00197085" w:rsidRPr="00C45AC0" w:rsidRDefault="00197085" w:rsidP="00E24F81">
            <w:pPr>
              <w:ind w:right="42"/>
              <w:jc w:val="center"/>
            </w:pPr>
            <w:r>
              <w:t>-0,3</w:t>
            </w:r>
          </w:p>
        </w:tc>
        <w:tc>
          <w:tcPr>
            <w:tcW w:w="959" w:type="dxa"/>
            <w:tcBorders>
              <w:top w:val="nil"/>
              <w:bottom w:val="nil"/>
            </w:tcBorders>
            <w:vAlign w:val="center"/>
          </w:tcPr>
          <w:p w:rsidR="00197085" w:rsidRPr="00C45AC0" w:rsidRDefault="00197085" w:rsidP="00E24F81">
            <w:pPr>
              <w:ind w:right="42"/>
              <w:jc w:val="center"/>
            </w:pPr>
            <w:r>
              <w:t>0,3</w:t>
            </w:r>
          </w:p>
        </w:tc>
      </w:tr>
      <w:tr w:rsidR="00197085" w:rsidRPr="00C45AC0" w:rsidTr="00E24F81">
        <w:trPr>
          <w:trHeight w:val="370"/>
        </w:trPr>
        <w:tc>
          <w:tcPr>
            <w:tcW w:w="3134" w:type="dxa"/>
            <w:tcBorders>
              <w:top w:val="nil"/>
            </w:tcBorders>
            <w:vAlign w:val="center"/>
          </w:tcPr>
          <w:p w:rsidR="00197085" w:rsidRPr="00C45AC0" w:rsidRDefault="00197085" w:rsidP="00E24F81">
            <w:pPr>
              <w:ind w:right="42"/>
              <w:jc w:val="center"/>
            </w:pPr>
            <w:r w:rsidRPr="00C45AC0">
              <w:rPr>
                <w:sz w:val="22"/>
                <w:szCs w:val="22"/>
              </w:rPr>
              <w:t>Yatırım malı imalatı</w:t>
            </w:r>
            <w:r w:rsidRPr="00C45AC0">
              <w:rPr>
                <w:b/>
                <w:bCs/>
                <w:sz w:val="22"/>
                <w:szCs w:val="22"/>
                <w:vertAlign w:val="superscript"/>
              </w:rPr>
              <w:t>‡</w:t>
            </w:r>
          </w:p>
        </w:tc>
        <w:tc>
          <w:tcPr>
            <w:tcW w:w="1165" w:type="dxa"/>
            <w:tcBorders>
              <w:top w:val="nil"/>
            </w:tcBorders>
            <w:vAlign w:val="center"/>
          </w:tcPr>
          <w:p w:rsidR="00197085" w:rsidRPr="00C45AC0" w:rsidRDefault="00197085" w:rsidP="00E24F81">
            <w:pPr>
              <w:ind w:right="42"/>
              <w:jc w:val="center"/>
            </w:pPr>
            <w:r>
              <w:t>0,5</w:t>
            </w:r>
          </w:p>
        </w:tc>
        <w:tc>
          <w:tcPr>
            <w:tcW w:w="1086" w:type="dxa"/>
            <w:tcBorders>
              <w:top w:val="nil"/>
            </w:tcBorders>
            <w:vAlign w:val="center"/>
          </w:tcPr>
          <w:p w:rsidR="00197085" w:rsidRPr="00C45AC0" w:rsidRDefault="00197085" w:rsidP="00E24F81">
            <w:pPr>
              <w:ind w:right="42"/>
              <w:jc w:val="center"/>
            </w:pPr>
            <w:r>
              <w:t>0,4</w:t>
            </w:r>
          </w:p>
        </w:tc>
        <w:tc>
          <w:tcPr>
            <w:tcW w:w="1142" w:type="dxa"/>
            <w:tcBorders>
              <w:top w:val="nil"/>
            </w:tcBorders>
            <w:vAlign w:val="center"/>
          </w:tcPr>
          <w:p w:rsidR="00197085" w:rsidRPr="00C45AC0" w:rsidRDefault="00197085" w:rsidP="00E24F81">
            <w:pPr>
              <w:ind w:right="42"/>
              <w:jc w:val="center"/>
            </w:pPr>
            <w:r>
              <w:t>0,1</w:t>
            </w:r>
          </w:p>
        </w:tc>
        <w:tc>
          <w:tcPr>
            <w:tcW w:w="1077" w:type="dxa"/>
            <w:tcBorders>
              <w:top w:val="nil"/>
              <w:right w:val="double" w:sz="4" w:space="0" w:color="auto"/>
            </w:tcBorders>
            <w:vAlign w:val="center"/>
          </w:tcPr>
          <w:p w:rsidR="00197085" w:rsidRPr="00C45AC0" w:rsidRDefault="00197085" w:rsidP="00E24F81">
            <w:pPr>
              <w:ind w:right="42"/>
              <w:jc w:val="center"/>
            </w:pPr>
            <w:r>
              <w:t>0,5</w:t>
            </w:r>
          </w:p>
        </w:tc>
        <w:tc>
          <w:tcPr>
            <w:tcW w:w="959" w:type="dxa"/>
            <w:tcBorders>
              <w:top w:val="nil"/>
              <w:left w:val="double" w:sz="4" w:space="0" w:color="auto"/>
            </w:tcBorders>
            <w:vAlign w:val="center"/>
          </w:tcPr>
          <w:p w:rsidR="00197085" w:rsidRPr="00C45AC0" w:rsidRDefault="00197085" w:rsidP="00E24F81">
            <w:pPr>
              <w:ind w:right="42"/>
              <w:jc w:val="center"/>
            </w:pPr>
            <w:r>
              <w:t>0,6</w:t>
            </w:r>
          </w:p>
        </w:tc>
        <w:tc>
          <w:tcPr>
            <w:tcW w:w="959" w:type="dxa"/>
            <w:tcBorders>
              <w:top w:val="nil"/>
            </w:tcBorders>
            <w:vAlign w:val="center"/>
          </w:tcPr>
          <w:p w:rsidR="00197085" w:rsidRPr="00C45AC0" w:rsidRDefault="00197085" w:rsidP="00E24F81">
            <w:pPr>
              <w:ind w:right="42"/>
              <w:jc w:val="center"/>
            </w:pPr>
            <w:r>
              <w:t>1,3</w:t>
            </w:r>
          </w:p>
        </w:tc>
      </w:tr>
      <w:tr w:rsidR="00197085" w:rsidRPr="00C45AC0" w:rsidTr="00E24F81">
        <w:trPr>
          <w:trHeight w:val="370"/>
        </w:trPr>
        <w:tc>
          <w:tcPr>
            <w:tcW w:w="3134" w:type="dxa"/>
            <w:tcBorders>
              <w:bottom w:val="nil"/>
            </w:tcBorders>
            <w:vAlign w:val="center"/>
          </w:tcPr>
          <w:p w:rsidR="00197085" w:rsidRPr="00C45AC0" w:rsidRDefault="00197085" w:rsidP="00E24F81">
            <w:pPr>
              <w:ind w:right="42"/>
              <w:jc w:val="center"/>
              <w:rPr>
                <w:b/>
                <w:bCs/>
              </w:rPr>
            </w:pPr>
            <w:r w:rsidRPr="00C45AC0">
              <w:rPr>
                <w:b/>
                <w:bCs/>
                <w:sz w:val="22"/>
                <w:szCs w:val="22"/>
              </w:rPr>
              <w:t>Beklenti göstergeleri</w:t>
            </w:r>
          </w:p>
        </w:tc>
        <w:tc>
          <w:tcPr>
            <w:tcW w:w="1165" w:type="dxa"/>
            <w:tcBorders>
              <w:bottom w:val="nil"/>
            </w:tcBorders>
            <w:vAlign w:val="center"/>
          </w:tcPr>
          <w:p w:rsidR="00197085" w:rsidRPr="00C45AC0" w:rsidRDefault="00197085" w:rsidP="00E24F81">
            <w:pPr>
              <w:ind w:right="42"/>
              <w:jc w:val="center"/>
              <w:rPr>
                <w:b/>
                <w:bCs/>
              </w:rPr>
            </w:pPr>
          </w:p>
        </w:tc>
        <w:tc>
          <w:tcPr>
            <w:tcW w:w="1086" w:type="dxa"/>
            <w:tcBorders>
              <w:bottom w:val="nil"/>
            </w:tcBorders>
            <w:vAlign w:val="center"/>
          </w:tcPr>
          <w:p w:rsidR="00197085" w:rsidRPr="00C45AC0" w:rsidRDefault="00197085" w:rsidP="00E24F81">
            <w:pPr>
              <w:ind w:right="42"/>
              <w:jc w:val="center"/>
              <w:rPr>
                <w:b/>
                <w:bCs/>
              </w:rPr>
            </w:pPr>
          </w:p>
        </w:tc>
        <w:tc>
          <w:tcPr>
            <w:tcW w:w="1142" w:type="dxa"/>
            <w:tcBorders>
              <w:bottom w:val="nil"/>
            </w:tcBorders>
            <w:vAlign w:val="center"/>
          </w:tcPr>
          <w:p w:rsidR="00197085" w:rsidRPr="00C45AC0" w:rsidRDefault="00197085" w:rsidP="00E24F81">
            <w:pPr>
              <w:ind w:right="42"/>
              <w:jc w:val="center"/>
              <w:rPr>
                <w:b/>
                <w:bCs/>
              </w:rPr>
            </w:pPr>
          </w:p>
        </w:tc>
        <w:tc>
          <w:tcPr>
            <w:tcW w:w="1077" w:type="dxa"/>
            <w:tcBorders>
              <w:bottom w:val="nil"/>
              <w:right w:val="double" w:sz="4" w:space="0" w:color="auto"/>
            </w:tcBorders>
            <w:vAlign w:val="center"/>
          </w:tcPr>
          <w:p w:rsidR="00197085" w:rsidRPr="00C45AC0" w:rsidRDefault="00197085" w:rsidP="00E24F81">
            <w:pPr>
              <w:ind w:right="42"/>
              <w:jc w:val="center"/>
              <w:rPr>
                <w:b/>
                <w:bCs/>
              </w:rPr>
            </w:pPr>
          </w:p>
        </w:tc>
        <w:tc>
          <w:tcPr>
            <w:tcW w:w="959" w:type="dxa"/>
            <w:tcBorders>
              <w:left w:val="double" w:sz="4" w:space="0" w:color="auto"/>
              <w:bottom w:val="nil"/>
            </w:tcBorders>
            <w:vAlign w:val="center"/>
          </w:tcPr>
          <w:p w:rsidR="00197085" w:rsidRPr="00C45AC0" w:rsidRDefault="00197085" w:rsidP="00E24F81">
            <w:pPr>
              <w:ind w:right="42"/>
              <w:jc w:val="center"/>
              <w:rPr>
                <w:b/>
                <w:bCs/>
              </w:rPr>
            </w:pPr>
          </w:p>
        </w:tc>
        <w:tc>
          <w:tcPr>
            <w:tcW w:w="959" w:type="dxa"/>
            <w:tcBorders>
              <w:bottom w:val="nil"/>
            </w:tcBorders>
            <w:vAlign w:val="center"/>
          </w:tcPr>
          <w:p w:rsidR="00197085" w:rsidRPr="00C45AC0" w:rsidRDefault="00197085" w:rsidP="00E24F81">
            <w:pPr>
              <w:ind w:right="42"/>
              <w:jc w:val="center"/>
              <w:rPr>
                <w:b/>
                <w:bCs/>
              </w:rPr>
            </w:pPr>
          </w:p>
        </w:tc>
      </w:tr>
      <w:tr w:rsidR="00197085" w:rsidRPr="00C45AC0" w:rsidTr="00E24F81">
        <w:trPr>
          <w:trHeight w:val="370"/>
        </w:trPr>
        <w:tc>
          <w:tcPr>
            <w:tcW w:w="3134" w:type="dxa"/>
            <w:tcBorders>
              <w:top w:val="nil"/>
              <w:bottom w:val="nil"/>
            </w:tcBorders>
            <w:vAlign w:val="center"/>
          </w:tcPr>
          <w:p w:rsidR="00197085" w:rsidRPr="00C45AC0" w:rsidRDefault="00197085" w:rsidP="00E24F81">
            <w:pPr>
              <w:ind w:right="42"/>
              <w:jc w:val="center"/>
            </w:pPr>
            <w:r w:rsidRPr="00C45AC0">
              <w:rPr>
                <w:sz w:val="22"/>
                <w:szCs w:val="22"/>
              </w:rPr>
              <w:t>Tüketici güven endeksi (TÜİK)</w:t>
            </w:r>
          </w:p>
        </w:tc>
        <w:tc>
          <w:tcPr>
            <w:tcW w:w="1165" w:type="dxa"/>
            <w:tcBorders>
              <w:top w:val="nil"/>
              <w:bottom w:val="nil"/>
            </w:tcBorders>
            <w:vAlign w:val="center"/>
          </w:tcPr>
          <w:p w:rsidR="00197085" w:rsidRPr="00C45AC0" w:rsidRDefault="00197085" w:rsidP="00E24F81">
            <w:pPr>
              <w:ind w:right="42"/>
              <w:jc w:val="center"/>
            </w:pPr>
            <w:r>
              <w:t>-2,3</w:t>
            </w:r>
          </w:p>
        </w:tc>
        <w:tc>
          <w:tcPr>
            <w:tcW w:w="1086" w:type="dxa"/>
            <w:tcBorders>
              <w:top w:val="nil"/>
              <w:bottom w:val="nil"/>
            </w:tcBorders>
            <w:vAlign w:val="center"/>
          </w:tcPr>
          <w:p w:rsidR="00197085" w:rsidRPr="00C45AC0" w:rsidRDefault="00197085" w:rsidP="00E24F81">
            <w:pPr>
              <w:ind w:right="42"/>
              <w:jc w:val="center"/>
            </w:pPr>
            <w:r>
              <w:t>-0,6</w:t>
            </w:r>
          </w:p>
        </w:tc>
        <w:tc>
          <w:tcPr>
            <w:tcW w:w="1142" w:type="dxa"/>
            <w:tcBorders>
              <w:top w:val="nil"/>
              <w:bottom w:val="nil"/>
            </w:tcBorders>
            <w:vAlign w:val="center"/>
          </w:tcPr>
          <w:p w:rsidR="00197085" w:rsidRPr="00C45AC0" w:rsidRDefault="00197085" w:rsidP="00E24F81">
            <w:pPr>
              <w:ind w:right="42"/>
              <w:jc w:val="center"/>
            </w:pPr>
            <w:r>
              <w:t>-0,5</w:t>
            </w:r>
          </w:p>
        </w:tc>
        <w:tc>
          <w:tcPr>
            <w:tcW w:w="1077" w:type="dxa"/>
            <w:tcBorders>
              <w:top w:val="nil"/>
              <w:bottom w:val="nil"/>
              <w:right w:val="double" w:sz="4" w:space="0" w:color="auto"/>
            </w:tcBorders>
            <w:vAlign w:val="center"/>
          </w:tcPr>
          <w:p w:rsidR="00197085" w:rsidRPr="00C45AC0" w:rsidRDefault="00197085" w:rsidP="00E24F81">
            <w:pPr>
              <w:ind w:right="42"/>
              <w:jc w:val="center"/>
            </w:pPr>
            <w:r>
              <w:t>-4,8</w:t>
            </w:r>
          </w:p>
        </w:tc>
        <w:tc>
          <w:tcPr>
            <w:tcW w:w="959" w:type="dxa"/>
            <w:tcBorders>
              <w:top w:val="nil"/>
              <w:left w:val="double" w:sz="4" w:space="0" w:color="auto"/>
              <w:bottom w:val="nil"/>
            </w:tcBorders>
            <w:vAlign w:val="center"/>
          </w:tcPr>
          <w:p w:rsidR="00197085" w:rsidRPr="00C45AC0" w:rsidRDefault="00197085" w:rsidP="00E24F81">
            <w:pPr>
              <w:ind w:right="42"/>
              <w:jc w:val="center"/>
            </w:pPr>
            <w:r>
              <w:t>-5,3</w:t>
            </w:r>
          </w:p>
        </w:tc>
        <w:tc>
          <w:tcPr>
            <w:tcW w:w="959" w:type="dxa"/>
            <w:tcBorders>
              <w:top w:val="nil"/>
              <w:bottom w:val="nil"/>
            </w:tcBorders>
            <w:vAlign w:val="center"/>
          </w:tcPr>
          <w:p w:rsidR="00197085" w:rsidRPr="00C45AC0" w:rsidRDefault="00197085" w:rsidP="00E24F81">
            <w:pPr>
              <w:ind w:right="42"/>
              <w:jc w:val="center"/>
            </w:pPr>
            <w:r>
              <w:t>-4,6</w:t>
            </w:r>
          </w:p>
        </w:tc>
      </w:tr>
      <w:tr w:rsidR="00197085" w:rsidRPr="00C45AC0" w:rsidTr="00E24F81">
        <w:trPr>
          <w:trHeight w:val="370"/>
        </w:trPr>
        <w:tc>
          <w:tcPr>
            <w:tcW w:w="3134" w:type="dxa"/>
            <w:tcBorders>
              <w:top w:val="nil"/>
            </w:tcBorders>
            <w:vAlign w:val="center"/>
          </w:tcPr>
          <w:p w:rsidR="00197085" w:rsidRPr="00C45AC0" w:rsidRDefault="00197085" w:rsidP="00E24F81">
            <w:pPr>
              <w:ind w:right="42"/>
              <w:jc w:val="center"/>
            </w:pPr>
            <w:r w:rsidRPr="00C45AC0">
              <w:rPr>
                <w:sz w:val="22"/>
                <w:szCs w:val="22"/>
              </w:rPr>
              <w:t>Reel kesim güven endeksi</w:t>
            </w:r>
            <w:r w:rsidRPr="00C45AC0">
              <w:rPr>
                <w:sz w:val="22"/>
                <w:szCs w:val="22"/>
                <w:vertAlign w:val="superscript"/>
              </w:rPr>
              <w:t>†</w:t>
            </w:r>
          </w:p>
        </w:tc>
        <w:tc>
          <w:tcPr>
            <w:tcW w:w="1165" w:type="dxa"/>
            <w:tcBorders>
              <w:top w:val="nil"/>
            </w:tcBorders>
            <w:vAlign w:val="center"/>
          </w:tcPr>
          <w:p w:rsidR="00197085" w:rsidRPr="00C45AC0" w:rsidRDefault="00197085" w:rsidP="00E24F81">
            <w:pPr>
              <w:ind w:right="42"/>
              <w:jc w:val="center"/>
            </w:pPr>
            <w:r>
              <w:t>0,1</w:t>
            </w:r>
          </w:p>
        </w:tc>
        <w:tc>
          <w:tcPr>
            <w:tcW w:w="1086" w:type="dxa"/>
            <w:tcBorders>
              <w:top w:val="nil"/>
            </w:tcBorders>
            <w:vAlign w:val="center"/>
          </w:tcPr>
          <w:p w:rsidR="00197085" w:rsidRPr="00C45AC0" w:rsidRDefault="00197085" w:rsidP="00E24F81">
            <w:pPr>
              <w:ind w:right="42"/>
              <w:jc w:val="center"/>
            </w:pPr>
            <w:r>
              <w:t>-1,8</w:t>
            </w:r>
          </w:p>
        </w:tc>
        <w:tc>
          <w:tcPr>
            <w:tcW w:w="1142" w:type="dxa"/>
            <w:tcBorders>
              <w:top w:val="nil"/>
            </w:tcBorders>
            <w:vAlign w:val="center"/>
          </w:tcPr>
          <w:p w:rsidR="00197085" w:rsidRPr="00C45AC0" w:rsidRDefault="00197085" w:rsidP="00E24F81">
            <w:pPr>
              <w:ind w:right="42"/>
              <w:jc w:val="center"/>
            </w:pPr>
            <w:r>
              <w:t>-2,1</w:t>
            </w:r>
          </w:p>
        </w:tc>
        <w:tc>
          <w:tcPr>
            <w:tcW w:w="1077" w:type="dxa"/>
            <w:tcBorders>
              <w:top w:val="nil"/>
              <w:right w:val="double" w:sz="4" w:space="0" w:color="auto"/>
            </w:tcBorders>
            <w:vAlign w:val="center"/>
          </w:tcPr>
          <w:p w:rsidR="00197085" w:rsidRPr="00C45AC0" w:rsidRDefault="00197085" w:rsidP="00E24F81">
            <w:pPr>
              <w:ind w:right="42"/>
              <w:jc w:val="center"/>
            </w:pPr>
            <w:r>
              <w:t>-3,0</w:t>
            </w:r>
          </w:p>
        </w:tc>
        <w:tc>
          <w:tcPr>
            <w:tcW w:w="959" w:type="dxa"/>
            <w:tcBorders>
              <w:top w:val="nil"/>
              <w:left w:val="double" w:sz="4" w:space="0" w:color="auto"/>
            </w:tcBorders>
            <w:vAlign w:val="center"/>
          </w:tcPr>
          <w:p w:rsidR="00197085" w:rsidRPr="00C45AC0" w:rsidRDefault="00197085" w:rsidP="00E24F81">
            <w:pPr>
              <w:ind w:right="42"/>
              <w:jc w:val="center"/>
            </w:pPr>
            <w:r>
              <w:t>1,6</w:t>
            </w:r>
          </w:p>
        </w:tc>
        <w:tc>
          <w:tcPr>
            <w:tcW w:w="959" w:type="dxa"/>
            <w:tcBorders>
              <w:top w:val="nil"/>
            </w:tcBorders>
            <w:vAlign w:val="center"/>
          </w:tcPr>
          <w:p w:rsidR="00197085" w:rsidRPr="00C45AC0" w:rsidRDefault="00197085" w:rsidP="00E24F81">
            <w:pPr>
              <w:ind w:right="42"/>
              <w:jc w:val="center"/>
            </w:pPr>
            <w:r>
              <w:t>-4,5</w:t>
            </w:r>
          </w:p>
        </w:tc>
      </w:tr>
      <w:tr w:rsidR="00197085" w:rsidRPr="00C45AC0" w:rsidTr="00E24F81">
        <w:trPr>
          <w:trHeight w:val="370"/>
        </w:trPr>
        <w:tc>
          <w:tcPr>
            <w:tcW w:w="3134" w:type="dxa"/>
            <w:tcBorders>
              <w:bottom w:val="nil"/>
            </w:tcBorders>
            <w:vAlign w:val="center"/>
          </w:tcPr>
          <w:p w:rsidR="00197085" w:rsidRPr="00C45AC0" w:rsidRDefault="00197085" w:rsidP="00E24F81">
            <w:pPr>
              <w:ind w:right="42"/>
              <w:jc w:val="center"/>
              <w:rPr>
                <w:b/>
                <w:bCs/>
              </w:rPr>
            </w:pPr>
            <w:r w:rsidRPr="00C45AC0">
              <w:rPr>
                <w:b/>
                <w:bCs/>
                <w:sz w:val="22"/>
                <w:szCs w:val="22"/>
              </w:rPr>
              <w:t>Finansal göstergeler</w:t>
            </w:r>
          </w:p>
        </w:tc>
        <w:tc>
          <w:tcPr>
            <w:tcW w:w="1165" w:type="dxa"/>
            <w:tcBorders>
              <w:bottom w:val="nil"/>
            </w:tcBorders>
            <w:vAlign w:val="center"/>
          </w:tcPr>
          <w:p w:rsidR="00197085" w:rsidRPr="00C45AC0" w:rsidRDefault="00197085" w:rsidP="00E24F81">
            <w:pPr>
              <w:ind w:right="42"/>
              <w:jc w:val="center"/>
              <w:rPr>
                <w:b/>
                <w:bCs/>
              </w:rPr>
            </w:pPr>
          </w:p>
        </w:tc>
        <w:tc>
          <w:tcPr>
            <w:tcW w:w="1086" w:type="dxa"/>
            <w:tcBorders>
              <w:bottom w:val="nil"/>
            </w:tcBorders>
            <w:vAlign w:val="center"/>
          </w:tcPr>
          <w:p w:rsidR="00197085" w:rsidRPr="00C45AC0" w:rsidRDefault="00197085" w:rsidP="00E24F81">
            <w:pPr>
              <w:ind w:right="42"/>
              <w:jc w:val="center"/>
              <w:rPr>
                <w:b/>
                <w:bCs/>
              </w:rPr>
            </w:pPr>
          </w:p>
        </w:tc>
        <w:tc>
          <w:tcPr>
            <w:tcW w:w="1142" w:type="dxa"/>
            <w:tcBorders>
              <w:bottom w:val="nil"/>
            </w:tcBorders>
            <w:vAlign w:val="center"/>
          </w:tcPr>
          <w:p w:rsidR="00197085" w:rsidRPr="00C45AC0" w:rsidRDefault="00197085" w:rsidP="00E24F81">
            <w:pPr>
              <w:ind w:right="42"/>
              <w:jc w:val="center"/>
              <w:rPr>
                <w:b/>
                <w:bCs/>
              </w:rPr>
            </w:pPr>
          </w:p>
        </w:tc>
        <w:tc>
          <w:tcPr>
            <w:tcW w:w="1077" w:type="dxa"/>
            <w:tcBorders>
              <w:bottom w:val="nil"/>
              <w:right w:val="double" w:sz="4" w:space="0" w:color="auto"/>
            </w:tcBorders>
            <w:vAlign w:val="center"/>
          </w:tcPr>
          <w:p w:rsidR="00197085" w:rsidRPr="00C45AC0" w:rsidRDefault="00197085" w:rsidP="00E24F81">
            <w:pPr>
              <w:ind w:right="42"/>
              <w:jc w:val="center"/>
              <w:rPr>
                <w:b/>
                <w:bCs/>
              </w:rPr>
            </w:pPr>
          </w:p>
        </w:tc>
        <w:tc>
          <w:tcPr>
            <w:tcW w:w="959" w:type="dxa"/>
            <w:tcBorders>
              <w:left w:val="double" w:sz="4" w:space="0" w:color="auto"/>
              <w:bottom w:val="nil"/>
            </w:tcBorders>
            <w:vAlign w:val="center"/>
          </w:tcPr>
          <w:p w:rsidR="00197085" w:rsidRPr="00C45AC0" w:rsidRDefault="00197085" w:rsidP="00E24F81">
            <w:pPr>
              <w:ind w:right="42"/>
              <w:jc w:val="center"/>
              <w:rPr>
                <w:b/>
                <w:bCs/>
              </w:rPr>
            </w:pPr>
          </w:p>
        </w:tc>
        <w:tc>
          <w:tcPr>
            <w:tcW w:w="959" w:type="dxa"/>
            <w:tcBorders>
              <w:bottom w:val="nil"/>
            </w:tcBorders>
            <w:vAlign w:val="center"/>
          </w:tcPr>
          <w:p w:rsidR="00197085" w:rsidRPr="00C45AC0" w:rsidRDefault="00197085" w:rsidP="00E24F81">
            <w:pPr>
              <w:ind w:right="42"/>
              <w:jc w:val="center"/>
              <w:rPr>
                <w:b/>
                <w:bCs/>
              </w:rPr>
            </w:pPr>
          </w:p>
        </w:tc>
      </w:tr>
      <w:tr w:rsidR="00197085" w:rsidRPr="00C45AC0" w:rsidTr="00E24F81">
        <w:trPr>
          <w:trHeight w:val="370"/>
        </w:trPr>
        <w:tc>
          <w:tcPr>
            <w:tcW w:w="3134" w:type="dxa"/>
            <w:tcBorders>
              <w:top w:val="nil"/>
            </w:tcBorders>
            <w:vAlign w:val="center"/>
          </w:tcPr>
          <w:p w:rsidR="00197085" w:rsidRPr="00C45AC0" w:rsidRDefault="00197085" w:rsidP="00E24F81">
            <w:pPr>
              <w:ind w:right="42"/>
              <w:jc w:val="center"/>
            </w:pPr>
            <w:r w:rsidRPr="00C45AC0">
              <w:rPr>
                <w:sz w:val="22"/>
                <w:szCs w:val="22"/>
              </w:rPr>
              <w:t>BİST 100</w:t>
            </w:r>
          </w:p>
        </w:tc>
        <w:tc>
          <w:tcPr>
            <w:tcW w:w="1165" w:type="dxa"/>
            <w:tcBorders>
              <w:top w:val="nil"/>
            </w:tcBorders>
            <w:vAlign w:val="center"/>
          </w:tcPr>
          <w:p w:rsidR="00197085" w:rsidRPr="00C45AC0" w:rsidRDefault="00197085" w:rsidP="00E24F81">
            <w:pPr>
              <w:ind w:right="42"/>
              <w:jc w:val="center"/>
            </w:pPr>
            <w:r>
              <w:t>2,8</w:t>
            </w:r>
          </w:p>
        </w:tc>
        <w:tc>
          <w:tcPr>
            <w:tcW w:w="1086" w:type="dxa"/>
            <w:tcBorders>
              <w:top w:val="nil"/>
            </w:tcBorders>
            <w:vAlign w:val="center"/>
          </w:tcPr>
          <w:p w:rsidR="00197085" w:rsidRPr="00C45AC0" w:rsidRDefault="00197085" w:rsidP="00E24F81">
            <w:pPr>
              <w:ind w:right="42"/>
              <w:jc w:val="center"/>
            </w:pPr>
            <w:r>
              <w:t>3,8</w:t>
            </w:r>
          </w:p>
        </w:tc>
        <w:tc>
          <w:tcPr>
            <w:tcW w:w="1142" w:type="dxa"/>
            <w:tcBorders>
              <w:top w:val="nil"/>
            </w:tcBorders>
            <w:vAlign w:val="center"/>
          </w:tcPr>
          <w:p w:rsidR="00197085" w:rsidRPr="00C45AC0" w:rsidRDefault="00197085" w:rsidP="00E24F81">
            <w:pPr>
              <w:ind w:right="42"/>
              <w:jc w:val="center"/>
            </w:pPr>
            <w:r>
              <w:t>-2,2</w:t>
            </w:r>
          </w:p>
        </w:tc>
        <w:tc>
          <w:tcPr>
            <w:tcW w:w="1077" w:type="dxa"/>
            <w:tcBorders>
              <w:top w:val="nil"/>
              <w:right w:val="double" w:sz="4" w:space="0" w:color="auto"/>
            </w:tcBorders>
            <w:vAlign w:val="center"/>
          </w:tcPr>
          <w:p w:rsidR="00197085" w:rsidRPr="00C45AC0" w:rsidRDefault="00197085" w:rsidP="00E24F81">
            <w:pPr>
              <w:ind w:right="42"/>
              <w:jc w:val="center"/>
            </w:pPr>
            <w:r>
              <w:t>-5,2</w:t>
            </w:r>
          </w:p>
        </w:tc>
        <w:tc>
          <w:tcPr>
            <w:tcW w:w="959" w:type="dxa"/>
            <w:tcBorders>
              <w:top w:val="nil"/>
              <w:left w:val="double" w:sz="4" w:space="0" w:color="auto"/>
            </w:tcBorders>
            <w:vAlign w:val="center"/>
          </w:tcPr>
          <w:p w:rsidR="00197085" w:rsidRPr="00C45AC0" w:rsidRDefault="00197085" w:rsidP="00E24F81">
            <w:pPr>
              <w:ind w:right="42"/>
              <w:jc w:val="center"/>
            </w:pPr>
            <w:r>
              <w:t>-0,7</w:t>
            </w:r>
          </w:p>
        </w:tc>
        <w:tc>
          <w:tcPr>
            <w:tcW w:w="959" w:type="dxa"/>
            <w:tcBorders>
              <w:top w:val="nil"/>
            </w:tcBorders>
            <w:vAlign w:val="center"/>
          </w:tcPr>
          <w:p w:rsidR="00197085" w:rsidRPr="00C45AC0" w:rsidRDefault="00197085" w:rsidP="00E24F81">
            <w:pPr>
              <w:ind w:right="42"/>
              <w:jc w:val="center"/>
            </w:pPr>
            <w:r>
              <w:t>4,5</w:t>
            </w:r>
          </w:p>
        </w:tc>
      </w:tr>
      <w:tr w:rsidR="00197085" w:rsidRPr="00C45AC0" w:rsidTr="00E24F81">
        <w:trPr>
          <w:trHeight w:val="370"/>
        </w:trPr>
        <w:tc>
          <w:tcPr>
            <w:tcW w:w="3134" w:type="dxa"/>
            <w:tcBorders>
              <w:bottom w:val="nil"/>
            </w:tcBorders>
            <w:vAlign w:val="center"/>
          </w:tcPr>
          <w:p w:rsidR="00197085" w:rsidRPr="00C45AC0" w:rsidRDefault="00197085" w:rsidP="00E24F81">
            <w:pPr>
              <w:ind w:right="42"/>
              <w:jc w:val="center"/>
              <w:rPr>
                <w:b/>
                <w:bCs/>
              </w:rPr>
            </w:pPr>
            <w:r w:rsidRPr="00C45AC0">
              <w:rPr>
                <w:b/>
                <w:bCs/>
                <w:sz w:val="22"/>
                <w:szCs w:val="22"/>
              </w:rPr>
              <w:t>Diğerleri</w:t>
            </w:r>
          </w:p>
        </w:tc>
        <w:tc>
          <w:tcPr>
            <w:tcW w:w="1165" w:type="dxa"/>
            <w:tcBorders>
              <w:bottom w:val="nil"/>
            </w:tcBorders>
            <w:vAlign w:val="center"/>
          </w:tcPr>
          <w:p w:rsidR="00197085" w:rsidRPr="00C45AC0" w:rsidRDefault="00197085" w:rsidP="00E24F81">
            <w:pPr>
              <w:ind w:right="42"/>
              <w:jc w:val="center"/>
            </w:pPr>
          </w:p>
        </w:tc>
        <w:tc>
          <w:tcPr>
            <w:tcW w:w="1086" w:type="dxa"/>
            <w:tcBorders>
              <w:bottom w:val="nil"/>
            </w:tcBorders>
            <w:vAlign w:val="center"/>
          </w:tcPr>
          <w:p w:rsidR="00197085" w:rsidRPr="00C45AC0" w:rsidRDefault="00197085" w:rsidP="00E24F81">
            <w:pPr>
              <w:ind w:right="42"/>
              <w:jc w:val="center"/>
            </w:pPr>
          </w:p>
        </w:tc>
        <w:tc>
          <w:tcPr>
            <w:tcW w:w="1142" w:type="dxa"/>
            <w:tcBorders>
              <w:bottom w:val="nil"/>
            </w:tcBorders>
            <w:vAlign w:val="center"/>
          </w:tcPr>
          <w:p w:rsidR="00197085" w:rsidRPr="00C45AC0" w:rsidRDefault="00197085" w:rsidP="00E24F81">
            <w:pPr>
              <w:ind w:right="42"/>
              <w:jc w:val="center"/>
            </w:pPr>
          </w:p>
        </w:tc>
        <w:tc>
          <w:tcPr>
            <w:tcW w:w="1077" w:type="dxa"/>
            <w:tcBorders>
              <w:bottom w:val="nil"/>
              <w:right w:val="double" w:sz="4" w:space="0" w:color="auto"/>
            </w:tcBorders>
            <w:vAlign w:val="center"/>
          </w:tcPr>
          <w:p w:rsidR="00197085" w:rsidRPr="00C45AC0" w:rsidRDefault="00197085" w:rsidP="00E24F81">
            <w:pPr>
              <w:ind w:right="42"/>
              <w:jc w:val="center"/>
            </w:pPr>
          </w:p>
        </w:tc>
        <w:tc>
          <w:tcPr>
            <w:tcW w:w="959" w:type="dxa"/>
            <w:tcBorders>
              <w:left w:val="double" w:sz="4" w:space="0" w:color="auto"/>
              <w:bottom w:val="nil"/>
            </w:tcBorders>
            <w:vAlign w:val="center"/>
          </w:tcPr>
          <w:p w:rsidR="00197085" w:rsidRPr="00C45AC0" w:rsidRDefault="00197085" w:rsidP="00E24F81">
            <w:pPr>
              <w:ind w:right="42"/>
              <w:jc w:val="center"/>
            </w:pPr>
          </w:p>
        </w:tc>
        <w:tc>
          <w:tcPr>
            <w:tcW w:w="959" w:type="dxa"/>
            <w:tcBorders>
              <w:bottom w:val="nil"/>
            </w:tcBorders>
            <w:vAlign w:val="center"/>
          </w:tcPr>
          <w:p w:rsidR="00197085" w:rsidRPr="00C45AC0" w:rsidRDefault="00197085" w:rsidP="00E24F81">
            <w:pPr>
              <w:ind w:right="42"/>
              <w:jc w:val="center"/>
            </w:pPr>
          </w:p>
        </w:tc>
      </w:tr>
      <w:tr w:rsidR="00197085" w:rsidRPr="00C45AC0" w:rsidTr="00E24F81">
        <w:trPr>
          <w:trHeight w:val="370"/>
        </w:trPr>
        <w:tc>
          <w:tcPr>
            <w:tcW w:w="3134" w:type="dxa"/>
            <w:tcBorders>
              <w:bottom w:val="nil"/>
            </w:tcBorders>
            <w:vAlign w:val="center"/>
          </w:tcPr>
          <w:p w:rsidR="00197085" w:rsidRPr="00C45AC0" w:rsidRDefault="00197085" w:rsidP="00E24F81">
            <w:pPr>
              <w:ind w:right="42"/>
              <w:jc w:val="center"/>
              <w:rPr>
                <w:sz w:val="22"/>
                <w:szCs w:val="22"/>
              </w:rPr>
            </w:pPr>
            <w:r w:rsidRPr="00C45AC0">
              <w:rPr>
                <w:sz w:val="22"/>
                <w:szCs w:val="22"/>
              </w:rPr>
              <w:t>Hükümet Harcamaları</w:t>
            </w:r>
            <w:bookmarkStart w:id="1" w:name="OLE_LINK1"/>
            <w:bookmarkStart w:id="2" w:name="OLE_LINK2"/>
            <w:bookmarkStart w:id="3" w:name="OLE_LINK3"/>
            <w:r w:rsidRPr="00C45AC0">
              <w:rPr>
                <w:rFonts w:ascii="Calibri" w:hAnsi="Calibri"/>
                <w:sz w:val="22"/>
                <w:szCs w:val="22"/>
              </w:rPr>
              <w:t>⁰</w:t>
            </w:r>
            <w:bookmarkEnd w:id="1"/>
            <w:bookmarkEnd w:id="2"/>
            <w:bookmarkEnd w:id="3"/>
          </w:p>
        </w:tc>
        <w:tc>
          <w:tcPr>
            <w:tcW w:w="1165" w:type="dxa"/>
            <w:tcBorders>
              <w:bottom w:val="nil"/>
            </w:tcBorders>
            <w:vAlign w:val="center"/>
          </w:tcPr>
          <w:p w:rsidR="00197085" w:rsidRPr="00C45AC0" w:rsidRDefault="00197085" w:rsidP="00E24F81">
            <w:pPr>
              <w:ind w:right="42"/>
              <w:jc w:val="center"/>
            </w:pPr>
            <w:r>
              <w:t>-4,4</w:t>
            </w:r>
          </w:p>
        </w:tc>
        <w:tc>
          <w:tcPr>
            <w:tcW w:w="1086" w:type="dxa"/>
            <w:tcBorders>
              <w:bottom w:val="nil"/>
            </w:tcBorders>
            <w:vAlign w:val="center"/>
          </w:tcPr>
          <w:p w:rsidR="00197085" w:rsidRPr="00C45AC0" w:rsidRDefault="00197085" w:rsidP="00E24F81">
            <w:pPr>
              <w:ind w:right="42"/>
              <w:jc w:val="center"/>
            </w:pPr>
            <w:r>
              <w:t>2,5</w:t>
            </w:r>
          </w:p>
        </w:tc>
        <w:tc>
          <w:tcPr>
            <w:tcW w:w="1142" w:type="dxa"/>
            <w:tcBorders>
              <w:bottom w:val="nil"/>
            </w:tcBorders>
            <w:vAlign w:val="center"/>
          </w:tcPr>
          <w:p w:rsidR="00197085" w:rsidRPr="00C45AC0" w:rsidRDefault="00197085" w:rsidP="00E24F81">
            <w:pPr>
              <w:ind w:right="42"/>
              <w:jc w:val="center"/>
            </w:pPr>
            <w:r>
              <w:t>1,6</w:t>
            </w:r>
          </w:p>
        </w:tc>
        <w:tc>
          <w:tcPr>
            <w:tcW w:w="1077" w:type="dxa"/>
            <w:tcBorders>
              <w:bottom w:val="nil"/>
              <w:right w:val="double" w:sz="4" w:space="0" w:color="auto"/>
            </w:tcBorders>
            <w:vAlign w:val="center"/>
          </w:tcPr>
          <w:p w:rsidR="00197085" w:rsidRPr="00C45AC0" w:rsidRDefault="00197085" w:rsidP="00E24F81">
            <w:pPr>
              <w:ind w:right="42"/>
              <w:jc w:val="center"/>
            </w:pPr>
            <w:r>
              <w:t>**</w:t>
            </w:r>
          </w:p>
        </w:tc>
        <w:tc>
          <w:tcPr>
            <w:tcW w:w="959" w:type="dxa"/>
            <w:tcBorders>
              <w:left w:val="double" w:sz="4" w:space="0" w:color="auto"/>
              <w:bottom w:val="nil"/>
            </w:tcBorders>
            <w:vAlign w:val="center"/>
          </w:tcPr>
          <w:p w:rsidR="00197085" w:rsidRPr="00C45AC0" w:rsidRDefault="00197085" w:rsidP="00E24F81">
            <w:pPr>
              <w:ind w:right="42"/>
              <w:jc w:val="center"/>
            </w:pPr>
            <w:r>
              <w:t>0,5</w:t>
            </w:r>
          </w:p>
        </w:tc>
        <w:tc>
          <w:tcPr>
            <w:tcW w:w="959" w:type="dxa"/>
            <w:tcBorders>
              <w:bottom w:val="nil"/>
            </w:tcBorders>
            <w:vAlign w:val="center"/>
          </w:tcPr>
          <w:p w:rsidR="00197085" w:rsidRPr="00C45AC0" w:rsidRDefault="00197085" w:rsidP="00E24F81">
            <w:pPr>
              <w:ind w:right="42"/>
              <w:jc w:val="center"/>
            </w:pPr>
            <w:r>
              <w:t>2,3</w:t>
            </w:r>
          </w:p>
        </w:tc>
      </w:tr>
      <w:tr w:rsidR="00197085" w:rsidRPr="00C45AC0" w:rsidTr="00E24F81">
        <w:trPr>
          <w:trHeight w:val="370"/>
        </w:trPr>
        <w:tc>
          <w:tcPr>
            <w:tcW w:w="3134" w:type="dxa"/>
            <w:tcBorders>
              <w:top w:val="nil"/>
              <w:bottom w:val="nil"/>
            </w:tcBorders>
            <w:vAlign w:val="center"/>
          </w:tcPr>
          <w:p w:rsidR="00197085" w:rsidRPr="00C45AC0" w:rsidRDefault="00197085" w:rsidP="00E24F81">
            <w:pPr>
              <w:ind w:right="42"/>
              <w:jc w:val="center"/>
            </w:pPr>
            <w:r w:rsidRPr="00C45AC0">
              <w:rPr>
                <w:sz w:val="22"/>
                <w:szCs w:val="22"/>
              </w:rPr>
              <w:t>Özel tüketim vergisi (ÖTV)</w:t>
            </w:r>
          </w:p>
        </w:tc>
        <w:tc>
          <w:tcPr>
            <w:tcW w:w="1165" w:type="dxa"/>
            <w:tcBorders>
              <w:top w:val="nil"/>
              <w:bottom w:val="nil"/>
            </w:tcBorders>
            <w:vAlign w:val="center"/>
          </w:tcPr>
          <w:p w:rsidR="00197085" w:rsidRPr="00C45AC0" w:rsidRDefault="00197085" w:rsidP="00E24F81">
            <w:pPr>
              <w:ind w:right="42"/>
              <w:jc w:val="center"/>
            </w:pPr>
            <w:r>
              <w:t>2,9</w:t>
            </w:r>
          </w:p>
        </w:tc>
        <w:tc>
          <w:tcPr>
            <w:tcW w:w="1086" w:type="dxa"/>
            <w:tcBorders>
              <w:top w:val="nil"/>
              <w:bottom w:val="nil"/>
            </w:tcBorders>
            <w:vAlign w:val="center"/>
          </w:tcPr>
          <w:p w:rsidR="00197085" w:rsidRPr="00C45AC0" w:rsidRDefault="00197085" w:rsidP="00E24F81">
            <w:pPr>
              <w:ind w:right="42"/>
              <w:jc w:val="center"/>
            </w:pPr>
            <w:r>
              <w:t>0,0</w:t>
            </w:r>
          </w:p>
        </w:tc>
        <w:tc>
          <w:tcPr>
            <w:tcW w:w="1142" w:type="dxa"/>
            <w:tcBorders>
              <w:top w:val="nil"/>
              <w:bottom w:val="nil"/>
            </w:tcBorders>
            <w:vAlign w:val="center"/>
          </w:tcPr>
          <w:p w:rsidR="00197085" w:rsidRPr="00C45AC0" w:rsidRDefault="00197085" w:rsidP="00E24F81">
            <w:pPr>
              <w:ind w:right="42"/>
              <w:jc w:val="center"/>
            </w:pPr>
            <w:r>
              <w:t>0,4</w:t>
            </w:r>
          </w:p>
        </w:tc>
        <w:tc>
          <w:tcPr>
            <w:tcW w:w="1077" w:type="dxa"/>
            <w:tcBorders>
              <w:top w:val="nil"/>
              <w:bottom w:val="nil"/>
              <w:right w:val="double" w:sz="4" w:space="0" w:color="auto"/>
            </w:tcBorders>
            <w:vAlign w:val="center"/>
          </w:tcPr>
          <w:p w:rsidR="00197085" w:rsidRPr="00C45AC0" w:rsidRDefault="00197085" w:rsidP="00E24F81">
            <w:pPr>
              <w:ind w:right="42"/>
              <w:jc w:val="center"/>
            </w:pPr>
            <w:r>
              <w:t>**</w:t>
            </w:r>
          </w:p>
        </w:tc>
        <w:tc>
          <w:tcPr>
            <w:tcW w:w="959" w:type="dxa"/>
            <w:tcBorders>
              <w:top w:val="nil"/>
              <w:left w:val="double" w:sz="4" w:space="0" w:color="auto"/>
              <w:bottom w:val="nil"/>
            </w:tcBorders>
            <w:vAlign w:val="center"/>
          </w:tcPr>
          <w:p w:rsidR="00197085" w:rsidRPr="00C45AC0" w:rsidRDefault="00197085" w:rsidP="00E24F81">
            <w:pPr>
              <w:ind w:right="42"/>
              <w:jc w:val="center"/>
            </w:pPr>
            <w:r>
              <w:t>2,0</w:t>
            </w:r>
          </w:p>
        </w:tc>
        <w:tc>
          <w:tcPr>
            <w:tcW w:w="959" w:type="dxa"/>
            <w:tcBorders>
              <w:top w:val="nil"/>
              <w:bottom w:val="nil"/>
            </w:tcBorders>
            <w:vAlign w:val="center"/>
          </w:tcPr>
          <w:p w:rsidR="00197085" w:rsidRPr="00C45AC0" w:rsidRDefault="00197085" w:rsidP="00E24F81">
            <w:pPr>
              <w:ind w:right="42"/>
              <w:jc w:val="center"/>
            </w:pPr>
            <w:r>
              <w:t>3,2</w:t>
            </w:r>
          </w:p>
        </w:tc>
      </w:tr>
      <w:tr w:rsidR="00197085" w:rsidRPr="00C45AC0" w:rsidTr="00E24F81">
        <w:trPr>
          <w:trHeight w:val="370"/>
        </w:trPr>
        <w:tc>
          <w:tcPr>
            <w:tcW w:w="3134" w:type="dxa"/>
            <w:tcBorders>
              <w:top w:val="nil"/>
              <w:bottom w:val="nil"/>
            </w:tcBorders>
            <w:vAlign w:val="center"/>
          </w:tcPr>
          <w:p w:rsidR="00197085" w:rsidRPr="00C45AC0" w:rsidRDefault="00197085" w:rsidP="00E24F81">
            <w:pPr>
              <w:ind w:right="42"/>
              <w:jc w:val="center"/>
            </w:pPr>
            <w:r w:rsidRPr="00C45AC0">
              <w:rPr>
                <w:sz w:val="22"/>
                <w:szCs w:val="22"/>
              </w:rPr>
              <w:t>Binek otomobil üretimi</w:t>
            </w:r>
          </w:p>
        </w:tc>
        <w:tc>
          <w:tcPr>
            <w:tcW w:w="1165" w:type="dxa"/>
            <w:tcBorders>
              <w:top w:val="nil"/>
              <w:bottom w:val="nil"/>
            </w:tcBorders>
            <w:vAlign w:val="center"/>
          </w:tcPr>
          <w:p w:rsidR="00197085" w:rsidRPr="00C45AC0" w:rsidRDefault="00197085" w:rsidP="00E24F81">
            <w:pPr>
              <w:ind w:right="42"/>
              <w:jc w:val="center"/>
            </w:pPr>
            <w:r>
              <w:t>11,6</w:t>
            </w:r>
          </w:p>
        </w:tc>
        <w:tc>
          <w:tcPr>
            <w:tcW w:w="1086" w:type="dxa"/>
            <w:tcBorders>
              <w:top w:val="nil"/>
              <w:bottom w:val="nil"/>
            </w:tcBorders>
            <w:vAlign w:val="center"/>
          </w:tcPr>
          <w:p w:rsidR="00197085" w:rsidRPr="00C45AC0" w:rsidRDefault="00197085" w:rsidP="00E24F81">
            <w:pPr>
              <w:ind w:right="42"/>
              <w:jc w:val="center"/>
            </w:pPr>
            <w:r>
              <w:t>-8,0</w:t>
            </w:r>
          </w:p>
        </w:tc>
        <w:tc>
          <w:tcPr>
            <w:tcW w:w="1142" w:type="dxa"/>
            <w:tcBorders>
              <w:top w:val="nil"/>
              <w:bottom w:val="nil"/>
            </w:tcBorders>
            <w:vAlign w:val="center"/>
          </w:tcPr>
          <w:p w:rsidR="00197085" w:rsidRPr="00C45AC0" w:rsidRDefault="00197085" w:rsidP="00E24F81">
            <w:pPr>
              <w:ind w:right="42"/>
              <w:jc w:val="center"/>
            </w:pPr>
            <w:r>
              <w:t>2,8</w:t>
            </w:r>
          </w:p>
        </w:tc>
        <w:tc>
          <w:tcPr>
            <w:tcW w:w="1077" w:type="dxa"/>
            <w:tcBorders>
              <w:top w:val="nil"/>
              <w:bottom w:val="nil"/>
              <w:right w:val="double" w:sz="4" w:space="0" w:color="auto"/>
            </w:tcBorders>
            <w:vAlign w:val="center"/>
          </w:tcPr>
          <w:p w:rsidR="00197085" w:rsidRPr="00C45AC0" w:rsidRDefault="00197085" w:rsidP="00E24F81">
            <w:pPr>
              <w:ind w:right="42"/>
              <w:jc w:val="center"/>
            </w:pPr>
            <w:r>
              <w:t>3,0</w:t>
            </w:r>
          </w:p>
        </w:tc>
        <w:tc>
          <w:tcPr>
            <w:tcW w:w="959" w:type="dxa"/>
            <w:tcBorders>
              <w:top w:val="nil"/>
              <w:left w:val="double" w:sz="4" w:space="0" w:color="auto"/>
              <w:bottom w:val="nil"/>
            </w:tcBorders>
            <w:vAlign w:val="center"/>
          </w:tcPr>
          <w:p w:rsidR="00197085" w:rsidRPr="00C45AC0" w:rsidRDefault="00197085" w:rsidP="00E24F81">
            <w:pPr>
              <w:ind w:right="42"/>
              <w:jc w:val="center"/>
            </w:pPr>
            <w:r>
              <w:t>6,4</w:t>
            </w:r>
          </w:p>
        </w:tc>
        <w:tc>
          <w:tcPr>
            <w:tcW w:w="959" w:type="dxa"/>
            <w:tcBorders>
              <w:top w:val="nil"/>
              <w:bottom w:val="nil"/>
            </w:tcBorders>
            <w:vAlign w:val="center"/>
          </w:tcPr>
          <w:p w:rsidR="00197085" w:rsidRPr="00C45AC0" w:rsidRDefault="00197085" w:rsidP="00E24F81">
            <w:pPr>
              <w:ind w:right="42"/>
              <w:jc w:val="center"/>
            </w:pPr>
            <w:r>
              <w:t>2,2</w:t>
            </w:r>
          </w:p>
        </w:tc>
      </w:tr>
      <w:tr w:rsidR="00197085" w:rsidRPr="00C45AC0" w:rsidTr="00E24F81">
        <w:trPr>
          <w:trHeight w:val="370"/>
        </w:trPr>
        <w:tc>
          <w:tcPr>
            <w:tcW w:w="3134" w:type="dxa"/>
            <w:tcBorders>
              <w:top w:val="nil"/>
            </w:tcBorders>
            <w:vAlign w:val="center"/>
          </w:tcPr>
          <w:p w:rsidR="00197085" w:rsidRPr="00C45AC0" w:rsidRDefault="00197085" w:rsidP="00E24F81">
            <w:pPr>
              <w:ind w:right="42"/>
              <w:jc w:val="center"/>
            </w:pPr>
            <w:r w:rsidRPr="00C45AC0">
              <w:rPr>
                <w:sz w:val="22"/>
                <w:szCs w:val="22"/>
              </w:rPr>
              <w:t>Binek olmayan otomobil üretimi</w:t>
            </w:r>
          </w:p>
        </w:tc>
        <w:tc>
          <w:tcPr>
            <w:tcW w:w="1165" w:type="dxa"/>
            <w:tcBorders>
              <w:top w:val="nil"/>
            </w:tcBorders>
            <w:vAlign w:val="center"/>
          </w:tcPr>
          <w:p w:rsidR="00197085" w:rsidRPr="00C45AC0" w:rsidRDefault="00197085" w:rsidP="00E24F81">
            <w:pPr>
              <w:ind w:right="42"/>
              <w:jc w:val="center"/>
            </w:pPr>
            <w:r>
              <w:t>3,3</w:t>
            </w:r>
          </w:p>
        </w:tc>
        <w:tc>
          <w:tcPr>
            <w:tcW w:w="1086" w:type="dxa"/>
            <w:tcBorders>
              <w:top w:val="nil"/>
            </w:tcBorders>
            <w:vAlign w:val="center"/>
          </w:tcPr>
          <w:p w:rsidR="00197085" w:rsidRPr="00C45AC0" w:rsidRDefault="00197085" w:rsidP="00E24F81">
            <w:pPr>
              <w:ind w:right="42"/>
              <w:jc w:val="center"/>
            </w:pPr>
            <w:r>
              <w:t>5,8</w:t>
            </w:r>
          </w:p>
        </w:tc>
        <w:tc>
          <w:tcPr>
            <w:tcW w:w="1142" w:type="dxa"/>
            <w:tcBorders>
              <w:top w:val="nil"/>
            </w:tcBorders>
            <w:vAlign w:val="center"/>
          </w:tcPr>
          <w:p w:rsidR="00197085" w:rsidRPr="00C45AC0" w:rsidRDefault="00197085" w:rsidP="00E24F81">
            <w:pPr>
              <w:ind w:right="42"/>
              <w:jc w:val="center"/>
            </w:pPr>
            <w:r>
              <w:t>1,0</w:t>
            </w:r>
          </w:p>
        </w:tc>
        <w:tc>
          <w:tcPr>
            <w:tcW w:w="1077" w:type="dxa"/>
            <w:tcBorders>
              <w:top w:val="nil"/>
              <w:right w:val="double" w:sz="4" w:space="0" w:color="auto"/>
            </w:tcBorders>
            <w:vAlign w:val="center"/>
          </w:tcPr>
          <w:p w:rsidR="00197085" w:rsidRPr="00C45AC0" w:rsidRDefault="00197085" w:rsidP="00E24F81">
            <w:pPr>
              <w:ind w:right="42"/>
              <w:jc w:val="center"/>
            </w:pPr>
            <w:r>
              <w:t>5,1</w:t>
            </w:r>
          </w:p>
        </w:tc>
        <w:tc>
          <w:tcPr>
            <w:tcW w:w="959" w:type="dxa"/>
            <w:tcBorders>
              <w:top w:val="nil"/>
              <w:left w:val="double" w:sz="4" w:space="0" w:color="auto"/>
            </w:tcBorders>
            <w:vAlign w:val="center"/>
          </w:tcPr>
          <w:p w:rsidR="00197085" w:rsidRPr="00C45AC0" w:rsidRDefault="00197085" w:rsidP="00E24F81">
            <w:pPr>
              <w:ind w:right="42"/>
              <w:jc w:val="center"/>
            </w:pPr>
            <w:r>
              <w:t>3,2</w:t>
            </w:r>
          </w:p>
        </w:tc>
        <w:tc>
          <w:tcPr>
            <w:tcW w:w="959" w:type="dxa"/>
            <w:tcBorders>
              <w:top w:val="nil"/>
            </w:tcBorders>
            <w:vAlign w:val="center"/>
          </w:tcPr>
          <w:p w:rsidR="00197085" w:rsidRPr="00C45AC0" w:rsidRDefault="00197085" w:rsidP="00E24F81">
            <w:pPr>
              <w:ind w:right="42"/>
              <w:jc w:val="center"/>
            </w:pPr>
            <w:r>
              <w:t>8,6</w:t>
            </w:r>
          </w:p>
        </w:tc>
      </w:tr>
    </w:tbl>
    <w:p w:rsidR="00197085" w:rsidRPr="00C45AC0" w:rsidRDefault="00197085" w:rsidP="00197085">
      <w:pPr>
        <w:ind w:left="-720" w:right="43" w:firstLine="360"/>
        <w:jc w:val="both"/>
        <w:rPr>
          <w:sz w:val="16"/>
          <w:szCs w:val="16"/>
        </w:rPr>
      </w:pPr>
      <w:r w:rsidRPr="00C45AC0">
        <w:rPr>
          <w:sz w:val="16"/>
          <w:szCs w:val="16"/>
        </w:rPr>
        <w:t>Kaynak: TÜİK, TCMB, BIST, TDM, BETAM.</w:t>
      </w:r>
    </w:p>
    <w:p w:rsidR="00197085" w:rsidRPr="00C45AC0" w:rsidRDefault="00197085" w:rsidP="00197085">
      <w:pPr>
        <w:ind w:left="-720" w:right="43" w:firstLine="360"/>
        <w:jc w:val="both"/>
        <w:rPr>
          <w:sz w:val="16"/>
          <w:szCs w:val="16"/>
        </w:rPr>
      </w:pPr>
      <w:r w:rsidRPr="00C45AC0">
        <w:rPr>
          <w:sz w:val="16"/>
          <w:szCs w:val="16"/>
          <w:vertAlign w:val="superscript"/>
        </w:rPr>
        <w:t xml:space="preserve">† </w:t>
      </w:r>
      <w:r w:rsidRPr="00C45AC0">
        <w:rPr>
          <w:sz w:val="16"/>
          <w:szCs w:val="16"/>
        </w:rPr>
        <w:t>TCMB tarafından mevsimsellikten arındırılmıştır.</w:t>
      </w:r>
    </w:p>
    <w:p w:rsidR="00197085" w:rsidRPr="00C45AC0" w:rsidRDefault="00197085" w:rsidP="00197085">
      <w:pPr>
        <w:ind w:left="-360" w:right="43"/>
        <w:rPr>
          <w:sz w:val="16"/>
          <w:szCs w:val="16"/>
        </w:rPr>
      </w:pPr>
      <w:r w:rsidRPr="00C45AC0">
        <w:rPr>
          <w:sz w:val="16"/>
          <w:szCs w:val="16"/>
          <w:vertAlign w:val="superscript"/>
        </w:rPr>
        <w:t>‡</w:t>
      </w:r>
      <w:r w:rsidRPr="00C45AC0">
        <w:rPr>
          <w:sz w:val="16"/>
          <w:szCs w:val="16"/>
        </w:rPr>
        <w:t xml:space="preserve"> KKO ve alt kollarında diğer endekslerin aksine yüzde puan değişimleri veriliyor.</w:t>
      </w:r>
    </w:p>
    <w:p w:rsidR="00197085" w:rsidRPr="00C45AC0" w:rsidRDefault="00197085" w:rsidP="00197085">
      <w:pPr>
        <w:ind w:left="-720" w:right="43" w:firstLine="360"/>
        <w:jc w:val="both"/>
        <w:rPr>
          <w:sz w:val="16"/>
          <w:szCs w:val="16"/>
        </w:rPr>
      </w:pPr>
      <w:r w:rsidRPr="00C45AC0">
        <w:rPr>
          <w:sz w:val="16"/>
          <w:szCs w:val="16"/>
        </w:rPr>
        <w:t xml:space="preserve">*TÜİK tarafından mevsimsellikten arındırılmıştır. Diğer tüm veriler Betam tarafından mevsimsellikten arındırılmıştır. </w:t>
      </w:r>
    </w:p>
    <w:p w:rsidR="00197085" w:rsidRPr="00C45AC0" w:rsidRDefault="00197085" w:rsidP="00197085">
      <w:pPr>
        <w:ind w:left="-720" w:right="43" w:firstLine="360"/>
        <w:jc w:val="both"/>
        <w:rPr>
          <w:sz w:val="16"/>
          <w:szCs w:val="16"/>
        </w:rPr>
      </w:pPr>
      <w:r w:rsidRPr="00C45AC0">
        <w:rPr>
          <w:sz w:val="16"/>
          <w:szCs w:val="16"/>
        </w:rPr>
        <w:t>**Bu aya dair veri henüz açıklanmamıştır.</w:t>
      </w:r>
    </w:p>
    <w:p w:rsidR="00197085" w:rsidRPr="00C45AC0" w:rsidRDefault="00197085" w:rsidP="00197085">
      <w:pPr>
        <w:ind w:left="-360" w:right="43"/>
        <w:rPr>
          <w:sz w:val="16"/>
          <w:szCs w:val="16"/>
        </w:rPr>
      </w:pPr>
      <w:r w:rsidRPr="00C45AC0">
        <w:rPr>
          <w:sz w:val="16"/>
          <w:szCs w:val="16"/>
        </w:rPr>
        <w:t>*** Betam  hesaplamaları: Altın hariç ithalatı bulmak için nominal ithalattan parasal olmayan altın ithalatını çıkarıp ithalat birim değer endeksine bölüyoruz. Altın hariç ihracatı bulmak için nominal mal ve hizmet ihracatından parasal olmayan altın  ihracatını çıkarıp ihracat birim değer endeksine bölüyoruz. Betam tarafından mevsimsellikten arındırılmıştır.</w:t>
      </w:r>
    </w:p>
    <w:p w:rsidR="00197085" w:rsidRPr="00C45AC0" w:rsidRDefault="00197085" w:rsidP="00197085">
      <w:pPr>
        <w:ind w:left="-360" w:right="43"/>
        <w:rPr>
          <w:sz w:val="16"/>
          <w:szCs w:val="16"/>
        </w:rPr>
      </w:pPr>
      <w:r w:rsidRPr="00C45AC0">
        <w:rPr>
          <w:rFonts w:ascii="Calibri" w:hAnsi="Calibri"/>
          <w:sz w:val="16"/>
          <w:szCs w:val="16"/>
        </w:rPr>
        <w:t>⁰</w:t>
      </w:r>
      <w:r w:rsidRPr="00C45AC0">
        <w:rPr>
          <w:sz w:val="16"/>
          <w:szCs w:val="16"/>
        </w:rPr>
        <w:t xml:space="preserve"> Cari transferler hariç hükümet harcamalarının toplamı, enflasyondan arındırılmış.</w:t>
      </w:r>
    </w:p>
    <w:p w:rsidR="00197085" w:rsidRPr="00C45AC0" w:rsidRDefault="00197085" w:rsidP="00197085">
      <w:pPr>
        <w:spacing w:line="360" w:lineRule="auto"/>
        <w:ind w:right="42"/>
        <w:jc w:val="both"/>
        <w:rPr>
          <w:sz w:val="22"/>
          <w:szCs w:val="22"/>
        </w:rPr>
      </w:pPr>
    </w:p>
    <w:p w:rsidR="00197085" w:rsidRPr="00C45AC0" w:rsidRDefault="00197085" w:rsidP="00197085">
      <w:pPr>
        <w:spacing w:line="360" w:lineRule="auto"/>
        <w:ind w:right="42"/>
        <w:jc w:val="both"/>
        <w:rPr>
          <w:sz w:val="22"/>
          <w:szCs w:val="22"/>
        </w:rPr>
        <w:sectPr w:rsidR="00197085" w:rsidRPr="00C45AC0" w:rsidSect="008651A8">
          <w:type w:val="continuous"/>
          <w:pgSz w:w="11906" w:h="16838"/>
          <w:pgMar w:top="1417" w:right="1417" w:bottom="1417" w:left="1417" w:header="708" w:footer="708" w:gutter="0"/>
          <w:cols w:space="708"/>
          <w:docGrid w:linePitch="360"/>
        </w:sectPr>
      </w:pPr>
    </w:p>
    <w:p w:rsidR="00197085" w:rsidRPr="00C45AC0" w:rsidRDefault="00197085" w:rsidP="00197085">
      <w:pPr>
        <w:ind w:left="-360" w:right="42"/>
        <w:jc w:val="both"/>
        <w:rPr>
          <w:b/>
          <w:bCs/>
          <w:sz w:val="22"/>
          <w:szCs w:val="22"/>
        </w:rPr>
      </w:pPr>
    </w:p>
    <w:p w:rsidR="00197085" w:rsidRPr="00C45AC0" w:rsidRDefault="00197085" w:rsidP="00197085">
      <w:pPr>
        <w:ind w:left="-360" w:right="42"/>
        <w:jc w:val="both"/>
        <w:rPr>
          <w:b/>
          <w:bCs/>
          <w:sz w:val="22"/>
          <w:szCs w:val="22"/>
        </w:rPr>
      </w:pPr>
    </w:p>
    <w:p w:rsidR="00197085" w:rsidRPr="00C45AC0" w:rsidRDefault="00197085" w:rsidP="00197085">
      <w:pPr>
        <w:ind w:left="-360" w:right="42"/>
        <w:jc w:val="both"/>
        <w:rPr>
          <w:b/>
          <w:bCs/>
          <w:sz w:val="22"/>
          <w:szCs w:val="22"/>
        </w:rPr>
      </w:pPr>
      <w:r w:rsidRPr="00C45AC0">
        <w:rPr>
          <w:b/>
          <w:bCs/>
          <w:sz w:val="22"/>
          <w:szCs w:val="22"/>
        </w:rPr>
        <w:lastRenderedPageBreak/>
        <w:t>Şekil 1: Kapasite kullanım oranı ve sanayi üretim endeksi (mea)</w:t>
      </w:r>
    </w:p>
    <w:p w:rsidR="00197085" w:rsidRPr="00C45AC0" w:rsidRDefault="00197085" w:rsidP="00197085">
      <w:pPr>
        <w:ind w:left="-360" w:right="42"/>
        <w:jc w:val="both"/>
        <w:rPr>
          <w:b/>
          <w:bCs/>
          <w:sz w:val="8"/>
          <w:szCs w:val="8"/>
        </w:rPr>
      </w:pPr>
    </w:p>
    <w:p w:rsidR="00197085" w:rsidRPr="00C45AC0" w:rsidRDefault="00197085" w:rsidP="00197085">
      <w:pPr>
        <w:ind w:left="-360" w:right="42"/>
        <w:jc w:val="both"/>
      </w:pPr>
      <w:r w:rsidRPr="00030A4F">
        <w:rPr>
          <w:noProof/>
        </w:rPr>
        <w:drawing>
          <wp:inline distT="0" distB="0" distL="0" distR="0">
            <wp:extent cx="2655570" cy="2245248"/>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655570" cy="2245248"/>
                    </a:xfrm>
                    <a:prstGeom prst="rect">
                      <a:avLst/>
                    </a:prstGeom>
                    <a:noFill/>
                    <a:ln w="9525">
                      <a:noFill/>
                      <a:miter lim="800000"/>
                      <a:headEnd/>
                      <a:tailEnd/>
                    </a:ln>
                  </pic:spPr>
                </pic:pic>
              </a:graphicData>
            </a:graphic>
          </wp:inline>
        </w:drawing>
      </w:r>
    </w:p>
    <w:p w:rsidR="00197085" w:rsidRPr="00C45AC0" w:rsidRDefault="00197085" w:rsidP="00197085">
      <w:pPr>
        <w:ind w:left="-360" w:right="42"/>
        <w:jc w:val="both"/>
        <w:rPr>
          <w:sz w:val="18"/>
          <w:szCs w:val="18"/>
        </w:rPr>
      </w:pPr>
      <w:r w:rsidRPr="00C45AC0">
        <w:rPr>
          <w:sz w:val="18"/>
          <w:szCs w:val="18"/>
        </w:rPr>
        <w:t xml:space="preserve">Kaynak : TÜİK (sol taraf KKO ekseni, sağ taraf SÜE </w:t>
      </w:r>
    </w:p>
    <w:p w:rsidR="00197085" w:rsidRPr="00C45AC0" w:rsidRDefault="00197085" w:rsidP="00197085">
      <w:pPr>
        <w:ind w:left="-360" w:right="42"/>
        <w:jc w:val="both"/>
        <w:rPr>
          <w:sz w:val="18"/>
          <w:szCs w:val="18"/>
        </w:rPr>
      </w:pPr>
      <w:r w:rsidRPr="00C45AC0">
        <w:rPr>
          <w:sz w:val="18"/>
          <w:szCs w:val="18"/>
        </w:rPr>
        <w:t>ekseni).</w:t>
      </w:r>
    </w:p>
    <w:p w:rsidR="00197085" w:rsidRPr="00C45AC0" w:rsidRDefault="00197085" w:rsidP="00197085">
      <w:pPr>
        <w:ind w:left="-360" w:right="42"/>
        <w:jc w:val="both"/>
        <w:rPr>
          <w:b/>
          <w:bCs/>
          <w:sz w:val="10"/>
          <w:szCs w:val="10"/>
        </w:rPr>
      </w:pPr>
    </w:p>
    <w:p w:rsidR="00197085" w:rsidRPr="00C45AC0" w:rsidRDefault="00197085" w:rsidP="00197085">
      <w:pPr>
        <w:ind w:left="-360" w:right="42"/>
        <w:jc w:val="both"/>
        <w:rPr>
          <w:b/>
          <w:bCs/>
          <w:sz w:val="22"/>
          <w:szCs w:val="22"/>
        </w:rPr>
      </w:pPr>
      <w:r w:rsidRPr="00C45AC0">
        <w:rPr>
          <w:b/>
          <w:bCs/>
          <w:sz w:val="22"/>
          <w:szCs w:val="22"/>
        </w:rPr>
        <w:br/>
        <w:t>Şekil 3: Altın dahil cari açığın GSYH'a oranı, 12 aylık</w:t>
      </w:r>
    </w:p>
    <w:p w:rsidR="00197085" w:rsidRPr="00C45AC0" w:rsidRDefault="00197085" w:rsidP="00197085">
      <w:pPr>
        <w:ind w:left="-360" w:right="42"/>
        <w:jc w:val="both"/>
        <w:rPr>
          <w:b/>
          <w:bCs/>
          <w:sz w:val="8"/>
          <w:szCs w:val="8"/>
        </w:rPr>
      </w:pPr>
    </w:p>
    <w:p w:rsidR="00197085" w:rsidRPr="00C45AC0" w:rsidRDefault="00197085" w:rsidP="00197085">
      <w:pPr>
        <w:ind w:left="-360" w:right="42"/>
        <w:jc w:val="both"/>
      </w:pPr>
      <w:r w:rsidRPr="00197085">
        <w:rPr>
          <w:noProof/>
        </w:rPr>
        <w:drawing>
          <wp:inline distT="0" distB="0" distL="0" distR="0">
            <wp:extent cx="2655570" cy="2227184"/>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655570" cy="2227184"/>
                    </a:xfrm>
                    <a:prstGeom prst="rect">
                      <a:avLst/>
                    </a:prstGeom>
                    <a:noFill/>
                    <a:ln w="9525">
                      <a:noFill/>
                      <a:miter lim="800000"/>
                      <a:headEnd/>
                      <a:tailEnd/>
                    </a:ln>
                  </pic:spPr>
                </pic:pic>
              </a:graphicData>
            </a:graphic>
          </wp:inline>
        </w:drawing>
      </w:r>
    </w:p>
    <w:p w:rsidR="00197085" w:rsidRPr="00C45AC0" w:rsidRDefault="00197085" w:rsidP="00197085">
      <w:pPr>
        <w:ind w:left="-360" w:right="42"/>
        <w:jc w:val="both"/>
        <w:rPr>
          <w:sz w:val="16"/>
          <w:szCs w:val="16"/>
        </w:rPr>
      </w:pPr>
      <w:r w:rsidRPr="00C45AC0">
        <w:rPr>
          <w:sz w:val="16"/>
          <w:szCs w:val="16"/>
        </w:rPr>
        <w:t>Kaynak : TCMB,TÜİK, Betam.</w:t>
      </w:r>
    </w:p>
    <w:p w:rsidR="00197085" w:rsidRPr="00C45AC0" w:rsidRDefault="00197085" w:rsidP="00197085">
      <w:pPr>
        <w:ind w:left="-360" w:right="42"/>
        <w:jc w:val="both"/>
        <w:rPr>
          <w:b/>
          <w:bCs/>
          <w:sz w:val="22"/>
          <w:szCs w:val="22"/>
        </w:rPr>
      </w:pPr>
      <w:r w:rsidRPr="00C45AC0">
        <w:rPr>
          <w:b/>
          <w:bCs/>
          <w:sz w:val="22"/>
          <w:szCs w:val="22"/>
        </w:rPr>
        <w:br/>
      </w:r>
      <w:r w:rsidRPr="00C45AC0">
        <w:rPr>
          <w:b/>
          <w:bCs/>
          <w:sz w:val="22"/>
          <w:szCs w:val="22"/>
        </w:rPr>
        <w:br/>
      </w:r>
      <w:r w:rsidRPr="00C45AC0">
        <w:rPr>
          <w:b/>
          <w:bCs/>
          <w:sz w:val="22"/>
          <w:szCs w:val="22"/>
        </w:rPr>
        <w:br/>
      </w:r>
      <w:r w:rsidRPr="00C45AC0">
        <w:rPr>
          <w:b/>
          <w:bCs/>
          <w:sz w:val="22"/>
          <w:szCs w:val="22"/>
        </w:rPr>
        <w:lastRenderedPageBreak/>
        <w:t>Şekil 2: İhracat ve ithalat miktar endeksleri (mea)</w:t>
      </w:r>
    </w:p>
    <w:p w:rsidR="00197085" w:rsidRPr="00C45AC0" w:rsidRDefault="00197085" w:rsidP="00197085">
      <w:pPr>
        <w:spacing w:line="360" w:lineRule="auto"/>
        <w:ind w:left="-360" w:right="42"/>
        <w:jc w:val="both"/>
        <w:rPr>
          <w:sz w:val="4"/>
          <w:szCs w:val="4"/>
        </w:rPr>
      </w:pPr>
    </w:p>
    <w:p w:rsidR="00197085" w:rsidRPr="00C45AC0" w:rsidRDefault="00197085" w:rsidP="00197085">
      <w:pPr>
        <w:ind w:left="-360" w:right="42"/>
        <w:jc w:val="both"/>
      </w:pPr>
      <w:r w:rsidRPr="00030A4F">
        <w:rPr>
          <w:noProof/>
        </w:rPr>
        <w:drawing>
          <wp:inline distT="0" distB="0" distL="0" distR="0">
            <wp:extent cx="2655570" cy="230665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655570" cy="2306651"/>
                    </a:xfrm>
                    <a:prstGeom prst="rect">
                      <a:avLst/>
                    </a:prstGeom>
                    <a:noFill/>
                    <a:ln w="9525">
                      <a:noFill/>
                      <a:miter lim="800000"/>
                      <a:headEnd/>
                      <a:tailEnd/>
                    </a:ln>
                  </pic:spPr>
                </pic:pic>
              </a:graphicData>
            </a:graphic>
          </wp:inline>
        </w:drawing>
      </w:r>
    </w:p>
    <w:p w:rsidR="00197085" w:rsidRPr="00C45AC0" w:rsidRDefault="00197085" w:rsidP="00197085">
      <w:pPr>
        <w:ind w:left="-360" w:right="42"/>
        <w:jc w:val="both"/>
        <w:rPr>
          <w:sz w:val="18"/>
          <w:szCs w:val="18"/>
        </w:rPr>
      </w:pPr>
      <w:r w:rsidRPr="00C45AC0">
        <w:rPr>
          <w:sz w:val="18"/>
          <w:szCs w:val="18"/>
        </w:rPr>
        <w:t>Kaynak : TÜİK.</w:t>
      </w:r>
    </w:p>
    <w:p w:rsidR="00197085" w:rsidRPr="00C45AC0" w:rsidRDefault="00197085" w:rsidP="00197085">
      <w:pPr>
        <w:ind w:left="-360" w:right="42"/>
        <w:jc w:val="both"/>
        <w:rPr>
          <w:b/>
          <w:bCs/>
          <w:sz w:val="18"/>
          <w:szCs w:val="18"/>
        </w:rPr>
      </w:pPr>
    </w:p>
    <w:p w:rsidR="00197085" w:rsidRPr="00C45AC0" w:rsidRDefault="00197085" w:rsidP="00197085">
      <w:pPr>
        <w:ind w:left="-360" w:right="42"/>
        <w:jc w:val="both"/>
        <w:rPr>
          <w:b/>
          <w:bCs/>
          <w:sz w:val="22"/>
          <w:szCs w:val="22"/>
        </w:rPr>
      </w:pPr>
      <w:r w:rsidRPr="00C45AC0">
        <w:rPr>
          <w:b/>
          <w:bCs/>
          <w:sz w:val="22"/>
          <w:szCs w:val="22"/>
        </w:rPr>
        <w:br/>
        <w:t>Şekil 4: Altın hariç cari açığın GSYH'a oranı, 12 aylık</w:t>
      </w:r>
    </w:p>
    <w:p w:rsidR="00197085" w:rsidRPr="00C45AC0" w:rsidRDefault="00197085" w:rsidP="00197085">
      <w:pPr>
        <w:spacing w:line="360" w:lineRule="auto"/>
        <w:ind w:left="-360" w:right="42"/>
        <w:jc w:val="both"/>
        <w:rPr>
          <w:sz w:val="4"/>
          <w:szCs w:val="4"/>
        </w:rPr>
      </w:pPr>
    </w:p>
    <w:p w:rsidR="00197085" w:rsidRPr="00C45AC0" w:rsidRDefault="00197085" w:rsidP="00197085">
      <w:pPr>
        <w:ind w:left="-360" w:right="42"/>
        <w:jc w:val="both"/>
      </w:pPr>
      <w:r w:rsidRPr="00197085">
        <w:rPr>
          <w:noProof/>
        </w:rPr>
        <w:drawing>
          <wp:inline distT="0" distB="0" distL="0" distR="0">
            <wp:extent cx="2655570" cy="2250528"/>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655570" cy="2250528"/>
                    </a:xfrm>
                    <a:prstGeom prst="rect">
                      <a:avLst/>
                    </a:prstGeom>
                    <a:noFill/>
                    <a:ln w="9525">
                      <a:noFill/>
                      <a:miter lim="800000"/>
                      <a:headEnd/>
                      <a:tailEnd/>
                    </a:ln>
                  </pic:spPr>
                </pic:pic>
              </a:graphicData>
            </a:graphic>
          </wp:inline>
        </w:drawing>
      </w:r>
    </w:p>
    <w:p w:rsidR="00197085" w:rsidRPr="00C45AC0" w:rsidRDefault="00197085" w:rsidP="00197085">
      <w:pPr>
        <w:ind w:left="-360" w:right="42"/>
        <w:jc w:val="both"/>
        <w:rPr>
          <w:sz w:val="16"/>
          <w:szCs w:val="16"/>
        </w:rPr>
      </w:pPr>
      <w:r w:rsidRPr="00C45AC0">
        <w:rPr>
          <w:sz w:val="16"/>
          <w:szCs w:val="16"/>
        </w:rPr>
        <w:t>Kaynak : TCMB, TÜİK, Betam.</w:t>
      </w:r>
    </w:p>
    <w:p w:rsidR="00197085" w:rsidRPr="00C45AC0" w:rsidRDefault="00197085" w:rsidP="00197085">
      <w:pPr>
        <w:spacing w:line="360" w:lineRule="auto"/>
        <w:ind w:right="42"/>
        <w:jc w:val="both"/>
        <w:rPr>
          <w:sz w:val="22"/>
          <w:szCs w:val="22"/>
        </w:rPr>
        <w:sectPr w:rsidR="00197085" w:rsidRPr="00C45AC0" w:rsidSect="007067F4">
          <w:type w:val="continuous"/>
          <w:pgSz w:w="11906" w:h="16838"/>
          <w:pgMar w:top="1417" w:right="1417" w:bottom="1417" w:left="1417" w:header="708" w:footer="708" w:gutter="0"/>
          <w:cols w:num="2" w:space="708" w:equalWidth="0">
            <w:col w:w="4182" w:space="708"/>
            <w:col w:w="4182"/>
          </w:cols>
          <w:docGrid w:linePitch="360"/>
        </w:sectPr>
      </w:pPr>
    </w:p>
    <w:p w:rsidR="00197085" w:rsidRPr="00C45AC0" w:rsidRDefault="00197085" w:rsidP="00197085">
      <w:pPr>
        <w:spacing w:line="360" w:lineRule="auto"/>
        <w:ind w:left="-360" w:right="42"/>
        <w:jc w:val="both"/>
        <w:rPr>
          <w:b/>
          <w:bCs/>
          <w:sz w:val="22"/>
          <w:szCs w:val="22"/>
        </w:rPr>
      </w:pPr>
    </w:p>
    <w:p w:rsidR="00197085" w:rsidRPr="00C04505" w:rsidRDefault="00197085" w:rsidP="00197085">
      <w:pPr>
        <w:ind w:left="-360" w:right="42"/>
        <w:rPr>
          <w:sz w:val="16"/>
          <w:szCs w:val="16"/>
        </w:rPr>
      </w:pPr>
      <w:r>
        <w:rPr>
          <w:sz w:val="18"/>
          <w:szCs w:val="18"/>
        </w:rPr>
        <w:tab/>
      </w: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p>
    <w:p w:rsidR="00197085" w:rsidRDefault="00197085" w:rsidP="00197085">
      <w:pPr>
        <w:ind w:left="-360" w:right="42"/>
        <w:jc w:val="both"/>
        <w:rPr>
          <w:b/>
          <w:bCs/>
          <w:sz w:val="22"/>
          <w:szCs w:val="22"/>
        </w:rPr>
      </w:pPr>
      <w:r>
        <w:rPr>
          <w:b/>
          <w:bCs/>
          <w:sz w:val="22"/>
          <w:szCs w:val="22"/>
        </w:rPr>
        <w:lastRenderedPageBreak/>
        <w:t>Şekil 5. Altın ve Enerji hariç cari açık ve Net Enerji İthalatı (12 aylık toplam)</w:t>
      </w:r>
    </w:p>
    <w:p w:rsidR="00197085" w:rsidRDefault="00197085" w:rsidP="00197085">
      <w:pPr>
        <w:ind w:left="-360" w:right="42"/>
        <w:jc w:val="both"/>
        <w:rPr>
          <w:b/>
          <w:bCs/>
          <w:sz w:val="22"/>
          <w:szCs w:val="22"/>
        </w:rPr>
      </w:pPr>
      <w:r w:rsidRPr="00197085">
        <w:rPr>
          <w:noProof/>
          <w:szCs w:val="22"/>
        </w:rPr>
        <w:drawing>
          <wp:inline distT="0" distB="0" distL="0" distR="0">
            <wp:extent cx="5760720" cy="3147206"/>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760720" cy="3147206"/>
                    </a:xfrm>
                    <a:prstGeom prst="rect">
                      <a:avLst/>
                    </a:prstGeom>
                    <a:noFill/>
                    <a:ln w="9525">
                      <a:noFill/>
                      <a:miter lim="800000"/>
                      <a:headEnd/>
                      <a:tailEnd/>
                    </a:ln>
                  </pic:spPr>
                </pic:pic>
              </a:graphicData>
            </a:graphic>
          </wp:inline>
        </w:drawing>
      </w:r>
    </w:p>
    <w:p w:rsidR="00197085" w:rsidRPr="00C45AC0" w:rsidRDefault="00197085" w:rsidP="00197085">
      <w:pPr>
        <w:ind w:left="-357" w:right="40"/>
        <w:rPr>
          <w:sz w:val="16"/>
          <w:szCs w:val="16"/>
        </w:rPr>
      </w:pPr>
      <w:r>
        <w:rPr>
          <w:sz w:val="16"/>
          <w:szCs w:val="16"/>
        </w:rPr>
        <w:t>Kaynak : TÜİK, TCMB</w:t>
      </w:r>
    </w:p>
    <w:p w:rsidR="00197085" w:rsidRDefault="00197085" w:rsidP="00197085">
      <w:pPr>
        <w:spacing w:line="360" w:lineRule="auto"/>
        <w:ind w:left="-360" w:right="42"/>
        <w:jc w:val="both"/>
        <w:rPr>
          <w:b/>
          <w:bCs/>
          <w:sz w:val="22"/>
          <w:szCs w:val="22"/>
        </w:rPr>
      </w:pPr>
    </w:p>
    <w:p w:rsidR="00197085" w:rsidRDefault="00197085" w:rsidP="00197085">
      <w:pPr>
        <w:ind w:left="-360" w:right="42"/>
        <w:jc w:val="both"/>
        <w:rPr>
          <w:b/>
          <w:bCs/>
          <w:sz w:val="22"/>
          <w:szCs w:val="22"/>
        </w:rPr>
      </w:pPr>
      <w:r>
        <w:rPr>
          <w:b/>
          <w:bCs/>
          <w:sz w:val="22"/>
          <w:szCs w:val="22"/>
        </w:rPr>
        <w:t>Şekil 6. Enerji ve Altın hariç İhracat ve İthalat (12 aylık toplam)</w:t>
      </w:r>
    </w:p>
    <w:p w:rsidR="00197085" w:rsidRDefault="00197085" w:rsidP="00197085">
      <w:pPr>
        <w:ind w:left="-360" w:right="42"/>
        <w:jc w:val="both"/>
        <w:rPr>
          <w:b/>
          <w:bCs/>
          <w:sz w:val="22"/>
          <w:szCs w:val="22"/>
        </w:rPr>
      </w:pPr>
      <w:r w:rsidRPr="00197085">
        <w:rPr>
          <w:noProof/>
          <w:szCs w:val="22"/>
        </w:rPr>
        <w:drawing>
          <wp:inline distT="0" distB="0" distL="0" distR="0">
            <wp:extent cx="5760720" cy="3130980"/>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760720" cy="3130980"/>
                    </a:xfrm>
                    <a:prstGeom prst="rect">
                      <a:avLst/>
                    </a:prstGeom>
                    <a:noFill/>
                    <a:ln w="9525">
                      <a:noFill/>
                      <a:miter lim="800000"/>
                      <a:headEnd/>
                      <a:tailEnd/>
                    </a:ln>
                  </pic:spPr>
                </pic:pic>
              </a:graphicData>
            </a:graphic>
          </wp:inline>
        </w:drawing>
      </w:r>
    </w:p>
    <w:p w:rsidR="00197085" w:rsidRPr="00C45AC0" w:rsidRDefault="00197085" w:rsidP="00197085">
      <w:pPr>
        <w:ind w:left="-357" w:right="40"/>
        <w:rPr>
          <w:sz w:val="16"/>
          <w:szCs w:val="16"/>
        </w:rPr>
      </w:pPr>
      <w:r>
        <w:rPr>
          <w:sz w:val="16"/>
          <w:szCs w:val="16"/>
        </w:rPr>
        <w:t>Kaynak : TÜİK, TCMB</w:t>
      </w:r>
    </w:p>
    <w:p w:rsidR="00197085" w:rsidRPr="00C45AC0" w:rsidRDefault="00197085" w:rsidP="00197085">
      <w:pPr>
        <w:spacing w:line="360" w:lineRule="auto"/>
        <w:ind w:right="42"/>
        <w:jc w:val="both"/>
        <w:rPr>
          <w:b/>
          <w:bCs/>
          <w:sz w:val="22"/>
          <w:szCs w:val="22"/>
        </w:rPr>
      </w:pPr>
    </w:p>
    <w:p w:rsidR="008C6E09" w:rsidRPr="00C45AC0" w:rsidRDefault="008C6E09" w:rsidP="00197085">
      <w:pPr>
        <w:spacing w:line="360" w:lineRule="auto"/>
        <w:ind w:right="42"/>
        <w:jc w:val="both"/>
        <w:rPr>
          <w:b/>
          <w:bCs/>
          <w:sz w:val="22"/>
          <w:szCs w:val="22"/>
        </w:rPr>
      </w:pPr>
    </w:p>
    <w:sectPr w:rsidR="008C6E09" w:rsidRPr="00C45AC0" w:rsidSect="00E973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34" w:rsidRDefault="00924234">
      <w:r>
        <w:separator/>
      </w:r>
    </w:p>
  </w:endnote>
  <w:endnote w:type="continuationSeparator" w:id="0">
    <w:p w:rsidR="00924234" w:rsidRDefault="0092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8D" w:rsidRDefault="00FC27DF" w:rsidP="00D830C4">
    <w:pPr>
      <w:pStyle w:val="Footer"/>
      <w:framePr w:wrap="auto" w:vAnchor="text" w:hAnchor="margin" w:xAlign="right" w:y="1"/>
      <w:rPr>
        <w:rStyle w:val="PageNumber"/>
      </w:rPr>
    </w:pPr>
    <w:r>
      <w:rPr>
        <w:rStyle w:val="PageNumber"/>
      </w:rPr>
      <w:fldChar w:fldCharType="begin"/>
    </w:r>
    <w:r w:rsidR="00EB408D">
      <w:rPr>
        <w:rStyle w:val="PageNumber"/>
      </w:rPr>
      <w:instrText xml:space="preserve">PAGE  </w:instrText>
    </w:r>
    <w:r>
      <w:rPr>
        <w:rStyle w:val="PageNumber"/>
      </w:rPr>
      <w:fldChar w:fldCharType="separate"/>
    </w:r>
    <w:r w:rsidR="00A646C6">
      <w:rPr>
        <w:rStyle w:val="PageNumber"/>
        <w:noProof/>
      </w:rPr>
      <w:t>1</w:t>
    </w:r>
    <w:r>
      <w:rPr>
        <w:rStyle w:val="PageNumber"/>
      </w:rPr>
      <w:fldChar w:fldCharType="end"/>
    </w:r>
  </w:p>
  <w:p w:rsidR="00EB408D" w:rsidRPr="007B51E3" w:rsidRDefault="00EB408D" w:rsidP="007B51E3">
    <w:pPr>
      <w:pStyle w:val="Footer"/>
      <w:ind w:right="360"/>
      <w:jc w:val="center"/>
      <w:rPr>
        <w:b/>
        <w:bCs/>
        <w:i/>
        <w:iCs/>
      </w:rPr>
    </w:pPr>
    <w:r w:rsidRPr="007B51E3">
      <w:rPr>
        <w:b/>
        <w:bCs/>
        <w:i/>
        <w:iCs/>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90" w:rsidRDefault="00FC27DF" w:rsidP="00D830C4">
    <w:pPr>
      <w:pStyle w:val="Footer"/>
      <w:framePr w:wrap="auto" w:vAnchor="text" w:hAnchor="margin" w:xAlign="right" w:y="1"/>
      <w:rPr>
        <w:rStyle w:val="PageNumber"/>
      </w:rPr>
    </w:pPr>
    <w:r>
      <w:rPr>
        <w:rStyle w:val="PageNumber"/>
      </w:rPr>
      <w:fldChar w:fldCharType="begin"/>
    </w:r>
    <w:r w:rsidR="00C76E90">
      <w:rPr>
        <w:rStyle w:val="PageNumber"/>
      </w:rPr>
      <w:instrText xml:space="preserve">PAGE  </w:instrText>
    </w:r>
    <w:r>
      <w:rPr>
        <w:rStyle w:val="PageNumber"/>
      </w:rPr>
      <w:fldChar w:fldCharType="separate"/>
    </w:r>
    <w:r w:rsidR="00A646C6">
      <w:rPr>
        <w:rStyle w:val="PageNumber"/>
        <w:noProof/>
      </w:rPr>
      <w:t>3</w:t>
    </w:r>
    <w:r>
      <w:rPr>
        <w:rStyle w:val="PageNumber"/>
      </w:rPr>
      <w:fldChar w:fldCharType="end"/>
    </w:r>
  </w:p>
  <w:p w:rsidR="00C76E90" w:rsidRPr="007B51E3" w:rsidRDefault="00C76E90" w:rsidP="007B51E3">
    <w:pPr>
      <w:pStyle w:val="Footer"/>
      <w:ind w:right="360"/>
      <w:jc w:val="center"/>
      <w:rPr>
        <w:b/>
        <w:bCs/>
        <w:i/>
        <w:iCs/>
      </w:rPr>
    </w:pPr>
    <w:r w:rsidRPr="007B51E3">
      <w:rPr>
        <w:b/>
        <w:bCs/>
        <w:i/>
        <w:iCs/>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34" w:rsidRDefault="00924234">
      <w:r>
        <w:separator/>
      </w:r>
    </w:p>
  </w:footnote>
  <w:footnote w:type="continuationSeparator" w:id="0">
    <w:p w:rsidR="00924234" w:rsidRDefault="00924234">
      <w:r>
        <w:continuationSeparator/>
      </w:r>
    </w:p>
  </w:footnote>
  <w:footnote w:id="1">
    <w:p w:rsidR="00197085" w:rsidRDefault="00197085" w:rsidP="00197085">
      <w:pPr>
        <w:pStyle w:val="FootnoteText"/>
        <w:ind w:left="-284"/>
        <w:jc w:val="both"/>
      </w:pPr>
      <w:r>
        <w:rPr>
          <w:rStyle w:val="FootnoteReference"/>
        </w:rPr>
        <w:footnoteRef/>
      </w:r>
      <w:r>
        <w:t xml:space="preserve"> Altın hariç reel ihracat mal ve hizmet ihracatından altın ihracatı çıkarılarak hesaplanmaktadır.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14A"/>
    <w:rsid w:val="000015B4"/>
    <w:rsid w:val="00001CF9"/>
    <w:rsid w:val="0000230B"/>
    <w:rsid w:val="000039F2"/>
    <w:rsid w:val="00004860"/>
    <w:rsid w:val="00004B78"/>
    <w:rsid w:val="0000507C"/>
    <w:rsid w:val="000056C3"/>
    <w:rsid w:val="0000704D"/>
    <w:rsid w:val="00011090"/>
    <w:rsid w:val="0001121A"/>
    <w:rsid w:val="000117B7"/>
    <w:rsid w:val="0001288B"/>
    <w:rsid w:val="000144EB"/>
    <w:rsid w:val="000150D2"/>
    <w:rsid w:val="00017809"/>
    <w:rsid w:val="0002037B"/>
    <w:rsid w:val="000205A1"/>
    <w:rsid w:val="000208EA"/>
    <w:rsid w:val="000212AC"/>
    <w:rsid w:val="000217AE"/>
    <w:rsid w:val="000224B9"/>
    <w:rsid w:val="000232EC"/>
    <w:rsid w:val="000233A7"/>
    <w:rsid w:val="00024559"/>
    <w:rsid w:val="000262EC"/>
    <w:rsid w:val="00026F21"/>
    <w:rsid w:val="00027FC3"/>
    <w:rsid w:val="000311C6"/>
    <w:rsid w:val="00031D72"/>
    <w:rsid w:val="0003248D"/>
    <w:rsid w:val="00033700"/>
    <w:rsid w:val="00033AF8"/>
    <w:rsid w:val="00034090"/>
    <w:rsid w:val="0003546D"/>
    <w:rsid w:val="000449FC"/>
    <w:rsid w:val="00045C5A"/>
    <w:rsid w:val="00047B99"/>
    <w:rsid w:val="00047E9F"/>
    <w:rsid w:val="0005037D"/>
    <w:rsid w:val="00050453"/>
    <w:rsid w:val="000507D6"/>
    <w:rsid w:val="000509A3"/>
    <w:rsid w:val="00052AD4"/>
    <w:rsid w:val="00052D7A"/>
    <w:rsid w:val="00052EFB"/>
    <w:rsid w:val="00054BD3"/>
    <w:rsid w:val="00056118"/>
    <w:rsid w:val="00056B3E"/>
    <w:rsid w:val="00060119"/>
    <w:rsid w:val="00060540"/>
    <w:rsid w:val="00061256"/>
    <w:rsid w:val="000616F0"/>
    <w:rsid w:val="00061732"/>
    <w:rsid w:val="00063005"/>
    <w:rsid w:val="00064636"/>
    <w:rsid w:val="0006518B"/>
    <w:rsid w:val="00065B3C"/>
    <w:rsid w:val="000678F9"/>
    <w:rsid w:val="00070FF1"/>
    <w:rsid w:val="000716BA"/>
    <w:rsid w:val="000716CA"/>
    <w:rsid w:val="0007202B"/>
    <w:rsid w:val="00072407"/>
    <w:rsid w:val="00074648"/>
    <w:rsid w:val="000750E3"/>
    <w:rsid w:val="0007701E"/>
    <w:rsid w:val="00077A9D"/>
    <w:rsid w:val="00077FF4"/>
    <w:rsid w:val="00080D7E"/>
    <w:rsid w:val="00081E3F"/>
    <w:rsid w:val="000829B5"/>
    <w:rsid w:val="00082FE4"/>
    <w:rsid w:val="000833C7"/>
    <w:rsid w:val="0008631D"/>
    <w:rsid w:val="0008735C"/>
    <w:rsid w:val="000875E6"/>
    <w:rsid w:val="00087E0A"/>
    <w:rsid w:val="00090498"/>
    <w:rsid w:val="0009059A"/>
    <w:rsid w:val="000925B3"/>
    <w:rsid w:val="00096B4E"/>
    <w:rsid w:val="00097E2B"/>
    <w:rsid w:val="000A0D4D"/>
    <w:rsid w:val="000A2514"/>
    <w:rsid w:val="000A27A5"/>
    <w:rsid w:val="000A292B"/>
    <w:rsid w:val="000A399E"/>
    <w:rsid w:val="000A5675"/>
    <w:rsid w:val="000A583D"/>
    <w:rsid w:val="000A687F"/>
    <w:rsid w:val="000A6907"/>
    <w:rsid w:val="000A701D"/>
    <w:rsid w:val="000A79A0"/>
    <w:rsid w:val="000B0589"/>
    <w:rsid w:val="000B16FB"/>
    <w:rsid w:val="000B2409"/>
    <w:rsid w:val="000B2AF0"/>
    <w:rsid w:val="000B2B47"/>
    <w:rsid w:val="000B2BF9"/>
    <w:rsid w:val="000B2E92"/>
    <w:rsid w:val="000B325E"/>
    <w:rsid w:val="000B3995"/>
    <w:rsid w:val="000B3C1E"/>
    <w:rsid w:val="000B41F3"/>
    <w:rsid w:val="000B42EA"/>
    <w:rsid w:val="000B469F"/>
    <w:rsid w:val="000B50AD"/>
    <w:rsid w:val="000B50DE"/>
    <w:rsid w:val="000B6120"/>
    <w:rsid w:val="000B6127"/>
    <w:rsid w:val="000B7B77"/>
    <w:rsid w:val="000B7E94"/>
    <w:rsid w:val="000C2102"/>
    <w:rsid w:val="000C2F1B"/>
    <w:rsid w:val="000C5B7E"/>
    <w:rsid w:val="000C667B"/>
    <w:rsid w:val="000C7B42"/>
    <w:rsid w:val="000D0C5A"/>
    <w:rsid w:val="000D17A2"/>
    <w:rsid w:val="000D1F14"/>
    <w:rsid w:val="000D49FD"/>
    <w:rsid w:val="000D56EB"/>
    <w:rsid w:val="000D5927"/>
    <w:rsid w:val="000E01ED"/>
    <w:rsid w:val="000E10A3"/>
    <w:rsid w:val="000E1F75"/>
    <w:rsid w:val="000E2708"/>
    <w:rsid w:val="000E4E83"/>
    <w:rsid w:val="000E5365"/>
    <w:rsid w:val="000E631E"/>
    <w:rsid w:val="000E6807"/>
    <w:rsid w:val="000E74B5"/>
    <w:rsid w:val="000E7AB3"/>
    <w:rsid w:val="000E7CBB"/>
    <w:rsid w:val="000F0C2B"/>
    <w:rsid w:val="000F2DB4"/>
    <w:rsid w:val="000F360E"/>
    <w:rsid w:val="000F396D"/>
    <w:rsid w:val="000F4941"/>
    <w:rsid w:val="000F5457"/>
    <w:rsid w:val="000F71D2"/>
    <w:rsid w:val="001007B5"/>
    <w:rsid w:val="001009B7"/>
    <w:rsid w:val="001044D1"/>
    <w:rsid w:val="00106470"/>
    <w:rsid w:val="001075D1"/>
    <w:rsid w:val="00107FF7"/>
    <w:rsid w:val="001105B2"/>
    <w:rsid w:val="001117C6"/>
    <w:rsid w:val="0011236C"/>
    <w:rsid w:val="0011279B"/>
    <w:rsid w:val="00112E08"/>
    <w:rsid w:val="00113C74"/>
    <w:rsid w:val="00114BC7"/>
    <w:rsid w:val="00117A11"/>
    <w:rsid w:val="00121017"/>
    <w:rsid w:val="00121ABE"/>
    <w:rsid w:val="0012262F"/>
    <w:rsid w:val="00123E71"/>
    <w:rsid w:val="0012410A"/>
    <w:rsid w:val="001251CC"/>
    <w:rsid w:val="00125FC6"/>
    <w:rsid w:val="001260D7"/>
    <w:rsid w:val="001261A8"/>
    <w:rsid w:val="001267DF"/>
    <w:rsid w:val="00130959"/>
    <w:rsid w:val="0013240F"/>
    <w:rsid w:val="00132E7B"/>
    <w:rsid w:val="001331CB"/>
    <w:rsid w:val="0013381D"/>
    <w:rsid w:val="00135B82"/>
    <w:rsid w:val="00135B92"/>
    <w:rsid w:val="001360D1"/>
    <w:rsid w:val="00136362"/>
    <w:rsid w:val="00136A69"/>
    <w:rsid w:val="001408D6"/>
    <w:rsid w:val="00140E1E"/>
    <w:rsid w:val="00141B1A"/>
    <w:rsid w:val="00141B88"/>
    <w:rsid w:val="00141B93"/>
    <w:rsid w:val="00143024"/>
    <w:rsid w:val="00143828"/>
    <w:rsid w:val="00143A92"/>
    <w:rsid w:val="00144285"/>
    <w:rsid w:val="001466BE"/>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AAB"/>
    <w:rsid w:val="00165C4C"/>
    <w:rsid w:val="00165C59"/>
    <w:rsid w:val="00165CB0"/>
    <w:rsid w:val="00166FE5"/>
    <w:rsid w:val="00167D69"/>
    <w:rsid w:val="00170502"/>
    <w:rsid w:val="00170CA9"/>
    <w:rsid w:val="00171424"/>
    <w:rsid w:val="00172263"/>
    <w:rsid w:val="00175574"/>
    <w:rsid w:val="00175F89"/>
    <w:rsid w:val="00176E56"/>
    <w:rsid w:val="00177FE3"/>
    <w:rsid w:val="0018034E"/>
    <w:rsid w:val="00180C8C"/>
    <w:rsid w:val="00181B5A"/>
    <w:rsid w:val="00182F2B"/>
    <w:rsid w:val="00183507"/>
    <w:rsid w:val="001837A6"/>
    <w:rsid w:val="00183896"/>
    <w:rsid w:val="00186DB6"/>
    <w:rsid w:val="00190F20"/>
    <w:rsid w:val="0019159E"/>
    <w:rsid w:val="001938A7"/>
    <w:rsid w:val="00193F73"/>
    <w:rsid w:val="0019538C"/>
    <w:rsid w:val="00197085"/>
    <w:rsid w:val="00197ACB"/>
    <w:rsid w:val="001A054B"/>
    <w:rsid w:val="001A2051"/>
    <w:rsid w:val="001A2B3D"/>
    <w:rsid w:val="001A3025"/>
    <w:rsid w:val="001A319A"/>
    <w:rsid w:val="001A4381"/>
    <w:rsid w:val="001A45BC"/>
    <w:rsid w:val="001A528A"/>
    <w:rsid w:val="001A5534"/>
    <w:rsid w:val="001A6188"/>
    <w:rsid w:val="001A6206"/>
    <w:rsid w:val="001A772F"/>
    <w:rsid w:val="001B0683"/>
    <w:rsid w:val="001B0EF9"/>
    <w:rsid w:val="001B1651"/>
    <w:rsid w:val="001B1CE5"/>
    <w:rsid w:val="001B2F96"/>
    <w:rsid w:val="001B30E0"/>
    <w:rsid w:val="001B34B5"/>
    <w:rsid w:val="001B3B49"/>
    <w:rsid w:val="001B3C7B"/>
    <w:rsid w:val="001B6AFA"/>
    <w:rsid w:val="001C184E"/>
    <w:rsid w:val="001C295D"/>
    <w:rsid w:val="001C4996"/>
    <w:rsid w:val="001C62D3"/>
    <w:rsid w:val="001C6BAB"/>
    <w:rsid w:val="001C7334"/>
    <w:rsid w:val="001C7C05"/>
    <w:rsid w:val="001D09B1"/>
    <w:rsid w:val="001D129A"/>
    <w:rsid w:val="001D1F1B"/>
    <w:rsid w:val="001D2615"/>
    <w:rsid w:val="001D3F5A"/>
    <w:rsid w:val="001D436C"/>
    <w:rsid w:val="001E0274"/>
    <w:rsid w:val="001E115E"/>
    <w:rsid w:val="001E27F8"/>
    <w:rsid w:val="001E2EE8"/>
    <w:rsid w:val="001E30C3"/>
    <w:rsid w:val="001E3C27"/>
    <w:rsid w:val="001E4BF5"/>
    <w:rsid w:val="001E5387"/>
    <w:rsid w:val="001E739D"/>
    <w:rsid w:val="001E75C8"/>
    <w:rsid w:val="001E7720"/>
    <w:rsid w:val="001E7744"/>
    <w:rsid w:val="001F2761"/>
    <w:rsid w:val="001F2A11"/>
    <w:rsid w:val="001F4CFB"/>
    <w:rsid w:val="001F6F00"/>
    <w:rsid w:val="001F7144"/>
    <w:rsid w:val="001F71A5"/>
    <w:rsid w:val="001F7216"/>
    <w:rsid w:val="001F775A"/>
    <w:rsid w:val="00200D5C"/>
    <w:rsid w:val="0020167B"/>
    <w:rsid w:val="00204364"/>
    <w:rsid w:val="00206291"/>
    <w:rsid w:val="00206862"/>
    <w:rsid w:val="00207185"/>
    <w:rsid w:val="00207313"/>
    <w:rsid w:val="0020739E"/>
    <w:rsid w:val="00207C8A"/>
    <w:rsid w:val="00207CC3"/>
    <w:rsid w:val="0021024B"/>
    <w:rsid w:val="00213153"/>
    <w:rsid w:val="0021387C"/>
    <w:rsid w:val="0021684B"/>
    <w:rsid w:val="002168E5"/>
    <w:rsid w:val="002173B9"/>
    <w:rsid w:val="0021766E"/>
    <w:rsid w:val="002176C5"/>
    <w:rsid w:val="00217D35"/>
    <w:rsid w:val="00220B5E"/>
    <w:rsid w:val="00221184"/>
    <w:rsid w:val="00223A5B"/>
    <w:rsid w:val="002242A1"/>
    <w:rsid w:val="00224908"/>
    <w:rsid w:val="00224F8E"/>
    <w:rsid w:val="00225204"/>
    <w:rsid w:val="00226D50"/>
    <w:rsid w:val="002272CB"/>
    <w:rsid w:val="00231E92"/>
    <w:rsid w:val="00232243"/>
    <w:rsid w:val="0023312F"/>
    <w:rsid w:val="00233D56"/>
    <w:rsid w:val="00233FED"/>
    <w:rsid w:val="00237255"/>
    <w:rsid w:val="00237353"/>
    <w:rsid w:val="0024030B"/>
    <w:rsid w:val="00241A67"/>
    <w:rsid w:val="00243212"/>
    <w:rsid w:val="00243BC2"/>
    <w:rsid w:val="00245B1F"/>
    <w:rsid w:val="00251885"/>
    <w:rsid w:val="00251DE2"/>
    <w:rsid w:val="00251E82"/>
    <w:rsid w:val="00252FAF"/>
    <w:rsid w:val="00253D39"/>
    <w:rsid w:val="0025486C"/>
    <w:rsid w:val="00254A99"/>
    <w:rsid w:val="00255059"/>
    <w:rsid w:val="002563B1"/>
    <w:rsid w:val="002569EA"/>
    <w:rsid w:val="002576F7"/>
    <w:rsid w:val="0026114C"/>
    <w:rsid w:val="002614C1"/>
    <w:rsid w:val="00261A05"/>
    <w:rsid w:val="00261B02"/>
    <w:rsid w:val="00262020"/>
    <w:rsid w:val="00264335"/>
    <w:rsid w:val="002654A6"/>
    <w:rsid w:val="00265BC9"/>
    <w:rsid w:val="002670FE"/>
    <w:rsid w:val="00267EB4"/>
    <w:rsid w:val="0027244B"/>
    <w:rsid w:val="00273CB4"/>
    <w:rsid w:val="00273E62"/>
    <w:rsid w:val="00277E58"/>
    <w:rsid w:val="002802F2"/>
    <w:rsid w:val="00280552"/>
    <w:rsid w:val="002816C6"/>
    <w:rsid w:val="00281D8F"/>
    <w:rsid w:val="002820F1"/>
    <w:rsid w:val="00284A28"/>
    <w:rsid w:val="002854D6"/>
    <w:rsid w:val="00285656"/>
    <w:rsid w:val="002871E8"/>
    <w:rsid w:val="00291C79"/>
    <w:rsid w:val="002926BF"/>
    <w:rsid w:val="00293DC6"/>
    <w:rsid w:val="0029480C"/>
    <w:rsid w:val="00295AFF"/>
    <w:rsid w:val="00297710"/>
    <w:rsid w:val="00297712"/>
    <w:rsid w:val="002A05DB"/>
    <w:rsid w:val="002A1FA0"/>
    <w:rsid w:val="002A3EDD"/>
    <w:rsid w:val="002A49A3"/>
    <w:rsid w:val="002A4AF7"/>
    <w:rsid w:val="002A5D22"/>
    <w:rsid w:val="002A66ED"/>
    <w:rsid w:val="002B0426"/>
    <w:rsid w:val="002B3129"/>
    <w:rsid w:val="002B3644"/>
    <w:rsid w:val="002B58B1"/>
    <w:rsid w:val="002B626B"/>
    <w:rsid w:val="002B73C6"/>
    <w:rsid w:val="002C11F9"/>
    <w:rsid w:val="002C236E"/>
    <w:rsid w:val="002C25CE"/>
    <w:rsid w:val="002C2DA3"/>
    <w:rsid w:val="002C4200"/>
    <w:rsid w:val="002C49EC"/>
    <w:rsid w:val="002C5F2D"/>
    <w:rsid w:val="002C7D04"/>
    <w:rsid w:val="002D1908"/>
    <w:rsid w:val="002D2F1A"/>
    <w:rsid w:val="002D3C8B"/>
    <w:rsid w:val="002D4158"/>
    <w:rsid w:val="002D44DC"/>
    <w:rsid w:val="002D584B"/>
    <w:rsid w:val="002D7342"/>
    <w:rsid w:val="002E02BA"/>
    <w:rsid w:val="002E0E16"/>
    <w:rsid w:val="002E1EA4"/>
    <w:rsid w:val="002E205D"/>
    <w:rsid w:val="002E2084"/>
    <w:rsid w:val="002E26DA"/>
    <w:rsid w:val="002E31DD"/>
    <w:rsid w:val="002E41FC"/>
    <w:rsid w:val="002E5D5E"/>
    <w:rsid w:val="002E6E82"/>
    <w:rsid w:val="002E6F28"/>
    <w:rsid w:val="002E6F87"/>
    <w:rsid w:val="002E7357"/>
    <w:rsid w:val="002E7860"/>
    <w:rsid w:val="002F129C"/>
    <w:rsid w:val="002F150B"/>
    <w:rsid w:val="002F21C6"/>
    <w:rsid w:val="002F3718"/>
    <w:rsid w:val="002F3940"/>
    <w:rsid w:val="002F4648"/>
    <w:rsid w:val="002F467E"/>
    <w:rsid w:val="002F5134"/>
    <w:rsid w:val="002F5C24"/>
    <w:rsid w:val="002F5E1E"/>
    <w:rsid w:val="002F61A9"/>
    <w:rsid w:val="002F64AE"/>
    <w:rsid w:val="003001AF"/>
    <w:rsid w:val="0030120F"/>
    <w:rsid w:val="003012EA"/>
    <w:rsid w:val="00303A3C"/>
    <w:rsid w:val="003044A5"/>
    <w:rsid w:val="0030512F"/>
    <w:rsid w:val="003051E6"/>
    <w:rsid w:val="00306265"/>
    <w:rsid w:val="00306F51"/>
    <w:rsid w:val="0031043B"/>
    <w:rsid w:val="003118F7"/>
    <w:rsid w:val="00312DB8"/>
    <w:rsid w:val="00312EB0"/>
    <w:rsid w:val="003134C3"/>
    <w:rsid w:val="003142BA"/>
    <w:rsid w:val="003143D4"/>
    <w:rsid w:val="003146E6"/>
    <w:rsid w:val="0031673E"/>
    <w:rsid w:val="0031682C"/>
    <w:rsid w:val="00316CE9"/>
    <w:rsid w:val="00316DB4"/>
    <w:rsid w:val="003208B4"/>
    <w:rsid w:val="00320F7D"/>
    <w:rsid w:val="00321533"/>
    <w:rsid w:val="003223B0"/>
    <w:rsid w:val="00323169"/>
    <w:rsid w:val="003234F0"/>
    <w:rsid w:val="00323CA6"/>
    <w:rsid w:val="00324A91"/>
    <w:rsid w:val="00324C15"/>
    <w:rsid w:val="003269F7"/>
    <w:rsid w:val="003270D6"/>
    <w:rsid w:val="0033129D"/>
    <w:rsid w:val="00332DBD"/>
    <w:rsid w:val="003333BF"/>
    <w:rsid w:val="00333B98"/>
    <w:rsid w:val="00333C8E"/>
    <w:rsid w:val="003341A9"/>
    <w:rsid w:val="00337AE5"/>
    <w:rsid w:val="0034012E"/>
    <w:rsid w:val="0034025B"/>
    <w:rsid w:val="00341195"/>
    <w:rsid w:val="0034138A"/>
    <w:rsid w:val="0034251A"/>
    <w:rsid w:val="00342E6B"/>
    <w:rsid w:val="00344555"/>
    <w:rsid w:val="00344F97"/>
    <w:rsid w:val="0034543C"/>
    <w:rsid w:val="00346201"/>
    <w:rsid w:val="003466B0"/>
    <w:rsid w:val="00347B6F"/>
    <w:rsid w:val="00347FA0"/>
    <w:rsid w:val="0035343B"/>
    <w:rsid w:val="003545A8"/>
    <w:rsid w:val="003552A4"/>
    <w:rsid w:val="00356020"/>
    <w:rsid w:val="00356266"/>
    <w:rsid w:val="003578FF"/>
    <w:rsid w:val="00357987"/>
    <w:rsid w:val="00357C3B"/>
    <w:rsid w:val="00357ECC"/>
    <w:rsid w:val="003622FF"/>
    <w:rsid w:val="00362436"/>
    <w:rsid w:val="00362D77"/>
    <w:rsid w:val="003634C2"/>
    <w:rsid w:val="00363ECE"/>
    <w:rsid w:val="003640DE"/>
    <w:rsid w:val="00365B7D"/>
    <w:rsid w:val="00366A30"/>
    <w:rsid w:val="00366D41"/>
    <w:rsid w:val="00375126"/>
    <w:rsid w:val="00375CC6"/>
    <w:rsid w:val="00376AC1"/>
    <w:rsid w:val="00376F93"/>
    <w:rsid w:val="00377FEF"/>
    <w:rsid w:val="00381CA9"/>
    <w:rsid w:val="00382C02"/>
    <w:rsid w:val="00382F97"/>
    <w:rsid w:val="0038488E"/>
    <w:rsid w:val="00385F45"/>
    <w:rsid w:val="00390136"/>
    <w:rsid w:val="00392A7C"/>
    <w:rsid w:val="00394F60"/>
    <w:rsid w:val="0039541E"/>
    <w:rsid w:val="00395F95"/>
    <w:rsid w:val="00396CE9"/>
    <w:rsid w:val="00397518"/>
    <w:rsid w:val="0039785D"/>
    <w:rsid w:val="003A2B60"/>
    <w:rsid w:val="003A2C52"/>
    <w:rsid w:val="003A31B2"/>
    <w:rsid w:val="003A3575"/>
    <w:rsid w:val="003A3A61"/>
    <w:rsid w:val="003A4593"/>
    <w:rsid w:val="003A5C17"/>
    <w:rsid w:val="003A6089"/>
    <w:rsid w:val="003A6471"/>
    <w:rsid w:val="003A78A3"/>
    <w:rsid w:val="003B00C3"/>
    <w:rsid w:val="003B0180"/>
    <w:rsid w:val="003B0F7E"/>
    <w:rsid w:val="003B148B"/>
    <w:rsid w:val="003B199A"/>
    <w:rsid w:val="003B1BE8"/>
    <w:rsid w:val="003B241B"/>
    <w:rsid w:val="003B2FC4"/>
    <w:rsid w:val="003B33D9"/>
    <w:rsid w:val="003B472B"/>
    <w:rsid w:val="003B4A44"/>
    <w:rsid w:val="003B5209"/>
    <w:rsid w:val="003B65FB"/>
    <w:rsid w:val="003B757A"/>
    <w:rsid w:val="003C280B"/>
    <w:rsid w:val="003C2B2A"/>
    <w:rsid w:val="003C2BAF"/>
    <w:rsid w:val="003C3188"/>
    <w:rsid w:val="003C640D"/>
    <w:rsid w:val="003C6B73"/>
    <w:rsid w:val="003C6C41"/>
    <w:rsid w:val="003C7051"/>
    <w:rsid w:val="003C791D"/>
    <w:rsid w:val="003C7C35"/>
    <w:rsid w:val="003D0AB6"/>
    <w:rsid w:val="003D0E64"/>
    <w:rsid w:val="003D1BAD"/>
    <w:rsid w:val="003D2405"/>
    <w:rsid w:val="003D472B"/>
    <w:rsid w:val="003D7373"/>
    <w:rsid w:val="003D7D0B"/>
    <w:rsid w:val="003D7E7F"/>
    <w:rsid w:val="003E40B5"/>
    <w:rsid w:val="003E4DF6"/>
    <w:rsid w:val="003E512C"/>
    <w:rsid w:val="003E5EC3"/>
    <w:rsid w:val="003E6807"/>
    <w:rsid w:val="003E6BDC"/>
    <w:rsid w:val="003F1E42"/>
    <w:rsid w:val="003F47E3"/>
    <w:rsid w:val="003F503B"/>
    <w:rsid w:val="003F60C0"/>
    <w:rsid w:val="003F6C96"/>
    <w:rsid w:val="003F7185"/>
    <w:rsid w:val="003F7D4B"/>
    <w:rsid w:val="0040061A"/>
    <w:rsid w:val="00402158"/>
    <w:rsid w:val="00402270"/>
    <w:rsid w:val="00405E96"/>
    <w:rsid w:val="0040602A"/>
    <w:rsid w:val="00407480"/>
    <w:rsid w:val="004074ED"/>
    <w:rsid w:val="00412C49"/>
    <w:rsid w:val="00413AFE"/>
    <w:rsid w:val="00414443"/>
    <w:rsid w:val="00415FC4"/>
    <w:rsid w:val="00417092"/>
    <w:rsid w:val="00417568"/>
    <w:rsid w:val="00421D0B"/>
    <w:rsid w:val="00422927"/>
    <w:rsid w:val="004229DE"/>
    <w:rsid w:val="00423602"/>
    <w:rsid w:val="004239AE"/>
    <w:rsid w:val="00423E8F"/>
    <w:rsid w:val="004251B6"/>
    <w:rsid w:val="004259B8"/>
    <w:rsid w:val="00425C5D"/>
    <w:rsid w:val="004269DA"/>
    <w:rsid w:val="0042798D"/>
    <w:rsid w:val="00432F82"/>
    <w:rsid w:val="00434618"/>
    <w:rsid w:val="00434B76"/>
    <w:rsid w:val="00435527"/>
    <w:rsid w:val="00435FF5"/>
    <w:rsid w:val="0043681C"/>
    <w:rsid w:val="00437273"/>
    <w:rsid w:val="00440820"/>
    <w:rsid w:val="004441AD"/>
    <w:rsid w:val="00444DA6"/>
    <w:rsid w:val="00445C19"/>
    <w:rsid w:val="004466EA"/>
    <w:rsid w:val="00446A31"/>
    <w:rsid w:val="00446D37"/>
    <w:rsid w:val="004475A9"/>
    <w:rsid w:val="0044794F"/>
    <w:rsid w:val="00447CD2"/>
    <w:rsid w:val="00450447"/>
    <w:rsid w:val="00450723"/>
    <w:rsid w:val="00453D77"/>
    <w:rsid w:val="00454313"/>
    <w:rsid w:val="00454965"/>
    <w:rsid w:val="00461612"/>
    <w:rsid w:val="0046178B"/>
    <w:rsid w:val="00462314"/>
    <w:rsid w:val="00462E07"/>
    <w:rsid w:val="0046331C"/>
    <w:rsid w:val="00463512"/>
    <w:rsid w:val="0046362C"/>
    <w:rsid w:val="00463BBF"/>
    <w:rsid w:val="00463C05"/>
    <w:rsid w:val="00466C2F"/>
    <w:rsid w:val="004701D0"/>
    <w:rsid w:val="00470E4D"/>
    <w:rsid w:val="00474C08"/>
    <w:rsid w:val="00474D75"/>
    <w:rsid w:val="004764CC"/>
    <w:rsid w:val="004764EE"/>
    <w:rsid w:val="00476D76"/>
    <w:rsid w:val="004771EB"/>
    <w:rsid w:val="004814D5"/>
    <w:rsid w:val="004814F0"/>
    <w:rsid w:val="00482771"/>
    <w:rsid w:val="00483180"/>
    <w:rsid w:val="00483C58"/>
    <w:rsid w:val="00484222"/>
    <w:rsid w:val="00485F46"/>
    <w:rsid w:val="00491855"/>
    <w:rsid w:val="0049412C"/>
    <w:rsid w:val="00494345"/>
    <w:rsid w:val="00495192"/>
    <w:rsid w:val="004956C0"/>
    <w:rsid w:val="004A0D43"/>
    <w:rsid w:val="004A1818"/>
    <w:rsid w:val="004A1C7F"/>
    <w:rsid w:val="004A3EE9"/>
    <w:rsid w:val="004A4E4F"/>
    <w:rsid w:val="004A56E7"/>
    <w:rsid w:val="004A7750"/>
    <w:rsid w:val="004A7FE6"/>
    <w:rsid w:val="004B02B9"/>
    <w:rsid w:val="004B0B90"/>
    <w:rsid w:val="004B2F0D"/>
    <w:rsid w:val="004B30FB"/>
    <w:rsid w:val="004B3F80"/>
    <w:rsid w:val="004B40EE"/>
    <w:rsid w:val="004B45F4"/>
    <w:rsid w:val="004B4A27"/>
    <w:rsid w:val="004C0A8D"/>
    <w:rsid w:val="004C2024"/>
    <w:rsid w:val="004C25F6"/>
    <w:rsid w:val="004C2D19"/>
    <w:rsid w:val="004C357C"/>
    <w:rsid w:val="004C62C6"/>
    <w:rsid w:val="004D100D"/>
    <w:rsid w:val="004D2626"/>
    <w:rsid w:val="004D2C34"/>
    <w:rsid w:val="004D2E28"/>
    <w:rsid w:val="004D3901"/>
    <w:rsid w:val="004D3F5D"/>
    <w:rsid w:val="004D41D8"/>
    <w:rsid w:val="004D5E10"/>
    <w:rsid w:val="004D67C5"/>
    <w:rsid w:val="004D6E34"/>
    <w:rsid w:val="004D7E65"/>
    <w:rsid w:val="004E00D0"/>
    <w:rsid w:val="004E07DC"/>
    <w:rsid w:val="004E0851"/>
    <w:rsid w:val="004E0939"/>
    <w:rsid w:val="004E1AB5"/>
    <w:rsid w:val="004E1AE2"/>
    <w:rsid w:val="004E4165"/>
    <w:rsid w:val="004E5446"/>
    <w:rsid w:val="004F059F"/>
    <w:rsid w:val="004F1352"/>
    <w:rsid w:val="004F2868"/>
    <w:rsid w:val="004F55F8"/>
    <w:rsid w:val="004F6ACE"/>
    <w:rsid w:val="004F7447"/>
    <w:rsid w:val="004F76D9"/>
    <w:rsid w:val="004F7E37"/>
    <w:rsid w:val="00501F2F"/>
    <w:rsid w:val="00505141"/>
    <w:rsid w:val="005066A2"/>
    <w:rsid w:val="00506CD9"/>
    <w:rsid w:val="00511EF3"/>
    <w:rsid w:val="00512AE9"/>
    <w:rsid w:val="00512E41"/>
    <w:rsid w:val="00513472"/>
    <w:rsid w:val="00513FBF"/>
    <w:rsid w:val="00516576"/>
    <w:rsid w:val="0051750C"/>
    <w:rsid w:val="00522063"/>
    <w:rsid w:val="00522ED0"/>
    <w:rsid w:val="00523826"/>
    <w:rsid w:val="00523C58"/>
    <w:rsid w:val="005253A2"/>
    <w:rsid w:val="0052557E"/>
    <w:rsid w:val="00525782"/>
    <w:rsid w:val="00526CC9"/>
    <w:rsid w:val="0052770E"/>
    <w:rsid w:val="00530C05"/>
    <w:rsid w:val="005310F8"/>
    <w:rsid w:val="0053163F"/>
    <w:rsid w:val="005347F8"/>
    <w:rsid w:val="00534CA7"/>
    <w:rsid w:val="00535BAD"/>
    <w:rsid w:val="00535C26"/>
    <w:rsid w:val="00536008"/>
    <w:rsid w:val="00536B3B"/>
    <w:rsid w:val="00537DBB"/>
    <w:rsid w:val="00541D0D"/>
    <w:rsid w:val="005429D2"/>
    <w:rsid w:val="005435C8"/>
    <w:rsid w:val="00543E56"/>
    <w:rsid w:val="00544A5C"/>
    <w:rsid w:val="0054542E"/>
    <w:rsid w:val="005470EC"/>
    <w:rsid w:val="00550399"/>
    <w:rsid w:val="005514CA"/>
    <w:rsid w:val="00552380"/>
    <w:rsid w:val="00556328"/>
    <w:rsid w:val="00556D13"/>
    <w:rsid w:val="00563399"/>
    <w:rsid w:val="0056591F"/>
    <w:rsid w:val="00566E5E"/>
    <w:rsid w:val="00571282"/>
    <w:rsid w:val="00571E9F"/>
    <w:rsid w:val="00573C3B"/>
    <w:rsid w:val="00574E1B"/>
    <w:rsid w:val="00583974"/>
    <w:rsid w:val="005860AC"/>
    <w:rsid w:val="0058722C"/>
    <w:rsid w:val="0058799A"/>
    <w:rsid w:val="00587F62"/>
    <w:rsid w:val="00590149"/>
    <w:rsid w:val="00592358"/>
    <w:rsid w:val="00592FD2"/>
    <w:rsid w:val="0059373B"/>
    <w:rsid w:val="00593B80"/>
    <w:rsid w:val="00596A1C"/>
    <w:rsid w:val="00596FDB"/>
    <w:rsid w:val="005A06D3"/>
    <w:rsid w:val="005A0AF8"/>
    <w:rsid w:val="005A0E6F"/>
    <w:rsid w:val="005A1E77"/>
    <w:rsid w:val="005A2B2E"/>
    <w:rsid w:val="005A3E49"/>
    <w:rsid w:val="005A4714"/>
    <w:rsid w:val="005A47EC"/>
    <w:rsid w:val="005A73A1"/>
    <w:rsid w:val="005B551F"/>
    <w:rsid w:val="005B5D93"/>
    <w:rsid w:val="005B66C8"/>
    <w:rsid w:val="005C0A9A"/>
    <w:rsid w:val="005C11DE"/>
    <w:rsid w:val="005C28BC"/>
    <w:rsid w:val="005C4EA4"/>
    <w:rsid w:val="005D0287"/>
    <w:rsid w:val="005D092B"/>
    <w:rsid w:val="005D0AD6"/>
    <w:rsid w:val="005D10E5"/>
    <w:rsid w:val="005D39F3"/>
    <w:rsid w:val="005D46EE"/>
    <w:rsid w:val="005D7E62"/>
    <w:rsid w:val="005E0596"/>
    <w:rsid w:val="005E0731"/>
    <w:rsid w:val="005E13DF"/>
    <w:rsid w:val="005E1D9A"/>
    <w:rsid w:val="005E2073"/>
    <w:rsid w:val="005E2983"/>
    <w:rsid w:val="005E3EE4"/>
    <w:rsid w:val="005E6479"/>
    <w:rsid w:val="005F03CC"/>
    <w:rsid w:val="005F10D3"/>
    <w:rsid w:val="005F2063"/>
    <w:rsid w:val="005F2279"/>
    <w:rsid w:val="005F2A5B"/>
    <w:rsid w:val="005F31BE"/>
    <w:rsid w:val="005F36AB"/>
    <w:rsid w:val="005F442A"/>
    <w:rsid w:val="005F700B"/>
    <w:rsid w:val="006007C7"/>
    <w:rsid w:val="00600B5F"/>
    <w:rsid w:val="00600FFC"/>
    <w:rsid w:val="0060133B"/>
    <w:rsid w:val="006015A3"/>
    <w:rsid w:val="00601C31"/>
    <w:rsid w:val="00602BC6"/>
    <w:rsid w:val="00602EB0"/>
    <w:rsid w:val="00603311"/>
    <w:rsid w:val="00603888"/>
    <w:rsid w:val="00603C6D"/>
    <w:rsid w:val="006040ED"/>
    <w:rsid w:val="00604415"/>
    <w:rsid w:val="006079B9"/>
    <w:rsid w:val="00613A11"/>
    <w:rsid w:val="00613B72"/>
    <w:rsid w:val="0061706E"/>
    <w:rsid w:val="006227B4"/>
    <w:rsid w:val="00622914"/>
    <w:rsid w:val="0062291A"/>
    <w:rsid w:val="00622AA8"/>
    <w:rsid w:val="00622D91"/>
    <w:rsid w:val="006237CF"/>
    <w:rsid w:val="00623B31"/>
    <w:rsid w:val="00623C7E"/>
    <w:rsid w:val="0062575D"/>
    <w:rsid w:val="00626CC1"/>
    <w:rsid w:val="0063164E"/>
    <w:rsid w:val="0063286C"/>
    <w:rsid w:val="006335A2"/>
    <w:rsid w:val="00635FF5"/>
    <w:rsid w:val="00636375"/>
    <w:rsid w:val="00637FF0"/>
    <w:rsid w:val="0064166F"/>
    <w:rsid w:val="00643373"/>
    <w:rsid w:val="0064342E"/>
    <w:rsid w:val="00643C4C"/>
    <w:rsid w:val="00644764"/>
    <w:rsid w:val="0064549C"/>
    <w:rsid w:val="0064601A"/>
    <w:rsid w:val="00647676"/>
    <w:rsid w:val="00647DB4"/>
    <w:rsid w:val="006502E3"/>
    <w:rsid w:val="006511AA"/>
    <w:rsid w:val="006522C9"/>
    <w:rsid w:val="00653E7B"/>
    <w:rsid w:val="00655823"/>
    <w:rsid w:val="00660F48"/>
    <w:rsid w:val="00665640"/>
    <w:rsid w:val="0066619C"/>
    <w:rsid w:val="006702D1"/>
    <w:rsid w:val="006704F7"/>
    <w:rsid w:val="006707E3"/>
    <w:rsid w:val="00670A74"/>
    <w:rsid w:val="006713C0"/>
    <w:rsid w:val="006717CE"/>
    <w:rsid w:val="00673A3D"/>
    <w:rsid w:val="00674304"/>
    <w:rsid w:val="00674779"/>
    <w:rsid w:val="00674A7F"/>
    <w:rsid w:val="00676D51"/>
    <w:rsid w:val="00676EAB"/>
    <w:rsid w:val="0067747F"/>
    <w:rsid w:val="00680C1A"/>
    <w:rsid w:val="006811DC"/>
    <w:rsid w:val="006836A7"/>
    <w:rsid w:val="00683A24"/>
    <w:rsid w:val="006868AD"/>
    <w:rsid w:val="0069091E"/>
    <w:rsid w:val="00691D96"/>
    <w:rsid w:val="00692936"/>
    <w:rsid w:val="00692CE3"/>
    <w:rsid w:val="00692D34"/>
    <w:rsid w:val="0069300A"/>
    <w:rsid w:val="00693B96"/>
    <w:rsid w:val="00693FF6"/>
    <w:rsid w:val="00695F24"/>
    <w:rsid w:val="00696507"/>
    <w:rsid w:val="0069688D"/>
    <w:rsid w:val="006975FE"/>
    <w:rsid w:val="0069776E"/>
    <w:rsid w:val="006A0BF0"/>
    <w:rsid w:val="006A2CBF"/>
    <w:rsid w:val="006A507F"/>
    <w:rsid w:val="006A53AA"/>
    <w:rsid w:val="006A7193"/>
    <w:rsid w:val="006B08B4"/>
    <w:rsid w:val="006B12C5"/>
    <w:rsid w:val="006B1F6D"/>
    <w:rsid w:val="006B2978"/>
    <w:rsid w:val="006B30D5"/>
    <w:rsid w:val="006B4323"/>
    <w:rsid w:val="006B6367"/>
    <w:rsid w:val="006B7A8F"/>
    <w:rsid w:val="006C034B"/>
    <w:rsid w:val="006C2AB7"/>
    <w:rsid w:val="006C372B"/>
    <w:rsid w:val="006C38D6"/>
    <w:rsid w:val="006C4184"/>
    <w:rsid w:val="006C5AEF"/>
    <w:rsid w:val="006C6C6F"/>
    <w:rsid w:val="006C74FB"/>
    <w:rsid w:val="006D416F"/>
    <w:rsid w:val="006D453A"/>
    <w:rsid w:val="006D62BB"/>
    <w:rsid w:val="006E0358"/>
    <w:rsid w:val="006E0C79"/>
    <w:rsid w:val="006E0D45"/>
    <w:rsid w:val="006E3384"/>
    <w:rsid w:val="006E3B24"/>
    <w:rsid w:val="006E4051"/>
    <w:rsid w:val="006E480B"/>
    <w:rsid w:val="006E5E68"/>
    <w:rsid w:val="006E668E"/>
    <w:rsid w:val="006E68A1"/>
    <w:rsid w:val="006F0B18"/>
    <w:rsid w:val="006F1A82"/>
    <w:rsid w:val="006F2049"/>
    <w:rsid w:val="006F278A"/>
    <w:rsid w:val="006F2975"/>
    <w:rsid w:val="006F33D4"/>
    <w:rsid w:val="006F3608"/>
    <w:rsid w:val="006F39D1"/>
    <w:rsid w:val="006F3ECA"/>
    <w:rsid w:val="006F49FC"/>
    <w:rsid w:val="006F64B0"/>
    <w:rsid w:val="006F7FE6"/>
    <w:rsid w:val="00701A0C"/>
    <w:rsid w:val="00702823"/>
    <w:rsid w:val="00702DFC"/>
    <w:rsid w:val="0070339C"/>
    <w:rsid w:val="00703664"/>
    <w:rsid w:val="007037E4"/>
    <w:rsid w:val="0070556E"/>
    <w:rsid w:val="00705CE7"/>
    <w:rsid w:val="007067CB"/>
    <w:rsid w:val="007067F4"/>
    <w:rsid w:val="0070704B"/>
    <w:rsid w:val="007103A2"/>
    <w:rsid w:val="00710B36"/>
    <w:rsid w:val="00712041"/>
    <w:rsid w:val="00713CBF"/>
    <w:rsid w:val="007168F4"/>
    <w:rsid w:val="007169B6"/>
    <w:rsid w:val="00717C4C"/>
    <w:rsid w:val="00721276"/>
    <w:rsid w:val="007220A0"/>
    <w:rsid w:val="00723BCD"/>
    <w:rsid w:val="00724574"/>
    <w:rsid w:val="00725236"/>
    <w:rsid w:val="0072768C"/>
    <w:rsid w:val="00731730"/>
    <w:rsid w:val="00732049"/>
    <w:rsid w:val="007323C8"/>
    <w:rsid w:val="00732BA5"/>
    <w:rsid w:val="007343EE"/>
    <w:rsid w:val="0073536D"/>
    <w:rsid w:val="007357A6"/>
    <w:rsid w:val="00742130"/>
    <w:rsid w:val="0074346F"/>
    <w:rsid w:val="007440DB"/>
    <w:rsid w:val="00745577"/>
    <w:rsid w:val="00745E22"/>
    <w:rsid w:val="0074648A"/>
    <w:rsid w:val="00747A9B"/>
    <w:rsid w:val="007501A9"/>
    <w:rsid w:val="0075074A"/>
    <w:rsid w:val="007522D9"/>
    <w:rsid w:val="00752330"/>
    <w:rsid w:val="00753469"/>
    <w:rsid w:val="0075405B"/>
    <w:rsid w:val="007543EE"/>
    <w:rsid w:val="00755623"/>
    <w:rsid w:val="00755D28"/>
    <w:rsid w:val="0075617D"/>
    <w:rsid w:val="0075696F"/>
    <w:rsid w:val="00760A4B"/>
    <w:rsid w:val="0076118C"/>
    <w:rsid w:val="00761767"/>
    <w:rsid w:val="007633AA"/>
    <w:rsid w:val="007652AE"/>
    <w:rsid w:val="00767D6E"/>
    <w:rsid w:val="00770580"/>
    <w:rsid w:val="00770D1C"/>
    <w:rsid w:val="00771BFD"/>
    <w:rsid w:val="007750EF"/>
    <w:rsid w:val="00775D69"/>
    <w:rsid w:val="00776484"/>
    <w:rsid w:val="00777955"/>
    <w:rsid w:val="007806C4"/>
    <w:rsid w:val="00781E83"/>
    <w:rsid w:val="00781ECE"/>
    <w:rsid w:val="00783C9A"/>
    <w:rsid w:val="00783CDF"/>
    <w:rsid w:val="00784067"/>
    <w:rsid w:val="00785375"/>
    <w:rsid w:val="00786067"/>
    <w:rsid w:val="007906E2"/>
    <w:rsid w:val="00790FFD"/>
    <w:rsid w:val="0079170E"/>
    <w:rsid w:val="007956C2"/>
    <w:rsid w:val="007966CB"/>
    <w:rsid w:val="007975D4"/>
    <w:rsid w:val="00797B31"/>
    <w:rsid w:val="007A1E73"/>
    <w:rsid w:val="007A311A"/>
    <w:rsid w:val="007A35F3"/>
    <w:rsid w:val="007A36DD"/>
    <w:rsid w:val="007A6307"/>
    <w:rsid w:val="007A69DC"/>
    <w:rsid w:val="007B14EF"/>
    <w:rsid w:val="007B19BC"/>
    <w:rsid w:val="007B1EEE"/>
    <w:rsid w:val="007B4C7C"/>
    <w:rsid w:val="007B51E3"/>
    <w:rsid w:val="007B56E7"/>
    <w:rsid w:val="007B579E"/>
    <w:rsid w:val="007B6D85"/>
    <w:rsid w:val="007B7BF7"/>
    <w:rsid w:val="007C0C59"/>
    <w:rsid w:val="007C19A4"/>
    <w:rsid w:val="007C31F8"/>
    <w:rsid w:val="007C3C2B"/>
    <w:rsid w:val="007C3C78"/>
    <w:rsid w:val="007C3F82"/>
    <w:rsid w:val="007C5E78"/>
    <w:rsid w:val="007D02A6"/>
    <w:rsid w:val="007D0625"/>
    <w:rsid w:val="007D14BA"/>
    <w:rsid w:val="007D185F"/>
    <w:rsid w:val="007D3176"/>
    <w:rsid w:val="007D3E0C"/>
    <w:rsid w:val="007D5551"/>
    <w:rsid w:val="007D5CAE"/>
    <w:rsid w:val="007D604E"/>
    <w:rsid w:val="007D745B"/>
    <w:rsid w:val="007E10C4"/>
    <w:rsid w:val="007E13CA"/>
    <w:rsid w:val="007E182F"/>
    <w:rsid w:val="007E1D25"/>
    <w:rsid w:val="007E276E"/>
    <w:rsid w:val="007E395D"/>
    <w:rsid w:val="007E5E9A"/>
    <w:rsid w:val="007E6A0D"/>
    <w:rsid w:val="007F017D"/>
    <w:rsid w:val="007F160B"/>
    <w:rsid w:val="007F1E8F"/>
    <w:rsid w:val="007F4136"/>
    <w:rsid w:val="007F4F91"/>
    <w:rsid w:val="007F50E5"/>
    <w:rsid w:val="007F525C"/>
    <w:rsid w:val="007F681A"/>
    <w:rsid w:val="00801F91"/>
    <w:rsid w:val="00804CB9"/>
    <w:rsid w:val="00805A82"/>
    <w:rsid w:val="00807D3E"/>
    <w:rsid w:val="0081186E"/>
    <w:rsid w:val="00814196"/>
    <w:rsid w:val="00814DA3"/>
    <w:rsid w:val="00815549"/>
    <w:rsid w:val="008161FE"/>
    <w:rsid w:val="00816C3F"/>
    <w:rsid w:val="00817438"/>
    <w:rsid w:val="00820ECA"/>
    <w:rsid w:val="00820F9B"/>
    <w:rsid w:val="00821B78"/>
    <w:rsid w:val="00822C11"/>
    <w:rsid w:val="00823931"/>
    <w:rsid w:val="00825A58"/>
    <w:rsid w:val="00825F84"/>
    <w:rsid w:val="0082670B"/>
    <w:rsid w:val="00826C7D"/>
    <w:rsid w:val="00826E1D"/>
    <w:rsid w:val="00827412"/>
    <w:rsid w:val="008275B7"/>
    <w:rsid w:val="00830339"/>
    <w:rsid w:val="008322F7"/>
    <w:rsid w:val="008332DD"/>
    <w:rsid w:val="0083392D"/>
    <w:rsid w:val="00833B68"/>
    <w:rsid w:val="00833EB5"/>
    <w:rsid w:val="00835E44"/>
    <w:rsid w:val="008372B3"/>
    <w:rsid w:val="00837A59"/>
    <w:rsid w:val="008400B9"/>
    <w:rsid w:val="00842957"/>
    <w:rsid w:val="0084320B"/>
    <w:rsid w:val="008432FC"/>
    <w:rsid w:val="00843330"/>
    <w:rsid w:val="00843D2F"/>
    <w:rsid w:val="00844517"/>
    <w:rsid w:val="008446FE"/>
    <w:rsid w:val="00844C0C"/>
    <w:rsid w:val="00850769"/>
    <w:rsid w:val="0085533A"/>
    <w:rsid w:val="00856509"/>
    <w:rsid w:val="008572D1"/>
    <w:rsid w:val="00857347"/>
    <w:rsid w:val="00860D72"/>
    <w:rsid w:val="00860E25"/>
    <w:rsid w:val="00860E50"/>
    <w:rsid w:val="00862B92"/>
    <w:rsid w:val="00864323"/>
    <w:rsid w:val="008646F5"/>
    <w:rsid w:val="008651A8"/>
    <w:rsid w:val="008672D1"/>
    <w:rsid w:val="00870A39"/>
    <w:rsid w:val="00871E79"/>
    <w:rsid w:val="00872D6D"/>
    <w:rsid w:val="00875856"/>
    <w:rsid w:val="00876021"/>
    <w:rsid w:val="0088522E"/>
    <w:rsid w:val="00885634"/>
    <w:rsid w:val="00885D0C"/>
    <w:rsid w:val="00885D19"/>
    <w:rsid w:val="008868EE"/>
    <w:rsid w:val="0089029A"/>
    <w:rsid w:val="00890713"/>
    <w:rsid w:val="00892423"/>
    <w:rsid w:val="00893282"/>
    <w:rsid w:val="008937F7"/>
    <w:rsid w:val="00893AD2"/>
    <w:rsid w:val="00893BD5"/>
    <w:rsid w:val="00893EE3"/>
    <w:rsid w:val="00895278"/>
    <w:rsid w:val="00895DD8"/>
    <w:rsid w:val="00896E1A"/>
    <w:rsid w:val="008977F0"/>
    <w:rsid w:val="008A0F64"/>
    <w:rsid w:val="008A25ED"/>
    <w:rsid w:val="008A34AA"/>
    <w:rsid w:val="008A38AB"/>
    <w:rsid w:val="008A74B0"/>
    <w:rsid w:val="008B0C8D"/>
    <w:rsid w:val="008B1D17"/>
    <w:rsid w:val="008B20AA"/>
    <w:rsid w:val="008B372B"/>
    <w:rsid w:val="008B39CE"/>
    <w:rsid w:val="008B6824"/>
    <w:rsid w:val="008B7181"/>
    <w:rsid w:val="008B7A03"/>
    <w:rsid w:val="008C0DBE"/>
    <w:rsid w:val="008C17F4"/>
    <w:rsid w:val="008C1D9F"/>
    <w:rsid w:val="008C2C95"/>
    <w:rsid w:val="008C2D0B"/>
    <w:rsid w:val="008C2D77"/>
    <w:rsid w:val="008C508A"/>
    <w:rsid w:val="008C6252"/>
    <w:rsid w:val="008C654F"/>
    <w:rsid w:val="008C6E09"/>
    <w:rsid w:val="008C6E50"/>
    <w:rsid w:val="008D2012"/>
    <w:rsid w:val="008D28DD"/>
    <w:rsid w:val="008D3976"/>
    <w:rsid w:val="008E2216"/>
    <w:rsid w:val="008E252E"/>
    <w:rsid w:val="008E26AF"/>
    <w:rsid w:val="008E31DD"/>
    <w:rsid w:val="008E339A"/>
    <w:rsid w:val="008E36B6"/>
    <w:rsid w:val="008E4779"/>
    <w:rsid w:val="008E4B91"/>
    <w:rsid w:val="008E4DDE"/>
    <w:rsid w:val="008E63CB"/>
    <w:rsid w:val="008E7B64"/>
    <w:rsid w:val="008E7C39"/>
    <w:rsid w:val="008F208D"/>
    <w:rsid w:val="008F4166"/>
    <w:rsid w:val="008F485A"/>
    <w:rsid w:val="008F6889"/>
    <w:rsid w:val="008F79EF"/>
    <w:rsid w:val="008F7A68"/>
    <w:rsid w:val="00900BD4"/>
    <w:rsid w:val="009010CB"/>
    <w:rsid w:val="00901189"/>
    <w:rsid w:val="009014BB"/>
    <w:rsid w:val="00901532"/>
    <w:rsid w:val="00902C59"/>
    <w:rsid w:val="00903097"/>
    <w:rsid w:val="00905111"/>
    <w:rsid w:val="00906149"/>
    <w:rsid w:val="00906F88"/>
    <w:rsid w:val="00910940"/>
    <w:rsid w:val="009125B5"/>
    <w:rsid w:val="0091446C"/>
    <w:rsid w:val="00914DE2"/>
    <w:rsid w:val="009158BC"/>
    <w:rsid w:val="009165ED"/>
    <w:rsid w:val="00916619"/>
    <w:rsid w:val="00917893"/>
    <w:rsid w:val="009224F5"/>
    <w:rsid w:val="00922C21"/>
    <w:rsid w:val="00923AE7"/>
    <w:rsid w:val="00923BA4"/>
    <w:rsid w:val="00924234"/>
    <w:rsid w:val="00924D1B"/>
    <w:rsid w:val="0092546B"/>
    <w:rsid w:val="00932513"/>
    <w:rsid w:val="00932EF7"/>
    <w:rsid w:val="00934BE6"/>
    <w:rsid w:val="00934EC4"/>
    <w:rsid w:val="00935355"/>
    <w:rsid w:val="0093560C"/>
    <w:rsid w:val="00936426"/>
    <w:rsid w:val="00936733"/>
    <w:rsid w:val="00937243"/>
    <w:rsid w:val="009373BE"/>
    <w:rsid w:val="00941B1A"/>
    <w:rsid w:val="00942B11"/>
    <w:rsid w:val="009434F6"/>
    <w:rsid w:val="009438A8"/>
    <w:rsid w:val="00944BB8"/>
    <w:rsid w:val="009455CC"/>
    <w:rsid w:val="00946534"/>
    <w:rsid w:val="00947D91"/>
    <w:rsid w:val="00947DB1"/>
    <w:rsid w:val="00952B02"/>
    <w:rsid w:val="00953B15"/>
    <w:rsid w:val="00953CFA"/>
    <w:rsid w:val="00953ED7"/>
    <w:rsid w:val="009543EE"/>
    <w:rsid w:val="00954E8C"/>
    <w:rsid w:val="00961459"/>
    <w:rsid w:val="00961502"/>
    <w:rsid w:val="009621BF"/>
    <w:rsid w:val="00963350"/>
    <w:rsid w:val="00963AB5"/>
    <w:rsid w:val="00964774"/>
    <w:rsid w:val="00964F65"/>
    <w:rsid w:val="00965891"/>
    <w:rsid w:val="00965C0E"/>
    <w:rsid w:val="00966E7C"/>
    <w:rsid w:val="00970392"/>
    <w:rsid w:val="00970E4E"/>
    <w:rsid w:val="00971D26"/>
    <w:rsid w:val="009725C8"/>
    <w:rsid w:val="00973503"/>
    <w:rsid w:val="00973B85"/>
    <w:rsid w:val="0097445D"/>
    <w:rsid w:val="00974C42"/>
    <w:rsid w:val="0097517E"/>
    <w:rsid w:val="00976CAD"/>
    <w:rsid w:val="00977548"/>
    <w:rsid w:val="0097770C"/>
    <w:rsid w:val="009805A1"/>
    <w:rsid w:val="00982C96"/>
    <w:rsid w:val="00982D1E"/>
    <w:rsid w:val="00983748"/>
    <w:rsid w:val="00984330"/>
    <w:rsid w:val="00984BB2"/>
    <w:rsid w:val="00985758"/>
    <w:rsid w:val="00985C16"/>
    <w:rsid w:val="00985C5E"/>
    <w:rsid w:val="00987648"/>
    <w:rsid w:val="00990455"/>
    <w:rsid w:val="00990947"/>
    <w:rsid w:val="00991315"/>
    <w:rsid w:val="00991D31"/>
    <w:rsid w:val="00993CD6"/>
    <w:rsid w:val="009946C1"/>
    <w:rsid w:val="00995F40"/>
    <w:rsid w:val="00995FA5"/>
    <w:rsid w:val="00996D4F"/>
    <w:rsid w:val="00997A4D"/>
    <w:rsid w:val="009A0E6E"/>
    <w:rsid w:val="009A1DF2"/>
    <w:rsid w:val="009A6149"/>
    <w:rsid w:val="009A67E1"/>
    <w:rsid w:val="009A6E22"/>
    <w:rsid w:val="009B0086"/>
    <w:rsid w:val="009B1351"/>
    <w:rsid w:val="009B23C3"/>
    <w:rsid w:val="009B2429"/>
    <w:rsid w:val="009B2569"/>
    <w:rsid w:val="009B3130"/>
    <w:rsid w:val="009B33E7"/>
    <w:rsid w:val="009B3FDD"/>
    <w:rsid w:val="009B43D6"/>
    <w:rsid w:val="009B51E4"/>
    <w:rsid w:val="009B5AF5"/>
    <w:rsid w:val="009B6436"/>
    <w:rsid w:val="009B6C3A"/>
    <w:rsid w:val="009B726B"/>
    <w:rsid w:val="009C1700"/>
    <w:rsid w:val="009C1E63"/>
    <w:rsid w:val="009C1FC3"/>
    <w:rsid w:val="009C2076"/>
    <w:rsid w:val="009C24AD"/>
    <w:rsid w:val="009C3D1C"/>
    <w:rsid w:val="009C421C"/>
    <w:rsid w:val="009C5A53"/>
    <w:rsid w:val="009C5B58"/>
    <w:rsid w:val="009C6638"/>
    <w:rsid w:val="009D1323"/>
    <w:rsid w:val="009D1D95"/>
    <w:rsid w:val="009D24A5"/>
    <w:rsid w:val="009D2B42"/>
    <w:rsid w:val="009D30C5"/>
    <w:rsid w:val="009D3B55"/>
    <w:rsid w:val="009D42E8"/>
    <w:rsid w:val="009D54DD"/>
    <w:rsid w:val="009D5C29"/>
    <w:rsid w:val="009D7D1D"/>
    <w:rsid w:val="009E001E"/>
    <w:rsid w:val="009E04AB"/>
    <w:rsid w:val="009E20E6"/>
    <w:rsid w:val="009E2A57"/>
    <w:rsid w:val="009E4B4A"/>
    <w:rsid w:val="009E5BB8"/>
    <w:rsid w:val="009F0111"/>
    <w:rsid w:val="009F10CC"/>
    <w:rsid w:val="009F1D45"/>
    <w:rsid w:val="009F3AF4"/>
    <w:rsid w:val="009F44C0"/>
    <w:rsid w:val="009F4848"/>
    <w:rsid w:val="009F48FB"/>
    <w:rsid w:val="009F6003"/>
    <w:rsid w:val="009F67E4"/>
    <w:rsid w:val="009F7166"/>
    <w:rsid w:val="00A005E9"/>
    <w:rsid w:val="00A007F2"/>
    <w:rsid w:val="00A0089E"/>
    <w:rsid w:val="00A0243A"/>
    <w:rsid w:val="00A05AB1"/>
    <w:rsid w:val="00A05DEF"/>
    <w:rsid w:val="00A06C55"/>
    <w:rsid w:val="00A0768E"/>
    <w:rsid w:val="00A11474"/>
    <w:rsid w:val="00A127F7"/>
    <w:rsid w:val="00A13371"/>
    <w:rsid w:val="00A1421E"/>
    <w:rsid w:val="00A15634"/>
    <w:rsid w:val="00A158E0"/>
    <w:rsid w:val="00A15C76"/>
    <w:rsid w:val="00A17B41"/>
    <w:rsid w:val="00A208D0"/>
    <w:rsid w:val="00A21872"/>
    <w:rsid w:val="00A22568"/>
    <w:rsid w:val="00A23750"/>
    <w:rsid w:val="00A23BDD"/>
    <w:rsid w:val="00A24179"/>
    <w:rsid w:val="00A2418D"/>
    <w:rsid w:val="00A24957"/>
    <w:rsid w:val="00A25F93"/>
    <w:rsid w:val="00A26C29"/>
    <w:rsid w:val="00A302B8"/>
    <w:rsid w:val="00A30CBA"/>
    <w:rsid w:val="00A31CEE"/>
    <w:rsid w:val="00A3472C"/>
    <w:rsid w:val="00A35FDD"/>
    <w:rsid w:val="00A36846"/>
    <w:rsid w:val="00A4176C"/>
    <w:rsid w:val="00A42300"/>
    <w:rsid w:val="00A42E31"/>
    <w:rsid w:val="00A43507"/>
    <w:rsid w:val="00A440D7"/>
    <w:rsid w:val="00A44366"/>
    <w:rsid w:val="00A4540A"/>
    <w:rsid w:val="00A47817"/>
    <w:rsid w:val="00A50B48"/>
    <w:rsid w:val="00A50F18"/>
    <w:rsid w:val="00A51CCD"/>
    <w:rsid w:val="00A52949"/>
    <w:rsid w:val="00A52995"/>
    <w:rsid w:val="00A5424F"/>
    <w:rsid w:val="00A54A86"/>
    <w:rsid w:val="00A551E2"/>
    <w:rsid w:val="00A56A82"/>
    <w:rsid w:val="00A56BE6"/>
    <w:rsid w:val="00A56C6E"/>
    <w:rsid w:val="00A60D5C"/>
    <w:rsid w:val="00A61240"/>
    <w:rsid w:val="00A61A84"/>
    <w:rsid w:val="00A646B7"/>
    <w:rsid w:val="00A646C6"/>
    <w:rsid w:val="00A648F9"/>
    <w:rsid w:val="00A65332"/>
    <w:rsid w:val="00A656AC"/>
    <w:rsid w:val="00A66174"/>
    <w:rsid w:val="00A662DE"/>
    <w:rsid w:val="00A67A86"/>
    <w:rsid w:val="00A67D34"/>
    <w:rsid w:val="00A71B18"/>
    <w:rsid w:val="00A722FD"/>
    <w:rsid w:val="00A7254E"/>
    <w:rsid w:val="00A72660"/>
    <w:rsid w:val="00A72F32"/>
    <w:rsid w:val="00A737F4"/>
    <w:rsid w:val="00A73A04"/>
    <w:rsid w:val="00A73F6B"/>
    <w:rsid w:val="00A759A9"/>
    <w:rsid w:val="00A75A46"/>
    <w:rsid w:val="00A76C85"/>
    <w:rsid w:val="00A81D43"/>
    <w:rsid w:val="00A82A89"/>
    <w:rsid w:val="00A84CEC"/>
    <w:rsid w:val="00A84F85"/>
    <w:rsid w:val="00A85028"/>
    <w:rsid w:val="00A8559D"/>
    <w:rsid w:val="00A86049"/>
    <w:rsid w:val="00A868E2"/>
    <w:rsid w:val="00A86A49"/>
    <w:rsid w:val="00A8700C"/>
    <w:rsid w:val="00A9082F"/>
    <w:rsid w:val="00A92ABA"/>
    <w:rsid w:val="00A94370"/>
    <w:rsid w:val="00A946B4"/>
    <w:rsid w:val="00A94A4A"/>
    <w:rsid w:val="00A95141"/>
    <w:rsid w:val="00A9533A"/>
    <w:rsid w:val="00A95966"/>
    <w:rsid w:val="00A9596F"/>
    <w:rsid w:val="00A95AFE"/>
    <w:rsid w:val="00AA07CE"/>
    <w:rsid w:val="00AA1D15"/>
    <w:rsid w:val="00AA2CBB"/>
    <w:rsid w:val="00AA4C29"/>
    <w:rsid w:val="00AA6805"/>
    <w:rsid w:val="00AA6C92"/>
    <w:rsid w:val="00AA6FC4"/>
    <w:rsid w:val="00AA733B"/>
    <w:rsid w:val="00AA7B19"/>
    <w:rsid w:val="00AB039C"/>
    <w:rsid w:val="00AB1830"/>
    <w:rsid w:val="00AB202E"/>
    <w:rsid w:val="00AB257C"/>
    <w:rsid w:val="00AB3495"/>
    <w:rsid w:val="00AB5986"/>
    <w:rsid w:val="00AB5C72"/>
    <w:rsid w:val="00AB621E"/>
    <w:rsid w:val="00AC042A"/>
    <w:rsid w:val="00AC1F06"/>
    <w:rsid w:val="00AC35DA"/>
    <w:rsid w:val="00AC3E17"/>
    <w:rsid w:val="00AC5A27"/>
    <w:rsid w:val="00AC5B9F"/>
    <w:rsid w:val="00AC6111"/>
    <w:rsid w:val="00AC6123"/>
    <w:rsid w:val="00AC6BE7"/>
    <w:rsid w:val="00AC7AD3"/>
    <w:rsid w:val="00AD16EF"/>
    <w:rsid w:val="00AD17F9"/>
    <w:rsid w:val="00AD1A46"/>
    <w:rsid w:val="00AD261F"/>
    <w:rsid w:val="00AD31C3"/>
    <w:rsid w:val="00AD323C"/>
    <w:rsid w:val="00AD3B9A"/>
    <w:rsid w:val="00AD488E"/>
    <w:rsid w:val="00AD6CCB"/>
    <w:rsid w:val="00AE0655"/>
    <w:rsid w:val="00AE07AD"/>
    <w:rsid w:val="00AE1B12"/>
    <w:rsid w:val="00AE3819"/>
    <w:rsid w:val="00AE4BF0"/>
    <w:rsid w:val="00AF0A2F"/>
    <w:rsid w:val="00AF2D7A"/>
    <w:rsid w:val="00AF34E9"/>
    <w:rsid w:val="00AF418F"/>
    <w:rsid w:val="00AF501D"/>
    <w:rsid w:val="00AF5731"/>
    <w:rsid w:val="00AF60F6"/>
    <w:rsid w:val="00B00710"/>
    <w:rsid w:val="00B00FA6"/>
    <w:rsid w:val="00B01D63"/>
    <w:rsid w:val="00B0213C"/>
    <w:rsid w:val="00B03004"/>
    <w:rsid w:val="00B035ED"/>
    <w:rsid w:val="00B062D4"/>
    <w:rsid w:val="00B075E0"/>
    <w:rsid w:val="00B112C4"/>
    <w:rsid w:val="00B11CD9"/>
    <w:rsid w:val="00B129AD"/>
    <w:rsid w:val="00B14A7B"/>
    <w:rsid w:val="00B14F53"/>
    <w:rsid w:val="00B15E16"/>
    <w:rsid w:val="00B169C6"/>
    <w:rsid w:val="00B16F1E"/>
    <w:rsid w:val="00B1799D"/>
    <w:rsid w:val="00B17F4D"/>
    <w:rsid w:val="00B20A56"/>
    <w:rsid w:val="00B20E32"/>
    <w:rsid w:val="00B22E31"/>
    <w:rsid w:val="00B25C94"/>
    <w:rsid w:val="00B260EF"/>
    <w:rsid w:val="00B26538"/>
    <w:rsid w:val="00B27614"/>
    <w:rsid w:val="00B30D06"/>
    <w:rsid w:val="00B32405"/>
    <w:rsid w:val="00B33409"/>
    <w:rsid w:val="00B35D10"/>
    <w:rsid w:val="00B3606E"/>
    <w:rsid w:val="00B377EE"/>
    <w:rsid w:val="00B37C34"/>
    <w:rsid w:val="00B405FC"/>
    <w:rsid w:val="00B40BC0"/>
    <w:rsid w:val="00B41700"/>
    <w:rsid w:val="00B503A1"/>
    <w:rsid w:val="00B54539"/>
    <w:rsid w:val="00B546A7"/>
    <w:rsid w:val="00B62F2D"/>
    <w:rsid w:val="00B63DCD"/>
    <w:rsid w:val="00B64754"/>
    <w:rsid w:val="00B64FED"/>
    <w:rsid w:val="00B658E1"/>
    <w:rsid w:val="00B65CB1"/>
    <w:rsid w:val="00B65E49"/>
    <w:rsid w:val="00B66C47"/>
    <w:rsid w:val="00B678AE"/>
    <w:rsid w:val="00B734A4"/>
    <w:rsid w:val="00B7373D"/>
    <w:rsid w:val="00B73B5E"/>
    <w:rsid w:val="00B7481B"/>
    <w:rsid w:val="00B7575B"/>
    <w:rsid w:val="00B75E88"/>
    <w:rsid w:val="00B76583"/>
    <w:rsid w:val="00B76B6D"/>
    <w:rsid w:val="00B81723"/>
    <w:rsid w:val="00B818D8"/>
    <w:rsid w:val="00B82283"/>
    <w:rsid w:val="00B8309A"/>
    <w:rsid w:val="00B83A12"/>
    <w:rsid w:val="00B8531E"/>
    <w:rsid w:val="00B85CE5"/>
    <w:rsid w:val="00B86123"/>
    <w:rsid w:val="00B877AE"/>
    <w:rsid w:val="00B90BA8"/>
    <w:rsid w:val="00B91688"/>
    <w:rsid w:val="00B9260B"/>
    <w:rsid w:val="00B92E98"/>
    <w:rsid w:val="00B95352"/>
    <w:rsid w:val="00B95B43"/>
    <w:rsid w:val="00B95B92"/>
    <w:rsid w:val="00B96EF2"/>
    <w:rsid w:val="00B97008"/>
    <w:rsid w:val="00BA025C"/>
    <w:rsid w:val="00BA05C3"/>
    <w:rsid w:val="00BA1AB3"/>
    <w:rsid w:val="00BA2D15"/>
    <w:rsid w:val="00BA3190"/>
    <w:rsid w:val="00BA5A88"/>
    <w:rsid w:val="00BA5D76"/>
    <w:rsid w:val="00BA6EE8"/>
    <w:rsid w:val="00BA7AE8"/>
    <w:rsid w:val="00BB0F72"/>
    <w:rsid w:val="00BB1611"/>
    <w:rsid w:val="00BB1893"/>
    <w:rsid w:val="00BB6BD3"/>
    <w:rsid w:val="00BB6E0A"/>
    <w:rsid w:val="00BB7F10"/>
    <w:rsid w:val="00BC30A4"/>
    <w:rsid w:val="00BC6253"/>
    <w:rsid w:val="00BC6E42"/>
    <w:rsid w:val="00BC7D90"/>
    <w:rsid w:val="00BD003A"/>
    <w:rsid w:val="00BD0A78"/>
    <w:rsid w:val="00BD2DA9"/>
    <w:rsid w:val="00BD2F15"/>
    <w:rsid w:val="00BD317C"/>
    <w:rsid w:val="00BD4012"/>
    <w:rsid w:val="00BD4C7C"/>
    <w:rsid w:val="00BD56EA"/>
    <w:rsid w:val="00BD571A"/>
    <w:rsid w:val="00BD5CBD"/>
    <w:rsid w:val="00BD63F8"/>
    <w:rsid w:val="00BD6CAF"/>
    <w:rsid w:val="00BD7E31"/>
    <w:rsid w:val="00BE153E"/>
    <w:rsid w:val="00BE15F2"/>
    <w:rsid w:val="00BE261A"/>
    <w:rsid w:val="00BE284B"/>
    <w:rsid w:val="00BE505A"/>
    <w:rsid w:val="00BF1AF8"/>
    <w:rsid w:val="00BF1B17"/>
    <w:rsid w:val="00BF236B"/>
    <w:rsid w:val="00BF2EC3"/>
    <w:rsid w:val="00BF34E0"/>
    <w:rsid w:val="00BF3950"/>
    <w:rsid w:val="00BF446B"/>
    <w:rsid w:val="00BF4FCC"/>
    <w:rsid w:val="00BF79CD"/>
    <w:rsid w:val="00C00466"/>
    <w:rsid w:val="00C01643"/>
    <w:rsid w:val="00C0345E"/>
    <w:rsid w:val="00C038A5"/>
    <w:rsid w:val="00C04333"/>
    <w:rsid w:val="00C04505"/>
    <w:rsid w:val="00C059B6"/>
    <w:rsid w:val="00C05A89"/>
    <w:rsid w:val="00C13D8D"/>
    <w:rsid w:val="00C144C8"/>
    <w:rsid w:val="00C15A9A"/>
    <w:rsid w:val="00C15AAA"/>
    <w:rsid w:val="00C168DB"/>
    <w:rsid w:val="00C16CFB"/>
    <w:rsid w:val="00C22309"/>
    <w:rsid w:val="00C2241D"/>
    <w:rsid w:val="00C229E0"/>
    <w:rsid w:val="00C23BB2"/>
    <w:rsid w:val="00C2696C"/>
    <w:rsid w:val="00C27D3C"/>
    <w:rsid w:val="00C33A1C"/>
    <w:rsid w:val="00C34369"/>
    <w:rsid w:val="00C37220"/>
    <w:rsid w:val="00C378F1"/>
    <w:rsid w:val="00C37AB3"/>
    <w:rsid w:val="00C41CA4"/>
    <w:rsid w:val="00C43A7F"/>
    <w:rsid w:val="00C43F2E"/>
    <w:rsid w:val="00C45538"/>
    <w:rsid w:val="00C45AC0"/>
    <w:rsid w:val="00C45FC0"/>
    <w:rsid w:val="00C462AC"/>
    <w:rsid w:val="00C466DC"/>
    <w:rsid w:val="00C51B5D"/>
    <w:rsid w:val="00C51DE5"/>
    <w:rsid w:val="00C523A6"/>
    <w:rsid w:val="00C53119"/>
    <w:rsid w:val="00C53DC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602"/>
    <w:rsid w:val="00C71A7C"/>
    <w:rsid w:val="00C72130"/>
    <w:rsid w:val="00C7226D"/>
    <w:rsid w:val="00C73E6D"/>
    <w:rsid w:val="00C74078"/>
    <w:rsid w:val="00C758B5"/>
    <w:rsid w:val="00C75E2D"/>
    <w:rsid w:val="00C7614F"/>
    <w:rsid w:val="00C76273"/>
    <w:rsid w:val="00C76560"/>
    <w:rsid w:val="00C7673C"/>
    <w:rsid w:val="00C7686A"/>
    <w:rsid w:val="00C76DE9"/>
    <w:rsid w:val="00C76E90"/>
    <w:rsid w:val="00C7749D"/>
    <w:rsid w:val="00C777D3"/>
    <w:rsid w:val="00C81973"/>
    <w:rsid w:val="00C82CE3"/>
    <w:rsid w:val="00C855E6"/>
    <w:rsid w:val="00C86DB6"/>
    <w:rsid w:val="00C86E29"/>
    <w:rsid w:val="00C87E34"/>
    <w:rsid w:val="00C9025C"/>
    <w:rsid w:val="00C91E59"/>
    <w:rsid w:val="00C92E01"/>
    <w:rsid w:val="00C94AB2"/>
    <w:rsid w:val="00C94C99"/>
    <w:rsid w:val="00C9606B"/>
    <w:rsid w:val="00C97E2D"/>
    <w:rsid w:val="00CA1407"/>
    <w:rsid w:val="00CA18D6"/>
    <w:rsid w:val="00CA325A"/>
    <w:rsid w:val="00CA5759"/>
    <w:rsid w:val="00CA5BB7"/>
    <w:rsid w:val="00CA67D4"/>
    <w:rsid w:val="00CA6A16"/>
    <w:rsid w:val="00CA6DDE"/>
    <w:rsid w:val="00CA77DF"/>
    <w:rsid w:val="00CA7888"/>
    <w:rsid w:val="00CB0283"/>
    <w:rsid w:val="00CB0B83"/>
    <w:rsid w:val="00CB1C91"/>
    <w:rsid w:val="00CB3A7D"/>
    <w:rsid w:val="00CB3B5A"/>
    <w:rsid w:val="00CB4CD5"/>
    <w:rsid w:val="00CB6117"/>
    <w:rsid w:val="00CB630B"/>
    <w:rsid w:val="00CB6878"/>
    <w:rsid w:val="00CC07BE"/>
    <w:rsid w:val="00CC0AA9"/>
    <w:rsid w:val="00CC26C6"/>
    <w:rsid w:val="00CC28F3"/>
    <w:rsid w:val="00CC2D1A"/>
    <w:rsid w:val="00CC41EB"/>
    <w:rsid w:val="00CC6F25"/>
    <w:rsid w:val="00CC706E"/>
    <w:rsid w:val="00CD11E2"/>
    <w:rsid w:val="00CD3014"/>
    <w:rsid w:val="00CD3056"/>
    <w:rsid w:val="00CD4B69"/>
    <w:rsid w:val="00CD5C49"/>
    <w:rsid w:val="00CD7FBD"/>
    <w:rsid w:val="00CE0AB0"/>
    <w:rsid w:val="00CE14FE"/>
    <w:rsid w:val="00CE2137"/>
    <w:rsid w:val="00CE24B5"/>
    <w:rsid w:val="00CE36AA"/>
    <w:rsid w:val="00CE382D"/>
    <w:rsid w:val="00CE3AF5"/>
    <w:rsid w:val="00CE4C78"/>
    <w:rsid w:val="00CE4EFC"/>
    <w:rsid w:val="00CF058B"/>
    <w:rsid w:val="00CF0733"/>
    <w:rsid w:val="00CF282B"/>
    <w:rsid w:val="00CF5055"/>
    <w:rsid w:val="00CF715C"/>
    <w:rsid w:val="00CF7322"/>
    <w:rsid w:val="00D0010E"/>
    <w:rsid w:val="00D00687"/>
    <w:rsid w:val="00D00F45"/>
    <w:rsid w:val="00D00FC4"/>
    <w:rsid w:val="00D02DFE"/>
    <w:rsid w:val="00D03C8E"/>
    <w:rsid w:val="00D04A8E"/>
    <w:rsid w:val="00D063F6"/>
    <w:rsid w:val="00D06B79"/>
    <w:rsid w:val="00D06D5A"/>
    <w:rsid w:val="00D0799D"/>
    <w:rsid w:val="00D1089B"/>
    <w:rsid w:val="00D10B1E"/>
    <w:rsid w:val="00D126AA"/>
    <w:rsid w:val="00D13D16"/>
    <w:rsid w:val="00D155BA"/>
    <w:rsid w:val="00D15819"/>
    <w:rsid w:val="00D15B3C"/>
    <w:rsid w:val="00D16600"/>
    <w:rsid w:val="00D177CB"/>
    <w:rsid w:val="00D26305"/>
    <w:rsid w:val="00D26E74"/>
    <w:rsid w:val="00D312D4"/>
    <w:rsid w:val="00D329A9"/>
    <w:rsid w:val="00D32E5E"/>
    <w:rsid w:val="00D33A36"/>
    <w:rsid w:val="00D34DC0"/>
    <w:rsid w:val="00D402FC"/>
    <w:rsid w:val="00D406B0"/>
    <w:rsid w:val="00D4227C"/>
    <w:rsid w:val="00D42BF0"/>
    <w:rsid w:val="00D42C68"/>
    <w:rsid w:val="00D434D2"/>
    <w:rsid w:val="00D43E2F"/>
    <w:rsid w:val="00D45A12"/>
    <w:rsid w:val="00D50A3D"/>
    <w:rsid w:val="00D50D1D"/>
    <w:rsid w:val="00D513DF"/>
    <w:rsid w:val="00D5298B"/>
    <w:rsid w:val="00D535DB"/>
    <w:rsid w:val="00D5377E"/>
    <w:rsid w:val="00D544E8"/>
    <w:rsid w:val="00D55853"/>
    <w:rsid w:val="00D559B4"/>
    <w:rsid w:val="00D56E97"/>
    <w:rsid w:val="00D570F9"/>
    <w:rsid w:val="00D5795D"/>
    <w:rsid w:val="00D61686"/>
    <w:rsid w:val="00D63119"/>
    <w:rsid w:val="00D63675"/>
    <w:rsid w:val="00D641EA"/>
    <w:rsid w:val="00D64C93"/>
    <w:rsid w:val="00D65B9A"/>
    <w:rsid w:val="00D66E64"/>
    <w:rsid w:val="00D6701C"/>
    <w:rsid w:val="00D672A2"/>
    <w:rsid w:val="00D67447"/>
    <w:rsid w:val="00D674E0"/>
    <w:rsid w:val="00D67D51"/>
    <w:rsid w:val="00D70B42"/>
    <w:rsid w:val="00D7243C"/>
    <w:rsid w:val="00D766AB"/>
    <w:rsid w:val="00D7792C"/>
    <w:rsid w:val="00D80341"/>
    <w:rsid w:val="00D8088A"/>
    <w:rsid w:val="00D830C4"/>
    <w:rsid w:val="00D837A8"/>
    <w:rsid w:val="00D84C4A"/>
    <w:rsid w:val="00D872D9"/>
    <w:rsid w:val="00D9000A"/>
    <w:rsid w:val="00D91A6A"/>
    <w:rsid w:val="00D93383"/>
    <w:rsid w:val="00D9393A"/>
    <w:rsid w:val="00D968CA"/>
    <w:rsid w:val="00D96D85"/>
    <w:rsid w:val="00D9715E"/>
    <w:rsid w:val="00D979B7"/>
    <w:rsid w:val="00D97A66"/>
    <w:rsid w:val="00DA1DAD"/>
    <w:rsid w:val="00DA282E"/>
    <w:rsid w:val="00DA32F2"/>
    <w:rsid w:val="00DA4490"/>
    <w:rsid w:val="00DA46BF"/>
    <w:rsid w:val="00DA4775"/>
    <w:rsid w:val="00DA726A"/>
    <w:rsid w:val="00DA764E"/>
    <w:rsid w:val="00DB00CB"/>
    <w:rsid w:val="00DB0471"/>
    <w:rsid w:val="00DB0807"/>
    <w:rsid w:val="00DB1E70"/>
    <w:rsid w:val="00DB3357"/>
    <w:rsid w:val="00DB4284"/>
    <w:rsid w:val="00DB625F"/>
    <w:rsid w:val="00DB7229"/>
    <w:rsid w:val="00DC014C"/>
    <w:rsid w:val="00DC0405"/>
    <w:rsid w:val="00DC091F"/>
    <w:rsid w:val="00DC1D93"/>
    <w:rsid w:val="00DC2094"/>
    <w:rsid w:val="00DC3ED6"/>
    <w:rsid w:val="00DC549D"/>
    <w:rsid w:val="00DC56E7"/>
    <w:rsid w:val="00DC717C"/>
    <w:rsid w:val="00DC77CA"/>
    <w:rsid w:val="00DD0735"/>
    <w:rsid w:val="00DD2B14"/>
    <w:rsid w:val="00DD2EEC"/>
    <w:rsid w:val="00DD473D"/>
    <w:rsid w:val="00DD531F"/>
    <w:rsid w:val="00DD653A"/>
    <w:rsid w:val="00DD6811"/>
    <w:rsid w:val="00DD7BD2"/>
    <w:rsid w:val="00DD7BEF"/>
    <w:rsid w:val="00DE107D"/>
    <w:rsid w:val="00DE24A1"/>
    <w:rsid w:val="00DE3816"/>
    <w:rsid w:val="00DE4389"/>
    <w:rsid w:val="00DE4FB6"/>
    <w:rsid w:val="00DF296A"/>
    <w:rsid w:val="00DF2ADB"/>
    <w:rsid w:val="00DF327C"/>
    <w:rsid w:val="00DF3B71"/>
    <w:rsid w:val="00DF47BE"/>
    <w:rsid w:val="00DF47D7"/>
    <w:rsid w:val="00DF4B59"/>
    <w:rsid w:val="00DF5714"/>
    <w:rsid w:val="00DF5EB2"/>
    <w:rsid w:val="00DF681E"/>
    <w:rsid w:val="00DF6836"/>
    <w:rsid w:val="00E00A15"/>
    <w:rsid w:val="00E00A2B"/>
    <w:rsid w:val="00E00D87"/>
    <w:rsid w:val="00E013F1"/>
    <w:rsid w:val="00E027F3"/>
    <w:rsid w:val="00E0294F"/>
    <w:rsid w:val="00E032DD"/>
    <w:rsid w:val="00E03533"/>
    <w:rsid w:val="00E0362D"/>
    <w:rsid w:val="00E036AA"/>
    <w:rsid w:val="00E03A33"/>
    <w:rsid w:val="00E05674"/>
    <w:rsid w:val="00E075E7"/>
    <w:rsid w:val="00E07CB8"/>
    <w:rsid w:val="00E07F02"/>
    <w:rsid w:val="00E10712"/>
    <w:rsid w:val="00E13763"/>
    <w:rsid w:val="00E17EC8"/>
    <w:rsid w:val="00E21102"/>
    <w:rsid w:val="00E211D9"/>
    <w:rsid w:val="00E214B8"/>
    <w:rsid w:val="00E236D4"/>
    <w:rsid w:val="00E23E58"/>
    <w:rsid w:val="00E24026"/>
    <w:rsid w:val="00E24C8A"/>
    <w:rsid w:val="00E264F9"/>
    <w:rsid w:val="00E26F04"/>
    <w:rsid w:val="00E27548"/>
    <w:rsid w:val="00E27C39"/>
    <w:rsid w:val="00E33043"/>
    <w:rsid w:val="00E36B04"/>
    <w:rsid w:val="00E37886"/>
    <w:rsid w:val="00E37BD2"/>
    <w:rsid w:val="00E40F74"/>
    <w:rsid w:val="00E47905"/>
    <w:rsid w:val="00E4792B"/>
    <w:rsid w:val="00E51C41"/>
    <w:rsid w:val="00E52E9E"/>
    <w:rsid w:val="00E5304A"/>
    <w:rsid w:val="00E53644"/>
    <w:rsid w:val="00E53AA7"/>
    <w:rsid w:val="00E544A1"/>
    <w:rsid w:val="00E5462B"/>
    <w:rsid w:val="00E55275"/>
    <w:rsid w:val="00E567CB"/>
    <w:rsid w:val="00E57110"/>
    <w:rsid w:val="00E577D3"/>
    <w:rsid w:val="00E57928"/>
    <w:rsid w:val="00E60FC8"/>
    <w:rsid w:val="00E63BBC"/>
    <w:rsid w:val="00E6437E"/>
    <w:rsid w:val="00E65102"/>
    <w:rsid w:val="00E651A3"/>
    <w:rsid w:val="00E651DE"/>
    <w:rsid w:val="00E666C1"/>
    <w:rsid w:val="00E66C6F"/>
    <w:rsid w:val="00E702BA"/>
    <w:rsid w:val="00E70A5E"/>
    <w:rsid w:val="00E72307"/>
    <w:rsid w:val="00E72EB0"/>
    <w:rsid w:val="00E74B0A"/>
    <w:rsid w:val="00E75BCB"/>
    <w:rsid w:val="00E75CCF"/>
    <w:rsid w:val="00E76174"/>
    <w:rsid w:val="00E7627C"/>
    <w:rsid w:val="00E764C2"/>
    <w:rsid w:val="00E80144"/>
    <w:rsid w:val="00E80584"/>
    <w:rsid w:val="00E810FC"/>
    <w:rsid w:val="00E817A2"/>
    <w:rsid w:val="00E821D8"/>
    <w:rsid w:val="00E82487"/>
    <w:rsid w:val="00E82B03"/>
    <w:rsid w:val="00E83CC8"/>
    <w:rsid w:val="00E84728"/>
    <w:rsid w:val="00E84CB8"/>
    <w:rsid w:val="00E84EE0"/>
    <w:rsid w:val="00E8549C"/>
    <w:rsid w:val="00E8610D"/>
    <w:rsid w:val="00E8692E"/>
    <w:rsid w:val="00E90C78"/>
    <w:rsid w:val="00E9147A"/>
    <w:rsid w:val="00E91C99"/>
    <w:rsid w:val="00E91E27"/>
    <w:rsid w:val="00E92020"/>
    <w:rsid w:val="00E9281F"/>
    <w:rsid w:val="00E9440E"/>
    <w:rsid w:val="00E94945"/>
    <w:rsid w:val="00E94A60"/>
    <w:rsid w:val="00E95868"/>
    <w:rsid w:val="00E96583"/>
    <w:rsid w:val="00E97382"/>
    <w:rsid w:val="00E974A7"/>
    <w:rsid w:val="00E97567"/>
    <w:rsid w:val="00EA22D5"/>
    <w:rsid w:val="00EA33CB"/>
    <w:rsid w:val="00EA5D05"/>
    <w:rsid w:val="00EA5EA9"/>
    <w:rsid w:val="00EA6751"/>
    <w:rsid w:val="00EB084D"/>
    <w:rsid w:val="00EB408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17DF"/>
    <w:rsid w:val="00ED2B78"/>
    <w:rsid w:val="00ED5E0D"/>
    <w:rsid w:val="00ED61D8"/>
    <w:rsid w:val="00ED645C"/>
    <w:rsid w:val="00ED64F0"/>
    <w:rsid w:val="00ED678E"/>
    <w:rsid w:val="00ED6916"/>
    <w:rsid w:val="00ED72CE"/>
    <w:rsid w:val="00ED7A5F"/>
    <w:rsid w:val="00ED7E34"/>
    <w:rsid w:val="00EE1CD9"/>
    <w:rsid w:val="00EE22FB"/>
    <w:rsid w:val="00EE435F"/>
    <w:rsid w:val="00EE5683"/>
    <w:rsid w:val="00EE66E0"/>
    <w:rsid w:val="00EE777A"/>
    <w:rsid w:val="00EE7B54"/>
    <w:rsid w:val="00EF1239"/>
    <w:rsid w:val="00EF12B8"/>
    <w:rsid w:val="00EF1FB2"/>
    <w:rsid w:val="00EF3558"/>
    <w:rsid w:val="00EF5035"/>
    <w:rsid w:val="00F00700"/>
    <w:rsid w:val="00F0204D"/>
    <w:rsid w:val="00F03E8D"/>
    <w:rsid w:val="00F049A0"/>
    <w:rsid w:val="00F0528A"/>
    <w:rsid w:val="00F062AF"/>
    <w:rsid w:val="00F06960"/>
    <w:rsid w:val="00F06D09"/>
    <w:rsid w:val="00F0713D"/>
    <w:rsid w:val="00F077E2"/>
    <w:rsid w:val="00F101F2"/>
    <w:rsid w:val="00F104FE"/>
    <w:rsid w:val="00F10B30"/>
    <w:rsid w:val="00F11144"/>
    <w:rsid w:val="00F11EEB"/>
    <w:rsid w:val="00F12CB3"/>
    <w:rsid w:val="00F12FF6"/>
    <w:rsid w:val="00F14C9B"/>
    <w:rsid w:val="00F2299B"/>
    <w:rsid w:val="00F25C9C"/>
    <w:rsid w:val="00F30031"/>
    <w:rsid w:val="00F312EE"/>
    <w:rsid w:val="00F31615"/>
    <w:rsid w:val="00F34312"/>
    <w:rsid w:val="00F34491"/>
    <w:rsid w:val="00F3464A"/>
    <w:rsid w:val="00F37B3A"/>
    <w:rsid w:val="00F437F0"/>
    <w:rsid w:val="00F44D42"/>
    <w:rsid w:val="00F472CC"/>
    <w:rsid w:val="00F5015C"/>
    <w:rsid w:val="00F5252A"/>
    <w:rsid w:val="00F545F3"/>
    <w:rsid w:val="00F54728"/>
    <w:rsid w:val="00F55025"/>
    <w:rsid w:val="00F55229"/>
    <w:rsid w:val="00F556B7"/>
    <w:rsid w:val="00F5651F"/>
    <w:rsid w:val="00F56F34"/>
    <w:rsid w:val="00F57028"/>
    <w:rsid w:val="00F5769D"/>
    <w:rsid w:val="00F61806"/>
    <w:rsid w:val="00F632BB"/>
    <w:rsid w:val="00F6503B"/>
    <w:rsid w:val="00F65107"/>
    <w:rsid w:val="00F651A0"/>
    <w:rsid w:val="00F6557A"/>
    <w:rsid w:val="00F6592D"/>
    <w:rsid w:val="00F665D4"/>
    <w:rsid w:val="00F72547"/>
    <w:rsid w:val="00F742C9"/>
    <w:rsid w:val="00F75BFF"/>
    <w:rsid w:val="00F8193B"/>
    <w:rsid w:val="00F83188"/>
    <w:rsid w:val="00F837BB"/>
    <w:rsid w:val="00F83E3C"/>
    <w:rsid w:val="00F853BF"/>
    <w:rsid w:val="00F8597D"/>
    <w:rsid w:val="00F85C3F"/>
    <w:rsid w:val="00F86020"/>
    <w:rsid w:val="00F871A3"/>
    <w:rsid w:val="00F92104"/>
    <w:rsid w:val="00F93DEC"/>
    <w:rsid w:val="00F940F4"/>
    <w:rsid w:val="00F97DA6"/>
    <w:rsid w:val="00FA01C6"/>
    <w:rsid w:val="00FA1735"/>
    <w:rsid w:val="00FA449A"/>
    <w:rsid w:val="00FA6BA4"/>
    <w:rsid w:val="00FA7063"/>
    <w:rsid w:val="00FA7135"/>
    <w:rsid w:val="00FA79B3"/>
    <w:rsid w:val="00FB4B87"/>
    <w:rsid w:val="00FB544A"/>
    <w:rsid w:val="00FB7DAD"/>
    <w:rsid w:val="00FC0700"/>
    <w:rsid w:val="00FC0B9A"/>
    <w:rsid w:val="00FC2784"/>
    <w:rsid w:val="00FC27DF"/>
    <w:rsid w:val="00FC2F6E"/>
    <w:rsid w:val="00FC2FA5"/>
    <w:rsid w:val="00FC36DC"/>
    <w:rsid w:val="00FC4DB4"/>
    <w:rsid w:val="00FC611D"/>
    <w:rsid w:val="00FC7134"/>
    <w:rsid w:val="00FC7EAB"/>
    <w:rsid w:val="00FD02FB"/>
    <w:rsid w:val="00FD213A"/>
    <w:rsid w:val="00FD30C8"/>
    <w:rsid w:val="00FD37B4"/>
    <w:rsid w:val="00FD3AB3"/>
    <w:rsid w:val="00FD3BC9"/>
    <w:rsid w:val="00FD47F7"/>
    <w:rsid w:val="00FD5861"/>
    <w:rsid w:val="00FD5A33"/>
    <w:rsid w:val="00FD5F80"/>
    <w:rsid w:val="00FD6745"/>
    <w:rsid w:val="00FD6CC6"/>
    <w:rsid w:val="00FE0BEA"/>
    <w:rsid w:val="00FE0DA3"/>
    <w:rsid w:val="00FE1C93"/>
    <w:rsid w:val="00FE1D1E"/>
    <w:rsid w:val="00FF03AD"/>
    <w:rsid w:val="00FF2D7D"/>
    <w:rsid w:val="00FF3905"/>
    <w:rsid w:val="00FF4C60"/>
    <w:rsid w:val="00FF5608"/>
    <w:rsid w:val="00FF5CBB"/>
    <w:rsid w:val="00FF60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 w:id="6666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aris.soybilgen@bahcesehir.edu.tr"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mrut.imamoglu@bahcesehir.edu.tr"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70A80-69F1-4140-87B2-020FEC41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2</cp:revision>
  <cp:lastPrinted>2015-03-19T09:39:00Z</cp:lastPrinted>
  <dcterms:created xsi:type="dcterms:W3CDTF">2015-04-13T12:05:00Z</dcterms:created>
  <dcterms:modified xsi:type="dcterms:W3CDTF">2015-04-13T12:05:00Z</dcterms:modified>
</cp:coreProperties>
</file>