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6" w:rsidRDefault="00A44084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388620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CE3" w:rsidRPr="00526178" w:rsidRDefault="00A37CE3" w:rsidP="000A234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2617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Ara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ştırma</w:t>
                            </w:r>
                            <w:r w:rsidRPr="00526178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Notu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15/179</w:t>
                            </w:r>
                          </w:p>
                          <w:p w:rsidR="00A37CE3" w:rsidRPr="00BD3D6F" w:rsidRDefault="00A37CE3" w:rsidP="000A234F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36pt;width:306pt;height:3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" stroked="f">
                <v:fill opacity="0"/>
                <v:textbox inset="0,0,0,0">
                  <w:txbxContent>
                    <w:p w:rsidR="00A37CE3" w:rsidRPr="00526178" w:rsidRDefault="00A37CE3" w:rsidP="000A234F">
                      <w:pPr>
                        <w:pStyle w:val="Heading1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2617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Ara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ştırma</w:t>
                      </w:r>
                      <w:r w:rsidRPr="00526178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Notu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15/179</w:t>
                      </w:r>
                    </w:p>
                    <w:p w:rsidR="00A37CE3" w:rsidRPr="00BD3D6F" w:rsidRDefault="00A37CE3" w:rsidP="000A234F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18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858000" cy="1261745"/>
            <wp:effectExtent l="19050" t="0" r="0" b="0"/>
            <wp:wrapNone/>
            <wp:docPr id="1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216" w:rsidRDefault="00A44084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228600</wp:posOffset>
                </wp:positionV>
                <wp:extent cx="863600" cy="3486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CE3" w:rsidRPr="0015586B" w:rsidRDefault="00A37CE3" w:rsidP="00024559">
                            <w:pPr>
                              <w:pStyle w:val="Heading3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27.03.2015</w:t>
                            </w:r>
                          </w:p>
                          <w:p w:rsidR="00A37CE3" w:rsidRDefault="00A37CE3" w:rsidP="000245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1.95pt;margin-top:18pt;width:68pt;height:27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" stroked="f">
                <v:fill opacity="0"/>
                <v:textbox inset="0,0,0,0">
                  <w:txbxContent>
                    <w:p w:rsidR="00A37CE3" w:rsidRPr="0015586B" w:rsidRDefault="00A37CE3" w:rsidP="00024559">
                      <w:pPr>
                        <w:pStyle w:val="Heading3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27.03.2015</w:t>
                      </w:r>
                    </w:p>
                    <w:p w:rsidR="00A37CE3" w:rsidRDefault="00A37CE3" w:rsidP="00024559"/>
                  </w:txbxContent>
                </v:textbox>
              </v:shape>
            </w:pict>
          </mc:Fallback>
        </mc:AlternateContent>
      </w:r>
    </w:p>
    <w:p w:rsidR="00954216" w:rsidRDefault="00954216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  <w:sectPr w:rsidR="00954216" w:rsidSect="00357ECC">
          <w:footerReference w:type="default" r:id="rId10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54216" w:rsidRDefault="00954216" w:rsidP="001E4BF5">
      <w:pPr>
        <w:spacing w:line="360" w:lineRule="auto"/>
        <w:ind w:right="-319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954216" w:rsidRPr="00403B2F" w:rsidRDefault="00954216" w:rsidP="000A234F">
      <w:pPr>
        <w:spacing w:line="288" w:lineRule="auto"/>
        <w:ind w:right="-31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54216" w:rsidRDefault="001A3E7D" w:rsidP="000A234F">
      <w:pPr>
        <w:spacing w:line="288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2014 ihracatını AB kurtardı</w:t>
      </w:r>
    </w:p>
    <w:p w:rsidR="00D917AA" w:rsidRPr="000A234F" w:rsidRDefault="00D917AA" w:rsidP="000A234F">
      <w:pPr>
        <w:spacing w:line="288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954216" w:rsidRDefault="00954216" w:rsidP="00D837A8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Barış Soybilgen*</w:t>
      </w:r>
    </w:p>
    <w:p w:rsidR="00954216" w:rsidRDefault="00954216" w:rsidP="00BB5688">
      <w:pPr>
        <w:spacing w:line="360" w:lineRule="auto"/>
        <w:ind w:right="-319"/>
        <w:outlineLvl w:val="0"/>
        <w:rPr>
          <w:rFonts w:ascii="Arial" w:hAnsi="Arial" w:cs="Arial"/>
          <w:sz w:val="22"/>
          <w:szCs w:val="22"/>
          <w:vertAlign w:val="superscript"/>
        </w:rPr>
      </w:pPr>
    </w:p>
    <w:p w:rsidR="00954216" w:rsidRPr="004A7FE6" w:rsidRDefault="00954216" w:rsidP="00D837A8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</w:rPr>
        <w:sectPr w:rsidR="00954216" w:rsidRPr="004A7FE6" w:rsidSect="008651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216" w:rsidRDefault="00954216" w:rsidP="00807D3E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</w:rPr>
      </w:pPr>
      <w:r w:rsidRPr="004A7FE6">
        <w:rPr>
          <w:b/>
          <w:bCs/>
          <w:sz w:val="22"/>
          <w:szCs w:val="22"/>
        </w:rPr>
        <w:lastRenderedPageBreak/>
        <w:t>Yönetici Özeti</w:t>
      </w:r>
    </w:p>
    <w:p w:rsidR="00954216" w:rsidRDefault="00954216" w:rsidP="00807D3E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</w:rPr>
      </w:pPr>
    </w:p>
    <w:p w:rsidR="00542FDD" w:rsidRPr="009539FD" w:rsidRDefault="008A1ACA" w:rsidP="004E5238">
      <w:pPr>
        <w:spacing w:line="360" w:lineRule="auto"/>
        <w:ind w:left="-360" w:right="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2014 yılında Türkiye'nin ihracatı bir önceki yıla</w:t>
      </w:r>
      <w:r w:rsidR="00995E47">
        <w:rPr>
          <w:sz w:val="22"/>
          <w:szCs w:val="22"/>
        </w:rPr>
        <w:t xml:space="preserve"> göre</w:t>
      </w:r>
      <w:r w:rsidR="00D917AA">
        <w:rPr>
          <w:sz w:val="22"/>
          <w:szCs w:val="22"/>
        </w:rPr>
        <w:t xml:space="preserve"> yüzde 3,8</w:t>
      </w:r>
      <w:r>
        <w:rPr>
          <w:sz w:val="22"/>
          <w:szCs w:val="22"/>
        </w:rPr>
        <w:t xml:space="preserve"> artarak 152 milyar dolardan 158 milyar dolara çıktı. Bu artış hızı Türkiye'nin</w:t>
      </w:r>
      <w:r w:rsidR="006A31F6">
        <w:rPr>
          <w:sz w:val="22"/>
          <w:szCs w:val="22"/>
        </w:rPr>
        <w:t xml:space="preserve"> uzun vadeli</w:t>
      </w:r>
      <w:r>
        <w:rPr>
          <w:sz w:val="22"/>
          <w:szCs w:val="22"/>
        </w:rPr>
        <w:t xml:space="preserve"> ortalama</w:t>
      </w:r>
      <w:r w:rsidR="006A31F6">
        <w:rPr>
          <w:sz w:val="22"/>
          <w:szCs w:val="22"/>
        </w:rPr>
        <w:t xml:space="preserve"> ihracat</w:t>
      </w:r>
      <w:r>
        <w:rPr>
          <w:sz w:val="22"/>
          <w:szCs w:val="22"/>
        </w:rPr>
        <w:t xml:space="preserve"> artış hızının </w:t>
      </w:r>
      <w:r w:rsidR="001930FE">
        <w:rPr>
          <w:sz w:val="22"/>
          <w:szCs w:val="22"/>
        </w:rPr>
        <w:t>oldukça</w:t>
      </w:r>
      <w:r>
        <w:rPr>
          <w:sz w:val="22"/>
          <w:szCs w:val="22"/>
        </w:rPr>
        <w:t xml:space="preserve"> altında bir rakama denk gelmektedir.</w:t>
      </w:r>
      <w:r w:rsidR="00D917AA">
        <w:rPr>
          <w:sz w:val="22"/>
          <w:szCs w:val="22"/>
        </w:rPr>
        <w:t xml:space="preserve"> 1980-2014 arası Türkiye'nin ihracatının ortalama artış hızı yüzde 12,5'dir.</w:t>
      </w:r>
      <w:r>
        <w:rPr>
          <w:sz w:val="22"/>
          <w:szCs w:val="22"/>
        </w:rPr>
        <w:t xml:space="preserve"> </w:t>
      </w:r>
      <w:r w:rsidR="00150FFC">
        <w:rPr>
          <w:sz w:val="22"/>
          <w:szCs w:val="22"/>
        </w:rPr>
        <w:t>Ancak</w:t>
      </w:r>
      <w:r>
        <w:rPr>
          <w:sz w:val="22"/>
          <w:szCs w:val="22"/>
        </w:rPr>
        <w:t xml:space="preserve"> geç</w:t>
      </w:r>
      <w:r w:rsidR="00150FFC">
        <w:rPr>
          <w:sz w:val="22"/>
          <w:szCs w:val="22"/>
        </w:rPr>
        <w:t>tiğimiz</w:t>
      </w:r>
      <w:r>
        <w:rPr>
          <w:sz w:val="22"/>
          <w:szCs w:val="22"/>
        </w:rPr>
        <w:t xml:space="preserve"> yıl Türkiye'nin </w:t>
      </w:r>
      <w:r w:rsidR="00150FFC">
        <w:rPr>
          <w:sz w:val="22"/>
          <w:szCs w:val="22"/>
        </w:rPr>
        <w:t>başlıca</w:t>
      </w:r>
      <w:r>
        <w:rPr>
          <w:sz w:val="22"/>
          <w:szCs w:val="22"/>
        </w:rPr>
        <w:t xml:space="preserve"> ti</w:t>
      </w:r>
      <w:r w:rsidR="00995E47">
        <w:rPr>
          <w:sz w:val="22"/>
          <w:szCs w:val="22"/>
        </w:rPr>
        <w:t>caret partnerlerinin bir çoğunun</w:t>
      </w:r>
      <w:r>
        <w:rPr>
          <w:sz w:val="22"/>
          <w:szCs w:val="22"/>
        </w:rPr>
        <w:t xml:space="preserve"> karışıklık </w:t>
      </w:r>
      <w:r w:rsidR="00150FFC">
        <w:rPr>
          <w:sz w:val="22"/>
          <w:szCs w:val="22"/>
        </w:rPr>
        <w:t>içinde olduğu da dikkate alınmalıdır</w:t>
      </w:r>
      <w:r w:rsidR="00542FDD">
        <w:rPr>
          <w:sz w:val="22"/>
          <w:szCs w:val="22"/>
        </w:rPr>
        <w:t>.</w:t>
      </w:r>
      <w:r w:rsidR="00150FFC">
        <w:rPr>
          <w:sz w:val="22"/>
          <w:szCs w:val="22"/>
        </w:rPr>
        <w:t xml:space="preserve"> Geçtiğimiz yıl büyüme hızı artan AB'ye yapılan ihracat</w:t>
      </w:r>
      <w:r w:rsidR="00D917AA">
        <w:rPr>
          <w:sz w:val="22"/>
          <w:szCs w:val="22"/>
        </w:rPr>
        <w:t xml:space="preserve"> ise</w:t>
      </w:r>
      <w:r w:rsidR="00150FFC">
        <w:rPr>
          <w:sz w:val="22"/>
          <w:szCs w:val="22"/>
        </w:rPr>
        <w:t xml:space="preserve"> yüzde 8,6 artarak son üç yılın en yüksek hızına ulaştı.</w:t>
      </w:r>
      <w:r w:rsidR="009539FD">
        <w:rPr>
          <w:sz w:val="22"/>
          <w:szCs w:val="22"/>
        </w:rPr>
        <w:t xml:space="preserve"> </w:t>
      </w:r>
    </w:p>
    <w:p w:rsidR="00542FDD" w:rsidRDefault="00542FDD" w:rsidP="004E5238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D917AA" w:rsidRDefault="003D455B" w:rsidP="004E5238">
      <w:pPr>
        <w:spacing w:line="360" w:lineRule="auto"/>
        <w:ind w:left="-360" w:right="40"/>
        <w:jc w:val="both"/>
        <w:rPr>
          <w:sz w:val="22"/>
          <w:szCs w:val="22"/>
        </w:rPr>
      </w:pPr>
      <w:r w:rsidRPr="00A37CE3">
        <w:rPr>
          <w:sz w:val="22"/>
          <w:szCs w:val="22"/>
        </w:rPr>
        <w:t xml:space="preserve">2014 yılında Türkiye'nin dış ticaret partnerlerinde bir dizi </w:t>
      </w:r>
      <w:r w:rsidR="00F919A6" w:rsidRPr="00A37CE3">
        <w:rPr>
          <w:sz w:val="22"/>
          <w:szCs w:val="22"/>
        </w:rPr>
        <w:t>karışıklık yaşand</w:t>
      </w:r>
      <w:r w:rsidR="001B2DD8" w:rsidRPr="00A37CE3">
        <w:rPr>
          <w:sz w:val="22"/>
          <w:szCs w:val="22"/>
        </w:rPr>
        <w:t>ı. Rusya'ya bağlı grupların</w:t>
      </w:r>
      <w:r w:rsidRPr="00A37CE3">
        <w:rPr>
          <w:sz w:val="22"/>
          <w:szCs w:val="22"/>
        </w:rPr>
        <w:t xml:space="preserve"> Ukrayna'</w:t>
      </w:r>
      <w:r w:rsidR="007C6326" w:rsidRPr="00A37CE3">
        <w:rPr>
          <w:sz w:val="22"/>
          <w:szCs w:val="22"/>
        </w:rPr>
        <w:t>nın doğusunu</w:t>
      </w:r>
      <w:r w:rsidRPr="00A37CE3">
        <w:rPr>
          <w:sz w:val="22"/>
          <w:szCs w:val="22"/>
        </w:rPr>
        <w:t xml:space="preserve"> işgal etmesi, sonrasında Avrupa Birliği (AB) ve Amerika Bileşik Devletleri'nin (ABD) Rusya'ya yaptırım uygulaması</w:t>
      </w:r>
      <w:r w:rsidR="007C6326" w:rsidRPr="00A37CE3">
        <w:rPr>
          <w:sz w:val="22"/>
          <w:szCs w:val="22"/>
        </w:rPr>
        <w:t>, ardından petrol fiyatlarında meydana gelen büyük düşüş Rusya ekonomisini krize sürükledi. Sonuçta</w:t>
      </w:r>
      <w:r w:rsidRPr="00A37CE3">
        <w:rPr>
          <w:sz w:val="22"/>
          <w:szCs w:val="22"/>
        </w:rPr>
        <w:t xml:space="preserve"> Türkiye'nin hem Rusya'ya hem de Ukrayna'ya ihracatı azal</w:t>
      </w:r>
      <w:r w:rsidR="007C6326" w:rsidRPr="00A37CE3">
        <w:rPr>
          <w:sz w:val="22"/>
          <w:szCs w:val="22"/>
        </w:rPr>
        <w:t>dı</w:t>
      </w:r>
      <w:r w:rsidRPr="00A37CE3">
        <w:rPr>
          <w:sz w:val="22"/>
          <w:szCs w:val="22"/>
        </w:rPr>
        <w:t xml:space="preserve">. Bunun yanında yine 2014 yılında Almanya'dan sonra Türkiye'nin en büyük ikinci ihracat pazarı olan Irak'ın </w:t>
      </w:r>
      <w:r w:rsidR="00150FFC" w:rsidRPr="00A37CE3">
        <w:rPr>
          <w:sz w:val="22"/>
          <w:szCs w:val="22"/>
        </w:rPr>
        <w:t>terör tehdidi ile</w:t>
      </w:r>
      <w:r w:rsidR="008A1ACA" w:rsidRPr="00A37CE3">
        <w:rPr>
          <w:sz w:val="22"/>
          <w:szCs w:val="22"/>
        </w:rPr>
        <w:t xml:space="preserve"> </w:t>
      </w:r>
      <w:r w:rsidRPr="00A37CE3">
        <w:rPr>
          <w:sz w:val="22"/>
          <w:szCs w:val="22"/>
        </w:rPr>
        <w:t>boğuşması Irak'a yapılan  ihracatın</w:t>
      </w:r>
      <w:r w:rsidR="007C6326" w:rsidRPr="00A37CE3">
        <w:rPr>
          <w:sz w:val="22"/>
          <w:szCs w:val="22"/>
        </w:rPr>
        <w:t xml:space="preserve"> da</w:t>
      </w:r>
      <w:r w:rsidRPr="00A37CE3">
        <w:rPr>
          <w:sz w:val="22"/>
          <w:szCs w:val="22"/>
        </w:rPr>
        <w:t xml:space="preserve"> </w:t>
      </w:r>
    </w:p>
    <w:p w:rsidR="00954216" w:rsidRDefault="00A44084" w:rsidP="000A234F">
      <w:pPr>
        <w:spacing w:line="288" w:lineRule="auto"/>
        <w:ind w:left="-360" w:right="-318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68580</wp:posOffset>
                </wp:positionV>
                <wp:extent cx="2514600" cy="635"/>
                <wp:effectExtent l="0" t="0" r="19050" b="374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5.4pt" to="180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BLFQIAACo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514600" cy="45720"/>
                <wp:effectExtent l="0" t="0" r="0" b="0"/>
                <wp:docPr id="4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198pt;height:3.6pt;mso-position-horizontal-relative:char;mso-position-vertical-relative:line" coordsize="25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8hqMN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54216" w:rsidRPr="002B7CF6" w:rsidRDefault="00954216" w:rsidP="000A234F">
      <w:pPr>
        <w:spacing w:line="288" w:lineRule="auto"/>
        <w:ind w:left="-360" w:right="-318"/>
        <w:jc w:val="both"/>
        <w:rPr>
          <w:sz w:val="18"/>
          <w:szCs w:val="18"/>
        </w:rPr>
      </w:pPr>
      <w:r w:rsidRPr="002B7CF6">
        <w:rPr>
          <w:sz w:val="18"/>
          <w:szCs w:val="18"/>
        </w:rPr>
        <w:t>*Barış Soybilgen, Betam, Araştırma Görevlisi</w:t>
      </w:r>
    </w:p>
    <w:p w:rsidR="00954216" w:rsidRDefault="00954216" w:rsidP="00813968">
      <w:pPr>
        <w:spacing w:line="288" w:lineRule="auto"/>
        <w:ind w:left="-360" w:right="-318"/>
        <w:jc w:val="both"/>
        <w:rPr>
          <w:sz w:val="18"/>
          <w:szCs w:val="18"/>
        </w:rPr>
      </w:pPr>
      <w:r w:rsidRPr="002B7CF6">
        <w:rPr>
          <w:sz w:val="18"/>
          <w:szCs w:val="18"/>
        </w:rPr>
        <w:t xml:space="preserve"> baris.soybilgen@</w:t>
      </w:r>
      <w:r w:rsidR="00995E47">
        <w:rPr>
          <w:sz w:val="18"/>
          <w:szCs w:val="18"/>
        </w:rPr>
        <w:t>eas.</w:t>
      </w:r>
      <w:r w:rsidRPr="002B7CF6">
        <w:rPr>
          <w:sz w:val="18"/>
          <w:szCs w:val="18"/>
        </w:rPr>
        <w:t>bahcesehir.edu.tr</w:t>
      </w:r>
    </w:p>
    <w:p w:rsidR="008A1ACA" w:rsidRPr="00813968" w:rsidRDefault="008A1ACA" w:rsidP="00813968">
      <w:pPr>
        <w:spacing w:line="288" w:lineRule="auto"/>
        <w:ind w:left="-360" w:right="-318"/>
        <w:jc w:val="both"/>
        <w:rPr>
          <w:sz w:val="18"/>
          <w:szCs w:val="18"/>
        </w:rPr>
      </w:pPr>
    </w:p>
    <w:p w:rsidR="00D917AA" w:rsidRDefault="00D917AA" w:rsidP="000A234F">
      <w:pPr>
        <w:spacing w:line="360" w:lineRule="auto"/>
        <w:ind w:left="-360" w:right="40"/>
        <w:jc w:val="center"/>
        <w:rPr>
          <w:b/>
          <w:bCs/>
          <w:sz w:val="22"/>
          <w:szCs w:val="22"/>
        </w:rPr>
      </w:pPr>
    </w:p>
    <w:p w:rsidR="00D917AA" w:rsidRDefault="00A37CE3" w:rsidP="00D917AA">
      <w:pPr>
        <w:spacing w:line="360" w:lineRule="auto"/>
        <w:ind w:left="-360" w:right="40"/>
        <w:jc w:val="both"/>
        <w:rPr>
          <w:sz w:val="22"/>
          <w:szCs w:val="22"/>
        </w:rPr>
      </w:pPr>
      <w:r w:rsidRPr="00A37CE3">
        <w:rPr>
          <w:sz w:val="22"/>
          <w:szCs w:val="22"/>
        </w:rPr>
        <w:t xml:space="preserve">azalmasına neden oldu. Yine Libya'daki iktidar </w:t>
      </w:r>
      <w:r w:rsidR="001B2DD8" w:rsidRPr="00A37CE3">
        <w:rPr>
          <w:sz w:val="22"/>
          <w:szCs w:val="22"/>
        </w:rPr>
        <w:t>savaşları da Türkiye'nin bu ülkeye yaptığı ihracatı olumsuz etkiledi. Bu</w:t>
      </w:r>
      <w:r w:rsidR="007C6326" w:rsidRPr="00A37CE3">
        <w:rPr>
          <w:sz w:val="22"/>
          <w:szCs w:val="22"/>
        </w:rPr>
        <w:t xml:space="preserve"> ükelerde yaşanan ihracat </w:t>
      </w:r>
      <w:r w:rsidR="001B2DD8" w:rsidRPr="00A37CE3">
        <w:rPr>
          <w:sz w:val="22"/>
          <w:szCs w:val="22"/>
        </w:rPr>
        <w:t xml:space="preserve"> kayıplar</w:t>
      </w:r>
      <w:r w:rsidR="007C6326" w:rsidRPr="00A37CE3">
        <w:rPr>
          <w:sz w:val="22"/>
          <w:szCs w:val="22"/>
        </w:rPr>
        <w:t>ı</w:t>
      </w:r>
      <w:r w:rsidR="001B2DD8" w:rsidRPr="00A37CE3">
        <w:rPr>
          <w:sz w:val="22"/>
          <w:szCs w:val="22"/>
        </w:rPr>
        <w:t xml:space="preserve"> AB'ye </w:t>
      </w:r>
      <w:r w:rsidR="00D917AA" w:rsidRPr="00A37CE3">
        <w:rPr>
          <w:sz w:val="22"/>
          <w:szCs w:val="22"/>
        </w:rPr>
        <w:t>yapılan ihracatla bir miktar telafi edilmeye çalışılsa da ihracatın artış hızı yine de 2014 yılında düşük bir seviyede kaldı.</w:t>
      </w:r>
    </w:p>
    <w:p w:rsidR="00D917AA" w:rsidRDefault="00D917AA" w:rsidP="00D917AA">
      <w:pPr>
        <w:spacing w:line="360" w:lineRule="auto"/>
        <w:ind w:left="-360" w:right="40"/>
        <w:rPr>
          <w:b/>
          <w:bCs/>
          <w:sz w:val="22"/>
          <w:szCs w:val="22"/>
        </w:rPr>
      </w:pPr>
    </w:p>
    <w:p w:rsidR="00954216" w:rsidRDefault="003B2D84" w:rsidP="000A234F">
      <w:pPr>
        <w:spacing w:line="360" w:lineRule="auto"/>
        <w:ind w:left="-360" w:right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Ticaret partnerlerinde karışıklık</w:t>
      </w:r>
    </w:p>
    <w:p w:rsidR="00954216" w:rsidRDefault="00954216" w:rsidP="00363CFC">
      <w:pPr>
        <w:spacing w:line="360" w:lineRule="auto"/>
        <w:jc w:val="both"/>
        <w:rPr>
          <w:sz w:val="22"/>
          <w:szCs w:val="22"/>
        </w:rPr>
      </w:pPr>
    </w:p>
    <w:p w:rsidR="003B2D84" w:rsidRDefault="001B2DD8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2013 ve 2014 yılları</w:t>
      </w:r>
      <w:r w:rsidR="00F919A6">
        <w:rPr>
          <w:sz w:val="22"/>
          <w:szCs w:val="22"/>
        </w:rPr>
        <w:t xml:space="preserve"> Türkiye'nin</w:t>
      </w:r>
      <w:r w:rsidR="003B2D84">
        <w:rPr>
          <w:sz w:val="22"/>
          <w:szCs w:val="22"/>
        </w:rPr>
        <w:t xml:space="preserve"> yakın coğrafya</w:t>
      </w:r>
      <w:r w:rsidR="00F919A6">
        <w:rPr>
          <w:sz w:val="22"/>
          <w:szCs w:val="22"/>
        </w:rPr>
        <w:t>sında</w:t>
      </w:r>
      <w:r w:rsidR="003B2D84">
        <w:rPr>
          <w:sz w:val="22"/>
          <w:szCs w:val="22"/>
        </w:rPr>
        <w:t xml:space="preserve"> karışıklıklarla geçen yıllar oldu. Orta Doğu</w:t>
      </w:r>
      <w:r w:rsidR="001D070D">
        <w:rPr>
          <w:sz w:val="22"/>
          <w:szCs w:val="22"/>
        </w:rPr>
        <w:t>, Kuzey Afrika,</w:t>
      </w:r>
      <w:r w:rsidR="003B2D84">
        <w:rPr>
          <w:sz w:val="22"/>
          <w:szCs w:val="22"/>
        </w:rPr>
        <w:t xml:space="preserve"> Ukrayna</w:t>
      </w:r>
      <w:r w:rsidR="001D070D">
        <w:rPr>
          <w:sz w:val="22"/>
          <w:szCs w:val="22"/>
        </w:rPr>
        <w:t xml:space="preserve"> ve Rusya</w:t>
      </w:r>
      <w:r w:rsidR="003B2D84">
        <w:rPr>
          <w:sz w:val="22"/>
          <w:szCs w:val="22"/>
        </w:rPr>
        <w:t xml:space="preserve"> bir dizi </w:t>
      </w:r>
      <w:r w:rsidR="00F919A6">
        <w:rPr>
          <w:sz w:val="22"/>
          <w:szCs w:val="22"/>
        </w:rPr>
        <w:t>karışıklık ve savaş yaşadı</w:t>
      </w:r>
      <w:r w:rsidR="003B2D84">
        <w:rPr>
          <w:sz w:val="22"/>
          <w:szCs w:val="22"/>
        </w:rPr>
        <w:t>. Bu savaşlar</w:t>
      </w:r>
      <w:r w:rsidR="00F919A6">
        <w:rPr>
          <w:sz w:val="22"/>
          <w:szCs w:val="22"/>
        </w:rPr>
        <w:t xml:space="preserve"> Türkiye'nin ticaret partnerlerinin</w:t>
      </w:r>
      <w:r w:rsidR="003B2D84">
        <w:rPr>
          <w:sz w:val="22"/>
          <w:szCs w:val="22"/>
        </w:rPr>
        <w:t xml:space="preserve"> ekonomilerine zarar verdiği </w:t>
      </w:r>
      <w:r w:rsidR="001B61D9">
        <w:rPr>
          <w:sz w:val="22"/>
          <w:szCs w:val="22"/>
        </w:rPr>
        <w:t>ölçüde</w:t>
      </w:r>
      <w:r w:rsidR="00F919A6">
        <w:rPr>
          <w:sz w:val="22"/>
          <w:szCs w:val="22"/>
        </w:rPr>
        <w:t xml:space="preserve"> Türkiye'nin ihracatını da</w:t>
      </w:r>
      <w:r w:rsidR="003B2D84">
        <w:rPr>
          <w:sz w:val="22"/>
          <w:szCs w:val="22"/>
        </w:rPr>
        <w:t xml:space="preserve"> olumsuz yönde etkiledi.</w:t>
      </w:r>
      <w:r w:rsidR="001D070D">
        <w:rPr>
          <w:sz w:val="22"/>
          <w:szCs w:val="22"/>
        </w:rPr>
        <w:t xml:space="preserve"> 2013 yılında Rusya, Ukrayna, Libya, Mısır ve Irak'a yapılan i</w:t>
      </w:r>
      <w:r>
        <w:rPr>
          <w:sz w:val="22"/>
          <w:szCs w:val="22"/>
        </w:rPr>
        <w:t>hracat toplam ihracatın yüzde 17,8</w:t>
      </w:r>
      <w:r w:rsidR="001D070D">
        <w:rPr>
          <w:sz w:val="22"/>
          <w:szCs w:val="22"/>
        </w:rPr>
        <w:t>'</w:t>
      </w:r>
      <w:r w:rsidR="00F919A6">
        <w:rPr>
          <w:sz w:val="22"/>
          <w:szCs w:val="22"/>
        </w:rPr>
        <w:t>ini</w:t>
      </w:r>
      <w:r w:rsidR="001D070D">
        <w:rPr>
          <w:sz w:val="22"/>
          <w:szCs w:val="22"/>
        </w:rPr>
        <w:t xml:space="preserve"> oluştururken, bu oran 2014 yılında yüzde 1</w:t>
      </w:r>
      <w:r>
        <w:rPr>
          <w:sz w:val="22"/>
          <w:szCs w:val="22"/>
        </w:rPr>
        <w:t>5,2</w:t>
      </w:r>
      <w:r w:rsidR="001D070D">
        <w:rPr>
          <w:sz w:val="22"/>
          <w:szCs w:val="22"/>
        </w:rPr>
        <w:t>'</w:t>
      </w:r>
      <w:r>
        <w:rPr>
          <w:sz w:val="22"/>
          <w:szCs w:val="22"/>
        </w:rPr>
        <w:t>y</w:t>
      </w:r>
      <w:r w:rsidR="001D070D">
        <w:rPr>
          <w:sz w:val="22"/>
          <w:szCs w:val="22"/>
        </w:rPr>
        <w:t>e düştü.</w:t>
      </w:r>
      <w:r>
        <w:rPr>
          <w:sz w:val="22"/>
          <w:szCs w:val="22"/>
        </w:rPr>
        <w:t xml:space="preserve"> Buna karşın</w:t>
      </w:r>
      <w:r w:rsidR="003C7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Suriye hala iç savaşla uğraşmasına rağmen, Türkiye'nin Suriye'ye yaptığı ihracat 2014 yılında yüzde 75,9 arttı. </w:t>
      </w:r>
    </w:p>
    <w:p w:rsidR="003C7BC8" w:rsidRDefault="003C7BC8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3B2D84" w:rsidRDefault="003C7BC8" w:rsidP="003C7BC8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3C7BC8">
        <w:rPr>
          <w:b/>
          <w:sz w:val="22"/>
          <w:szCs w:val="22"/>
        </w:rPr>
        <w:t>Rusya ve Ukrayna'nın durumu</w:t>
      </w:r>
    </w:p>
    <w:p w:rsidR="003C7BC8" w:rsidRPr="003C7BC8" w:rsidRDefault="003C7BC8" w:rsidP="003C7BC8">
      <w:pPr>
        <w:spacing w:line="360" w:lineRule="auto"/>
        <w:ind w:left="-360"/>
        <w:jc w:val="center"/>
        <w:rPr>
          <w:b/>
          <w:sz w:val="22"/>
          <w:szCs w:val="22"/>
        </w:rPr>
      </w:pPr>
    </w:p>
    <w:p w:rsidR="003C7BC8" w:rsidRDefault="003B2D84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Ukrayna'da halk ayaklanması Şubat 2014'te başladı. Çok kısa sürede </w:t>
      </w:r>
      <w:r w:rsidR="00F919A6">
        <w:rPr>
          <w:sz w:val="22"/>
          <w:szCs w:val="22"/>
        </w:rPr>
        <w:t>hükümet</w:t>
      </w:r>
      <w:r>
        <w:rPr>
          <w:sz w:val="22"/>
          <w:szCs w:val="22"/>
        </w:rPr>
        <w:t xml:space="preserve"> düştü ve devlet </w:t>
      </w:r>
      <w:r>
        <w:rPr>
          <w:sz w:val="22"/>
          <w:szCs w:val="22"/>
        </w:rPr>
        <w:lastRenderedPageBreak/>
        <w:t>başkanı Rusya'ya sığınmak zorunda kaldı. Rusya yeni hükümeti tanımadı ve Rusya destekli gruplar Kırım'ı</w:t>
      </w:r>
      <w:r w:rsidR="00F919A6">
        <w:rPr>
          <w:sz w:val="22"/>
          <w:szCs w:val="22"/>
        </w:rPr>
        <w:t xml:space="preserve"> ve</w:t>
      </w:r>
      <w:r>
        <w:rPr>
          <w:sz w:val="22"/>
          <w:szCs w:val="22"/>
        </w:rPr>
        <w:t xml:space="preserve"> Ukrayna'nın doğusundaki bazı bölgeleri işgal etti.</w:t>
      </w:r>
      <w:r w:rsidR="00670EFF">
        <w:rPr>
          <w:sz w:val="22"/>
          <w:szCs w:val="22"/>
        </w:rPr>
        <w:t xml:space="preserve"> Mart 2014'te </w:t>
      </w:r>
      <w:r w:rsidR="00F919A6">
        <w:rPr>
          <w:sz w:val="22"/>
          <w:szCs w:val="22"/>
        </w:rPr>
        <w:t>AB</w:t>
      </w:r>
      <w:r w:rsidR="00670EFF">
        <w:rPr>
          <w:sz w:val="22"/>
          <w:szCs w:val="22"/>
        </w:rPr>
        <w:t xml:space="preserve"> ve </w:t>
      </w:r>
      <w:r w:rsidR="00F919A6">
        <w:rPr>
          <w:sz w:val="22"/>
          <w:szCs w:val="22"/>
        </w:rPr>
        <w:t>ABD</w:t>
      </w:r>
      <w:r w:rsidR="00670EFF">
        <w:rPr>
          <w:sz w:val="22"/>
          <w:szCs w:val="22"/>
        </w:rPr>
        <w:t xml:space="preserve"> bu işgal nedeniyle Rusya'ya bir dizi yaptırım uygulamaya başladı. Bu yaptırımlar 2014 yılı içinde giderek ağırlaşarak devam etti. </w:t>
      </w:r>
    </w:p>
    <w:p w:rsidR="003C7BC8" w:rsidRDefault="003C7BC8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Default="00AB1A34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Tablo </w:t>
      </w:r>
      <w:r w:rsidR="00CC24D0">
        <w:rPr>
          <w:sz w:val="22"/>
          <w:szCs w:val="22"/>
        </w:rPr>
        <w:t>2'd</w:t>
      </w:r>
      <w:r>
        <w:rPr>
          <w:sz w:val="22"/>
          <w:szCs w:val="22"/>
        </w:rPr>
        <w:t xml:space="preserve">e görüldüğü </w:t>
      </w:r>
      <w:r w:rsidR="00670EFF">
        <w:rPr>
          <w:sz w:val="22"/>
          <w:szCs w:val="22"/>
        </w:rPr>
        <w:t>üzere Ukrayna ve Rusya arasındaki çatışma bu ülkelere olan ihracat</w:t>
      </w:r>
      <w:r w:rsidR="00F919A6">
        <w:rPr>
          <w:sz w:val="22"/>
          <w:szCs w:val="22"/>
        </w:rPr>
        <w:t>ın</w:t>
      </w:r>
      <w:r w:rsidR="00670EFF">
        <w:rPr>
          <w:sz w:val="22"/>
          <w:szCs w:val="22"/>
        </w:rPr>
        <w:t xml:space="preserve"> sert bir </w:t>
      </w:r>
      <w:r w:rsidR="00F919A6">
        <w:rPr>
          <w:sz w:val="22"/>
          <w:szCs w:val="22"/>
        </w:rPr>
        <w:t>şekilde düşmesine neden oldu</w:t>
      </w:r>
      <w:r w:rsidR="00670EFF">
        <w:rPr>
          <w:sz w:val="22"/>
          <w:szCs w:val="22"/>
        </w:rPr>
        <w:t>. 2014 yılında bir önceki yıla kıyasla,</w:t>
      </w:r>
      <w:r>
        <w:rPr>
          <w:sz w:val="22"/>
          <w:szCs w:val="22"/>
        </w:rPr>
        <w:t xml:space="preserve"> Türkiye'nin</w:t>
      </w:r>
      <w:r w:rsidR="00670EFF">
        <w:rPr>
          <w:sz w:val="22"/>
          <w:szCs w:val="22"/>
        </w:rPr>
        <w:t xml:space="preserve"> Rusya ve Ukrayna'ya olan ihracatı sırasıyla yüzde 14,6 ve yüzde 21 oranında azaldı. </w:t>
      </w:r>
      <w:r w:rsidR="003C7BC8">
        <w:rPr>
          <w:sz w:val="22"/>
          <w:szCs w:val="22"/>
        </w:rPr>
        <w:t>Bu ihracat daralmasından en büyük zarar gören ürü</w:t>
      </w:r>
      <w:r>
        <w:rPr>
          <w:sz w:val="22"/>
          <w:szCs w:val="22"/>
        </w:rPr>
        <w:t>n grupları</w:t>
      </w:r>
      <w:r w:rsidR="003C7BC8">
        <w:rPr>
          <w:sz w:val="22"/>
          <w:szCs w:val="22"/>
        </w:rPr>
        <w:t xml:space="preserve"> motorlu kara taşıtları ve tekstil ürünleri</w:t>
      </w:r>
      <w:r w:rsidR="00670EFF">
        <w:rPr>
          <w:sz w:val="22"/>
          <w:szCs w:val="22"/>
        </w:rPr>
        <w:t xml:space="preserve"> </w:t>
      </w:r>
      <w:r w:rsidR="003C7BC8">
        <w:rPr>
          <w:sz w:val="22"/>
          <w:szCs w:val="22"/>
        </w:rPr>
        <w:t>oldu. Bir önceki yıla kıyasla bu ülkelere bu iki ürün gamında 700 milyon dolara yakın daha az mal satıldı.</w:t>
      </w: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3B2D84" w:rsidRPr="001D070D" w:rsidRDefault="001D070D" w:rsidP="001D070D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1D070D">
        <w:rPr>
          <w:b/>
          <w:sz w:val="22"/>
          <w:szCs w:val="22"/>
        </w:rPr>
        <w:t>Irak</w:t>
      </w:r>
      <w:r w:rsidR="00431C10">
        <w:rPr>
          <w:b/>
          <w:sz w:val="22"/>
          <w:szCs w:val="22"/>
        </w:rPr>
        <w:t>, Suriye, Mısır ve Libya</w:t>
      </w:r>
      <w:r w:rsidRPr="001D070D">
        <w:rPr>
          <w:b/>
          <w:sz w:val="22"/>
          <w:szCs w:val="22"/>
        </w:rPr>
        <w:t>'</w:t>
      </w:r>
      <w:r w:rsidR="00431C10">
        <w:rPr>
          <w:b/>
          <w:sz w:val="22"/>
          <w:szCs w:val="22"/>
        </w:rPr>
        <w:t>n</w:t>
      </w:r>
      <w:r w:rsidRPr="001D070D">
        <w:rPr>
          <w:b/>
          <w:sz w:val="22"/>
          <w:szCs w:val="22"/>
        </w:rPr>
        <w:t>ın durumu</w:t>
      </w:r>
    </w:p>
    <w:p w:rsidR="003B2D84" w:rsidRDefault="003B2D84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Türkiye'nin Irak'a </w:t>
      </w:r>
      <w:r w:rsidRPr="00A37CE3">
        <w:rPr>
          <w:sz w:val="22"/>
          <w:szCs w:val="22"/>
        </w:rPr>
        <w:t>yaptığı ihracat</w:t>
      </w:r>
      <w:r w:rsidR="001B61D9" w:rsidRPr="00A37CE3">
        <w:rPr>
          <w:sz w:val="22"/>
          <w:szCs w:val="22"/>
        </w:rPr>
        <w:t xml:space="preserve"> 2008'den</w:t>
      </w:r>
      <w:r w:rsidRPr="00A37CE3">
        <w:rPr>
          <w:sz w:val="22"/>
          <w:szCs w:val="22"/>
        </w:rPr>
        <w:t xml:space="preserve"> beri güçlü bir şekilde artma eğilimin</w:t>
      </w:r>
      <w:r w:rsidR="007C6326" w:rsidRPr="00A37CE3">
        <w:rPr>
          <w:sz w:val="22"/>
          <w:szCs w:val="22"/>
        </w:rPr>
        <w:t>e girmişti</w:t>
      </w:r>
      <w:r w:rsidRPr="00A37CE3">
        <w:rPr>
          <w:sz w:val="22"/>
          <w:szCs w:val="22"/>
        </w:rPr>
        <w:t>. 2013 yılında yazdığımız 145 no</w:t>
      </w:r>
      <w:r w:rsidR="00354D30" w:rsidRPr="00A37CE3">
        <w:rPr>
          <w:sz w:val="22"/>
          <w:szCs w:val="22"/>
        </w:rPr>
        <w:t>'</w:t>
      </w:r>
      <w:r w:rsidRPr="00A37CE3">
        <w:rPr>
          <w:sz w:val="22"/>
          <w:szCs w:val="22"/>
        </w:rPr>
        <w:t xml:space="preserve">lu araştırma notunda </w:t>
      </w:r>
      <w:r w:rsidR="00AF42C9" w:rsidRPr="00A37CE3">
        <w:rPr>
          <w:sz w:val="22"/>
          <w:szCs w:val="22"/>
        </w:rPr>
        <w:t>ihracat artış hızı bu şekilde</w:t>
      </w:r>
      <w:r w:rsidRPr="00A37CE3">
        <w:rPr>
          <w:sz w:val="22"/>
          <w:szCs w:val="22"/>
        </w:rPr>
        <w:t xml:space="preserve"> giderse </w:t>
      </w:r>
      <w:r w:rsidR="00431C10" w:rsidRPr="00A37CE3">
        <w:rPr>
          <w:sz w:val="22"/>
          <w:szCs w:val="22"/>
        </w:rPr>
        <w:t>yakın bir gelecekte</w:t>
      </w:r>
      <w:r w:rsidRPr="00A37CE3">
        <w:rPr>
          <w:sz w:val="22"/>
          <w:szCs w:val="22"/>
        </w:rPr>
        <w:t xml:space="preserve"> Irak'ın Türkiye'nin en büyük</w:t>
      </w:r>
      <w:r>
        <w:rPr>
          <w:sz w:val="22"/>
          <w:szCs w:val="22"/>
        </w:rPr>
        <w:t xml:space="preserve"> ticaret partneri olacağını yazmıştık.</w:t>
      </w:r>
      <w:r w:rsidR="001B61D9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="00AB1A34">
        <w:rPr>
          <w:sz w:val="22"/>
          <w:szCs w:val="22"/>
        </w:rPr>
        <w:t>Fakat</w:t>
      </w:r>
      <w:r>
        <w:rPr>
          <w:sz w:val="22"/>
          <w:szCs w:val="22"/>
        </w:rPr>
        <w:t xml:space="preserve"> </w:t>
      </w:r>
      <w:r w:rsidR="00BD4753">
        <w:rPr>
          <w:sz w:val="22"/>
          <w:szCs w:val="22"/>
        </w:rPr>
        <w:t>Orta Doğu'da</w:t>
      </w:r>
      <w:r w:rsidR="00605C97">
        <w:rPr>
          <w:sz w:val="22"/>
          <w:szCs w:val="22"/>
        </w:rPr>
        <w:t xml:space="preserve">ki karışıklıklar bunun gerçekleşmesinin </w:t>
      </w:r>
      <w:r w:rsidR="00BD4753">
        <w:rPr>
          <w:sz w:val="22"/>
          <w:szCs w:val="22"/>
        </w:rPr>
        <w:t xml:space="preserve">önüne geçti. İŞİD'in 2014 Haziran ayında başlattığı </w:t>
      </w:r>
      <w:r w:rsidR="00605C97">
        <w:rPr>
          <w:sz w:val="22"/>
          <w:szCs w:val="22"/>
        </w:rPr>
        <w:t>saldırılar</w:t>
      </w:r>
      <w:r w:rsidR="00BD4753">
        <w:rPr>
          <w:sz w:val="22"/>
          <w:szCs w:val="22"/>
        </w:rPr>
        <w:t>, Irak'ın orta kesimindeki Musul başta olmak üzere önemli şehirlerin düşmesine neden oldu. 2012 ve 2013'te sırasıyla Türkiye'nin Irak'a yaptığı ihracat yıllık bazda yüzde 30,2 ve yüzde 10,4 artmıştı</w:t>
      </w:r>
      <w:r w:rsidR="00655393">
        <w:rPr>
          <w:sz w:val="22"/>
          <w:szCs w:val="22"/>
        </w:rPr>
        <w:t xml:space="preserve"> (Tablo 2)</w:t>
      </w:r>
      <w:r w:rsidR="00BD4753">
        <w:rPr>
          <w:sz w:val="22"/>
          <w:szCs w:val="22"/>
        </w:rPr>
        <w:t>. Irak'taki iç savaş nedeniyle 2014 yılında ise Irak'a yapılan ihracat yüzde 8,8 oranında düştü</w:t>
      </w:r>
      <w:r w:rsidR="00655393">
        <w:rPr>
          <w:sz w:val="22"/>
          <w:szCs w:val="22"/>
        </w:rPr>
        <w:t xml:space="preserve"> </w:t>
      </w:r>
      <w:r w:rsidR="00655393">
        <w:rPr>
          <w:sz w:val="22"/>
          <w:szCs w:val="22"/>
        </w:rPr>
        <w:lastRenderedPageBreak/>
        <w:t>(Tablo 2)</w:t>
      </w:r>
      <w:r w:rsidR="00BD4753">
        <w:rPr>
          <w:sz w:val="22"/>
          <w:szCs w:val="22"/>
        </w:rPr>
        <w:t>.</w:t>
      </w:r>
      <w:r w:rsidR="006C7215">
        <w:rPr>
          <w:sz w:val="22"/>
          <w:szCs w:val="22"/>
        </w:rPr>
        <w:t xml:space="preserve"> </w:t>
      </w:r>
      <w:r w:rsidR="00AB1A34">
        <w:rPr>
          <w:sz w:val="22"/>
          <w:szCs w:val="22"/>
        </w:rPr>
        <w:t>Irak gibi büyük bir ihracat pazarının bu durumda olması Türkiye'nin potansiyel ihracat artış hızını önemli ölçüde kısıtlıyor.</w:t>
      </w:r>
    </w:p>
    <w:p w:rsidR="00BD4753" w:rsidRDefault="00BD4753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Pr="00A37CE3" w:rsidRDefault="00BD4753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Suriye</w:t>
      </w:r>
      <w:r w:rsidR="00605C97">
        <w:rPr>
          <w:sz w:val="22"/>
          <w:szCs w:val="22"/>
        </w:rPr>
        <w:t>'de ise iç savaş halen sürmekte</w:t>
      </w:r>
      <w:r w:rsidR="00431C10">
        <w:rPr>
          <w:sz w:val="22"/>
          <w:szCs w:val="22"/>
        </w:rPr>
        <w:t>dir</w:t>
      </w:r>
      <w:r>
        <w:rPr>
          <w:sz w:val="22"/>
          <w:szCs w:val="22"/>
        </w:rPr>
        <w:t xml:space="preserve">. </w:t>
      </w:r>
      <w:r w:rsidR="00605C97">
        <w:rPr>
          <w:sz w:val="22"/>
          <w:szCs w:val="22"/>
        </w:rPr>
        <w:t xml:space="preserve">Buna rağmen </w:t>
      </w:r>
      <w:r>
        <w:rPr>
          <w:sz w:val="22"/>
          <w:szCs w:val="22"/>
        </w:rPr>
        <w:t xml:space="preserve">Irak'ın aksine Suriye'ye yapılan ihracat son iki yıldır artıyor. 2011 </w:t>
      </w:r>
      <w:r w:rsidR="00C20433">
        <w:rPr>
          <w:sz w:val="22"/>
          <w:szCs w:val="22"/>
        </w:rPr>
        <w:t>yılında Suriye'de iç savaş başladığında bu ülkeye yapılan ihracat çok hızlı bir şekilde daralmış ve</w:t>
      </w:r>
      <w:r w:rsidR="006C7215">
        <w:rPr>
          <w:sz w:val="22"/>
          <w:szCs w:val="22"/>
        </w:rPr>
        <w:t xml:space="preserve"> 2010 yılında</w:t>
      </w:r>
      <w:r w:rsidR="00C20433">
        <w:rPr>
          <w:sz w:val="22"/>
          <w:szCs w:val="22"/>
        </w:rPr>
        <w:t xml:space="preserve"> 1.8 milyar dolar </w:t>
      </w:r>
      <w:r w:rsidR="006C7215">
        <w:rPr>
          <w:sz w:val="22"/>
          <w:szCs w:val="22"/>
        </w:rPr>
        <w:t>olan ihracat 2012 yılında</w:t>
      </w:r>
      <w:r w:rsidR="00C20433">
        <w:rPr>
          <w:sz w:val="22"/>
          <w:szCs w:val="22"/>
        </w:rPr>
        <w:t xml:space="preserve"> 500 milyon dolar seviyesine düşmüştü</w:t>
      </w:r>
      <w:r w:rsidR="00655393">
        <w:rPr>
          <w:sz w:val="22"/>
          <w:szCs w:val="22"/>
        </w:rPr>
        <w:t xml:space="preserve"> (Tablo 2)</w:t>
      </w:r>
      <w:r w:rsidR="00C20433">
        <w:rPr>
          <w:sz w:val="22"/>
          <w:szCs w:val="22"/>
        </w:rPr>
        <w:t xml:space="preserve">. Suriye'de </w:t>
      </w:r>
      <w:r w:rsidR="00AB1A34">
        <w:rPr>
          <w:sz w:val="22"/>
          <w:szCs w:val="22"/>
        </w:rPr>
        <w:t>iç savaş</w:t>
      </w:r>
      <w:r w:rsidR="00C20433">
        <w:rPr>
          <w:sz w:val="22"/>
          <w:szCs w:val="22"/>
        </w:rPr>
        <w:t xml:space="preserve"> bir kaç cephede devam etmesine rağmen Türkiye'nin Suriye'ye yaptığı ihracatın 2014 yılı itibariyle yeniden 1.8 milyar</w:t>
      </w:r>
      <w:r w:rsidR="00AB1A34">
        <w:rPr>
          <w:sz w:val="22"/>
          <w:szCs w:val="22"/>
        </w:rPr>
        <w:t xml:space="preserve"> dolar seviyesine</w:t>
      </w:r>
      <w:r w:rsidR="00C20433">
        <w:rPr>
          <w:sz w:val="22"/>
          <w:szCs w:val="22"/>
        </w:rPr>
        <w:t xml:space="preserve"> dönmesi gerçekten beklenmedik bir gelişme</w:t>
      </w:r>
      <w:r w:rsidR="00655393">
        <w:rPr>
          <w:sz w:val="22"/>
          <w:szCs w:val="22"/>
        </w:rPr>
        <w:t xml:space="preserve"> (Tablo 1 ve 2)</w:t>
      </w:r>
      <w:r w:rsidR="00C20433">
        <w:rPr>
          <w:sz w:val="22"/>
          <w:szCs w:val="22"/>
        </w:rPr>
        <w:t>.</w:t>
      </w:r>
      <w:r w:rsidR="006C7215">
        <w:rPr>
          <w:sz w:val="22"/>
          <w:szCs w:val="22"/>
        </w:rPr>
        <w:t xml:space="preserve"> Genel olarak bütün ürün gruplarının ihracatında bir artış olmasına rağmen en fazla artış gösteren ürün grupları sırasıyla diğer eşyalar, hububat </w:t>
      </w:r>
      <w:r w:rsidR="006C7215" w:rsidRPr="00A37CE3">
        <w:rPr>
          <w:sz w:val="22"/>
          <w:szCs w:val="22"/>
        </w:rPr>
        <w:t>ürünleri</w:t>
      </w:r>
      <w:r w:rsidR="00A44084">
        <w:rPr>
          <w:sz w:val="22"/>
          <w:szCs w:val="22"/>
        </w:rPr>
        <w:t>,</w:t>
      </w:r>
      <w:r w:rsidR="006C7215" w:rsidRPr="00A37CE3">
        <w:rPr>
          <w:sz w:val="22"/>
          <w:szCs w:val="22"/>
        </w:rPr>
        <w:t xml:space="preserve"> bitkisel sıvı yağlar, tekstil ürünleri ve motorlu kara taşıtları</w:t>
      </w:r>
      <w:r w:rsidR="007C6326" w:rsidRPr="00A37CE3">
        <w:rPr>
          <w:sz w:val="22"/>
          <w:szCs w:val="22"/>
        </w:rPr>
        <w:t xml:space="preserve"> oldu</w:t>
      </w:r>
      <w:r w:rsidR="006C7215" w:rsidRPr="00A37CE3">
        <w:rPr>
          <w:sz w:val="22"/>
          <w:szCs w:val="22"/>
        </w:rPr>
        <w:t xml:space="preserve">. </w:t>
      </w:r>
    </w:p>
    <w:p w:rsidR="00605C97" w:rsidRPr="00A37CE3" w:rsidRDefault="00605C97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31456" w:rsidRDefault="00131456" w:rsidP="000A234F">
      <w:pPr>
        <w:spacing w:line="360" w:lineRule="auto"/>
        <w:ind w:left="-360"/>
        <w:jc w:val="both"/>
        <w:rPr>
          <w:sz w:val="22"/>
          <w:szCs w:val="22"/>
        </w:rPr>
      </w:pPr>
      <w:r w:rsidRPr="00A37CE3">
        <w:rPr>
          <w:sz w:val="22"/>
          <w:szCs w:val="22"/>
        </w:rPr>
        <w:t xml:space="preserve">Arap Baharı'nın </w:t>
      </w:r>
      <w:r w:rsidR="00922348" w:rsidRPr="00A37CE3">
        <w:rPr>
          <w:sz w:val="22"/>
          <w:szCs w:val="22"/>
        </w:rPr>
        <w:t>güçlü bir biçimde hissedildiği Mısır ve Libya</w:t>
      </w:r>
      <w:r w:rsidR="00A44084">
        <w:rPr>
          <w:sz w:val="22"/>
          <w:szCs w:val="22"/>
        </w:rPr>
        <w:t>,</w:t>
      </w:r>
      <w:r w:rsidR="00922348" w:rsidRPr="00A37CE3">
        <w:rPr>
          <w:sz w:val="22"/>
          <w:szCs w:val="22"/>
        </w:rPr>
        <w:t xml:space="preserve"> 2013</w:t>
      </w:r>
      <w:r w:rsidR="00B82085" w:rsidRPr="00A37CE3">
        <w:rPr>
          <w:sz w:val="22"/>
          <w:szCs w:val="22"/>
        </w:rPr>
        <w:t xml:space="preserve"> ve 2014</w:t>
      </w:r>
      <w:r w:rsidR="00922348" w:rsidRPr="00A37CE3">
        <w:rPr>
          <w:sz w:val="22"/>
          <w:szCs w:val="22"/>
        </w:rPr>
        <w:t xml:space="preserve"> sene</w:t>
      </w:r>
      <w:r w:rsidR="00B82085" w:rsidRPr="00A37CE3">
        <w:rPr>
          <w:sz w:val="22"/>
          <w:szCs w:val="22"/>
        </w:rPr>
        <w:t>lerinde</w:t>
      </w:r>
      <w:r w:rsidR="00922348">
        <w:rPr>
          <w:sz w:val="22"/>
          <w:szCs w:val="22"/>
        </w:rPr>
        <w:t xml:space="preserve"> bir dizi sorunla boğuşmak zorunda kaldı. Arap Baharı'ndan sonra başa gelen Müslüman Kardeşler 2013 yılında darbeyle devrildikten sonra Mısır ve Türkiye'nin </w:t>
      </w:r>
      <w:r w:rsidR="005B1C90">
        <w:rPr>
          <w:sz w:val="22"/>
          <w:szCs w:val="22"/>
        </w:rPr>
        <w:t>ilişkileri bir miktar geriledi</w:t>
      </w:r>
      <w:r w:rsidR="00922348">
        <w:rPr>
          <w:sz w:val="22"/>
          <w:szCs w:val="22"/>
        </w:rPr>
        <w:t xml:space="preserve">. </w:t>
      </w:r>
      <w:r w:rsidR="005B1C90">
        <w:rPr>
          <w:sz w:val="22"/>
          <w:szCs w:val="22"/>
        </w:rPr>
        <w:t xml:space="preserve">Ülkedeki belirsizlik ticarete de yansıdı. </w:t>
      </w:r>
      <w:r w:rsidR="00922348">
        <w:rPr>
          <w:sz w:val="22"/>
          <w:szCs w:val="22"/>
        </w:rPr>
        <w:t xml:space="preserve">2013 yılında Mısır'a yapılan ihracat yüzde 13 </w:t>
      </w:r>
      <w:r w:rsidR="005B1C90">
        <w:rPr>
          <w:sz w:val="22"/>
          <w:szCs w:val="22"/>
        </w:rPr>
        <w:t>oranında azaldı.</w:t>
      </w:r>
      <w:r w:rsidR="00922348">
        <w:rPr>
          <w:sz w:val="22"/>
          <w:szCs w:val="22"/>
        </w:rPr>
        <w:t xml:space="preserve"> 2014 yılında</w:t>
      </w:r>
      <w:r w:rsidR="00B82085">
        <w:rPr>
          <w:sz w:val="22"/>
          <w:szCs w:val="22"/>
        </w:rPr>
        <w:t xml:space="preserve"> </w:t>
      </w:r>
      <w:r w:rsidR="005B1C90">
        <w:rPr>
          <w:sz w:val="22"/>
          <w:szCs w:val="22"/>
        </w:rPr>
        <w:t xml:space="preserve">ise tam olarak toparlanamayarak </w:t>
      </w:r>
      <w:r w:rsidR="00B82085">
        <w:rPr>
          <w:sz w:val="22"/>
          <w:szCs w:val="22"/>
        </w:rPr>
        <w:t>sadece</w:t>
      </w:r>
      <w:r w:rsidR="006020C2">
        <w:rPr>
          <w:sz w:val="22"/>
          <w:szCs w:val="22"/>
        </w:rPr>
        <w:t xml:space="preserve"> yüzde 3,1 arttı</w:t>
      </w:r>
      <w:r w:rsidR="00655393">
        <w:rPr>
          <w:sz w:val="22"/>
          <w:szCs w:val="22"/>
        </w:rPr>
        <w:t xml:space="preserve"> (Tablo 2)</w:t>
      </w:r>
      <w:r w:rsidR="006020C2">
        <w:rPr>
          <w:sz w:val="22"/>
          <w:szCs w:val="22"/>
        </w:rPr>
        <w:t>. Libya'da</w:t>
      </w:r>
      <w:r w:rsidR="005B1C90">
        <w:rPr>
          <w:sz w:val="22"/>
          <w:szCs w:val="22"/>
        </w:rPr>
        <w:t xml:space="preserve"> ise</w:t>
      </w:r>
      <w:r w:rsidR="00922348">
        <w:rPr>
          <w:sz w:val="22"/>
          <w:szCs w:val="22"/>
        </w:rPr>
        <w:t xml:space="preserve"> Kaddafi'nin düşüşünden sonra bir türlü </w:t>
      </w:r>
      <w:r w:rsidR="006020C2">
        <w:rPr>
          <w:sz w:val="22"/>
          <w:szCs w:val="22"/>
        </w:rPr>
        <w:t>istikrar</w:t>
      </w:r>
      <w:r w:rsidR="00922348">
        <w:rPr>
          <w:sz w:val="22"/>
          <w:szCs w:val="22"/>
        </w:rPr>
        <w:t xml:space="preserve"> </w:t>
      </w:r>
      <w:r w:rsidR="006020C2">
        <w:rPr>
          <w:sz w:val="22"/>
          <w:szCs w:val="22"/>
        </w:rPr>
        <w:t>sağlanamadı</w:t>
      </w:r>
      <w:r w:rsidR="00922348">
        <w:rPr>
          <w:sz w:val="22"/>
          <w:szCs w:val="22"/>
        </w:rPr>
        <w:t>.</w:t>
      </w:r>
      <w:r w:rsidR="00B82085">
        <w:rPr>
          <w:sz w:val="22"/>
          <w:szCs w:val="22"/>
        </w:rPr>
        <w:t xml:space="preserve"> En son olarak</w:t>
      </w:r>
      <w:r w:rsidR="00922348">
        <w:rPr>
          <w:sz w:val="22"/>
          <w:szCs w:val="22"/>
        </w:rPr>
        <w:t xml:space="preserve"> 2014 Haziran ayındaki seçimler</w:t>
      </w:r>
      <w:r w:rsidR="00B82085">
        <w:rPr>
          <w:sz w:val="22"/>
          <w:szCs w:val="22"/>
        </w:rPr>
        <w:t xml:space="preserve"> sonucunda ülkede iki rakip hükümet oluştu. Bu karışıklar sonucunda 2014 yılında Libya'ya yapılan ihracat yüzde 25,2 azaldı</w:t>
      </w:r>
      <w:r w:rsidR="00655393">
        <w:rPr>
          <w:sz w:val="22"/>
          <w:szCs w:val="22"/>
        </w:rPr>
        <w:t xml:space="preserve"> (Tablo 2).</w:t>
      </w:r>
    </w:p>
    <w:p w:rsidR="00431C10" w:rsidRDefault="00431C10" w:rsidP="007D07B2">
      <w:pPr>
        <w:spacing w:line="360" w:lineRule="auto"/>
        <w:ind w:left="-360"/>
        <w:jc w:val="center"/>
        <w:rPr>
          <w:b/>
          <w:sz w:val="22"/>
          <w:szCs w:val="22"/>
        </w:rPr>
      </w:pPr>
    </w:p>
    <w:p w:rsidR="007D07B2" w:rsidRPr="00B82085" w:rsidRDefault="00B82085" w:rsidP="007D07B2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B82085">
        <w:rPr>
          <w:b/>
          <w:sz w:val="22"/>
          <w:szCs w:val="22"/>
        </w:rPr>
        <w:lastRenderedPageBreak/>
        <w:t>AB'nin durumu</w:t>
      </w: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D5614E" w:rsidRDefault="007D07B2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2012 yılında</w:t>
      </w:r>
      <w:r w:rsidR="00E61136">
        <w:rPr>
          <w:sz w:val="22"/>
          <w:szCs w:val="22"/>
        </w:rPr>
        <w:t xml:space="preserve"> yaşanan AB b</w:t>
      </w:r>
      <w:r>
        <w:rPr>
          <w:sz w:val="22"/>
          <w:szCs w:val="22"/>
        </w:rPr>
        <w:t>orç krizi</w:t>
      </w:r>
      <w:r w:rsidR="00CE0495">
        <w:rPr>
          <w:sz w:val="22"/>
          <w:szCs w:val="22"/>
        </w:rPr>
        <w:t xml:space="preserve"> AB ekonomisinde de daralmaya neden olarak</w:t>
      </w:r>
      <w:r>
        <w:rPr>
          <w:sz w:val="22"/>
          <w:szCs w:val="22"/>
        </w:rPr>
        <w:t xml:space="preserve"> Tü</w:t>
      </w:r>
      <w:r w:rsidR="00D5614E">
        <w:rPr>
          <w:sz w:val="22"/>
          <w:szCs w:val="22"/>
        </w:rPr>
        <w:t>rkiye'nin AB'ye olan ihracatının</w:t>
      </w:r>
      <w:r>
        <w:rPr>
          <w:sz w:val="22"/>
          <w:szCs w:val="22"/>
        </w:rPr>
        <w:t xml:space="preserve"> yüzde </w:t>
      </w:r>
      <w:r w:rsidR="00726317">
        <w:rPr>
          <w:sz w:val="22"/>
          <w:szCs w:val="22"/>
        </w:rPr>
        <w:t>5,1</w:t>
      </w:r>
      <w:r>
        <w:rPr>
          <w:sz w:val="22"/>
          <w:szCs w:val="22"/>
        </w:rPr>
        <w:t xml:space="preserve"> azalmasına neden olmuştu.</w:t>
      </w:r>
      <w:r w:rsidR="00E61136">
        <w:rPr>
          <w:sz w:val="22"/>
          <w:szCs w:val="22"/>
        </w:rPr>
        <w:t xml:space="preserve"> AB borç krizinden çok hızlı çıkamadı. 2013 yılında AB ekonomisi </w:t>
      </w:r>
      <w:r w:rsidR="00CE0495">
        <w:rPr>
          <w:sz w:val="22"/>
          <w:szCs w:val="22"/>
        </w:rPr>
        <w:t>neredeyse hiç büyümezken, 2014 yılında</w:t>
      </w:r>
      <w:r w:rsidR="00E61136">
        <w:rPr>
          <w:sz w:val="22"/>
          <w:szCs w:val="22"/>
        </w:rPr>
        <w:t xml:space="preserve"> yüzde 1,3 büyüdü. Buna rağmen Türkiye AB'ye olan ihracatını</w:t>
      </w:r>
      <w:r w:rsidR="00726317">
        <w:rPr>
          <w:sz w:val="22"/>
          <w:szCs w:val="22"/>
        </w:rPr>
        <w:t xml:space="preserve"> 2013 ve 2014 yıllarında yüzde 6,2 ve yüzde 8,6 </w:t>
      </w:r>
      <w:r w:rsidR="00CE0495">
        <w:rPr>
          <w:sz w:val="22"/>
          <w:szCs w:val="22"/>
        </w:rPr>
        <w:t xml:space="preserve">oranında </w:t>
      </w:r>
      <w:r w:rsidR="00726317">
        <w:rPr>
          <w:sz w:val="22"/>
          <w:szCs w:val="22"/>
        </w:rPr>
        <w:t>arttı</w:t>
      </w:r>
      <w:r w:rsidR="00E61136">
        <w:rPr>
          <w:sz w:val="22"/>
          <w:szCs w:val="22"/>
        </w:rPr>
        <w:t>rdı</w:t>
      </w:r>
      <w:r w:rsidR="00726317">
        <w:rPr>
          <w:sz w:val="22"/>
          <w:szCs w:val="22"/>
        </w:rPr>
        <w:t>.</w:t>
      </w:r>
    </w:p>
    <w:p w:rsidR="00E61136" w:rsidRDefault="00726317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12CC" w:rsidRDefault="00726317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Almanya </w:t>
      </w:r>
      <w:r w:rsidRPr="00A37CE3">
        <w:rPr>
          <w:sz w:val="22"/>
          <w:szCs w:val="22"/>
        </w:rPr>
        <w:t xml:space="preserve">bilindiği gibi Türkiye'nin en büyük ihracat pazarı. </w:t>
      </w:r>
      <w:r w:rsidR="00E61136" w:rsidRPr="00A37CE3">
        <w:rPr>
          <w:sz w:val="22"/>
          <w:szCs w:val="22"/>
        </w:rPr>
        <w:t xml:space="preserve">Irak'ın durumu da dikkate alındığında </w:t>
      </w:r>
      <w:r w:rsidR="00D5614E" w:rsidRPr="00A37CE3">
        <w:rPr>
          <w:sz w:val="22"/>
          <w:szCs w:val="22"/>
        </w:rPr>
        <w:t>Almanya'nın bir numaralı ihracat pazarı olma durumu</w:t>
      </w:r>
      <w:r w:rsidR="009539FD" w:rsidRPr="00A37CE3">
        <w:rPr>
          <w:sz w:val="22"/>
          <w:szCs w:val="22"/>
        </w:rPr>
        <w:t>nun</w:t>
      </w:r>
      <w:r w:rsidR="00D5614E" w:rsidRPr="00A37CE3">
        <w:rPr>
          <w:sz w:val="22"/>
          <w:szCs w:val="22"/>
        </w:rPr>
        <w:t xml:space="preserve"> </w:t>
      </w:r>
      <w:r w:rsidR="00E61136" w:rsidRPr="00A37CE3">
        <w:rPr>
          <w:sz w:val="22"/>
          <w:szCs w:val="22"/>
        </w:rPr>
        <w:t>uzun bir süre daha devam edeceği anlaşılıyor. Almanya 2013 ve 2014 yıllarında sırasıyla yüzde</w:t>
      </w:r>
      <w:r w:rsidR="00E61136">
        <w:rPr>
          <w:sz w:val="22"/>
          <w:szCs w:val="22"/>
        </w:rPr>
        <w:t xml:space="preserve"> 0,1 ve yüzde 1,5 büyüdüğü halde, Almanya'ya yapılan ihracat</w:t>
      </w:r>
      <w:r w:rsidR="00AF42C9">
        <w:rPr>
          <w:sz w:val="22"/>
          <w:szCs w:val="22"/>
        </w:rPr>
        <w:t xml:space="preserve"> 2012'den 2014'e</w:t>
      </w:r>
      <w:r w:rsidR="00E61136">
        <w:rPr>
          <w:sz w:val="22"/>
          <w:szCs w:val="22"/>
        </w:rPr>
        <w:t xml:space="preserve"> yüzde 15,4 arttı. Bunu takiben</w:t>
      </w:r>
      <w:r w:rsidR="00CE0495">
        <w:rPr>
          <w:sz w:val="22"/>
          <w:szCs w:val="22"/>
        </w:rPr>
        <w:t xml:space="preserve"> 2012 yılında t</w:t>
      </w:r>
      <w:r>
        <w:rPr>
          <w:sz w:val="22"/>
          <w:szCs w:val="22"/>
        </w:rPr>
        <w:t>oplam ihracatın yüzde 8,6'sı Almanya'ya yapılırken 2014 yılında bu rakam bir yüzde puan artarak yüzde 9,6'ya çıktı</w:t>
      </w:r>
      <w:r w:rsidR="00CC24D0">
        <w:rPr>
          <w:sz w:val="22"/>
          <w:szCs w:val="22"/>
        </w:rPr>
        <w:t xml:space="preserve"> (Tablo 1)</w:t>
      </w:r>
      <w:r>
        <w:rPr>
          <w:sz w:val="22"/>
          <w:szCs w:val="22"/>
        </w:rPr>
        <w:t xml:space="preserve">. </w:t>
      </w:r>
      <w:r w:rsidR="00E512CC">
        <w:rPr>
          <w:sz w:val="22"/>
          <w:szCs w:val="22"/>
        </w:rPr>
        <w:t xml:space="preserve">Almanya'nın yanında İngiltere ve İspanya'nın </w:t>
      </w:r>
      <w:r w:rsidR="009F0274">
        <w:rPr>
          <w:sz w:val="22"/>
          <w:szCs w:val="22"/>
        </w:rPr>
        <w:t>toplam ihracat içindeki payı</w:t>
      </w:r>
      <w:r w:rsidR="00AF42C9">
        <w:rPr>
          <w:sz w:val="22"/>
          <w:szCs w:val="22"/>
        </w:rPr>
        <w:t xml:space="preserve"> da</w:t>
      </w:r>
      <w:r w:rsidR="009F0274">
        <w:rPr>
          <w:sz w:val="22"/>
          <w:szCs w:val="22"/>
        </w:rPr>
        <w:t xml:space="preserve"> </w:t>
      </w:r>
      <w:r w:rsidR="00AF42C9">
        <w:rPr>
          <w:sz w:val="22"/>
          <w:szCs w:val="22"/>
        </w:rPr>
        <w:t>aynı</w:t>
      </w:r>
      <w:r w:rsidR="009F0274">
        <w:rPr>
          <w:sz w:val="22"/>
          <w:szCs w:val="22"/>
        </w:rPr>
        <w:t xml:space="preserve"> dönemde</w:t>
      </w:r>
      <w:r w:rsidR="00E512CC">
        <w:rPr>
          <w:sz w:val="22"/>
          <w:szCs w:val="22"/>
        </w:rPr>
        <w:t xml:space="preserve"> 0,6</w:t>
      </w:r>
      <w:r w:rsidR="00CE0495">
        <w:rPr>
          <w:sz w:val="22"/>
          <w:szCs w:val="22"/>
        </w:rPr>
        <w:t xml:space="preserve"> yüzde puan</w:t>
      </w:r>
      <w:r w:rsidR="00E512CC">
        <w:rPr>
          <w:sz w:val="22"/>
          <w:szCs w:val="22"/>
        </w:rPr>
        <w:t xml:space="preserve"> arttı. </w:t>
      </w:r>
      <w:r w:rsidR="009F0274">
        <w:rPr>
          <w:sz w:val="22"/>
          <w:szCs w:val="22"/>
        </w:rPr>
        <w:t xml:space="preserve">2013 ve 2014 yıllarında ekonomisi </w:t>
      </w:r>
      <w:r w:rsidR="009F0274" w:rsidRPr="001F392E">
        <w:rPr>
          <w:sz w:val="22"/>
          <w:szCs w:val="22"/>
        </w:rPr>
        <w:t>küçülen İtalya'ya bile Türkiye ihracatı</w:t>
      </w:r>
      <w:r w:rsidR="00AF42C9" w:rsidRPr="001F392E">
        <w:rPr>
          <w:sz w:val="22"/>
          <w:szCs w:val="22"/>
        </w:rPr>
        <w:t>nı</w:t>
      </w:r>
      <w:r w:rsidR="009F0274" w:rsidRPr="001F392E">
        <w:rPr>
          <w:sz w:val="22"/>
          <w:szCs w:val="22"/>
        </w:rPr>
        <w:t xml:space="preserve"> güçlü bir biçimde arttırmış görünüyor.</w:t>
      </w:r>
      <w:r w:rsidR="009F0274">
        <w:rPr>
          <w:sz w:val="22"/>
          <w:szCs w:val="22"/>
        </w:rPr>
        <w:t xml:space="preserve"> </w:t>
      </w:r>
      <w:r w:rsidR="001F392E">
        <w:rPr>
          <w:sz w:val="22"/>
          <w:szCs w:val="22"/>
        </w:rPr>
        <w:t>2012 yılından 2014 yılına Türkiye'nin İtalya'ya olan ihracatı yüzde 12,1 arttı.</w:t>
      </w:r>
      <w:r w:rsidR="009F0274">
        <w:rPr>
          <w:sz w:val="22"/>
          <w:szCs w:val="22"/>
        </w:rPr>
        <w:t xml:space="preserve"> </w:t>
      </w:r>
      <w:r w:rsidR="00E512CC">
        <w:rPr>
          <w:sz w:val="22"/>
          <w:szCs w:val="22"/>
        </w:rPr>
        <w:t xml:space="preserve"> </w:t>
      </w:r>
    </w:p>
    <w:p w:rsidR="00E512CC" w:rsidRDefault="00E512CC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Pr="00E512CC" w:rsidRDefault="00E512CC" w:rsidP="00E512CC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E512CC">
        <w:rPr>
          <w:b/>
          <w:sz w:val="22"/>
          <w:szCs w:val="22"/>
        </w:rPr>
        <w:t>Uzun Vadeli Trendler</w:t>
      </w: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CC24D0" w:rsidRDefault="00E512CC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 yılında İran'a uygulanan </w:t>
      </w:r>
      <w:r w:rsidR="00747163">
        <w:rPr>
          <w:sz w:val="22"/>
          <w:szCs w:val="22"/>
        </w:rPr>
        <w:t xml:space="preserve">Amerikan </w:t>
      </w:r>
      <w:r>
        <w:rPr>
          <w:sz w:val="22"/>
          <w:szCs w:val="22"/>
        </w:rPr>
        <w:t>ambargo</w:t>
      </w:r>
      <w:r w:rsidR="00747163">
        <w:rPr>
          <w:sz w:val="22"/>
          <w:szCs w:val="22"/>
        </w:rPr>
        <w:t>su</w:t>
      </w:r>
      <w:r>
        <w:rPr>
          <w:sz w:val="22"/>
          <w:szCs w:val="22"/>
        </w:rPr>
        <w:t xml:space="preserve"> nedeniyle </w:t>
      </w:r>
      <w:r w:rsidR="00C55173">
        <w:rPr>
          <w:sz w:val="22"/>
          <w:szCs w:val="22"/>
        </w:rPr>
        <w:t xml:space="preserve">İran'dan alınan petrol ve doğalgazın </w:t>
      </w:r>
      <w:r w:rsidR="00747163">
        <w:rPr>
          <w:sz w:val="22"/>
          <w:szCs w:val="22"/>
        </w:rPr>
        <w:t>bedeli</w:t>
      </w:r>
      <w:r w:rsidR="00C55173">
        <w:rPr>
          <w:sz w:val="22"/>
          <w:szCs w:val="22"/>
        </w:rPr>
        <w:t xml:space="preserve"> altın ile ödenmişti. Altın ihraç kalemi olarak gözüktüğü için bu </w:t>
      </w:r>
      <w:r w:rsidR="00655393">
        <w:rPr>
          <w:sz w:val="22"/>
          <w:szCs w:val="22"/>
        </w:rPr>
        <w:t>durum</w:t>
      </w:r>
      <w:r w:rsidR="00C55173">
        <w:rPr>
          <w:sz w:val="22"/>
          <w:szCs w:val="22"/>
        </w:rPr>
        <w:t xml:space="preserve"> Orta </w:t>
      </w:r>
      <w:r w:rsidR="00C55173">
        <w:rPr>
          <w:sz w:val="22"/>
          <w:szCs w:val="22"/>
        </w:rPr>
        <w:lastRenderedPageBreak/>
        <w:t>Doğu'ya yapılan ihracatın normalden yüksek gözükmesine yol açmıştı. Bu nedenle uzun vadeli tren</w:t>
      </w:r>
      <w:r w:rsidR="00675211">
        <w:rPr>
          <w:sz w:val="22"/>
          <w:szCs w:val="22"/>
        </w:rPr>
        <w:t>d</w:t>
      </w:r>
      <w:r w:rsidR="00C55173">
        <w:rPr>
          <w:sz w:val="22"/>
          <w:szCs w:val="22"/>
        </w:rPr>
        <w:t>leri daha iyi inceleyebilmek için altından arındırılmış rakamlara bakıyoruz.</w:t>
      </w:r>
      <w:r w:rsidR="00675211">
        <w:rPr>
          <w:sz w:val="22"/>
          <w:szCs w:val="22"/>
        </w:rPr>
        <w:t xml:space="preserve"> Şekil 1</w:t>
      </w:r>
      <w:r w:rsidR="00A44084">
        <w:rPr>
          <w:sz w:val="22"/>
          <w:szCs w:val="22"/>
        </w:rPr>
        <w:t>,</w:t>
      </w:r>
      <w:r w:rsidR="00675211">
        <w:rPr>
          <w:sz w:val="22"/>
          <w:szCs w:val="22"/>
        </w:rPr>
        <w:t xml:space="preserve"> 1999 – 2014</w:t>
      </w:r>
      <w:r w:rsidR="00675211" w:rsidRPr="0028676D">
        <w:rPr>
          <w:sz w:val="22"/>
          <w:szCs w:val="22"/>
        </w:rPr>
        <w:t xml:space="preserve"> yılları arasın</w:t>
      </w:r>
      <w:bookmarkStart w:id="0" w:name="_GoBack"/>
      <w:bookmarkEnd w:id="0"/>
      <w:r w:rsidR="00675211" w:rsidRPr="0028676D">
        <w:rPr>
          <w:sz w:val="22"/>
          <w:szCs w:val="22"/>
        </w:rPr>
        <w:t xml:space="preserve">da ülke gruplarına </w:t>
      </w:r>
      <w:r w:rsidR="00675211" w:rsidRPr="00675211">
        <w:rPr>
          <w:sz w:val="22"/>
          <w:szCs w:val="22"/>
        </w:rPr>
        <w:t>yapılan altın hariç ihracatın</w:t>
      </w:r>
      <w:r w:rsidR="00675211" w:rsidRPr="0028676D">
        <w:rPr>
          <w:sz w:val="22"/>
          <w:szCs w:val="22"/>
        </w:rPr>
        <w:t xml:space="preserve"> toplam</w:t>
      </w:r>
      <w:r w:rsidR="00675211">
        <w:rPr>
          <w:sz w:val="22"/>
          <w:szCs w:val="22"/>
        </w:rPr>
        <w:t xml:space="preserve"> ihracat </w:t>
      </w:r>
      <w:r w:rsidR="00675211" w:rsidRPr="0028676D">
        <w:rPr>
          <w:sz w:val="22"/>
          <w:szCs w:val="22"/>
        </w:rPr>
        <w:t>içindeki yüzdesi</w:t>
      </w:r>
      <w:r w:rsidR="00675211">
        <w:rPr>
          <w:sz w:val="22"/>
          <w:szCs w:val="22"/>
        </w:rPr>
        <w:t>ni</w:t>
      </w:r>
      <w:r w:rsidR="00675211" w:rsidRPr="0028676D">
        <w:rPr>
          <w:sz w:val="22"/>
          <w:szCs w:val="22"/>
        </w:rPr>
        <w:t xml:space="preserve"> ve nominal olarak büyüme oranları</w:t>
      </w:r>
      <w:r w:rsidR="00675211">
        <w:rPr>
          <w:sz w:val="22"/>
          <w:szCs w:val="22"/>
        </w:rPr>
        <w:t>nı gösteriyor.</w:t>
      </w:r>
      <w:r w:rsidR="00C55173">
        <w:rPr>
          <w:sz w:val="22"/>
          <w:szCs w:val="22"/>
        </w:rPr>
        <w:t xml:space="preserve"> Daha önceki notlarda belirttiğimiz gibi 2007'den sonra Avrupa'nın toplam ihracat içindeki payı hızlı bir şekilde düşmeye başla</w:t>
      </w:r>
      <w:r w:rsidR="00675211">
        <w:rPr>
          <w:sz w:val="22"/>
          <w:szCs w:val="22"/>
        </w:rPr>
        <w:t>dı</w:t>
      </w:r>
      <w:r w:rsidR="00C55173">
        <w:rPr>
          <w:sz w:val="22"/>
          <w:szCs w:val="22"/>
        </w:rPr>
        <w:t>.</w:t>
      </w:r>
      <w:r w:rsidR="00747163">
        <w:rPr>
          <w:sz w:val="22"/>
          <w:szCs w:val="22"/>
        </w:rPr>
        <w:t xml:space="preserve"> Altın hariç ticaret rakamlarına bakıldığında</w:t>
      </w:r>
      <w:r w:rsidR="00C55173">
        <w:rPr>
          <w:sz w:val="22"/>
          <w:szCs w:val="22"/>
        </w:rPr>
        <w:t xml:space="preserve"> 2007 yılında</w:t>
      </w:r>
      <w:r w:rsidR="00675211">
        <w:rPr>
          <w:sz w:val="22"/>
          <w:szCs w:val="22"/>
        </w:rPr>
        <w:t xml:space="preserve"> Avrupa'nın toplam ihracat içindeki payı</w:t>
      </w:r>
      <w:r w:rsidR="00C55173">
        <w:rPr>
          <w:sz w:val="22"/>
          <w:szCs w:val="22"/>
        </w:rPr>
        <w:t xml:space="preserve"> yüzde 55 iken 2012 yılına gelindiğinde</w:t>
      </w:r>
      <w:r w:rsidR="00CC24D0">
        <w:rPr>
          <w:sz w:val="22"/>
          <w:szCs w:val="22"/>
        </w:rPr>
        <w:t xml:space="preserve"> bu oran</w:t>
      </w:r>
      <w:r w:rsidR="00C55173">
        <w:rPr>
          <w:sz w:val="22"/>
          <w:szCs w:val="22"/>
        </w:rPr>
        <w:t xml:space="preserve"> yüzde 40'a düş</w:t>
      </w:r>
      <w:r w:rsidR="00675211">
        <w:rPr>
          <w:sz w:val="22"/>
          <w:szCs w:val="22"/>
        </w:rPr>
        <w:t>tü</w:t>
      </w:r>
      <w:r w:rsidR="00C55173">
        <w:rPr>
          <w:sz w:val="22"/>
          <w:szCs w:val="22"/>
        </w:rPr>
        <w:t>. Kuzey Afrika ve Orta Doğu'nun (KA+YO</w:t>
      </w:r>
      <w:r w:rsidR="00675211">
        <w:rPr>
          <w:sz w:val="22"/>
          <w:szCs w:val="22"/>
        </w:rPr>
        <w:t xml:space="preserve">D) payı ise </w:t>
      </w:r>
      <w:r w:rsidR="00CC24D0">
        <w:rPr>
          <w:sz w:val="22"/>
          <w:szCs w:val="22"/>
        </w:rPr>
        <w:t>bu dönemde hızlı bir biçimde</w:t>
      </w:r>
      <w:r w:rsidR="00675211">
        <w:rPr>
          <w:sz w:val="22"/>
          <w:szCs w:val="22"/>
        </w:rPr>
        <w:t xml:space="preserve">  yüksele</w:t>
      </w:r>
      <w:r w:rsidR="00C55173">
        <w:rPr>
          <w:sz w:val="22"/>
          <w:szCs w:val="22"/>
        </w:rPr>
        <w:t xml:space="preserve">rek yüzde 17'ler seviyesinden yüzde 30'lar seviyesine </w:t>
      </w:r>
      <w:r w:rsidR="00675211">
        <w:rPr>
          <w:sz w:val="22"/>
          <w:szCs w:val="22"/>
        </w:rPr>
        <w:t>kadar geldi</w:t>
      </w:r>
      <w:r w:rsidR="00C55173" w:rsidRPr="00A37CE3">
        <w:rPr>
          <w:sz w:val="22"/>
          <w:szCs w:val="22"/>
        </w:rPr>
        <w:t>. A</w:t>
      </w:r>
      <w:r w:rsidR="009539FD" w:rsidRPr="00A37CE3">
        <w:rPr>
          <w:sz w:val="22"/>
          <w:szCs w:val="22"/>
        </w:rPr>
        <w:t>ncak</w:t>
      </w:r>
      <w:r w:rsidR="00C55173" w:rsidRPr="00A37CE3">
        <w:rPr>
          <w:sz w:val="22"/>
          <w:szCs w:val="22"/>
        </w:rPr>
        <w:t xml:space="preserve"> 2012'den beri Türkiye</w:t>
      </w:r>
      <w:r w:rsidR="00675211" w:rsidRPr="00A37CE3">
        <w:rPr>
          <w:sz w:val="22"/>
          <w:szCs w:val="22"/>
        </w:rPr>
        <w:t>'nin</w:t>
      </w:r>
      <w:r w:rsidR="00C55173" w:rsidRPr="00A37CE3">
        <w:rPr>
          <w:sz w:val="22"/>
          <w:szCs w:val="22"/>
        </w:rPr>
        <w:t xml:space="preserve"> KA+YOD'a </w:t>
      </w:r>
      <w:r w:rsidR="00675211" w:rsidRPr="00A37CE3">
        <w:rPr>
          <w:sz w:val="22"/>
          <w:szCs w:val="22"/>
        </w:rPr>
        <w:t>yaptığı</w:t>
      </w:r>
      <w:r w:rsidR="00C55173" w:rsidRPr="00A37CE3">
        <w:rPr>
          <w:sz w:val="22"/>
          <w:szCs w:val="22"/>
        </w:rPr>
        <w:t xml:space="preserve"> ihracat</w:t>
      </w:r>
      <w:r w:rsidR="00053EBC" w:rsidRPr="00A37CE3">
        <w:rPr>
          <w:sz w:val="22"/>
          <w:szCs w:val="22"/>
        </w:rPr>
        <w:t xml:space="preserve"> </w:t>
      </w:r>
      <w:r w:rsidR="00747163" w:rsidRPr="00A37CE3">
        <w:rPr>
          <w:sz w:val="22"/>
          <w:szCs w:val="22"/>
        </w:rPr>
        <w:t>bu ülkelerdeki karışıklıklardan</w:t>
      </w:r>
      <w:r w:rsidR="00053EBC" w:rsidRPr="00A37CE3">
        <w:rPr>
          <w:sz w:val="22"/>
          <w:szCs w:val="22"/>
        </w:rPr>
        <w:t xml:space="preserve"> dolayı </w:t>
      </w:r>
      <w:r w:rsidR="00CC24D0" w:rsidRPr="00A37CE3">
        <w:rPr>
          <w:sz w:val="22"/>
          <w:szCs w:val="22"/>
        </w:rPr>
        <w:t>düşük</w:t>
      </w:r>
      <w:r w:rsidR="00CC24D0">
        <w:rPr>
          <w:sz w:val="22"/>
          <w:szCs w:val="22"/>
        </w:rPr>
        <w:t xml:space="preserve"> bir oranda arttı</w:t>
      </w:r>
      <w:r w:rsidR="00C55173">
        <w:rPr>
          <w:sz w:val="22"/>
          <w:szCs w:val="22"/>
        </w:rPr>
        <w:t>.</w:t>
      </w:r>
    </w:p>
    <w:p w:rsidR="00CC24D0" w:rsidRDefault="00CC24D0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C050B2" w:rsidRDefault="001F392E" w:rsidP="000A234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Jeopolitik riskler</w:t>
      </w:r>
      <w:r w:rsidR="00053EBC">
        <w:rPr>
          <w:sz w:val="22"/>
          <w:szCs w:val="22"/>
        </w:rPr>
        <w:t xml:space="preserve"> ve Türkiye'nin </w:t>
      </w:r>
      <w:r w:rsidR="00747163">
        <w:rPr>
          <w:sz w:val="22"/>
          <w:szCs w:val="22"/>
        </w:rPr>
        <w:t>bölge ülkeleri ile olan ilişkilerinin durumu</w:t>
      </w:r>
      <w:r>
        <w:rPr>
          <w:sz w:val="22"/>
          <w:szCs w:val="22"/>
        </w:rPr>
        <w:t xml:space="preserve"> nedeniyle</w:t>
      </w:r>
      <w:r w:rsidR="00747163">
        <w:rPr>
          <w:sz w:val="22"/>
          <w:szCs w:val="22"/>
        </w:rPr>
        <w:t xml:space="preserve"> bir kaç yıl daha KA+YOD'a</w:t>
      </w:r>
      <w:r w:rsidR="00053EBC">
        <w:rPr>
          <w:sz w:val="22"/>
          <w:szCs w:val="22"/>
        </w:rPr>
        <w:t xml:space="preserve"> </w:t>
      </w:r>
      <w:r w:rsidR="00675211">
        <w:rPr>
          <w:sz w:val="22"/>
          <w:szCs w:val="22"/>
        </w:rPr>
        <w:t>yapılan ihracatı</w:t>
      </w:r>
      <w:r>
        <w:rPr>
          <w:sz w:val="22"/>
          <w:szCs w:val="22"/>
        </w:rPr>
        <w:t>n</w:t>
      </w:r>
      <w:r w:rsidR="00053EBC">
        <w:rPr>
          <w:sz w:val="22"/>
          <w:szCs w:val="22"/>
        </w:rPr>
        <w:t xml:space="preserve"> </w:t>
      </w:r>
      <w:r>
        <w:rPr>
          <w:sz w:val="22"/>
          <w:szCs w:val="22"/>
        </w:rPr>
        <w:t>sınırlı bir artış göstermesini bekliyoruz</w:t>
      </w:r>
      <w:r w:rsidR="00053EBC">
        <w:rPr>
          <w:sz w:val="22"/>
          <w:szCs w:val="22"/>
        </w:rPr>
        <w:t xml:space="preserve">. </w:t>
      </w:r>
      <w:r w:rsidR="00675211">
        <w:rPr>
          <w:sz w:val="22"/>
          <w:szCs w:val="22"/>
        </w:rPr>
        <w:t>Türkiye'nin ö</w:t>
      </w:r>
      <w:r w:rsidR="00053EBC">
        <w:rPr>
          <w:sz w:val="22"/>
          <w:szCs w:val="22"/>
        </w:rPr>
        <w:t>nemli ticaret ortakları</w:t>
      </w:r>
      <w:r w:rsidR="00675211">
        <w:rPr>
          <w:sz w:val="22"/>
          <w:szCs w:val="22"/>
        </w:rPr>
        <w:t>ndan</w:t>
      </w:r>
      <w:r w:rsidR="00053EBC">
        <w:rPr>
          <w:sz w:val="22"/>
          <w:szCs w:val="22"/>
        </w:rPr>
        <w:t xml:space="preserve"> biri olan Rusya'ya uygulanan ambargo </w:t>
      </w:r>
      <w:r w:rsidR="00655393">
        <w:rPr>
          <w:sz w:val="22"/>
          <w:szCs w:val="22"/>
        </w:rPr>
        <w:t>ve petrol fiyatlarındaki düşüş</w:t>
      </w:r>
      <w:r w:rsidR="00053EBC">
        <w:rPr>
          <w:sz w:val="22"/>
          <w:szCs w:val="22"/>
        </w:rPr>
        <w:t xml:space="preserve"> bu yıl </w:t>
      </w:r>
      <w:r w:rsidR="00CC24D0">
        <w:rPr>
          <w:sz w:val="22"/>
          <w:szCs w:val="22"/>
        </w:rPr>
        <w:t xml:space="preserve">Rusya'nın </w:t>
      </w:r>
      <w:r w:rsidR="00053EBC">
        <w:rPr>
          <w:sz w:val="22"/>
          <w:szCs w:val="22"/>
        </w:rPr>
        <w:t xml:space="preserve">ekonomisinde güçlü bir </w:t>
      </w:r>
      <w:r w:rsidR="00CC24D0">
        <w:rPr>
          <w:sz w:val="22"/>
          <w:szCs w:val="22"/>
        </w:rPr>
        <w:t>daralmaya yol açacak. Bu da Türkiye'nin ihracatın</w:t>
      </w:r>
      <w:r w:rsidR="00C050B2">
        <w:rPr>
          <w:sz w:val="22"/>
          <w:szCs w:val="22"/>
        </w:rPr>
        <w:t xml:space="preserve">a önemli ölçüde azaltıcı etki yapacak. </w:t>
      </w:r>
      <w:r>
        <w:rPr>
          <w:sz w:val="22"/>
          <w:szCs w:val="22"/>
        </w:rPr>
        <w:t>2015 Ocak ayında bir önceki yılın aynı ayına göre, Rusya'ya yapılan ihracatın yüzde 31,4 düştüğü görünüyor.</w:t>
      </w:r>
    </w:p>
    <w:p w:rsidR="00C050B2" w:rsidRDefault="00C050B2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207569" w:rsidRDefault="00FB7C42" w:rsidP="00A37CE3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Eurostat tahminlerine göre önümüzdeki bir kaç yılda daha</w:t>
      </w:r>
      <w:r w:rsidR="00675211">
        <w:rPr>
          <w:sz w:val="22"/>
          <w:szCs w:val="22"/>
        </w:rPr>
        <w:t xml:space="preserve"> AB bölgesinde</w:t>
      </w:r>
      <w:r>
        <w:rPr>
          <w:sz w:val="22"/>
          <w:szCs w:val="22"/>
        </w:rPr>
        <w:t xml:space="preserve"> güçlü bir toparlanma</w:t>
      </w:r>
      <w:r w:rsidR="00675211">
        <w:rPr>
          <w:sz w:val="22"/>
          <w:szCs w:val="22"/>
        </w:rPr>
        <w:t xml:space="preserve"> </w:t>
      </w:r>
      <w:r>
        <w:rPr>
          <w:sz w:val="22"/>
          <w:szCs w:val="22"/>
        </w:rPr>
        <w:t>bekle</w:t>
      </w:r>
      <w:r w:rsidR="00675211">
        <w:rPr>
          <w:sz w:val="22"/>
          <w:szCs w:val="22"/>
        </w:rPr>
        <w:t>nmiyor</w:t>
      </w:r>
      <w:r>
        <w:rPr>
          <w:sz w:val="22"/>
          <w:szCs w:val="22"/>
        </w:rPr>
        <w:t>.</w:t>
      </w:r>
      <w:r w:rsidR="00CC24D0">
        <w:rPr>
          <w:sz w:val="22"/>
          <w:szCs w:val="22"/>
        </w:rPr>
        <w:t xml:space="preserve"> Bu nedenle</w:t>
      </w:r>
      <w:r>
        <w:rPr>
          <w:sz w:val="22"/>
          <w:szCs w:val="22"/>
        </w:rPr>
        <w:t xml:space="preserve"> AB'</w:t>
      </w:r>
      <w:r w:rsidR="00A37CE3">
        <w:rPr>
          <w:sz w:val="22"/>
          <w:szCs w:val="22"/>
        </w:rPr>
        <w:t xml:space="preserve">ye yapılan ihracat artışının 2014 seviyesindeki gibi devam etmesini </w:t>
      </w:r>
      <w:r w:rsidR="00A37CE3">
        <w:rPr>
          <w:sz w:val="22"/>
          <w:szCs w:val="22"/>
        </w:rPr>
        <w:lastRenderedPageBreak/>
        <w:t>beklemekteyiz; 2007 öncesi gibi yüksek  ihracat artış hızlarını bir süre daha görmeyi beklemiyoruz.</w:t>
      </w:r>
    </w:p>
    <w:p w:rsidR="00207569" w:rsidRDefault="00207569" w:rsidP="00A37CE3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Buna rağmen diğer bölgelerin durumu düşünüldüğünde bu dönemde AB'ye yapılan ihracat Türkiye'deki ihracat sektörü için kurtarıcı olacaktır.</w:t>
      </w:r>
    </w:p>
    <w:p w:rsidR="00207569" w:rsidRDefault="00207569" w:rsidP="00A37CE3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Default="00853BC6" w:rsidP="00A37CE3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AB'nin düşük büyüme oranı ve Türkiye'nin yakın çevresinde karışıkların devam etmesi nedeniyle</w:t>
      </w:r>
      <w:r w:rsidR="00CC24D0">
        <w:rPr>
          <w:sz w:val="22"/>
          <w:szCs w:val="22"/>
        </w:rPr>
        <w:t xml:space="preserve"> 2015 yılında da</w:t>
      </w:r>
      <w:r>
        <w:rPr>
          <w:sz w:val="22"/>
          <w:szCs w:val="22"/>
        </w:rPr>
        <w:t xml:space="preserve"> Türkiye'nin ihracat artış hızının düşük kalmasını bekliyoruz.</w:t>
      </w:r>
      <w:r w:rsidR="00C55173">
        <w:rPr>
          <w:sz w:val="22"/>
          <w:szCs w:val="22"/>
        </w:rPr>
        <w:t xml:space="preserve"> </w:t>
      </w: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1D070D" w:rsidRDefault="001D070D" w:rsidP="000A234F">
      <w:pPr>
        <w:spacing w:line="360" w:lineRule="auto"/>
        <w:ind w:left="-360"/>
        <w:jc w:val="both"/>
        <w:rPr>
          <w:sz w:val="22"/>
          <w:szCs w:val="22"/>
        </w:rPr>
      </w:pPr>
    </w:p>
    <w:p w:rsidR="00954216" w:rsidRDefault="00954216" w:rsidP="0028676D">
      <w:pPr>
        <w:spacing w:line="360" w:lineRule="auto"/>
        <w:ind w:right="40"/>
        <w:jc w:val="both"/>
        <w:rPr>
          <w:sz w:val="22"/>
          <w:szCs w:val="22"/>
        </w:rPr>
        <w:sectPr w:rsidR="00954216" w:rsidSect="000A234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54216" w:rsidRPr="0028676D" w:rsidRDefault="002064FC" w:rsidP="0028676D">
      <w:pPr>
        <w:spacing w:line="360" w:lineRule="auto"/>
        <w:ind w:right="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Şekil 1</w:t>
      </w:r>
      <w:r w:rsidR="00954216" w:rsidRPr="00403B2F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1999 – 2014</w:t>
      </w:r>
      <w:r w:rsidR="00954216" w:rsidRPr="0028676D">
        <w:rPr>
          <w:sz w:val="22"/>
          <w:szCs w:val="22"/>
        </w:rPr>
        <w:t xml:space="preserve"> yılları arasında ülke gruplarına yapılan</w:t>
      </w:r>
      <w:r w:rsidR="00954216">
        <w:rPr>
          <w:sz w:val="22"/>
          <w:szCs w:val="22"/>
        </w:rPr>
        <w:t xml:space="preserve"> </w:t>
      </w:r>
      <w:r w:rsidR="00954216" w:rsidRPr="00354D30">
        <w:rPr>
          <w:b/>
          <w:sz w:val="22"/>
          <w:szCs w:val="22"/>
          <w:u w:val="single"/>
        </w:rPr>
        <w:t>altın hariç ihracat</w:t>
      </w:r>
      <w:r w:rsidR="00954216" w:rsidRPr="0028676D">
        <w:rPr>
          <w:sz w:val="22"/>
          <w:szCs w:val="22"/>
        </w:rPr>
        <w:t>ın toplam</w:t>
      </w:r>
      <w:r w:rsidR="00954216">
        <w:rPr>
          <w:sz w:val="22"/>
          <w:szCs w:val="22"/>
        </w:rPr>
        <w:t xml:space="preserve"> </w:t>
      </w:r>
      <w:r w:rsidR="00954216" w:rsidRPr="0028676D">
        <w:rPr>
          <w:sz w:val="22"/>
          <w:szCs w:val="22"/>
        </w:rPr>
        <w:t>içindeki yüzdesi ve nominal olarak büyüme oranları. (Çizgi grafikler ülke gruplarının ihracat içindeki yüzde</w:t>
      </w:r>
      <w:r w:rsidR="00954216">
        <w:rPr>
          <w:sz w:val="22"/>
          <w:szCs w:val="22"/>
        </w:rPr>
        <w:t>lerini</w:t>
      </w:r>
      <w:r w:rsidR="00954216" w:rsidRPr="0028676D">
        <w:rPr>
          <w:sz w:val="22"/>
          <w:szCs w:val="22"/>
        </w:rPr>
        <w:t xml:space="preserve"> gösterirken, bar grafikler yıllık büyüme oranlarını göstermektedir.)  </w:t>
      </w:r>
    </w:p>
    <w:p w:rsidR="00954216" w:rsidRDefault="002064FC" w:rsidP="0028676D">
      <w:pPr>
        <w:ind w:right="40"/>
        <w:jc w:val="both"/>
        <w:rPr>
          <w:sz w:val="22"/>
          <w:szCs w:val="22"/>
        </w:rPr>
      </w:pPr>
      <w:r w:rsidRPr="002064FC">
        <w:rPr>
          <w:noProof/>
          <w:szCs w:val="22"/>
        </w:rPr>
        <w:drawing>
          <wp:inline distT="0" distB="0" distL="0" distR="0">
            <wp:extent cx="8571230" cy="4770755"/>
            <wp:effectExtent l="1905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16" w:rsidRPr="0028676D" w:rsidRDefault="00954216" w:rsidP="0028676D">
      <w:pPr>
        <w:ind w:right="40"/>
        <w:jc w:val="both"/>
        <w:rPr>
          <w:sz w:val="18"/>
          <w:szCs w:val="18"/>
        </w:rPr>
      </w:pPr>
      <w:r w:rsidRPr="0028676D">
        <w:rPr>
          <w:sz w:val="18"/>
          <w:szCs w:val="18"/>
        </w:rPr>
        <w:t xml:space="preserve">Kaynak: TÜİK, Betam. </w:t>
      </w:r>
    </w:p>
    <w:p w:rsidR="00954216" w:rsidRDefault="00954216" w:rsidP="00310FD8">
      <w:pPr>
        <w:spacing w:line="360" w:lineRule="auto"/>
        <w:ind w:right="40"/>
        <w:jc w:val="both"/>
        <w:rPr>
          <w:b/>
          <w:bCs/>
          <w:sz w:val="22"/>
          <w:szCs w:val="22"/>
        </w:rPr>
      </w:pPr>
    </w:p>
    <w:p w:rsidR="00954216" w:rsidRDefault="00CC24D0" w:rsidP="00310FD8">
      <w:pPr>
        <w:spacing w:line="360" w:lineRule="auto"/>
        <w:ind w:right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Tablo 1</w:t>
      </w:r>
      <w:r w:rsidR="00954216" w:rsidRPr="00553380">
        <w:rPr>
          <w:b/>
          <w:bCs/>
          <w:sz w:val="22"/>
          <w:szCs w:val="22"/>
        </w:rPr>
        <w:t>.</w:t>
      </w:r>
      <w:r w:rsidR="00954216">
        <w:rPr>
          <w:sz w:val="22"/>
          <w:szCs w:val="22"/>
        </w:rPr>
        <w:t xml:space="preserve"> AB-27, Kuzey Afrika ve Ya</w:t>
      </w:r>
      <w:r w:rsidR="008A1D70">
        <w:rPr>
          <w:sz w:val="22"/>
          <w:szCs w:val="22"/>
        </w:rPr>
        <w:t>kın ve Orta Doğu ülkelerine 2012-201</w:t>
      </w:r>
      <w:r w:rsidR="00EC20B2">
        <w:rPr>
          <w:sz w:val="22"/>
          <w:szCs w:val="22"/>
        </w:rPr>
        <w:t>4</w:t>
      </w:r>
      <w:r w:rsidR="00954216">
        <w:rPr>
          <w:sz w:val="22"/>
          <w:szCs w:val="22"/>
        </w:rPr>
        <w:t xml:space="preserve"> yıllarında yapılan </w:t>
      </w:r>
      <w:r w:rsidR="00954216" w:rsidRPr="00A714BB">
        <w:rPr>
          <w:b/>
          <w:sz w:val="22"/>
          <w:szCs w:val="22"/>
          <w:u w:val="single"/>
        </w:rPr>
        <w:t>nominal ihracat</w:t>
      </w:r>
      <w:r w:rsidR="00954216">
        <w:rPr>
          <w:sz w:val="22"/>
          <w:szCs w:val="22"/>
        </w:rPr>
        <w:t xml:space="preserve"> (milyon $) ve toplam </w:t>
      </w:r>
      <w:r w:rsidR="00403B2F">
        <w:rPr>
          <w:sz w:val="22"/>
          <w:szCs w:val="22"/>
        </w:rPr>
        <w:t>içindeki</w:t>
      </w:r>
      <w:r w:rsidR="00954216">
        <w:rPr>
          <w:sz w:val="22"/>
          <w:szCs w:val="22"/>
        </w:rPr>
        <w:t xml:space="preserve"> payları.</w:t>
      </w:r>
    </w:p>
    <w:tbl>
      <w:tblPr>
        <w:tblW w:w="132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40"/>
        <w:gridCol w:w="740"/>
        <w:gridCol w:w="740"/>
        <w:gridCol w:w="740"/>
        <w:gridCol w:w="740"/>
        <w:gridCol w:w="740"/>
        <w:gridCol w:w="400"/>
        <w:gridCol w:w="2440"/>
        <w:gridCol w:w="740"/>
        <w:gridCol w:w="740"/>
        <w:gridCol w:w="740"/>
        <w:gridCol w:w="740"/>
        <w:gridCol w:w="740"/>
        <w:gridCol w:w="740"/>
      </w:tblGrid>
      <w:tr w:rsidR="00354D30" w:rsidRPr="00354D30" w:rsidTr="00354D30">
        <w:trPr>
          <w:trHeight w:val="255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AB -27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RANGE!J2:P11"/>
            <w:r w:rsidRPr="00354D30">
              <w:rPr>
                <w:rFonts w:ascii="Arial" w:hAnsi="Arial" w:cs="Arial"/>
                <w:sz w:val="18"/>
                <w:szCs w:val="18"/>
              </w:rPr>
              <w:t xml:space="preserve">Kuzey Afrika </w:t>
            </w:r>
            <w:bookmarkEnd w:id="1"/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Paylar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Nominal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Paylar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EC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13.124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13.703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15.151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DA216E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Mısır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3.679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İngiltere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8.694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8.785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9.906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DA216E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Cezayir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1.813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6.373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6.718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7.142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DA216E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6.199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6.377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6.465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DA216E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1.407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4.334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4.751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DA216E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Hollanda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3.538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Kuzey Afrika Toplam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9.443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10.041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9.758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Yakın ve Orta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54D30">
              <w:rPr>
                <w:rFonts w:ascii="Arial" w:hAnsi="Arial" w:cs="Arial"/>
                <w:sz w:val="18"/>
                <w:szCs w:val="18"/>
              </w:rPr>
              <w:t>ğu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Belçika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2.574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10.822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11.949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10.894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Polonya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1.854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2.402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BAE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8.175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4.966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4.656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Bulgaristan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9.922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4.193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Yunanistan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1.537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Suudi Arabistan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3.677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3.046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İsveç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İsrail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Avusturya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Azerbaycan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2.585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2.876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Danimarka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Suriye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Gürcistan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1.253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1.444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Çek Cumhuriyeti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Ürdün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Slovenya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Lübnan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Macaristan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Portekiz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Umman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Slovakya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Kuveyt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İrlanda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Katar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Litvanya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Bahreyn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Finlandiya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Filistin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Letonya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Ermenistan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Estonya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Yakın ve Orta Doğu Toplam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42.451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35.575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35.391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Lüksemburg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4D30" w:rsidRPr="00354D30" w:rsidRDefault="00354D30" w:rsidP="0035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D30">
              <w:rPr>
                <w:rFonts w:ascii="Arial" w:hAnsi="Arial" w:cs="Arial"/>
                <w:sz w:val="18"/>
                <w:szCs w:val="18"/>
              </w:rPr>
              <w:t>Kuzey Afrika + Yakın ve Orta Doğu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Güney Kıbrıs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51.894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45.616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45.149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9E72C7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9E72C7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9E72C7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354D30" w:rsidRPr="00354D30" w:rsidTr="00354D30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AB-27 Toplam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59.198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68.242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54D30" w:rsidRPr="00354D30" w:rsidRDefault="00354D30" w:rsidP="00354D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D30"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D30" w:rsidRPr="00354D30" w:rsidRDefault="00354D30" w:rsidP="00354D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D30" w:rsidRPr="00403B2F" w:rsidRDefault="00954216" w:rsidP="00403B2F">
      <w:pPr>
        <w:spacing w:before="40"/>
        <w:ind w:right="43"/>
        <w:jc w:val="both"/>
        <w:rPr>
          <w:sz w:val="18"/>
          <w:szCs w:val="18"/>
        </w:rPr>
      </w:pPr>
      <w:r w:rsidRPr="002B7CF6">
        <w:rPr>
          <w:sz w:val="18"/>
          <w:szCs w:val="18"/>
        </w:rPr>
        <w:t>Kaynak: TUIK, BETAM</w:t>
      </w:r>
    </w:p>
    <w:p w:rsidR="00954216" w:rsidRDefault="00CC24D0" w:rsidP="00F23C2F">
      <w:pPr>
        <w:spacing w:line="276" w:lineRule="auto"/>
        <w:ind w:right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Tablo 2</w:t>
      </w:r>
      <w:r w:rsidR="00954216" w:rsidRPr="00553380">
        <w:rPr>
          <w:b/>
          <w:bCs/>
          <w:sz w:val="22"/>
          <w:szCs w:val="22"/>
        </w:rPr>
        <w:t>.</w:t>
      </w:r>
      <w:r w:rsidR="00954216">
        <w:rPr>
          <w:sz w:val="22"/>
          <w:szCs w:val="22"/>
        </w:rPr>
        <w:t xml:space="preserve"> </w:t>
      </w:r>
      <w:r w:rsidR="008A1D70">
        <w:rPr>
          <w:sz w:val="22"/>
          <w:szCs w:val="22"/>
        </w:rPr>
        <w:t>Seçilmiş ülkelere yapılan</w:t>
      </w:r>
      <w:r w:rsidR="00954216">
        <w:rPr>
          <w:sz w:val="22"/>
          <w:szCs w:val="22"/>
        </w:rPr>
        <w:t xml:space="preserve"> yapılan </w:t>
      </w:r>
      <w:r w:rsidR="00954216" w:rsidRPr="00A714BB">
        <w:rPr>
          <w:b/>
          <w:sz w:val="22"/>
          <w:szCs w:val="22"/>
          <w:u w:val="single"/>
        </w:rPr>
        <w:t>nominal ihracat</w:t>
      </w:r>
      <w:r w:rsidR="00954216">
        <w:rPr>
          <w:sz w:val="22"/>
          <w:szCs w:val="22"/>
        </w:rPr>
        <w:t xml:space="preserve"> (milyon $) ve </w:t>
      </w:r>
      <w:r w:rsidR="00207569">
        <w:rPr>
          <w:sz w:val="22"/>
          <w:szCs w:val="22"/>
        </w:rPr>
        <w:t>yıllık değişim.</w:t>
      </w:r>
    </w:p>
    <w:tbl>
      <w:tblPr>
        <w:tblW w:w="963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240"/>
        <w:gridCol w:w="1360"/>
        <w:gridCol w:w="1300"/>
        <w:gridCol w:w="1253"/>
        <w:gridCol w:w="1280"/>
      </w:tblGrid>
      <w:tr w:rsidR="008A1D70" w:rsidRPr="008A1D70" w:rsidTr="008A1D7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Ukrayna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1.004.771.571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1.260.423.143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1.729.760.289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1.829.206.650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2.189.244.511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1.729.797.756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Rusya Federasyonu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3.189.607.392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4.628.152.963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5.992.633.393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6.680.777.245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6.964.209.480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5.944.113.078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1.795.117.369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1.932.370.242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747.629.415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2.139.439.617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2.753.095.645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2.059.805.872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Mısır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2.599.030.331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2.250.576.879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2.759.311.302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3.679.194.873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3.200.362.079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3.298.366.247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Suriye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1.421.636.808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1.844.604.582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1.609.861.216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497.960.228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1.024.473.298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1.801.999.765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5.123.406.267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6.036.362.316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8.310.129.576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10.822.143.970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11.948.905.271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10.893.562.500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A1D70" w:rsidRPr="008A1D70" w:rsidRDefault="008A1D70" w:rsidP="008A1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D7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Ukrayna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25,4%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37,2%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19,7%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-21,0%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Rusya Federasyonu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45,1%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29,5%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11,5%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4,2%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-14,6%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-61,3%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186,2%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28,7%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-25,2%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Mısır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-13,4%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22,6%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-13,0%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3,1%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Suriye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29,8%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-12,7%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-69,1%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105,7%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75,9%</w:t>
            </w:r>
          </w:p>
        </w:tc>
      </w:tr>
      <w:tr w:rsidR="008A1D70" w:rsidRPr="008A1D70" w:rsidTr="008A1D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17,8%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37,7%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30,2%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10,4%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70" w:rsidRPr="008A1D70" w:rsidRDefault="008A1D70" w:rsidP="008A1D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D70">
              <w:rPr>
                <w:rFonts w:ascii="Arial" w:hAnsi="Arial" w:cs="Arial"/>
                <w:color w:val="000000"/>
                <w:sz w:val="16"/>
                <w:szCs w:val="16"/>
              </w:rPr>
              <w:t>-8,8%</w:t>
            </w:r>
          </w:p>
        </w:tc>
      </w:tr>
    </w:tbl>
    <w:p w:rsidR="00954216" w:rsidRPr="002B7CF6" w:rsidRDefault="00954216" w:rsidP="00F23C2F">
      <w:pPr>
        <w:spacing w:before="40"/>
        <w:ind w:right="43"/>
        <w:jc w:val="both"/>
        <w:rPr>
          <w:sz w:val="18"/>
          <w:szCs w:val="18"/>
        </w:rPr>
      </w:pPr>
      <w:r w:rsidRPr="002B7CF6">
        <w:rPr>
          <w:sz w:val="18"/>
          <w:szCs w:val="18"/>
        </w:rPr>
        <w:t>Kaynak: TUIK, BETAM</w:t>
      </w:r>
    </w:p>
    <w:p w:rsidR="00954216" w:rsidRDefault="00954216" w:rsidP="002B458E">
      <w:pPr>
        <w:spacing w:before="40"/>
        <w:ind w:right="43"/>
        <w:jc w:val="both"/>
        <w:rPr>
          <w:b/>
          <w:bCs/>
          <w:sz w:val="22"/>
          <w:szCs w:val="22"/>
        </w:rPr>
      </w:pPr>
    </w:p>
    <w:sectPr w:rsidR="00954216" w:rsidSect="005744C0">
      <w:type w:val="continuous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D" w:rsidRDefault="00B3636D">
      <w:r>
        <w:separator/>
      </w:r>
    </w:p>
  </w:endnote>
  <w:endnote w:type="continuationSeparator" w:id="0">
    <w:p w:rsidR="00B3636D" w:rsidRDefault="00B3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3" w:rsidRDefault="00A37CE3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084">
      <w:rPr>
        <w:rStyle w:val="PageNumber"/>
        <w:noProof/>
      </w:rPr>
      <w:t>3</w:t>
    </w:r>
    <w:r>
      <w:rPr>
        <w:rStyle w:val="PageNumber"/>
      </w:rPr>
      <w:fldChar w:fldCharType="end"/>
    </w:r>
  </w:p>
  <w:p w:rsidR="00A37CE3" w:rsidRPr="007B51E3" w:rsidRDefault="00A37CE3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D" w:rsidRDefault="00B3636D">
      <w:r>
        <w:separator/>
      </w:r>
    </w:p>
  </w:footnote>
  <w:footnote w:type="continuationSeparator" w:id="0">
    <w:p w:rsidR="00B3636D" w:rsidRDefault="00B3636D">
      <w:r>
        <w:continuationSeparator/>
      </w:r>
    </w:p>
  </w:footnote>
  <w:footnote w:id="1">
    <w:p w:rsidR="00A37CE3" w:rsidRDefault="00A37CE3" w:rsidP="001B61D9">
      <w:pPr>
        <w:pStyle w:val="FootnoteText"/>
        <w:ind w:left="-426"/>
      </w:pPr>
      <w:r>
        <w:rPr>
          <w:rStyle w:val="FootnoteReference"/>
        </w:rPr>
        <w:footnoteRef/>
      </w:r>
      <w:r>
        <w:t xml:space="preserve"> Barış Soybilgen, 2013. "2012'de İhracatı Altın Sırtladı." Betam Araştırma Notu 13/145.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E76383"/>
    <w:multiLevelType w:val="hybridMultilevel"/>
    <w:tmpl w:val="53323ECC"/>
    <w:lvl w:ilvl="0" w:tplc="980C8448">
      <w:start w:val="201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0014A"/>
    <w:rsid w:val="0000132A"/>
    <w:rsid w:val="00004860"/>
    <w:rsid w:val="00004B78"/>
    <w:rsid w:val="000117B7"/>
    <w:rsid w:val="000132EC"/>
    <w:rsid w:val="000212AC"/>
    <w:rsid w:val="000224B9"/>
    <w:rsid w:val="00024559"/>
    <w:rsid w:val="00027BF9"/>
    <w:rsid w:val="00034090"/>
    <w:rsid w:val="00047B99"/>
    <w:rsid w:val="00047E9F"/>
    <w:rsid w:val="00050453"/>
    <w:rsid w:val="00052D7A"/>
    <w:rsid w:val="00053EBC"/>
    <w:rsid w:val="00056118"/>
    <w:rsid w:val="00056B3E"/>
    <w:rsid w:val="00065B3C"/>
    <w:rsid w:val="000716CA"/>
    <w:rsid w:val="00074648"/>
    <w:rsid w:val="00077A9D"/>
    <w:rsid w:val="00077FF4"/>
    <w:rsid w:val="0008075E"/>
    <w:rsid w:val="00082FE4"/>
    <w:rsid w:val="000A234F"/>
    <w:rsid w:val="000A292B"/>
    <w:rsid w:val="000A687F"/>
    <w:rsid w:val="000A701D"/>
    <w:rsid w:val="000B2BF9"/>
    <w:rsid w:val="000B2E92"/>
    <w:rsid w:val="000B41F3"/>
    <w:rsid w:val="000B50DE"/>
    <w:rsid w:val="000B52D7"/>
    <w:rsid w:val="000C5B7E"/>
    <w:rsid w:val="000D0C5A"/>
    <w:rsid w:val="000D17A2"/>
    <w:rsid w:val="000D1F14"/>
    <w:rsid w:val="000D3ACB"/>
    <w:rsid w:val="000D5927"/>
    <w:rsid w:val="000E10A3"/>
    <w:rsid w:val="000E138F"/>
    <w:rsid w:val="000E1F75"/>
    <w:rsid w:val="000E3FD3"/>
    <w:rsid w:val="000E4E83"/>
    <w:rsid w:val="000E5365"/>
    <w:rsid w:val="000E74B5"/>
    <w:rsid w:val="000E7CBB"/>
    <w:rsid w:val="000F09D7"/>
    <w:rsid w:val="000F360E"/>
    <w:rsid w:val="000F396D"/>
    <w:rsid w:val="000F4941"/>
    <w:rsid w:val="000F4BE6"/>
    <w:rsid w:val="001105B2"/>
    <w:rsid w:val="00114BC7"/>
    <w:rsid w:val="00115903"/>
    <w:rsid w:val="001165FC"/>
    <w:rsid w:val="0012262F"/>
    <w:rsid w:val="00124C84"/>
    <w:rsid w:val="00124D79"/>
    <w:rsid w:val="001260D7"/>
    <w:rsid w:val="00131456"/>
    <w:rsid w:val="00132E7B"/>
    <w:rsid w:val="001331CB"/>
    <w:rsid w:val="001364C8"/>
    <w:rsid w:val="00141B93"/>
    <w:rsid w:val="00143024"/>
    <w:rsid w:val="00143454"/>
    <w:rsid w:val="00143828"/>
    <w:rsid w:val="00150FFC"/>
    <w:rsid w:val="00151BCF"/>
    <w:rsid w:val="001553F2"/>
    <w:rsid w:val="0015586B"/>
    <w:rsid w:val="0015676E"/>
    <w:rsid w:val="00157A00"/>
    <w:rsid w:val="00157DC2"/>
    <w:rsid w:val="001609FA"/>
    <w:rsid w:val="00161689"/>
    <w:rsid w:val="00162629"/>
    <w:rsid w:val="001632B0"/>
    <w:rsid w:val="00163D52"/>
    <w:rsid w:val="00165C59"/>
    <w:rsid w:val="00165CB0"/>
    <w:rsid w:val="00166FE5"/>
    <w:rsid w:val="00167D69"/>
    <w:rsid w:val="00170CA9"/>
    <w:rsid w:val="00172263"/>
    <w:rsid w:val="00177FE3"/>
    <w:rsid w:val="00183507"/>
    <w:rsid w:val="001930FE"/>
    <w:rsid w:val="0019538C"/>
    <w:rsid w:val="00197ACB"/>
    <w:rsid w:val="001A2051"/>
    <w:rsid w:val="001A2B3D"/>
    <w:rsid w:val="001A3E7D"/>
    <w:rsid w:val="001A528A"/>
    <w:rsid w:val="001B0063"/>
    <w:rsid w:val="001B0683"/>
    <w:rsid w:val="001B2307"/>
    <w:rsid w:val="001B2DD8"/>
    <w:rsid w:val="001B30E0"/>
    <w:rsid w:val="001B34B5"/>
    <w:rsid w:val="001B3B49"/>
    <w:rsid w:val="001B61D9"/>
    <w:rsid w:val="001B6AFA"/>
    <w:rsid w:val="001C6E04"/>
    <w:rsid w:val="001D070D"/>
    <w:rsid w:val="001D09B1"/>
    <w:rsid w:val="001D1F1B"/>
    <w:rsid w:val="001E0274"/>
    <w:rsid w:val="001E3FE8"/>
    <w:rsid w:val="001E4BF5"/>
    <w:rsid w:val="001E7720"/>
    <w:rsid w:val="001F2761"/>
    <w:rsid w:val="001F392E"/>
    <w:rsid w:val="001F4CFB"/>
    <w:rsid w:val="001F7144"/>
    <w:rsid w:val="001F71A5"/>
    <w:rsid w:val="001F7216"/>
    <w:rsid w:val="001F775A"/>
    <w:rsid w:val="0020167B"/>
    <w:rsid w:val="00204364"/>
    <w:rsid w:val="00206291"/>
    <w:rsid w:val="002064FC"/>
    <w:rsid w:val="00207185"/>
    <w:rsid w:val="00207569"/>
    <w:rsid w:val="00216C99"/>
    <w:rsid w:val="002176C5"/>
    <w:rsid w:val="00217D35"/>
    <w:rsid w:val="00223A5B"/>
    <w:rsid w:val="002242A1"/>
    <w:rsid w:val="00224908"/>
    <w:rsid w:val="00231E92"/>
    <w:rsid w:val="0023312F"/>
    <w:rsid w:val="00251E82"/>
    <w:rsid w:val="00260770"/>
    <w:rsid w:val="00262020"/>
    <w:rsid w:val="00267EB4"/>
    <w:rsid w:val="00271EA0"/>
    <w:rsid w:val="00273E62"/>
    <w:rsid w:val="002804B4"/>
    <w:rsid w:val="002816C6"/>
    <w:rsid w:val="0028676D"/>
    <w:rsid w:val="00291C79"/>
    <w:rsid w:val="00297712"/>
    <w:rsid w:val="002A66ED"/>
    <w:rsid w:val="002B3644"/>
    <w:rsid w:val="002B458E"/>
    <w:rsid w:val="002B7CF6"/>
    <w:rsid w:val="002C2DA3"/>
    <w:rsid w:val="002C4200"/>
    <w:rsid w:val="002C49EC"/>
    <w:rsid w:val="002C5F2D"/>
    <w:rsid w:val="002D2F1A"/>
    <w:rsid w:val="002D3CD1"/>
    <w:rsid w:val="002E1EA4"/>
    <w:rsid w:val="002E49EC"/>
    <w:rsid w:val="002E6E82"/>
    <w:rsid w:val="002E7860"/>
    <w:rsid w:val="002F5134"/>
    <w:rsid w:val="002F58B0"/>
    <w:rsid w:val="002F5C24"/>
    <w:rsid w:val="003037C8"/>
    <w:rsid w:val="00303A3C"/>
    <w:rsid w:val="003051E6"/>
    <w:rsid w:val="0031043B"/>
    <w:rsid w:val="00310FD8"/>
    <w:rsid w:val="003118F7"/>
    <w:rsid w:val="003142BA"/>
    <w:rsid w:val="00316CE9"/>
    <w:rsid w:val="00316DB4"/>
    <w:rsid w:val="003223B0"/>
    <w:rsid w:val="0032368D"/>
    <w:rsid w:val="00323CA6"/>
    <w:rsid w:val="00324406"/>
    <w:rsid w:val="00324A91"/>
    <w:rsid w:val="003269F7"/>
    <w:rsid w:val="0033200E"/>
    <w:rsid w:val="00332DBD"/>
    <w:rsid w:val="00333B98"/>
    <w:rsid w:val="00337AE5"/>
    <w:rsid w:val="00341195"/>
    <w:rsid w:val="003425EC"/>
    <w:rsid w:val="0034543C"/>
    <w:rsid w:val="0035343B"/>
    <w:rsid w:val="003545A8"/>
    <w:rsid w:val="00354D30"/>
    <w:rsid w:val="003552A4"/>
    <w:rsid w:val="00356020"/>
    <w:rsid w:val="00357ECC"/>
    <w:rsid w:val="00362436"/>
    <w:rsid w:val="00363689"/>
    <w:rsid w:val="00363CFC"/>
    <w:rsid w:val="00365409"/>
    <w:rsid w:val="00366C05"/>
    <w:rsid w:val="00366D20"/>
    <w:rsid w:val="0037189D"/>
    <w:rsid w:val="00375196"/>
    <w:rsid w:val="00376AC1"/>
    <w:rsid w:val="0038488E"/>
    <w:rsid w:val="00385F45"/>
    <w:rsid w:val="00386513"/>
    <w:rsid w:val="00390136"/>
    <w:rsid w:val="00393159"/>
    <w:rsid w:val="00395F95"/>
    <w:rsid w:val="00396CE9"/>
    <w:rsid w:val="00397518"/>
    <w:rsid w:val="003A1BDD"/>
    <w:rsid w:val="003A2B60"/>
    <w:rsid w:val="003A2C52"/>
    <w:rsid w:val="003A31B2"/>
    <w:rsid w:val="003A3575"/>
    <w:rsid w:val="003B00C3"/>
    <w:rsid w:val="003B0F7E"/>
    <w:rsid w:val="003B199A"/>
    <w:rsid w:val="003B1BE8"/>
    <w:rsid w:val="003B2D84"/>
    <w:rsid w:val="003B472B"/>
    <w:rsid w:val="003B5209"/>
    <w:rsid w:val="003C3188"/>
    <w:rsid w:val="003C640D"/>
    <w:rsid w:val="003C6C41"/>
    <w:rsid w:val="003C7BC8"/>
    <w:rsid w:val="003D455B"/>
    <w:rsid w:val="003D4B75"/>
    <w:rsid w:val="003D6E0A"/>
    <w:rsid w:val="003D7D0B"/>
    <w:rsid w:val="003D7E7F"/>
    <w:rsid w:val="003F1E42"/>
    <w:rsid w:val="003F40AF"/>
    <w:rsid w:val="003F503B"/>
    <w:rsid w:val="00402158"/>
    <w:rsid w:val="00403B2F"/>
    <w:rsid w:val="004041E6"/>
    <w:rsid w:val="004074E5"/>
    <w:rsid w:val="004074ED"/>
    <w:rsid w:val="00414443"/>
    <w:rsid w:val="00421D0B"/>
    <w:rsid w:val="004229DE"/>
    <w:rsid w:val="00422AED"/>
    <w:rsid w:val="004239AE"/>
    <w:rsid w:val="00423E8F"/>
    <w:rsid w:val="004251B6"/>
    <w:rsid w:val="00431C10"/>
    <w:rsid w:val="00432F82"/>
    <w:rsid w:val="00433422"/>
    <w:rsid w:val="0043530F"/>
    <w:rsid w:val="00435FF5"/>
    <w:rsid w:val="00437C25"/>
    <w:rsid w:val="004466EA"/>
    <w:rsid w:val="00454965"/>
    <w:rsid w:val="004551AB"/>
    <w:rsid w:val="00461612"/>
    <w:rsid w:val="00462314"/>
    <w:rsid w:val="0046347A"/>
    <w:rsid w:val="0046362C"/>
    <w:rsid w:val="00463BBF"/>
    <w:rsid w:val="00466EF8"/>
    <w:rsid w:val="004707CA"/>
    <w:rsid w:val="00475DC8"/>
    <w:rsid w:val="00476C99"/>
    <w:rsid w:val="004814F0"/>
    <w:rsid w:val="00482771"/>
    <w:rsid w:val="00484222"/>
    <w:rsid w:val="00492E77"/>
    <w:rsid w:val="004A4E4F"/>
    <w:rsid w:val="004A7FE6"/>
    <w:rsid w:val="004B3F80"/>
    <w:rsid w:val="004C25F6"/>
    <w:rsid w:val="004C4521"/>
    <w:rsid w:val="004C56B3"/>
    <w:rsid w:val="004D100D"/>
    <w:rsid w:val="004D373D"/>
    <w:rsid w:val="004D3F5D"/>
    <w:rsid w:val="004D67C5"/>
    <w:rsid w:val="004D7E65"/>
    <w:rsid w:val="004E00D0"/>
    <w:rsid w:val="004E07DC"/>
    <w:rsid w:val="004E0851"/>
    <w:rsid w:val="004E5238"/>
    <w:rsid w:val="004E591F"/>
    <w:rsid w:val="00505141"/>
    <w:rsid w:val="005066A2"/>
    <w:rsid w:val="005075B3"/>
    <w:rsid w:val="00511EF3"/>
    <w:rsid w:val="00512AE9"/>
    <w:rsid w:val="00513FBF"/>
    <w:rsid w:val="00514904"/>
    <w:rsid w:val="0051750C"/>
    <w:rsid w:val="0051777C"/>
    <w:rsid w:val="00522ED0"/>
    <w:rsid w:val="00523C58"/>
    <w:rsid w:val="0052557E"/>
    <w:rsid w:val="00526178"/>
    <w:rsid w:val="00526CC9"/>
    <w:rsid w:val="005310F8"/>
    <w:rsid w:val="00535BAD"/>
    <w:rsid w:val="00536B3B"/>
    <w:rsid w:val="00542FDD"/>
    <w:rsid w:val="005435C8"/>
    <w:rsid w:val="00543706"/>
    <w:rsid w:val="00543E56"/>
    <w:rsid w:val="005470EC"/>
    <w:rsid w:val="00551F43"/>
    <w:rsid w:val="00553380"/>
    <w:rsid w:val="00556328"/>
    <w:rsid w:val="00563399"/>
    <w:rsid w:val="00571282"/>
    <w:rsid w:val="00573C3B"/>
    <w:rsid w:val="005744C0"/>
    <w:rsid w:val="005803D5"/>
    <w:rsid w:val="0058722C"/>
    <w:rsid w:val="0058799A"/>
    <w:rsid w:val="00587F62"/>
    <w:rsid w:val="00593B80"/>
    <w:rsid w:val="005A06D3"/>
    <w:rsid w:val="005A0AF8"/>
    <w:rsid w:val="005A2B2E"/>
    <w:rsid w:val="005B00FB"/>
    <w:rsid w:val="005B1C90"/>
    <w:rsid w:val="005B23EF"/>
    <w:rsid w:val="005B5D93"/>
    <w:rsid w:val="005C0249"/>
    <w:rsid w:val="005C28BC"/>
    <w:rsid w:val="005C4EA4"/>
    <w:rsid w:val="005D0287"/>
    <w:rsid w:val="005D39F3"/>
    <w:rsid w:val="005D7E62"/>
    <w:rsid w:val="005E13DF"/>
    <w:rsid w:val="005E2983"/>
    <w:rsid w:val="005F2279"/>
    <w:rsid w:val="005F2A5B"/>
    <w:rsid w:val="005F31BE"/>
    <w:rsid w:val="005F3BAB"/>
    <w:rsid w:val="005F700B"/>
    <w:rsid w:val="006015A3"/>
    <w:rsid w:val="006020C2"/>
    <w:rsid w:val="00602EB0"/>
    <w:rsid w:val="00603C6D"/>
    <w:rsid w:val="00605C97"/>
    <w:rsid w:val="00613A11"/>
    <w:rsid w:val="00613B72"/>
    <w:rsid w:val="0062291A"/>
    <w:rsid w:val="00623B31"/>
    <w:rsid w:val="0062575D"/>
    <w:rsid w:val="0063164E"/>
    <w:rsid w:val="006329D6"/>
    <w:rsid w:val="0063565A"/>
    <w:rsid w:val="00640EE7"/>
    <w:rsid w:val="00643C4C"/>
    <w:rsid w:val="006502E3"/>
    <w:rsid w:val="00655393"/>
    <w:rsid w:val="00656144"/>
    <w:rsid w:val="00657297"/>
    <w:rsid w:val="0066126A"/>
    <w:rsid w:val="00661425"/>
    <w:rsid w:val="00661FA5"/>
    <w:rsid w:val="0066619C"/>
    <w:rsid w:val="00670851"/>
    <w:rsid w:val="00670EFF"/>
    <w:rsid w:val="006713C0"/>
    <w:rsid w:val="00671558"/>
    <w:rsid w:val="00675211"/>
    <w:rsid w:val="00676D51"/>
    <w:rsid w:val="006836A7"/>
    <w:rsid w:val="00683A24"/>
    <w:rsid w:val="00691D96"/>
    <w:rsid w:val="00693B96"/>
    <w:rsid w:val="0069776E"/>
    <w:rsid w:val="006A31F6"/>
    <w:rsid w:val="006A507F"/>
    <w:rsid w:val="006A53AA"/>
    <w:rsid w:val="006A7193"/>
    <w:rsid w:val="006B08B4"/>
    <w:rsid w:val="006B12C5"/>
    <w:rsid w:val="006B2978"/>
    <w:rsid w:val="006B7988"/>
    <w:rsid w:val="006C6C6F"/>
    <w:rsid w:val="006C7215"/>
    <w:rsid w:val="006C74FB"/>
    <w:rsid w:val="006E0C79"/>
    <w:rsid w:val="006E3384"/>
    <w:rsid w:val="006E4342"/>
    <w:rsid w:val="006E480B"/>
    <w:rsid w:val="006F1A82"/>
    <w:rsid w:val="006F2049"/>
    <w:rsid w:val="006F33D4"/>
    <w:rsid w:val="006F7FE6"/>
    <w:rsid w:val="007067F4"/>
    <w:rsid w:val="007103A2"/>
    <w:rsid w:val="00710531"/>
    <w:rsid w:val="00710D3B"/>
    <w:rsid w:val="007169B6"/>
    <w:rsid w:val="00717C27"/>
    <w:rsid w:val="00720170"/>
    <w:rsid w:val="0072310E"/>
    <w:rsid w:val="00726317"/>
    <w:rsid w:val="0072768C"/>
    <w:rsid w:val="00727AB7"/>
    <w:rsid w:val="00745E22"/>
    <w:rsid w:val="00747163"/>
    <w:rsid w:val="0075074A"/>
    <w:rsid w:val="007522D9"/>
    <w:rsid w:val="00752330"/>
    <w:rsid w:val="00753469"/>
    <w:rsid w:val="0075405B"/>
    <w:rsid w:val="0075696F"/>
    <w:rsid w:val="00762349"/>
    <w:rsid w:val="00767D6E"/>
    <w:rsid w:val="00783C9A"/>
    <w:rsid w:val="0079059B"/>
    <w:rsid w:val="007944A4"/>
    <w:rsid w:val="00795395"/>
    <w:rsid w:val="00797B31"/>
    <w:rsid w:val="007A311A"/>
    <w:rsid w:val="007A3271"/>
    <w:rsid w:val="007A35F3"/>
    <w:rsid w:val="007A36DD"/>
    <w:rsid w:val="007A69DC"/>
    <w:rsid w:val="007B50E1"/>
    <w:rsid w:val="007B51E3"/>
    <w:rsid w:val="007C3C2B"/>
    <w:rsid w:val="007C5E36"/>
    <w:rsid w:val="007C6326"/>
    <w:rsid w:val="007C731E"/>
    <w:rsid w:val="007D02A6"/>
    <w:rsid w:val="007D07B2"/>
    <w:rsid w:val="007D3176"/>
    <w:rsid w:val="007D5551"/>
    <w:rsid w:val="007E10C4"/>
    <w:rsid w:val="007E182F"/>
    <w:rsid w:val="007E5E9A"/>
    <w:rsid w:val="007E6A0D"/>
    <w:rsid w:val="007E739E"/>
    <w:rsid w:val="007F1E8F"/>
    <w:rsid w:val="007F50E5"/>
    <w:rsid w:val="00807D3E"/>
    <w:rsid w:val="00813968"/>
    <w:rsid w:val="00814F58"/>
    <w:rsid w:val="00817438"/>
    <w:rsid w:val="00820F9B"/>
    <w:rsid w:val="00822C11"/>
    <w:rsid w:val="00825F84"/>
    <w:rsid w:val="00826583"/>
    <w:rsid w:val="0082670B"/>
    <w:rsid w:val="00826C7D"/>
    <w:rsid w:val="00826E1D"/>
    <w:rsid w:val="00830339"/>
    <w:rsid w:val="00832C22"/>
    <w:rsid w:val="008332DD"/>
    <w:rsid w:val="0084320B"/>
    <w:rsid w:val="008432FC"/>
    <w:rsid w:val="008446FE"/>
    <w:rsid w:val="00853BC6"/>
    <w:rsid w:val="00856509"/>
    <w:rsid w:val="00857739"/>
    <w:rsid w:val="00860D72"/>
    <w:rsid w:val="00860E25"/>
    <w:rsid w:val="00862B92"/>
    <w:rsid w:val="008637BD"/>
    <w:rsid w:val="00864323"/>
    <w:rsid w:val="008651A8"/>
    <w:rsid w:val="008735A4"/>
    <w:rsid w:val="00885634"/>
    <w:rsid w:val="00885D0C"/>
    <w:rsid w:val="00892423"/>
    <w:rsid w:val="00895A57"/>
    <w:rsid w:val="008977AF"/>
    <w:rsid w:val="00897F07"/>
    <w:rsid w:val="008A0F64"/>
    <w:rsid w:val="008A1ACA"/>
    <w:rsid w:val="008A1D70"/>
    <w:rsid w:val="008A34AA"/>
    <w:rsid w:val="008A38AB"/>
    <w:rsid w:val="008B0C8D"/>
    <w:rsid w:val="008B20AA"/>
    <w:rsid w:val="008B372B"/>
    <w:rsid w:val="008B5557"/>
    <w:rsid w:val="008C17F4"/>
    <w:rsid w:val="008C2D77"/>
    <w:rsid w:val="008C5EDF"/>
    <w:rsid w:val="008C6252"/>
    <w:rsid w:val="008C6E50"/>
    <w:rsid w:val="008D01ED"/>
    <w:rsid w:val="008D120C"/>
    <w:rsid w:val="008D3976"/>
    <w:rsid w:val="008D7C5F"/>
    <w:rsid w:val="008E27B5"/>
    <w:rsid w:val="008E63CB"/>
    <w:rsid w:val="008F09EE"/>
    <w:rsid w:val="008F4166"/>
    <w:rsid w:val="008F6889"/>
    <w:rsid w:val="00902047"/>
    <w:rsid w:val="00903097"/>
    <w:rsid w:val="00905111"/>
    <w:rsid w:val="00906149"/>
    <w:rsid w:val="00910940"/>
    <w:rsid w:val="009125B5"/>
    <w:rsid w:val="00914DE2"/>
    <w:rsid w:val="009158BC"/>
    <w:rsid w:val="00916619"/>
    <w:rsid w:val="00922348"/>
    <w:rsid w:val="00922C21"/>
    <w:rsid w:val="00923AE7"/>
    <w:rsid w:val="0092546B"/>
    <w:rsid w:val="00934BE6"/>
    <w:rsid w:val="00943140"/>
    <w:rsid w:val="00947DB1"/>
    <w:rsid w:val="009539FD"/>
    <w:rsid w:val="00954216"/>
    <w:rsid w:val="0095562B"/>
    <w:rsid w:val="00966E7C"/>
    <w:rsid w:val="00971D26"/>
    <w:rsid w:val="00972970"/>
    <w:rsid w:val="00973503"/>
    <w:rsid w:val="009740B9"/>
    <w:rsid w:val="0097445D"/>
    <w:rsid w:val="00974C1B"/>
    <w:rsid w:val="009826D9"/>
    <w:rsid w:val="00985C16"/>
    <w:rsid w:val="00987648"/>
    <w:rsid w:val="00990455"/>
    <w:rsid w:val="00995E47"/>
    <w:rsid w:val="00995F40"/>
    <w:rsid w:val="009A1DF2"/>
    <w:rsid w:val="009A6149"/>
    <w:rsid w:val="009B2429"/>
    <w:rsid w:val="009B2569"/>
    <w:rsid w:val="009B3130"/>
    <w:rsid w:val="009B43D6"/>
    <w:rsid w:val="009C1700"/>
    <w:rsid w:val="009C5B58"/>
    <w:rsid w:val="009D1323"/>
    <w:rsid w:val="009D24A5"/>
    <w:rsid w:val="009D3B55"/>
    <w:rsid w:val="009D42E8"/>
    <w:rsid w:val="009E2A57"/>
    <w:rsid w:val="009E72C7"/>
    <w:rsid w:val="009F0111"/>
    <w:rsid w:val="009F0274"/>
    <w:rsid w:val="009F44C0"/>
    <w:rsid w:val="009F48FB"/>
    <w:rsid w:val="009F4C24"/>
    <w:rsid w:val="009F502C"/>
    <w:rsid w:val="00A005E9"/>
    <w:rsid w:val="00A0089E"/>
    <w:rsid w:val="00A0243A"/>
    <w:rsid w:val="00A043A6"/>
    <w:rsid w:val="00A05AB1"/>
    <w:rsid w:val="00A05DEF"/>
    <w:rsid w:val="00A06C55"/>
    <w:rsid w:val="00A0768E"/>
    <w:rsid w:val="00A10015"/>
    <w:rsid w:val="00A11474"/>
    <w:rsid w:val="00A127F7"/>
    <w:rsid w:val="00A15634"/>
    <w:rsid w:val="00A158E0"/>
    <w:rsid w:val="00A16B41"/>
    <w:rsid w:val="00A17B41"/>
    <w:rsid w:val="00A208D0"/>
    <w:rsid w:val="00A2436D"/>
    <w:rsid w:val="00A24957"/>
    <w:rsid w:val="00A35FDD"/>
    <w:rsid w:val="00A37CE3"/>
    <w:rsid w:val="00A42300"/>
    <w:rsid w:val="00A43507"/>
    <w:rsid w:val="00A44084"/>
    <w:rsid w:val="00A52995"/>
    <w:rsid w:val="00A52B1D"/>
    <w:rsid w:val="00A52E42"/>
    <w:rsid w:val="00A5424F"/>
    <w:rsid w:val="00A55317"/>
    <w:rsid w:val="00A5681C"/>
    <w:rsid w:val="00A61240"/>
    <w:rsid w:val="00A61A84"/>
    <w:rsid w:val="00A648F9"/>
    <w:rsid w:val="00A656AC"/>
    <w:rsid w:val="00A662DE"/>
    <w:rsid w:val="00A67A86"/>
    <w:rsid w:val="00A67D34"/>
    <w:rsid w:val="00A714BB"/>
    <w:rsid w:val="00A71B18"/>
    <w:rsid w:val="00A722FD"/>
    <w:rsid w:val="00A73F6B"/>
    <w:rsid w:val="00A759A9"/>
    <w:rsid w:val="00A75A46"/>
    <w:rsid w:val="00A82A89"/>
    <w:rsid w:val="00A84CEC"/>
    <w:rsid w:val="00A85028"/>
    <w:rsid w:val="00A86049"/>
    <w:rsid w:val="00A94505"/>
    <w:rsid w:val="00A946B4"/>
    <w:rsid w:val="00A94A4A"/>
    <w:rsid w:val="00A95141"/>
    <w:rsid w:val="00A9533A"/>
    <w:rsid w:val="00A95966"/>
    <w:rsid w:val="00A9596F"/>
    <w:rsid w:val="00AA2CBB"/>
    <w:rsid w:val="00AB039C"/>
    <w:rsid w:val="00AB1830"/>
    <w:rsid w:val="00AB1A34"/>
    <w:rsid w:val="00AB3495"/>
    <w:rsid w:val="00AC042A"/>
    <w:rsid w:val="00AC1F06"/>
    <w:rsid w:val="00AC35DA"/>
    <w:rsid w:val="00AC6123"/>
    <w:rsid w:val="00AD261F"/>
    <w:rsid w:val="00AD2E19"/>
    <w:rsid w:val="00AD3B9A"/>
    <w:rsid w:val="00AE11C4"/>
    <w:rsid w:val="00AF2D7A"/>
    <w:rsid w:val="00AF34E9"/>
    <w:rsid w:val="00AF42C9"/>
    <w:rsid w:val="00AF439D"/>
    <w:rsid w:val="00AF501D"/>
    <w:rsid w:val="00B14F53"/>
    <w:rsid w:val="00B169C6"/>
    <w:rsid w:val="00B17F4D"/>
    <w:rsid w:val="00B241CA"/>
    <w:rsid w:val="00B3636D"/>
    <w:rsid w:val="00B370FC"/>
    <w:rsid w:val="00B377EE"/>
    <w:rsid w:val="00B41700"/>
    <w:rsid w:val="00B42618"/>
    <w:rsid w:val="00B45BDC"/>
    <w:rsid w:val="00B503A1"/>
    <w:rsid w:val="00B546A7"/>
    <w:rsid w:val="00B57B63"/>
    <w:rsid w:val="00B63DCD"/>
    <w:rsid w:val="00B734A4"/>
    <w:rsid w:val="00B7373D"/>
    <w:rsid w:val="00B73CB5"/>
    <w:rsid w:val="00B7481B"/>
    <w:rsid w:val="00B7575B"/>
    <w:rsid w:val="00B76583"/>
    <w:rsid w:val="00B8057F"/>
    <w:rsid w:val="00B818D8"/>
    <w:rsid w:val="00B82085"/>
    <w:rsid w:val="00B8531E"/>
    <w:rsid w:val="00B85CE5"/>
    <w:rsid w:val="00B90BA8"/>
    <w:rsid w:val="00B95352"/>
    <w:rsid w:val="00BA05C3"/>
    <w:rsid w:val="00BA3190"/>
    <w:rsid w:val="00BA5D76"/>
    <w:rsid w:val="00BA7AE8"/>
    <w:rsid w:val="00BB307F"/>
    <w:rsid w:val="00BB5688"/>
    <w:rsid w:val="00BC30A4"/>
    <w:rsid w:val="00BC4180"/>
    <w:rsid w:val="00BD3D6F"/>
    <w:rsid w:val="00BD4753"/>
    <w:rsid w:val="00BD56EA"/>
    <w:rsid w:val="00BD571A"/>
    <w:rsid w:val="00BD63F8"/>
    <w:rsid w:val="00BD6CAF"/>
    <w:rsid w:val="00BE153E"/>
    <w:rsid w:val="00BE15F2"/>
    <w:rsid w:val="00BE1B2D"/>
    <w:rsid w:val="00BE505A"/>
    <w:rsid w:val="00BE693F"/>
    <w:rsid w:val="00BF07F7"/>
    <w:rsid w:val="00BF1AF8"/>
    <w:rsid w:val="00BF236B"/>
    <w:rsid w:val="00BF3950"/>
    <w:rsid w:val="00BF446B"/>
    <w:rsid w:val="00BF4FCC"/>
    <w:rsid w:val="00BF685B"/>
    <w:rsid w:val="00BF79CD"/>
    <w:rsid w:val="00C01643"/>
    <w:rsid w:val="00C050B2"/>
    <w:rsid w:val="00C12930"/>
    <w:rsid w:val="00C133B5"/>
    <w:rsid w:val="00C144C8"/>
    <w:rsid w:val="00C15A9A"/>
    <w:rsid w:val="00C16CFB"/>
    <w:rsid w:val="00C20433"/>
    <w:rsid w:val="00C2680C"/>
    <w:rsid w:val="00C34369"/>
    <w:rsid w:val="00C37220"/>
    <w:rsid w:val="00C37AB3"/>
    <w:rsid w:val="00C41CA4"/>
    <w:rsid w:val="00C45FC0"/>
    <w:rsid w:val="00C47CE4"/>
    <w:rsid w:val="00C54FB9"/>
    <w:rsid w:val="00C55173"/>
    <w:rsid w:val="00C602D7"/>
    <w:rsid w:val="00C61305"/>
    <w:rsid w:val="00C62404"/>
    <w:rsid w:val="00C64881"/>
    <w:rsid w:val="00C656AE"/>
    <w:rsid w:val="00C66780"/>
    <w:rsid w:val="00C674EC"/>
    <w:rsid w:val="00C7136A"/>
    <w:rsid w:val="00C71602"/>
    <w:rsid w:val="00C71A7C"/>
    <w:rsid w:val="00C72130"/>
    <w:rsid w:val="00C73598"/>
    <w:rsid w:val="00C74078"/>
    <w:rsid w:val="00C76273"/>
    <w:rsid w:val="00C7744E"/>
    <w:rsid w:val="00C85AFF"/>
    <w:rsid w:val="00C86DB6"/>
    <w:rsid w:val="00C9025C"/>
    <w:rsid w:val="00C91D5B"/>
    <w:rsid w:val="00C91E59"/>
    <w:rsid w:val="00CA1407"/>
    <w:rsid w:val="00CA6DDE"/>
    <w:rsid w:val="00CB630B"/>
    <w:rsid w:val="00CB6878"/>
    <w:rsid w:val="00CC24D0"/>
    <w:rsid w:val="00CC26C6"/>
    <w:rsid w:val="00CC41EB"/>
    <w:rsid w:val="00CC706E"/>
    <w:rsid w:val="00CD11E2"/>
    <w:rsid w:val="00CD2999"/>
    <w:rsid w:val="00CD3014"/>
    <w:rsid w:val="00CD3056"/>
    <w:rsid w:val="00CD7FBD"/>
    <w:rsid w:val="00CE0495"/>
    <w:rsid w:val="00CE14FE"/>
    <w:rsid w:val="00CE4C78"/>
    <w:rsid w:val="00CF5055"/>
    <w:rsid w:val="00CF715C"/>
    <w:rsid w:val="00CF7322"/>
    <w:rsid w:val="00D00F45"/>
    <w:rsid w:val="00D00FC4"/>
    <w:rsid w:val="00D04A8E"/>
    <w:rsid w:val="00D0799D"/>
    <w:rsid w:val="00D126AA"/>
    <w:rsid w:val="00D13D16"/>
    <w:rsid w:val="00D15819"/>
    <w:rsid w:val="00D26305"/>
    <w:rsid w:val="00D312D4"/>
    <w:rsid w:val="00D31AD0"/>
    <w:rsid w:val="00D32D41"/>
    <w:rsid w:val="00D33A36"/>
    <w:rsid w:val="00D4227C"/>
    <w:rsid w:val="00D43E2F"/>
    <w:rsid w:val="00D535DB"/>
    <w:rsid w:val="00D55853"/>
    <w:rsid w:val="00D5614E"/>
    <w:rsid w:val="00D570F9"/>
    <w:rsid w:val="00D674E0"/>
    <w:rsid w:val="00D67D51"/>
    <w:rsid w:val="00D70B42"/>
    <w:rsid w:val="00D7792C"/>
    <w:rsid w:val="00D830C4"/>
    <w:rsid w:val="00D836CC"/>
    <w:rsid w:val="00D837A8"/>
    <w:rsid w:val="00D9006D"/>
    <w:rsid w:val="00D917AA"/>
    <w:rsid w:val="00D91A6A"/>
    <w:rsid w:val="00D93383"/>
    <w:rsid w:val="00D9715E"/>
    <w:rsid w:val="00DA216E"/>
    <w:rsid w:val="00DB00CB"/>
    <w:rsid w:val="00DB0A66"/>
    <w:rsid w:val="00DB1E70"/>
    <w:rsid w:val="00DB3357"/>
    <w:rsid w:val="00DC0405"/>
    <w:rsid w:val="00DC091F"/>
    <w:rsid w:val="00DC1D93"/>
    <w:rsid w:val="00DC549D"/>
    <w:rsid w:val="00DC6BEE"/>
    <w:rsid w:val="00DD08C2"/>
    <w:rsid w:val="00DD1F50"/>
    <w:rsid w:val="00DD473D"/>
    <w:rsid w:val="00DD531F"/>
    <w:rsid w:val="00DE24A1"/>
    <w:rsid w:val="00DF2D82"/>
    <w:rsid w:val="00DF3B71"/>
    <w:rsid w:val="00DF4B59"/>
    <w:rsid w:val="00DF5714"/>
    <w:rsid w:val="00E027F3"/>
    <w:rsid w:val="00E02B1F"/>
    <w:rsid w:val="00E032DD"/>
    <w:rsid w:val="00E03533"/>
    <w:rsid w:val="00E0362D"/>
    <w:rsid w:val="00E10712"/>
    <w:rsid w:val="00E16383"/>
    <w:rsid w:val="00E22F5B"/>
    <w:rsid w:val="00E24026"/>
    <w:rsid w:val="00E25DAF"/>
    <w:rsid w:val="00E33043"/>
    <w:rsid w:val="00E47905"/>
    <w:rsid w:val="00E512CC"/>
    <w:rsid w:val="00E52D74"/>
    <w:rsid w:val="00E5304A"/>
    <w:rsid w:val="00E5462B"/>
    <w:rsid w:val="00E55275"/>
    <w:rsid w:val="00E60FC8"/>
    <w:rsid w:val="00E61136"/>
    <w:rsid w:val="00E651A3"/>
    <w:rsid w:val="00E651DE"/>
    <w:rsid w:val="00E702BA"/>
    <w:rsid w:val="00E70A5E"/>
    <w:rsid w:val="00E72307"/>
    <w:rsid w:val="00E743BC"/>
    <w:rsid w:val="00E74B0A"/>
    <w:rsid w:val="00E7627C"/>
    <w:rsid w:val="00E817A2"/>
    <w:rsid w:val="00E82B03"/>
    <w:rsid w:val="00E84728"/>
    <w:rsid w:val="00E8610D"/>
    <w:rsid w:val="00E861A1"/>
    <w:rsid w:val="00E9147A"/>
    <w:rsid w:val="00E9440E"/>
    <w:rsid w:val="00E94945"/>
    <w:rsid w:val="00E96583"/>
    <w:rsid w:val="00EA0219"/>
    <w:rsid w:val="00EB4482"/>
    <w:rsid w:val="00EB49A5"/>
    <w:rsid w:val="00EB5496"/>
    <w:rsid w:val="00EB5C55"/>
    <w:rsid w:val="00EB5E9B"/>
    <w:rsid w:val="00EB7CE3"/>
    <w:rsid w:val="00EC20B2"/>
    <w:rsid w:val="00EC4648"/>
    <w:rsid w:val="00EC7B59"/>
    <w:rsid w:val="00ED17DF"/>
    <w:rsid w:val="00ED2B78"/>
    <w:rsid w:val="00ED64F0"/>
    <w:rsid w:val="00ED7A5F"/>
    <w:rsid w:val="00EE435F"/>
    <w:rsid w:val="00EE4861"/>
    <w:rsid w:val="00EF1FB2"/>
    <w:rsid w:val="00EF3579"/>
    <w:rsid w:val="00EF5035"/>
    <w:rsid w:val="00F062AF"/>
    <w:rsid w:val="00F06960"/>
    <w:rsid w:val="00F077EB"/>
    <w:rsid w:val="00F104FE"/>
    <w:rsid w:val="00F12CB3"/>
    <w:rsid w:val="00F12FF6"/>
    <w:rsid w:val="00F13F90"/>
    <w:rsid w:val="00F23C2F"/>
    <w:rsid w:val="00F312EE"/>
    <w:rsid w:val="00F342D5"/>
    <w:rsid w:val="00F437F0"/>
    <w:rsid w:val="00F50D7A"/>
    <w:rsid w:val="00F51B1B"/>
    <w:rsid w:val="00F54396"/>
    <w:rsid w:val="00F65107"/>
    <w:rsid w:val="00F651A0"/>
    <w:rsid w:val="00F6592D"/>
    <w:rsid w:val="00F75BFF"/>
    <w:rsid w:val="00F760B8"/>
    <w:rsid w:val="00F837BB"/>
    <w:rsid w:val="00F83E3C"/>
    <w:rsid w:val="00F853BF"/>
    <w:rsid w:val="00F86020"/>
    <w:rsid w:val="00F919A6"/>
    <w:rsid w:val="00F97DA6"/>
    <w:rsid w:val="00FA01C6"/>
    <w:rsid w:val="00FA1735"/>
    <w:rsid w:val="00FB4B87"/>
    <w:rsid w:val="00FB7C42"/>
    <w:rsid w:val="00FC0700"/>
    <w:rsid w:val="00FC2F6E"/>
    <w:rsid w:val="00FC36DC"/>
    <w:rsid w:val="00FC4DB4"/>
    <w:rsid w:val="00FC611D"/>
    <w:rsid w:val="00FC7EAB"/>
    <w:rsid w:val="00FD02FB"/>
    <w:rsid w:val="00FD213A"/>
    <w:rsid w:val="00FD37B4"/>
    <w:rsid w:val="00FD3AB3"/>
    <w:rsid w:val="00FD5A04"/>
    <w:rsid w:val="00FE0177"/>
    <w:rsid w:val="00FE0BE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 w:cs="Arial"/>
      <w:b/>
      <w:bCs/>
      <w:sz w:val="18"/>
      <w:szCs w:val="1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1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1F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99D"/>
    <w:rPr>
      <w:vertAlign w:val="superscript"/>
    </w:rPr>
  </w:style>
  <w:style w:type="character" w:styleId="Hyperlink">
    <w:name w:val="Hyperlink"/>
    <w:basedOn w:val="DefaultParagraphFont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1F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1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F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 w:cs="Arial"/>
      <w:b/>
      <w:bCs/>
      <w:sz w:val="18"/>
      <w:szCs w:val="1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1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1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1F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99D"/>
    <w:rPr>
      <w:vertAlign w:val="superscript"/>
    </w:rPr>
  </w:style>
  <w:style w:type="character" w:styleId="Hyperlink">
    <w:name w:val="Hyperlink"/>
    <w:basedOn w:val="DefaultParagraphFont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1F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1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F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5FE9-F364-4873-9E8A-65D4FD8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oş</vt:lpstr>
    </vt:vector>
  </TitlesOfParts>
  <Company>unv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oş</dc:title>
  <dc:creator>baris.soybilgen</dc:creator>
  <cp:lastModifiedBy>merve.akgul</cp:lastModifiedBy>
  <cp:revision>2</cp:revision>
  <cp:lastPrinted>2015-03-25T10:07:00Z</cp:lastPrinted>
  <dcterms:created xsi:type="dcterms:W3CDTF">2015-03-27T08:31:00Z</dcterms:created>
  <dcterms:modified xsi:type="dcterms:W3CDTF">2015-03-27T08:31:00Z</dcterms:modified>
</cp:coreProperties>
</file>