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D3" w:rsidRPr="00C45AC0" w:rsidRDefault="00A94370" w:rsidP="001E4BF5">
      <w:pPr>
        <w:spacing w:line="360" w:lineRule="auto"/>
        <w:ind w:right="-319"/>
        <w:jc w:val="center"/>
        <w:outlineLvl w:val="0"/>
        <w:rPr>
          <w:rFonts w:ascii="Arial" w:hAnsi="Arial" w:cs="Arial"/>
          <w:b/>
          <w:bCs/>
          <w:sz w:val="32"/>
          <w:szCs w:val="32"/>
        </w:rPr>
      </w:pPr>
      <w:bookmarkStart w:id="0" w:name="_GoBack"/>
      <w:bookmarkEnd w:id="0"/>
      <w:r>
        <w:rPr>
          <w:noProof/>
        </w:rPr>
        <mc:AlternateContent>
          <mc:Choice Requires="wps">
            <w:drawing>
              <wp:anchor distT="0" distB="0" distL="114935" distR="114935" simplePos="0" relativeHeight="251664384" behindDoc="0" locked="0" layoutInCell="1" allowOverlap="1">
                <wp:simplePos x="0" y="0"/>
                <wp:positionH relativeFrom="column">
                  <wp:posOffset>5159375</wp:posOffset>
                </wp:positionH>
                <wp:positionV relativeFrom="paragraph">
                  <wp:posOffset>189865</wp:posOffset>
                </wp:positionV>
                <wp:extent cx="2187575" cy="34861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E90" w:rsidRPr="00DB7229" w:rsidRDefault="00D6701C" w:rsidP="00E57928">
                            <w:pPr>
                              <w:pStyle w:val="Heading3"/>
                              <w:rPr>
                                <w:color w:val="FFFFFF"/>
                                <w:sz w:val="22"/>
                                <w:szCs w:val="22"/>
                              </w:rPr>
                            </w:pPr>
                            <w:r>
                              <w:rPr>
                                <w:color w:val="FFFFFF"/>
                                <w:sz w:val="22"/>
                                <w:szCs w:val="22"/>
                              </w:rPr>
                              <w:t xml:space="preserve">   19</w:t>
                            </w:r>
                            <w:r w:rsidR="00C76E90">
                              <w:rPr>
                                <w:color w:val="FFFFFF"/>
                                <w:sz w:val="22"/>
                                <w:szCs w:val="22"/>
                              </w:rPr>
                              <w:t xml:space="preserve"> </w:t>
                            </w:r>
                            <w:r>
                              <w:rPr>
                                <w:color w:val="FFFFFF"/>
                                <w:sz w:val="22"/>
                                <w:szCs w:val="22"/>
                              </w:rPr>
                              <w:t>Mart</w:t>
                            </w:r>
                            <w:r w:rsidR="00C76E90">
                              <w:rPr>
                                <w:color w:val="FFFFFF"/>
                                <w:sz w:val="22"/>
                                <w:szCs w:val="22"/>
                              </w:rPr>
                              <w:t xml:space="preserve"> 2015</w:t>
                            </w:r>
                          </w:p>
                          <w:p w:rsidR="00C76E90" w:rsidRDefault="00C76E90" w:rsidP="00E579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6.25pt;margin-top:14.95pt;width:172.25pt;height:27.4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" stroked="f">
                <v:fill opacity="0"/>
                <v:textbox inset="0,0,0,0">
                  <w:txbxContent>
                    <w:p w:rsidR="00C76E90" w:rsidRPr="00DB7229" w:rsidRDefault="00D6701C" w:rsidP="00E57928">
                      <w:pPr>
                        <w:pStyle w:val="Heading3"/>
                        <w:rPr>
                          <w:color w:val="FFFFFF"/>
                          <w:sz w:val="22"/>
                          <w:szCs w:val="22"/>
                        </w:rPr>
                      </w:pPr>
                      <w:r>
                        <w:rPr>
                          <w:color w:val="FFFFFF"/>
                          <w:sz w:val="22"/>
                          <w:szCs w:val="22"/>
                        </w:rPr>
                        <w:t xml:space="preserve">   19</w:t>
                      </w:r>
                      <w:r w:rsidR="00C76E90">
                        <w:rPr>
                          <w:color w:val="FFFFFF"/>
                          <w:sz w:val="22"/>
                          <w:szCs w:val="22"/>
                        </w:rPr>
                        <w:t xml:space="preserve"> </w:t>
                      </w:r>
                      <w:r>
                        <w:rPr>
                          <w:color w:val="FFFFFF"/>
                          <w:sz w:val="22"/>
                          <w:szCs w:val="22"/>
                        </w:rPr>
                        <w:t>Mart</w:t>
                      </w:r>
                      <w:r w:rsidR="00C76E90">
                        <w:rPr>
                          <w:color w:val="FFFFFF"/>
                          <w:sz w:val="22"/>
                          <w:szCs w:val="22"/>
                        </w:rPr>
                        <w:t xml:space="preserve"> 2015</w:t>
                      </w:r>
                    </w:p>
                    <w:p w:rsidR="00C76E90" w:rsidRDefault="00C76E90" w:rsidP="00E57928"/>
                  </w:txbxContent>
                </v:textbox>
              </v:shape>
            </w:pict>
          </mc:Fallback>
        </mc:AlternateContent>
      </w:r>
      <w:r>
        <w:rPr>
          <w:noProof/>
        </w:rPr>
        <mc:AlternateContent>
          <mc:Choice Requires="wps">
            <w:drawing>
              <wp:anchor distT="0" distB="0" distL="114935" distR="114935" simplePos="0" relativeHeight="251663360" behindDoc="0" locked="0" layoutInCell="1" allowOverlap="1">
                <wp:simplePos x="0" y="0"/>
                <wp:positionH relativeFrom="column">
                  <wp:posOffset>1668780</wp:posOffset>
                </wp:positionH>
                <wp:positionV relativeFrom="paragraph">
                  <wp:posOffset>-490855</wp:posOffset>
                </wp:positionV>
                <wp:extent cx="4396740" cy="5689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E90" w:rsidRPr="0026114C" w:rsidRDefault="00C76E90" w:rsidP="00347B6F">
                            <w:pPr>
                              <w:pStyle w:val="Heading1"/>
                              <w:jc w:val="left"/>
                              <w:rPr>
                                <w:rFonts w:ascii="Times New Roman" w:hAnsi="Times New Roman"/>
                                <w:sz w:val="40"/>
                                <w:szCs w:val="40"/>
                              </w:rPr>
                            </w:pPr>
                            <w:r>
                              <w:rPr>
                                <w:rFonts w:ascii="Times New Roman" w:hAnsi="Times New Roman"/>
                                <w:sz w:val="40"/>
                                <w:szCs w:val="40"/>
                              </w:rPr>
                              <w:t xml:space="preserve">Ekonomik Görünüm ve Tahminler: </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00D6701C">
                              <w:rPr>
                                <w:rFonts w:ascii="Times New Roman" w:hAnsi="Times New Roman"/>
                                <w:sz w:val="40"/>
                                <w:szCs w:val="40"/>
                              </w:rPr>
                              <w:t>Mart</w:t>
                            </w:r>
                            <w:r>
                              <w:rPr>
                                <w:rFonts w:ascii="Times New Roman" w:hAnsi="Times New Roman"/>
                                <w:sz w:val="40"/>
                                <w:szCs w:val="40"/>
                              </w:rPr>
                              <w:t xml:space="preserve"> 2015</w:t>
                            </w:r>
                          </w:p>
                          <w:p w:rsidR="00C76E90" w:rsidRPr="00A75A46" w:rsidRDefault="00C76E90" w:rsidP="00E57928">
                            <w:pPr>
                              <w:pStyle w:val="Heading2"/>
                              <w:rPr>
                                <w:b w:val="0"/>
                                <w:bCs w:val="0"/>
                                <w:i w:val="0"/>
                                <w:iCs w:val="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1.4pt;margin-top:-38.65pt;width:346.2pt;height:44.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" stroked="f">
                <v:fill opacity="0"/>
                <v:textbox inset="0,0,0,0">
                  <w:txbxContent>
                    <w:p w:rsidR="00C76E90" w:rsidRPr="0026114C" w:rsidRDefault="00C76E90" w:rsidP="00347B6F">
                      <w:pPr>
                        <w:pStyle w:val="Heading1"/>
                        <w:jc w:val="left"/>
                        <w:rPr>
                          <w:rFonts w:ascii="Times New Roman" w:hAnsi="Times New Roman"/>
                          <w:sz w:val="40"/>
                          <w:szCs w:val="40"/>
                        </w:rPr>
                      </w:pPr>
                      <w:r>
                        <w:rPr>
                          <w:rFonts w:ascii="Times New Roman" w:hAnsi="Times New Roman"/>
                          <w:sz w:val="40"/>
                          <w:szCs w:val="40"/>
                        </w:rPr>
                        <w:t xml:space="preserve">Ekonomik Görünüm ve Tahminler: </w:t>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Pr>
                          <w:rFonts w:ascii="Times New Roman" w:hAnsi="Times New Roman"/>
                          <w:sz w:val="40"/>
                          <w:szCs w:val="40"/>
                        </w:rPr>
                        <w:tab/>
                      </w:r>
                      <w:r w:rsidR="00D6701C">
                        <w:rPr>
                          <w:rFonts w:ascii="Times New Roman" w:hAnsi="Times New Roman"/>
                          <w:sz w:val="40"/>
                          <w:szCs w:val="40"/>
                        </w:rPr>
                        <w:t>Mart</w:t>
                      </w:r>
                      <w:r>
                        <w:rPr>
                          <w:rFonts w:ascii="Times New Roman" w:hAnsi="Times New Roman"/>
                          <w:sz w:val="40"/>
                          <w:szCs w:val="40"/>
                        </w:rPr>
                        <w:t xml:space="preserve"> 2015</w:t>
                      </w:r>
                    </w:p>
                    <w:p w:rsidR="00C76E90" w:rsidRPr="00A75A46" w:rsidRDefault="00C76E90" w:rsidP="00E57928">
                      <w:pPr>
                        <w:pStyle w:val="Heading2"/>
                        <w:rPr>
                          <w:b w:val="0"/>
                          <w:bCs w:val="0"/>
                          <w:i w:val="0"/>
                          <w:iCs w:val="0"/>
                          <w:lang w:val="nl-NL"/>
                        </w:rPr>
                      </w:pPr>
                    </w:p>
                  </w:txbxContent>
                </v:textbox>
              </v:shape>
            </w:pict>
          </mc:Fallback>
        </mc:AlternateContent>
      </w:r>
      <w:r w:rsidR="00E57928" w:rsidRPr="00C45AC0">
        <w:rPr>
          <w:rFonts w:ascii="Arial" w:hAnsi="Arial" w:cs="Arial"/>
          <w:b/>
          <w:bCs/>
          <w:noProof/>
          <w:sz w:val="32"/>
          <w:szCs w:val="32"/>
        </w:rPr>
        <w:drawing>
          <wp:anchor distT="0" distB="0" distL="114300" distR="114300" simplePos="0" relativeHeight="251658752" behindDoc="1" locked="0" layoutInCell="1" allowOverlap="1">
            <wp:simplePos x="0" y="0"/>
            <wp:positionH relativeFrom="column">
              <wp:posOffset>-571500</wp:posOffset>
            </wp:positionH>
            <wp:positionV relativeFrom="paragraph">
              <wp:posOffset>-685800</wp:posOffset>
            </wp:positionV>
            <wp:extent cx="6858000" cy="1261745"/>
            <wp:effectExtent l="19050" t="0" r="0" b="0"/>
            <wp:wrapNone/>
            <wp:docPr id="8" name="Picture 1" descr="Description: :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TUR).jpg"/>
                    <pic:cNvPicPr>
                      <a:picLocks noChangeAspect="1" noChangeArrowheads="1"/>
                    </pic:cNvPicPr>
                  </pic:nvPicPr>
                  <pic:blipFill>
                    <a:blip r:embed="rId9"/>
                    <a:srcRect/>
                    <a:stretch>
                      <a:fillRect/>
                    </a:stretch>
                  </pic:blipFill>
                  <pic:spPr bwMode="auto">
                    <a:xfrm>
                      <a:off x="0" y="0"/>
                      <a:ext cx="6858000" cy="1261745"/>
                    </a:xfrm>
                    <a:prstGeom prst="rect">
                      <a:avLst/>
                    </a:prstGeom>
                    <a:noFill/>
                    <a:ln w="9525">
                      <a:noFill/>
                      <a:miter lim="800000"/>
                      <a:headEnd/>
                      <a:tailEnd/>
                    </a:ln>
                  </pic:spPr>
                </pic:pic>
              </a:graphicData>
            </a:graphic>
          </wp:anchor>
        </w:drawing>
      </w:r>
    </w:p>
    <w:p w:rsidR="00054BD3" w:rsidRPr="00C45AC0" w:rsidRDefault="00054BD3" w:rsidP="001E4BF5">
      <w:pPr>
        <w:spacing w:line="360" w:lineRule="auto"/>
        <w:ind w:right="-319"/>
        <w:jc w:val="center"/>
        <w:outlineLvl w:val="0"/>
        <w:rPr>
          <w:rFonts w:ascii="Arial" w:hAnsi="Arial" w:cs="Arial"/>
          <w:b/>
          <w:bCs/>
          <w:sz w:val="32"/>
          <w:szCs w:val="32"/>
        </w:rPr>
      </w:pPr>
    </w:p>
    <w:p w:rsidR="00EB408D" w:rsidRPr="00C45AC0" w:rsidRDefault="00EB408D" w:rsidP="00EB408D">
      <w:pPr>
        <w:ind w:right="-317"/>
        <w:jc w:val="center"/>
        <w:outlineLvl w:val="0"/>
        <w:rPr>
          <w:rFonts w:ascii="Arial" w:hAnsi="Arial" w:cs="Arial"/>
          <w:b/>
          <w:bCs/>
          <w:caps/>
          <w:sz w:val="28"/>
          <w:szCs w:val="28"/>
        </w:rPr>
      </w:pPr>
      <w:r>
        <w:rPr>
          <w:rFonts w:ascii="Arial" w:hAnsi="Arial" w:cs="Arial"/>
          <w:b/>
          <w:bCs/>
          <w:caps/>
          <w:sz w:val="28"/>
          <w:szCs w:val="28"/>
        </w:rPr>
        <w:t>Geçen yıla kıyasla İlk çeyrekte büyüme yok</w:t>
      </w:r>
    </w:p>
    <w:p w:rsidR="00EB408D" w:rsidRPr="00C45AC0" w:rsidRDefault="00EB408D" w:rsidP="00EB408D">
      <w:pPr>
        <w:ind w:right="-317"/>
        <w:jc w:val="center"/>
        <w:outlineLvl w:val="0"/>
        <w:rPr>
          <w:rFonts w:ascii="Arial" w:hAnsi="Arial" w:cs="Arial"/>
          <w:b/>
          <w:bCs/>
          <w:caps/>
          <w:sz w:val="28"/>
          <w:szCs w:val="28"/>
        </w:rPr>
      </w:pPr>
    </w:p>
    <w:p w:rsidR="00EB408D" w:rsidRDefault="00EB408D" w:rsidP="00EB408D">
      <w:pPr>
        <w:ind w:right="-317"/>
        <w:jc w:val="center"/>
        <w:outlineLvl w:val="0"/>
        <w:rPr>
          <w:rFonts w:ascii="Arial" w:hAnsi="Arial" w:cs="Arial"/>
          <w:b/>
          <w:bCs/>
          <w:sz w:val="21"/>
          <w:szCs w:val="21"/>
          <w:vertAlign w:val="superscript"/>
        </w:rPr>
      </w:pPr>
      <w:r w:rsidRPr="00C45AC0">
        <w:rPr>
          <w:rFonts w:ascii="Arial" w:hAnsi="Arial" w:cs="Arial"/>
          <w:b/>
          <w:bCs/>
          <w:sz w:val="21"/>
          <w:szCs w:val="21"/>
        </w:rPr>
        <w:t>Zümrüt İmamoğlu* ve Barış Soybilgen</w:t>
      </w:r>
      <w:r w:rsidRPr="00C45AC0">
        <w:rPr>
          <w:rFonts w:ascii="Arial" w:hAnsi="Arial" w:cs="Arial"/>
          <w:b/>
          <w:bCs/>
          <w:sz w:val="21"/>
          <w:szCs w:val="21"/>
          <w:vertAlign w:val="superscript"/>
        </w:rPr>
        <w:t>**</w:t>
      </w:r>
    </w:p>
    <w:p w:rsidR="00EB408D" w:rsidRDefault="00EB408D" w:rsidP="00EB408D">
      <w:pPr>
        <w:ind w:right="-317"/>
        <w:jc w:val="center"/>
        <w:outlineLvl w:val="0"/>
        <w:rPr>
          <w:rFonts w:ascii="Arial" w:hAnsi="Arial" w:cs="Arial"/>
          <w:b/>
          <w:bCs/>
          <w:sz w:val="21"/>
          <w:szCs w:val="21"/>
          <w:vertAlign w:val="superscript"/>
        </w:rPr>
      </w:pPr>
    </w:p>
    <w:p w:rsidR="00EB408D" w:rsidRPr="00C45AC0" w:rsidRDefault="00EB408D" w:rsidP="00EB408D">
      <w:pPr>
        <w:spacing w:line="360" w:lineRule="auto"/>
        <w:ind w:right="-319"/>
        <w:jc w:val="center"/>
        <w:outlineLvl w:val="0"/>
        <w:rPr>
          <w:rFonts w:ascii="Arial" w:hAnsi="Arial" w:cs="Arial"/>
          <w:sz w:val="22"/>
          <w:szCs w:val="22"/>
          <w:vertAlign w:val="superscript"/>
        </w:rPr>
      </w:pPr>
    </w:p>
    <w:p w:rsidR="00EB408D" w:rsidRPr="00C45AC0" w:rsidRDefault="00EB408D" w:rsidP="00EB408D">
      <w:pPr>
        <w:spacing w:line="360" w:lineRule="auto"/>
        <w:ind w:right="-319"/>
        <w:jc w:val="center"/>
        <w:outlineLvl w:val="0"/>
        <w:rPr>
          <w:rFonts w:ascii="Arial" w:hAnsi="Arial" w:cs="Arial"/>
          <w:sz w:val="22"/>
          <w:szCs w:val="22"/>
          <w:vertAlign w:val="superscript"/>
        </w:rPr>
        <w:sectPr w:rsidR="00EB408D" w:rsidRPr="00C45AC0" w:rsidSect="008651A8">
          <w:footerReference w:type="default" r:id="rId10"/>
          <w:type w:val="continuous"/>
          <w:pgSz w:w="11906" w:h="16838"/>
          <w:pgMar w:top="1417" w:right="1417" w:bottom="1417" w:left="1417" w:header="708" w:footer="708" w:gutter="0"/>
          <w:cols w:space="708"/>
          <w:docGrid w:linePitch="360"/>
        </w:sectPr>
      </w:pPr>
    </w:p>
    <w:p w:rsidR="00EB408D" w:rsidRPr="00C45AC0" w:rsidRDefault="00EB408D" w:rsidP="00EB408D">
      <w:pPr>
        <w:spacing w:line="360" w:lineRule="auto"/>
        <w:ind w:left="-360" w:right="42" w:firstLine="360"/>
        <w:jc w:val="center"/>
        <w:rPr>
          <w:b/>
          <w:bCs/>
          <w:sz w:val="22"/>
          <w:szCs w:val="22"/>
        </w:rPr>
      </w:pPr>
      <w:r w:rsidRPr="00C45AC0">
        <w:rPr>
          <w:b/>
          <w:bCs/>
          <w:sz w:val="22"/>
          <w:szCs w:val="22"/>
        </w:rPr>
        <w:lastRenderedPageBreak/>
        <w:t>Yönetici Özeti</w:t>
      </w:r>
    </w:p>
    <w:p w:rsidR="00EB408D" w:rsidRPr="00C45AC0" w:rsidRDefault="00EB408D" w:rsidP="00EB408D">
      <w:pPr>
        <w:spacing w:line="360" w:lineRule="auto"/>
        <w:ind w:left="-360" w:right="42" w:firstLine="360"/>
        <w:jc w:val="center"/>
        <w:rPr>
          <w:b/>
          <w:bCs/>
          <w:sz w:val="16"/>
          <w:szCs w:val="16"/>
        </w:rPr>
      </w:pPr>
    </w:p>
    <w:p w:rsidR="00EB408D" w:rsidRDefault="00EB408D" w:rsidP="00EB408D">
      <w:pPr>
        <w:spacing w:line="360" w:lineRule="auto"/>
        <w:ind w:left="-360" w:right="40"/>
        <w:jc w:val="both"/>
        <w:rPr>
          <w:sz w:val="22"/>
          <w:szCs w:val="22"/>
        </w:rPr>
      </w:pPr>
      <w:r w:rsidRPr="00C45AC0">
        <w:rPr>
          <w:sz w:val="22"/>
          <w:szCs w:val="22"/>
        </w:rPr>
        <w:t xml:space="preserve">Mevsim ve takvim etkisinden arındırılmış Sanayi Üretim Endeksi (SÜE) </w:t>
      </w:r>
      <w:r>
        <w:rPr>
          <w:sz w:val="22"/>
          <w:szCs w:val="22"/>
        </w:rPr>
        <w:t>Ocak</w:t>
      </w:r>
      <w:r w:rsidRPr="00C45AC0">
        <w:rPr>
          <w:sz w:val="22"/>
          <w:szCs w:val="22"/>
        </w:rPr>
        <w:t xml:space="preserve"> ayın</w:t>
      </w:r>
      <w:r>
        <w:rPr>
          <w:sz w:val="22"/>
          <w:szCs w:val="22"/>
        </w:rPr>
        <w:t>da bir önceki aya göre yüzde 1,4</w:t>
      </w:r>
      <w:r w:rsidRPr="00C45AC0">
        <w:rPr>
          <w:sz w:val="22"/>
          <w:szCs w:val="22"/>
        </w:rPr>
        <w:t xml:space="preserve"> oranında a</w:t>
      </w:r>
      <w:r>
        <w:rPr>
          <w:sz w:val="22"/>
          <w:szCs w:val="22"/>
        </w:rPr>
        <w:t>zaldı</w:t>
      </w:r>
      <w:r w:rsidRPr="00C45AC0">
        <w:rPr>
          <w:sz w:val="22"/>
          <w:szCs w:val="22"/>
        </w:rPr>
        <w:t xml:space="preserve">. İhracat miktar endeksi </w:t>
      </w:r>
      <w:r>
        <w:rPr>
          <w:sz w:val="22"/>
          <w:szCs w:val="22"/>
        </w:rPr>
        <w:t xml:space="preserve">altın etkisiyle </w:t>
      </w:r>
      <w:r w:rsidRPr="00C45AC0">
        <w:rPr>
          <w:sz w:val="22"/>
          <w:szCs w:val="22"/>
        </w:rPr>
        <w:t xml:space="preserve">yüzde </w:t>
      </w:r>
      <w:r>
        <w:rPr>
          <w:sz w:val="22"/>
          <w:szCs w:val="22"/>
        </w:rPr>
        <w:t>6 artarken</w:t>
      </w:r>
      <w:r w:rsidRPr="00C45AC0">
        <w:rPr>
          <w:sz w:val="22"/>
          <w:szCs w:val="22"/>
        </w:rPr>
        <w:t>, it</w:t>
      </w:r>
      <w:r>
        <w:rPr>
          <w:sz w:val="22"/>
          <w:szCs w:val="22"/>
        </w:rPr>
        <w:t>halat miktar endeksi yüzde 3</w:t>
      </w:r>
      <w:r w:rsidRPr="00C45AC0">
        <w:rPr>
          <w:sz w:val="22"/>
          <w:szCs w:val="22"/>
        </w:rPr>
        <w:t>,</w:t>
      </w:r>
      <w:r>
        <w:rPr>
          <w:sz w:val="22"/>
          <w:szCs w:val="22"/>
        </w:rPr>
        <w:t>8</w:t>
      </w:r>
      <w:r w:rsidRPr="00C45AC0">
        <w:rPr>
          <w:sz w:val="22"/>
          <w:szCs w:val="22"/>
        </w:rPr>
        <w:t xml:space="preserve"> oranında a</w:t>
      </w:r>
      <w:r>
        <w:rPr>
          <w:sz w:val="22"/>
          <w:szCs w:val="22"/>
        </w:rPr>
        <w:t>zalış</w:t>
      </w:r>
      <w:r w:rsidRPr="00C45AC0">
        <w:rPr>
          <w:sz w:val="22"/>
          <w:szCs w:val="22"/>
        </w:rPr>
        <w:t xml:space="preserve"> gösterdi. </w:t>
      </w:r>
    </w:p>
    <w:p w:rsidR="00EB408D" w:rsidRDefault="00EB408D" w:rsidP="00EB408D">
      <w:pPr>
        <w:spacing w:line="360" w:lineRule="auto"/>
        <w:ind w:left="-360" w:right="40"/>
        <w:jc w:val="both"/>
        <w:rPr>
          <w:sz w:val="22"/>
          <w:szCs w:val="22"/>
        </w:rPr>
      </w:pPr>
      <w:r>
        <w:rPr>
          <w:sz w:val="22"/>
          <w:szCs w:val="22"/>
        </w:rPr>
        <w:t>İlk çeyrekte üretim ve altın hariç ihracat oldukça zayıf seyrediyor. İthalat talebindeki düşüş ve güven endekslerindeki gerileme de zayıf görünüme destek veriyor. Kamu kesimi ise harcamaları artırarak büyümeye destek veriyor.</w:t>
      </w:r>
    </w:p>
    <w:p w:rsidR="00EB408D" w:rsidRDefault="00EB408D" w:rsidP="00EB408D">
      <w:pPr>
        <w:spacing w:line="360" w:lineRule="auto"/>
        <w:ind w:left="-360" w:right="40"/>
        <w:jc w:val="both"/>
        <w:rPr>
          <w:sz w:val="22"/>
          <w:szCs w:val="22"/>
        </w:rPr>
      </w:pPr>
      <w:r>
        <w:rPr>
          <w:sz w:val="22"/>
          <w:szCs w:val="22"/>
        </w:rPr>
        <w:t xml:space="preserve">Betam'ın ilk çeyreğe ilişkin ilk büyüme tahmini bir önceki çeyreğe kıyasla yüzde 0,2. </w:t>
      </w:r>
      <w:r w:rsidRPr="00C45AC0">
        <w:rPr>
          <w:sz w:val="22"/>
          <w:szCs w:val="22"/>
        </w:rPr>
        <w:t xml:space="preserve">Önceki yılın aynı çeyreğine göre </w:t>
      </w:r>
      <w:r>
        <w:rPr>
          <w:sz w:val="22"/>
          <w:szCs w:val="22"/>
        </w:rPr>
        <w:t>ise ekonomide büyüme görülmüyor, tahmin oranımız sıfır.</w:t>
      </w:r>
    </w:p>
    <w:p w:rsidR="00EB408D" w:rsidRPr="00C45AC0" w:rsidRDefault="00EB408D" w:rsidP="00EB408D">
      <w:pPr>
        <w:spacing w:line="360" w:lineRule="auto"/>
        <w:ind w:left="-360" w:right="40"/>
        <w:jc w:val="both"/>
        <w:rPr>
          <w:sz w:val="22"/>
          <w:szCs w:val="22"/>
        </w:rPr>
      </w:pPr>
    </w:p>
    <w:p w:rsidR="00EB408D" w:rsidRDefault="00EB408D" w:rsidP="00EB408D">
      <w:pPr>
        <w:spacing w:line="360" w:lineRule="auto"/>
        <w:ind w:left="-360" w:right="40"/>
        <w:jc w:val="both"/>
        <w:rPr>
          <w:sz w:val="22"/>
          <w:szCs w:val="22"/>
        </w:rPr>
      </w:pPr>
      <w:r>
        <w:rPr>
          <w:sz w:val="22"/>
          <w:szCs w:val="22"/>
        </w:rPr>
        <w:t>Ocak ayında cari açık 2 milyar dolar olarak gerçekleşti</w:t>
      </w:r>
      <w:r w:rsidRPr="00C45AC0">
        <w:rPr>
          <w:sz w:val="22"/>
          <w:szCs w:val="22"/>
        </w:rPr>
        <w:t>.</w:t>
      </w:r>
      <w:r>
        <w:rPr>
          <w:sz w:val="22"/>
          <w:szCs w:val="22"/>
        </w:rPr>
        <w:t xml:space="preserve"> 12 aylık cari açık 45,8'den 42,9 milyar dolara indi. Petrol fiyatındaki düşüş cari açık üzerinde etkisini göstermeye başladı. Ancak enerji hariç ithalat talebi de azalmaya devam ediyor. </w:t>
      </w:r>
      <w:r w:rsidRPr="00C45AC0">
        <w:rPr>
          <w:sz w:val="22"/>
          <w:szCs w:val="22"/>
        </w:rPr>
        <w:t>Cari açığın GSYH’a oranı</w:t>
      </w:r>
      <w:r>
        <w:rPr>
          <w:sz w:val="22"/>
          <w:szCs w:val="22"/>
        </w:rPr>
        <w:t>nın</w:t>
      </w:r>
      <w:r w:rsidRPr="00C45AC0">
        <w:rPr>
          <w:sz w:val="22"/>
          <w:szCs w:val="22"/>
        </w:rPr>
        <w:t xml:space="preserve"> </w:t>
      </w:r>
      <w:r>
        <w:rPr>
          <w:sz w:val="22"/>
          <w:szCs w:val="22"/>
        </w:rPr>
        <w:t>yıl</w:t>
      </w:r>
      <w:r w:rsidRPr="00C45AC0">
        <w:rPr>
          <w:sz w:val="22"/>
          <w:szCs w:val="22"/>
        </w:rPr>
        <w:t xml:space="preserve"> sonunda yüzde 5,</w:t>
      </w:r>
      <w:r>
        <w:rPr>
          <w:sz w:val="22"/>
          <w:szCs w:val="22"/>
        </w:rPr>
        <w:t>8</w:t>
      </w:r>
      <w:r w:rsidRPr="00C45AC0">
        <w:rPr>
          <w:sz w:val="22"/>
          <w:szCs w:val="22"/>
        </w:rPr>
        <w:t>'</w:t>
      </w:r>
      <w:r>
        <w:rPr>
          <w:sz w:val="22"/>
          <w:szCs w:val="22"/>
        </w:rPr>
        <w:t>den ilk çeyrekte yüzde 5,4'e</w:t>
      </w:r>
      <w:r w:rsidRPr="00C45AC0">
        <w:rPr>
          <w:sz w:val="22"/>
          <w:szCs w:val="22"/>
        </w:rPr>
        <w:t xml:space="preserve"> düşmesini bekliyoruz.</w:t>
      </w:r>
      <w:r>
        <w:rPr>
          <w:sz w:val="22"/>
          <w:szCs w:val="22"/>
        </w:rPr>
        <w:t xml:space="preserve"> </w:t>
      </w:r>
    </w:p>
    <w:p w:rsidR="00E07F02" w:rsidRDefault="00E07F02" w:rsidP="00EB408D">
      <w:pPr>
        <w:spacing w:line="360" w:lineRule="auto"/>
        <w:ind w:left="-360" w:right="40"/>
        <w:jc w:val="both"/>
        <w:rPr>
          <w:sz w:val="22"/>
          <w:szCs w:val="22"/>
        </w:rPr>
      </w:pPr>
    </w:p>
    <w:p w:rsidR="00E07F02" w:rsidRPr="00C45AC0" w:rsidRDefault="00E07F02" w:rsidP="00EB408D">
      <w:pPr>
        <w:spacing w:line="360" w:lineRule="auto"/>
        <w:ind w:left="-360" w:right="40"/>
        <w:jc w:val="both"/>
        <w:rPr>
          <w:sz w:val="22"/>
          <w:szCs w:val="22"/>
        </w:rPr>
      </w:pPr>
    </w:p>
    <w:p w:rsidR="00EB408D" w:rsidRPr="00C45AC0" w:rsidRDefault="00A94370" w:rsidP="00EB408D">
      <w:pPr>
        <w:spacing w:line="288" w:lineRule="auto"/>
        <w:ind w:right="-318"/>
        <w:jc w:val="both"/>
        <w:rPr>
          <w:rFonts w:ascii="Arial" w:hAnsi="Arial" w:cs="Arial"/>
          <w:sz w:val="16"/>
          <w:szCs w:val="16"/>
        </w:rPr>
      </w:pPr>
      <w:r>
        <w:rPr>
          <w:noProof/>
        </w:rPr>
        <mc:AlternateContent>
          <mc:Choice Requires="wps">
            <w:drawing>
              <wp:anchor distT="0" distB="0" distL="114300" distR="114300" simplePos="0" relativeHeight="251666432" behindDoc="0" locked="0" layoutInCell="1" allowOverlap="1">
                <wp:simplePos x="0" y="0"/>
                <wp:positionH relativeFrom="column">
                  <wp:posOffset>-219075</wp:posOffset>
                </wp:positionH>
                <wp:positionV relativeFrom="paragraph">
                  <wp:posOffset>67945</wp:posOffset>
                </wp:positionV>
                <wp:extent cx="2514600" cy="635"/>
                <wp:effectExtent l="0" t="0" r="19050" b="3746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rFQIAACs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"/>
            </w:pict>
          </mc:Fallback>
        </mc:AlternateContent>
      </w:r>
      <w:r>
        <w:rPr>
          <w:rFonts w:ascii="Arial" w:hAnsi="Arial" w:cs="Arial"/>
          <w:noProof/>
          <w:sz w:val="16"/>
          <w:szCs w:val="16"/>
        </w:rPr>
        <mc:AlternateContent>
          <mc:Choice Requires="wpc">
            <w:drawing>
              <wp:inline distT="0" distB="0" distL="0" distR="0">
                <wp:extent cx="2514600" cy="45720"/>
                <wp:effectExtent l="0" t="0" r="0" b="0"/>
                <wp:docPr id="4"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 o:spid="_x0000_s1026"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457;visibility:visible;mso-wrap-style:square">
                  <v:fill o:detectmouseclick="t"/>
                  <v:path o:connecttype="none"/>
                </v:shape>
                <w10:anchorlock/>
              </v:group>
            </w:pict>
          </mc:Fallback>
        </mc:AlternateContent>
      </w:r>
    </w:p>
    <w:p w:rsidR="00EB408D" w:rsidRPr="00C45AC0" w:rsidRDefault="00EB408D" w:rsidP="00EB408D">
      <w:pPr>
        <w:spacing w:line="288" w:lineRule="auto"/>
        <w:ind w:left="-360" w:right="-318"/>
        <w:jc w:val="both"/>
        <w:rPr>
          <w:sz w:val="16"/>
          <w:szCs w:val="16"/>
        </w:rPr>
      </w:pPr>
      <w:r w:rsidRPr="00C45AC0">
        <w:rPr>
          <w:sz w:val="16"/>
          <w:szCs w:val="16"/>
        </w:rPr>
        <w:t>* Dr. Zümrüt İmamoğlu, Betam, Uzman Araştırmacı.</w:t>
      </w:r>
    </w:p>
    <w:p w:rsidR="00EB408D" w:rsidRPr="00C45AC0" w:rsidRDefault="00B11CD9" w:rsidP="00EB408D">
      <w:pPr>
        <w:spacing w:line="288" w:lineRule="auto"/>
        <w:ind w:left="-360" w:right="-318"/>
        <w:jc w:val="both"/>
        <w:rPr>
          <w:sz w:val="16"/>
          <w:szCs w:val="16"/>
          <w:vertAlign w:val="superscript"/>
        </w:rPr>
      </w:pPr>
      <w:hyperlink r:id="rId11" w:history="1">
        <w:r w:rsidR="00EB408D" w:rsidRPr="00C45AC0">
          <w:rPr>
            <w:rStyle w:val="Hyperlink"/>
            <w:sz w:val="16"/>
            <w:szCs w:val="16"/>
          </w:rPr>
          <w:t>zumrut.imamoglu@eas.bahcesehir.edu.tr</w:t>
        </w:r>
      </w:hyperlink>
    </w:p>
    <w:p w:rsidR="00EB408D" w:rsidRPr="00C45AC0" w:rsidRDefault="00EB408D" w:rsidP="00EB408D">
      <w:pPr>
        <w:spacing w:line="288" w:lineRule="auto"/>
        <w:ind w:left="-360" w:right="-318"/>
        <w:jc w:val="both"/>
        <w:rPr>
          <w:sz w:val="16"/>
          <w:szCs w:val="16"/>
        </w:rPr>
      </w:pPr>
      <w:r w:rsidRPr="00C45AC0">
        <w:rPr>
          <w:sz w:val="16"/>
          <w:szCs w:val="16"/>
        </w:rPr>
        <w:t>** Barış Soybilgen, Betam, Araştırma Görevlisi</w:t>
      </w:r>
    </w:p>
    <w:p w:rsidR="00EB408D" w:rsidRPr="00C45AC0" w:rsidRDefault="00B11CD9" w:rsidP="00EB408D">
      <w:pPr>
        <w:ind w:left="-360"/>
        <w:rPr>
          <w:sz w:val="16"/>
          <w:szCs w:val="16"/>
        </w:rPr>
      </w:pPr>
      <w:hyperlink r:id="rId12" w:history="1">
        <w:r w:rsidR="00EB408D" w:rsidRPr="00C45AC0">
          <w:rPr>
            <w:rStyle w:val="Hyperlink"/>
            <w:sz w:val="16"/>
            <w:szCs w:val="16"/>
          </w:rPr>
          <w:t>baris.soybilgen@eas.bahcesehir.edu.tr</w:t>
        </w:r>
      </w:hyperlink>
    </w:p>
    <w:p w:rsidR="00EB408D" w:rsidRDefault="00EB408D" w:rsidP="00EB408D">
      <w:pPr>
        <w:ind w:right="42"/>
        <w:rPr>
          <w:b/>
          <w:bCs/>
          <w:sz w:val="22"/>
          <w:szCs w:val="22"/>
        </w:rPr>
      </w:pPr>
    </w:p>
    <w:p w:rsidR="00EB408D" w:rsidRPr="00C45AC0" w:rsidRDefault="00EB408D" w:rsidP="00EB408D">
      <w:pPr>
        <w:ind w:right="42"/>
        <w:rPr>
          <w:b/>
          <w:bCs/>
          <w:sz w:val="22"/>
          <w:szCs w:val="22"/>
        </w:rPr>
      </w:pPr>
    </w:p>
    <w:p w:rsidR="00EB408D" w:rsidRDefault="00EB408D" w:rsidP="00EB408D">
      <w:pPr>
        <w:outlineLvl w:val="0"/>
        <w:rPr>
          <w:b/>
          <w:bCs/>
          <w:sz w:val="22"/>
          <w:szCs w:val="22"/>
        </w:rPr>
      </w:pPr>
    </w:p>
    <w:p w:rsidR="00EB408D" w:rsidRDefault="00EB408D" w:rsidP="00EB408D">
      <w:pPr>
        <w:outlineLvl w:val="0"/>
        <w:rPr>
          <w:b/>
          <w:bCs/>
          <w:sz w:val="22"/>
          <w:szCs w:val="22"/>
        </w:rPr>
      </w:pPr>
    </w:p>
    <w:p w:rsidR="00EB408D" w:rsidRPr="00C45AC0" w:rsidRDefault="00EB408D" w:rsidP="00EB408D">
      <w:pPr>
        <w:outlineLvl w:val="0"/>
        <w:rPr>
          <w:b/>
          <w:bCs/>
          <w:sz w:val="22"/>
          <w:szCs w:val="22"/>
        </w:rPr>
      </w:pPr>
      <w:r w:rsidRPr="00C45AC0">
        <w:rPr>
          <w:b/>
          <w:bCs/>
          <w:sz w:val="22"/>
          <w:szCs w:val="22"/>
        </w:rPr>
        <w:t>Tablo 1. Betam’ın GSYH ve Cari Açık Tahminleri</w:t>
      </w:r>
    </w:p>
    <w:tbl>
      <w:tblPr>
        <w:tblpPr w:leftFromText="141" w:rightFromText="141" w:vertAnchor="text" w:horzAnchor="margin" w:tblpXSpec="right" w:tblpY="129"/>
        <w:tblW w:w="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1362"/>
        <w:gridCol w:w="1362"/>
      </w:tblGrid>
      <w:tr w:rsidR="00EB408D" w:rsidRPr="00C45AC0" w:rsidTr="001763E1">
        <w:trPr>
          <w:trHeight w:val="986"/>
        </w:trPr>
        <w:tc>
          <w:tcPr>
            <w:tcW w:w="1881" w:type="dxa"/>
            <w:tcMar>
              <w:left w:w="28" w:type="dxa"/>
              <w:right w:w="28" w:type="dxa"/>
            </w:tcMar>
            <w:vAlign w:val="center"/>
          </w:tcPr>
          <w:p w:rsidR="00EB408D" w:rsidRPr="00C45AC0" w:rsidRDefault="00EB408D" w:rsidP="001763E1">
            <w:pPr>
              <w:ind w:right="42"/>
              <w:jc w:val="center"/>
              <w:rPr>
                <w:sz w:val="20"/>
                <w:szCs w:val="20"/>
              </w:rPr>
            </w:pPr>
          </w:p>
        </w:tc>
        <w:tc>
          <w:tcPr>
            <w:tcW w:w="1362" w:type="dxa"/>
            <w:vAlign w:val="center"/>
          </w:tcPr>
          <w:p w:rsidR="00EB408D" w:rsidRPr="00C45AC0" w:rsidRDefault="00EB408D" w:rsidP="001763E1">
            <w:pPr>
              <w:ind w:right="40"/>
              <w:jc w:val="center"/>
              <w:rPr>
                <w:b/>
                <w:bCs/>
                <w:sz w:val="20"/>
                <w:szCs w:val="20"/>
              </w:rPr>
            </w:pPr>
            <w:r w:rsidRPr="00C45AC0">
              <w:rPr>
                <w:b/>
                <w:bCs/>
                <w:sz w:val="20"/>
                <w:szCs w:val="20"/>
              </w:rPr>
              <w:t>2014</w:t>
            </w:r>
          </w:p>
          <w:p w:rsidR="00EB408D" w:rsidRPr="00C45AC0" w:rsidRDefault="00EB408D" w:rsidP="001763E1">
            <w:pPr>
              <w:ind w:right="40"/>
              <w:jc w:val="center"/>
              <w:rPr>
                <w:b/>
                <w:bCs/>
                <w:sz w:val="20"/>
                <w:szCs w:val="20"/>
              </w:rPr>
            </w:pPr>
            <w:r>
              <w:rPr>
                <w:b/>
                <w:bCs/>
                <w:sz w:val="20"/>
                <w:szCs w:val="20"/>
              </w:rPr>
              <w:t>4</w:t>
            </w:r>
            <w:r w:rsidRPr="00C45AC0">
              <w:rPr>
                <w:b/>
                <w:bCs/>
                <w:sz w:val="20"/>
                <w:szCs w:val="20"/>
              </w:rPr>
              <w:t>. Çeyrek</w:t>
            </w:r>
          </w:p>
          <w:p w:rsidR="00EB408D" w:rsidRPr="00C45AC0" w:rsidRDefault="00EB408D" w:rsidP="001763E1">
            <w:pPr>
              <w:ind w:right="40"/>
              <w:jc w:val="center"/>
              <w:rPr>
                <w:b/>
                <w:bCs/>
                <w:sz w:val="20"/>
                <w:szCs w:val="20"/>
              </w:rPr>
            </w:pPr>
            <w:r w:rsidRPr="00C45AC0">
              <w:rPr>
                <w:b/>
                <w:bCs/>
                <w:sz w:val="20"/>
                <w:szCs w:val="20"/>
              </w:rPr>
              <w:t>Tahmin</w:t>
            </w:r>
          </w:p>
          <w:p w:rsidR="00EB408D" w:rsidRPr="00C45AC0" w:rsidRDefault="00EB408D" w:rsidP="001763E1">
            <w:pPr>
              <w:ind w:right="40"/>
              <w:jc w:val="center"/>
              <w:rPr>
                <w:b/>
                <w:bCs/>
                <w:sz w:val="20"/>
                <w:szCs w:val="20"/>
              </w:rPr>
            </w:pPr>
            <w:r w:rsidRPr="00C45AC0">
              <w:rPr>
                <w:b/>
                <w:bCs/>
                <w:sz w:val="20"/>
                <w:szCs w:val="20"/>
              </w:rPr>
              <w:t>(%)</w:t>
            </w:r>
          </w:p>
        </w:tc>
        <w:tc>
          <w:tcPr>
            <w:tcW w:w="1362" w:type="dxa"/>
            <w:vAlign w:val="center"/>
          </w:tcPr>
          <w:p w:rsidR="00EB408D" w:rsidRDefault="00EB408D" w:rsidP="001763E1">
            <w:pPr>
              <w:ind w:right="40"/>
              <w:jc w:val="center"/>
              <w:rPr>
                <w:b/>
                <w:bCs/>
                <w:sz w:val="20"/>
                <w:szCs w:val="20"/>
              </w:rPr>
            </w:pPr>
            <w:r>
              <w:rPr>
                <w:b/>
                <w:bCs/>
                <w:sz w:val="20"/>
                <w:szCs w:val="20"/>
              </w:rPr>
              <w:t>2015</w:t>
            </w:r>
          </w:p>
          <w:p w:rsidR="00EB408D" w:rsidRDefault="00EB408D" w:rsidP="001763E1">
            <w:pPr>
              <w:ind w:right="40"/>
              <w:jc w:val="center"/>
              <w:rPr>
                <w:b/>
                <w:bCs/>
                <w:sz w:val="20"/>
                <w:szCs w:val="20"/>
              </w:rPr>
            </w:pPr>
            <w:r>
              <w:rPr>
                <w:b/>
                <w:bCs/>
                <w:sz w:val="20"/>
                <w:szCs w:val="20"/>
              </w:rPr>
              <w:t>1. Çeyrek</w:t>
            </w:r>
          </w:p>
          <w:p w:rsidR="00EB408D" w:rsidRDefault="00EB408D" w:rsidP="001763E1">
            <w:pPr>
              <w:ind w:right="40"/>
              <w:jc w:val="center"/>
              <w:rPr>
                <w:b/>
                <w:bCs/>
                <w:sz w:val="20"/>
                <w:szCs w:val="20"/>
              </w:rPr>
            </w:pPr>
            <w:r>
              <w:rPr>
                <w:b/>
                <w:bCs/>
                <w:sz w:val="20"/>
                <w:szCs w:val="20"/>
              </w:rPr>
              <w:t>Tahmin</w:t>
            </w:r>
          </w:p>
          <w:p w:rsidR="00EB408D" w:rsidRPr="00C45AC0" w:rsidRDefault="00EB408D" w:rsidP="001763E1">
            <w:pPr>
              <w:ind w:right="40"/>
              <w:jc w:val="center"/>
              <w:rPr>
                <w:b/>
                <w:bCs/>
                <w:sz w:val="20"/>
                <w:szCs w:val="20"/>
              </w:rPr>
            </w:pPr>
            <w:r>
              <w:rPr>
                <w:b/>
                <w:bCs/>
                <w:sz w:val="20"/>
                <w:szCs w:val="20"/>
              </w:rPr>
              <w:t>(%)</w:t>
            </w:r>
          </w:p>
        </w:tc>
      </w:tr>
      <w:tr w:rsidR="00EB408D" w:rsidRPr="00C45AC0" w:rsidTr="001763E1">
        <w:trPr>
          <w:trHeight w:val="771"/>
        </w:trPr>
        <w:tc>
          <w:tcPr>
            <w:tcW w:w="1881" w:type="dxa"/>
            <w:tcMar>
              <w:left w:w="28" w:type="dxa"/>
              <w:right w:w="28" w:type="dxa"/>
            </w:tcMar>
            <w:vAlign w:val="center"/>
          </w:tcPr>
          <w:p w:rsidR="00EB408D" w:rsidRPr="00C45AC0" w:rsidRDefault="00EB408D" w:rsidP="001763E1">
            <w:pPr>
              <w:ind w:right="42"/>
              <w:rPr>
                <w:sz w:val="20"/>
                <w:szCs w:val="20"/>
              </w:rPr>
            </w:pPr>
            <w:r w:rsidRPr="00C45AC0">
              <w:rPr>
                <w:sz w:val="20"/>
                <w:szCs w:val="20"/>
              </w:rPr>
              <w:t>GSYH büyüme, reel</w:t>
            </w:r>
          </w:p>
          <w:p w:rsidR="00EB408D" w:rsidRPr="00C45AC0" w:rsidRDefault="00EB408D" w:rsidP="001763E1">
            <w:pPr>
              <w:ind w:right="42"/>
              <w:rPr>
                <w:sz w:val="20"/>
                <w:szCs w:val="20"/>
              </w:rPr>
            </w:pPr>
            <w:r w:rsidRPr="00C45AC0">
              <w:rPr>
                <w:sz w:val="20"/>
                <w:szCs w:val="20"/>
              </w:rPr>
              <w:t>(bir önceki çeyreğe göre, mea*)</w:t>
            </w:r>
          </w:p>
        </w:tc>
        <w:tc>
          <w:tcPr>
            <w:tcW w:w="1362" w:type="dxa"/>
            <w:vAlign w:val="center"/>
          </w:tcPr>
          <w:p w:rsidR="00EB408D" w:rsidRPr="00C45AC0" w:rsidRDefault="00EB408D" w:rsidP="001763E1">
            <w:pPr>
              <w:ind w:right="42"/>
              <w:jc w:val="center"/>
              <w:rPr>
                <w:sz w:val="20"/>
                <w:szCs w:val="20"/>
              </w:rPr>
            </w:pPr>
            <w:r>
              <w:rPr>
                <w:sz w:val="20"/>
                <w:szCs w:val="20"/>
              </w:rPr>
              <w:t>-</w:t>
            </w:r>
            <w:r w:rsidRPr="00C45AC0">
              <w:rPr>
                <w:sz w:val="20"/>
                <w:szCs w:val="20"/>
              </w:rPr>
              <w:t>0,</w:t>
            </w:r>
            <w:r>
              <w:rPr>
                <w:sz w:val="20"/>
                <w:szCs w:val="20"/>
              </w:rPr>
              <w:t>2</w:t>
            </w:r>
          </w:p>
        </w:tc>
        <w:tc>
          <w:tcPr>
            <w:tcW w:w="1362" w:type="dxa"/>
            <w:vAlign w:val="center"/>
          </w:tcPr>
          <w:p w:rsidR="00EB408D" w:rsidRDefault="00EB408D" w:rsidP="001763E1">
            <w:pPr>
              <w:ind w:right="42"/>
              <w:jc w:val="center"/>
              <w:rPr>
                <w:sz w:val="20"/>
                <w:szCs w:val="20"/>
              </w:rPr>
            </w:pPr>
            <w:r>
              <w:rPr>
                <w:sz w:val="20"/>
                <w:szCs w:val="20"/>
              </w:rPr>
              <w:t>0,2</w:t>
            </w:r>
          </w:p>
        </w:tc>
      </w:tr>
      <w:tr w:rsidR="00EB408D" w:rsidRPr="00C45AC0" w:rsidTr="001763E1">
        <w:trPr>
          <w:trHeight w:val="756"/>
        </w:trPr>
        <w:tc>
          <w:tcPr>
            <w:tcW w:w="1881" w:type="dxa"/>
            <w:tcMar>
              <w:left w:w="28" w:type="dxa"/>
              <w:right w:w="28" w:type="dxa"/>
            </w:tcMar>
            <w:vAlign w:val="center"/>
          </w:tcPr>
          <w:p w:rsidR="00EB408D" w:rsidRPr="00C45AC0" w:rsidRDefault="00EB408D" w:rsidP="001763E1">
            <w:pPr>
              <w:ind w:right="42"/>
              <w:rPr>
                <w:sz w:val="20"/>
                <w:szCs w:val="20"/>
              </w:rPr>
            </w:pPr>
            <w:r w:rsidRPr="00C45AC0">
              <w:rPr>
                <w:sz w:val="20"/>
                <w:szCs w:val="20"/>
              </w:rPr>
              <w:t xml:space="preserve">GSYH büyüme, reel (geçen yılın aynı çeyreğine göre, </w:t>
            </w:r>
            <w:r>
              <w:rPr>
                <w:sz w:val="20"/>
                <w:szCs w:val="20"/>
              </w:rPr>
              <w:t>mea*</w:t>
            </w:r>
            <w:r w:rsidRPr="00C45AC0">
              <w:rPr>
                <w:sz w:val="20"/>
                <w:szCs w:val="20"/>
              </w:rPr>
              <w:t>)</w:t>
            </w:r>
          </w:p>
        </w:tc>
        <w:tc>
          <w:tcPr>
            <w:tcW w:w="1362" w:type="dxa"/>
            <w:vAlign w:val="center"/>
          </w:tcPr>
          <w:p w:rsidR="00EB408D" w:rsidRPr="00C45AC0" w:rsidRDefault="00EB408D" w:rsidP="001763E1">
            <w:pPr>
              <w:ind w:right="42"/>
              <w:jc w:val="center"/>
              <w:rPr>
                <w:sz w:val="20"/>
                <w:szCs w:val="20"/>
              </w:rPr>
            </w:pPr>
            <w:r>
              <w:rPr>
                <w:sz w:val="20"/>
                <w:szCs w:val="20"/>
              </w:rPr>
              <w:t>1</w:t>
            </w:r>
            <w:r w:rsidRPr="00C45AC0">
              <w:rPr>
                <w:sz w:val="20"/>
                <w:szCs w:val="20"/>
              </w:rPr>
              <w:t>,</w:t>
            </w:r>
            <w:r>
              <w:rPr>
                <w:sz w:val="20"/>
                <w:szCs w:val="20"/>
              </w:rPr>
              <w:t>5</w:t>
            </w:r>
          </w:p>
        </w:tc>
        <w:tc>
          <w:tcPr>
            <w:tcW w:w="1362" w:type="dxa"/>
            <w:vAlign w:val="center"/>
          </w:tcPr>
          <w:p w:rsidR="00EB408D" w:rsidRDefault="00EB408D" w:rsidP="001763E1">
            <w:pPr>
              <w:ind w:right="42"/>
              <w:jc w:val="center"/>
              <w:rPr>
                <w:sz w:val="20"/>
                <w:szCs w:val="20"/>
              </w:rPr>
            </w:pPr>
          </w:p>
          <w:p w:rsidR="00EB408D" w:rsidRDefault="00EB408D" w:rsidP="001763E1">
            <w:pPr>
              <w:ind w:right="42"/>
              <w:jc w:val="center"/>
              <w:rPr>
                <w:sz w:val="20"/>
                <w:szCs w:val="20"/>
              </w:rPr>
            </w:pPr>
            <w:r>
              <w:rPr>
                <w:sz w:val="20"/>
                <w:szCs w:val="20"/>
              </w:rPr>
              <w:t>0,0</w:t>
            </w:r>
          </w:p>
          <w:p w:rsidR="00EB408D" w:rsidRDefault="00EB408D" w:rsidP="001763E1">
            <w:pPr>
              <w:ind w:right="42"/>
              <w:jc w:val="center"/>
              <w:rPr>
                <w:sz w:val="20"/>
                <w:szCs w:val="20"/>
              </w:rPr>
            </w:pPr>
          </w:p>
        </w:tc>
      </w:tr>
      <w:tr w:rsidR="00EB408D" w:rsidRPr="00C45AC0" w:rsidTr="001763E1">
        <w:trPr>
          <w:trHeight w:val="756"/>
        </w:trPr>
        <w:tc>
          <w:tcPr>
            <w:tcW w:w="1881" w:type="dxa"/>
            <w:tcMar>
              <w:left w:w="28" w:type="dxa"/>
              <w:right w:w="28" w:type="dxa"/>
            </w:tcMar>
            <w:vAlign w:val="center"/>
          </w:tcPr>
          <w:p w:rsidR="00EB408D" w:rsidRPr="00C45AC0" w:rsidRDefault="00EB408D" w:rsidP="001763E1">
            <w:pPr>
              <w:ind w:right="42"/>
              <w:rPr>
                <w:sz w:val="20"/>
                <w:szCs w:val="20"/>
              </w:rPr>
            </w:pPr>
            <w:r>
              <w:rPr>
                <w:sz w:val="20"/>
                <w:szCs w:val="20"/>
              </w:rPr>
              <w:t>GSYH büyüme, yıllık**</w:t>
            </w:r>
          </w:p>
        </w:tc>
        <w:tc>
          <w:tcPr>
            <w:tcW w:w="1362" w:type="dxa"/>
            <w:vAlign w:val="center"/>
          </w:tcPr>
          <w:p w:rsidR="00EB408D" w:rsidRDefault="00EB408D" w:rsidP="001763E1">
            <w:pPr>
              <w:ind w:right="42"/>
              <w:jc w:val="center"/>
              <w:rPr>
                <w:sz w:val="20"/>
                <w:szCs w:val="20"/>
              </w:rPr>
            </w:pPr>
            <w:r>
              <w:rPr>
                <w:sz w:val="20"/>
                <w:szCs w:val="20"/>
              </w:rPr>
              <w:t>2,8</w:t>
            </w:r>
          </w:p>
        </w:tc>
        <w:tc>
          <w:tcPr>
            <w:tcW w:w="1362" w:type="dxa"/>
            <w:vAlign w:val="center"/>
          </w:tcPr>
          <w:p w:rsidR="00EB408D" w:rsidRDefault="00366D41" w:rsidP="001763E1">
            <w:pPr>
              <w:ind w:right="42"/>
              <w:jc w:val="center"/>
              <w:rPr>
                <w:sz w:val="20"/>
                <w:szCs w:val="20"/>
              </w:rPr>
            </w:pPr>
            <w:r>
              <w:rPr>
                <w:sz w:val="20"/>
                <w:szCs w:val="20"/>
              </w:rPr>
              <w:t>-</w:t>
            </w:r>
            <w:r w:rsidR="00C04505">
              <w:rPr>
                <w:sz w:val="20"/>
                <w:szCs w:val="20"/>
              </w:rPr>
              <w:t>-</w:t>
            </w:r>
          </w:p>
        </w:tc>
      </w:tr>
      <w:tr w:rsidR="00EB408D" w:rsidRPr="00C45AC0" w:rsidTr="001763E1">
        <w:trPr>
          <w:trHeight w:val="583"/>
        </w:trPr>
        <w:tc>
          <w:tcPr>
            <w:tcW w:w="1881" w:type="dxa"/>
            <w:tcMar>
              <w:left w:w="28" w:type="dxa"/>
              <w:right w:w="28" w:type="dxa"/>
            </w:tcMar>
            <w:vAlign w:val="center"/>
          </w:tcPr>
          <w:p w:rsidR="00EB408D" w:rsidRPr="00C45AC0" w:rsidRDefault="00EB408D" w:rsidP="001763E1">
            <w:pPr>
              <w:ind w:right="40"/>
              <w:rPr>
                <w:sz w:val="20"/>
                <w:szCs w:val="20"/>
              </w:rPr>
            </w:pPr>
            <w:r w:rsidRPr="00C45AC0">
              <w:rPr>
                <w:sz w:val="20"/>
                <w:szCs w:val="20"/>
              </w:rPr>
              <w:t>Cari açık (yıllık)</w:t>
            </w:r>
          </w:p>
        </w:tc>
        <w:tc>
          <w:tcPr>
            <w:tcW w:w="1362" w:type="dxa"/>
            <w:vAlign w:val="center"/>
          </w:tcPr>
          <w:p w:rsidR="00EB408D" w:rsidRPr="00C45AC0" w:rsidRDefault="00EB408D" w:rsidP="001763E1">
            <w:pPr>
              <w:ind w:right="40"/>
              <w:jc w:val="center"/>
              <w:rPr>
                <w:sz w:val="20"/>
                <w:szCs w:val="20"/>
              </w:rPr>
            </w:pPr>
            <w:r w:rsidRPr="00C45AC0">
              <w:rPr>
                <w:sz w:val="20"/>
                <w:szCs w:val="20"/>
              </w:rPr>
              <w:t>5,</w:t>
            </w:r>
            <w:r>
              <w:rPr>
                <w:sz w:val="20"/>
                <w:szCs w:val="20"/>
              </w:rPr>
              <w:t>8</w:t>
            </w:r>
          </w:p>
        </w:tc>
        <w:tc>
          <w:tcPr>
            <w:tcW w:w="1362" w:type="dxa"/>
            <w:vAlign w:val="center"/>
          </w:tcPr>
          <w:p w:rsidR="00EB408D" w:rsidRPr="00C45AC0" w:rsidRDefault="00EB408D" w:rsidP="001763E1">
            <w:pPr>
              <w:ind w:right="40"/>
              <w:jc w:val="center"/>
              <w:rPr>
                <w:sz w:val="20"/>
                <w:szCs w:val="20"/>
              </w:rPr>
            </w:pPr>
            <w:r>
              <w:rPr>
                <w:sz w:val="20"/>
                <w:szCs w:val="20"/>
              </w:rPr>
              <w:t>5,4</w:t>
            </w:r>
          </w:p>
        </w:tc>
      </w:tr>
      <w:tr w:rsidR="00EB408D" w:rsidRPr="00C45AC0" w:rsidTr="001763E1">
        <w:trPr>
          <w:trHeight w:val="583"/>
        </w:trPr>
        <w:tc>
          <w:tcPr>
            <w:tcW w:w="1881" w:type="dxa"/>
            <w:tcMar>
              <w:left w:w="28" w:type="dxa"/>
              <w:right w:w="28" w:type="dxa"/>
            </w:tcMar>
            <w:vAlign w:val="center"/>
          </w:tcPr>
          <w:p w:rsidR="00EB408D" w:rsidRPr="00C45AC0" w:rsidRDefault="00EB408D" w:rsidP="001763E1">
            <w:pPr>
              <w:ind w:right="40"/>
              <w:rPr>
                <w:sz w:val="20"/>
                <w:szCs w:val="20"/>
              </w:rPr>
            </w:pPr>
            <w:r w:rsidRPr="00C45AC0">
              <w:rPr>
                <w:sz w:val="20"/>
                <w:szCs w:val="20"/>
              </w:rPr>
              <w:t>Altın hariç cari açık (yıllık)</w:t>
            </w:r>
          </w:p>
        </w:tc>
        <w:tc>
          <w:tcPr>
            <w:tcW w:w="1362" w:type="dxa"/>
            <w:vAlign w:val="center"/>
          </w:tcPr>
          <w:p w:rsidR="00EB408D" w:rsidRPr="00C45AC0" w:rsidRDefault="00EB408D" w:rsidP="001763E1">
            <w:pPr>
              <w:ind w:right="40"/>
              <w:jc w:val="center"/>
              <w:rPr>
                <w:sz w:val="20"/>
                <w:szCs w:val="20"/>
              </w:rPr>
            </w:pPr>
            <w:r w:rsidRPr="00C45AC0">
              <w:rPr>
                <w:sz w:val="20"/>
                <w:szCs w:val="20"/>
              </w:rPr>
              <w:t>5,</w:t>
            </w:r>
            <w:r>
              <w:rPr>
                <w:sz w:val="20"/>
                <w:szCs w:val="20"/>
              </w:rPr>
              <w:t>4</w:t>
            </w:r>
          </w:p>
        </w:tc>
        <w:tc>
          <w:tcPr>
            <w:tcW w:w="1362" w:type="dxa"/>
            <w:vAlign w:val="center"/>
          </w:tcPr>
          <w:p w:rsidR="00EB408D" w:rsidRPr="00C45AC0" w:rsidRDefault="00EB408D" w:rsidP="001763E1">
            <w:pPr>
              <w:ind w:right="40"/>
              <w:jc w:val="center"/>
              <w:rPr>
                <w:sz w:val="20"/>
                <w:szCs w:val="20"/>
              </w:rPr>
            </w:pPr>
            <w:r>
              <w:rPr>
                <w:sz w:val="20"/>
                <w:szCs w:val="20"/>
              </w:rPr>
              <w:t>4,8</w:t>
            </w:r>
          </w:p>
        </w:tc>
      </w:tr>
    </w:tbl>
    <w:p w:rsidR="00EB408D" w:rsidRPr="00C45AC0" w:rsidRDefault="00EB408D" w:rsidP="00EB408D">
      <w:pPr>
        <w:ind w:left="-360" w:right="40"/>
        <w:rPr>
          <w:sz w:val="4"/>
          <w:szCs w:val="4"/>
        </w:rPr>
      </w:pPr>
    </w:p>
    <w:p w:rsidR="00EB408D" w:rsidRPr="00C45AC0" w:rsidRDefault="00EB408D" w:rsidP="00EB408D">
      <w:pPr>
        <w:ind w:left="-360" w:right="40"/>
        <w:rPr>
          <w:sz w:val="18"/>
          <w:szCs w:val="18"/>
        </w:rPr>
      </w:pPr>
      <w:r w:rsidRPr="00C45AC0">
        <w:rPr>
          <w:sz w:val="18"/>
          <w:szCs w:val="18"/>
        </w:rPr>
        <w:t>Kaynak: Betam. *mea: mevsim ve takvim etkilerinden arındırılmış.  **tea: takvim etkilerinden arındırılmış.</w:t>
      </w:r>
    </w:p>
    <w:p w:rsidR="00EB408D" w:rsidRPr="00C45AC0" w:rsidRDefault="00EB408D" w:rsidP="00EB408D">
      <w:pPr>
        <w:spacing w:line="360" w:lineRule="auto"/>
        <w:ind w:right="42"/>
        <w:rPr>
          <w:b/>
          <w:bCs/>
          <w:sz w:val="22"/>
          <w:szCs w:val="22"/>
        </w:rPr>
      </w:pPr>
    </w:p>
    <w:p w:rsidR="00EB408D" w:rsidRPr="00C45AC0" w:rsidRDefault="00EB408D" w:rsidP="00EB408D">
      <w:pPr>
        <w:ind w:left="-360"/>
        <w:rPr>
          <w:rFonts w:ascii="Arial" w:hAnsi="Arial" w:cs="Arial"/>
          <w:sz w:val="16"/>
          <w:szCs w:val="16"/>
        </w:rPr>
      </w:pPr>
    </w:p>
    <w:p w:rsidR="00EB408D" w:rsidRDefault="00EB408D" w:rsidP="00EB408D">
      <w:pPr>
        <w:spacing w:line="360" w:lineRule="auto"/>
        <w:ind w:left="-360" w:right="42"/>
        <w:jc w:val="center"/>
        <w:rPr>
          <w:b/>
          <w:sz w:val="22"/>
          <w:szCs w:val="22"/>
        </w:rPr>
      </w:pPr>
      <w:r>
        <w:rPr>
          <w:b/>
          <w:sz w:val="22"/>
          <w:szCs w:val="22"/>
        </w:rPr>
        <w:t>İlk çeyrekte iç ve dış talep zayıf</w:t>
      </w:r>
    </w:p>
    <w:p w:rsidR="00EB408D" w:rsidRPr="00C45AC0" w:rsidRDefault="00EB408D" w:rsidP="00EB408D">
      <w:pPr>
        <w:spacing w:line="360" w:lineRule="auto"/>
        <w:ind w:left="-360" w:right="42"/>
        <w:jc w:val="center"/>
        <w:rPr>
          <w:b/>
          <w:sz w:val="22"/>
          <w:szCs w:val="22"/>
        </w:rPr>
      </w:pPr>
    </w:p>
    <w:p w:rsidR="00EB408D" w:rsidRDefault="00EB408D" w:rsidP="00EB408D">
      <w:pPr>
        <w:spacing w:line="360" w:lineRule="auto"/>
        <w:ind w:left="-360" w:right="42"/>
        <w:jc w:val="both"/>
        <w:rPr>
          <w:sz w:val="22"/>
          <w:szCs w:val="22"/>
        </w:rPr>
      </w:pPr>
      <w:r>
        <w:rPr>
          <w:sz w:val="22"/>
          <w:szCs w:val="22"/>
        </w:rPr>
        <w:t xml:space="preserve">Sanayi üretiminde Aralık ayında görülen artış uzun soluklu olmadı. Ocak ayında üretim yüzde 1,4 oranında düştü.  Aralık ayındaki yüzde 1,2'lik artış da aşağı yönlü revize edilerek yüzde 0,7'ye indi. Böylece 2014 son çeyrekte sanayi üretimi önceki tahmin olan yüzde 0,5 yerine yüzde 0,7 oranında düşmüş oldu. Ocak ayındaki düşüş ise ilk çeyrekte sanayi üretiminin yüzde 1 oranında düşebileceğini gösteriyor. </w:t>
      </w:r>
    </w:p>
    <w:p w:rsidR="00E07F02" w:rsidRDefault="00E07F02" w:rsidP="00EB408D">
      <w:pPr>
        <w:spacing w:line="360" w:lineRule="auto"/>
        <w:ind w:left="-360" w:right="42"/>
        <w:jc w:val="both"/>
        <w:rPr>
          <w:sz w:val="22"/>
          <w:szCs w:val="22"/>
        </w:rPr>
      </w:pPr>
    </w:p>
    <w:p w:rsidR="00EB408D" w:rsidRDefault="00EB408D" w:rsidP="00EB408D">
      <w:pPr>
        <w:spacing w:line="360" w:lineRule="auto"/>
        <w:ind w:left="-360" w:right="42"/>
        <w:jc w:val="both"/>
        <w:rPr>
          <w:sz w:val="22"/>
          <w:szCs w:val="22"/>
        </w:rPr>
      </w:pPr>
      <w:r>
        <w:rPr>
          <w:sz w:val="22"/>
          <w:szCs w:val="22"/>
        </w:rPr>
        <w:lastRenderedPageBreak/>
        <w:t>Üretimdeki bu zayıflık ihracata da yansıyor. İhracat miktar endeksi Ocak ayında yüzde 6 oranında artmasına karşın, altın hariç bakıldığında yüzde 0,4'lük düşük bir artışa işaret ediyor. Yıllık bazda ise ihracat hem Ocak hem de TİM rakamlarına göre Şubat ayında düşüyor. İthalat talebi de gerilemeye devam ediyor. İthalattaki gerileme sayesinde net dış talep katkısının ilk çeyrekte pozitif olmasını bekliyoruz.</w:t>
      </w:r>
    </w:p>
    <w:p w:rsidR="00EB408D" w:rsidRDefault="00EB408D" w:rsidP="00EB408D">
      <w:pPr>
        <w:spacing w:line="360" w:lineRule="auto"/>
        <w:ind w:left="-360" w:right="42"/>
        <w:jc w:val="both"/>
        <w:rPr>
          <w:sz w:val="22"/>
          <w:szCs w:val="22"/>
        </w:rPr>
      </w:pPr>
    </w:p>
    <w:p w:rsidR="00EB408D" w:rsidRDefault="00EB408D" w:rsidP="00EB408D">
      <w:pPr>
        <w:spacing w:line="360" w:lineRule="auto"/>
        <w:ind w:left="-360" w:right="42"/>
        <w:jc w:val="both"/>
        <w:rPr>
          <w:sz w:val="22"/>
          <w:szCs w:val="22"/>
        </w:rPr>
      </w:pPr>
      <w:r>
        <w:rPr>
          <w:sz w:val="22"/>
          <w:szCs w:val="22"/>
        </w:rPr>
        <w:t xml:space="preserve">Tüketim göstergeleri otomobil üretim ve satış rakamları hariç olumlu değil. Tüketici güven endeksi son 4 aydır düşüyor. Dayanıklı ve dayanıksız tüketim malları imalatı ve ithalatları da Ocak ayında geriledi. Yatırım tarafında ise </w:t>
      </w:r>
      <w:r w:rsidR="002C11F9">
        <w:rPr>
          <w:sz w:val="22"/>
          <w:szCs w:val="22"/>
        </w:rPr>
        <w:t>görünüm</w:t>
      </w:r>
      <w:r>
        <w:rPr>
          <w:sz w:val="22"/>
          <w:szCs w:val="22"/>
        </w:rPr>
        <w:t xml:space="preserve"> biraz daha olumlu. Sanayi üretimindeki düşüşe rağmen yatırım malı imalat ve ithalatında artışlar var. Reel kesim güven endeksi oldukça zayıf olsa da yatırım harcamalarında küçük artışlar </w:t>
      </w:r>
    </w:p>
    <w:p w:rsidR="00EB408D" w:rsidRDefault="00EB408D" w:rsidP="00EB408D">
      <w:pPr>
        <w:spacing w:line="360" w:lineRule="auto"/>
        <w:ind w:left="-360" w:right="42"/>
        <w:jc w:val="both"/>
        <w:rPr>
          <w:sz w:val="22"/>
          <w:szCs w:val="22"/>
        </w:rPr>
      </w:pPr>
      <w:r>
        <w:rPr>
          <w:sz w:val="22"/>
          <w:szCs w:val="22"/>
        </w:rPr>
        <w:t xml:space="preserve">görebiliriz. Kamu harcamaları da </w:t>
      </w:r>
      <w:r w:rsidR="009D1D95">
        <w:rPr>
          <w:sz w:val="22"/>
          <w:szCs w:val="22"/>
        </w:rPr>
        <w:t>az da</w:t>
      </w:r>
      <w:r>
        <w:rPr>
          <w:sz w:val="22"/>
          <w:szCs w:val="22"/>
        </w:rPr>
        <w:t xml:space="preserve"> olsa artış göstererek büyümeyi destekliyor.</w:t>
      </w:r>
    </w:p>
    <w:p w:rsidR="00EB408D" w:rsidRPr="00C45AC0" w:rsidRDefault="00EB408D" w:rsidP="00EB408D">
      <w:pPr>
        <w:spacing w:line="360" w:lineRule="auto"/>
        <w:ind w:left="-360" w:right="42"/>
        <w:jc w:val="both"/>
        <w:rPr>
          <w:sz w:val="22"/>
          <w:szCs w:val="22"/>
        </w:rPr>
      </w:pPr>
    </w:p>
    <w:p w:rsidR="00EB408D" w:rsidRDefault="00EB408D" w:rsidP="00EB408D">
      <w:pPr>
        <w:spacing w:line="360" w:lineRule="auto"/>
        <w:ind w:left="-360" w:right="40"/>
        <w:jc w:val="both"/>
        <w:rPr>
          <w:sz w:val="22"/>
          <w:szCs w:val="22"/>
        </w:rPr>
      </w:pPr>
      <w:r>
        <w:rPr>
          <w:sz w:val="22"/>
          <w:szCs w:val="22"/>
        </w:rPr>
        <w:t xml:space="preserve">İlk çeyreğe ilişkin elimizdeki kısıtlı sayıdaki gösterge ilk çeyrekte hem iç hem de dış talebin zayıf olduğunu, yatırım ve kamu harcamalarında küçük artışlar olsa da tüketim ve ihracattaki zayıflığın büyümeyi aşağıya çekeceğini gösteriyor. Betam'ın büyüme tahmini ekonomide bir önceki çeyreğe kıyasla yüzde 0,2'lik </w:t>
      </w:r>
      <w:r w:rsidR="00B65CB1">
        <w:rPr>
          <w:sz w:val="22"/>
          <w:szCs w:val="22"/>
        </w:rPr>
        <w:t>sınırlı</w:t>
      </w:r>
      <w:r>
        <w:rPr>
          <w:sz w:val="22"/>
          <w:szCs w:val="22"/>
        </w:rPr>
        <w:t xml:space="preserve"> bir artışı öngörüyor. </w:t>
      </w:r>
      <w:r w:rsidRPr="00C45AC0">
        <w:rPr>
          <w:sz w:val="22"/>
          <w:szCs w:val="22"/>
        </w:rPr>
        <w:t xml:space="preserve">Önceki yılın aynı çeyreğine göre </w:t>
      </w:r>
      <w:r>
        <w:rPr>
          <w:sz w:val="22"/>
          <w:szCs w:val="22"/>
        </w:rPr>
        <w:t xml:space="preserve">ise büyüme görülmüyor. Ekonomi 2014 yılının ikinci çeyreğinde </w:t>
      </w:r>
      <w:r w:rsidR="00B65CB1">
        <w:rPr>
          <w:sz w:val="22"/>
          <w:szCs w:val="22"/>
        </w:rPr>
        <w:t xml:space="preserve">bir önceki çyereğe kıyasla </w:t>
      </w:r>
      <w:r>
        <w:rPr>
          <w:sz w:val="22"/>
          <w:szCs w:val="22"/>
        </w:rPr>
        <w:t>yüzde 0,5 oranında küçülmüştü. Üçüncü çeyrekte ise yüzde 0,4'lük bir artış göstermiş ancak ikinci çeyrekteki düşüşü telafi edememiş</w:t>
      </w:r>
      <w:r w:rsidR="00366D41">
        <w:rPr>
          <w:sz w:val="22"/>
          <w:szCs w:val="22"/>
        </w:rPr>
        <w:t>ti</w:t>
      </w:r>
      <w:r>
        <w:rPr>
          <w:sz w:val="22"/>
          <w:szCs w:val="22"/>
        </w:rPr>
        <w:t xml:space="preserve">. 2015 ilk çeyrekte de </w:t>
      </w:r>
      <w:r w:rsidR="00366D41">
        <w:rPr>
          <w:sz w:val="22"/>
          <w:szCs w:val="22"/>
        </w:rPr>
        <w:t xml:space="preserve">bu daralma </w:t>
      </w:r>
      <w:r>
        <w:rPr>
          <w:sz w:val="22"/>
          <w:szCs w:val="22"/>
        </w:rPr>
        <w:t xml:space="preserve">hala telafi edebilmiş görünmüyor. </w:t>
      </w:r>
    </w:p>
    <w:p w:rsidR="00EB408D" w:rsidRDefault="00EB408D" w:rsidP="00EB408D">
      <w:pPr>
        <w:spacing w:line="360" w:lineRule="auto"/>
        <w:ind w:left="-360" w:right="42"/>
        <w:jc w:val="both"/>
        <w:rPr>
          <w:sz w:val="22"/>
          <w:szCs w:val="22"/>
        </w:rPr>
      </w:pPr>
    </w:p>
    <w:p w:rsidR="00EB408D" w:rsidRDefault="00EB408D" w:rsidP="00EB408D">
      <w:pPr>
        <w:spacing w:line="360" w:lineRule="auto"/>
        <w:ind w:left="-360" w:right="42"/>
        <w:jc w:val="center"/>
        <w:rPr>
          <w:b/>
          <w:sz w:val="22"/>
          <w:szCs w:val="22"/>
        </w:rPr>
      </w:pPr>
      <w:r>
        <w:rPr>
          <w:b/>
          <w:sz w:val="22"/>
          <w:szCs w:val="22"/>
        </w:rPr>
        <w:lastRenderedPageBreak/>
        <w:t>Kurdaki geliş</w:t>
      </w:r>
      <w:r w:rsidRPr="000056C3">
        <w:rPr>
          <w:b/>
          <w:sz w:val="22"/>
          <w:szCs w:val="22"/>
        </w:rPr>
        <w:t>meler</w:t>
      </w:r>
      <w:r>
        <w:rPr>
          <w:b/>
          <w:sz w:val="22"/>
          <w:szCs w:val="22"/>
        </w:rPr>
        <w:t xml:space="preserve"> ve büyüme</w:t>
      </w:r>
    </w:p>
    <w:p w:rsidR="00E07F02" w:rsidRPr="000056C3" w:rsidRDefault="00E07F02" w:rsidP="00EB408D">
      <w:pPr>
        <w:spacing w:line="360" w:lineRule="auto"/>
        <w:ind w:left="-360" w:right="42"/>
        <w:jc w:val="center"/>
        <w:rPr>
          <w:b/>
          <w:sz w:val="22"/>
          <w:szCs w:val="22"/>
        </w:rPr>
      </w:pPr>
    </w:p>
    <w:p w:rsidR="00EB408D" w:rsidRDefault="00EB408D" w:rsidP="00EB408D">
      <w:pPr>
        <w:spacing w:line="360" w:lineRule="auto"/>
        <w:ind w:left="-360" w:right="42"/>
        <w:jc w:val="both"/>
        <w:rPr>
          <w:sz w:val="22"/>
          <w:szCs w:val="22"/>
        </w:rPr>
      </w:pPr>
      <w:r>
        <w:rPr>
          <w:sz w:val="22"/>
          <w:szCs w:val="22"/>
        </w:rPr>
        <w:t>Mart ayına Avrupa Merkez Bankası'nın miktarsal genişleme hamlesi ve Amerikan ekonomisine dair iyi gelen veriler damgasını vurdu. Euro dolar karşısında önemli oranda gerilerken gelişmekte olan ülke para birimleri değer kaybetti. TL'de Şubat ayında başlayan hızlı değer kaybı Mart'ta devam etti. Dün FED'in toplantı karar metninden faizlerin artırılmasına ilişkin sabırlı olunacağına ilişkin ifadenin çıkarılmasına rağmen Janet Yellen'ın ılımlı ifadeleri ve FED başkanlarının 2015 faiz tahminlerinin ortalamasının aşağıya çekilmesi piyasalarda olumlu bir etki yaptı. Ancak 2015 yılı içerisinde faiz artırımı beklentisi değişmedi. TL ve Euro/dolar paritesinde kısıtlı bir gevşeme meydana geldi.</w:t>
      </w:r>
    </w:p>
    <w:p w:rsidR="00EB408D" w:rsidRDefault="00EB408D" w:rsidP="00EB408D">
      <w:pPr>
        <w:spacing w:line="360" w:lineRule="auto"/>
        <w:ind w:left="-360" w:right="42"/>
        <w:jc w:val="both"/>
        <w:rPr>
          <w:sz w:val="22"/>
          <w:szCs w:val="22"/>
        </w:rPr>
      </w:pPr>
    </w:p>
    <w:p w:rsidR="00CE0AB0" w:rsidRPr="00C45AC0" w:rsidRDefault="00EB408D" w:rsidP="00CE382D">
      <w:pPr>
        <w:spacing w:line="360" w:lineRule="auto"/>
        <w:ind w:left="-360" w:right="42"/>
        <w:jc w:val="both"/>
        <w:rPr>
          <w:sz w:val="22"/>
          <w:szCs w:val="22"/>
        </w:rPr>
      </w:pPr>
      <w:r>
        <w:rPr>
          <w:sz w:val="22"/>
          <w:szCs w:val="22"/>
        </w:rPr>
        <w:t>Türkiye'de ise artan kurun enflasyon ve dolayısıyla para politikası üzerindeki baskısı devam ediyor. Merkez Bankası Salı günkü toplantısında faiz artırmayarak enflasyonda belirgin bir düşüş görmeden faiz indirimlerine devam etmeyeceği sinyalini verdi. Cumhurbaşkanı Erdoğan ile yapılan görüşme sonrası açıklamalar en azından bir süre içeride faiz indirimleri konusunda tartışma yaşanmayacağını gösteriyor. Ancak tüm bunlar FED'in bu yıl içerisinde faiz artıracağı ve Türkiye dahil bir çok gelişmekte olan ülkenin daha sıkı para politikası uygulamak zorunda kalacağı gerçeğini değiştirmiyor. Dolayısıyla 2015 yılında iç talepte önemli bir canlanma beklemiyoruz. Avrupa Merkez Bankası politikaları Avrupa talebi üzerinde etkili olursa dış talepte sınırlı bir canlanma yılın sonuna doğru görülebilir. Genel olarak bakıldığında 2015 yılında büyümenin oldukça zayıf kalacağını öngörüyoruz.</w:t>
      </w:r>
    </w:p>
    <w:p w:rsidR="0002037B" w:rsidRDefault="00EB408D" w:rsidP="007F160B">
      <w:pPr>
        <w:spacing w:line="360" w:lineRule="auto"/>
        <w:ind w:left="-360" w:right="42"/>
        <w:jc w:val="center"/>
        <w:rPr>
          <w:b/>
          <w:bCs/>
          <w:sz w:val="22"/>
          <w:szCs w:val="22"/>
        </w:rPr>
      </w:pPr>
      <w:r>
        <w:rPr>
          <w:b/>
          <w:bCs/>
          <w:sz w:val="22"/>
          <w:szCs w:val="22"/>
        </w:rPr>
        <w:lastRenderedPageBreak/>
        <w:t>Tüketici güveni azalıyor</w:t>
      </w:r>
    </w:p>
    <w:p w:rsidR="00E07F02" w:rsidRPr="007F160B" w:rsidRDefault="00E07F02" w:rsidP="007F160B">
      <w:pPr>
        <w:spacing w:line="360" w:lineRule="auto"/>
        <w:ind w:left="-360" w:right="42"/>
        <w:jc w:val="center"/>
        <w:rPr>
          <w:b/>
          <w:bCs/>
          <w:sz w:val="22"/>
          <w:szCs w:val="22"/>
        </w:rPr>
      </w:pPr>
    </w:p>
    <w:p w:rsidR="0002037B" w:rsidRDefault="00EB408D" w:rsidP="00EB408D">
      <w:pPr>
        <w:spacing w:line="360" w:lineRule="auto"/>
        <w:ind w:left="-360" w:right="42"/>
        <w:jc w:val="both"/>
        <w:rPr>
          <w:sz w:val="22"/>
          <w:szCs w:val="22"/>
        </w:rPr>
      </w:pPr>
      <w:r>
        <w:rPr>
          <w:sz w:val="22"/>
          <w:szCs w:val="22"/>
        </w:rPr>
        <w:t>Ocak</w:t>
      </w:r>
      <w:r w:rsidR="0002037B">
        <w:rPr>
          <w:sz w:val="22"/>
          <w:szCs w:val="22"/>
        </w:rPr>
        <w:t xml:space="preserve"> </w:t>
      </w:r>
      <w:r w:rsidR="0002037B" w:rsidRPr="00997A4D">
        <w:rPr>
          <w:sz w:val="22"/>
          <w:szCs w:val="22"/>
        </w:rPr>
        <w:t>ayında bir önceki aya göre tüketim malı ithalatı</w:t>
      </w:r>
      <w:r>
        <w:rPr>
          <w:sz w:val="22"/>
          <w:szCs w:val="22"/>
        </w:rPr>
        <w:t>,</w:t>
      </w:r>
      <w:r w:rsidR="0002037B" w:rsidRPr="00997A4D">
        <w:rPr>
          <w:sz w:val="22"/>
          <w:szCs w:val="22"/>
        </w:rPr>
        <w:t xml:space="preserve"> dayanık</w:t>
      </w:r>
      <w:r w:rsidR="0002037B">
        <w:rPr>
          <w:sz w:val="22"/>
          <w:szCs w:val="22"/>
        </w:rPr>
        <w:t>lı</w:t>
      </w:r>
      <w:r w:rsidR="0002037B" w:rsidRPr="00997A4D">
        <w:rPr>
          <w:sz w:val="22"/>
          <w:szCs w:val="22"/>
        </w:rPr>
        <w:t xml:space="preserve"> tüketim malı imalatı</w:t>
      </w:r>
      <w:r>
        <w:rPr>
          <w:sz w:val="22"/>
          <w:szCs w:val="22"/>
        </w:rPr>
        <w:t xml:space="preserve"> ve dayanıksız tüketim malı imalatı</w:t>
      </w:r>
      <w:r w:rsidR="0002037B" w:rsidRPr="00997A4D">
        <w:rPr>
          <w:sz w:val="22"/>
          <w:szCs w:val="22"/>
        </w:rPr>
        <w:t xml:space="preserve"> sırasıyla yüzde </w:t>
      </w:r>
      <w:r>
        <w:rPr>
          <w:sz w:val="22"/>
          <w:szCs w:val="22"/>
        </w:rPr>
        <w:t>6,4, yüzde 5,0 ve</w:t>
      </w:r>
      <w:r w:rsidR="0002037B" w:rsidRPr="00997A4D">
        <w:rPr>
          <w:sz w:val="22"/>
          <w:szCs w:val="22"/>
        </w:rPr>
        <w:t xml:space="preserve"> </w:t>
      </w:r>
      <w:r w:rsidR="0002037B">
        <w:rPr>
          <w:sz w:val="22"/>
          <w:szCs w:val="22"/>
        </w:rPr>
        <w:t xml:space="preserve">yüzde </w:t>
      </w:r>
      <w:r>
        <w:rPr>
          <w:sz w:val="22"/>
          <w:szCs w:val="22"/>
        </w:rPr>
        <w:t>2,0</w:t>
      </w:r>
      <w:r w:rsidR="0002037B">
        <w:rPr>
          <w:sz w:val="22"/>
          <w:szCs w:val="22"/>
        </w:rPr>
        <w:t xml:space="preserve"> </w:t>
      </w:r>
      <w:r>
        <w:rPr>
          <w:sz w:val="22"/>
          <w:szCs w:val="22"/>
        </w:rPr>
        <w:t xml:space="preserve">azaldı. </w:t>
      </w:r>
      <w:r w:rsidR="0002037B">
        <w:rPr>
          <w:sz w:val="22"/>
          <w:szCs w:val="22"/>
        </w:rPr>
        <w:t>Tüketici güven endeksi</w:t>
      </w:r>
      <w:r w:rsidR="00E07F02">
        <w:rPr>
          <w:sz w:val="22"/>
          <w:szCs w:val="22"/>
        </w:rPr>
        <w:t xml:space="preserve"> de</w:t>
      </w:r>
      <w:r w:rsidR="0002037B">
        <w:rPr>
          <w:sz w:val="22"/>
          <w:szCs w:val="22"/>
        </w:rPr>
        <w:t xml:space="preserve"> </w:t>
      </w:r>
      <w:r w:rsidR="00E07F02">
        <w:rPr>
          <w:sz w:val="22"/>
          <w:szCs w:val="22"/>
        </w:rPr>
        <w:t>uzun zamandır azalma eğiliminde</w:t>
      </w:r>
      <w:r w:rsidR="0002037B">
        <w:rPr>
          <w:sz w:val="22"/>
          <w:szCs w:val="22"/>
        </w:rPr>
        <w:t xml:space="preserve">. En son </w:t>
      </w:r>
      <w:r>
        <w:rPr>
          <w:sz w:val="22"/>
          <w:szCs w:val="22"/>
        </w:rPr>
        <w:t>Şubat</w:t>
      </w:r>
      <w:r w:rsidR="0002037B">
        <w:rPr>
          <w:sz w:val="22"/>
          <w:szCs w:val="22"/>
        </w:rPr>
        <w:t xml:space="preserve"> ayında yüzde </w:t>
      </w:r>
      <w:r>
        <w:rPr>
          <w:sz w:val="22"/>
          <w:szCs w:val="22"/>
        </w:rPr>
        <w:t>0,4</w:t>
      </w:r>
      <w:r w:rsidR="0002037B">
        <w:rPr>
          <w:sz w:val="22"/>
          <w:szCs w:val="22"/>
        </w:rPr>
        <w:t xml:space="preserve"> daha azaldı. Özel tüketim vergisi gelirleri ise </w:t>
      </w:r>
      <w:r>
        <w:rPr>
          <w:sz w:val="22"/>
          <w:szCs w:val="22"/>
        </w:rPr>
        <w:t>Şubat</w:t>
      </w:r>
      <w:r w:rsidR="0002037B">
        <w:rPr>
          <w:sz w:val="22"/>
          <w:szCs w:val="22"/>
        </w:rPr>
        <w:t xml:space="preserve"> ayında yüzde </w:t>
      </w:r>
      <w:r>
        <w:rPr>
          <w:sz w:val="22"/>
          <w:szCs w:val="22"/>
        </w:rPr>
        <w:t>0,4</w:t>
      </w:r>
      <w:r w:rsidR="0002037B">
        <w:rPr>
          <w:sz w:val="22"/>
          <w:szCs w:val="22"/>
        </w:rPr>
        <w:t xml:space="preserve"> arttı.</w:t>
      </w:r>
      <w:r>
        <w:rPr>
          <w:sz w:val="22"/>
          <w:szCs w:val="22"/>
        </w:rPr>
        <w:t xml:space="preserve"> Bu verilere göre 2015</w:t>
      </w:r>
      <w:r w:rsidR="0008735C">
        <w:rPr>
          <w:sz w:val="22"/>
          <w:szCs w:val="22"/>
        </w:rPr>
        <w:t>'in</w:t>
      </w:r>
      <w:r>
        <w:rPr>
          <w:sz w:val="22"/>
          <w:szCs w:val="22"/>
        </w:rPr>
        <w:t xml:space="preserve"> </w:t>
      </w:r>
      <w:r w:rsidR="0008735C">
        <w:rPr>
          <w:sz w:val="22"/>
          <w:szCs w:val="22"/>
        </w:rPr>
        <w:t>ilk</w:t>
      </w:r>
      <w:r>
        <w:rPr>
          <w:sz w:val="22"/>
          <w:szCs w:val="22"/>
        </w:rPr>
        <w:t xml:space="preserve"> çeyre</w:t>
      </w:r>
      <w:r w:rsidR="0008735C">
        <w:rPr>
          <w:sz w:val="22"/>
          <w:szCs w:val="22"/>
        </w:rPr>
        <w:t>ğinde</w:t>
      </w:r>
      <w:r>
        <w:rPr>
          <w:sz w:val="22"/>
          <w:szCs w:val="22"/>
        </w:rPr>
        <w:t xml:space="preserve"> özel tüketimde durgunluğun devam etmesini bekliyoruz.</w:t>
      </w:r>
    </w:p>
    <w:p w:rsidR="0002037B" w:rsidRDefault="0002037B" w:rsidP="0002037B">
      <w:pPr>
        <w:spacing w:line="360" w:lineRule="auto"/>
        <w:ind w:left="-360" w:right="42"/>
        <w:jc w:val="both"/>
        <w:rPr>
          <w:b/>
          <w:bCs/>
          <w:sz w:val="22"/>
          <w:szCs w:val="22"/>
        </w:rPr>
      </w:pPr>
    </w:p>
    <w:p w:rsidR="0002037B" w:rsidRDefault="00EB408D" w:rsidP="007F160B">
      <w:pPr>
        <w:spacing w:line="360" w:lineRule="auto"/>
        <w:ind w:left="-360" w:right="42"/>
        <w:jc w:val="center"/>
        <w:rPr>
          <w:b/>
          <w:bCs/>
          <w:sz w:val="22"/>
          <w:szCs w:val="22"/>
        </w:rPr>
      </w:pPr>
      <w:r>
        <w:rPr>
          <w:b/>
          <w:bCs/>
          <w:sz w:val="22"/>
          <w:szCs w:val="22"/>
        </w:rPr>
        <w:t>Yatırım malı ithalatı artıyor</w:t>
      </w:r>
    </w:p>
    <w:p w:rsidR="00E07F02" w:rsidRPr="007F160B" w:rsidRDefault="00E07F02" w:rsidP="007F160B">
      <w:pPr>
        <w:spacing w:line="360" w:lineRule="auto"/>
        <w:ind w:left="-360" w:right="42"/>
        <w:jc w:val="center"/>
        <w:rPr>
          <w:b/>
          <w:bCs/>
          <w:sz w:val="22"/>
          <w:szCs w:val="22"/>
        </w:rPr>
      </w:pPr>
    </w:p>
    <w:p w:rsidR="0002037B" w:rsidRDefault="00EB408D" w:rsidP="0002037B">
      <w:pPr>
        <w:spacing w:line="360" w:lineRule="auto"/>
        <w:ind w:left="-360" w:right="42"/>
        <w:jc w:val="both"/>
        <w:rPr>
          <w:bCs/>
          <w:sz w:val="22"/>
          <w:szCs w:val="22"/>
        </w:rPr>
      </w:pPr>
      <w:r>
        <w:rPr>
          <w:bCs/>
          <w:sz w:val="22"/>
          <w:szCs w:val="22"/>
        </w:rPr>
        <w:t>Ocak</w:t>
      </w:r>
      <w:r w:rsidR="0002037B">
        <w:rPr>
          <w:bCs/>
          <w:sz w:val="22"/>
          <w:szCs w:val="22"/>
        </w:rPr>
        <w:t xml:space="preserve"> ayında bir önceki aya göre yatırım malı ithalatı </w:t>
      </w:r>
      <w:r>
        <w:rPr>
          <w:bCs/>
          <w:sz w:val="22"/>
          <w:szCs w:val="22"/>
        </w:rPr>
        <w:t>ve yatırım malı i</w:t>
      </w:r>
      <w:r w:rsidR="000616F0">
        <w:rPr>
          <w:bCs/>
          <w:sz w:val="22"/>
          <w:szCs w:val="22"/>
        </w:rPr>
        <w:t>malatı</w:t>
      </w:r>
      <w:r>
        <w:rPr>
          <w:bCs/>
          <w:sz w:val="22"/>
          <w:szCs w:val="22"/>
        </w:rPr>
        <w:t xml:space="preserve"> sırasıyla</w:t>
      </w:r>
      <w:r w:rsidR="0002037B">
        <w:rPr>
          <w:bCs/>
          <w:sz w:val="22"/>
          <w:szCs w:val="22"/>
        </w:rPr>
        <w:t xml:space="preserve"> yüzde </w:t>
      </w:r>
      <w:r>
        <w:rPr>
          <w:bCs/>
          <w:sz w:val="22"/>
          <w:szCs w:val="22"/>
        </w:rPr>
        <w:t>10</w:t>
      </w:r>
      <w:r w:rsidR="0002037B">
        <w:rPr>
          <w:bCs/>
          <w:sz w:val="22"/>
          <w:szCs w:val="22"/>
        </w:rPr>
        <w:t>,5</w:t>
      </w:r>
      <w:r>
        <w:rPr>
          <w:bCs/>
          <w:sz w:val="22"/>
          <w:szCs w:val="22"/>
        </w:rPr>
        <w:t xml:space="preserve"> ve yüzde 0,8</w:t>
      </w:r>
      <w:r w:rsidR="0002037B">
        <w:rPr>
          <w:bCs/>
          <w:sz w:val="22"/>
          <w:szCs w:val="22"/>
        </w:rPr>
        <w:t xml:space="preserve"> arttı.</w:t>
      </w:r>
      <w:r>
        <w:rPr>
          <w:bCs/>
          <w:sz w:val="22"/>
          <w:szCs w:val="22"/>
        </w:rPr>
        <w:t xml:space="preserve"> </w:t>
      </w:r>
      <w:r w:rsidR="00D6701C">
        <w:rPr>
          <w:bCs/>
          <w:sz w:val="22"/>
          <w:szCs w:val="22"/>
        </w:rPr>
        <w:t>A</w:t>
      </w:r>
      <w:r>
        <w:rPr>
          <w:bCs/>
          <w:sz w:val="22"/>
          <w:szCs w:val="22"/>
        </w:rPr>
        <w:t>ynı dönemde SÜE</w:t>
      </w:r>
      <w:r w:rsidR="00D6701C">
        <w:rPr>
          <w:bCs/>
          <w:sz w:val="22"/>
          <w:szCs w:val="22"/>
        </w:rPr>
        <w:t xml:space="preserve"> ise</w:t>
      </w:r>
      <w:r>
        <w:rPr>
          <w:bCs/>
          <w:sz w:val="22"/>
          <w:szCs w:val="22"/>
        </w:rPr>
        <w:t xml:space="preserve"> yüzde 1,4</w:t>
      </w:r>
      <w:r w:rsidR="0002037B">
        <w:rPr>
          <w:bCs/>
          <w:sz w:val="22"/>
          <w:szCs w:val="22"/>
        </w:rPr>
        <w:t xml:space="preserve"> </w:t>
      </w:r>
      <w:r>
        <w:rPr>
          <w:bCs/>
          <w:sz w:val="22"/>
          <w:szCs w:val="22"/>
        </w:rPr>
        <w:t>azaldı</w:t>
      </w:r>
      <w:r w:rsidR="00D6701C">
        <w:rPr>
          <w:bCs/>
          <w:sz w:val="22"/>
          <w:szCs w:val="22"/>
        </w:rPr>
        <w:t>. Kapasite kullanım oranı (KKO)</w:t>
      </w:r>
      <w:r w:rsidR="0002037B">
        <w:rPr>
          <w:bCs/>
          <w:sz w:val="22"/>
          <w:szCs w:val="22"/>
        </w:rPr>
        <w:t xml:space="preserve"> hem </w:t>
      </w:r>
      <w:r>
        <w:rPr>
          <w:bCs/>
          <w:sz w:val="22"/>
          <w:szCs w:val="22"/>
        </w:rPr>
        <w:t>Aralık</w:t>
      </w:r>
      <w:r w:rsidR="0002037B">
        <w:rPr>
          <w:bCs/>
          <w:sz w:val="22"/>
          <w:szCs w:val="22"/>
        </w:rPr>
        <w:t xml:space="preserve"> hem de </w:t>
      </w:r>
      <w:r>
        <w:rPr>
          <w:bCs/>
          <w:sz w:val="22"/>
          <w:szCs w:val="22"/>
        </w:rPr>
        <w:t>Ocak</w:t>
      </w:r>
      <w:r w:rsidR="0002037B">
        <w:rPr>
          <w:bCs/>
          <w:sz w:val="22"/>
          <w:szCs w:val="22"/>
        </w:rPr>
        <w:t xml:space="preserve"> ayında </w:t>
      </w:r>
      <w:r w:rsidR="00D6701C">
        <w:rPr>
          <w:bCs/>
          <w:sz w:val="22"/>
          <w:szCs w:val="22"/>
        </w:rPr>
        <w:t>artmıştı.</w:t>
      </w:r>
      <w:r>
        <w:rPr>
          <w:bCs/>
          <w:sz w:val="22"/>
          <w:szCs w:val="22"/>
        </w:rPr>
        <w:t xml:space="preserve"> Şubat ayında 0,5 yüzde puan azaldı</w:t>
      </w:r>
      <w:r w:rsidR="0002037B">
        <w:rPr>
          <w:bCs/>
          <w:sz w:val="22"/>
          <w:szCs w:val="22"/>
        </w:rPr>
        <w:t xml:space="preserve">. Reel kesim güven endeksi </w:t>
      </w:r>
      <w:r w:rsidR="00D6701C">
        <w:rPr>
          <w:bCs/>
          <w:sz w:val="22"/>
          <w:szCs w:val="22"/>
        </w:rPr>
        <w:t xml:space="preserve">de </w:t>
      </w:r>
      <w:r>
        <w:rPr>
          <w:bCs/>
          <w:sz w:val="22"/>
          <w:szCs w:val="22"/>
        </w:rPr>
        <w:t>Şubat</w:t>
      </w:r>
      <w:r w:rsidR="0002037B">
        <w:rPr>
          <w:bCs/>
          <w:sz w:val="22"/>
          <w:szCs w:val="22"/>
        </w:rPr>
        <w:t xml:space="preserve"> ayında bir önceki aya göre yüzde </w:t>
      </w:r>
      <w:r>
        <w:rPr>
          <w:bCs/>
          <w:sz w:val="22"/>
          <w:szCs w:val="22"/>
        </w:rPr>
        <w:t>2,1</w:t>
      </w:r>
      <w:r w:rsidR="0002037B">
        <w:rPr>
          <w:bCs/>
          <w:sz w:val="22"/>
          <w:szCs w:val="22"/>
        </w:rPr>
        <w:t xml:space="preserve"> azaldı.</w:t>
      </w:r>
      <w:r w:rsidR="00D6701C">
        <w:rPr>
          <w:bCs/>
          <w:sz w:val="22"/>
          <w:szCs w:val="22"/>
        </w:rPr>
        <w:t xml:space="preserve"> Genel olarak</w:t>
      </w:r>
      <w:r>
        <w:rPr>
          <w:bCs/>
          <w:sz w:val="22"/>
          <w:szCs w:val="22"/>
        </w:rPr>
        <w:t xml:space="preserve"> 2015</w:t>
      </w:r>
      <w:r w:rsidR="0008735C">
        <w:rPr>
          <w:bCs/>
          <w:sz w:val="22"/>
          <w:szCs w:val="22"/>
        </w:rPr>
        <w:t>'in</w:t>
      </w:r>
      <w:r>
        <w:rPr>
          <w:bCs/>
          <w:sz w:val="22"/>
          <w:szCs w:val="22"/>
        </w:rPr>
        <w:t xml:space="preserve"> </w:t>
      </w:r>
      <w:r w:rsidR="0008735C">
        <w:rPr>
          <w:bCs/>
          <w:sz w:val="22"/>
          <w:szCs w:val="22"/>
        </w:rPr>
        <w:t>ilk çeyreğinde</w:t>
      </w:r>
      <w:r>
        <w:rPr>
          <w:bCs/>
          <w:sz w:val="22"/>
          <w:szCs w:val="22"/>
        </w:rPr>
        <w:t xml:space="preserve"> </w:t>
      </w:r>
      <w:r w:rsidR="00D6701C">
        <w:rPr>
          <w:bCs/>
          <w:sz w:val="22"/>
          <w:szCs w:val="22"/>
        </w:rPr>
        <w:t xml:space="preserve">özel </w:t>
      </w:r>
      <w:r>
        <w:rPr>
          <w:bCs/>
          <w:sz w:val="22"/>
          <w:szCs w:val="22"/>
        </w:rPr>
        <w:t>yatırımların yatay seyretmesini bekliyoruz.</w:t>
      </w:r>
    </w:p>
    <w:p w:rsidR="0002037B" w:rsidRDefault="0002037B" w:rsidP="0002037B">
      <w:pPr>
        <w:spacing w:line="360" w:lineRule="auto"/>
        <w:ind w:left="-360" w:right="43"/>
        <w:jc w:val="center"/>
        <w:rPr>
          <w:b/>
          <w:bCs/>
          <w:sz w:val="22"/>
          <w:szCs w:val="22"/>
        </w:rPr>
      </w:pPr>
    </w:p>
    <w:p w:rsidR="0002037B" w:rsidRDefault="0008735C" w:rsidP="0002037B">
      <w:pPr>
        <w:spacing w:line="360" w:lineRule="auto"/>
        <w:ind w:left="-360" w:right="43"/>
        <w:jc w:val="center"/>
        <w:rPr>
          <w:b/>
          <w:bCs/>
          <w:sz w:val="22"/>
          <w:szCs w:val="22"/>
        </w:rPr>
      </w:pPr>
      <w:r>
        <w:rPr>
          <w:b/>
          <w:bCs/>
          <w:sz w:val="22"/>
          <w:szCs w:val="22"/>
        </w:rPr>
        <w:t>İlk</w:t>
      </w:r>
      <w:r w:rsidR="00EB408D">
        <w:rPr>
          <w:b/>
          <w:bCs/>
          <w:sz w:val="22"/>
          <w:szCs w:val="22"/>
        </w:rPr>
        <w:t xml:space="preserve"> </w:t>
      </w:r>
      <w:r>
        <w:rPr>
          <w:b/>
          <w:bCs/>
          <w:sz w:val="22"/>
          <w:szCs w:val="22"/>
        </w:rPr>
        <w:t>ç</w:t>
      </w:r>
      <w:r w:rsidR="00EB408D">
        <w:rPr>
          <w:b/>
          <w:bCs/>
          <w:sz w:val="22"/>
          <w:szCs w:val="22"/>
        </w:rPr>
        <w:t>eyrekte n</w:t>
      </w:r>
      <w:r w:rsidR="0002037B" w:rsidRPr="00C45AC0">
        <w:rPr>
          <w:b/>
          <w:bCs/>
          <w:sz w:val="22"/>
          <w:szCs w:val="22"/>
        </w:rPr>
        <w:t xml:space="preserve">et ihracat </w:t>
      </w:r>
      <w:r w:rsidR="00EB408D">
        <w:rPr>
          <w:b/>
          <w:bCs/>
          <w:sz w:val="22"/>
          <w:szCs w:val="22"/>
        </w:rPr>
        <w:t>pozitifte</w:t>
      </w:r>
    </w:p>
    <w:p w:rsidR="00E07F02" w:rsidRPr="00C45AC0" w:rsidRDefault="00E07F02" w:rsidP="0002037B">
      <w:pPr>
        <w:spacing w:line="360" w:lineRule="auto"/>
        <w:ind w:left="-360" w:right="43"/>
        <w:jc w:val="center"/>
        <w:rPr>
          <w:b/>
          <w:bCs/>
          <w:sz w:val="22"/>
          <w:szCs w:val="22"/>
        </w:rPr>
      </w:pPr>
    </w:p>
    <w:p w:rsidR="0002037B" w:rsidRDefault="0002037B" w:rsidP="0002037B">
      <w:pPr>
        <w:spacing w:line="360" w:lineRule="auto"/>
        <w:ind w:left="-360" w:right="43"/>
        <w:jc w:val="both"/>
        <w:rPr>
          <w:sz w:val="22"/>
          <w:szCs w:val="22"/>
        </w:rPr>
      </w:pPr>
      <w:r w:rsidRPr="00C45AC0">
        <w:rPr>
          <w:sz w:val="22"/>
          <w:szCs w:val="22"/>
        </w:rPr>
        <w:t xml:space="preserve">Şekil 2 TÜİK’in açıkladığı mevsim ve takvim etkisinden arındırılmış ihracat ve ithalat miktar endekslerini gösteriyor. </w:t>
      </w:r>
      <w:r w:rsidR="00D672A2">
        <w:rPr>
          <w:sz w:val="22"/>
          <w:szCs w:val="22"/>
        </w:rPr>
        <w:t>Ocak</w:t>
      </w:r>
      <w:r w:rsidRPr="00C45AC0">
        <w:rPr>
          <w:sz w:val="22"/>
          <w:szCs w:val="22"/>
        </w:rPr>
        <w:t xml:space="preserve"> ayında bir önceki aya göre ihracat miktar endeksi</w:t>
      </w:r>
      <w:r>
        <w:rPr>
          <w:sz w:val="22"/>
          <w:szCs w:val="22"/>
        </w:rPr>
        <w:t xml:space="preserve"> yüzde </w:t>
      </w:r>
      <w:r w:rsidR="00D672A2">
        <w:rPr>
          <w:sz w:val="22"/>
          <w:szCs w:val="22"/>
        </w:rPr>
        <w:t>6,0</w:t>
      </w:r>
      <w:r>
        <w:rPr>
          <w:sz w:val="22"/>
          <w:szCs w:val="22"/>
        </w:rPr>
        <w:t xml:space="preserve"> artarken,</w:t>
      </w:r>
      <w:r w:rsidRPr="00C45AC0">
        <w:rPr>
          <w:sz w:val="22"/>
          <w:szCs w:val="22"/>
        </w:rPr>
        <w:t xml:space="preserve"> ithalat miktar endeksi yüzde </w:t>
      </w:r>
      <w:r w:rsidR="00D672A2">
        <w:rPr>
          <w:sz w:val="22"/>
          <w:szCs w:val="22"/>
        </w:rPr>
        <w:t>3,8</w:t>
      </w:r>
      <w:r w:rsidRPr="00C45AC0">
        <w:rPr>
          <w:sz w:val="22"/>
          <w:szCs w:val="22"/>
        </w:rPr>
        <w:t xml:space="preserve"> </w:t>
      </w:r>
      <w:r>
        <w:rPr>
          <w:sz w:val="22"/>
          <w:szCs w:val="22"/>
        </w:rPr>
        <w:t>azaldı</w:t>
      </w:r>
      <w:r w:rsidRPr="00C45AC0">
        <w:rPr>
          <w:sz w:val="22"/>
          <w:szCs w:val="22"/>
        </w:rPr>
        <w:t>. Aynı dönemde altın hariç reel ihracat</w:t>
      </w:r>
      <w:r w:rsidRPr="00C45AC0">
        <w:rPr>
          <w:rStyle w:val="FootnoteReference"/>
          <w:sz w:val="22"/>
          <w:szCs w:val="22"/>
        </w:rPr>
        <w:footnoteReference w:id="1"/>
      </w:r>
      <w:r w:rsidRPr="00C45AC0">
        <w:rPr>
          <w:sz w:val="22"/>
          <w:szCs w:val="22"/>
        </w:rPr>
        <w:t xml:space="preserve"> </w:t>
      </w:r>
      <w:r>
        <w:rPr>
          <w:sz w:val="22"/>
          <w:szCs w:val="22"/>
        </w:rPr>
        <w:t xml:space="preserve">ve ithalat ise sırasıyla yüzde </w:t>
      </w:r>
      <w:r w:rsidR="00D672A2">
        <w:rPr>
          <w:sz w:val="22"/>
          <w:szCs w:val="22"/>
        </w:rPr>
        <w:t>1,4 ve 5,4</w:t>
      </w:r>
      <w:r>
        <w:rPr>
          <w:sz w:val="22"/>
          <w:szCs w:val="22"/>
        </w:rPr>
        <w:t xml:space="preserve"> a</w:t>
      </w:r>
      <w:r w:rsidR="00E07CB8">
        <w:rPr>
          <w:sz w:val="22"/>
          <w:szCs w:val="22"/>
        </w:rPr>
        <w:t>zaldı</w:t>
      </w:r>
      <w:r>
        <w:rPr>
          <w:sz w:val="22"/>
          <w:szCs w:val="22"/>
        </w:rPr>
        <w:t>.</w:t>
      </w:r>
      <w:r w:rsidR="00D672A2">
        <w:rPr>
          <w:sz w:val="22"/>
          <w:szCs w:val="22"/>
        </w:rPr>
        <w:t xml:space="preserve"> Ocak ayı verilerine göre 2005</w:t>
      </w:r>
      <w:r w:rsidR="0008735C">
        <w:rPr>
          <w:sz w:val="22"/>
          <w:szCs w:val="22"/>
        </w:rPr>
        <w:t>'in</w:t>
      </w:r>
      <w:r w:rsidR="00D672A2">
        <w:rPr>
          <w:sz w:val="22"/>
          <w:szCs w:val="22"/>
        </w:rPr>
        <w:t xml:space="preserve"> </w:t>
      </w:r>
      <w:r w:rsidR="0008735C">
        <w:rPr>
          <w:sz w:val="22"/>
          <w:szCs w:val="22"/>
        </w:rPr>
        <w:t>ilk çeyreğinde</w:t>
      </w:r>
      <w:r>
        <w:rPr>
          <w:sz w:val="22"/>
          <w:szCs w:val="22"/>
        </w:rPr>
        <w:t xml:space="preserve"> net ihracatın </w:t>
      </w:r>
      <w:r>
        <w:rPr>
          <w:sz w:val="22"/>
          <w:szCs w:val="22"/>
        </w:rPr>
        <w:lastRenderedPageBreak/>
        <w:t xml:space="preserve">çeyreklik bazda büyümeye </w:t>
      </w:r>
      <w:r w:rsidR="00D672A2">
        <w:rPr>
          <w:sz w:val="22"/>
          <w:szCs w:val="22"/>
        </w:rPr>
        <w:t>pozitif</w:t>
      </w:r>
      <w:r>
        <w:rPr>
          <w:sz w:val="22"/>
          <w:szCs w:val="22"/>
        </w:rPr>
        <w:t xml:space="preserve"> katkı yapmasını bekliyoruz.</w:t>
      </w:r>
    </w:p>
    <w:p w:rsidR="00EB408D" w:rsidRDefault="00EB408D" w:rsidP="0002037B">
      <w:pPr>
        <w:spacing w:line="360" w:lineRule="auto"/>
        <w:ind w:left="-360" w:right="43"/>
        <w:jc w:val="both"/>
        <w:rPr>
          <w:sz w:val="22"/>
          <w:szCs w:val="22"/>
        </w:rPr>
      </w:pPr>
    </w:p>
    <w:p w:rsidR="00EB408D" w:rsidRPr="00C45AC0" w:rsidRDefault="00EB408D" w:rsidP="00EB408D">
      <w:pPr>
        <w:spacing w:line="360" w:lineRule="auto"/>
        <w:ind w:left="-360" w:right="43"/>
        <w:jc w:val="center"/>
        <w:rPr>
          <w:b/>
          <w:bCs/>
          <w:sz w:val="22"/>
          <w:szCs w:val="22"/>
        </w:rPr>
      </w:pPr>
      <w:r>
        <w:rPr>
          <w:b/>
          <w:bCs/>
          <w:sz w:val="22"/>
          <w:szCs w:val="22"/>
        </w:rPr>
        <w:t>Cari açık düşmeye devam ediyor</w:t>
      </w:r>
    </w:p>
    <w:p w:rsidR="00EB408D" w:rsidRDefault="00EB408D" w:rsidP="00EB408D">
      <w:pPr>
        <w:spacing w:line="360" w:lineRule="auto"/>
        <w:ind w:left="-360" w:right="43"/>
        <w:jc w:val="both"/>
        <w:rPr>
          <w:sz w:val="22"/>
          <w:szCs w:val="22"/>
        </w:rPr>
      </w:pPr>
    </w:p>
    <w:p w:rsidR="00EB408D" w:rsidRPr="00C45AC0" w:rsidRDefault="00EB408D" w:rsidP="00EB408D">
      <w:pPr>
        <w:spacing w:line="360" w:lineRule="auto"/>
        <w:ind w:left="-360" w:right="40"/>
        <w:jc w:val="both"/>
        <w:rPr>
          <w:sz w:val="22"/>
          <w:szCs w:val="22"/>
        </w:rPr>
      </w:pPr>
      <w:r>
        <w:rPr>
          <w:sz w:val="22"/>
          <w:szCs w:val="22"/>
        </w:rPr>
        <w:t>Ocak ayında cari açık 2 milyar dolar olarak gerçekleşti</w:t>
      </w:r>
      <w:r w:rsidRPr="00C45AC0">
        <w:rPr>
          <w:sz w:val="22"/>
          <w:szCs w:val="22"/>
        </w:rPr>
        <w:t>.</w:t>
      </w:r>
      <w:r>
        <w:rPr>
          <w:sz w:val="22"/>
          <w:szCs w:val="22"/>
        </w:rPr>
        <w:t xml:space="preserve"> 12 aylık cari açık 45,8'den 42,9 milyar dolara indi. Ocak ayında 1,1 milyar dolar net altın ihracatı gerçekleşti. Altın hariç cari açık 3,1 milyar dolar oldu. Öte yandan petrol fiyatındaki düşüş cari açık üzerinde etkisini göstermeye başladı. 12 aylık toplam net enerji ithalatı Ocak ayında 47,7 milyar dolara düştü. Aralık ayında 48,8 milyar dolar olmuştu</w:t>
      </w:r>
      <w:r w:rsidR="00366D41">
        <w:rPr>
          <w:sz w:val="22"/>
          <w:szCs w:val="22"/>
        </w:rPr>
        <w:t xml:space="preserve"> (</w:t>
      </w:r>
      <w:r w:rsidR="008B6824">
        <w:rPr>
          <w:sz w:val="22"/>
          <w:szCs w:val="22"/>
        </w:rPr>
        <w:t>Şekil 5</w:t>
      </w:r>
      <w:r w:rsidR="00366D41">
        <w:rPr>
          <w:sz w:val="22"/>
          <w:szCs w:val="22"/>
        </w:rPr>
        <w:t>)</w:t>
      </w:r>
      <w:r>
        <w:rPr>
          <w:sz w:val="22"/>
          <w:szCs w:val="22"/>
        </w:rPr>
        <w:t xml:space="preserve">. </w:t>
      </w:r>
      <w:r w:rsidR="00366D41">
        <w:rPr>
          <w:sz w:val="22"/>
          <w:szCs w:val="22"/>
        </w:rPr>
        <w:t xml:space="preserve">Enerji ve altın hariç cari denge fazla vermeye, </w:t>
      </w:r>
      <w:r>
        <w:rPr>
          <w:sz w:val="22"/>
          <w:szCs w:val="22"/>
        </w:rPr>
        <w:t>enerji ve altın hariç ithalat talebi de azalmaya devam ediyor. Aralık ayında 180,2 milyar dolar olan 12 aylık altın ve enerji hariç it</w:t>
      </w:r>
      <w:r w:rsidR="00366D41">
        <w:rPr>
          <w:sz w:val="22"/>
          <w:szCs w:val="22"/>
        </w:rPr>
        <w:t>halat</w:t>
      </w:r>
      <w:r>
        <w:rPr>
          <w:sz w:val="22"/>
          <w:szCs w:val="22"/>
        </w:rPr>
        <w:t xml:space="preserve"> Ocak ayında 178,9 milyar dolar oldu</w:t>
      </w:r>
      <w:r w:rsidR="00366D41">
        <w:rPr>
          <w:sz w:val="22"/>
          <w:szCs w:val="22"/>
        </w:rPr>
        <w:t xml:space="preserve"> (Şekil </w:t>
      </w:r>
      <w:r w:rsidR="008B6824">
        <w:rPr>
          <w:sz w:val="22"/>
          <w:szCs w:val="22"/>
        </w:rPr>
        <w:t>6</w:t>
      </w:r>
      <w:r w:rsidR="00366D41">
        <w:rPr>
          <w:sz w:val="22"/>
          <w:szCs w:val="22"/>
        </w:rPr>
        <w:t>)</w:t>
      </w:r>
      <w:r>
        <w:rPr>
          <w:sz w:val="22"/>
          <w:szCs w:val="22"/>
        </w:rPr>
        <w:t>.</w:t>
      </w:r>
      <w:r w:rsidR="00366D41">
        <w:rPr>
          <w:sz w:val="22"/>
          <w:szCs w:val="22"/>
        </w:rPr>
        <w:t xml:space="preserve"> </w:t>
      </w:r>
      <w:r w:rsidRPr="00C45AC0">
        <w:rPr>
          <w:sz w:val="22"/>
          <w:szCs w:val="22"/>
        </w:rPr>
        <w:t>Cari açığın GSYH’a oranı</w:t>
      </w:r>
      <w:r>
        <w:rPr>
          <w:sz w:val="22"/>
          <w:szCs w:val="22"/>
        </w:rPr>
        <w:t>nın</w:t>
      </w:r>
      <w:r w:rsidRPr="00C45AC0">
        <w:rPr>
          <w:sz w:val="22"/>
          <w:szCs w:val="22"/>
        </w:rPr>
        <w:t xml:space="preserve"> </w:t>
      </w:r>
      <w:r>
        <w:rPr>
          <w:sz w:val="22"/>
          <w:szCs w:val="22"/>
        </w:rPr>
        <w:t>yıl</w:t>
      </w:r>
      <w:r w:rsidRPr="00C45AC0">
        <w:rPr>
          <w:sz w:val="22"/>
          <w:szCs w:val="22"/>
        </w:rPr>
        <w:t xml:space="preserve"> sonunda yüzde 5,</w:t>
      </w:r>
      <w:r>
        <w:rPr>
          <w:sz w:val="22"/>
          <w:szCs w:val="22"/>
        </w:rPr>
        <w:t>8</w:t>
      </w:r>
      <w:r w:rsidRPr="00C45AC0">
        <w:rPr>
          <w:sz w:val="22"/>
          <w:szCs w:val="22"/>
        </w:rPr>
        <w:t>'</w:t>
      </w:r>
      <w:r>
        <w:rPr>
          <w:sz w:val="22"/>
          <w:szCs w:val="22"/>
        </w:rPr>
        <w:t>den ilk çeyrekte yüzde 5,4'e</w:t>
      </w:r>
      <w:r w:rsidRPr="00C45AC0">
        <w:rPr>
          <w:sz w:val="22"/>
          <w:szCs w:val="22"/>
        </w:rPr>
        <w:t xml:space="preserve"> düşmesini bekliyoruz.</w:t>
      </w:r>
      <w:r>
        <w:rPr>
          <w:sz w:val="22"/>
          <w:szCs w:val="22"/>
        </w:rPr>
        <w:t xml:space="preserve"> </w:t>
      </w:r>
    </w:p>
    <w:p w:rsidR="00EB408D" w:rsidRPr="00AD1A46" w:rsidRDefault="00EB408D" w:rsidP="0002037B">
      <w:pPr>
        <w:spacing w:line="360" w:lineRule="auto"/>
        <w:ind w:left="-360" w:right="43"/>
        <w:jc w:val="both"/>
        <w:rPr>
          <w:sz w:val="22"/>
          <w:szCs w:val="22"/>
        </w:rPr>
      </w:pPr>
    </w:p>
    <w:p w:rsidR="00FD47F7" w:rsidRDefault="00FD47F7" w:rsidP="00407480">
      <w:pPr>
        <w:spacing w:line="360" w:lineRule="auto"/>
        <w:ind w:left="-360" w:right="43"/>
        <w:jc w:val="center"/>
        <w:rPr>
          <w:b/>
          <w:bCs/>
          <w:sz w:val="22"/>
          <w:szCs w:val="22"/>
        </w:rPr>
      </w:pPr>
    </w:p>
    <w:p w:rsidR="007F160B" w:rsidRDefault="007F160B" w:rsidP="00603888">
      <w:pPr>
        <w:spacing w:line="360" w:lineRule="auto"/>
        <w:ind w:left="-360" w:right="43"/>
        <w:jc w:val="both"/>
        <w:rPr>
          <w:sz w:val="22"/>
          <w:szCs w:val="22"/>
        </w:rPr>
      </w:pPr>
    </w:p>
    <w:p w:rsidR="007F160B" w:rsidRDefault="007F160B" w:rsidP="00603888">
      <w:pPr>
        <w:spacing w:line="360" w:lineRule="auto"/>
        <w:ind w:left="-360" w:right="43"/>
        <w:jc w:val="both"/>
        <w:rPr>
          <w:sz w:val="22"/>
          <w:szCs w:val="22"/>
        </w:rPr>
      </w:pPr>
    </w:p>
    <w:p w:rsidR="00C76E90" w:rsidRDefault="00C76E90" w:rsidP="00603888">
      <w:pPr>
        <w:spacing w:line="360" w:lineRule="auto"/>
        <w:ind w:left="-360" w:right="43"/>
        <w:jc w:val="both"/>
        <w:rPr>
          <w:sz w:val="22"/>
          <w:szCs w:val="22"/>
        </w:rPr>
      </w:pPr>
    </w:p>
    <w:p w:rsidR="00775D69" w:rsidRPr="00C45AC0" w:rsidRDefault="00775D69" w:rsidP="00603888">
      <w:pPr>
        <w:spacing w:line="360" w:lineRule="auto"/>
        <w:ind w:left="-360" w:right="43"/>
        <w:jc w:val="both"/>
        <w:rPr>
          <w:sz w:val="22"/>
          <w:szCs w:val="22"/>
        </w:rPr>
        <w:sectPr w:rsidR="00775D69" w:rsidRPr="00C45AC0" w:rsidSect="00EF12B8">
          <w:footerReference w:type="default" r:id="rId13"/>
          <w:type w:val="continuous"/>
          <w:pgSz w:w="11906" w:h="16838"/>
          <w:pgMar w:top="1417" w:right="1417" w:bottom="1417" w:left="1417" w:header="708" w:footer="708" w:gutter="0"/>
          <w:cols w:num="2" w:space="708"/>
          <w:docGrid w:linePitch="360"/>
        </w:sectPr>
      </w:pPr>
    </w:p>
    <w:p w:rsidR="0002037B" w:rsidRPr="00C45AC0" w:rsidRDefault="0002037B" w:rsidP="0002037B">
      <w:pPr>
        <w:spacing w:line="360" w:lineRule="auto"/>
        <w:ind w:right="42"/>
        <w:jc w:val="both"/>
        <w:rPr>
          <w:sz w:val="22"/>
          <w:szCs w:val="22"/>
        </w:rPr>
      </w:pPr>
      <w:r w:rsidRPr="00C45AC0">
        <w:rPr>
          <w:b/>
          <w:bCs/>
          <w:sz w:val="22"/>
          <w:szCs w:val="22"/>
        </w:rPr>
        <w:lastRenderedPageBreak/>
        <w:t>Tablo 2. Ekonomik göstergelerin aydan aya ve çeyrekten çeyreğe değişimleri (Reel ve MEA)</w:t>
      </w:r>
    </w:p>
    <w:tbl>
      <w:tblPr>
        <w:tblW w:w="952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4"/>
        <w:gridCol w:w="1165"/>
        <w:gridCol w:w="1086"/>
        <w:gridCol w:w="1142"/>
        <w:gridCol w:w="1077"/>
        <w:gridCol w:w="959"/>
        <w:gridCol w:w="959"/>
      </w:tblGrid>
      <w:tr w:rsidR="00463C05" w:rsidRPr="00C45AC0" w:rsidTr="00302EA2">
        <w:trPr>
          <w:trHeight w:val="607"/>
        </w:trPr>
        <w:tc>
          <w:tcPr>
            <w:tcW w:w="3134" w:type="dxa"/>
            <w:vAlign w:val="center"/>
          </w:tcPr>
          <w:p w:rsidR="00463C05" w:rsidRPr="00C45AC0" w:rsidRDefault="00463C05" w:rsidP="00302EA2">
            <w:pPr>
              <w:ind w:right="42"/>
              <w:jc w:val="center"/>
              <w:rPr>
                <w:b/>
                <w:bCs/>
              </w:rPr>
            </w:pPr>
            <w:r w:rsidRPr="00C45AC0">
              <w:rPr>
                <w:b/>
                <w:bCs/>
                <w:sz w:val="22"/>
                <w:szCs w:val="22"/>
              </w:rPr>
              <w:t>Ekonomik Göstergeler</w:t>
            </w:r>
          </w:p>
        </w:tc>
        <w:tc>
          <w:tcPr>
            <w:tcW w:w="1165" w:type="dxa"/>
            <w:vAlign w:val="center"/>
          </w:tcPr>
          <w:p w:rsidR="00463C05" w:rsidRPr="00C45AC0" w:rsidRDefault="00463C05" w:rsidP="003C78BA">
            <w:pPr>
              <w:ind w:right="42"/>
              <w:jc w:val="center"/>
              <w:rPr>
                <w:b/>
                <w:bCs/>
              </w:rPr>
            </w:pPr>
            <w:r>
              <w:rPr>
                <w:b/>
                <w:bCs/>
              </w:rPr>
              <w:t>Kasım</w:t>
            </w:r>
          </w:p>
        </w:tc>
        <w:tc>
          <w:tcPr>
            <w:tcW w:w="1086" w:type="dxa"/>
            <w:vAlign w:val="center"/>
          </w:tcPr>
          <w:p w:rsidR="00463C05" w:rsidRPr="00C45AC0" w:rsidRDefault="00463C05" w:rsidP="003C78BA">
            <w:pPr>
              <w:ind w:right="42"/>
              <w:jc w:val="center"/>
              <w:rPr>
                <w:b/>
                <w:bCs/>
              </w:rPr>
            </w:pPr>
            <w:r>
              <w:rPr>
                <w:b/>
                <w:bCs/>
              </w:rPr>
              <w:t>Aralık</w:t>
            </w:r>
          </w:p>
        </w:tc>
        <w:tc>
          <w:tcPr>
            <w:tcW w:w="1142" w:type="dxa"/>
            <w:vAlign w:val="center"/>
          </w:tcPr>
          <w:p w:rsidR="00463C05" w:rsidRPr="00C45AC0" w:rsidRDefault="00463C05" w:rsidP="003C78BA">
            <w:pPr>
              <w:ind w:right="42"/>
              <w:jc w:val="center"/>
              <w:rPr>
                <w:b/>
                <w:bCs/>
              </w:rPr>
            </w:pPr>
            <w:r>
              <w:rPr>
                <w:b/>
                <w:bCs/>
              </w:rPr>
              <w:t>Ocak</w:t>
            </w:r>
          </w:p>
        </w:tc>
        <w:tc>
          <w:tcPr>
            <w:tcW w:w="1077" w:type="dxa"/>
            <w:tcBorders>
              <w:right w:val="double" w:sz="4" w:space="0" w:color="auto"/>
            </w:tcBorders>
            <w:vAlign w:val="center"/>
          </w:tcPr>
          <w:p w:rsidR="00463C05" w:rsidRPr="00C45AC0" w:rsidRDefault="00463C05" w:rsidP="00302EA2">
            <w:pPr>
              <w:ind w:right="42"/>
              <w:jc w:val="center"/>
              <w:rPr>
                <w:b/>
                <w:bCs/>
              </w:rPr>
            </w:pPr>
            <w:r>
              <w:rPr>
                <w:b/>
                <w:bCs/>
              </w:rPr>
              <w:t>Şubat</w:t>
            </w:r>
          </w:p>
        </w:tc>
        <w:tc>
          <w:tcPr>
            <w:tcW w:w="959" w:type="dxa"/>
            <w:tcBorders>
              <w:left w:val="double" w:sz="4" w:space="0" w:color="auto"/>
            </w:tcBorders>
            <w:vAlign w:val="center"/>
          </w:tcPr>
          <w:p w:rsidR="00463C05" w:rsidRPr="00C45AC0" w:rsidRDefault="006975FE" w:rsidP="00302EA2">
            <w:pPr>
              <w:ind w:right="42"/>
              <w:jc w:val="center"/>
              <w:rPr>
                <w:b/>
                <w:bCs/>
              </w:rPr>
            </w:pPr>
            <w:r>
              <w:rPr>
                <w:b/>
                <w:bCs/>
                <w:sz w:val="22"/>
                <w:szCs w:val="22"/>
              </w:rPr>
              <w:t>2014 4</w:t>
            </w:r>
            <w:r w:rsidR="00463C05" w:rsidRPr="00C45AC0">
              <w:rPr>
                <w:b/>
                <w:bCs/>
                <w:sz w:val="22"/>
                <w:szCs w:val="22"/>
              </w:rPr>
              <w:t>. Çeyrek</w:t>
            </w:r>
          </w:p>
        </w:tc>
        <w:tc>
          <w:tcPr>
            <w:tcW w:w="959" w:type="dxa"/>
            <w:vAlign w:val="center"/>
          </w:tcPr>
          <w:p w:rsidR="00463C05" w:rsidRPr="00C45AC0" w:rsidRDefault="006975FE" w:rsidP="00302EA2">
            <w:pPr>
              <w:ind w:right="42"/>
              <w:jc w:val="center"/>
              <w:rPr>
                <w:b/>
                <w:bCs/>
              </w:rPr>
            </w:pPr>
            <w:r>
              <w:rPr>
                <w:b/>
                <w:bCs/>
                <w:sz w:val="22"/>
                <w:szCs w:val="22"/>
              </w:rPr>
              <w:t>2015 1</w:t>
            </w:r>
            <w:r w:rsidR="00463C05" w:rsidRPr="00C45AC0">
              <w:rPr>
                <w:b/>
                <w:bCs/>
                <w:sz w:val="22"/>
                <w:szCs w:val="22"/>
              </w:rPr>
              <w:t>. Çeyrek</w:t>
            </w:r>
          </w:p>
        </w:tc>
      </w:tr>
      <w:tr w:rsidR="00463C05" w:rsidRPr="00C45AC0" w:rsidTr="00302EA2">
        <w:trPr>
          <w:trHeight w:val="370"/>
        </w:trPr>
        <w:tc>
          <w:tcPr>
            <w:tcW w:w="3134" w:type="dxa"/>
            <w:vAlign w:val="center"/>
          </w:tcPr>
          <w:p w:rsidR="00463C05" w:rsidRPr="00C45AC0" w:rsidRDefault="00463C05" w:rsidP="00302EA2">
            <w:pPr>
              <w:ind w:right="42"/>
              <w:jc w:val="center"/>
              <w:rPr>
                <w:b/>
                <w:bCs/>
              </w:rPr>
            </w:pPr>
            <w:r w:rsidRPr="00C45AC0">
              <w:rPr>
                <w:b/>
                <w:bCs/>
                <w:sz w:val="22"/>
                <w:szCs w:val="22"/>
              </w:rPr>
              <w:t>İhracat*</w:t>
            </w:r>
          </w:p>
        </w:tc>
        <w:tc>
          <w:tcPr>
            <w:tcW w:w="1165" w:type="dxa"/>
            <w:vAlign w:val="center"/>
          </w:tcPr>
          <w:p w:rsidR="00463C05" w:rsidRPr="00C45AC0" w:rsidRDefault="00463C05" w:rsidP="00302EA2">
            <w:pPr>
              <w:ind w:right="42"/>
              <w:jc w:val="center"/>
              <w:rPr>
                <w:b/>
                <w:bCs/>
              </w:rPr>
            </w:pPr>
            <w:r>
              <w:rPr>
                <w:b/>
                <w:bCs/>
              </w:rPr>
              <w:t>-3,7</w:t>
            </w:r>
          </w:p>
        </w:tc>
        <w:tc>
          <w:tcPr>
            <w:tcW w:w="1086" w:type="dxa"/>
            <w:vAlign w:val="center"/>
          </w:tcPr>
          <w:p w:rsidR="00463C05" w:rsidRPr="00C45AC0" w:rsidRDefault="00463C05" w:rsidP="00302EA2">
            <w:pPr>
              <w:ind w:right="42"/>
              <w:jc w:val="center"/>
              <w:rPr>
                <w:b/>
                <w:bCs/>
              </w:rPr>
            </w:pPr>
            <w:r>
              <w:rPr>
                <w:b/>
                <w:bCs/>
              </w:rPr>
              <w:t>1,5</w:t>
            </w:r>
          </w:p>
        </w:tc>
        <w:tc>
          <w:tcPr>
            <w:tcW w:w="1142" w:type="dxa"/>
            <w:vAlign w:val="center"/>
          </w:tcPr>
          <w:p w:rsidR="00463C05" w:rsidRPr="00C45AC0" w:rsidRDefault="00463C05" w:rsidP="00302EA2">
            <w:pPr>
              <w:ind w:right="42"/>
              <w:jc w:val="center"/>
              <w:rPr>
                <w:b/>
                <w:bCs/>
              </w:rPr>
            </w:pPr>
            <w:r>
              <w:rPr>
                <w:b/>
                <w:bCs/>
              </w:rPr>
              <w:t>6,0</w:t>
            </w:r>
          </w:p>
        </w:tc>
        <w:tc>
          <w:tcPr>
            <w:tcW w:w="1077" w:type="dxa"/>
            <w:tcBorders>
              <w:right w:val="double" w:sz="4" w:space="0" w:color="auto"/>
            </w:tcBorders>
            <w:vAlign w:val="center"/>
          </w:tcPr>
          <w:p w:rsidR="00463C05" w:rsidRPr="00C45AC0" w:rsidRDefault="00463C05" w:rsidP="00302EA2">
            <w:pPr>
              <w:ind w:right="42"/>
              <w:jc w:val="center"/>
              <w:rPr>
                <w:b/>
                <w:bCs/>
              </w:rPr>
            </w:pPr>
            <w:r>
              <w:rPr>
                <w:b/>
                <w:bCs/>
              </w:rPr>
              <w:t>**</w:t>
            </w:r>
          </w:p>
        </w:tc>
        <w:tc>
          <w:tcPr>
            <w:tcW w:w="959" w:type="dxa"/>
            <w:tcBorders>
              <w:left w:val="double" w:sz="4" w:space="0" w:color="auto"/>
            </w:tcBorders>
            <w:vAlign w:val="center"/>
          </w:tcPr>
          <w:p w:rsidR="00463C05" w:rsidRPr="00C45AC0" w:rsidRDefault="00463C05" w:rsidP="00302EA2">
            <w:pPr>
              <w:ind w:right="42"/>
              <w:jc w:val="center"/>
              <w:rPr>
                <w:b/>
                <w:bCs/>
              </w:rPr>
            </w:pPr>
            <w:r>
              <w:rPr>
                <w:b/>
                <w:bCs/>
              </w:rPr>
              <w:t>2,6</w:t>
            </w:r>
          </w:p>
        </w:tc>
        <w:tc>
          <w:tcPr>
            <w:tcW w:w="959" w:type="dxa"/>
            <w:vAlign w:val="center"/>
          </w:tcPr>
          <w:p w:rsidR="00463C05" w:rsidRPr="00C45AC0" w:rsidRDefault="00463C05" w:rsidP="00302EA2">
            <w:pPr>
              <w:ind w:right="42"/>
              <w:jc w:val="center"/>
              <w:rPr>
                <w:b/>
                <w:bCs/>
              </w:rPr>
            </w:pPr>
            <w:r>
              <w:rPr>
                <w:b/>
                <w:bCs/>
              </w:rPr>
              <w:t>5,7</w:t>
            </w:r>
          </w:p>
        </w:tc>
      </w:tr>
      <w:tr w:rsidR="00463C05" w:rsidRPr="00C45AC0" w:rsidTr="00302EA2">
        <w:trPr>
          <w:trHeight w:val="370"/>
        </w:trPr>
        <w:tc>
          <w:tcPr>
            <w:tcW w:w="3134" w:type="dxa"/>
            <w:tcBorders>
              <w:bottom w:val="nil"/>
            </w:tcBorders>
            <w:vAlign w:val="center"/>
          </w:tcPr>
          <w:p w:rsidR="00463C05" w:rsidRPr="00C45AC0" w:rsidRDefault="00463C05" w:rsidP="00302EA2">
            <w:pPr>
              <w:ind w:right="42"/>
              <w:jc w:val="center"/>
              <w:rPr>
                <w:b/>
                <w:bCs/>
              </w:rPr>
            </w:pPr>
            <w:r w:rsidRPr="00C45AC0">
              <w:rPr>
                <w:b/>
                <w:bCs/>
                <w:sz w:val="22"/>
                <w:szCs w:val="22"/>
              </w:rPr>
              <w:t>İthalat*</w:t>
            </w:r>
          </w:p>
        </w:tc>
        <w:tc>
          <w:tcPr>
            <w:tcW w:w="1165" w:type="dxa"/>
            <w:tcBorders>
              <w:bottom w:val="nil"/>
            </w:tcBorders>
            <w:vAlign w:val="center"/>
          </w:tcPr>
          <w:p w:rsidR="00463C05" w:rsidRPr="00C45AC0" w:rsidRDefault="00463C05" w:rsidP="00302EA2">
            <w:pPr>
              <w:ind w:right="42"/>
              <w:jc w:val="center"/>
              <w:rPr>
                <w:b/>
                <w:bCs/>
              </w:rPr>
            </w:pPr>
            <w:r>
              <w:rPr>
                <w:b/>
                <w:bCs/>
              </w:rPr>
              <w:t>6,0</w:t>
            </w:r>
          </w:p>
        </w:tc>
        <w:tc>
          <w:tcPr>
            <w:tcW w:w="1086" w:type="dxa"/>
            <w:tcBorders>
              <w:bottom w:val="nil"/>
            </w:tcBorders>
            <w:vAlign w:val="center"/>
          </w:tcPr>
          <w:p w:rsidR="00463C05" w:rsidRPr="00C45AC0" w:rsidRDefault="00463C05" w:rsidP="00302EA2">
            <w:pPr>
              <w:ind w:right="42"/>
              <w:jc w:val="center"/>
              <w:rPr>
                <w:b/>
                <w:bCs/>
              </w:rPr>
            </w:pPr>
            <w:r>
              <w:rPr>
                <w:b/>
                <w:bCs/>
              </w:rPr>
              <w:t>-2,6</w:t>
            </w:r>
          </w:p>
        </w:tc>
        <w:tc>
          <w:tcPr>
            <w:tcW w:w="1142" w:type="dxa"/>
            <w:tcBorders>
              <w:bottom w:val="nil"/>
            </w:tcBorders>
            <w:vAlign w:val="center"/>
          </w:tcPr>
          <w:p w:rsidR="00463C05" w:rsidRPr="00C45AC0" w:rsidRDefault="00463C05" w:rsidP="00302EA2">
            <w:pPr>
              <w:ind w:right="42"/>
              <w:jc w:val="center"/>
              <w:rPr>
                <w:b/>
                <w:bCs/>
              </w:rPr>
            </w:pPr>
            <w:r>
              <w:rPr>
                <w:b/>
                <w:bCs/>
              </w:rPr>
              <w:t>-3,8</w:t>
            </w:r>
          </w:p>
        </w:tc>
        <w:tc>
          <w:tcPr>
            <w:tcW w:w="1077" w:type="dxa"/>
            <w:tcBorders>
              <w:bottom w:val="nil"/>
              <w:right w:val="double" w:sz="4" w:space="0" w:color="auto"/>
            </w:tcBorders>
            <w:vAlign w:val="center"/>
          </w:tcPr>
          <w:p w:rsidR="00463C05" w:rsidRPr="00C45AC0" w:rsidRDefault="00463C05" w:rsidP="00302EA2">
            <w:pPr>
              <w:ind w:right="42"/>
              <w:jc w:val="center"/>
              <w:rPr>
                <w:b/>
                <w:bCs/>
              </w:rPr>
            </w:pPr>
            <w:r>
              <w:rPr>
                <w:b/>
                <w:bCs/>
              </w:rPr>
              <w:t>**</w:t>
            </w:r>
          </w:p>
        </w:tc>
        <w:tc>
          <w:tcPr>
            <w:tcW w:w="959" w:type="dxa"/>
            <w:tcBorders>
              <w:left w:val="double" w:sz="4" w:space="0" w:color="auto"/>
              <w:bottom w:val="nil"/>
            </w:tcBorders>
            <w:vAlign w:val="center"/>
          </w:tcPr>
          <w:p w:rsidR="00463C05" w:rsidRPr="00C45AC0" w:rsidRDefault="00463C05" w:rsidP="00302EA2">
            <w:pPr>
              <w:ind w:right="42"/>
              <w:jc w:val="center"/>
              <w:rPr>
                <w:b/>
                <w:bCs/>
              </w:rPr>
            </w:pPr>
            <w:r>
              <w:rPr>
                <w:b/>
                <w:bCs/>
              </w:rPr>
              <w:t>6,6</w:t>
            </w:r>
          </w:p>
        </w:tc>
        <w:tc>
          <w:tcPr>
            <w:tcW w:w="959" w:type="dxa"/>
            <w:tcBorders>
              <w:bottom w:val="nil"/>
            </w:tcBorders>
            <w:vAlign w:val="center"/>
          </w:tcPr>
          <w:p w:rsidR="00463C05" w:rsidRPr="00C45AC0" w:rsidRDefault="00463C05" w:rsidP="00302EA2">
            <w:pPr>
              <w:ind w:right="42"/>
              <w:jc w:val="center"/>
              <w:rPr>
                <w:b/>
                <w:bCs/>
              </w:rPr>
            </w:pPr>
            <w:r>
              <w:rPr>
                <w:b/>
                <w:bCs/>
              </w:rPr>
              <w:t>-3,7</w:t>
            </w:r>
          </w:p>
        </w:tc>
      </w:tr>
      <w:tr w:rsidR="00463C05" w:rsidRPr="00C45AC0" w:rsidTr="00302EA2">
        <w:trPr>
          <w:trHeight w:val="370"/>
        </w:trPr>
        <w:tc>
          <w:tcPr>
            <w:tcW w:w="3134" w:type="dxa"/>
            <w:tcBorders>
              <w:top w:val="nil"/>
              <w:bottom w:val="nil"/>
            </w:tcBorders>
            <w:vAlign w:val="center"/>
          </w:tcPr>
          <w:p w:rsidR="00463C05" w:rsidRPr="00C45AC0" w:rsidRDefault="00463C05" w:rsidP="00302EA2">
            <w:pPr>
              <w:ind w:right="42"/>
              <w:jc w:val="center"/>
            </w:pPr>
            <w:r w:rsidRPr="00C45AC0">
              <w:rPr>
                <w:sz w:val="22"/>
                <w:szCs w:val="22"/>
              </w:rPr>
              <w:t>Ara malı ithalatı*</w:t>
            </w:r>
          </w:p>
        </w:tc>
        <w:tc>
          <w:tcPr>
            <w:tcW w:w="1165" w:type="dxa"/>
            <w:tcBorders>
              <w:top w:val="nil"/>
              <w:bottom w:val="nil"/>
            </w:tcBorders>
            <w:vAlign w:val="center"/>
          </w:tcPr>
          <w:p w:rsidR="00463C05" w:rsidRPr="00C45AC0" w:rsidRDefault="00463C05" w:rsidP="00302EA2">
            <w:pPr>
              <w:ind w:right="42"/>
              <w:jc w:val="center"/>
            </w:pPr>
            <w:r>
              <w:t>12,3</w:t>
            </w:r>
          </w:p>
        </w:tc>
        <w:tc>
          <w:tcPr>
            <w:tcW w:w="1086" w:type="dxa"/>
            <w:tcBorders>
              <w:top w:val="nil"/>
              <w:bottom w:val="nil"/>
            </w:tcBorders>
            <w:vAlign w:val="center"/>
          </w:tcPr>
          <w:p w:rsidR="00463C05" w:rsidRPr="00C45AC0" w:rsidRDefault="00463C05" w:rsidP="00302EA2">
            <w:pPr>
              <w:ind w:right="42"/>
              <w:jc w:val="center"/>
            </w:pPr>
            <w:r>
              <w:t>-8,5</w:t>
            </w:r>
          </w:p>
        </w:tc>
        <w:tc>
          <w:tcPr>
            <w:tcW w:w="1142" w:type="dxa"/>
            <w:tcBorders>
              <w:top w:val="nil"/>
              <w:bottom w:val="nil"/>
            </w:tcBorders>
            <w:vAlign w:val="center"/>
          </w:tcPr>
          <w:p w:rsidR="00463C05" w:rsidRPr="00C45AC0" w:rsidRDefault="00463C05" w:rsidP="00302EA2">
            <w:pPr>
              <w:ind w:right="42"/>
              <w:jc w:val="center"/>
            </w:pPr>
            <w:r>
              <w:t>-4,1</w:t>
            </w:r>
          </w:p>
        </w:tc>
        <w:tc>
          <w:tcPr>
            <w:tcW w:w="1077" w:type="dxa"/>
            <w:tcBorders>
              <w:top w:val="nil"/>
              <w:bottom w:val="nil"/>
              <w:right w:val="double" w:sz="4" w:space="0" w:color="auto"/>
            </w:tcBorders>
            <w:vAlign w:val="center"/>
          </w:tcPr>
          <w:p w:rsidR="00463C05" w:rsidRPr="00C45AC0" w:rsidRDefault="00463C05" w:rsidP="00302EA2">
            <w:pPr>
              <w:ind w:right="42"/>
              <w:jc w:val="center"/>
            </w:pPr>
            <w:r>
              <w:t>**</w:t>
            </w:r>
          </w:p>
        </w:tc>
        <w:tc>
          <w:tcPr>
            <w:tcW w:w="959" w:type="dxa"/>
            <w:tcBorders>
              <w:top w:val="nil"/>
              <w:left w:val="double" w:sz="4" w:space="0" w:color="auto"/>
              <w:bottom w:val="nil"/>
            </w:tcBorders>
            <w:vAlign w:val="center"/>
          </w:tcPr>
          <w:p w:rsidR="00463C05" w:rsidRPr="00C45AC0" w:rsidRDefault="00463C05" w:rsidP="00302EA2">
            <w:pPr>
              <w:ind w:right="42"/>
              <w:jc w:val="center"/>
            </w:pPr>
            <w:r>
              <w:t>9,1</w:t>
            </w:r>
          </w:p>
        </w:tc>
        <w:tc>
          <w:tcPr>
            <w:tcW w:w="959" w:type="dxa"/>
            <w:tcBorders>
              <w:top w:val="nil"/>
              <w:bottom w:val="nil"/>
            </w:tcBorders>
            <w:vAlign w:val="center"/>
          </w:tcPr>
          <w:p w:rsidR="00463C05" w:rsidRPr="00C45AC0" w:rsidRDefault="00463C05" w:rsidP="00302EA2">
            <w:pPr>
              <w:ind w:right="42"/>
              <w:jc w:val="center"/>
            </w:pPr>
            <w:r>
              <w:t>-6,2</w:t>
            </w:r>
          </w:p>
        </w:tc>
      </w:tr>
      <w:tr w:rsidR="00463C05" w:rsidRPr="00C45AC0" w:rsidTr="00302EA2">
        <w:trPr>
          <w:trHeight w:val="370"/>
        </w:trPr>
        <w:tc>
          <w:tcPr>
            <w:tcW w:w="3134" w:type="dxa"/>
            <w:tcBorders>
              <w:top w:val="nil"/>
              <w:bottom w:val="nil"/>
            </w:tcBorders>
            <w:vAlign w:val="center"/>
          </w:tcPr>
          <w:p w:rsidR="00463C05" w:rsidRPr="00C45AC0" w:rsidRDefault="00463C05" w:rsidP="00302EA2">
            <w:pPr>
              <w:ind w:right="42"/>
              <w:jc w:val="center"/>
            </w:pPr>
            <w:r w:rsidRPr="00C45AC0">
              <w:rPr>
                <w:sz w:val="22"/>
                <w:szCs w:val="22"/>
              </w:rPr>
              <w:t>Tüketim malı ithalatı*</w:t>
            </w:r>
          </w:p>
        </w:tc>
        <w:tc>
          <w:tcPr>
            <w:tcW w:w="1165" w:type="dxa"/>
            <w:tcBorders>
              <w:top w:val="nil"/>
              <w:bottom w:val="nil"/>
            </w:tcBorders>
            <w:vAlign w:val="center"/>
          </w:tcPr>
          <w:p w:rsidR="00463C05" w:rsidRPr="00C45AC0" w:rsidRDefault="00463C05" w:rsidP="00302EA2">
            <w:pPr>
              <w:ind w:right="42"/>
              <w:jc w:val="center"/>
              <w:rPr>
                <w:bCs/>
              </w:rPr>
            </w:pPr>
            <w:r>
              <w:rPr>
                <w:bCs/>
              </w:rPr>
              <w:t>-2,3</w:t>
            </w:r>
          </w:p>
        </w:tc>
        <w:tc>
          <w:tcPr>
            <w:tcW w:w="1086" w:type="dxa"/>
            <w:tcBorders>
              <w:top w:val="nil"/>
              <w:bottom w:val="nil"/>
            </w:tcBorders>
            <w:vAlign w:val="center"/>
          </w:tcPr>
          <w:p w:rsidR="00463C05" w:rsidRPr="00C45AC0" w:rsidRDefault="00463C05" w:rsidP="00302EA2">
            <w:pPr>
              <w:ind w:right="42"/>
              <w:jc w:val="center"/>
              <w:rPr>
                <w:bCs/>
              </w:rPr>
            </w:pPr>
            <w:r>
              <w:rPr>
                <w:bCs/>
              </w:rPr>
              <w:t>10,5</w:t>
            </w:r>
          </w:p>
        </w:tc>
        <w:tc>
          <w:tcPr>
            <w:tcW w:w="1142" w:type="dxa"/>
            <w:tcBorders>
              <w:top w:val="nil"/>
              <w:bottom w:val="nil"/>
            </w:tcBorders>
            <w:vAlign w:val="center"/>
          </w:tcPr>
          <w:p w:rsidR="00463C05" w:rsidRPr="00C45AC0" w:rsidRDefault="00463C05" w:rsidP="00302EA2">
            <w:pPr>
              <w:ind w:right="42"/>
              <w:jc w:val="center"/>
              <w:rPr>
                <w:bCs/>
              </w:rPr>
            </w:pPr>
            <w:r>
              <w:rPr>
                <w:bCs/>
              </w:rPr>
              <w:t>-6,4</w:t>
            </w:r>
          </w:p>
        </w:tc>
        <w:tc>
          <w:tcPr>
            <w:tcW w:w="1077" w:type="dxa"/>
            <w:tcBorders>
              <w:top w:val="nil"/>
              <w:bottom w:val="nil"/>
              <w:right w:val="double" w:sz="4" w:space="0" w:color="auto"/>
            </w:tcBorders>
            <w:vAlign w:val="center"/>
          </w:tcPr>
          <w:p w:rsidR="00463C05" w:rsidRPr="00C45AC0" w:rsidRDefault="00463C05" w:rsidP="00302EA2">
            <w:pPr>
              <w:ind w:right="42"/>
              <w:jc w:val="center"/>
            </w:pPr>
            <w:r>
              <w:t>**</w:t>
            </w:r>
          </w:p>
        </w:tc>
        <w:tc>
          <w:tcPr>
            <w:tcW w:w="959" w:type="dxa"/>
            <w:tcBorders>
              <w:top w:val="nil"/>
              <w:left w:val="double" w:sz="4" w:space="0" w:color="auto"/>
              <w:bottom w:val="nil"/>
            </w:tcBorders>
            <w:vAlign w:val="center"/>
          </w:tcPr>
          <w:p w:rsidR="00463C05" w:rsidRPr="00C45AC0" w:rsidRDefault="00463C05" w:rsidP="00302EA2">
            <w:pPr>
              <w:ind w:right="42"/>
              <w:jc w:val="center"/>
            </w:pPr>
            <w:r>
              <w:t>0,0</w:t>
            </w:r>
          </w:p>
        </w:tc>
        <w:tc>
          <w:tcPr>
            <w:tcW w:w="959" w:type="dxa"/>
            <w:tcBorders>
              <w:top w:val="nil"/>
              <w:bottom w:val="nil"/>
            </w:tcBorders>
            <w:vAlign w:val="center"/>
          </w:tcPr>
          <w:p w:rsidR="00463C05" w:rsidRPr="00C45AC0" w:rsidRDefault="00463C05" w:rsidP="00302EA2">
            <w:pPr>
              <w:ind w:right="42"/>
              <w:jc w:val="center"/>
            </w:pPr>
            <w:r>
              <w:t>-0,8</w:t>
            </w:r>
          </w:p>
        </w:tc>
      </w:tr>
      <w:tr w:rsidR="00463C05" w:rsidRPr="00C45AC0" w:rsidTr="00302EA2">
        <w:trPr>
          <w:trHeight w:val="370"/>
        </w:trPr>
        <w:tc>
          <w:tcPr>
            <w:tcW w:w="3134" w:type="dxa"/>
            <w:tcBorders>
              <w:top w:val="nil"/>
            </w:tcBorders>
            <w:vAlign w:val="center"/>
          </w:tcPr>
          <w:p w:rsidR="00463C05" w:rsidRPr="00C45AC0" w:rsidRDefault="00463C05" w:rsidP="00302EA2">
            <w:pPr>
              <w:ind w:right="42"/>
              <w:jc w:val="center"/>
            </w:pPr>
            <w:r w:rsidRPr="00C45AC0">
              <w:rPr>
                <w:sz w:val="22"/>
                <w:szCs w:val="22"/>
              </w:rPr>
              <w:t>Yatırım malı ithalatı*</w:t>
            </w:r>
          </w:p>
        </w:tc>
        <w:tc>
          <w:tcPr>
            <w:tcW w:w="1165" w:type="dxa"/>
            <w:tcBorders>
              <w:top w:val="nil"/>
            </w:tcBorders>
            <w:vAlign w:val="center"/>
          </w:tcPr>
          <w:p w:rsidR="00463C05" w:rsidRPr="00C45AC0" w:rsidRDefault="00463C05" w:rsidP="00302EA2">
            <w:pPr>
              <w:ind w:right="42"/>
              <w:jc w:val="center"/>
            </w:pPr>
            <w:r>
              <w:t>-2,0</w:t>
            </w:r>
          </w:p>
        </w:tc>
        <w:tc>
          <w:tcPr>
            <w:tcW w:w="1086" w:type="dxa"/>
            <w:tcBorders>
              <w:top w:val="nil"/>
            </w:tcBorders>
            <w:vAlign w:val="center"/>
          </w:tcPr>
          <w:p w:rsidR="00463C05" w:rsidRPr="00C45AC0" w:rsidRDefault="00463C05" w:rsidP="00302EA2">
            <w:pPr>
              <w:ind w:right="42"/>
              <w:jc w:val="center"/>
            </w:pPr>
            <w:r>
              <w:t>-3,0</w:t>
            </w:r>
          </w:p>
        </w:tc>
        <w:tc>
          <w:tcPr>
            <w:tcW w:w="1142" w:type="dxa"/>
            <w:tcBorders>
              <w:top w:val="nil"/>
            </w:tcBorders>
            <w:vAlign w:val="center"/>
          </w:tcPr>
          <w:p w:rsidR="00463C05" w:rsidRPr="00C45AC0" w:rsidRDefault="00463C05" w:rsidP="00302EA2">
            <w:pPr>
              <w:ind w:right="42"/>
              <w:jc w:val="center"/>
            </w:pPr>
            <w:r>
              <w:t>10,5</w:t>
            </w:r>
          </w:p>
        </w:tc>
        <w:tc>
          <w:tcPr>
            <w:tcW w:w="1077" w:type="dxa"/>
            <w:tcBorders>
              <w:top w:val="nil"/>
              <w:right w:val="double" w:sz="4" w:space="0" w:color="auto"/>
            </w:tcBorders>
            <w:vAlign w:val="center"/>
          </w:tcPr>
          <w:p w:rsidR="00463C05" w:rsidRPr="00C45AC0" w:rsidRDefault="00463C05" w:rsidP="00302EA2">
            <w:pPr>
              <w:ind w:right="42"/>
              <w:jc w:val="center"/>
            </w:pPr>
            <w:r>
              <w:t>**</w:t>
            </w:r>
          </w:p>
        </w:tc>
        <w:tc>
          <w:tcPr>
            <w:tcW w:w="959" w:type="dxa"/>
            <w:tcBorders>
              <w:top w:val="nil"/>
              <w:left w:val="double" w:sz="4" w:space="0" w:color="auto"/>
            </w:tcBorders>
            <w:vAlign w:val="center"/>
          </w:tcPr>
          <w:p w:rsidR="00463C05" w:rsidRPr="00C45AC0" w:rsidRDefault="00463C05" w:rsidP="00302EA2">
            <w:pPr>
              <w:ind w:right="42"/>
              <w:jc w:val="center"/>
            </w:pPr>
            <w:r>
              <w:t>3,8</w:t>
            </w:r>
          </w:p>
        </w:tc>
        <w:tc>
          <w:tcPr>
            <w:tcW w:w="959" w:type="dxa"/>
            <w:tcBorders>
              <w:top w:val="nil"/>
            </w:tcBorders>
            <w:vAlign w:val="center"/>
          </w:tcPr>
          <w:p w:rsidR="00463C05" w:rsidRPr="00C45AC0" w:rsidRDefault="00463C05" w:rsidP="00302EA2">
            <w:pPr>
              <w:ind w:right="42"/>
              <w:jc w:val="center"/>
            </w:pPr>
            <w:r>
              <w:t>7,5</w:t>
            </w:r>
          </w:p>
        </w:tc>
      </w:tr>
      <w:tr w:rsidR="00463C05" w:rsidRPr="00C45AC0" w:rsidTr="00302EA2">
        <w:trPr>
          <w:trHeight w:val="370"/>
        </w:trPr>
        <w:tc>
          <w:tcPr>
            <w:tcW w:w="3134" w:type="dxa"/>
            <w:vAlign w:val="center"/>
          </w:tcPr>
          <w:p w:rsidR="00463C05" w:rsidRPr="00C45AC0" w:rsidRDefault="00463C05" w:rsidP="00302EA2">
            <w:pPr>
              <w:ind w:right="42"/>
              <w:jc w:val="center"/>
              <w:rPr>
                <w:b/>
                <w:bCs/>
              </w:rPr>
            </w:pPr>
            <w:r w:rsidRPr="00C45AC0">
              <w:rPr>
                <w:b/>
                <w:bCs/>
                <w:sz w:val="22"/>
                <w:szCs w:val="22"/>
              </w:rPr>
              <w:t>Altın hariç ihracat***</w:t>
            </w:r>
          </w:p>
        </w:tc>
        <w:tc>
          <w:tcPr>
            <w:tcW w:w="1165" w:type="dxa"/>
            <w:vAlign w:val="center"/>
          </w:tcPr>
          <w:p w:rsidR="00463C05" w:rsidRPr="00C45AC0" w:rsidRDefault="00463C05" w:rsidP="00302EA2">
            <w:pPr>
              <w:ind w:right="42"/>
              <w:jc w:val="center"/>
              <w:rPr>
                <w:b/>
                <w:bCs/>
              </w:rPr>
            </w:pPr>
            <w:r>
              <w:rPr>
                <w:b/>
                <w:bCs/>
              </w:rPr>
              <w:t>-3,1</w:t>
            </w:r>
          </w:p>
        </w:tc>
        <w:tc>
          <w:tcPr>
            <w:tcW w:w="1086" w:type="dxa"/>
            <w:vAlign w:val="center"/>
          </w:tcPr>
          <w:p w:rsidR="00463C05" w:rsidRPr="00C45AC0" w:rsidRDefault="00463C05" w:rsidP="00302EA2">
            <w:pPr>
              <w:ind w:right="42"/>
              <w:jc w:val="center"/>
              <w:rPr>
                <w:b/>
                <w:bCs/>
              </w:rPr>
            </w:pPr>
            <w:r>
              <w:rPr>
                <w:b/>
                <w:bCs/>
              </w:rPr>
              <w:t>4,5</w:t>
            </w:r>
          </w:p>
        </w:tc>
        <w:tc>
          <w:tcPr>
            <w:tcW w:w="1142" w:type="dxa"/>
            <w:vAlign w:val="center"/>
          </w:tcPr>
          <w:p w:rsidR="00463C05" w:rsidRPr="00C45AC0" w:rsidRDefault="00463C05" w:rsidP="00302EA2">
            <w:pPr>
              <w:ind w:right="42"/>
              <w:jc w:val="center"/>
              <w:rPr>
                <w:b/>
                <w:bCs/>
              </w:rPr>
            </w:pPr>
            <w:r>
              <w:rPr>
                <w:b/>
                <w:bCs/>
              </w:rPr>
              <w:t>-1,4</w:t>
            </w:r>
          </w:p>
        </w:tc>
        <w:tc>
          <w:tcPr>
            <w:tcW w:w="1077" w:type="dxa"/>
            <w:tcBorders>
              <w:right w:val="double" w:sz="4" w:space="0" w:color="auto"/>
            </w:tcBorders>
            <w:vAlign w:val="center"/>
          </w:tcPr>
          <w:p w:rsidR="00463C05" w:rsidRPr="00C45AC0" w:rsidRDefault="00463C05" w:rsidP="00302EA2">
            <w:pPr>
              <w:ind w:right="42"/>
              <w:jc w:val="center"/>
            </w:pPr>
            <w:r>
              <w:t>**</w:t>
            </w:r>
          </w:p>
        </w:tc>
        <w:tc>
          <w:tcPr>
            <w:tcW w:w="959" w:type="dxa"/>
            <w:tcBorders>
              <w:left w:val="double" w:sz="4" w:space="0" w:color="auto"/>
            </w:tcBorders>
            <w:vAlign w:val="center"/>
          </w:tcPr>
          <w:p w:rsidR="00463C05" w:rsidRPr="00C45AC0" w:rsidRDefault="00463C05" w:rsidP="00302EA2">
            <w:pPr>
              <w:ind w:right="42"/>
              <w:jc w:val="center"/>
              <w:rPr>
                <w:b/>
                <w:bCs/>
              </w:rPr>
            </w:pPr>
            <w:r>
              <w:rPr>
                <w:b/>
                <w:bCs/>
              </w:rPr>
              <w:t>-1,6</w:t>
            </w:r>
          </w:p>
        </w:tc>
        <w:tc>
          <w:tcPr>
            <w:tcW w:w="959" w:type="dxa"/>
            <w:vAlign w:val="center"/>
          </w:tcPr>
          <w:p w:rsidR="00463C05" w:rsidRPr="00C45AC0" w:rsidRDefault="00463C05" w:rsidP="00302EA2">
            <w:pPr>
              <w:ind w:right="42"/>
              <w:jc w:val="center"/>
              <w:rPr>
                <w:b/>
                <w:bCs/>
              </w:rPr>
            </w:pPr>
            <w:r>
              <w:rPr>
                <w:b/>
                <w:bCs/>
              </w:rPr>
              <w:t>0,4</w:t>
            </w:r>
          </w:p>
        </w:tc>
      </w:tr>
      <w:tr w:rsidR="00463C05" w:rsidRPr="00C45AC0" w:rsidTr="00302EA2">
        <w:trPr>
          <w:trHeight w:val="370"/>
        </w:trPr>
        <w:tc>
          <w:tcPr>
            <w:tcW w:w="3134" w:type="dxa"/>
            <w:vAlign w:val="center"/>
          </w:tcPr>
          <w:p w:rsidR="00463C05" w:rsidRPr="00C45AC0" w:rsidRDefault="00463C05" w:rsidP="00302EA2">
            <w:pPr>
              <w:ind w:right="42"/>
              <w:jc w:val="center"/>
              <w:rPr>
                <w:b/>
                <w:bCs/>
              </w:rPr>
            </w:pPr>
            <w:r w:rsidRPr="00C45AC0">
              <w:rPr>
                <w:b/>
                <w:bCs/>
                <w:sz w:val="22"/>
                <w:szCs w:val="22"/>
              </w:rPr>
              <w:t>Altın hariç ithalat***</w:t>
            </w:r>
          </w:p>
        </w:tc>
        <w:tc>
          <w:tcPr>
            <w:tcW w:w="1165" w:type="dxa"/>
            <w:vAlign w:val="center"/>
          </w:tcPr>
          <w:p w:rsidR="00463C05" w:rsidRPr="00C45AC0" w:rsidRDefault="00463C05" w:rsidP="00302EA2">
            <w:pPr>
              <w:ind w:right="42"/>
              <w:jc w:val="center"/>
              <w:rPr>
                <w:b/>
                <w:bCs/>
              </w:rPr>
            </w:pPr>
            <w:r>
              <w:rPr>
                <w:b/>
                <w:bCs/>
              </w:rPr>
              <w:t>-3,3</w:t>
            </w:r>
          </w:p>
        </w:tc>
        <w:tc>
          <w:tcPr>
            <w:tcW w:w="1086" w:type="dxa"/>
            <w:vAlign w:val="center"/>
          </w:tcPr>
          <w:p w:rsidR="00463C05" w:rsidRPr="00C45AC0" w:rsidRDefault="00463C05" w:rsidP="00302EA2">
            <w:pPr>
              <w:ind w:right="42"/>
              <w:jc w:val="center"/>
              <w:rPr>
                <w:b/>
                <w:bCs/>
              </w:rPr>
            </w:pPr>
            <w:r>
              <w:rPr>
                <w:b/>
                <w:bCs/>
              </w:rPr>
              <w:t>5,8</w:t>
            </w:r>
          </w:p>
        </w:tc>
        <w:tc>
          <w:tcPr>
            <w:tcW w:w="1142" w:type="dxa"/>
            <w:vAlign w:val="center"/>
          </w:tcPr>
          <w:p w:rsidR="00463C05" w:rsidRPr="00C45AC0" w:rsidRDefault="00463C05" w:rsidP="00302EA2">
            <w:pPr>
              <w:ind w:right="42"/>
              <w:jc w:val="center"/>
              <w:rPr>
                <w:b/>
                <w:bCs/>
              </w:rPr>
            </w:pPr>
            <w:r>
              <w:rPr>
                <w:b/>
                <w:bCs/>
              </w:rPr>
              <w:t>-5,4</w:t>
            </w:r>
          </w:p>
        </w:tc>
        <w:tc>
          <w:tcPr>
            <w:tcW w:w="1077" w:type="dxa"/>
            <w:tcBorders>
              <w:right w:val="double" w:sz="4" w:space="0" w:color="auto"/>
            </w:tcBorders>
            <w:vAlign w:val="center"/>
          </w:tcPr>
          <w:p w:rsidR="00463C05" w:rsidRPr="00C45AC0" w:rsidRDefault="00463C05" w:rsidP="00302EA2">
            <w:pPr>
              <w:ind w:right="42"/>
              <w:jc w:val="center"/>
            </w:pPr>
            <w:r>
              <w:t>**</w:t>
            </w:r>
          </w:p>
        </w:tc>
        <w:tc>
          <w:tcPr>
            <w:tcW w:w="959" w:type="dxa"/>
            <w:tcBorders>
              <w:left w:val="double" w:sz="4" w:space="0" w:color="auto"/>
            </w:tcBorders>
            <w:vAlign w:val="center"/>
          </w:tcPr>
          <w:p w:rsidR="00463C05" w:rsidRPr="00C45AC0" w:rsidRDefault="00463C05" w:rsidP="00302EA2">
            <w:pPr>
              <w:ind w:right="42"/>
              <w:jc w:val="center"/>
              <w:rPr>
                <w:b/>
                <w:bCs/>
              </w:rPr>
            </w:pPr>
            <w:r>
              <w:rPr>
                <w:b/>
                <w:bCs/>
              </w:rPr>
              <w:t>2,6</w:t>
            </w:r>
          </w:p>
        </w:tc>
        <w:tc>
          <w:tcPr>
            <w:tcW w:w="959" w:type="dxa"/>
            <w:vAlign w:val="center"/>
          </w:tcPr>
          <w:p w:rsidR="00463C05" w:rsidRPr="00C45AC0" w:rsidRDefault="00463C05" w:rsidP="00302EA2">
            <w:pPr>
              <w:ind w:right="42"/>
              <w:jc w:val="center"/>
              <w:rPr>
                <w:b/>
                <w:bCs/>
              </w:rPr>
            </w:pPr>
            <w:r>
              <w:rPr>
                <w:b/>
                <w:bCs/>
              </w:rPr>
              <w:t>-2,8</w:t>
            </w:r>
          </w:p>
        </w:tc>
      </w:tr>
      <w:tr w:rsidR="00463C05" w:rsidRPr="00C45AC0" w:rsidTr="00302EA2">
        <w:trPr>
          <w:trHeight w:val="370"/>
        </w:trPr>
        <w:tc>
          <w:tcPr>
            <w:tcW w:w="3134" w:type="dxa"/>
            <w:tcBorders>
              <w:bottom w:val="nil"/>
            </w:tcBorders>
            <w:vAlign w:val="center"/>
          </w:tcPr>
          <w:p w:rsidR="00463C05" w:rsidRPr="00C45AC0" w:rsidRDefault="00463C05" w:rsidP="00302EA2">
            <w:pPr>
              <w:ind w:right="42"/>
              <w:jc w:val="center"/>
              <w:rPr>
                <w:b/>
                <w:bCs/>
              </w:rPr>
            </w:pPr>
            <w:r w:rsidRPr="00C45AC0">
              <w:rPr>
                <w:b/>
                <w:bCs/>
                <w:sz w:val="22"/>
                <w:szCs w:val="22"/>
              </w:rPr>
              <w:t>Sanayi üretim endeksi (SÜE)*</w:t>
            </w:r>
          </w:p>
        </w:tc>
        <w:tc>
          <w:tcPr>
            <w:tcW w:w="1165" w:type="dxa"/>
            <w:tcBorders>
              <w:bottom w:val="nil"/>
            </w:tcBorders>
            <w:vAlign w:val="center"/>
          </w:tcPr>
          <w:p w:rsidR="00463C05" w:rsidRPr="00C45AC0" w:rsidRDefault="00463C05" w:rsidP="00302EA2">
            <w:pPr>
              <w:ind w:right="42"/>
              <w:jc w:val="center"/>
              <w:rPr>
                <w:b/>
                <w:bCs/>
              </w:rPr>
            </w:pPr>
            <w:r>
              <w:rPr>
                <w:b/>
                <w:bCs/>
              </w:rPr>
              <w:t>-0,2</w:t>
            </w:r>
          </w:p>
        </w:tc>
        <w:tc>
          <w:tcPr>
            <w:tcW w:w="1086" w:type="dxa"/>
            <w:tcBorders>
              <w:bottom w:val="nil"/>
            </w:tcBorders>
            <w:vAlign w:val="center"/>
          </w:tcPr>
          <w:p w:rsidR="00463C05" w:rsidRPr="00C45AC0" w:rsidRDefault="00463C05" w:rsidP="00302EA2">
            <w:pPr>
              <w:ind w:right="42"/>
              <w:jc w:val="center"/>
              <w:rPr>
                <w:b/>
                <w:bCs/>
              </w:rPr>
            </w:pPr>
            <w:r>
              <w:rPr>
                <w:b/>
                <w:bCs/>
              </w:rPr>
              <w:t>0,7</w:t>
            </w:r>
          </w:p>
        </w:tc>
        <w:tc>
          <w:tcPr>
            <w:tcW w:w="1142" w:type="dxa"/>
            <w:tcBorders>
              <w:bottom w:val="nil"/>
            </w:tcBorders>
            <w:vAlign w:val="center"/>
          </w:tcPr>
          <w:p w:rsidR="00463C05" w:rsidRPr="00C45AC0" w:rsidRDefault="00463C05" w:rsidP="00302EA2">
            <w:pPr>
              <w:ind w:right="42"/>
              <w:jc w:val="center"/>
              <w:rPr>
                <w:b/>
                <w:bCs/>
              </w:rPr>
            </w:pPr>
            <w:r>
              <w:rPr>
                <w:b/>
                <w:bCs/>
              </w:rPr>
              <w:t>-1,4</w:t>
            </w:r>
          </w:p>
        </w:tc>
        <w:tc>
          <w:tcPr>
            <w:tcW w:w="1077" w:type="dxa"/>
            <w:tcBorders>
              <w:bottom w:val="nil"/>
              <w:right w:val="double" w:sz="4" w:space="0" w:color="auto"/>
            </w:tcBorders>
            <w:vAlign w:val="center"/>
          </w:tcPr>
          <w:p w:rsidR="00463C05" w:rsidRPr="00C45AC0" w:rsidRDefault="00463C05" w:rsidP="00302EA2">
            <w:pPr>
              <w:ind w:right="42"/>
              <w:jc w:val="center"/>
            </w:pPr>
            <w:r>
              <w:t>**</w:t>
            </w:r>
          </w:p>
        </w:tc>
        <w:tc>
          <w:tcPr>
            <w:tcW w:w="959" w:type="dxa"/>
            <w:tcBorders>
              <w:left w:val="double" w:sz="4" w:space="0" w:color="auto"/>
              <w:bottom w:val="nil"/>
            </w:tcBorders>
            <w:vAlign w:val="center"/>
          </w:tcPr>
          <w:p w:rsidR="00463C05" w:rsidRPr="00C45AC0" w:rsidRDefault="00463C05" w:rsidP="00302EA2">
            <w:pPr>
              <w:ind w:right="42"/>
              <w:jc w:val="center"/>
              <w:rPr>
                <w:b/>
                <w:bCs/>
              </w:rPr>
            </w:pPr>
            <w:r>
              <w:rPr>
                <w:b/>
                <w:bCs/>
              </w:rPr>
              <w:t>-0,7</w:t>
            </w:r>
          </w:p>
        </w:tc>
        <w:tc>
          <w:tcPr>
            <w:tcW w:w="959" w:type="dxa"/>
            <w:tcBorders>
              <w:bottom w:val="nil"/>
            </w:tcBorders>
            <w:vAlign w:val="center"/>
          </w:tcPr>
          <w:p w:rsidR="00463C05" w:rsidRPr="00C45AC0" w:rsidRDefault="00463C05" w:rsidP="00302EA2">
            <w:pPr>
              <w:ind w:right="42"/>
              <w:jc w:val="center"/>
              <w:rPr>
                <w:b/>
                <w:bCs/>
              </w:rPr>
            </w:pPr>
            <w:r>
              <w:rPr>
                <w:b/>
                <w:bCs/>
              </w:rPr>
              <w:t>-1,0</w:t>
            </w:r>
          </w:p>
        </w:tc>
      </w:tr>
      <w:tr w:rsidR="00463C05" w:rsidRPr="00C45AC0" w:rsidTr="00302EA2">
        <w:trPr>
          <w:trHeight w:val="370"/>
        </w:trPr>
        <w:tc>
          <w:tcPr>
            <w:tcW w:w="3134" w:type="dxa"/>
            <w:tcBorders>
              <w:top w:val="nil"/>
              <w:bottom w:val="nil"/>
            </w:tcBorders>
            <w:vAlign w:val="center"/>
          </w:tcPr>
          <w:p w:rsidR="00463C05" w:rsidRPr="00C45AC0" w:rsidRDefault="00463C05" w:rsidP="00302EA2">
            <w:pPr>
              <w:ind w:right="42"/>
              <w:jc w:val="center"/>
            </w:pPr>
            <w:r w:rsidRPr="00C45AC0">
              <w:rPr>
                <w:sz w:val="22"/>
                <w:szCs w:val="22"/>
              </w:rPr>
              <w:t>Dayanıksız tüketim malı imalatı*</w:t>
            </w:r>
          </w:p>
        </w:tc>
        <w:tc>
          <w:tcPr>
            <w:tcW w:w="1165" w:type="dxa"/>
            <w:tcBorders>
              <w:top w:val="nil"/>
              <w:bottom w:val="nil"/>
            </w:tcBorders>
            <w:vAlign w:val="center"/>
          </w:tcPr>
          <w:p w:rsidR="00463C05" w:rsidRPr="00C45AC0" w:rsidRDefault="00463C05" w:rsidP="00302EA2">
            <w:pPr>
              <w:ind w:right="42"/>
              <w:jc w:val="center"/>
            </w:pPr>
            <w:r>
              <w:t>1,0</w:t>
            </w:r>
          </w:p>
        </w:tc>
        <w:tc>
          <w:tcPr>
            <w:tcW w:w="1086" w:type="dxa"/>
            <w:tcBorders>
              <w:top w:val="nil"/>
              <w:bottom w:val="nil"/>
            </w:tcBorders>
            <w:vAlign w:val="center"/>
          </w:tcPr>
          <w:p w:rsidR="00463C05" w:rsidRPr="00C45AC0" w:rsidRDefault="00463C05" w:rsidP="00302EA2">
            <w:pPr>
              <w:ind w:right="42"/>
              <w:jc w:val="center"/>
            </w:pPr>
            <w:r>
              <w:t>0,6</w:t>
            </w:r>
          </w:p>
        </w:tc>
        <w:tc>
          <w:tcPr>
            <w:tcW w:w="1142" w:type="dxa"/>
            <w:tcBorders>
              <w:top w:val="nil"/>
              <w:bottom w:val="nil"/>
            </w:tcBorders>
            <w:vAlign w:val="center"/>
          </w:tcPr>
          <w:p w:rsidR="00463C05" w:rsidRPr="00C45AC0" w:rsidRDefault="00463C05" w:rsidP="00302EA2">
            <w:pPr>
              <w:ind w:right="42"/>
              <w:jc w:val="center"/>
            </w:pPr>
            <w:r>
              <w:t>-2,0</w:t>
            </w:r>
          </w:p>
        </w:tc>
        <w:tc>
          <w:tcPr>
            <w:tcW w:w="1077" w:type="dxa"/>
            <w:tcBorders>
              <w:top w:val="nil"/>
              <w:bottom w:val="nil"/>
              <w:right w:val="double" w:sz="4" w:space="0" w:color="auto"/>
            </w:tcBorders>
            <w:vAlign w:val="center"/>
          </w:tcPr>
          <w:p w:rsidR="00463C05" w:rsidRPr="00C45AC0" w:rsidRDefault="00463C05" w:rsidP="00302EA2">
            <w:pPr>
              <w:ind w:right="42"/>
              <w:jc w:val="center"/>
            </w:pPr>
            <w:r>
              <w:t>**</w:t>
            </w:r>
          </w:p>
        </w:tc>
        <w:tc>
          <w:tcPr>
            <w:tcW w:w="959" w:type="dxa"/>
            <w:tcBorders>
              <w:top w:val="nil"/>
              <w:left w:val="double" w:sz="4" w:space="0" w:color="auto"/>
              <w:bottom w:val="nil"/>
            </w:tcBorders>
            <w:vAlign w:val="center"/>
          </w:tcPr>
          <w:p w:rsidR="00463C05" w:rsidRPr="00C45AC0" w:rsidRDefault="00463C05" w:rsidP="00302EA2">
            <w:pPr>
              <w:ind w:right="42"/>
              <w:jc w:val="center"/>
            </w:pPr>
            <w:r>
              <w:t>0,9</w:t>
            </w:r>
          </w:p>
        </w:tc>
        <w:tc>
          <w:tcPr>
            <w:tcW w:w="959" w:type="dxa"/>
            <w:tcBorders>
              <w:top w:val="nil"/>
              <w:bottom w:val="nil"/>
            </w:tcBorders>
            <w:vAlign w:val="center"/>
          </w:tcPr>
          <w:p w:rsidR="00463C05" w:rsidRPr="00C45AC0" w:rsidRDefault="00463C05" w:rsidP="00302EA2">
            <w:pPr>
              <w:ind w:right="42"/>
              <w:jc w:val="center"/>
            </w:pPr>
            <w:r>
              <w:t>-1,3</w:t>
            </w:r>
          </w:p>
        </w:tc>
      </w:tr>
      <w:tr w:rsidR="00463C05" w:rsidRPr="00C45AC0" w:rsidTr="00302EA2">
        <w:trPr>
          <w:trHeight w:val="370"/>
        </w:trPr>
        <w:tc>
          <w:tcPr>
            <w:tcW w:w="3134" w:type="dxa"/>
            <w:tcBorders>
              <w:top w:val="nil"/>
              <w:bottom w:val="nil"/>
            </w:tcBorders>
            <w:vAlign w:val="center"/>
          </w:tcPr>
          <w:p w:rsidR="00463C05" w:rsidRPr="00C45AC0" w:rsidRDefault="00463C05" w:rsidP="00302EA2">
            <w:pPr>
              <w:ind w:right="42"/>
              <w:jc w:val="center"/>
              <w:rPr>
                <w:b/>
                <w:bCs/>
              </w:rPr>
            </w:pPr>
            <w:r w:rsidRPr="00C45AC0">
              <w:rPr>
                <w:sz w:val="22"/>
                <w:szCs w:val="22"/>
              </w:rPr>
              <w:t>Dayanıklı tüketim malı imalatı*</w:t>
            </w:r>
          </w:p>
        </w:tc>
        <w:tc>
          <w:tcPr>
            <w:tcW w:w="1165" w:type="dxa"/>
            <w:tcBorders>
              <w:top w:val="nil"/>
              <w:bottom w:val="nil"/>
            </w:tcBorders>
            <w:vAlign w:val="center"/>
          </w:tcPr>
          <w:p w:rsidR="00463C05" w:rsidRPr="00C45AC0" w:rsidRDefault="00463C05" w:rsidP="00302EA2">
            <w:pPr>
              <w:ind w:right="42"/>
              <w:jc w:val="center"/>
            </w:pPr>
            <w:r>
              <w:t>-2,6</w:t>
            </w:r>
          </w:p>
        </w:tc>
        <w:tc>
          <w:tcPr>
            <w:tcW w:w="1086" w:type="dxa"/>
            <w:tcBorders>
              <w:top w:val="nil"/>
              <w:bottom w:val="nil"/>
            </w:tcBorders>
            <w:vAlign w:val="center"/>
          </w:tcPr>
          <w:p w:rsidR="00463C05" w:rsidRPr="00C45AC0" w:rsidRDefault="00463C05" w:rsidP="00302EA2">
            <w:pPr>
              <w:ind w:right="42"/>
              <w:jc w:val="center"/>
            </w:pPr>
            <w:r>
              <w:t>1,4</w:t>
            </w:r>
          </w:p>
        </w:tc>
        <w:tc>
          <w:tcPr>
            <w:tcW w:w="1142" w:type="dxa"/>
            <w:tcBorders>
              <w:top w:val="nil"/>
              <w:bottom w:val="nil"/>
            </w:tcBorders>
            <w:vAlign w:val="center"/>
          </w:tcPr>
          <w:p w:rsidR="00463C05" w:rsidRPr="00C45AC0" w:rsidRDefault="00463C05" w:rsidP="00302EA2">
            <w:pPr>
              <w:ind w:right="42"/>
              <w:jc w:val="center"/>
            </w:pPr>
            <w:r>
              <w:t>-5,0</w:t>
            </w:r>
          </w:p>
        </w:tc>
        <w:tc>
          <w:tcPr>
            <w:tcW w:w="1077" w:type="dxa"/>
            <w:tcBorders>
              <w:top w:val="nil"/>
              <w:bottom w:val="nil"/>
              <w:right w:val="double" w:sz="4" w:space="0" w:color="auto"/>
            </w:tcBorders>
            <w:vAlign w:val="center"/>
          </w:tcPr>
          <w:p w:rsidR="00463C05" w:rsidRPr="00C45AC0" w:rsidRDefault="00463C05" w:rsidP="00302EA2">
            <w:pPr>
              <w:ind w:right="42"/>
              <w:jc w:val="center"/>
            </w:pPr>
            <w:r>
              <w:t>**</w:t>
            </w:r>
          </w:p>
        </w:tc>
        <w:tc>
          <w:tcPr>
            <w:tcW w:w="959" w:type="dxa"/>
            <w:tcBorders>
              <w:top w:val="nil"/>
              <w:left w:val="double" w:sz="4" w:space="0" w:color="auto"/>
              <w:bottom w:val="nil"/>
            </w:tcBorders>
            <w:vAlign w:val="center"/>
          </w:tcPr>
          <w:p w:rsidR="00463C05" w:rsidRPr="00C45AC0" w:rsidRDefault="00463C05" w:rsidP="00302EA2">
            <w:pPr>
              <w:ind w:right="42"/>
              <w:jc w:val="center"/>
            </w:pPr>
            <w:r>
              <w:t>0,2</w:t>
            </w:r>
          </w:p>
        </w:tc>
        <w:tc>
          <w:tcPr>
            <w:tcW w:w="959" w:type="dxa"/>
            <w:tcBorders>
              <w:top w:val="nil"/>
              <w:bottom w:val="nil"/>
            </w:tcBorders>
            <w:vAlign w:val="center"/>
          </w:tcPr>
          <w:p w:rsidR="00463C05" w:rsidRPr="00C45AC0" w:rsidRDefault="00463C05" w:rsidP="00302EA2">
            <w:pPr>
              <w:ind w:right="42"/>
              <w:jc w:val="center"/>
            </w:pPr>
            <w:r>
              <w:t>-5,0</w:t>
            </w:r>
          </w:p>
        </w:tc>
      </w:tr>
      <w:tr w:rsidR="00463C05" w:rsidRPr="00C45AC0" w:rsidTr="00302EA2">
        <w:trPr>
          <w:trHeight w:val="370"/>
        </w:trPr>
        <w:tc>
          <w:tcPr>
            <w:tcW w:w="3134" w:type="dxa"/>
            <w:tcBorders>
              <w:top w:val="nil"/>
              <w:bottom w:val="nil"/>
            </w:tcBorders>
            <w:vAlign w:val="center"/>
          </w:tcPr>
          <w:p w:rsidR="00463C05" w:rsidRPr="00C45AC0" w:rsidRDefault="00463C05" w:rsidP="00302EA2">
            <w:pPr>
              <w:ind w:right="42"/>
              <w:jc w:val="center"/>
            </w:pPr>
            <w:r w:rsidRPr="00C45AC0">
              <w:rPr>
                <w:sz w:val="22"/>
                <w:szCs w:val="22"/>
              </w:rPr>
              <w:t>Ara malı imalatı*</w:t>
            </w:r>
          </w:p>
        </w:tc>
        <w:tc>
          <w:tcPr>
            <w:tcW w:w="1165" w:type="dxa"/>
            <w:tcBorders>
              <w:top w:val="nil"/>
              <w:bottom w:val="nil"/>
            </w:tcBorders>
            <w:vAlign w:val="center"/>
          </w:tcPr>
          <w:p w:rsidR="00463C05" w:rsidRPr="00C45AC0" w:rsidRDefault="00463C05" w:rsidP="00302EA2">
            <w:pPr>
              <w:ind w:right="42"/>
              <w:jc w:val="center"/>
            </w:pPr>
            <w:r>
              <w:t>-0,5</w:t>
            </w:r>
          </w:p>
        </w:tc>
        <w:tc>
          <w:tcPr>
            <w:tcW w:w="1086" w:type="dxa"/>
            <w:tcBorders>
              <w:top w:val="nil"/>
              <w:bottom w:val="nil"/>
            </w:tcBorders>
            <w:vAlign w:val="center"/>
          </w:tcPr>
          <w:p w:rsidR="00463C05" w:rsidRPr="00C45AC0" w:rsidRDefault="00463C05" w:rsidP="00302EA2">
            <w:pPr>
              <w:ind w:right="42"/>
              <w:jc w:val="center"/>
            </w:pPr>
            <w:r>
              <w:t>-0,2</w:t>
            </w:r>
          </w:p>
        </w:tc>
        <w:tc>
          <w:tcPr>
            <w:tcW w:w="1142" w:type="dxa"/>
            <w:tcBorders>
              <w:top w:val="nil"/>
              <w:bottom w:val="nil"/>
            </w:tcBorders>
            <w:vAlign w:val="center"/>
          </w:tcPr>
          <w:p w:rsidR="00463C05" w:rsidRPr="00C45AC0" w:rsidRDefault="00463C05" w:rsidP="00302EA2">
            <w:pPr>
              <w:ind w:right="42"/>
              <w:jc w:val="center"/>
            </w:pPr>
            <w:r>
              <w:t>-2,7</w:t>
            </w:r>
          </w:p>
        </w:tc>
        <w:tc>
          <w:tcPr>
            <w:tcW w:w="1077" w:type="dxa"/>
            <w:tcBorders>
              <w:top w:val="nil"/>
              <w:bottom w:val="nil"/>
              <w:right w:val="double" w:sz="4" w:space="0" w:color="auto"/>
            </w:tcBorders>
            <w:vAlign w:val="center"/>
          </w:tcPr>
          <w:p w:rsidR="00463C05" w:rsidRPr="00C45AC0" w:rsidRDefault="00463C05" w:rsidP="00302EA2">
            <w:pPr>
              <w:ind w:right="42"/>
              <w:jc w:val="center"/>
            </w:pPr>
            <w:r>
              <w:t>**</w:t>
            </w:r>
          </w:p>
        </w:tc>
        <w:tc>
          <w:tcPr>
            <w:tcW w:w="959" w:type="dxa"/>
            <w:tcBorders>
              <w:top w:val="nil"/>
              <w:left w:val="double" w:sz="4" w:space="0" w:color="auto"/>
              <w:bottom w:val="nil"/>
            </w:tcBorders>
            <w:vAlign w:val="center"/>
          </w:tcPr>
          <w:p w:rsidR="00463C05" w:rsidRPr="00C45AC0" w:rsidRDefault="00463C05" w:rsidP="00302EA2">
            <w:pPr>
              <w:ind w:right="42"/>
              <w:jc w:val="center"/>
            </w:pPr>
            <w:r>
              <w:t>-0,8</w:t>
            </w:r>
          </w:p>
        </w:tc>
        <w:tc>
          <w:tcPr>
            <w:tcW w:w="959" w:type="dxa"/>
            <w:tcBorders>
              <w:top w:val="nil"/>
              <w:bottom w:val="nil"/>
            </w:tcBorders>
            <w:vAlign w:val="center"/>
          </w:tcPr>
          <w:p w:rsidR="00463C05" w:rsidRPr="00C45AC0" w:rsidRDefault="00463C05" w:rsidP="00302EA2">
            <w:pPr>
              <w:ind w:right="42"/>
              <w:jc w:val="center"/>
            </w:pPr>
            <w:r>
              <w:t>-3,0</w:t>
            </w:r>
          </w:p>
        </w:tc>
      </w:tr>
      <w:tr w:rsidR="00463C05" w:rsidRPr="00C45AC0" w:rsidTr="00302EA2">
        <w:trPr>
          <w:trHeight w:val="370"/>
        </w:trPr>
        <w:tc>
          <w:tcPr>
            <w:tcW w:w="3134" w:type="dxa"/>
            <w:tcBorders>
              <w:top w:val="nil"/>
            </w:tcBorders>
            <w:vAlign w:val="center"/>
          </w:tcPr>
          <w:p w:rsidR="00463C05" w:rsidRPr="00C45AC0" w:rsidRDefault="00463C05" w:rsidP="00302EA2">
            <w:pPr>
              <w:ind w:right="42"/>
              <w:jc w:val="center"/>
            </w:pPr>
            <w:r w:rsidRPr="00C45AC0">
              <w:rPr>
                <w:sz w:val="22"/>
                <w:szCs w:val="22"/>
              </w:rPr>
              <w:t>Yatırım malı imalatı*</w:t>
            </w:r>
          </w:p>
        </w:tc>
        <w:tc>
          <w:tcPr>
            <w:tcW w:w="1165" w:type="dxa"/>
            <w:tcBorders>
              <w:top w:val="nil"/>
            </w:tcBorders>
            <w:vAlign w:val="center"/>
          </w:tcPr>
          <w:p w:rsidR="00463C05" w:rsidRPr="00C45AC0" w:rsidRDefault="00463C05" w:rsidP="00302EA2">
            <w:pPr>
              <w:ind w:right="42"/>
              <w:jc w:val="center"/>
            </w:pPr>
            <w:r>
              <w:t>-1,1</w:t>
            </w:r>
          </w:p>
        </w:tc>
        <w:tc>
          <w:tcPr>
            <w:tcW w:w="1086" w:type="dxa"/>
            <w:tcBorders>
              <w:top w:val="nil"/>
            </w:tcBorders>
            <w:vAlign w:val="center"/>
          </w:tcPr>
          <w:p w:rsidR="00463C05" w:rsidRPr="00C45AC0" w:rsidRDefault="00463C05" w:rsidP="00302EA2">
            <w:pPr>
              <w:ind w:right="42"/>
              <w:jc w:val="center"/>
            </w:pPr>
            <w:r>
              <w:t>4,3</w:t>
            </w:r>
          </w:p>
        </w:tc>
        <w:tc>
          <w:tcPr>
            <w:tcW w:w="1142" w:type="dxa"/>
            <w:tcBorders>
              <w:top w:val="nil"/>
            </w:tcBorders>
            <w:vAlign w:val="center"/>
          </w:tcPr>
          <w:p w:rsidR="00463C05" w:rsidRPr="00C45AC0" w:rsidRDefault="00463C05" w:rsidP="00302EA2">
            <w:pPr>
              <w:ind w:right="42"/>
              <w:jc w:val="center"/>
            </w:pPr>
            <w:r>
              <w:t>0,8</w:t>
            </w:r>
          </w:p>
        </w:tc>
        <w:tc>
          <w:tcPr>
            <w:tcW w:w="1077" w:type="dxa"/>
            <w:tcBorders>
              <w:top w:val="nil"/>
              <w:right w:val="double" w:sz="4" w:space="0" w:color="auto"/>
            </w:tcBorders>
            <w:vAlign w:val="center"/>
          </w:tcPr>
          <w:p w:rsidR="00463C05" w:rsidRPr="00C45AC0" w:rsidRDefault="00463C05" w:rsidP="00302EA2">
            <w:pPr>
              <w:ind w:right="42"/>
              <w:jc w:val="center"/>
            </w:pPr>
            <w:r>
              <w:t>**</w:t>
            </w:r>
          </w:p>
        </w:tc>
        <w:tc>
          <w:tcPr>
            <w:tcW w:w="959" w:type="dxa"/>
            <w:tcBorders>
              <w:top w:val="nil"/>
              <w:left w:val="double" w:sz="4" w:space="0" w:color="auto"/>
            </w:tcBorders>
            <w:vAlign w:val="center"/>
          </w:tcPr>
          <w:p w:rsidR="00463C05" w:rsidRPr="00C45AC0" w:rsidRDefault="00463C05" w:rsidP="00302EA2">
            <w:pPr>
              <w:ind w:right="42"/>
              <w:jc w:val="center"/>
            </w:pPr>
            <w:r>
              <w:t>-2,0</w:t>
            </w:r>
          </w:p>
        </w:tc>
        <w:tc>
          <w:tcPr>
            <w:tcW w:w="959" w:type="dxa"/>
            <w:tcBorders>
              <w:top w:val="nil"/>
            </w:tcBorders>
            <w:vAlign w:val="center"/>
          </w:tcPr>
          <w:p w:rsidR="00463C05" w:rsidRPr="00C45AC0" w:rsidRDefault="00463C05" w:rsidP="00302EA2">
            <w:pPr>
              <w:ind w:right="42"/>
              <w:jc w:val="center"/>
            </w:pPr>
            <w:r>
              <w:t>3,3</w:t>
            </w:r>
          </w:p>
        </w:tc>
      </w:tr>
      <w:tr w:rsidR="00463C05" w:rsidRPr="00C45AC0" w:rsidTr="00302EA2">
        <w:trPr>
          <w:trHeight w:val="370"/>
        </w:trPr>
        <w:tc>
          <w:tcPr>
            <w:tcW w:w="3134" w:type="dxa"/>
            <w:tcBorders>
              <w:bottom w:val="nil"/>
            </w:tcBorders>
            <w:vAlign w:val="center"/>
          </w:tcPr>
          <w:p w:rsidR="00463C05" w:rsidRPr="00C45AC0" w:rsidRDefault="00463C05" w:rsidP="00302EA2">
            <w:pPr>
              <w:ind w:right="42"/>
              <w:jc w:val="center"/>
              <w:rPr>
                <w:b/>
                <w:bCs/>
              </w:rPr>
            </w:pPr>
            <w:r w:rsidRPr="00C45AC0">
              <w:rPr>
                <w:b/>
                <w:bCs/>
                <w:sz w:val="22"/>
                <w:szCs w:val="22"/>
              </w:rPr>
              <w:t>Kapasite kullanım oranı (KKO)*</w:t>
            </w:r>
            <w:r w:rsidRPr="00C45AC0">
              <w:rPr>
                <w:b/>
                <w:bCs/>
                <w:sz w:val="22"/>
                <w:szCs w:val="22"/>
                <w:vertAlign w:val="superscript"/>
              </w:rPr>
              <w:t>, ‡</w:t>
            </w:r>
          </w:p>
        </w:tc>
        <w:tc>
          <w:tcPr>
            <w:tcW w:w="1165" w:type="dxa"/>
            <w:tcBorders>
              <w:bottom w:val="nil"/>
            </w:tcBorders>
            <w:vAlign w:val="center"/>
          </w:tcPr>
          <w:p w:rsidR="00463C05" w:rsidRPr="00C45AC0" w:rsidRDefault="00463C05" w:rsidP="00302EA2">
            <w:pPr>
              <w:ind w:right="42"/>
              <w:jc w:val="center"/>
              <w:rPr>
                <w:b/>
                <w:bCs/>
              </w:rPr>
            </w:pPr>
            <w:r>
              <w:rPr>
                <w:b/>
                <w:bCs/>
              </w:rPr>
              <w:t>-0,1</w:t>
            </w:r>
          </w:p>
        </w:tc>
        <w:tc>
          <w:tcPr>
            <w:tcW w:w="1086" w:type="dxa"/>
            <w:tcBorders>
              <w:bottom w:val="nil"/>
            </w:tcBorders>
            <w:vAlign w:val="center"/>
          </w:tcPr>
          <w:p w:rsidR="00463C05" w:rsidRPr="00C45AC0" w:rsidRDefault="00463C05" w:rsidP="00302EA2">
            <w:pPr>
              <w:ind w:right="42"/>
              <w:jc w:val="center"/>
              <w:rPr>
                <w:b/>
                <w:bCs/>
              </w:rPr>
            </w:pPr>
            <w:r>
              <w:rPr>
                <w:b/>
                <w:bCs/>
              </w:rPr>
              <w:t>0,4</w:t>
            </w:r>
          </w:p>
        </w:tc>
        <w:tc>
          <w:tcPr>
            <w:tcW w:w="1142" w:type="dxa"/>
            <w:tcBorders>
              <w:bottom w:val="nil"/>
            </w:tcBorders>
            <w:vAlign w:val="center"/>
          </w:tcPr>
          <w:p w:rsidR="00463C05" w:rsidRPr="00C45AC0" w:rsidRDefault="00463C05" w:rsidP="00302EA2">
            <w:pPr>
              <w:ind w:right="42"/>
              <w:jc w:val="center"/>
              <w:rPr>
                <w:b/>
                <w:bCs/>
              </w:rPr>
            </w:pPr>
            <w:r>
              <w:rPr>
                <w:b/>
                <w:bCs/>
              </w:rPr>
              <w:t>0,2</w:t>
            </w:r>
          </w:p>
        </w:tc>
        <w:tc>
          <w:tcPr>
            <w:tcW w:w="1077" w:type="dxa"/>
            <w:tcBorders>
              <w:bottom w:val="nil"/>
              <w:right w:val="double" w:sz="4" w:space="0" w:color="auto"/>
            </w:tcBorders>
            <w:vAlign w:val="center"/>
          </w:tcPr>
          <w:p w:rsidR="00463C05" w:rsidRPr="00C45AC0" w:rsidRDefault="00463C05" w:rsidP="00302EA2">
            <w:pPr>
              <w:ind w:right="42"/>
              <w:jc w:val="center"/>
              <w:rPr>
                <w:b/>
                <w:bCs/>
              </w:rPr>
            </w:pPr>
            <w:r>
              <w:rPr>
                <w:b/>
                <w:bCs/>
              </w:rPr>
              <w:t>-0,5</w:t>
            </w:r>
          </w:p>
        </w:tc>
        <w:tc>
          <w:tcPr>
            <w:tcW w:w="959" w:type="dxa"/>
            <w:tcBorders>
              <w:left w:val="double" w:sz="4" w:space="0" w:color="auto"/>
              <w:bottom w:val="nil"/>
            </w:tcBorders>
            <w:vAlign w:val="center"/>
          </w:tcPr>
          <w:p w:rsidR="00463C05" w:rsidRPr="00C45AC0" w:rsidRDefault="00463C05" w:rsidP="00302EA2">
            <w:pPr>
              <w:ind w:right="42"/>
              <w:jc w:val="center"/>
              <w:rPr>
                <w:b/>
                <w:bCs/>
              </w:rPr>
            </w:pPr>
            <w:r>
              <w:rPr>
                <w:b/>
                <w:bCs/>
              </w:rPr>
              <w:t>0,0</w:t>
            </w:r>
          </w:p>
        </w:tc>
        <w:tc>
          <w:tcPr>
            <w:tcW w:w="959" w:type="dxa"/>
            <w:tcBorders>
              <w:bottom w:val="nil"/>
            </w:tcBorders>
            <w:vAlign w:val="center"/>
          </w:tcPr>
          <w:p w:rsidR="00463C05" w:rsidRPr="00C45AC0" w:rsidRDefault="00463C05" w:rsidP="00302EA2">
            <w:pPr>
              <w:ind w:right="42"/>
              <w:jc w:val="center"/>
              <w:rPr>
                <w:b/>
                <w:bCs/>
              </w:rPr>
            </w:pPr>
            <w:r>
              <w:rPr>
                <w:b/>
                <w:bCs/>
              </w:rPr>
              <w:t>0,2</w:t>
            </w:r>
          </w:p>
        </w:tc>
      </w:tr>
      <w:tr w:rsidR="00463C05" w:rsidRPr="00C45AC0" w:rsidTr="00302EA2">
        <w:trPr>
          <w:trHeight w:val="370"/>
        </w:trPr>
        <w:tc>
          <w:tcPr>
            <w:tcW w:w="3134" w:type="dxa"/>
            <w:tcBorders>
              <w:top w:val="nil"/>
              <w:bottom w:val="nil"/>
            </w:tcBorders>
            <w:vAlign w:val="center"/>
          </w:tcPr>
          <w:p w:rsidR="00463C05" w:rsidRPr="00C45AC0" w:rsidRDefault="00463C05" w:rsidP="00302EA2">
            <w:pPr>
              <w:ind w:right="42"/>
              <w:jc w:val="center"/>
            </w:pPr>
            <w:r w:rsidRPr="00C45AC0">
              <w:rPr>
                <w:sz w:val="22"/>
                <w:szCs w:val="22"/>
              </w:rPr>
              <w:t>Dayanıksız tüketim malı imalatı</w:t>
            </w:r>
            <w:r w:rsidRPr="00C45AC0">
              <w:rPr>
                <w:b/>
                <w:bCs/>
                <w:sz w:val="22"/>
                <w:szCs w:val="22"/>
                <w:vertAlign w:val="superscript"/>
              </w:rPr>
              <w:t>‡</w:t>
            </w:r>
          </w:p>
        </w:tc>
        <w:tc>
          <w:tcPr>
            <w:tcW w:w="1165" w:type="dxa"/>
            <w:tcBorders>
              <w:top w:val="nil"/>
              <w:bottom w:val="nil"/>
            </w:tcBorders>
            <w:vAlign w:val="center"/>
          </w:tcPr>
          <w:p w:rsidR="00463C05" w:rsidRPr="00C45AC0" w:rsidRDefault="00463C05" w:rsidP="00302EA2">
            <w:pPr>
              <w:ind w:right="42"/>
              <w:jc w:val="center"/>
            </w:pPr>
            <w:r>
              <w:t>0,3</w:t>
            </w:r>
          </w:p>
        </w:tc>
        <w:tc>
          <w:tcPr>
            <w:tcW w:w="1086" w:type="dxa"/>
            <w:tcBorders>
              <w:top w:val="nil"/>
              <w:bottom w:val="nil"/>
            </w:tcBorders>
            <w:vAlign w:val="center"/>
          </w:tcPr>
          <w:p w:rsidR="00463C05" w:rsidRPr="00C45AC0" w:rsidRDefault="00463C05" w:rsidP="00302EA2">
            <w:pPr>
              <w:ind w:right="42"/>
              <w:jc w:val="center"/>
            </w:pPr>
            <w:r>
              <w:t>0,4</w:t>
            </w:r>
          </w:p>
        </w:tc>
        <w:tc>
          <w:tcPr>
            <w:tcW w:w="1142" w:type="dxa"/>
            <w:tcBorders>
              <w:top w:val="nil"/>
              <w:bottom w:val="nil"/>
            </w:tcBorders>
            <w:vAlign w:val="center"/>
          </w:tcPr>
          <w:p w:rsidR="00463C05" w:rsidRPr="00C45AC0" w:rsidRDefault="00463C05" w:rsidP="00302EA2">
            <w:pPr>
              <w:ind w:right="42"/>
              <w:jc w:val="center"/>
            </w:pPr>
            <w:r>
              <w:t>0,1</w:t>
            </w:r>
          </w:p>
        </w:tc>
        <w:tc>
          <w:tcPr>
            <w:tcW w:w="1077" w:type="dxa"/>
            <w:tcBorders>
              <w:top w:val="nil"/>
              <w:bottom w:val="nil"/>
              <w:right w:val="double" w:sz="4" w:space="0" w:color="auto"/>
            </w:tcBorders>
            <w:vAlign w:val="center"/>
          </w:tcPr>
          <w:p w:rsidR="00463C05" w:rsidRPr="00C45AC0" w:rsidRDefault="00463C05" w:rsidP="00302EA2">
            <w:pPr>
              <w:ind w:right="42"/>
              <w:jc w:val="center"/>
            </w:pPr>
            <w:r>
              <w:t>-0,7</w:t>
            </w:r>
          </w:p>
        </w:tc>
        <w:tc>
          <w:tcPr>
            <w:tcW w:w="959" w:type="dxa"/>
            <w:tcBorders>
              <w:top w:val="nil"/>
              <w:left w:val="double" w:sz="4" w:space="0" w:color="auto"/>
              <w:bottom w:val="nil"/>
            </w:tcBorders>
            <w:vAlign w:val="center"/>
          </w:tcPr>
          <w:p w:rsidR="00463C05" w:rsidRPr="00C45AC0" w:rsidRDefault="00463C05" w:rsidP="00302EA2">
            <w:pPr>
              <w:ind w:right="42"/>
              <w:jc w:val="center"/>
            </w:pPr>
            <w:r>
              <w:t>-0,4</w:t>
            </w:r>
          </w:p>
        </w:tc>
        <w:tc>
          <w:tcPr>
            <w:tcW w:w="959" w:type="dxa"/>
            <w:tcBorders>
              <w:top w:val="nil"/>
              <w:bottom w:val="nil"/>
            </w:tcBorders>
            <w:vAlign w:val="center"/>
          </w:tcPr>
          <w:p w:rsidR="00463C05" w:rsidRPr="00C45AC0" w:rsidRDefault="00463C05" w:rsidP="00302EA2">
            <w:pPr>
              <w:ind w:right="42"/>
              <w:jc w:val="center"/>
            </w:pPr>
            <w:r>
              <w:t>0,0</w:t>
            </w:r>
          </w:p>
        </w:tc>
      </w:tr>
      <w:tr w:rsidR="00463C05" w:rsidRPr="00C45AC0" w:rsidTr="00302EA2">
        <w:trPr>
          <w:trHeight w:val="370"/>
        </w:trPr>
        <w:tc>
          <w:tcPr>
            <w:tcW w:w="3134" w:type="dxa"/>
            <w:tcBorders>
              <w:top w:val="nil"/>
              <w:bottom w:val="nil"/>
            </w:tcBorders>
            <w:vAlign w:val="center"/>
          </w:tcPr>
          <w:p w:rsidR="00463C05" w:rsidRPr="00C45AC0" w:rsidRDefault="00463C05" w:rsidP="00302EA2">
            <w:pPr>
              <w:ind w:right="42"/>
              <w:jc w:val="center"/>
              <w:rPr>
                <w:b/>
                <w:bCs/>
              </w:rPr>
            </w:pPr>
            <w:r w:rsidRPr="00C45AC0">
              <w:rPr>
                <w:sz w:val="22"/>
                <w:szCs w:val="22"/>
              </w:rPr>
              <w:t>Dayanıklı tüketim malı imalatı</w:t>
            </w:r>
            <w:r w:rsidRPr="00C45AC0">
              <w:rPr>
                <w:b/>
                <w:bCs/>
                <w:sz w:val="22"/>
                <w:szCs w:val="22"/>
                <w:vertAlign w:val="superscript"/>
              </w:rPr>
              <w:t>‡</w:t>
            </w:r>
          </w:p>
        </w:tc>
        <w:tc>
          <w:tcPr>
            <w:tcW w:w="1165" w:type="dxa"/>
            <w:tcBorders>
              <w:top w:val="nil"/>
              <w:bottom w:val="nil"/>
            </w:tcBorders>
            <w:vAlign w:val="center"/>
          </w:tcPr>
          <w:p w:rsidR="00463C05" w:rsidRPr="00C45AC0" w:rsidRDefault="00463C05" w:rsidP="00302EA2">
            <w:pPr>
              <w:ind w:right="42"/>
              <w:jc w:val="center"/>
            </w:pPr>
            <w:r>
              <w:t>-1,5</w:t>
            </w:r>
          </w:p>
        </w:tc>
        <w:tc>
          <w:tcPr>
            <w:tcW w:w="1086" w:type="dxa"/>
            <w:tcBorders>
              <w:top w:val="nil"/>
              <w:bottom w:val="nil"/>
            </w:tcBorders>
            <w:vAlign w:val="center"/>
          </w:tcPr>
          <w:p w:rsidR="00463C05" w:rsidRPr="00C45AC0" w:rsidRDefault="00463C05" w:rsidP="00302EA2">
            <w:pPr>
              <w:ind w:right="42"/>
              <w:jc w:val="center"/>
            </w:pPr>
            <w:r>
              <w:t>-1,1</w:t>
            </w:r>
          </w:p>
        </w:tc>
        <w:tc>
          <w:tcPr>
            <w:tcW w:w="1142" w:type="dxa"/>
            <w:tcBorders>
              <w:top w:val="nil"/>
              <w:bottom w:val="nil"/>
            </w:tcBorders>
            <w:vAlign w:val="center"/>
          </w:tcPr>
          <w:p w:rsidR="00463C05" w:rsidRPr="00C45AC0" w:rsidRDefault="00463C05" w:rsidP="00302EA2">
            <w:pPr>
              <w:ind w:right="42"/>
              <w:jc w:val="center"/>
            </w:pPr>
            <w:r>
              <w:t>1,2</w:t>
            </w:r>
          </w:p>
        </w:tc>
        <w:tc>
          <w:tcPr>
            <w:tcW w:w="1077" w:type="dxa"/>
            <w:tcBorders>
              <w:top w:val="nil"/>
              <w:bottom w:val="nil"/>
              <w:right w:val="double" w:sz="4" w:space="0" w:color="auto"/>
            </w:tcBorders>
            <w:vAlign w:val="center"/>
          </w:tcPr>
          <w:p w:rsidR="00463C05" w:rsidRPr="00C45AC0" w:rsidRDefault="00463C05" w:rsidP="00302EA2">
            <w:pPr>
              <w:ind w:right="42"/>
              <w:jc w:val="center"/>
            </w:pPr>
            <w:r>
              <w:t>-1,7</w:t>
            </w:r>
          </w:p>
        </w:tc>
        <w:tc>
          <w:tcPr>
            <w:tcW w:w="959" w:type="dxa"/>
            <w:tcBorders>
              <w:top w:val="nil"/>
              <w:left w:val="double" w:sz="4" w:space="0" w:color="auto"/>
              <w:bottom w:val="nil"/>
            </w:tcBorders>
            <w:vAlign w:val="center"/>
          </w:tcPr>
          <w:p w:rsidR="00463C05" w:rsidRPr="00C45AC0" w:rsidRDefault="00463C05" w:rsidP="00302EA2">
            <w:pPr>
              <w:ind w:right="42"/>
              <w:jc w:val="center"/>
            </w:pPr>
            <w:r>
              <w:t>-1,5</w:t>
            </w:r>
          </w:p>
        </w:tc>
        <w:tc>
          <w:tcPr>
            <w:tcW w:w="959" w:type="dxa"/>
            <w:tcBorders>
              <w:top w:val="nil"/>
              <w:bottom w:val="nil"/>
            </w:tcBorders>
            <w:vAlign w:val="center"/>
          </w:tcPr>
          <w:p w:rsidR="00463C05" w:rsidRPr="00C45AC0" w:rsidRDefault="00463C05" w:rsidP="00302EA2">
            <w:pPr>
              <w:ind w:right="42"/>
              <w:jc w:val="center"/>
            </w:pPr>
            <w:r>
              <w:t>-0,9</w:t>
            </w:r>
          </w:p>
        </w:tc>
      </w:tr>
      <w:tr w:rsidR="00463C05" w:rsidRPr="00C45AC0" w:rsidTr="00302EA2">
        <w:trPr>
          <w:trHeight w:val="370"/>
        </w:trPr>
        <w:tc>
          <w:tcPr>
            <w:tcW w:w="3134" w:type="dxa"/>
            <w:tcBorders>
              <w:top w:val="nil"/>
              <w:bottom w:val="nil"/>
            </w:tcBorders>
            <w:vAlign w:val="center"/>
          </w:tcPr>
          <w:p w:rsidR="00463C05" w:rsidRPr="00C45AC0" w:rsidRDefault="00463C05" w:rsidP="00302EA2">
            <w:pPr>
              <w:ind w:right="42"/>
              <w:jc w:val="center"/>
            </w:pPr>
            <w:r w:rsidRPr="00C45AC0">
              <w:rPr>
                <w:sz w:val="22"/>
                <w:szCs w:val="22"/>
              </w:rPr>
              <w:t>Ara malı imalatı</w:t>
            </w:r>
            <w:r w:rsidRPr="00C45AC0">
              <w:rPr>
                <w:b/>
                <w:bCs/>
                <w:sz w:val="22"/>
                <w:szCs w:val="22"/>
                <w:vertAlign w:val="superscript"/>
              </w:rPr>
              <w:t>‡</w:t>
            </w:r>
          </w:p>
        </w:tc>
        <w:tc>
          <w:tcPr>
            <w:tcW w:w="1165" w:type="dxa"/>
            <w:tcBorders>
              <w:top w:val="nil"/>
              <w:bottom w:val="nil"/>
            </w:tcBorders>
            <w:vAlign w:val="center"/>
          </w:tcPr>
          <w:p w:rsidR="00463C05" w:rsidRPr="00C45AC0" w:rsidRDefault="00463C05" w:rsidP="00302EA2">
            <w:pPr>
              <w:ind w:right="42"/>
              <w:jc w:val="center"/>
            </w:pPr>
            <w:r>
              <w:t>-0,2</w:t>
            </w:r>
          </w:p>
        </w:tc>
        <w:tc>
          <w:tcPr>
            <w:tcW w:w="1086" w:type="dxa"/>
            <w:tcBorders>
              <w:top w:val="nil"/>
              <w:bottom w:val="nil"/>
            </w:tcBorders>
            <w:vAlign w:val="center"/>
          </w:tcPr>
          <w:p w:rsidR="00463C05" w:rsidRPr="00C45AC0" w:rsidRDefault="00463C05" w:rsidP="00302EA2">
            <w:pPr>
              <w:ind w:right="42"/>
              <w:jc w:val="center"/>
            </w:pPr>
            <w:r>
              <w:t>0,9</w:t>
            </w:r>
          </w:p>
        </w:tc>
        <w:tc>
          <w:tcPr>
            <w:tcW w:w="1142" w:type="dxa"/>
            <w:tcBorders>
              <w:top w:val="nil"/>
              <w:bottom w:val="nil"/>
            </w:tcBorders>
            <w:vAlign w:val="center"/>
          </w:tcPr>
          <w:p w:rsidR="00463C05" w:rsidRPr="00C45AC0" w:rsidRDefault="00463C05" w:rsidP="00302EA2">
            <w:pPr>
              <w:ind w:right="42"/>
              <w:jc w:val="center"/>
            </w:pPr>
            <w:r>
              <w:t>0,4</w:t>
            </w:r>
          </w:p>
        </w:tc>
        <w:tc>
          <w:tcPr>
            <w:tcW w:w="1077" w:type="dxa"/>
            <w:tcBorders>
              <w:top w:val="nil"/>
              <w:bottom w:val="nil"/>
              <w:right w:val="double" w:sz="4" w:space="0" w:color="auto"/>
            </w:tcBorders>
            <w:vAlign w:val="center"/>
          </w:tcPr>
          <w:p w:rsidR="00463C05" w:rsidRPr="00C45AC0" w:rsidRDefault="00463C05" w:rsidP="00302EA2">
            <w:pPr>
              <w:ind w:right="42"/>
              <w:jc w:val="center"/>
            </w:pPr>
            <w:r>
              <w:t>-0,3</w:t>
            </w:r>
          </w:p>
        </w:tc>
        <w:tc>
          <w:tcPr>
            <w:tcW w:w="959" w:type="dxa"/>
            <w:tcBorders>
              <w:top w:val="nil"/>
              <w:left w:val="double" w:sz="4" w:space="0" w:color="auto"/>
              <w:bottom w:val="nil"/>
            </w:tcBorders>
            <w:vAlign w:val="center"/>
          </w:tcPr>
          <w:p w:rsidR="00463C05" w:rsidRPr="00C45AC0" w:rsidRDefault="00463C05" w:rsidP="00302EA2">
            <w:pPr>
              <w:ind w:right="42"/>
              <w:jc w:val="center"/>
            </w:pPr>
            <w:r>
              <w:t>-0,2</w:t>
            </w:r>
          </w:p>
        </w:tc>
        <w:tc>
          <w:tcPr>
            <w:tcW w:w="959" w:type="dxa"/>
            <w:tcBorders>
              <w:top w:val="nil"/>
              <w:bottom w:val="nil"/>
            </w:tcBorders>
            <w:vAlign w:val="center"/>
          </w:tcPr>
          <w:p w:rsidR="00463C05" w:rsidRPr="00C45AC0" w:rsidRDefault="00463C05" w:rsidP="00302EA2">
            <w:pPr>
              <w:ind w:right="42"/>
              <w:jc w:val="center"/>
            </w:pPr>
            <w:r>
              <w:t>0,7</w:t>
            </w:r>
          </w:p>
        </w:tc>
      </w:tr>
      <w:tr w:rsidR="00463C05" w:rsidRPr="00C45AC0" w:rsidTr="00302EA2">
        <w:trPr>
          <w:trHeight w:val="370"/>
        </w:trPr>
        <w:tc>
          <w:tcPr>
            <w:tcW w:w="3134" w:type="dxa"/>
            <w:tcBorders>
              <w:top w:val="nil"/>
            </w:tcBorders>
            <w:vAlign w:val="center"/>
          </w:tcPr>
          <w:p w:rsidR="00463C05" w:rsidRPr="00C45AC0" w:rsidRDefault="00463C05" w:rsidP="00302EA2">
            <w:pPr>
              <w:ind w:right="42"/>
              <w:jc w:val="center"/>
            </w:pPr>
            <w:r w:rsidRPr="00C45AC0">
              <w:rPr>
                <w:sz w:val="22"/>
                <w:szCs w:val="22"/>
              </w:rPr>
              <w:t>Yatırım malı imalatı</w:t>
            </w:r>
            <w:r w:rsidRPr="00C45AC0">
              <w:rPr>
                <w:b/>
                <w:bCs/>
                <w:sz w:val="22"/>
                <w:szCs w:val="22"/>
                <w:vertAlign w:val="superscript"/>
              </w:rPr>
              <w:t>‡</w:t>
            </w:r>
          </w:p>
        </w:tc>
        <w:tc>
          <w:tcPr>
            <w:tcW w:w="1165" w:type="dxa"/>
            <w:tcBorders>
              <w:top w:val="nil"/>
            </w:tcBorders>
            <w:vAlign w:val="center"/>
          </w:tcPr>
          <w:p w:rsidR="00463C05" w:rsidRPr="00C45AC0" w:rsidRDefault="00463C05" w:rsidP="00302EA2">
            <w:pPr>
              <w:ind w:right="42"/>
              <w:jc w:val="center"/>
            </w:pPr>
            <w:r>
              <w:t>1,5</w:t>
            </w:r>
          </w:p>
        </w:tc>
        <w:tc>
          <w:tcPr>
            <w:tcW w:w="1086" w:type="dxa"/>
            <w:tcBorders>
              <w:top w:val="nil"/>
            </w:tcBorders>
            <w:vAlign w:val="center"/>
          </w:tcPr>
          <w:p w:rsidR="00463C05" w:rsidRPr="00C45AC0" w:rsidRDefault="00463C05" w:rsidP="00302EA2">
            <w:pPr>
              <w:ind w:right="42"/>
              <w:jc w:val="center"/>
            </w:pPr>
            <w:r>
              <w:t>0,4</w:t>
            </w:r>
          </w:p>
        </w:tc>
        <w:tc>
          <w:tcPr>
            <w:tcW w:w="1142" w:type="dxa"/>
            <w:tcBorders>
              <w:top w:val="nil"/>
            </w:tcBorders>
            <w:vAlign w:val="center"/>
          </w:tcPr>
          <w:p w:rsidR="00463C05" w:rsidRPr="00C45AC0" w:rsidRDefault="00463C05" w:rsidP="00302EA2">
            <w:pPr>
              <w:ind w:right="42"/>
              <w:jc w:val="center"/>
            </w:pPr>
            <w:r>
              <w:t>0,4</w:t>
            </w:r>
          </w:p>
        </w:tc>
        <w:tc>
          <w:tcPr>
            <w:tcW w:w="1077" w:type="dxa"/>
            <w:tcBorders>
              <w:top w:val="nil"/>
              <w:right w:val="double" w:sz="4" w:space="0" w:color="auto"/>
            </w:tcBorders>
            <w:vAlign w:val="center"/>
          </w:tcPr>
          <w:p w:rsidR="00463C05" w:rsidRPr="00C45AC0" w:rsidRDefault="00463C05" w:rsidP="00302EA2">
            <w:pPr>
              <w:ind w:right="42"/>
              <w:jc w:val="center"/>
            </w:pPr>
            <w:r>
              <w:t>-0,1</w:t>
            </w:r>
          </w:p>
        </w:tc>
        <w:tc>
          <w:tcPr>
            <w:tcW w:w="959" w:type="dxa"/>
            <w:tcBorders>
              <w:top w:val="nil"/>
              <w:left w:val="double" w:sz="4" w:space="0" w:color="auto"/>
            </w:tcBorders>
            <w:vAlign w:val="center"/>
          </w:tcPr>
          <w:p w:rsidR="00463C05" w:rsidRPr="00C45AC0" w:rsidRDefault="00463C05" w:rsidP="00302EA2">
            <w:pPr>
              <w:ind w:right="42"/>
              <w:jc w:val="center"/>
            </w:pPr>
            <w:r>
              <w:t>0,8</w:t>
            </w:r>
          </w:p>
        </w:tc>
        <w:tc>
          <w:tcPr>
            <w:tcW w:w="959" w:type="dxa"/>
            <w:tcBorders>
              <w:top w:val="nil"/>
            </w:tcBorders>
            <w:vAlign w:val="center"/>
          </w:tcPr>
          <w:p w:rsidR="00463C05" w:rsidRPr="00C45AC0" w:rsidRDefault="00463C05" w:rsidP="00302EA2">
            <w:pPr>
              <w:ind w:right="42"/>
              <w:jc w:val="center"/>
            </w:pPr>
            <w:r>
              <w:t>1,1</w:t>
            </w:r>
          </w:p>
        </w:tc>
      </w:tr>
      <w:tr w:rsidR="00463C05" w:rsidRPr="00C45AC0" w:rsidTr="00302EA2">
        <w:trPr>
          <w:trHeight w:val="370"/>
        </w:trPr>
        <w:tc>
          <w:tcPr>
            <w:tcW w:w="3134" w:type="dxa"/>
            <w:tcBorders>
              <w:bottom w:val="nil"/>
            </w:tcBorders>
            <w:vAlign w:val="center"/>
          </w:tcPr>
          <w:p w:rsidR="00463C05" w:rsidRPr="00C45AC0" w:rsidRDefault="00463C05" w:rsidP="00302EA2">
            <w:pPr>
              <w:ind w:right="42"/>
              <w:jc w:val="center"/>
              <w:rPr>
                <w:b/>
                <w:bCs/>
              </w:rPr>
            </w:pPr>
            <w:r w:rsidRPr="00C45AC0">
              <w:rPr>
                <w:b/>
                <w:bCs/>
                <w:sz w:val="22"/>
                <w:szCs w:val="22"/>
              </w:rPr>
              <w:t>Beklenti göstergeleri</w:t>
            </w:r>
          </w:p>
        </w:tc>
        <w:tc>
          <w:tcPr>
            <w:tcW w:w="1165" w:type="dxa"/>
            <w:tcBorders>
              <w:bottom w:val="nil"/>
            </w:tcBorders>
            <w:vAlign w:val="center"/>
          </w:tcPr>
          <w:p w:rsidR="00463C05" w:rsidRPr="00C45AC0" w:rsidRDefault="00463C05" w:rsidP="00302EA2">
            <w:pPr>
              <w:ind w:right="42"/>
              <w:jc w:val="center"/>
              <w:rPr>
                <w:b/>
                <w:bCs/>
              </w:rPr>
            </w:pPr>
          </w:p>
        </w:tc>
        <w:tc>
          <w:tcPr>
            <w:tcW w:w="1086" w:type="dxa"/>
            <w:tcBorders>
              <w:bottom w:val="nil"/>
            </w:tcBorders>
            <w:vAlign w:val="center"/>
          </w:tcPr>
          <w:p w:rsidR="00463C05" w:rsidRPr="00C45AC0" w:rsidRDefault="00463C05" w:rsidP="00302EA2">
            <w:pPr>
              <w:ind w:right="42"/>
              <w:jc w:val="center"/>
              <w:rPr>
                <w:b/>
                <w:bCs/>
              </w:rPr>
            </w:pPr>
          </w:p>
        </w:tc>
        <w:tc>
          <w:tcPr>
            <w:tcW w:w="1142" w:type="dxa"/>
            <w:tcBorders>
              <w:bottom w:val="nil"/>
            </w:tcBorders>
            <w:vAlign w:val="center"/>
          </w:tcPr>
          <w:p w:rsidR="00463C05" w:rsidRPr="00C45AC0" w:rsidRDefault="00463C05" w:rsidP="00302EA2">
            <w:pPr>
              <w:ind w:right="42"/>
              <w:jc w:val="center"/>
              <w:rPr>
                <w:b/>
                <w:bCs/>
              </w:rPr>
            </w:pPr>
          </w:p>
        </w:tc>
        <w:tc>
          <w:tcPr>
            <w:tcW w:w="1077" w:type="dxa"/>
            <w:tcBorders>
              <w:bottom w:val="nil"/>
              <w:right w:val="double" w:sz="4" w:space="0" w:color="auto"/>
            </w:tcBorders>
            <w:vAlign w:val="center"/>
          </w:tcPr>
          <w:p w:rsidR="00463C05" w:rsidRPr="00C45AC0" w:rsidRDefault="00463C05" w:rsidP="00302EA2">
            <w:pPr>
              <w:ind w:right="42"/>
              <w:jc w:val="center"/>
              <w:rPr>
                <w:b/>
                <w:bCs/>
              </w:rPr>
            </w:pPr>
          </w:p>
        </w:tc>
        <w:tc>
          <w:tcPr>
            <w:tcW w:w="959" w:type="dxa"/>
            <w:tcBorders>
              <w:left w:val="double" w:sz="4" w:space="0" w:color="auto"/>
              <w:bottom w:val="nil"/>
            </w:tcBorders>
            <w:vAlign w:val="center"/>
          </w:tcPr>
          <w:p w:rsidR="00463C05" w:rsidRPr="00C45AC0" w:rsidRDefault="00463C05" w:rsidP="00302EA2">
            <w:pPr>
              <w:ind w:right="42"/>
              <w:jc w:val="center"/>
              <w:rPr>
                <w:b/>
                <w:bCs/>
              </w:rPr>
            </w:pPr>
          </w:p>
        </w:tc>
        <w:tc>
          <w:tcPr>
            <w:tcW w:w="959" w:type="dxa"/>
            <w:tcBorders>
              <w:bottom w:val="nil"/>
            </w:tcBorders>
            <w:vAlign w:val="center"/>
          </w:tcPr>
          <w:p w:rsidR="00463C05" w:rsidRPr="00C45AC0" w:rsidRDefault="00463C05" w:rsidP="00302EA2">
            <w:pPr>
              <w:ind w:right="42"/>
              <w:jc w:val="center"/>
              <w:rPr>
                <w:b/>
                <w:bCs/>
              </w:rPr>
            </w:pPr>
          </w:p>
        </w:tc>
      </w:tr>
      <w:tr w:rsidR="00463C05" w:rsidRPr="00C45AC0" w:rsidTr="00302EA2">
        <w:trPr>
          <w:trHeight w:val="370"/>
        </w:trPr>
        <w:tc>
          <w:tcPr>
            <w:tcW w:w="3134" w:type="dxa"/>
            <w:tcBorders>
              <w:top w:val="nil"/>
              <w:bottom w:val="nil"/>
            </w:tcBorders>
            <w:vAlign w:val="center"/>
          </w:tcPr>
          <w:p w:rsidR="00463C05" w:rsidRPr="00C45AC0" w:rsidRDefault="00463C05" w:rsidP="00302EA2">
            <w:pPr>
              <w:ind w:right="42"/>
              <w:jc w:val="center"/>
            </w:pPr>
            <w:r w:rsidRPr="00C45AC0">
              <w:rPr>
                <w:sz w:val="22"/>
                <w:szCs w:val="22"/>
              </w:rPr>
              <w:t>Tüketici güven endeksi (TÜİK)</w:t>
            </w:r>
          </w:p>
        </w:tc>
        <w:tc>
          <w:tcPr>
            <w:tcW w:w="1165" w:type="dxa"/>
            <w:tcBorders>
              <w:top w:val="nil"/>
              <w:bottom w:val="nil"/>
            </w:tcBorders>
            <w:vAlign w:val="center"/>
          </w:tcPr>
          <w:p w:rsidR="00463C05" w:rsidRPr="00C45AC0" w:rsidRDefault="00463C05" w:rsidP="00302EA2">
            <w:pPr>
              <w:ind w:right="42"/>
              <w:jc w:val="center"/>
            </w:pPr>
            <w:r>
              <w:t>-1,6</w:t>
            </w:r>
          </w:p>
        </w:tc>
        <w:tc>
          <w:tcPr>
            <w:tcW w:w="1086" w:type="dxa"/>
            <w:tcBorders>
              <w:top w:val="nil"/>
              <w:bottom w:val="nil"/>
            </w:tcBorders>
            <w:vAlign w:val="center"/>
          </w:tcPr>
          <w:p w:rsidR="00463C05" w:rsidRPr="00C45AC0" w:rsidRDefault="00463C05" w:rsidP="00302EA2">
            <w:pPr>
              <w:ind w:right="42"/>
              <w:jc w:val="center"/>
            </w:pPr>
            <w:r>
              <w:t>-2,3</w:t>
            </w:r>
          </w:p>
        </w:tc>
        <w:tc>
          <w:tcPr>
            <w:tcW w:w="1142" w:type="dxa"/>
            <w:tcBorders>
              <w:top w:val="nil"/>
              <w:bottom w:val="nil"/>
            </w:tcBorders>
            <w:vAlign w:val="center"/>
          </w:tcPr>
          <w:p w:rsidR="00463C05" w:rsidRPr="00C45AC0" w:rsidRDefault="00463C05" w:rsidP="00302EA2">
            <w:pPr>
              <w:ind w:right="42"/>
              <w:jc w:val="center"/>
            </w:pPr>
            <w:r>
              <w:t>-0,6</w:t>
            </w:r>
          </w:p>
        </w:tc>
        <w:tc>
          <w:tcPr>
            <w:tcW w:w="1077" w:type="dxa"/>
            <w:tcBorders>
              <w:top w:val="nil"/>
              <w:bottom w:val="nil"/>
              <w:right w:val="double" w:sz="4" w:space="0" w:color="auto"/>
            </w:tcBorders>
            <w:vAlign w:val="center"/>
          </w:tcPr>
          <w:p w:rsidR="00463C05" w:rsidRPr="00C45AC0" w:rsidRDefault="00463C05" w:rsidP="00302EA2">
            <w:pPr>
              <w:ind w:right="42"/>
              <w:jc w:val="center"/>
            </w:pPr>
            <w:r>
              <w:t>-0,4</w:t>
            </w:r>
          </w:p>
        </w:tc>
        <w:tc>
          <w:tcPr>
            <w:tcW w:w="959" w:type="dxa"/>
            <w:tcBorders>
              <w:top w:val="nil"/>
              <w:left w:val="double" w:sz="4" w:space="0" w:color="auto"/>
              <w:bottom w:val="nil"/>
            </w:tcBorders>
            <w:vAlign w:val="center"/>
          </w:tcPr>
          <w:p w:rsidR="00463C05" w:rsidRPr="00C45AC0" w:rsidRDefault="0081186E" w:rsidP="00302EA2">
            <w:pPr>
              <w:ind w:right="42"/>
              <w:jc w:val="center"/>
            </w:pPr>
            <w:r>
              <w:t>-5,2</w:t>
            </w:r>
          </w:p>
        </w:tc>
        <w:tc>
          <w:tcPr>
            <w:tcW w:w="959" w:type="dxa"/>
            <w:tcBorders>
              <w:top w:val="nil"/>
              <w:bottom w:val="nil"/>
            </w:tcBorders>
            <w:vAlign w:val="center"/>
          </w:tcPr>
          <w:p w:rsidR="00463C05" w:rsidRPr="00C45AC0" w:rsidRDefault="0081186E" w:rsidP="00302EA2">
            <w:pPr>
              <w:ind w:right="42"/>
              <w:jc w:val="center"/>
            </w:pPr>
            <w:r>
              <w:t>-2,8</w:t>
            </w:r>
          </w:p>
        </w:tc>
      </w:tr>
      <w:tr w:rsidR="00463C05" w:rsidRPr="00C45AC0" w:rsidTr="00302EA2">
        <w:trPr>
          <w:trHeight w:val="370"/>
        </w:trPr>
        <w:tc>
          <w:tcPr>
            <w:tcW w:w="3134" w:type="dxa"/>
            <w:tcBorders>
              <w:top w:val="nil"/>
            </w:tcBorders>
            <w:vAlign w:val="center"/>
          </w:tcPr>
          <w:p w:rsidR="00463C05" w:rsidRPr="00C45AC0" w:rsidRDefault="00463C05" w:rsidP="00302EA2">
            <w:pPr>
              <w:ind w:right="42"/>
              <w:jc w:val="center"/>
            </w:pPr>
            <w:r w:rsidRPr="00C45AC0">
              <w:rPr>
                <w:sz w:val="22"/>
                <w:szCs w:val="22"/>
              </w:rPr>
              <w:t>Reel kesim güven endeksi</w:t>
            </w:r>
            <w:r w:rsidRPr="00C45AC0">
              <w:rPr>
                <w:sz w:val="22"/>
                <w:szCs w:val="22"/>
                <w:vertAlign w:val="superscript"/>
              </w:rPr>
              <w:t>†</w:t>
            </w:r>
          </w:p>
        </w:tc>
        <w:tc>
          <w:tcPr>
            <w:tcW w:w="1165" w:type="dxa"/>
            <w:tcBorders>
              <w:top w:val="nil"/>
            </w:tcBorders>
            <w:vAlign w:val="center"/>
          </w:tcPr>
          <w:p w:rsidR="00463C05" w:rsidRPr="00C45AC0" w:rsidRDefault="00954E8C" w:rsidP="00302EA2">
            <w:pPr>
              <w:ind w:right="42"/>
              <w:jc w:val="center"/>
            </w:pPr>
            <w:r>
              <w:t>-1,5</w:t>
            </w:r>
          </w:p>
        </w:tc>
        <w:tc>
          <w:tcPr>
            <w:tcW w:w="1086" w:type="dxa"/>
            <w:tcBorders>
              <w:top w:val="nil"/>
            </w:tcBorders>
            <w:vAlign w:val="center"/>
          </w:tcPr>
          <w:p w:rsidR="00463C05" w:rsidRPr="00C45AC0" w:rsidRDefault="00954E8C" w:rsidP="00302EA2">
            <w:pPr>
              <w:ind w:right="42"/>
              <w:jc w:val="center"/>
            </w:pPr>
            <w:r>
              <w:t>0,2</w:t>
            </w:r>
          </w:p>
        </w:tc>
        <w:tc>
          <w:tcPr>
            <w:tcW w:w="1142" w:type="dxa"/>
            <w:tcBorders>
              <w:top w:val="nil"/>
            </w:tcBorders>
            <w:vAlign w:val="center"/>
          </w:tcPr>
          <w:p w:rsidR="00463C05" w:rsidRPr="00C45AC0" w:rsidRDefault="00954E8C" w:rsidP="00302EA2">
            <w:pPr>
              <w:ind w:right="42"/>
              <w:jc w:val="center"/>
            </w:pPr>
            <w:r>
              <w:t>-1,6</w:t>
            </w:r>
          </w:p>
        </w:tc>
        <w:tc>
          <w:tcPr>
            <w:tcW w:w="1077" w:type="dxa"/>
            <w:tcBorders>
              <w:top w:val="nil"/>
              <w:right w:val="double" w:sz="4" w:space="0" w:color="auto"/>
            </w:tcBorders>
            <w:vAlign w:val="center"/>
          </w:tcPr>
          <w:p w:rsidR="00463C05" w:rsidRPr="00C45AC0" w:rsidRDefault="00954E8C" w:rsidP="00302EA2">
            <w:pPr>
              <w:ind w:right="42"/>
              <w:jc w:val="center"/>
            </w:pPr>
            <w:r>
              <w:t>-2,1</w:t>
            </w:r>
          </w:p>
        </w:tc>
        <w:tc>
          <w:tcPr>
            <w:tcW w:w="959" w:type="dxa"/>
            <w:tcBorders>
              <w:top w:val="nil"/>
              <w:left w:val="double" w:sz="4" w:space="0" w:color="auto"/>
            </w:tcBorders>
            <w:vAlign w:val="center"/>
          </w:tcPr>
          <w:p w:rsidR="00463C05" w:rsidRPr="00C45AC0" w:rsidRDefault="00954E8C" w:rsidP="00302EA2">
            <w:pPr>
              <w:ind w:right="42"/>
              <w:jc w:val="center"/>
            </w:pPr>
            <w:r>
              <w:t>1,6</w:t>
            </w:r>
          </w:p>
        </w:tc>
        <w:tc>
          <w:tcPr>
            <w:tcW w:w="959" w:type="dxa"/>
            <w:tcBorders>
              <w:top w:val="nil"/>
            </w:tcBorders>
            <w:vAlign w:val="center"/>
          </w:tcPr>
          <w:p w:rsidR="00463C05" w:rsidRPr="00C45AC0" w:rsidRDefault="00954E8C" w:rsidP="00302EA2">
            <w:pPr>
              <w:ind w:right="42"/>
              <w:jc w:val="center"/>
            </w:pPr>
            <w:r>
              <w:t>-2,9</w:t>
            </w:r>
          </w:p>
        </w:tc>
      </w:tr>
      <w:tr w:rsidR="00463C05" w:rsidRPr="00C45AC0" w:rsidTr="00302EA2">
        <w:trPr>
          <w:trHeight w:val="370"/>
        </w:trPr>
        <w:tc>
          <w:tcPr>
            <w:tcW w:w="3134" w:type="dxa"/>
            <w:tcBorders>
              <w:bottom w:val="nil"/>
            </w:tcBorders>
            <w:vAlign w:val="center"/>
          </w:tcPr>
          <w:p w:rsidR="00463C05" w:rsidRPr="00C45AC0" w:rsidRDefault="00463C05" w:rsidP="00302EA2">
            <w:pPr>
              <w:ind w:right="42"/>
              <w:jc w:val="center"/>
              <w:rPr>
                <w:b/>
                <w:bCs/>
              </w:rPr>
            </w:pPr>
            <w:r w:rsidRPr="00C45AC0">
              <w:rPr>
                <w:b/>
                <w:bCs/>
                <w:sz w:val="22"/>
                <w:szCs w:val="22"/>
              </w:rPr>
              <w:t>Finansal göstergeler</w:t>
            </w:r>
          </w:p>
        </w:tc>
        <w:tc>
          <w:tcPr>
            <w:tcW w:w="1165" w:type="dxa"/>
            <w:tcBorders>
              <w:bottom w:val="nil"/>
            </w:tcBorders>
            <w:vAlign w:val="center"/>
          </w:tcPr>
          <w:p w:rsidR="00463C05" w:rsidRPr="00C45AC0" w:rsidRDefault="00463C05" w:rsidP="00302EA2">
            <w:pPr>
              <w:ind w:right="42"/>
              <w:jc w:val="center"/>
              <w:rPr>
                <w:b/>
                <w:bCs/>
              </w:rPr>
            </w:pPr>
          </w:p>
        </w:tc>
        <w:tc>
          <w:tcPr>
            <w:tcW w:w="1086" w:type="dxa"/>
            <w:tcBorders>
              <w:bottom w:val="nil"/>
            </w:tcBorders>
            <w:vAlign w:val="center"/>
          </w:tcPr>
          <w:p w:rsidR="00463C05" w:rsidRPr="00C45AC0" w:rsidRDefault="00463C05" w:rsidP="00302EA2">
            <w:pPr>
              <w:ind w:right="42"/>
              <w:jc w:val="center"/>
              <w:rPr>
                <w:b/>
                <w:bCs/>
              </w:rPr>
            </w:pPr>
          </w:p>
        </w:tc>
        <w:tc>
          <w:tcPr>
            <w:tcW w:w="1142" w:type="dxa"/>
            <w:tcBorders>
              <w:bottom w:val="nil"/>
            </w:tcBorders>
            <w:vAlign w:val="center"/>
          </w:tcPr>
          <w:p w:rsidR="00463C05" w:rsidRPr="00C45AC0" w:rsidRDefault="00463C05" w:rsidP="00302EA2">
            <w:pPr>
              <w:ind w:right="42"/>
              <w:jc w:val="center"/>
              <w:rPr>
                <w:b/>
                <w:bCs/>
              </w:rPr>
            </w:pPr>
          </w:p>
        </w:tc>
        <w:tc>
          <w:tcPr>
            <w:tcW w:w="1077" w:type="dxa"/>
            <w:tcBorders>
              <w:bottom w:val="nil"/>
              <w:right w:val="double" w:sz="4" w:space="0" w:color="auto"/>
            </w:tcBorders>
            <w:vAlign w:val="center"/>
          </w:tcPr>
          <w:p w:rsidR="00463C05" w:rsidRPr="00C45AC0" w:rsidRDefault="00463C05" w:rsidP="00302EA2">
            <w:pPr>
              <w:ind w:right="42"/>
              <w:jc w:val="center"/>
              <w:rPr>
                <w:b/>
                <w:bCs/>
              </w:rPr>
            </w:pPr>
          </w:p>
        </w:tc>
        <w:tc>
          <w:tcPr>
            <w:tcW w:w="959" w:type="dxa"/>
            <w:tcBorders>
              <w:left w:val="double" w:sz="4" w:space="0" w:color="auto"/>
              <w:bottom w:val="nil"/>
            </w:tcBorders>
            <w:vAlign w:val="center"/>
          </w:tcPr>
          <w:p w:rsidR="00463C05" w:rsidRPr="00C45AC0" w:rsidRDefault="00463C05" w:rsidP="00302EA2">
            <w:pPr>
              <w:ind w:right="42"/>
              <w:jc w:val="center"/>
              <w:rPr>
                <w:b/>
                <w:bCs/>
              </w:rPr>
            </w:pPr>
          </w:p>
        </w:tc>
        <w:tc>
          <w:tcPr>
            <w:tcW w:w="959" w:type="dxa"/>
            <w:tcBorders>
              <w:bottom w:val="nil"/>
            </w:tcBorders>
            <w:vAlign w:val="center"/>
          </w:tcPr>
          <w:p w:rsidR="00463C05" w:rsidRPr="00C45AC0" w:rsidRDefault="00463C05" w:rsidP="00302EA2">
            <w:pPr>
              <w:ind w:right="42"/>
              <w:jc w:val="center"/>
              <w:rPr>
                <w:b/>
                <w:bCs/>
              </w:rPr>
            </w:pPr>
          </w:p>
        </w:tc>
      </w:tr>
      <w:tr w:rsidR="00463C05" w:rsidRPr="00C45AC0" w:rsidTr="00302EA2">
        <w:trPr>
          <w:trHeight w:val="370"/>
        </w:trPr>
        <w:tc>
          <w:tcPr>
            <w:tcW w:w="3134" w:type="dxa"/>
            <w:tcBorders>
              <w:top w:val="nil"/>
            </w:tcBorders>
            <w:vAlign w:val="center"/>
          </w:tcPr>
          <w:p w:rsidR="00463C05" w:rsidRPr="00C45AC0" w:rsidRDefault="00463C05" w:rsidP="00302EA2">
            <w:pPr>
              <w:ind w:right="42"/>
              <w:jc w:val="center"/>
            </w:pPr>
            <w:r w:rsidRPr="00C45AC0">
              <w:rPr>
                <w:sz w:val="22"/>
                <w:szCs w:val="22"/>
              </w:rPr>
              <w:t>BİST 100</w:t>
            </w:r>
          </w:p>
        </w:tc>
        <w:tc>
          <w:tcPr>
            <w:tcW w:w="1165" w:type="dxa"/>
            <w:tcBorders>
              <w:top w:val="nil"/>
            </w:tcBorders>
            <w:vAlign w:val="center"/>
          </w:tcPr>
          <w:p w:rsidR="00463C05" w:rsidRPr="00C45AC0" w:rsidRDefault="00954E8C" w:rsidP="00302EA2">
            <w:pPr>
              <w:ind w:right="42"/>
              <w:jc w:val="center"/>
            </w:pPr>
            <w:r>
              <w:t>6,6</w:t>
            </w:r>
          </w:p>
        </w:tc>
        <w:tc>
          <w:tcPr>
            <w:tcW w:w="1086" w:type="dxa"/>
            <w:tcBorders>
              <w:top w:val="nil"/>
            </w:tcBorders>
            <w:vAlign w:val="center"/>
          </w:tcPr>
          <w:p w:rsidR="00463C05" w:rsidRPr="00C45AC0" w:rsidRDefault="00954E8C" w:rsidP="00302EA2">
            <w:pPr>
              <w:ind w:right="42"/>
              <w:jc w:val="center"/>
            </w:pPr>
            <w:r>
              <w:t>2,9</w:t>
            </w:r>
          </w:p>
        </w:tc>
        <w:tc>
          <w:tcPr>
            <w:tcW w:w="1142" w:type="dxa"/>
            <w:tcBorders>
              <w:top w:val="nil"/>
            </w:tcBorders>
            <w:vAlign w:val="center"/>
          </w:tcPr>
          <w:p w:rsidR="00463C05" w:rsidRPr="00C45AC0" w:rsidRDefault="00954E8C" w:rsidP="00302EA2">
            <w:pPr>
              <w:ind w:right="42"/>
              <w:jc w:val="center"/>
            </w:pPr>
            <w:r>
              <w:t>3,9</w:t>
            </w:r>
          </w:p>
        </w:tc>
        <w:tc>
          <w:tcPr>
            <w:tcW w:w="1077" w:type="dxa"/>
            <w:tcBorders>
              <w:top w:val="nil"/>
              <w:right w:val="double" w:sz="4" w:space="0" w:color="auto"/>
            </w:tcBorders>
            <w:vAlign w:val="center"/>
          </w:tcPr>
          <w:p w:rsidR="00463C05" w:rsidRPr="00C45AC0" w:rsidRDefault="00954E8C" w:rsidP="00302EA2">
            <w:pPr>
              <w:ind w:right="42"/>
              <w:jc w:val="center"/>
            </w:pPr>
            <w:r>
              <w:t>-2,1</w:t>
            </w:r>
          </w:p>
        </w:tc>
        <w:tc>
          <w:tcPr>
            <w:tcW w:w="959" w:type="dxa"/>
            <w:tcBorders>
              <w:top w:val="nil"/>
              <w:left w:val="double" w:sz="4" w:space="0" w:color="auto"/>
            </w:tcBorders>
            <w:vAlign w:val="center"/>
          </w:tcPr>
          <w:p w:rsidR="00463C05" w:rsidRPr="00C45AC0" w:rsidRDefault="00954E8C" w:rsidP="00302EA2">
            <w:pPr>
              <w:ind w:right="42"/>
              <w:jc w:val="center"/>
            </w:pPr>
            <w:r>
              <w:t>-0,4</w:t>
            </w:r>
          </w:p>
        </w:tc>
        <w:tc>
          <w:tcPr>
            <w:tcW w:w="959" w:type="dxa"/>
            <w:tcBorders>
              <w:top w:val="nil"/>
            </w:tcBorders>
            <w:vAlign w:val="center"/>
          </w:tcPr>
          <w:p w:rsidR="00463C05" w:rsidRPr="00C45AC0" w:rsidRDefault="00954E8C" w:rsidP="00302EA2">
            <w:pPr>
              <w:ind w:right="42"/>
              <w:jc w:val="center"/>
            </w:pPr>
            <w:r>
              <w:t>7,0</w:t>
            </w:r>
          </w:p>
        </w:tc>
      </w:tr>
      <w:tr w:rsidR="00463C05" w:rsidRPr="00C45AC0" w:rsidTr="00302EA2">
        <w:trPr>
          <w:trHeight w:val="370"/>
        </w:trPr>
        <w:tc>
          <w:tcPr>
            <w:tcW w:w="3134" w:type="dxa"/>
            <w:tcBorders>
              <w:bottom w:val="nil"/>
            </w:tcBorders>
            <w:vAlign w:val="center"/>
          </w:tcPr>
          <w:p w:rsidR="00463C05" w:rsidRPr="00C45AC0" w:rsidRDefault="00463C05" w:rsidP="00302EA2">
            <w:pPr>
              <w:ind w:right="42"/>
              <w:jc w:val="center"/>
              <w:rPr>
                <w:b/>
                <w:bCs/>
              </w:rPr>
            </w:pPr>
            <w:r w:rsidRPr="00C45AC0">
              <w:rPr>
                <w:b/>
                <w:bCs/>
                <w:sz w:val="22"/>
                <w:szCs w:val="22"/>
              </w:rPr>
              <w:t>Diğerleri</w:t>
            </w:r>
          </w:p>
        </w:tc>
        <w:tc>
          <w:tcPr>
            <w:tcW w:w="1165" w:type="dxa"/>
            <w:tcBorders>
              <w:bottom w:val="nil"/>
            </w:tcBorders>
            <w:vAlign w:val="center"/>
          </w:tcPr>
          <w:p w:rsidR="00463C05" w:rsidRPr="00C45AC0" w:rsidRDefault="00463C05" w:rsidP="00302EA2">
            <w:pPr>
              <w:ind w:right="42"/>
              <w:jc w:val="center"/>
            </w:pPr>
          </w:p>
        </w:tc>
        <w:tc>
          <w:tcPr>
            <w:tcW w:w="1086" w:type="dxa"/>
            <w:tcBorders>
              <w:bottom w:val="nil"/>
            </w:tcBorders>
            <w:vAlign w:val="center"/>
          </w:tcPr>
          <w:p w:rsidR="00463C05" w:rsidRPr="00C45AC0" w:rsidRDefault="00463C05" w:rsidP="00302EA2">
            <w:pPr>
              <w:ind w:right="42"/>
              <w:jc w:val="center"/>
            </w:pPr>
          </w:p>
        </w:tc>
        <w:tc>
          <w:tcPr>
            <w:tcW w:w="1142" w:type="dxa"/>
            <w:tcBorders>
              <w:bottom w:val="nil"/>
            </w:tcBorders>
            <w:vAlign w:val="center"/>
          </w:tcPr>
          <w:p w:rsidR="00463C05" w:rsidRPr="00C45AC0" w:rsidRDefault="00463C05" w:rsidP="00302EA2">
            <w:pPr>
              <w:ind w:right="42"/>
              <w:jc w:val="center"/>
            </w:pPr>
          </w:p>
        </w:tc>
        <w:tc>
          <w:tcPr>
            <w:tcW w:w="1077" w:type="dxa"/>
            <w:tcBorders>
              <w:bottom w:val="nil"/>
              <w:right w:val="double" w:sz="4" w:space="0" w:color="auto"/>
            </w:tcBorders>
            <w:vAlign w:val="center"/>
          </w:tcPr>
          <w:p w:rsidR="00463C05" w:rsidRPr="00C45AC0" w:rsidRDefault="00463C05" w:rsidP="00302EA2">
            <w:pPr>
              <w:ind w:right="42"/>
              <w:jc w:val="center"/>
            </w:pPr>
          </w:p>
        </w:tc>
        <w:tc>
          <w:tcPr>
            <w:tcW w:w="959" w:type="dxa"/>
            <w:tcBorders>
              <w:left w:val="double" w:sz="4" w:space="0" w:color="auto"/>
              <w:bottom w:val="nil"/>
            </w:tcBorders>
            <w:vAlign w:val="center"/>
          </w:tcPr>
          <w:p w:rsidR="00463C05" w:rsidRPr="00C45AC0" w:rsidRDefault="00463C05" w:rsidP="00302EA2">
            <w:pPr>
              <w:ind w:right="42"/>
              <w:jc w:val="center"/>
            </w:pPr>
          </w:p>
        </w:tc>
        <w:tc>
          <w:tcPr>
            <w:tcW w:w="959" w:type="dxa"/>
            <w:tcBorders>
              <w:bottom w:val="nil"/>
            </w:tcBorders>
            <w:vAlign w:val="center"/>
          </w:tcPr>
          <w:p w:rsidR="00463C05" w:rsidRPr="00C45AC0" w:rsidRDefault="00463C05" w:rsidP="00302EA2">
            <w:pPr>
              <w:ind w:right="42"/>
              <w:jc w:val="center"/>
            </w:pPr>
          </w:p>
        </w:tc>
      </w:tr>
      <w:tr w:rsidR="00463C05" w:rsidRPr="00C45AC0" w:rsidTr="00302EA2">
        <w:trPr>
          <w:trHeight w:val="370"/>
        </w:trPr>
        <w:tc>
          <w:tcPr>
            <w:tcW w:w="3134" w:type="dxa"/>
            <w:tcBorders>
              <w:bottom w:val="nil"/>
            </w:tcBorders>
            <w:vAlign w:val="center"/>
          </w:tcPr>
          <w:p w:rsidR="00463C05" w:rsidRPr="00C45AC0" w:rsidRDefault="00463C05" w:rsidP="00302EA2">
            <w:pPr>
              <w:ind w:right="42"/>
              <w:jc w:val="center"/>
              <w:rPr>
                <w:sz w:val="22"/>
                <w:szCs w:val="22"/>
              </w:rPr>
            </w:pPr>
            <w:r w:rsidRPr="00C45AC0">
              <w:rPr>
                <w:sz w:val="22"/>
                <w:szCs w:val="22"/>
              </w:rPr>
              <w:t>Hükümet Harcamaları</w:t>
            </w:r>
            <w:bookmarkStart w:id="1" w:name="OLE_LINK1"/>
            <w:bookmarkStart w:id="2" w:name="OLE_LINK2"/>
            <w:bookmarkStart w:id="3" w:name="OLE_LINK3"/>
            <w:r w:rsidRPr="00C45AC0">
              <w:rPr>
                <w:rFonts w:ascii="Calibri" w:hAnsi="Calibri"/>
                <w:sz w:val="22"/>
                <w:szCs w:val="22"/>
              </w:rPr>
              <w:t>⁰</w:t>
            </w:r>
            <w:bookmarkEnd w:id="1"/>
            <w:bookmarkEnd w:id="2"/>
            <w:bookmarkEnd w:id="3"/>
          </w:p>
        </w:tc>
        <w:tc>
          <w:tcPr>
            <w:tcW w:w="1165" w:type="dxa"/>
            <w:tcBorders>
              <w:bottom w:val="nil"/>
            </w:tcBorders>
            <w:vAlign w:val="center"/>
          </w:tcPr>
          <w:p w:rsidR="00463C05" w:rsidRPr="00C45AC0" w:rsidRDefault="00E821D8" w:rsidP="00302EA2">
            <w:pPr>
              <w:ind w:right="42"/>
              <w:jc w:val="center"/>
            </w:pPr>
            <w:r>
              <w:t>6,3</w:t>
            </w:r>
          </w:p>
        </w:tc>
        <w:tc>
          <w:tcPr>
            <w:tcW w:w="1086" w:type="dxa"/>
            <w:tcBorders>
              <w:bottom w:val="nil"/>
            </w:tcBorders>
            <w:vAlign w:val="center"/>
          </w:tcPr>
          <w:p w:rsidR="00463C05" w:rsidRPr="00C45AC0" w:rsidRDefault="00E821D8" w:rsidP="00302EA2">
            <w:pPr>
              <w:ind w:right="42"/>
              <w:jc w:val="center"/>
            </w:pPr>
            <w:r>
              <w:t>-4,4</w:t>
            </w:r>
          </w:p>
        </w:tc>
        <w:tc>
          <w:tcPr>
            <w:tcW w:w="1142" w:type="dxa"/>
            <w:tcBorders>
              <w:bottom w:val="nil"/>
            </w:tcBorders>
            <w:vAlign w:val="center"/>
          </w:tcPr>
          <w:p w:rsidR="00463C05" w:rsidRPr="00C45AC0" w:rsidRDefault="00E821D8" w:rsidP="00302EA2">
            <w:pPr>
              <w:ind w:right="42"/>
              <w:jc w:val="center"/>
            </w:pPr>
            <w:r>
              <w:t>2,5</w:t>
            </w:r>
          </w:p>
        </w:tc>
        <w:tc>
          <w:tcPr>
            <w:tcW w:w="1077" w:type="dxa"/>
            <w:tcBorders>
              <w:bottom w:val="nil"/>
              <w:right w:val="double" w:sz="4" w:space="0" w:color="auto"/>
            </w:tcBorders>
            <w:vAlign w:val="center"/>
          </w:tcPr>
          <w:p w:rsidR="00463C05" w:rsidRPr="00C45AC0" w:rsidRDefault="00E821D8" w:rsidP="00302EA2">
            <w:pPr>
              <w:ind w:right="42"/>
              <w:jc w:val="center"/>
            </w:pPr>
            <w:r>
              <w:t>1,6</w:t>
            </w:r>
          </w:p>
        </w:tc>
        <w:tc>
          <w:tcPr>
            <w:tcW w:w="959" w:type="dxa"/>
            <w:tcBorders>
              <w:left w:val="double" w:sz="4" w:space="0" w:color="auto"/>
              <w:bottom w:val="nil"/>
            </w:tcBorders>
            <w:vAlign w:val="center"/>
          </w:tcPr>
          <w:p w:rsidR="00463C05" w:rsidRPr="00C45AC0" w:rsidRDefault="00E821D8" w:rsidP="00302EA2">
            <w:pPr>
              <w:ind w:right="42"/>
              <w:jc w:val="center"/>
            </w:pPr>
            <w:r>
              <w:t>0,5</w:t>
            </w:r>
          </w:p>
        </w:tc>
        <w:tc>
          <w:tcPr>
            <w:tcW w:w="959" w:type="dxa"/>
            <w:tcBorders>
              <w:bottom w:val="nil"/>
            </w:tcBorders>
            <w:vAlign w:val="center"/>
          </w:tcPr>
          <w:p w:rsidR="00463C05" w:rsidRPr="00C45AC0" w:rsidRDefault="00E821D8" w:rsidP="00302EA2">
            <w:pPr>
              <w:ind w:right="42"/>
              <w:jc w:val="center"/>
            </w:pPr>
            <w:r>
              <w:t>2,3</w:t>
            </w:r>
          </w:p>
        </w:tc>
      </w:tr>
      <w:tr w:rsidR="00463C05" w:rsidRPr="00C45AC0" w:rsidTr="00302EA2">
        <w:trPr>
          <w:trHeight w:val="370"/>
        </w:trPr>
        <w:tc>
          <w:tcPr>
            <w:tcW w:w="3134" w:type="dxa"/>
            <w:tcBorders>
              <w:top w:val="nil"/>
              <w:bottom w:val="nil"/>
            </w:tcBorders>
            <w:vAlign w:val="center"/>
          </w:tcPr>
          <w:p w:rsidR="00463C05" w:rsidRPr="00C45AC0" w:rsidRDefault="00463C05" w:rsidP="00302EA2">
            <w:pPr>
              <w:ind w:right="42"/>
              <w:jc w:val="center"/>
            </w:pPr>
            <w:r w:rsidRPr="00C45AC0">
              <w:rPr>
                <w:sz w:val="22"/>
                <w:szCs w:val="22"/>
              </w:rPr>
              <w:t>Özel tüketim vergisi (ÖTV)</w:t>
            </w:r>
          </w:p>
        </w:tc>
        <w:tc>
          <w:tcPr>
            <w:tcW w:w="1165" w:type="dxa"/>
            <w:tcBorders>
              <w:top w:val="nil"/>
              <w:bottom w:val="nil"/>
            </w:tcBorders>
            <w:vAlign w:val="center"/>
          </w:tcPr>
          <w:p w:rsidR="00463C05" w:rsidRPr="00C45AC0" w:rsidRDefault="00463C05" w:rsidP="00302EA2">
            <w:pPr>
              <w:ind w:right="42"/>
              <w:jc w:val="center"/>
            </w:pPr>
            <w:r>
              <w:t>3,6</w:t>
            </w:r>
          </w:p>
        </w:tc>
        <w:tc>
          <w:tcPr>
            <w:tcW w:w="1086" w:type="dxa"/>
            <w:tcBorders>
              <w:top w:val="nil"/>
              <w:bottom w:val="nil"/>
            </w:tcBorders>
            <w:vAlign w:val="center"/>
          </w:tcPr>
          <w:p w:rsidR="00463C05" w:rsidRPr="00C45AC0" w:rsidRDefault="00463C05" w:rsidP="00302EA2">
            <w:pPr>
              <w:ind w:right="42"/>
              <w:jc w:val="center"/>
            </w:pPr>
            <w:r>
              <w:t>2,9</w:t>
            </w:r>
          </w:p>
        </w:tc>
        <w:tc>
          <w:tcPr>
            <w:tcW w:w="1142" w:type="dxa"/>
            <w:tcBorders>
              <w:top w:val="nil"/>
              <w:bottom w:val="nil"/>
            </w:tcBorders>
            <w:vAlign w:val="center"/>
          </w:tcPr>
          <w:p w:rsidR="00463C05" w:rsidRPr="00C45AC0" w:rsidRDefault="00463C05" w:rsidP="00302EA2">
            <w:pPr>
              <w:ind w:right="42"/>
              <w:jc w:val="center"/>
            </w:pPr>
            <w:r>
              <w:t>0,0</w:t>
            </w:r>
          </w:p>
        </w:tc>
        <w:tc>
          <w:tcPr>
            <w:tcW w:w="1077" w:type="dxa"/>
            <w:tcBorders>
              <w:top w:val="nil"/>
              <w:bottom w:val="nil"/>
              <w:right w:val="double" w:sz="4" w:space="0" w:color="auto"/>
            </w:tcBorders>
            <w:vAlign w:val="center"/>
          </w:tcPr>
          <w:p w:rsidR="00463C05" w:rsidRPr="00C45AC0" w:rsidRDefault="00463C05" w:rsidP="00302EA2">
            <w:pPr>
              <w:ind w:right="42"/>
              <w:jc w:val="center"/>
            </w:pPr>
            <w:r>
              <w:t>0,4</w:t>
            </w:r>
          </w:p>
        </w:tc>
        <w:tc>
          <w:tcPr>
            <w:tcW w:w="959" w:type="dxa"/>
            <w:tcBorders>
              <w:top w:val="nil"/>
              <w:left w:val="double" w:sz="4" w:space="0" w:color="auto"/>
              <w:bottom w:val="nil"/>
            </w:tcBorders>
            <w:vAlign w:val="center"/>
          </w:tcPr>
          <w:p w:rsidR="00463C05" w:rsidRPr="00C45AC0" w:rsidRDefault="0081186E" w:rsidP="00302EA2">
            <w:pPr>
              <w:ind w:right="42"/>
              <w:jc w:val="center"/>
            </w:pPr>
            <w:r>
              <w:t>2,0</w:t>
            </w:r>
          </w:p>
        </w:tc>
        <w:tc>
          <w:tcPr>
            <w:tcW w:w="959" w:type="dxa"/>
            <w:tcBorders>
              <w:top w:val="nil"/>
              <w:bottom w:val="nil"/>
            </w:tcBorders>
            <w:vAlign w:val="center"/>
          </w:tcPr>
          <w:p w:rsidR="00463C05" w:rsidRPr="00C45AC0" w:rsidRDefault="0081186E" w:rsidP="00302EA2">
            <w:pPr>
              <w:ind w:right="42"/>
              <w:jc w:val="center"/>
            </w:pPr>
            <w:r>
              <w:t>3,2</w:t>
            </w:r>
          </w:p>
        </w:tc>
      </w:tr>
      <w:tr w:rsidR="00463C05" w:rsidRPr="00C45AC0" w:rsidTr="00302EA2">
        <w:trPr>
          <w:trHeight w:val="370"/>
        </w:trPr>
        <w:tc>
          <w:tcPr>
            <w:tcW w:w="3134" w:type="dxa"/>
            <w:tcBorders>
              <w:top w:val="nil"/>
              <w:bottom w:val="nil"/>
            </w:tcBorders>
            <w:vAlign w:val="center"/>
          </w:tcPr>
          <w:p w:rsidR="00463C05" w:rsidRPr="00C45AC0" w:rsidRDefault="00463C05" w:rsidP="00302EA2">
            <w:pPr>
              <w:ind w:right="42"/>
              <w:jc w:val="center"/>
            </w:pPr>
            <w:r w:rsidRPr="00C45AC0">
              <w:rPr>
                <w:sz w:val="22"/>
                <w:szCs w:val="22"/>
              </w:rPr>
              <w:t>Binek otomobil üretimi</w:t>
            </w:r>
          </w:p>
        </w:tc>
        <w:tc>
          <w:tcPr>
            <w:tcW w:w="1165" w:type="dxa"/>
            <w:tcBorders>
              <w:top w:val="nil"/>
              <w:bottom w:val="nil"/>
            </w:tcBorders>
            <w:vAlign w:val="center"/>
          </w:tcPr>
          <w:p w:rsidR="00463C05" w:rsidRPr="00C45AC0" w:rsidRDefault="00954E8C" w:rsidP="00302EA2">
            <w:pPr>
              <w:ind w:right="42"/>
              <w:jc w:val="center"/>
            </w:pPr>
            <w:r>
              <w:t>1,6</w:t>
            </w:r>
          </w:p>
        </w:tc>
        <w:tc>
          <w:tcPr>
            <w:tcW w:w="1086" w:type="dxa"/>
            <w:tcBorders>
              <w:top w:val="nil"/>
              <w:bottom w:val="nil"/>
            </w:tcBorders>
            <w:vAlign w:val="center"/>
          </w:tcPr>
          <w:p w:rsidR="00463C05" w:rsidRPr="00C45AC0" w:rsidRDefault="00954E8C" w:rsidP="00302EA2">
            <w:pPr>
              <w:ind w:right="42"/>
              <w:jc w:val="center"/>
            </w:pPr>
            <w:r>
              <w:t>11,6</w:t>
            </w:r>
          </w:p>
        </w:tc>
        <w:tc>
          <w:tcPr>
            <w:tcW w:w="1142" w:type="dxa"/>
            <w:tcBorders>
              <w:top w:val="nil"/>
              <w:bottom w:val="nil"/>
            </w:tcBorders>
            <w:vAlign w:val="center"/>
          </w:tcPr>
          <w:p w:rsidR="00463C05" w:rsidRPr="00C45AC0" w:rsidRDefault="00954E8C" w:rsidP="00302EA2">
            <w:pPr>
              <w:ind w:right="42"/>
              <w:jc w:val="center"/>
            </w:pPr>
            <w:r>
              <w:t>-8,0</w:t>
            </w:r>
          </w:p>
        </w:tc>
        <w:tc>
          <w:tcPr>
            <w:tcW w:w="1077" w:type="dxa"/>
            <w:tcBorders>
              <w:top w:val="nil"/>
              <w:bottom w:val="nil"/>
              <w:right w:val="double" w:sz="4" w:space="0" w:color="auto"/>
            </w:tcBorders>
            <w:vAlign w:val="center"/>
          </w:tcPr>
          <w:p w:rsidR="00463C05" w:rsidRPr="00C45AC0" w:rsidRDefault="00954E8C" w:rsidP="00302EA2">
            <w:pPr>
              <w:ind w:right="42"/>
              <w:jc w:val="center"/>
            </w:pPr>
            <w:r>
              <w:t>2,8</w:t>
            </w:r>
          </w:p>
        </w:tc>
        <w:tc>
          <w:tcPr>
            <w:tcW w:w="959" w:type="dxa"/>
            <w:tcBorders>
              <w:top w:val="nil"/>
              <w:left w:val="double" w:sz="4" w:space="0" w:color="auto"/>
              <w:bottom w:val="nil"/>
            </w:tcBorders>
            <w:vAlign w:val="center"/>
          </w:tcPr>
          <w:p w:rsidR="00463C05" w:rsidRPr="00C45AC0" w:rsidRDefault="00954E8C" w:rsidP="00302EA2">
            <w:pPr>
              <w:ind w:right="42"/>
              <w:jc w:val="center"/>
            </w:pPr>
            <w:r>
              <w:t>6,4</w:t>
            </w:r>
          </w:p>
        </w:tc>
        <w:tc>
          <w:tcPr>
            <w:tcW w:w="959" w:type="dxa"/>
            <w:tcBorders>
              <w:top w:val="nil"/>
              <w:bottom w:val="nil"/>
            </w:tcBorders>
            <w:vAlign w:val="center"/>
          </w:tcPr>
          <w:p w:rsidR="00463C05" w:rsidRPr="00C45AC0" w:rsidRDefault="00954E8C" w:rsidP="00302EA2">
            <w:pPr>
              <w:ind w:right="42"/>
              <w:jc w:val="center"/>
            </w:pPr>
            <w:r>
              <w:t>0,7</w:t>
            </w:r>
          </w:p>
        </w:tc>
      </w:tr>
      <w:tr w:rsidR="00463C05" w:rsidRPr="00C45AC0" w:rsidTr="00302EA2">
        <w:trPr>
          <w:trHeight w:val="370"/>
        </w:trPr>
        <w:tc>
          <w:tcPr>
            <w:tcW w:w="3134" w:type="dxa"/>
            <w:tcBorders>
              <w:top w:val="nil"/>
            </w:tcBorders>
            <w:vAlign w:val="center"/>
          </w:tcPr>
          <w:p w:rsidR="00463C05" w:rsidRPr="00C45AC0" w:rsidRDefault="00463C05" w:rsidP="00302EA2">
            <w:pPr>
              <w:ind w:right="42"/>
              <w:jc w:val="center"/>
            </w:pPr>
            <w:r w:rsidRPr="00C45AC0">
              <w:rPr>
                <w:sz w:val="22"/>
                <w:szCs w:val="22"/>
              </w:rPr>
              <w:t>Binek olmayan otomobil üretimi</w:t>
            </w:r>
          </w:p>
        </w:tc>
        <w:tc>
          <w:tcPr>
            <w:tcW w:w="1165" w:type="dxa"/>
            <w:tcBorders>
              <w:top w:val="nil"/>
            </w:tcBorders>
            <w:vAlign w:val="center"/>
          </w:tcPr>
          <w:p w:rsidR="00463C05" w:rsidRPr="00C45AC0" w:rsidRDefault="00954E8C" w:rsidP="00302EA2">
            <w:pPr>
              <w:ind w:right="42"/>
              <w:jc w:val="center"/>
            </w:pPr>
            <w:r>
              <w:t>-5,7</w:t>
            </w:r>
          </w:p>
        </w:tc>
        <w:tc>
          <w:tcPr>
            <w:tcW w:w="1086" w:type="dxa"/>
            <w:tcBorders>
              <w:top w:val="nil"/>
            </w:tcBorders>
            <w:vAlign w:val="center"/>
          </w:tcPr>
          <w:p w:rsidR="00463C05" w:rsidRPr="00C45AC0" w:rsidRDefault="00954E8C" w:rsidP="00302EA2">
            <w:pPr>
              <w:ind w:right="42"/>
              <w:jc w:val="center"/>
            </w:pPr>
            <w:r>
              <w:t>2,7</w:t>
            </w:r>
          </w:p>
        </w:tc>
        <w:tc>
          <w:tcPr>
            <w:tcW w:w="1142" w:type="dxa"/>
            <w:tcBorders>
              <w:top w:val="nil"/>
            </w:tcBorders>
            <w:vAlign w:val="center"/>
          </w:tcPr>
          <w:p w:rsidR="00463C05" w:rsidRPr="00C45AC0" w:rsidRDefault="00954E8C" w:rsidP="00302EA2">
            <w:pPr>
              <w:ind w:right="42"/>
              <w:jc w:val="center"/>
            </w:pPr>
            <w:r>
              <w:t>5,7</w:t>
            </w:r>
          </w:p>
        </w:tc>
        <w:tc>
          <w:tcPr>
            <w:tcW w:w="1077" w:type="dxa"/>
            <w:tcBorders>
              <w:top w:val="nil"/>
              <w:right w:val="double" w:sz="4" w:space="0" w:color="auto"/>
            </w:tcBorders>
            <w:vAlign w:val="center"/>
          </w:tcPr>
          <w:p w:rsidR="00463C05" w:rsidRPr="00C45AC0" w:rsidRDefault="00954E8C" w:rsidP="00302EA2">
            <w:pPr>
              <w:ind w:right="42"/>
              <w:jc w:val="center"/>
            </w:pPr>
            <w:r>
              <w:t>0,9</w:t>
            </w:r>
          </w:p>
        </w:tc>
        <w:tc>
          <w:tcPr>
            <w:tcW w:w="959" w:type="dxa"/>
            <w:tcBorders>
              <w:top w:val="nil"/>
              <w:left w:val="double" w:sz="4" w:space="0" w:color="auto"/>
            </w:tcBorders>
            <w:vAlign w:val="center"/>
          </w:tcPr>
          <w:p w:rsidR="00463C05" w:rsidRPr="00C45AC0" w:rsidRDefault="00954E8C" w:rsidP="00302EA2">
            <w:pPr>
              <w:ind w:right="42"/>
              <w:jc w:val="center"/>
            </w:pPr>
            <w:r>
              <w:t>2,4</w:t>
            </w:r>
          </w:p>
        </w:tc>
        <w:tc>
          <w:tcPr>
            <w:tcW w:w="959" w:type="dxa"/>
            <w:tcBorders>
              <w:top w:val="nil"/>
            </w:tcBorders>
            <w:vAlign w:val="center"/>
          </w:tcPr>
          <w:p w:rsidR="00463C05" w:rsidRPr="00C45AC0" w:rsidRDefault="00954E8C" w:rsidP="00302EA2">
            <w:pPr>
              <w:ind w:right="42"/>
              <w:jc w:val="center"/>
            </w:pPr>
            <w:r>
              <w:t>5,9</w:t>
            </w:r>
          </w:p>
        </w:tc>
      </w:tr>
    </w:tbl>
    <w:p w:rsidR="0002037B" w:rsidRPr="00C45AC0" w:rsidRDefault="0002037B" w:rsidP="0002037B">
      <w:pPr>
        <w:ind w:left="-720" w:right="43" w:firstLine="360"/>
        <w:jc w:val="both"/>
        <w:rPr>
          <w:sz w:val="16"/>
          <w:szCs w:val="16"/>
        </w:rPr>
      </w:pPr>
      <w:r w:rsidRPr="00C45AC0">
        <w:rPr>
          <w:sz w:val="16"/>
          <w:szCs w:val="16"/>
        </w:rPr>
        <w:t>Kaynak: TÜİK, TCMB, BIST, TDM, BETAM.</w:t>
      </w:r>
    </w:p>
    <w:p w:rsidR="0002037B" w:rsidRPr="00C45AC0" w:rsidRDefault="0002037B" w:rsidP="0002037B">
      <w:pPr>
        <w:ind w:left="-720" w:right="43" w:firstLine="360"/>
        <w:jc w:val="both"/>
        <w:rPr>
          <w:sz w:val="16"/>
          <w:szCs w:val="16"/>
        </w:rPr>
      </w:pPr>
      <w:r w:rsidRPr="00C45AC0">
        <w:rPr>
          <w:sz w:val="16"/>
          <w:szCs w:val="16"/>
          <w:vertAlign w:val="superscript"/>
        </w:rPr>
        <w:t xml:space="preserve">† </w:t>
      </w:r>
      <w:r w:rsidRPr="00C45AC0">
        <w:rPr>
          <w:sz w:val="16"/>
          <w:szCs w:val="16"/>
        </w:rPr>
        <w:t>TCMB tarafından mevsimsellikten arındırılmıştır.</w:t>
      </w:r>
    </w:p>
    <w:p w:rsidR="0002037B" w:rsidRPr="00C45AC0" w:rsidRDefault="0002037B" w:rsidP="0002037B">
      <w:pPr>
        <w:ind w:left="-360" w:right="43"/>
        <w:rPr>
          <w:sz w:val="16"/>
          <w:szCs w:val="16"/>
        </w:rPr>
      </w:pPr>
      <w:r w:rsidRPr="00C45AC0">
        <w:rPr>
          <w:sz w:val="16"/>
          <w:szCs w:val="16"/>
          <w:vertAlign w:val="superscript"/>
        </w:rPr>
        <w:t>‡</w:t>
      </w:r>
      <w:r w:rsidRPr="00C45AC0">
        <w:rPr>
          <w:sz w:val="16"/>
          <w:szCs w:val="16"/>
        </w:rPr>
        <w:t xml:space="preserve"> KKO ve alt kollarında diğer endekslerin aksine yüzde puan değişimleri veriliyor.</w:t>
      </w:r>
    </w:p>
    <w:p w:rsidR="0002037B" w:rsidRPr="00C45AC0" w:rsidRDefault="0002037B" w:rsidP="0002037B">
      <w:pPr>
        <w:ind w:left="-720" w:right="43" w:firstLine="360"/>
        <w:jc w:val="both"/>
        <w:rPr>
          <w:sz w:val="16"/>
          <w:szCs w:val="16"/>
        </w:rPr>
      </w:pPr>
      <w:r w:rsidRPr="00C45AC0">
        <w:rPr>
          <w:sz w:val="16"/>
          <w:szCs w:val="16"/>
        </w:rPr>
        <w:t xml:space="preserve">*TÜİK tarafından mevsimsellikten arındırılmıştır. Diğer tüm veriler Betam tarafından mevsimsellikten arındırılmıştır. </w:t>
      </w:r>
    </w:p>
    <w:p w:rsidR="0002037B" w:rsidRPr="00C45AC0" w:rsidRDefault="0002037B" w:rsidP="0002037B">
      <w:pPr>
        <w:ind w:left="-720" w:right="43" w:firstLine="360"/>
        <w:jc w:val="both"/>
        <w:rPr>
          <w:sz w:val="16"/>
          <w:szCs w:val="16"/>
        </w:rPr>
      </w:pPr>
      <w:r w:rsidRPr="00C45AC0">
        <w:rPr>
          <w:sz w:val="16"/>
          <w:szCs w:val="16"/>
        </w:rPr>
        <w:t>**Bu aya dair veri henüz açıklanmamıştır.</w:t>
      </w:r>
    </w:p>
    <w:p w:rsidR="0002037B" w:rsidRPr="00C45AC0" w:rsidRDefault="0002037B" w:rsidP="0002037B">
      <w:pPr>
        <w:ind w:left="-360" w:right="43"/>
        <w:rPr>
          <w:sz w:val="16"/>
          <w:szCs w:val="16"/>
        </w:rPr>
      </w:pPr>
      <w:r w:rsidRPr="00C45AC0">
        <w:rPr>
          <w:sz w:val="16"/>
          <w:szCs w:val="16"/>
        </w:rPr>
        <w:t>*** Betam  hesaplamaları: Altın hariç ithalatı bulmak için nominal ithalattan parasal olmayan altın ithalatını çıkarıp ithalat birim değer endeksine bölüyoruz. Altın hariç ihracatı bulmak için nominal mal ve hizmet ihracatından parasal olmayan altın  ihracatını çıkarıp ihracat birim değer endeksine bölüyoruz. Betam tarafından mevsimsellikten arındırılmıştır.</w:t>
      </w:r>
    </w:p>
    <w:p w:rsidR="0002037B" w:rsidRPr="00C45AC0" w:rsidRDefault="0002037B" w:rsidP="0002037B">
      <w:pPr>
        <w:ind w:left="-360" w:right="43"/>
        <w:rPr>
          <w:sz w:val="16"/>
          <w:szCs w:val="16"/>
        </w:rPr>
      </w:pPr>
      <w:r w:rsidRPr="00C45AC0">
        <w:rPr>
          <w:rFonts w:ascii="Calibri" w:hAnsi="Calibri"/>
          <w:sz w:val="16"/>
          <w:szCs w:val="16"/>
        </w:rPr>
        <w:t>⁰</w:t>
      </w:r>
      <w:r w:rsidRPr="00C45AC0">
        <w:rPr>
          <w:sz w:val="16"/>
          <w:szCs w:val="16"/>
        </w:rPr>
        <w:t xml:space="preserve"> Cari transferler hariç hükümet harcamalarının toplamı, enflasyondan arındırılmış.</w:t>
      </w:r>
    </w:p>
    <w:p w:rsidR="0002037B" w:rsidRPr="00C45AC0" w:rsidRDefault="0002037B" w:rsidP="0002037B">
      <w:pPr>
        <w:spacing w:line="360" w:lineRule="auto"/>
        <w:ind w:right="42"/>
        <w:jc w:val="both"/>
        <w:rPr>
          <w:sz w:val="22"/>
          <w:szCs w:val="22"/>
        </w:rPr>
      </w:pPr>
    </w:p>
    <w:p w:rsidR="0002037B" w:rsidRPr="00C45AC0" w:rsidRDefault="0002037B" w:rsidP="0002037B">
      <w:pPr>
        <w:spacing w:line="360" w:lineRule="auto"/>
        <w:ind w:right="42"/>
        <w:jc w:val="both"/>
        <w:rPr>
          <w:sz w:val="22"/>
          <w:szCs w:val="22"/>
        </w:rPr>
        <w:sectPr w:rsidR="0002037B" w:rsidRPr="00C45AC0" w:rsidSect="008651A8">
          <w:type w:val="continuous"/>
          <w:pgSz w:w="11906" w:h="16838"/>
          <w:pgMar w:top="1417" w:right="1417" w:bottom="1417" w:left="1417" w:header="708" w:footer="708" w:gutter="0"/>
          <w:cols w:space="708"/>
          <w:docGrid w:linePitch="360"/>
        </w:sectPr>
      </w:pPr>
    </w:p>
    <w:p w:rsidR="0002037B" w:rsidRPr="00C45AC0" w:rsidRDefault="0002037B" w:rsidP="0002037B">
      <w:pPr>
        <w:ind w:left="-360" w:right="42"/>
        <w:jc w:val="both"/>
        <w:rPr>
          <w:b/>
          <w:bCs/>
          <w:sz w:val="22"/>
          <w:szCs w:val="22"/>
        </w:rPr>
      </w:pPr>
    </w:p>
    <w:p w:rsidR="0002037B" w:rsidRPr="00C45AC0" w:rsidRDefault="0002037B" w:rsidP="0002037B">
      <w:pPr>
        <w:ind w:left="-360" w:right="42"/>
        <w:jc w:val="both"/>
        <w:rPr>
          <w:b/>
          <w:bCs/>
          <w:sz w:val="22"/>
          <w:szCs w:val="22"/>
        </w:rPr>
      </w:pPr>
    </w:p>
    <w:p w:rsidR="0002037B" w:rsidRPr="00C45AC0" w:rsidRDefault="0002037B" w:rsidP="0002037B">
      <w:pPr>
        <w:ind w:left="-360" w:right="42"/>
        <w:jc w:val="both"/>
        <w:rPr>
          <w:b/>
          <w:bCs/>
          <w:sz w:val="22"/>
          <w:szCs w:val="22"/>
        </w:rPr>
      </w:pPr>
      <w:r w:rsidRPr="00C45AC0">
        <w:rPr>
          <w:b/>
          <w:bCs/>
          <w:sz w:val="22"/>
          <w:szCs w:val="22"/>
        </w:rPr>
        <w:lastRenderedPageBreak/>
        <w:t>Şekil 1: Kapasite kullanım oranı ve sanayi üretim endeksi (mea)</w:t>
      </w:r>
    </w:p>
    <w:p w:rsidR="0002037B" w:rsidRPr="00C45AC0" w:rsidRDefault="0002037B" w:rsidP="0002037B">
      <w:pPr>
        <w:ind w:left="-360" w:right="42"/>
        <w:jc w:val="both"/>
        <w:rPr>
          <w:b/>
          <w:bCs/>
          <w:sz w:val="8"/>
          <w:szCs w:val="8"/>
        </w:rPr>
      </w:pPr>
    </w:p>
    <w:p w:rsidR="0002037B" w:rsidRPr="00C45AC0" w:rsidRDefault="00366D41" w:rsidP="0002037B">
      <w:pPr>
        <w:ind w:left="-360" w:right="42"/>
        <w:jc w:val="both"/>
      </w:pPr>
      <w:r w:rsidRPr="00366D41">
        <w:rPr>
          <w:noProof/>
        </w:rPr>
        <w:drawing>
          <wp:inline distT="0" distB="0" distL="0" distR="0">
            <wp:extent cx="2655570" cy="2245248"/>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655570" cy="2245248"/>
                    </a:xfrm>
                    <a:prstGeom prst="rect">
                      <a:avLst/>
                    </a:prstGeom>
                    <a:noFill/>
                    <a:ln w="9525">
                      <a:noFill/>
                      <a:miter lim="800000"/>
                      <a:headEnd/>
                      <a:tailEnd/>
                    </a:ln>
                  </pic:spPr>
                </pic:pic>
              </a:graphicData>
            </a:graphic>
          </wp:inline>
        </w:drawing>
      </w:r>
    </w:p>
    <w:p w:rsidR="0002037B" w:rsidRPr="00C45AC0" w:rsidRDefault="0002037B" w:rsidP="0002037B">
      <w:pPr>
        <w:ind w:left="-360" w:right="42"/>
        <w:jc w:val="both"/>
        <w:rPr>
          <w:sz w:val="18"/>
          <w:szCs w:val="18"/>
        </w:rPr>
      </w:pPr>
      <w:r w:rsidRPr="00C45AC0">
        <w:rPr>
          <w:sz w:val="18"/>
          <w:szCs w:val="18"/>
        </w:rPr>
        <w:t xml:space="preserve">Kaynak : TÜİK (sol taraf KKO ekseni, sağ taraf SÜE </w:t>
      </w:r>
    </w:p>
    <w:p w:rsidR="0002037B" w:rsidRPr="00C45AC0" w:rsidRDefault="0002037B" w:rsidP="0002037B">
      <w:pPr>
        <w:ind w:left="-360" w:right="42"/>
        <w:jc w:val="both"/>
        <w:rPr>
          <w:sz w:val="18"/>
          <w:szCs w:val="18"/>
        </w:rPr>
      </w:pPr>
      <w:r w:rsidRPr="00C45AC0">
        <w:rPr>
          <w:sz w:val="18"/>
          <w:szCs w:val="18"/>
        </w:rPr>
        <w:t>ekseni).</w:t>
      </w:r>
    </w:p>
    <w:p w:rsidR="0002037B" w:rsidRPr="00C45AC0" w:rsidRDefault="0002037B" w:rsidP="0002037B">
      <w:pPr>
        <w:ind w:left="-360" w:right="42"/>
        <w:jc w:val="both"/>
        <w:rPr>
          <w:b/>
          <w:bCs/>
          <w:sz w:val="10"/>
          <w:szCs w:val="10"/>
        </w:rPr>
      </w:pPr>
    </w:p>
    <w:p w:rsidR="0002037B" w:rsidRPr="00C45AC0" w:rsidRDefault="0002037B" w:rsidP="0002037B">
      <w:pPr>
        <w:ind w:left="-360" w:right="42"/>
        <w:jc w:val="both"/>
        <w:rPr>
          <w:b/>
          <w:bCs/>
          <w:sz w:val="22"/>
          <w:szCs w:val="22"/>
        </w:rPr>
      </w:pPr>
      <w:r w:rsidRPr="00C45AC0">
        <w:rPr>
          <w:b/>
          <w:bCs/>
          <w:sz w:val="22"/>
          <w:szCs w:val="22"/>
        </w:rPr>
        <w:br/>
        <w:t>Şekil 3: Altın dahil cari açığın GSYH'a oranı, 12 aylık</w:t>
      </w:r>
    </w:p>
    <w:p w:rsidR="0002037B" w:rsidRPr="00C45AC0" w:rsidRDefault="0002037B" w:rsidP="0002037B">
      <w:pPr>
        <w:ind w:left="-360" w:right="42"/>
        <w:jc w:val="both"/>
        <w:rPr>
          <w:b/>
          <w:bCs/>
          <w:sz w:val="8"/>
          <w:szCs w:val="8"/>
        </w:rPr>
      </w:pPr>
    </w:p>
    <w:p w:rsidR="0002037B" w:rsidRPr="00C45AC0" w:rsidRDefault="00366D41" w:rsidP="0002037B">
      <w:pPr>
        <w:ind w:left="-360" w:right="42"/>
        <w:jc w:val="both"/>
      </w:pPr>
      <w:r w:rsidRPr="00366D41">
        <w:rPr>
          <w:noProof/>
        </w:rPr>
        <w:drawing>
          <wp:inline distT="0" distB="0" distL="0" distR="0">
            <wp:extent cx="2655570" cy="2227184"/>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655570" cy="2227184"/>
                    </a:xfrm>
                    <a:prstGeom prst="rect">
                      <a:avLst/>
                    </a:prstGeom>
                    <a:noFill/>
                    <a:ln w="9525">
                      <a:noFill/>
                      <a:miter lim="800000"/>
                      <a:headEnd/>
                      <a:tailEnd/>
                    </a:ln>
                  </pic:spPr>
                </pic:pic>
              </a:graphicData>
            </a:graphic>
          </wp:inline>
        </w:drawing>
      </w:r>
    </w:p>
    <w:p w:rsidR="0002037B" w:rsidRPr="00C45AC0" w:rsidRDefault="0002037B" w:rsidP="0002037B">
      <w:pPr>
        <w:ind w:left="-360" w:right="42"/>
        <w:jc w:val="both"/>
        <w:rPr>
          <w:sz w:val="16"/>
          <w:szCs w:val="16"/>
        </w:rPr>
      </w:pPr>
      <w:r w:rsidRPr="00C45AC0">
        <w:rPr>
          <w:sz w:val="16"/>
          <w:szCs w:val="16"/>
        </w:rPr>
        <w:t>Kaynak : TCMB,TÜİK, Betam.</w:t>
      </w:r>
    </w:p>
    <w:p w:rsidR="0002037B" w:rsidRPr="00C45AC0" w:rsidRDefault="0002037B" w:rsidP="0002037B">
      <w:pPr>
        <w:ind w:left="-360" w:right="42"/>
        <w:jc w:val="both"/>
        <w:rPr>
          <w:b/>
          <w:bCs/>
          <w:sz w:val="22"/>
          <w:szCs w:val="22"/>
        </w:rPr>
      </w:pPr>
      <w:r w:rsidRPr="00C45AC0">
        <w:rPr>
          <w:b/>
          <w:bCs/>
          <w:sz w:val="22"/>
          <w:szCs w:val="22"/>
        </w:rPr>
        <w:br/>
      </w:r>
      <w:r w:rsidRPr="00C45AC0">
        <w:rPr>
          <w:b/>
          <w:bCs/>
          <w:sz w:val="22"/>
          <w:szCs w:val="22"/>
        </w:rPr>
        <w:br/>
      </w:r>
      <w:r w:rsidRPr="00C45AC0">
        <w:rPr>
          <w:b/>
          <w:bCs/>
          <w:sz w:val="22"/>
          <w:szCs w:val="22"/>
        </w:rPr>
        <w:br/>
      </w:r>
      <w:r w:rsidRPr="00C45AC0">
        <w:rPr>
          <w:b/>
          <w:bCs/>
          <w:sz w:val="22"/>
          <w:szCs w:val="22"/>
        </w:rPr>
        <w:lastRenderedPageBreak/>
        <w:t>Şekil 2: İhracat ve ithalat miktar endeksleri (mea)</w:t>
      </w:r>
    </w:p>
    <w:p w:rsidR="0002037B" w:rsidRPr="00C45AC0" w:rsidRDefault="0002037B" w:rsidP="0002037B">
      <w:pPr>
        <w:spacing w:line="360" w:lineRule="auto"/>
        <w:ind w:left="-360" w:right="42"/>
        <w:jc w:val="both"/>
        <w:rPr>
          <w:sz w:val="4"/>
          <w:szCs w:val="4"/>
        </w:rPr>
      </w:pPr>
    </w:p>
    <w:p w:rsidR="0002037B" w:rsidRPr="00C45AC0" w:rsidRDefault="00366D41" w:rsidP="0002037B">
      <w:pPr>
        <w:ind w:left="-360" w:right="42"/>
        <w:jc w:val="both"/>
      </w:pPr>
      <w:r w:rsidRPr="00366D41">
        <w:rPr>
          <w:noProof/>
        </w:rPr>
        <w:drawing>
          <wp:inline distT="0" distB="0" distL="0" distR="0">
            <wp:extent cx="2655570" cy="230665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655570" cy="2306651"/>
                    </a:xfrm>
                    <a:prstGeom prst="rect">
                      <a:avLst/>
                    </a:prstGeom>
                    <a:noFill/>
                    <a:ln w="9525">
                      <a:noFill/>
                      <a:miter lim="800000"/>
                      <a:headEnd/>
                      <a:tailEnd/>
                    </a:ln>
                  </pic:spPr>
                </pic:pic>
              </a:graphicData>
            </a:graphic>
          </wp:inline>
        </w:drawing>
      </w:r>
    </w:p>
    <w:p w:rsidR="0002037B" w:rsidRPr="00C45AC0" w:rsidRDefault="0002037B" w:rsidP="0002037B">
      <w:pPr>
        <w:ind w:left="-360" w:right="42"/>
        <w:jc w:val="both"/>
        <w:rPr>
          <w:sz w:val="18"/>
          <w:szCs w:val="18"/>
        </w:rPr>
      </w:pPr>
      <w:r w:rsidRPr="00C45AC0">
        <w:rPr>
          <w:sz w:val="18"/>
          <w:szCs w:val="18"/>
        </w:rPr>
        <w:t>Kaynak : TÜİK.</w:t>
      </w:r>
    </w:p>
    <w:p w:rsidR="0002037B" w:rsidRPr="00C45AC0" w:rsidRDefault="0002037B" w:rsidP="0002037B">
      <w:pPr>
        <w:ind w:left="-360" w:right="42"/>
        <w:jc w:val="both"/>
        <w:rPr>
          <w:b/>
          <w:bCs/>
          <w:sz w:val="18"/>
          <w:szCs w:val="18"/>
        </w:rPr>
      </w:pPr>
    </w:p>
    <w:p w:rsidR="0002037B" w:rsidRPr="00C45AC0" w:rsidRDefault="0002037B" w:rsidP="0002037B">
      <w:pPr>
        <w:ind w:left="-360" w:right="42"/>
        <w:jc w:val="both"/>
        <w:rPr>
          <w:b/>
          <w:bCs/>
          <w:sz w:val="22"/>
          <w:szCs w:val="22"/>
        </w:rPr>
      </w:pPr>
      <w:r w:rsidRPr="00C45AC0">
        <w:rPr>
          <w:b/>
          <w:bCs/>
          <w:sz w:val="22"/>
          <w:szCs w:val="22"/>
        </w:rPr>
        <w:br/>
        <w:t>Şekil 4: Altın hariç cari açığın GSYH'a oranı, 12 aylık</w:t>
      </w:r>
    </w:p>
    <w:p w:rsidR="0002037B" w:rsidRPr="00C45AC0" w:rsidRDefault="0002037B" w:rsidP="0002037B">
      <w:pPr>
        <w:spacing w:line="360" w:lineRule="auto"/>
        <w:ind w:left="-360" w:right="42"/>
        <w:jc w:val="both"/>
        <w:rPr>
          <w:sz w:val="4"/>
          <w:szCs w:val="4"/>
        </w:rPr>
      </w:pPr>
    </w:p>
    <w:p w:rsidR="0002037B" w:rsidRPr="00C45AC0" w:rsidRDefault="00C04505" w:rsidP="0002037B">
      <w:pPr>
        <w:ind w:left="-360" w:right="42"/>
        <w:jc w:val="both"/>
      </w:pPr>
      <w:r w:rsidRPr="00C04505">
        <w:rPr>
          <w:noProof/>
        </w:rPr>
        <w:drawing>
          <wp:inline distT="0" distB="0" distL="0" distR="0">
            <wp:extent cx="2655570" cy="225052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655570" cy="2250528"/>
                    </a:xfrm>
                    <a:prstGeom prst="rect">
                      <a:avLst/>
                    </a:prstGeom>
                    <a:noFill/>
                    <a:ln w="9525">
                      <a:noFill/>
                      <a:miter lim="800000"/>
                      <a:headEnd/>
                      <a:tailEnd/>
                    </a:ln>
                  </pic:spPr>
                </pic:pic>
              </a:graphicData>
            </a:graphic>
          </wp:inline>
        </w:drawing>
      </w:r>
    </w:p>
    <w:p w:rsidR="0002037B" w:rsidRPr="00C45AC0" w:rsidRDefault="0002037B" w:rsidP="0002037B">
      <w:pPr>
        <w:ind w:left="-360" w:right="42"/>
        <w:jc w:val="both"/>
        <w:rPr>
          <w:sz w:val="16"/>
          <w:szCs w:val="16"/>
        </w:rPr>
      </w:pPr>
      <w:r w:rsidRPr="00C45AC0">
        <w:rPr>
          <w:sz w:val="16"/>
          <w:szCs w:val="16"/>
        </w:rPr>
        <w:t>Kaynak : TCMB, TÜİK, Betam.</w:t>
      </w:r>
    </w:p>
    <w:p w:rsidR="0002037B" w:rsidRPr="00C45AC0" w:rsidRDefault="0002037B" w:rsidP="0002037B">
      <w:pPr>
        <w:spacing w:line="360" w:lineRule="auto"/>
        <w:ind w:right="42"/>
        <w:jc w:val="both"/>
        <w:rPr>
          <w:sz w:val="22"/>
          <w:szCs w:val="22"/>
        </w:rPr>
        <w:sectPr w:rsidR="0002037B" w:rsidRPr="00C45AC0" w:rsidSect="007067F4">
          <w:type w:val="continuous"/>
          <w:pgSz w:w="11906" w:h="16838"/>
          <w:pgMar w:top="1417" w:right="1417" w:bottom="1417" w:left="1417" w:header="708" w:footer="708" w:gutter="0"/>
          <w:cols w:num="2" w:space="708" w:equalWidth="0">
            <w:col w:w="4182" w:space="708"/>
            <w:col w:w="4182"/>
          </w:cols>
          <w:docGrid w:linePitch="360"/>
        </w:sectPr>
      </w:pPr>
    </w:p>
    <w:p w:rsidR="0002037B" w:rsidRPr="00C45AC0" w:rsidRDefault="0002037B" w:rsidP="0002037B">
      <w:pPr>
        <w:spacing w:line="360" w:lineRule="auto"/>
        <w:ind w:left="-360" w:right="42"/>
        <w:jc w:val="both"/>
        <w:rPr>
          <w:b/>
          <w:bCs/>
          <w:sz w:val="22"/>
          <w:szCs w:val="22"/>
        </w:rPr>
      </w:pPr>
    </w:p>
    <w:p w:rsidR="0002037B" w:rsidRPr="00C04505" w:rsidRDefault="00087E0A" w:rsidP="00C04505">
      <w:pPr>
        <w:ind w:left="-360" w:right="42"/>
        <w:rPr>
          <w:sz w:val="16"/>
          <w:szCs w:val="16"/>
        </w:rPr>
      </w:pPr>
      <w:r>
        <w:rPr>
          <w:sz w:val="18"/>
          <w:szCs w:val="18"/>
        </w:rPr>
        <w:tab/>
      </w:r>
    </w:p>
    <w:p w:rsidR="00C04505" w:rsidRDefault="00C04505" w:rsidP="0002037B">
      <w:pPr>
        <w:ind w:left="-360" w:right="42"/>
        <w:jc w:val="both"/>
        <w:rPr>
          <w:b/>
          <w:bCs/>
          <w:sz w:val="22"/>
          <w:szCs w:val="22"/>
        </w:rPr>
      </w:pPr>
    </w:p>
    <w:p w:rsidR="00C04505" w:rsidRDefault="00C04505" w:rsidP="0002037B">
      <w:pPr>
        <w:ind w:left="-360" w:right="42"/>
        <w:jc w:val="both"/>
        <w:rPr>
          <w:b/>
          <w:bCs/>
          <w:sz w:val="22"/>
          <w:szCs w:val="22"/>
        </w:rPr>
      </w:pPr>
    </w:p>
    <w:p w:rsidR="00C04505" w:rsidRDefault="00C04505" w:rsidP="0002037B">
      <w:pPr>
        <w:ind w:left="-360" w:right="42"/>
        <w:jc w:val="both"/>
        <w:rPr>
          <w:b/>
          <w:bCs/>
          <w:sz w:val="22"/>
          <w:szCs w:val="22"/>
        </w:rPr>
      </w:pPr>
    </w:p>
    <w:p w:rsidR="00C04505" w:rsidRDefault="00C04505" w:rsidP="0002037B">
      <w:pPr>
        <w:ind w:left="-360" w:right="42"/>
        <w:jc w:val="both"/>
        <w:rPr>
          <w:b/>
          <w:bCs/>
          <w:sz w:val="22"/>
          <w:szCs w:val="22"/>
        </w:rPr>
      </w:pPr>
    </w:p>
    <w:p w:rsidR="00C04505" w:rsidRDefault="00C04505" w:rsidP="0002037B">
      <w:pPr>
        <w:ind w:left="-360" w:right="42"/>
        <w:jc w:val="both"/>
        <w:rPr>
          <w:b/>
          <w:bCs/>
          <w:sz w:val="22"/>
          <w:szCs w:val="22"/>
        </w:rPr>
      </w:pPr>
    </w:p>
    <w:p w:rsidR="00C04505" w:rsidRDefault="00C04505" w:rsidP="0002037B">
      <w:pPr>
        <w:ind w:left="-360" w:right="42"/>
        <w:jc w:val="both"/>
        <w:rPr>
          <w:b/>
          <w:bCs/>
          <w:sz w:val="22"/>
          <w:szCs w:val="22"/>
        </w:rPr>
      </w:pPr>
    </w:p>
    <w:p w:rsidR="00C04505" w:rsidRDefault="00C04505" w:rsidP="0002037B">
      <w:pPr>
        <w:ind w:left="-360" w:right="42"/>
        <w:jc w:val="both"/>
        <w:rPr>
          <w:b/>
          <w:bCs/>
          <w:sz w:val="22"/>
          <w:szCs w:val="22"/>
        </w:rPr>
      </w:pPr>
    </w:p>
    <w:p w:rsidR="00C04505" w:rsidRDefault="00C04505" w:rsidP="0002037B">
      <w:pPr>
        <w:ind w:left="-360" w:right="42"/>
        <w:jc w:val="both"/>
        <w:rPr>
          <w:b/>
          <w:bCs/>
          <w:sz w:val="22"/>
          <w:szCs w:val="22"/>
        </w:rPr>
      </w:pPr>
    </w:p>
    <w:p w:rsidR="00C04505" w:rsidRDefault="00C04505" w:rsidP="0002037B">
      <w:pPr>
        <w:ind w:left="-360" w:right="42"/>
        <w:jc w:val="both"/>
        <w:rPr>
          <w:b/>
          <w:bCs/>
          <w:sz w:val="22"/>
          <w:szCs w:val="22"/>
        </w:rPr>
      </w:pPr>
    </w:p>
    <w:p w:rsidR="00C04505" w:rsidRDefault="00C04505" w:rsidP="0002037B">
      <w:pPr>
        <w:ind w:left="-360" w:right="42"/>
        <w:jc w:val="both"/>
        <w:rPr>
          <w:b/>
          <w:bCs/>
          <w:sz w:val="22"/>
          <w:szCs w:val="22"/>
        </w:rPr>
      </w:pPr>
    </w:p>
    <w:p w:rsidR="00C04505" w:rsidRDefault="00C04505" w:rsidP="0002037B">
      <w:pPr>
        <w:ind w:left="-360" w:right="42"/>
        <w:jc w:val="both"/>
        <w:rPr>
          <w:b/>
          <w:bCs/>
          <w:sz w:val="22"/>
          <w:szCs w:val="22"/>
        </w:rPr>
      </w:pPr>
    </w:p>
    <w:p w:rsidR="00C04505" w:rsidRDefault="00C04505" w:rsidP="0002037B">
      <w:pPr>
        <w:ind w:left="-360" w:right="42"/>
        <w:jc w:val="both"/>
        <w:rPr>
          <w:b/>
          <w:bCs/>
          <w:sz w:val="22"/>
          <w:szCs w:val="22"/>
        </w:rPr>
      </w:pPr>
    </w:p>
    <w:p w:rsidR="00C04505" w:rsidRDefault="00C04505" w:rsidP="0002037B">
      <w:pPr>
        <w:ind w:left="-360" w:right="42"/>
        <w:jc w:val="both"/>
        <w:rPr>
          <w:b/>
          <w:bCs/>
          <w:sz w:val="22"/>
          <w:szCs w:val="22"/>
        </w:rPr>
      </w:pPr>
    </w:p>
    <w:p w:rsidR="0002037B" w:rsidRDefault="007F160B" w:rsidP="0002037B">
      <w:pPr>
        <w:ind w:left="-360" w:right="42"/>
        <w:jc w:val="both"/>
        <w:rPr>
          <w:b/>
          <w:bCs/>
          <w:sz w:val="22"/>
          <w:szCs w:val="22"/>
        </w:rPr>
      </w:pPr>
      <w:r>
        <w:rPr>
          <w:b/>
          <w:bCs/>
          <w:sz w:val="22"/>
          <w:szCs w:val="22"/>
        </w:rPr>
        <w:lastRenderedPageBreak/>
        <w:t>Şekil 5</w:t>
      </w:r>
      <w:r w:rsidR="0002037B">
        <w:rPr>
          <w:b/>
          <w:bCs/>
          <w:sz w:val="22"/>
          <w:szCs w:val="22"/>
        </w:rPr>
        <w:t>. Altın ve Enerji hariç cari açık ve Net Enerji İthalatı (12 aylık toplam)</w:t>
      </w:r>
    </w:p>
    <w:p w:rsidR="0002037B" w:rsidRDefault="008B6824" w:rsidP="0002037B">
      <w:pPr>
        <w:ind w:left="-360" w:right="42"/>
        <w:jc w:val="both"/>
        <w:rPr>
          <w:b/>
          <w:bCs/>
          <w:sz w:val="22"/>
          <w:szCs w:val="22"/>
        </w:rPr>
      </w:pPr>
      <w:r w:rsidRPr="008B6824">
        <w:rPr>
          <w:noProof/>
          <w:szCs w:val="22"/>
        </w:rPr>
        <w:drawing>
          <wp:inline distT="0" distB="0" distL="0" distR="0">
            <wp:extent cx="5760720" cy="3147206"/>
            <wp:effectExtent l="1905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5760720" cy="3147206"/>
                    </a:xfrm>
                    <a:prstGeom prst="rect">
                      <a:avLst/>
                    </a:prstGeom>
                    <a:noFill/>
                    <a:ln w="9525">
                      <a:noFill/>
                      <a:miter lim="800000"/>
                      <a:headEnd/>
                      <a:tailEnd/>
                    </a:ln>
                  </pic:spPr>
                </pic:pic>
              </a:graphicData>
            </a:graphic>
          </wp:inline>
        </w:drawing>
      </w:r>
    </w:p>
    <w:p w:rsidR="0002037B" w:rsidRPr="00C45AC0" w:rsidRDefault="0002037B" w:rsidP="0002037B">
      <w:pPr>
        <w:ind w:left="-357" w:right="40"/>
        <w:rPr>
          <w:sz w:val="16"/>
          <w:szCs w:val="16"/>
        </w:rPr>
      </w:pPr>
      <w:r>
        <w:rPr>
          <w:sz w:val="16"/>
          <w:szCs w:val="16"/>
        </w:rPr>
        <w:t>Kaynak : TÜİK</w:t>
      </w:r>
      <w:r w:rsidR="00C0345E">
        <w:rPr>
          <w:sz w:val="16"/>
          <w:szCs w:val="16"/>
        </w:rPr>
        <w:t>, TCMB</w:t>
      </w:r>
    </w:p>
    <w:p w:rsidR="0002037B" w:rsidRDefault="0002037B" w:rsidP="0002037B">
      <w:pPr>
        <w:spacing w:line="360" w:lineRule="auto"/>
        <w:ind w:left="-360" w:right="42"/>
        <w:jc w:val="both"/>
        <w:rPr>
          <w:b/>
          <w:bCs/>
          <w:sz w:val="22"/>
          <w:szCs w:val="22"/>
        </w:rPr>
      </w:pPr>
    </w:p>
    <w:p w:rsidR="0002037B" w:rsidRDefault="007F160B" w:rsidP="0002037B">
      <w:pPr>
        <w:ind w:left="-360" w:right="42"/>
        <w:jc w:val="both"/>
        <w:rPr>
          <w:b/>
          <w:bCs/>
          <w:sz w:val="22"/>
          <w:szCs w:val="22"/>
        </w:rPr>
      </w:pPr>
      <w:r>
        <w:rPr>
          <w:b/>
          <w:bCs/>
          <w:sz w:val="22"/>
          <w:szCs w:val="22"/>
        </w:rPr>
        <w:t>Şekil 6</w:t>
      </w:r>
      <w:r w:rsidR="0002037B">
        <w:rPr>
          <w:b/>
          <w:bCs/>
          <w:sz w:val="22"/>
          <w:szCs w:val="22"/>
        </w:rPr>
        <w:t>. Enerji ve Altın hariç İhracat ve İthalat (12 aylık toplam)</w:t>
      </w:r>
    </w:p>
    <w:p w:rsidR="0002037B" w:rsidRDefault="008B6824" w:rsidP="0002037B">
      <w:pPr>
        <w:ind w:left="-360" w:right="42"/>
        <w:jc w:val="both"/>
        <w:rPr>
          <w:b/>
          <w:bCs/>
          <w:sz w:val="22"/>
          <w:szCs w:val="22"/>
        </w:rPr>
      </w:pPr>
      <w:r w:rsidRPr="008B6824">
        <w:rPr>
          <w:noProof/>
          <w:szCs w:val="22"/>
        </w:rPr>
        <w:drawing>
          <wp:inline distT="0" distB="0" distL="0" distR="0">
            <wp:extent cx="5760720" cy="3130980"/>
            <wp:effectExtent l="1905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5760720" cy="3130980"/>
                    </a:xfrm>
                    <a:prstGeom prst="rect">
                      <a:avLst/>
                    </a:prstGeom>
                    <a:noFill/>
                    <a:ln w="9525">
                      <a:noFill/>
                      <a:miter lim="800000"/>
                      <a:headEnd/>
                      <a:tailEnd/>
                    </a:ln>
                  </pic:spPr>
                </pic:pic>
              </a:graphicData>
            </a:graphic>
          </wp:inline>
        </w:drawing>
      </w:r>
    </w:p>
    <w:p w:rsidR="0002037B" w:rsidRPr="00C45AC0" w:rsidRDefault="0002037B" w:rsidP="0002037B">
      <w:pPr>
        <w:ind w:left="-357" w:right="40"/>
        <w:rPr>
          <w:sz w:val="16"/>
          <w:szCs w:val="16"/>
        </w:rPr>
      </w:pPr>
      <w:r>
        <w:rPr>
          <w:sz w:val="16"/>
          <w:szCs w:val="16"/>
        </w:rPr>
        <w:t>Kaynak : TÜİK</w:t>
      </w:r>
      <w:r w:rsidR="00C0345E">
        <w:rPr>
          <w:sz w:val="16"/>
          <w:szCs w:val="16"/>
        </w:rPr>
        <w:t>, TCMB</w:t>
      </w:r>
    </w:p>
    <w:p w:rsidR="008C6E09" w:rsidRPr="00C45AC0" w:rsidRDefault="008C6E09" w:rsidP="0002037B">
      <w:pPr>
        <w:spacing w:line="360" w:lineRule="auto"/>
        <w:ind w:right="42"/>
        <w:jc w:val="both"/>
        <w:rPr>
          <w:b/>
          <w:bCs/>
          <w:sz w:val="22"/>
          <w:szCs w:val="22"/>
        </w:rPr>
      </w:pPr>
    </w:p>
    <w:sectPr w:rsidR="008C6E09" w:rsidRPr="00C45AC0" w:rsidSect="00E9738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D9" w:rsidRDefault="00B11CD9">
      <w:r>
        <w:separator/>
      </w:r>
    </w:p>
  </w:endnote>
  <w:endnote w:type="continuationSeparator" w:id="0">
    <w:p w:rsidR="00B11CD9" w:rsidRDefault="00B1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8D" w:rsidRDefault="009C421C" w:rsidP="00D830C4">
    <w:pPr>
      <w:pStyle w:val="Footer"/>
      <w:framePr w:wrap="auto" w:vAnchor="text" w:hAnchor="margin" w:xAlign="right" w:y="1"/>
      <w:rPr>
        <w:rStyle w:val="PageNumber"/>
      </w:rPr>
    </w:pPr>
    <w:r>
      <w:rPr>
        <w:rStyle w:val="PageNumber"/>
      </w:rPr>
      <w:fldChar w:fldCharType="begin"/>
    </w:r>
    <w:r w:rsidR="00EB408D">
      <w:rPr>
        <w:rStyle w:val="PageNumber"/>
      </w:rPr>
      <w:instrText xml:space="preserve">PAGE  </w:instrText>
    </w:r>
    <w:r>
      <w:rPr>
        <w:rStyle w:val="PageNumber"/>
      </w:rPr>
      <w:fldChar w:fldCharType="separate"/>
    </w:r>
    <w:r w:rsidR="00A94370">
      <w:rPr>
        <w:rStyle w:val="PageNumber"/>
        <w:noProof/>
      </w:rPr>
      <w:t>1</w:t>
    </w:r>
    <w:r>
      <w:rPr>
        <w:rStyle w:val="PageNumber"/>
      </w:rPr>
      <w:fldChar w:fldCharType="end"/>
    </w:r>
  </w:p>
  <w:p w:rsidR="00EB408D" w:rsidRPr="007B51E3" w:rsidRDefault="00EB408D" w:rsidP="007B51E3">
    <w:pPr>
      <w:pStyle w:val="Footer"/>
      <w:ind w:right="360"/>
      <w:jc w:val="center"/>
      <w:rPr>
        <w:b/>
        <w:bCs/>
        <w:i/>
        <w:iCs/>
      </w:rPr>
    </w:pPr>
    <w:r w:rsidRPr="007B51E3">
      <w:rPr>
        <w:b/>
        <w:bCs/>
        <w:i/>
        <w:iCs/>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90" w:rsidRDefault="009C421C" w:rsidP="00D830C4">
    <w:pPr>
      <w:pStyle w:val="Footer"/>
      <w:framePr w:wrap="auto" w:vAnchor="text" w:hAnchor="margin" w:xAlign="right" w:y="1"/>
      <w:rPr>
        <w:rStyle w:val="PageNumber"/>
      </w:rPr>
    </w:pPr>
    <w:r>
      <w:rPr>
        <w:rStyle w:val="PageNumber"/>
      </w:rPr>
      <w:fldChar w:fldCharType="begin"/>
    </w:r>
    <w:r w:rsidR="00C76E90">
      <w:rPr>
        <w:rStyle w:val="PageNumber"/>
      </w:rPr>
      <w:instrText xml:space="preserve">PAGE  </w:instrText>
    </w:r>
    <w:r>
      <w:rPr>
        <w:rStyle w:val="PageNumber"/>
      </w:rPr>
      <w:fldChar w:fldCharType="separate"/>
    </w:r>
    <w:r w:rsidR="00A94370">
      <w:rPr>
        <w:rStyle w:val="PageNumber"/>
        <w:noProof/>
      </w:rPr>
      <w:t>6</w:t>
    </w:r>
    <w:r>
      <w:rPr>
        <w:rStyle w:val="PageNumber"/>
      </w:rPr>
      <w:fldChar w:fldCharType="end"/>
    </w:r>
  </w:p>
  <w:p w:rsidR="00C76E90" w:rsidRPr="007B51E3" w:rsidRDefault="00C76E90" w:rsidP="007B51E3">
    <w:pPr>
      <w:pStyle w:val="Footer"/>
      <w:ind w:right="360"/>
      <w:jc w:val="center"/>
      <w:rPr>
        <w:b/>
        <w:bCs/>
        <w:i/>
        <w:iCs/>
      </w:rPr>
    </w:pPr>
    <w:r w:rsidRPr="007B51E3">
      <w:rPr>
        <w:b/>
        <w:bCs/>
        <w:i/>
        <w:iCs/>
      </w:rPr>
      <w:t>www.betam.bahcesehir.edu.tr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D9" w:rsidRDefault="00B11CD9">
      <w:r>
        <w:separator/>
      </w:r>
    </w:p>
  </w:footnote>
  <w:footnote w:type="continuationSeparator" w:id="0">
    <w:p w:rsidR="00B11CD9" w:rsidRDefault="00B11CD9">
      <w:r>
        <w:continuationSeparator/>
      </w:r>
    </w:p>
  </w:footnote>
  <w:footnote w:id="1">
    <w:p w:rsidR="0002037B" w:rsidRDefault="0002037B" w:rsidP="0002037B">
      <w:pPr>
        <w:pStyle w:val="FootnoteText"/>
        <w:ind w:left="-284"/>
        <w:jc w:val="both"/>
      </w:pPr>
      <w:r>
        <w:rPr>
          <w:rStyle w:val="FootnoteReference"/>
        </w:rPr>
        <w:footnoteRef/>
      </w:r>
      <w:r>
        <w:t xml:space="preserve"> Altın hariç reel ihracat mal ve hizmet ihracatından altın ihracatı çıkarılarak hesaplanmaktadır.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A43944"/>
    <w:multiLevelType w:val="hybridMultilevel"/>
    <w:tmpl w:val="3DD222B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C"/>
    <w:rsid w:val="0000014A"/>
    <w:rsid w:val="000015B4"/>
    <w:rsid w:val="00001CF9"/>
    <w:rsid w:val="0000230B"/>
    <w:rsid w:val="000039F2"/>
    <w:rsid w:val="00004860"/>
    <w:rsid w:val="00004B78"/>
    <w:rsid w:val="0000507C"/>
    <w:rsid w:val="000056C3"/>
    <w:rsid w:val="0000704D"/>
    <w:rsid w:val="00011090"/>
    <w:rsid w:val="0001121A"/>
    <w:rsid w:val="000117B7"/>
    <w:rsid w:val="0001288B"/>
    <w:rsid w:val="000144EB"/>
    <w:rsid w:val="000150D2"/>
    <w:rsid w:val="00017809"/>
    <w:rsid w:val="0002037B"/>
    <w:rsid w:val="000205A1"/>
    <w:rsid w:val="000208EA"/>
    <w:rsid w:val="000212AC"/>
    <w:rsid w:val="000217AE"/>
    <w:rsid w:val="000224B9"/>
    <w:rsid w:val="000232EC"/>
    <w:rsid w:val="000233A7"/>
    <w:rsid w:val="00024559"/>
    <w:rsid w:val="000262EC"/>
    <w:rsid w:val="00026F21"/>
    <w:rsid w:val="00027FC3"/>
    <w:rsid w:val="000311C6"/>
    <w:rsid w:val="00031D72"/>
    <w:rsid w:val="0003248D"/>
    <w:rsid w:val="00033700"/>
    <w:rsid w:val="00033AF8"/>
    <w:rsid w:val="00034090"/>
    <w:rsid w:val="0003546D"/>
    <w:rsid w:val="000449FC"/>
    <w:rsid w:val="00045C5A"/>
    <w:rsid w:val="00047B99"/>
    <w:rsid w:val="00047E9F"/>
    <w:rsid w:val="0005037D"/>
    <w:rsid w:val="00050453"/>
    <w:rsid w:val="000507D6"/>
    <w:rsid w:val="000509A3"/>
    <w:rsid w:val="00052AD4"/>
    <w:rsid w:val="00052D7A"/>
    <w:rsid w:val="00054BD3"/>
    <w:rsid w:val="00056118"/>
    <w:rsid w:val="00056B3E"/>
    <w:rsid w:val="00060119"/>
    <w:rsid w:val="00060540"/>
    <w:rsid w:val="00061256"/>
    <w:rsid w:val="000616F0"/>
    <w:rsid w:val="00061732"/>
    <w:rsid w:val="00063005"/>
    <w:rsid w:val="00064636"/>
    <w:rsid w:val="0006518B"/>
    <w:rsid w:val="00065B3C"/>
    <w:rsid w:val="000678F9"/>
    <w:rsid w:val="00070FF1"/>
    <w:rsid w:val="000716BA"/>
    <w:rsid w:val="000716CA"/>
    <w:rsid w:val="0007202B"/>
    <w:rsid w:val="00072407"/>
    <w:rsid w:val="00074648"/>
    <w:rsid w:val="000750E3"/>
    <w:rsid w:val="0007701E"/>
    <w:rsid w:val="00077A9D"/>
    <w:rsid w:val="00077FF4"/>
    <w:rsid w:val="00080D7E"/>
    <w:rsid w:val="00081E3F"/>
    <w:rsid w:val="000829B5"/>
    <w:rsid w:val="00082FE4"/>
    <w:rsid w:val="000833C7"/>
    <w:rsid w:val="0008631D"/>
    <w:rsid w:val="0008735C"/>
    <w:rsid w:val="000875E6"/>
    <w:rsid w:val="00087E0A"/>
    <w:rsid w:val="00090498"/>
    <w:rsid w:val="0009059A"/>
    <w:rsid w:val="000925B3"/>
    <w:rsid w:val="00096B4E"/>
    <w:rsid w:val="00097E2B"/>
    <w:rsid w:val="000A0D4D"/>
    <w:rsid w:val="000A2514"/>
    <w:rsid w:val="000A27A5"/>
    <w:rsid w:val="000A292B"/>
    <w:rsid w:val="000A399E"/>
    <w:rsid w:val="000A5675"/>
    <w:rsid w:val="000A583D"/>
    <w:rsid w:val="000A687F"/>
    <w:rsid w:val="000A6907"/>
    <w:rsid w:val="000A701D"/>
    <w:rsid w:val="000A79A0"/>
    <w:rsid w:val="000B0589"/>
    <w:rsid w:val="000B16FB"/>
    <w:rsid w:val="000B2409"/>
    <w:rsid w:val="000B2AF0"/>
    <w:rsid w:val="000B2B47"/>
    <w:rsid w:val="000B2BF9"/>
    <w:rsid w:val="000B2E92"/>
    <w:rsid w:val="000B325E"/>
    <w:rsid w:val="000B3995"/>
    <w:rsid w:val="000B3C1E"/>
    <w:rsid w:val="000B41F3"/>
    <w:rsid w:val="000B42EA"/>
    <w:rsid w:val="000B469F"/>
    <w:rsid w:val="000B50AD"/>
    <w:rsid w:val="000B50DE"/>
    <w:rsid w:val="000B6120"/>
    <w:rsid w:val="000B6127"/>
    <w:rsid w:val="000B7B77"/>
    <w:rsid w:val="000B7E94"/>
    <w:rsid w:val="000C2102"/>
    <w:rsid w:val="000C2F1B"/>
    <w:rsid w:val="000C5B7E"/>
    <w:rsid w:val="000C667B"/>
    <w:rsid w:val="000C7B42"/>
    <w:rsid w:val="000D0C5A"/>
    <w:rsid w:val="000D17A2"/>
    <w:rsid w:val="000D1F14"/>
    <w:rsid w:val="000D49FD"/>
    <w:rsid w:val="000D56EB"/>
    <w:rsid w:val="000D5927"/>
    <w:rsid w:val="000E01ED"/>
    <w:rsid w:val="000E10A3"/>
    <w:rsid w:val="000E1F75"/>
    <w:rsid w:val="000E4E83"/>
    <w:rsid w:val="000E5365"/>
    <w:rsid w:val="000E631E"/>
    <w:rsid w:val="000E6807"/>
    <w:rsid w:val="000E74B5"/>
    <w:rsid w:val="000E7AB3"/>
    <w:rsid w:val="000E7CBB"/>
    <w:rsid w:val="000F0C2B"/>
    <w:rsid w:val="000F2DB4"/>
    <w:rsid w:val="000F360E"/>
    <w:rsid w:val="000F396D"/>
    <w:rsid w:val="000F4941"/>
    <w:rsid w:val="000F5457"/>
    <w:rsid w:val="000F71D2"/>
    <w:rsid w:val="001007B5"/>
    <w:rsid w:val="001009B7"/>
    <w:rsid w:val="001044D1"/>
    <w:rsid w:val="00106470"/>
    <w:rsid w:val="001075D1"/>
    <w:rsid w:val="00107FF7"/>
    <w:rsid w:val="001105B2"/>
    <w:rsid w:val="001117C6"/>
    <w:rsid w:val="0011236C"/>
    <w:rsid w:val="0011279B"/>
    <w:rsid w:val="00112E08"/>
    <w:rsid w:val="00113C74"/>
    <w:rsid w:val="00114BC7"/>
    <w:rsid w:val="00117A11"/>
    <w:rsid w:val="00121017"/>
    <w:rsid w:val="00121ABE"/>
    <w:rsid w:val="0012262F"/>
    <w:rsid w:val="00123E71"/>
    <w:rsid w:val="0012410A"/>
    <w:rsid w:val="001251CC"/>
    <w:rsid w:val="00125FC6"/>
    <w:rsid w:val="001260D7"/>
    <w:rsid w:val="001261A8"/>
    <w:rsid w:val="001267DF"/>
    <w:rsid w:val="00130959"/>
    <w:rsid w:val="0013240F"/>
    <w:rsid w:val="00132E7B"/>
    <w:rsid w:val="001331CB"/>
    <w:rsid w:val="0013381D"/>
    <w:rsid w:val="00135B82"/>
    <w:rsid w:val="00135B92"/>
    <w:rsid w:val="001360D1"/>
    <w:rsid w:val="00136362"/>
    <w:rsid w:val="00136A69"/>
    <w:rsid w:val="001408D6"/>
    <w:rsid w:val="00140E1E"/>
    <w:rsid w:val="00141B1A"/>
    <w:rsid w:val="00141B88"/>
    <w:rsid w:val="00141B93"/>
    <w:rsid w:val="00143024"/>
    <w:rsid w:val="00143828"/>
    <w:rsid w:val="00143A92"/>
    <w:rsid w:val="00144285"/>
    <w:rsid w:val="001466BE"/>
    <w:rsid w:val="00151BCF"/>
    <w:rsid w:val="0015370A"/>
    <w:rsid w:val="00154503"/>
    <w:rsid w:val="00154510"/>
    <w:rsid w:val="001553F2"/>
    <w:rsid w:val="0015586B"/>
    <w:rsid w:val="00155EE3"/>
    <w:rsid w:val="0015676E"/>
    <w:rsid w:val="00156914"/>
    <w:rsid w:val="00157DC2"/>
    <w:rsid w:val="00157E8F"/>
    <w:rsid w:val="001609FA"/>
    <w:rsid w:val="00160EF6"/>
    <w:rsid w:val="00161689"/>
    <w:rsid w:val="00162629"/>
    <w:rsid w:val="001632B0"/>
    <w:rsid w:val="0016401E"/>
    <w:rsid w:val="001653F9"/>
    <w:rsid w:val="00165552"/>
    <w:rsid w:val="00165C4C"/>
    <w:rsid w:val="00165C59"/>
    <w:rsid w:val="00165CB0"/>
    <w:rsid w:val="00166FE5"/>
    <w:rsid w:val="00167D69"/>
    <w:rsid w:val="00170502"/>
    <w:rsid w:val="00170CA9"/>
    <w:rsid w:val="00171424"/>
    <w:rsid w:val="00172263"/>
    <w:rsid w:val="00175F89"/>
    <w:rsid w:val="00176E56"/>
    <w:rsid w:val="00177FE3"/>
    <w:rsid w:val="0018034E"/>
    <w:rsid w:val="00180C8C"/>
    <w:rsid w:val="00181B5A"/>
    <w:rsid w:val="00182F2B"/>
    <w:rsid w:val="00183507"/>
    <w:rsid w:val="001837A6"/>
    <w:rsid w:val="00183896"/>
    <w:rsid w:val="00186DB6"/>
    <w:rsid w:val="00190F20"/>
    <w:rsid w:val="0019159E"/>
    <w:rsid w:val="001938A7"/>
    <w:rsid w:val="0019538C"/>
    <w:rsid w:val="00197ACB"/>
    <w:rsid w:val="001A054B"/>
    <w:rsid w:val="001A2051"/>
    <w:rsid w:val="001A2B3D"/>
    <w:rsid w:val="001A3025"/>
    <w:rsid w:val="001A319A"/>
    <w:rsid w:val="001A4381"/>
    <w:rsid w:val="001A45BC"/>
    <w:rsid w:val="001A528A"/>
    <w:rsid w:val="001A5534"/>
    <w:rsid w:val="001A6188"/>
    <w:rsid w:val="001A6206"/>
    <w:rsid w:val="001A772F"/>
    <w:rsid w:val="001B0683"/>
    <w:rsid w:val="001B0EF9"/>
    <w:rsid w:val="001B1651"/>
    <w:rsid w:val="001B1CE5"/>
    <w:rsid w:val="001B2F96"/>
    <w:rsid w:val="001B30E0"/>
    <w:rsid w:val="001B34B5"/>
    <w:rsid w:val="001B3B49"/>
    <w:rsid w:val="001B3C7B"/>
    <w:rsid w:val="001B6AFA"/>
    <w:rsid w:val="001C184E"/>
    <w:rsid w:val="001C295D"/>
    <w:rsid w:val="001C4996"/>
    <w:rsid w:val="001C62D3"/>
    <w:rsid w:val="001C6BAB"/>
    <w:rsid w:val="001C7334"/>
    <w:rsid w:val="001C7C05"/>
    <w:rsid w:val="001D09B1"/>
    <w:rsid w:val="001D129A"/>
    <w:rsid w:val="001D1F1B"/>
    <w:rsid w:val="001D2615"/>
    <w:rsid w:val="001D3F5A"/>
    <w:rsid w:val="001D436C"/>
    <w:rsid w:val="001E0274"/>
    <w:rsid w:val="001E115E"/>
    <w:rsid w:val="001E27F8"/>
    <w:rsid w:val="001E2EE8"/>
    <w:rsid w:val="001E30C3"/>
    <w:rsid w:val="001E3C27"/>
    <w:rsid w:val="001E4BF5"/>
    <w:rsid w:val="001E5387"/>
    <w:rsid w:val="001E739D"/>
    <w:rsid w:val="001E75C8"/>
    <w:rsid w:val="001E7720"/>
    <w:rsid w:val="001E7744"/>
    <w:rsid w:val="001F2761"/>
    <w:rsid w:val="001F2A11"/>
    <w:rsid w:val="001F4CFB"/>
    <w:rsid w:val="001F6F00"/>
    <w:rsid w:val="001F7144"/>
    <w:rsid w:val="001F71A5"/>
    <w:rsid w:val="001F7216"/>
    <w:rsid w:val="001F775A"/>
    <w:rsid w:val="00200D5C"/>
    <w:rsid w:val="0020167B"/>
    <w:rsid w:val="00204364"/>
    <w:rsid w:val="00206291"/>
    <w:rsid w:val="00206862"/>
    <w:rsid w:val="00207185"/>
    <w:rsid w:val="00207313"/>
    <w:rsid w:val="0020739E"/>
    <w:rsid w:val="00207C8A"/>
    <w:rsid w:val="00207CC3"/>
    <w:rsid w:val="0021024B"/>
    <w:rsid w:val="0021387C"/>
    <w:rsid w:val="0021684B"/>
    <w:rsid w:val="002168E5"/>
    <w:rsid w:val="002173B9"/>
    <w:rsid w:val="0021766E"/>
    <w:rsid w:val="002176C5"/>
    <w:rsid w:val="00217D35"/>
    <w:rsid w:val="00220B5E"/>
    <w:rsid w:val="00221184"/>
    <w:rsid w:val="00223A5B"/>
    <w:rsid w:val="002242A1"/>
    <w:rsid w:val="00224908"/>
    <w:rsid w:val="00224F8E"/>
    <w:rsid w:val="00225204"/>
    <w:rsid w:val="00226D50"/>
    <w:rsid w:val="002272CB"/>
    <w:rsid w:val="00231E92"/>
    <w:rsid w:val="00232243"/>
    <w:rsid w:val="0023312F"/>
    <w:rsid w:val="00233D56"/>
    <w:rsid w:val="00233FED"/>
    <w:rsid w:val="00237255"/>
    <w:rsid w:val="00237353"/>
    <w:rsid w:val="0024030B"/>
    <w:rsid w:val="00241A67"/>
    <w:rsid w:val="00243212"/>
    <w:rsid w:val="00243BC2"/>
    <w:rsid w:val="00245B1F"/>
    <w:rsid w:val="00251885"/>
    <w:rsid w:val="00251DE2"/>
    <w:rsid w:val="00251E82"/>
    <w:rsid w:val="00252FAF"/>
    <w:rsid w:val="00253D39"/>
    <w:rsid w:val="0025486C"/>
    <w:rsid w:val="00254A99"/>
    <w:rsid w:val="00255059"/>
    <w:rsid w:val="002563B1"/>
    <w:rsid w:val="002569EA"/>
    <w:rsid w:val="002576F7"/>
    <w:rsid w:val="0026114C"/>
    <w:rsid w:val="002614C1"/>
    <w:rsid w:val="00261A05"/>
    <w:rsid w:val="00261B02"/>
    <w:rsid w:val="00262020"/>
    <w:rsid w:val="00264335"/>
    <w:rsid w:val="002654A6"/>
    <w:rsid w:val="00265BC9"/>
    <w:rsid w:val="002670FE"/>
    <w:rsid w:val="00267EB4"/>
    <w:rsid w:val="0027244B"/>
    <w:rsid w:val="00273CB4"/>
    <w:rsid w:val="00273E62"/>
    <w:rsid w:val="00277E58"/>
    <w:rsid w:val="002802F2"/>
    <w:rsid w:val="00280552"/>
    <w:rsid w:val="002816C6"/>
    <w:rsid w:val="00281D8F"/>
    <w:rsid w:val="002820F1"/>
    <w:rsid w:val="00284A28"/>
    <w:rsid w:val="00285656"/>
    <w:rsid w:val="002871E8"/>
    <w:rsid w:val="00291C79"/>
    <w:rsid w:val="00293DC6"/>
    <w:rsid w:val="0029480C"/>
    <w:rsid w:val="00295AFF"/>
    <w:rsid w:val="00297710"/>
    <w:rsid w:val="00297712"/>
    <w:rsid w:val="002A05DB"/>
    <w:rsid w:val="002A1FA0"/>
    <w:rsid w:val="002A3EDD"/>
    <w:rsid w:val="002A49A3"/>
    <w:rsid w:val="002A4AF7"/>
    <w:rsid w:val="002A5D22"/>
    <w:rsid w:val="002A66ED"/>
    <w:rsid w:val="002B0426"/>
    <w:rsid w:val="002B3129"/>
    <w:rsid w:val="002B3644"/>
    <w:rsid w:val="002B58B1"/>
    <w:rsid w:val="002B626B"/>
    <w:rsid w:val="002C11F9"/>
    <w:rsid w:val="002C236E"/>
    <w:rsid w:val="002C25CE"/>
    <w:rsid w:val="002C2DA3"/>
    <w:rsid w:val="002C4200"/>
    <w:rsid w:val="002C49EC"/>
    <w:rsid w:val="002C5F2D"/>
    <w:rsid w:val="002C7D04"/>
    <w:rsid w:val="002D1908"/>
    <w:rsid w:val="002D2F1A"/>
    <w:rsid w:val="002D3C8B"/>
    <w:rsid w:val="002D4158"/>
    <w:rsid w:val="002D44DC"/>
    <w:rsid w:val="002D584B"/>
    <w:rsid w:val="002D7342"/>
    <w:rsid w:val="002E02BA"/>
    <w:rsid w:val="002E0E16"/>
    <w:rsid w:val="002E1EA4"/>
    <w:rsid w:val="002E205D"/>
    <w:rsid w:val="002E2084"/>
    <w:rsid w:val="002E26DA"/>
    <w:rsid w:val="002E31DD"/>
    <w:rsid w:val="002E41FC"/>
    <w:rsid w:val="002E5D5E"/>
    <w:rsid w:val="002E6E82"/>
    <w:rsid w:val="002E6F28"/>
    <w:rsid w:val="002E6F87"/>
    <w:rsid w:val="002E7357"/>
    <w:rsid w:val="002E7860"/>
    <w:rsid w:val="002F129C"/>
    <w:rsid w:val="002F150B"/>
    <w:rsid w:val="002F21C6"/>
    <w:rsid w:val="002F3718"/>
    <w:rsid w:val="002F3940"/>
    <w:rsid w:val="002F4648"/>
    <w:rsid w:val="002F467E"/>
    <w:rsid w:val="002F5134"/>
    <w:rsid w:val="002F5C24"/>
    <w:rsid w:val="002F5E1E"/>
    <w:rsid w:val="002F61A9"/>
    <w:rsid w:val="002F64AE"/>
    <w:rsid w:val="003001AF"/>
    <w:rsid w:val="0030120F"/>
    <w:rsid w:val="003012EA"/>
    <w:rsid w:val="00303A3C"/>
    <w:rsid w:val="003044A5"/>
    <w:rsid w:val="0030512F"/>
    <w:rsid w:val="003051E6"/>
    <w:rsid w:val="00306265"/>
    <w:rsid w:val="00306F51"/>
    <w:rsid w:val="0031043B"/>
    <w:rsid w:val="003118F7"/>
    <w:rsid w:val="00312DB8"/>
    <w:rsid w:val="00312EB0"/>
    <w:rsid w:val="003134C3"/>
    <w:rsid w:val="003142BA"/>
    <w:rsid w:val="003143D4"/>
    <w:rsid w:val="003146E6"/>
    <w:rsid w:val="0031673E"/>
    <w:rsid w:val="0031682C"/>
    <w:rsid w:val="00316CE9"/>
    <w:rsid w:val="00316DB4"/>
    <w:rsid w:val="003208B4"/>
    <w:rsid w:val="00320F7D"/>
    <w:rsid w:val="00321533"/>
    <w:rsid w:val="003223B0"/>
    <w:rsid w:val="00323169"/>
    <w:rsid w:val="003234F0"/>
    <w:rsid w:val="00323CA6"/>
    <w:rsid w:val="00324A91"/>
    <w:rsid w:val="00324C15"/>
    <w:rsid w:val="003269F7"/>
    <w:rsid w:val="003270D6"/>
    <w:rsid w:val="0033129D"/>
    <w:rsid w:val="00332DBD"/>
    <w:rsid w:val="003333BF"/>
    <w:rsid w:val="00333B98"/>
    <w:rsid w:val="00333C8E"/>
    <w:rsid w:val="003341A9"/>
    <w:rsid w:val="00337AE5"/>
    <w:rsid w:val="0034012E"/>
    <w:rsid w:val="0034025B"/>
    <w:rsid w:val="00341195"/>
    <w:rsid w:val="0034138A"/>
    <w:rsid w:val="0034251A"/>
    <w:rsid w:val="00342E6B"/>
    <w:rsid w:val="00344555"/>
    <w:rsid w:val="00344F97"/>
    <w:rsid w:val="0034543C"/>
    <w:rsid w:val="00346201"/>
    <w:rsid w:val="003466B0"/>
    <w:rsid w:val="00347B6F"/>
    <w:rsid w:val="00347FA0"/>
    <w:rsid w:val="0035343B"/>
    <w:rsid w:val="003545A8"/>
    <w:rsid w:val="003552A4"/>
    <w:rsid w:val="00356020"/>
    <w:rsid w:val="00356266"/>
    <w:rsid w:val="003578FF"/>
    <w:rsid w:val="00357987"/>
    <w:rsid w:val="00357C3B"/>
    <w:rsid w:val="00357ECC"/>
    <w:rsid w:val="003622FF"/>
    <w:rsid w:val="00362436"/>
    <w:rsid w:val="00362D77"/>
    <w:rsid w:val="003634C2"/>
    <w:rsid w:val="00363ECE"/>
    <w:rsid w:val="003640DE"/>
    <w:rsid w:val="00365B7D"/>
    <w:rsid w:val="00366A30"/>
    <w:rsid w:val="00366D41"/>
    <w:rsid w:val="00375126"/>
    <w:rsid w:val="00375CC6"/>
    <w:rsid w:val="00376AC1"/>
    <w:rsid w:val="00376F93"/>
    <w:rsid w:val="00377FEF"/>
    <w:rsid w:val="00382C02"/>
    <w:rsid w:val="00382F97"/>
    <w:rsid w:val="0038488E"/>
    <w:rsid w:val="00385F45"/>
    <w:rsid w:val="00390136"/>
    <w:rsid w:val="00392A7C"/>
    <w:rsid w:val="00394F60"/>
    <w:rsid w:val="0039541E"/>
    <w:rsid w:val="00395F95"/>
    <w:rsid w:val="00396CE9"/>
    <w:rsid w:val="00397518"/>
    <w:rsid w:val="003A2B60"/>
    <w:rsid w:val="003A2C52"/>
    <w:rsid w:val="003A31B2"/>
    <w:rsid w:val="003A3575"/>
    <w:rsid w:val="003A3A61"/>
    <w:rsid w:val="003A4593"/>
    <w:rsid w:val="003A5C17"/>
    <w:rsid w:val="003A6089"/>
    <w:rsid w:val="003A6471"/>
    <w:rsid w:val="003A78A3"/>
    <w:rsid w:val="003B00C3"/>
    <w:rsid w:val="003B0180"/>
    <w:rsid w:val="003B0F7E"/>
    <w:rsid w:val="003B148B"/>
    <w:rsid w:val="003B199A"/>
    <w:rsid w:val="003B1BE8"/>
    <w:rsid w:val="003B241B"/>
    <w:rsid w:val="003B2FC4"/>
    <w:rsid w:val="003B472B"/>
    <w:rsid w:val="003B4A44"/>
    <w:rsid w:val="003B5209"/>
    <w:rsid w:val="003B65FB"/>
    <w:rsid w:val="003B757A"/>
    <w:rsid w:val="003C280B"/>
    <w:rsid w:val="003C2B2A"/>
    <w:rsid w:val="003C2BAF"/>
    <w:rsid w:val="003C3188"/>
    <w:rsid w:val="003C640D"/>
    <w:rsid w:val="003C6B73"/>
    <w:rsid w:val="003C6C41"/>
    <w:rsid w:val="003C7051"/>
    <w:rsid w:val="003C791D"/>
    <w:rsid w:val="003C7C35"/>
    <w:rsid w:val="003D0AB6"/>
    <w:rsid w:val="003D0E64"/>
    <w:rsid w:val="003D1BAD"/>
    <w:rsid w:val="003D2405"/>
    <w:rsid w:val="003D472B"/>
    <w:rsid w:val="003D7373"/>
    <w:rsid w:val="003D7D0B"/>
    <w:rsid w:val="003D7E7F"/>
    <w:rsid w:val="003E40B5"/>
    <w:rsid w:val="003E4DF6"/>
    <w:rsid w:val="003E512C"/>
    <w:rsid w:val="003E5EC3"/>
    <w:rsid w:val="003E6807"/>
    <w:rsid w:val="003E6BDC"/>
    <w:rsid w:val="003F1E42"/>
    <w:rsid w:val="003F47E3"/>
    <w:rsid w:val="003F503B"/>
    <w:rsid w:val="003F60C0"/>
    <w:rsid w:val="003F6C96"/>
    <w:rsid w:val="003F7185"/>
    <w:rsid w:val="003F7D4B"/>
    <w:rsid w:val="0040061A"/>
    <w:rsid w:val="00402158"/>
    <w:rsid w:val="00402270"/>
    <w:rsid w:val="00405E96"/>
    <w:rsid w:val="0040602A"/>
    <w:rsid w:val="00407480"/>
    <w:rsid w:val="004074ED"/>
    <w:rsid w:val="00412C49"/>
    <w:rsid w:val="00413AFE"/>
    <w:rsid w:val="00414443"/>
    <w:rsid w:val="00415FC4"/>
    <w:rsid w:val="00417092"/>
    <w:rsid w:val="00417568"/>
    <w:rsid w:val="00421D0B"/>
    <w:rsid w:val="00422927"/>
    <w:rsid w:val="004229DE"/>
    <w:rsid w:val="00423602"/>
    <w:rsid w:val="004239AE"/>
    <w:rsid w:val="00423E8F"/>
    <w:rsid w:val="004251B6"/>
    <w:rsid w:val="004259B8"/>
    <w:rsid w:val="00425C5D"/>
    <w:rsid w:val="004269DA"/>
    <w:rsid w:val="0042798D"/>
    <w:rsid w:val="00432F82"/>
    <w:rsid w:val="00434618"/>
    <w:rsid w:val="00434B76"/>
    <w:rsid w:val="00435527"/>
    <w:rsid w:val="00435FF5"/>
    <w:rsid w:val="0043681C"/>
    <w:rsid w:val="00437273"/>
    <w:rsid w:val="00440820"/>
    <w:rsid w:val="004441AD"/>
    <w:rsid w:val="00444DA6"/>
    <w:rsid w:val="00445C19"/>
    <w:rsid w:val="004466EA"/>
    <w:rsid w:val="00446A31"/>
    <w:rsid w:val="00446D37"/>
    <w:rsid w:val="004475A9"/>
    <w:rsid w:val="0044794F"/>
    <w:rsid w:val="00447CD2"/>
    <w:rsid w:val="00450447"/>
    <w:rsid w:val="00450723"/>
    <w:rsid w:val="00453D77"/>
    <w:rsid w:val="00454313"/>
    <w:rsid w:val="00454965"/>
    <w:rsid w:val="00461612"/>
    <w:rsid w:val="0046178B"/>
    <w:rsid w:val="00462314"/>
    <w:rsid w:val="00462E07"/>
    <w:rsid w:val="0046331C"/>
    <w:rsid w:val="00463512"/>
    <w:rsid w:val="0046362C"/>
    <w:rsid w:val="00463BBF"/>
    <w:rsid w:val="00463C05"/>
    <w:rsid w:val="00466C2F"/>
    <w:rsid w:val="004701D0"/>
    <w:rsid w:val="00470E4D"/>
    <w:rsid w:val="00474C08"/>
    <w:rsid w:val="00474D75"/>
    <w:rsid w:val="004764CC"/>
    <w:rsid w:val="004764EE"/>
    <w:rsid w:val="00476D76"/>
    <w:rsid w:val="004771EB"/>
    <w:rsid w:val="004814D5"/>
    <w:rsid w:val="004814F0"/>
    <w:rsid w:val="00482771"/>
    <w:rsid w:val="00483180"/>
    <w:rsid w:val="00483C58"/>
    <w:rsid w:val="00484222"/>
    <w:rsid w:val="00485F46"/>
    <w:rsid w:val="00491855"/>
    <w:rsid w:val="0049412C"/>
    <w:rsid w:val="00494345"/>
    <w:rsid w:val="00495192"/>
    <w:rsid w:val="004956C0"/>
    <w:rsid w:val="004A0D43"/>
    <w:rsid w:val="004A1818"/>
    <w:rsid w:val="004A1C7F"/>
    <w:rsid w:val="004A4E4F"/>
    <w:rsid w:val="004A56E7"/>
    <w:rsid w:val="004A7750"/>
    <w:rsid w:val="004A7FE6"/>
    <w:rsid w:val="004B02B9"/>
    <w:rsid w:val="004B0B90"/>
    <w:rsid w:val="004B2F0D"/>
    <w:rsid w:val="004B30FB"/>
    <w:rsid w:val="004B3F80"/>
    <w:rsid w:val="004B40EE"/>
    <w:rsid w:val="004B45F4"/>
    <w:rsid w:val="004B4A27"/>
    <w:rsid w:val="004C0A8D"/>
    <w:rsid w:val="004C2024"/>
    <w:rsid w:val="004C25F6"/>
    <w:rsid w:val="004C357C"/>
    <w:rsid w:val="004C62C6"/>
    <w:rsid w:val="004D100D"/>
    <w:rsid w:val="004D2626"/>
    <w:rsid w:val="004D2C34"/>
    <w:rsid w:val="004D2E28"/>
    <w:rsid w:val="004D3901"/>
    <w:rsid w:val="004D3F5D"/>
    <w:rsid w:val="004D41D8"/>
    <w:rsid w:val="004D5E10"/>
    <w:rsid w:val="004D67C5"/>
    <w:rsid w:val="004D6E34"/>
    <w:rsid w:val="004D7E65"/>
    <w:rsid w:val="004E00D0"/>
    <w:rsid w:val="004E07DC"/>
    <w:rsid w:val="004E0851"/>
    <w:rsid w:val="004E0939"/>
    <w:rsid w:val="004E1AB5"/>
    <w:rsid w:val="004E1AE2"/>
    <w:rsid w:val="004E4165"/>
    <w:rsid w:val="004E5446"/>
    <w:rsid w:val="004F059F"/>
    <w:rsid w:val="004F1352"/>
    <w:rsid w:val="004F2868"/>
    <w:rsid w:val="004F55F8"/>
    <w:rsid w:val="004F6ACE"/>
    <w:rsid w:val="004F7447"/>
    <w:rsid w:val="004F76D9"/>
    <w:rsid w:val="004F7E37"/>
    <w:rsid w:val="00501F2F"/>
    <w:rsid w:val="00505141"/>
    <w:rsid w:val="005066A2"/>
    <w:rsid w:val="00506CD9"/>
    <w:rsid w:val="00511EF3"/>
    <w:rsid w:val="00512AE9"/>
    <w:rsid w:val="00513472"/>
    <w:rsid w:val="00513FBF"/>
    <w:rsid w:val="00516576"/>
    <w:rsid w:val="0051750C"/>
    <w:rsid w:val="00522063"/>
    <w:rsid w:val="00522ED0"/>
    <w:rsid w:val="00523826"/>
    <w:rsid w:val="00523C58"/>
    <w:rsid w:val="005253A2"/>
    <w:rsid w:val="0052557E"/>
    <w:rsid w:val="00525782"/>
    <w:rsid w:val="00526CC9"/>
    <w:rsid w:val="0052770E"/>
    <w:rsid w:val="00530C05"/>
    <w:rsid w:val="005310F8"/>
    <w:rsid w:val="0053163F"/>
    <w:rsid w:val="005347F8"/>
    <w:rsid w:val="00534CA7"/>
    <w:rsid w:val="00535BAD"/>
    <w:rsid w:val="00535C26"/>
    <w:rsid w:val="00536008"/>
    <w:rsid w:val="00536B3B"/>
    <w:rsid w:val="00537DBB"/>
    <w:rsid w:val="00541D0D"/>
    <w:rsid w:val="005429D2"/>
    <w:rsid w:val="005435C8"/>
    <w:rsid w:val="00543E56"/>
    <w:rsid w:val="00544A5C"/>
    <w:rsid w:val="0054542E"/>
    <w:rsid w:val="005470EC"/>
    <w:rsid w:val="00550399"/>
    <w:rsid w:val="005514CA"/>
    <w:rsid w:val="00552380"/>
    <w:rsid w:val="00556328"/>
    <w:rsid w:val="00556D13"/>
    <w:rsid w:val="00563399"/>
    <w:rsid w:val="0056591F"/>
    <w:rsid w:val="00566E5E"/>
    <w:rsid w:val="00571282"/>
    <w:rsid w:val="00571E9F"/>
    <w:rsid w:val="00573C3B"/>
    <w:rsid w:val="00574E1B"/>
    <w:rsid w:val="00583974"/>
    <w:rsid w:val="005860AC"/>
    <w:rsid w:val="0058722C"/>
    <w:rsid w:val="0058799A"/>
    <w:rsid w:val="00587F62"/>
    <w:rsid w:val="00590149"/>
    <w:rsid w:val="00592FD2"/>
    <w:rsid w:val="0059373B"/>
    <w:rsid w:val="00593B80"/>
    <w:rsid w:val="00596A1C"/>
    <w:rsid w:val="00596FDB"/>
    <w:rsid w:val="005A06D3"/>
    <w:rsid w:val="005A0AF8"/>
    <w:rsid w:val="005A0E6F"/>
    <w:rsid w:val="005A1E77"/>
    <w:rsid w:val="005A2B2E"/>
    <w:rsid w:val="005A3E49"/>
    <w:rsid w:val="005A4714"/>
    <w:rsid w:val="005A47EC"/>
    <w:rsid w:val="005A73A1"/>
    <w:rsid w:val="005B551F"/>
    <w:rsid w:val="005B5D93"/>
    <w:rsid w:val="005B66C8"/>
    <w:rsid w:val="005C0A9A"/>
    <w:rsid w:val="005C11DE"/>
    <w:rsid w:val="005C28BC"/>
    <w:rsid w:val="005C4EA4"/>
    <w:rsid w:val="005D0287"/>
    <w:rsid w:val="005D092B"/>
    <w:rsid w:val="005D0AD6"/>
    <w:rsid w:val="005D10E5"/>
    <w:rsid w:val="005D39F3"/>
    <w:rsid w:val="005D46EE"/>
    <w:rsid w:val="005D7E62"/>
    <w:rsid w:val="005E0596"/>
    <w:rsid w:val="005E0731"/>
    <w:rsid w:val="005E13DF"/>
    <w:rsid w:val="005E1D9A"/>
    <w:rsid w:val="005E2073"/>
    <w:rsid w:val="005E2983"/>
    <w:rsid w:val="005E3EE4"/>
    <w:rsid w:val="005E6479"/>
    <w:rsid w:val="005F03CC"/>
    <w:rsid w:val="005F2063"/>
    <w:rsid w:val="005F2279"/>
    <w:rsid w:val="005F2A5B"/>
    <w:rsid w:val="005F31BE"/>
    <w:rsid w:val="005F36AB"/>
    <w:rsid w:val="005F442A"/>
    <w:rsid w:val="005F700B"/>
    <w:rsid w:val="006007C7"/>
    <w:rsid w:val="00600B5F"/>
    <w:rsid w:val="00600FFC"/>
    <w:rsid w:val="006015A3"/>
    <w:rsid w:val="00601C31"/>
    <w:rsid w:val="00602BC6"/>
    <w:rsid w:val="00602EB0"/>
    <w:rsid w:val="00603311"/>
    <w:rsid w:val="00603888"/>
    <w:rsid w:val="00603C6D"/>
    <w:rsid w:val="006040ED"/>
    <w:rsid w:val="00604415"/>
    <w:rsid w:val="006079B9"/>
    <w:rsid w:val="00613A11"/>
    <w:rsid w:val="00613B72"/>
    <w:rsid w:val="0061706E"/>
    <w:rsid w:val="006227B4"/>
    <w:rsid w:val="00622914"/>
    <w:rsid w:val="0062291A"/>
    <w:rsid w:val="00622AA8"/>
    <w:rsid w:val="00622D91"/>
    <w:rsid w:val="006237CF"/>
    <w:rsid w:val="00623B31"/>
    <w:rsid w:val="00623C7E"/>
    <w:rsid w:val="0062575D"/>
    <w:rsid w:val="00626CC1"/>
    <w:rsid w:val="0063164E"/>
    <w:rsid w:val="0063286C"/>
    <w:rsid w:val="006335A2"/>
    <w:rsid w:val="00635FF5"/>
    <w:rsid w:val="00636375"/>
    <w:rsid w:val="00637FF0"/>
    <w:rsid w:val="0064166F"/>
    <w:rsid w:val="00643373"/>
    <w:rsid w:val="0064342E"/>
    <w:rsid w:val="00643C4C"/>
    <w:rsid w:val="00644764"/>
    <w:rsid w:val="0064549C"/>
    <w:rsid w:val="0064601A"/>
    <w:rsid w:val="00647676"/>
    <w:rsid w:val="00647DB4"/>
    <w:rsid w:val="006502E3"/>
    <w:rsid w:val="006522C9"/>
    <w:rsid w:val="00653E7B"/>
    <w:rsid w:val="00655823"/>
    <w:rsid w:val="00660F48"/>
    <w:rsid w:val="00665640"/>
    <w:rsid w:val="0066619C"/>
    <w:rsid w:val="006702D1"/>
    <w:rsid w:val="006704F7"/>
    <w:rsid w:val="006707E3"/>
    <w:rsid w:val="00670A74"/>
    <w:rsid w:val="006713C0"/>
    <w:rsid w:val="006717CE"/>
    <w:rsid w:val="00674304"/>
    <w:rsid w:val="00674779"/>
    <w:rsid w:val="00674A7F"/>
    <w:rsid w:val="00676D51"/>
    <w:rsid w:val="00676EAB"/>
    <w:rsid w:val="0067747F"/>
    <w:rsid w:val="00680C1A"/>
    <w:rsid w:val="006811DC"/>
    <w:rsid w:val="006836A7"/>
    <w:rsid w:val="00683A24"/>
    <w:rsid w:val="006868AD"/>
    <w:rsid w:val="0069091E"/>
    <w:rsid w:val="00691D96"/>
    <w:rsid w:val="00692936"/>
    <w:rsid w:val="00692CE3"/>
    <w:rsid w:val="00692D34"/>
    <w:rsid w:val="0069300A"/>
    <w:rsid w:val="00693B96"/>
    <w:rsid w:val="00693FF6"/>
    <w:rsid w:val="00695F24"/>
    <w:rsid w:val="00696507"/>
    <w:rsid w:val="0069688D"/>
    <w:rsid w:val="006975FE"/>
    <w:rsid w:val="0069776E"/>
    <w:rsid w:val="006A0BF0"/>
    <w:rsid w:val="006A2CBF"/>
    <w:rsid w:val="006A507F"/>
    <w:rsid w:val="006A53AA"/>
    <w:rsid w:val="006A7193"/>
    <w:rsid w:val="006B08B4"/>
    <w:rsid w:val="006B12C5"/>
    <w:rsid w:val="006B1F6D"/>
    <w:rsid w:val="006B2978"/>
    <w:rsid w:val="006B30D5"/>
    <w:rsid w:val="006B4323"/>
    <w:rsid w:val="006B6367"/>
    <w:rsid w:val="006B7A8F"/>
    <w:rsid w:val="006C034B"/>
    <w:rsid w:val="006C2AB7"/>
    <w:rsid w:val="006C372B"/>
    <w:rsid w:val="006C38D6"/>
    <w:rsid w:val="006C4184"/>
    <w:rsid w:val="006C5AEF"/>
    <w:rsid w:val="006C6C6F"/>
    <w:rsid w:val="006C74FB"/>
    <w:rsid w:val="006D416F"/>
    <w:rsid w:val="006D453A"/>
    <w:rsid w:val="006D62BB"/>
    <w:rsid w:val="006E0358"/>
    <w:rsid w:val="006E0C79"/>
    <w:rsid w:val="006E0D45"/>
    <w:rsid w:val="006E3384"/>
    <w:rsid w:val="006E4051"/>
    <w:rsid w:val="006E480B"/>
    <w:rsid w:val="006E5E68"/>
    <w:rsid w:val="006E668E"/>
    <w:rsid w:val="006E68A1"/>
    <w:rsid w:val="006F0B18"/>
    <w:rsid w:val="006F1A82"/>
    <w:rsid w:val="006F2049"/>
    <w:rsid w:val="006F278A"/>
    <w:rsid w:val="006F2975"/>
    <w:rsid w:val="006F33D4"/>
    <w:rsid w:val="006F3608"/>
    <w:rsid w:val="006F39D1"/>
    <w:rsid w:val="006F3ECA"/>
    <w:rsid w:val="006F49FC"/>
    <w:rsid w:val="006F64B0"/>
    <w:rsid w:val="006F7FE6"/>
    <w:rsid w:val="00701A0C"/>
    <w:rsid w:val="00702823"/>
    <w:rsid w:val="00702DFC"/>
    <w:rsid w:val="0070339C"/>
    <w:rsid w:val="00703664"/>
    <w:rsid w:val="007037E4"/>
    <w:rsid w:val="0070556E"/>
    <w:rsid w:val="00705CE7"/>
    <w:rsid w:val="007067CB"/>
    <w:rsid w:val="007067F4"/>
    <w:rsid w:val="0070704B"/>
    <w:rsid w:val="007103A2"/>
    <w:rsid w:val="00710B36"/>
    <w:rsid w:val="00712041"/>
    <w:rsid w:val="00713CBF"/>
    <w:rsid w:val="007168F4"/>
    <w:rsid w:val="007169B6"/>
    <w:rsid w:val="00717C4C"/>
    <w:rsid w:val="00721276"/>
    <w:rsid w:val="007220A0"/>
    <w:rsid w:val="00724574"/>
    <w:rsid w:val="00725236"/>
    <w:rsid w:val="0072768C"/>
    <w:rsid w:val="00731730"/>
    <w:rsid w:val="00732049"/>
    <w:rsid w:val="007323C8"/>
    <w:rsid w:val="00732BA5"/>
    <w:rsid w:val="007343EE"/>
    <w:rsid w:val="0073536D"/>
    <w:rsid w:val="007357A6"/>
    <w:rsid w:val="00742130"/>
    <w:rsid w:val="0074346F"/>
    <w:rsid w:val="007440DB"/>
    <w:rsid w:val="00745577"/>
    <w:rsid w:val="00745E22"/>
    <w:rsid w:val="0074648A"/>
    <w:rsid w:val="00747A9B"/>
    <w:rsid w:val="007501A9"/>
    <w:rsid w:val="0075074A"/>
    <w:rsid w:val="007522D9"/>
    <w:rsid w:val="00752330"/>
    <w:rsid w:val="00753469"/>
    <w:rsid w:val="0075405B"/>
    <w:rsid w:val="007543EE"/>
    <w:rsid w:val="00755623"/>
    <w:rsid w:val="00755D28"/>
    <w:rsid w:val="0075617D"/>
    <w:rsid w:val="0075696F"/>
    <w:rsid w:val="00760A4B"/>
    <w:rsid w:val="0076118C"/>
    <w:rsid w:val="00761767"/>
    <w:rsid w:val="007633AA"/>
    <w:rsid w:val="007652AE"/>
    <w:rsid w:val="00767D6E"/>
    <w:rsid w:val="00770580"/>
    <w:rsid w:val="00770D1C"/>
    <w:rsid w:val="00771BFD"/>
    <w:rsid w:val="007750EF"/>
    <w:rsid w:val="00775D69"/>
    <w:rsid w:val="00776484"/>
    <w:rsid w:val="00777955"/>
    <w:rsid w:val="007806C4"/>
    <w:rsid w:val="00781E83"/>
    <w:rsid w:val="00781ECE"/>
    <w:rsid w:val="00783C9A"/>
    <w:rsid w:val="00783CDF"/>
    <w:rsid w:val="00784067"/>
    <w:rsid w:val="00785375"/>
    <w:rsid w:val="00786067"/>
    <w:rsid w:val="007906E2"/>
    <w:rsid w:val="00790FFD"/>
    <w:rsid w:val="0079170E"/>
    <w:rsid w:val="007956C2"/>
    <w:rsid w:val="007966CB"/>
    <w:rsid w:val="007975D4"/>
    <w:rsid w:val="00797B31"/>
    <w:rsid w:val="007A1E73"/>
    <w:rsid w:val="007A311A"/>
    <w:rsid w:val="007A35F3"/>
    <w:rsid w:val="007A36DD"/>
    <w:rsid w:val="007A6307"/>
    <w:rsid w:val="007A69DC"/>
    <w:rsid w:val="007B14EF"/>
    <w:rsid w:val="007B19BC"/>
    <w:rsid w:val="007B1EEE"/>
    <w:rsid w:val="007B4C7C"/>
    <w:rsid w:val="007B51E3"/>
    <w:rsid w:val="007B56E7"/>
    <w:rsid w:val="007B579E"/>
    <w:rsid w:val="007B6D85"/>
    <w:rsid w:val="007B7BF7"/>
    <w:rsid w:val="007C0C59"/>
    <w:rsid w:val="007C19A4"/>
    <w:rsid w:val="007C31F8"/>
    <w:rsid w:val="007C3C2B"/>
    <w:rsid w:val="007C3C78"/>
    <w:rsid w:val="007C3F82"/>
    <w:rsid w:val="007C5E78"/>
    <w:rsid w:val="007D02A6"/>
    <w:rsid w:val="007D0625"/>
    <w:rsid w:val="007D14BA"/>
    <w:rsid w:val="007D185F"/>
    <w:rsid w:val="007D3176"/>
    <w:rsid w:val="007D3E0C"/>
    <w:rsid w:val="007D5551"/>
    <w:rsid w:val="007D5CAE"/>
    <w:rsid w:val="007D604E"/>
    <w:rsid w:val="007D745B"/>
    <w:rsid w:val="007E10C4"/>
    <w:rsid w:val="007E13CA"/>
    <w:rsid w:val="007E182F"/>
    <w:rsid w:val="007E1D25"/>
    <w:rsid w:val="007E276E"/>
    <w:rsid w:val="007E395D"/>
    <w:rsid w:val="007E5E9A"/>
    <w:rsid w:val="007E6A0D"/>
    <w:rsid w:val="007F017D"/>
    <w:rsid w:val="007F160B"/>
    <w:rsid w:val="007F1E8F"/>
    <w:rsid w:val="007F4136"/>
    <w:rsid w:val="007F4F91"/>
    <w:rsid w:val="007F50E5"/>
    <w:rsid w:val="007F525C"/>
    <w:rsid w:val="007F681A"/>
    <w:rsid w:val="00801F91"/>
    <w:rsid w:val="00804CB9"/>
    <w:rsid w:val="00805A82"/>
    <w:rsid w:val="00807D3E"/>
    <w:rsid w:val="0081186E"/>
    <w:rsid w:val="00814196"/>
    <w:rsid w:val="00814DA3"/>
    <w:rsid w:val="00815549"/>
    <w:rsid w:val="008161FE"/>
    <w:rsid w:val="00816C3F"/>
    <w:rsid w:val="00817438"/>
    <w:rsid w:val="00820ECA"/>
    <w:rsid w:val="00820F9B"/>
    <w:rsid w:val="00821B78"/>
    <w:rsid w:val="00822C11"/>
    <w:rsid w:val="00823931"/>
    <w:rsid w:val="00825A58"/>
    <w:rsid w:val="00825F84"/>
    <w:rsid w:val="0082670B"/>
    <w:rsid w:val="00826C7D"/>
    <w:rsid w:val="00826E1D"/>
    <w:rsid w:val="00827412"/>
    <w:rsid w:val="008275B7"/>
    <w:rsid w:val="00830339"/>
    <w:rsid w:val="008322F7"/>
    <w:rsid w:val="008332DD"/>
    <w:rsid w:val="00833B68"/>
    <w:rsid w:val="00833EB5"/>
    <w:rsid w:val="00835E44"/>
    <w:rsid w:val="008372B3"/>
    <w:rsid w:val="00837A59"/>
    <w:rsid w:val="008400B9"/>
    <w:rsid w:val="00842957"/>
    <w:rsid w:val="0084320B"/>
    <w:rsid w:val="008432FC"/>
    <w:rsid w:val="00843330"/>
    <w:rsid w:val="00843D2F"/>
    <w:rsid w:val="00844517"/>
    <w:rsid w:val="008446FE"/>
    <w:rsid w:val="00844C0C"/>
    <w:rsid w:val="00850769"/>
    <w:rsid w:val="0085533A"/>
    <w:rsid w:val="00856509"/>
    <w:rsid w:val="008572D1"/>
    <w:rsid w:val="00857347"/>
    <w:rsid w:val="00860D72"/>
    <w:rsid w:val="00860E25"/>
    <w:rsid w:val="00860E50"/>
    <w:rsid w:val="00862B92"/>
    <w:rsid w:val="00864323"/>
    <w:rsid w:val="008646F5"/>
    <w:rsid w:val="008651A8"/>
    <w:rsid w:val="008672D1"/>
    <w:rsid w:val="00870A39"/>
    <w:rsid w:val="00871E79"/>
    <w:rsid w:val="00872D6D"/>
    <w:rsid w:val="00875856"/>
    <w:rsid w:val="00876021"/>
    <w:rsid w:val="0088522E"/>
    <w:rsid w:val="00885634"/>
    <w:rsid w:val="00885D0C"/>
    <w:rsid w:val="00885D19"/>
    <w:rsid w:val="008868EE"/>
    <w:rsid w:val="0089029A"/>
    <w:rsid w:val="00890713"/>
    <w:rsid w:val="00892423"/>
    <w:rsid w:val="00893282"/>
    <w:rsid w:val="008937F7"/>
    <w:rsid w:val="00893AD2"/>
    <w:rsid w:val="00893BD5"/>
    <w:rsid w:val="00893EE3"/>
    <w:rsid w:val="00895278"/>
    <w:rsid w:val="00895DD8"/>
    <w:rsid w:val="00896E1A"/>
    <w:rsid w:val="008977F0"/>
    <w:rsid w:val="008A0F64"/>
    <w:rsid w:val="008A25ED"/>
    <w:rsid w:val="008A34AA"/>
    <w:rsid w:val="008A38AB"/>
    <w:rsid w:val="008A74B0"/>
    <w:rsid w:val="008B0C8D"/>
    <w:rsid w:val="008B1D17"/>
    <w:rsid w:val="008B20AA"/>
    <w:rsid w:val="008B372B"/>
    <w:rsid w:val="008B39CE"/>
    <w:rsid w:val="008B6824"/>
    <w:rsid w:val="008B7181"/>
    <w:rsid w:val="008B7A03"/>
    <w:rsid w:val="008C0DBE"/>
    <w:rsid w:val="008C17F4"/>
    <w:rsid w:val="008C1D9F"/>
    <w:rsid w:val="008C2C95"/>
    <w:rsid w:val="008C2D0B"/>
    <w:rsid w:val="008C2D77"/>
    <w:rsid w:val="008C508A"/>
    <w:rsid w:val="008C6252"/>
    <w:rsid w:val="008C6E09"/>
    <w:rsid w:val="008C6E50"/>
    <w:rsid w:val="008D2012"/>
    <w:rsid w:val="008D28DD"/>
    <w:rsid w:val="008D3976"/>
    <w:rsid w:val="008E2216"/>
    <w:rsid w:val="008E252E"/>
    <w:rsid w:val="008E26AF"/>
    <w:rsid w:val="008E31DD"/>
    <w:rsid w:val="008E339A"/>
    <w:rsid w:val="008E36B6"/>
    <w:rsid w:val="008E4779"/>
    <w:rsid w:val="008E4B91"/>
    <w:rsid w:val="008E4DDE"/>
    <w:rsid w:val="008E63CB"/>
    <w:rsid w:val="008E7B64"/>
    <w:rsid w:val="008E7C39"/>
    <w:rsid w:val="008F208D"/>
    <w:rsid w:val="008F4166"/>
    <w:rsid w:val="008F485A"/>
    <w:rsid w:val="008F6889"/>
    <w:rsid w:val="008F79EF"/>
    <w:rsid w:val="008F7A68"/>
    <w:rsid w:val="00900BD4"/>
    <w:rsid w:val="009010CB"/>
    <w:rsid w:val="00901189"/>
    <w:rsid w:val="009014BB"/>
    <w:rsid w:val="00901532"/>
    <w:rsid w:val="00902C59"/>
    <w:rsid w:val="00903097"/>
    <w:rsid w:val="00905111"/>
    <w:rsid w:val="00906149"/>
    <w:rsid w:val="00906F88"/>
    <w:rsid w:val="00910940"/>
    <w:rsid w:val="009125B5"/>
    <w:rsid w:val="0091446C"/>
    <w:rsid w:val="00914DE2"/>
    <w:rsid w:val="009158BC"/>
    <w:rsid w:val="009165ED"/>
    <w:rsid w:val="00916619"/>
    <w:rsid w:val="00917893"/>
    <w:rsid w:val="009224F5"/>
    <w:rsid w:val="00922C21"/>
    <w:rsid w:val="00923AE7"/>
    <w:rsid w:val="00923BA4"/>
    <w:rsid w:val="00924D1B"/>
    <w:rsid w:val="0092546B"/>
    <w:rsid w:val="00932513"/>
    <w:rsid w:val="00932EF7"/>
    <w:rsid w:val="00934BE6"/>
    <w:rsid w:val="00934EC4"/>
    <w:rsid w:val="00935355"/>
    <w:rsid w:val="0093560C"/>
    <w:rsid w:val="00936426"/>
    <w:rsid w:val="00936733"/>
    <w:rsid w:val="00937243"/>
    <w:rsid w:val="009373BE"/>
    <w:rsid w:val="00941B1A"/>
    <w:rsid w:val="00942B11"/>
    <w:rsid w:val="009434F6"/>
    <w:rsid w:val="009438A8"/>
    <w:rsid w:val="00944BB8"/>
    <w:rsid w:val="009455CC"/>
    <w:rsid w:val="00946534"/>
    <w:rsid w:val="00947D91"/>
    <w:rsid w:val="00947DB1"/>
    <w:rsid w:val="00952B02"/>
    <w:rsid w:val="00953B15"/>
    <w:rsid w:val="00953CFA"/>
    <w:rsid w:val="00953ED7"/>
    <w:rsid w:val="009543EE"/>
    <w:rsid w:val="00954E8C"/>
    <w:rsid w:val="00961459"/>
    <w:rsid w:val="00961502"/>
    <w:rsid w:val="009621BF"/>
    <w:rsid w:val="00963350"/>
    <w:rsid w:val="00963AB5"/>
    <w:rsid w:val="00964774"/>
    <w:rsid w:val="00964F65"/>
    <w:rsid w:val="00965891"/>
    <w:rsid w:val="00965C0E"/>
    <w:rsid w:val="00966E7C"/>
    <w:rsid w:val="00970392"/>
    <w:rsid w:val="00970E4E"/>
    <w:rsid w:val="00971D26"/>
    <w:rsid w:val="009725C8"/>
    <w:rsid w:val="00973503"/>
    <w:rsid w:val="00973B85"/>
    <w:rsid w:val="0097445D"/>
    <w:rsid w:val="00974C42"/>
    <w:rsid w:val="0097517E"/>
    <w:rsid w:val="00976CAD"/>
    <w:rsid w:val="00977548"/>
    <w:rsid w:val="0097770C"/>
    <w:rsid w:val="009805A1"/>
    <w:rsid w:val="00982C96"/>
    <w:rsid w:val="00982D1E"/>
    <w:rsid w:val="00983748"/>
    <w:rsid w:val="00984330"/>
    <w:rsid w:val="00984BB2"/>
    <w:rsid w:val="00985758"/>
    <w:rsid w:val="00985C16"/>
    <w:rsid w:val="00985C5E"/>
    <w:rsid w:val="00987648"/>
    <w:rsid w:val="00990455"/>
    <w:rsid w:val="00990947"/>
    <w:rsid w:val="00991D31"/>
    <w:rsid w:val="00993CD6"/>
    <w:rsid w:val="009946C1"/>
    <w:rsid w:val="00995F40"/>
    <w:rsid w:val="00995FA5"/>
    <w:rsid w:val="00996D4F"/>
    <w:rsid w:val="00997A4D"/>
    <w:rsid w:val="009A0E6E"/>
    <w:rsid w:val="009A1DF2"/>
    <w:rsid w:val="009A6149"/>
    <w:rsid w:val="009A67E1"/>
    <w:rsid w:val="009A6E22"/>
    <w:rsid w:val="009B0086"/>
    <w:rsid w:val="009B1351"/>
    <w:rsid w:val="009B23C3"/>
    <w:rsid w:val="009B2429"/>
    <w:rsid w:val="009B2569"/>
    <w:rsid w:val="009B3130"/>
    <w:rsid w:val="009B33E7"/>
    <w:rsid w:val="009B3FDD"/>
    <w:rsid w:val="009B43D6"/>
    <w:rsid w:val="009B51E4"/>
    <w:rsid w:val="009B5AF5"/>
    <w:rsid w:val="009B6436"/>
    <w:rsid w:val="009B6C3A"/>
    <w:rsid w:val="009B726B"/>
    <w:rsid w:val="009C1700"/>
    <w:rsid w:val="009C1E63"/>
    <w:rsid w:val="009C1FC3"/>
    <w:rsid w:val="009C2076"/>
    <w:rsid w:val="009C24AD"/>
    <w:rsid w:val="009C3D1C"/>
    <w:rsid w:val="009C421C"/>
    <w:rsid w:val="009C5A53"/>
    <w:rsid w:val="009C5B58"/>
    <w:rsid w:val="009C6638"/>
    <w:rsid w:val="009D1323"/>
    <w:rsid w:val="009D1D95"/>
    <w:rsid w:val="009D24A5"/>
    <w:rsid w:val="009D2B42"/>
    <w:rsid w:val="009D30C5"/>
    <w:rsid w:val="009D3B55"/>
    <w:rsid w:val="009D42E8"/>
    <w:rsid w:val="009D54DD"/>
    <w:rsid w:val="009D5C29"/>
    <w:rsid w:val="009D7D1D"/>
    <w:rsid w:val="009E001E"/>
    <w:rsid w:val="009E04AB"/>
    <w:rsid w:val="009E20E6"/>
    <w:rsid w:val="009E2A57"/>
    <w:rsid w:val="009E4B4A"/>
    <w:rsid w:val="009E5BB8"/>
    <w:rsid w:val="009F0111"/>
    <w:rsid w:val="009F10CC"/>
    <w:rsid w:val="009F1D45"/>
    <w:rsid w:val="009F3AF4"/>
    <w:rsid w:val="009F44C0"/>
    <w:rsid w:val="009F4848"/>
    <w:rsid w:val="009F48FB"/>
    <w:rsid w:val="009F6003"/>
    <w:rsid w:val="009F67E4"/>
    <w:rsid w:val="009F7166"/>
    <w:rsid w:val="00A005E9"/>
    <w:rsid w:val="00A007F2"/>
    <w:rsid w:val="00A0089E"/>
    <w:rsid w:val="00A0243A"/>
    <w:rsid w:val="00A05AB1"/>
    <w:rsid w:val="00A05DEF"/>
    <w:rsid w:val="00A06C55"/>
    <w:rsid w:val="00A0768E"/>
    <w:rsid w:val="00A11474"/>
    <w:rsid w:val="00A127F7"/>
    <w:rsid w:val="00A13371"/>
    <w:rsid w:val="00A1421E"/>
    <w:rsid w:val="00A15634"/>
    <w:rsid w:val="00A158E0"/>
    <w:rsid w:val="00A15C76"/>
    <w:rsid w:val="00A17B41"/>
    <w:rsid w:val="00A208D0"/>
    <w:rsid w:val="00A21872"/>
    <w:rsid w:val="00A22568"/>
    <w:rsid w:val="00A23750"/>
    <w:rsid w:val="00A23BDD"/>
    <w:rsid w:val="00A24179"/>
    <w:rsid w:val="00A2418D"/>
    <w:rsid w:val="00A24957"/>
    <w:rsid w:val="00A26C29"/>
    <w:rsid w:val="00A302B8"/>
    <w:rsid w:val="00A30CBA"/>
    <w:rsid w:val="00A31CEE"/>
    <w:rsid w:val="00A3472C"/>
    <w:rsid w:val="00A35FDD"/>
    <w:rsid w:val="00A36846"/>
    <w:rsid w:val="00A4176C"/>
    <w:rsid w:val="00A42300"/>
    <w:rsid w:val="00A42E31"/>
    <w:rsid w:val="00A43507"/>
    <w:rsid w:val="00A440D7"/>
    <w:rsid w:val="00A44366"/>
    <w:rsid w:val="00A4540A"/>
    <w:rsid w:val="00A47817"/>
    <w:rsid w:val="00A50B48"/>
    <w:rsid w:val="00A50F18"/>
    <w:rsid w:val="00A51CCD"/>
    <w:rsid w:val="00A52949"/>
    <w:rsid w:val="00A52995"/>
    <w:rsid w:val="00A5424F"/>
    <w:rsid w:val="00A54A86"/>
    <w:rsid w:val="00A551E2"/>
    <w:rsid w:val="00A56A82"/>
    <w:rsid w:val="00A56BE6"/>
    <w:rsid w:val="00A56C6E"/>
    <w:rsid w:val="00A60D5C"/>
    <w:rsid w:val="00A61240"/>
    <w:rsid w:val="00A61A84"/>
    <w:rsid w:val="00A646B7"/>
    <w:rsid w:val="00A648F9"/>
    <w:rsid w:val="00A65332"/>
    <w:rsid w:val="00A656AC"/>
    <w:rsid w:val="00A66174"/>
    <w:rsid w:val="00A662DE"/>
    <w:rsid w:val="00A67A86"/>
    <w:rsid w:val="00A67D34"/>
    <w:rsid w:val="00A71B18"/>
    <w:rsid w:val="00A722FD"/>
    <w:rsid w:val="00A7254E"/>
    <w:rsid w:val="00A72660"/>
    <w:rsid w:val="00A72F32"/>
    <w:rsid w:val="00A737F4"/>
    <w:rsid w:val="00A73A04"/>
    <w:rsid w:val="00A73F6B"/>
    <w:rsid w:val="00A759A9"/>
    <w:rsid w:val="00A75A46"/>
    <w:rsid w:val="00A76C85"/>
    <w:rsid w:val="00A81D43"/>
    <w:rsid w:val="00A82A89"/>
    <w:rsid w:val="00A84CEC"/>
    <w:rsid w:val="00A84F85"/>
    <w:rsid w:val="00A85028"/>
    <w:rsid w:val="00A86049"/>
    <w:rsid w:val="00A868E2"/>
    <w:rsid w:val="00A86A49"/>
    <w:rsid w:val="00A8700C"/>
    <w:rsid w:val="00A9082F"/>
    <w:rsid w:val="00A92ABA"/>
    <w:rsid w:val="00A94370"/>
    <w:rsid w:val="00A946B4"/>
    <w:rsid w:val="00A94A4A"/>
    <w:rsid w:val="00A95141"/>
    <w:rsid w:val="00A9533A"/>
    <w:rsid w:val="00A95966"/>
    <w:rsid w:val="00A9596F"/>
    <w:rsid w:val="00A95AFE"/>
    <w:rsid w:val="00AA07CE"/>
    <w:rsid w:val="00AA1D15"/>
    <w:rsid w:val="00AA2CBB"/>
    <w:rsid w:val="00AA4C29"/>
    <w:rsid w:val="00AA6805"/>
    <w:rsid w:val="00AA6C92"/>
    <w:rsid w:val="00AA6FC4"/>
    <w:rsid w:val="00AA733B"/>
    <w:rsid w:val="00AA7B19"/>
    <w:rsid w:val="00AB039C"/>
    <w:rsid w:val="00AB1830"/>
    <w:rsid w:val="00AB202E"/>
    <w:rsid w:val="00AB257C"/>
    <w:rsid w:val="00AB3495"/>
    <w:rsid w:val="00AB5986"/>
    <w:rsid w:val="00AB5C72"/>
    <w:rsid w:val="00AB621E"/>
    <w:rsid w:val="00AC042A"/>
    <w:rsid w:val="00AC1F06"/>
    <w:rsid w:val="00AC35DA"/>
    <w:rsid w:val="00AC3E17"/>
    <w:rsid w:val="00AC5A27"/>
    <w:rsid w:val="00AC5B9F"/>
    <w:rsid w:val="00AC6111"/>
    <w:rsid w:val="00AC6123"/>
    <w:rsid w:val="00AC6BE7"/>
    <w:rsid w:val="00AC7AD3"/>
    <w:rsid w:val="00AD16EF"/>
    <w:rsid w:val="00AD17F9"/>
    <w:rsid w:val="00AD1A46"/>
    <w:rsid w:val="00AD261F"/>
    <w:rsid w:val="00AD31C3"/>
    <w:rsid w:val="00AD323C"/>
    <w:rsid w:val="00AD3B9A"/>
    <w:rsid w:val="00AD488E"/>
    <w:rsid w:val="00AD6CCB"/>
    <w:rsid w:val="00AE0655"/>
    <w:rsid w:val="00AE07AD"/>
    <w:rsid w:val="00AE1B12"/>
    <w:rsid w:val="00AE3819"/>
    <w:rsid w:val="00AF0A2F"/>
    <w:rsid w:val="00AF2D7A"/>
    <w:rsid w:val="00AF34E9"/>
    <w:rsid w:val="00AF418F"/>
    <w:rsid w:val="00AF501D"/>
    <w:rsid w:val="00AF5731"/>
    <w:rsid w:val="00AF60F6"/>
    <w:rsid w:val="00B00710"/>
    <w:rsid w:val="00B00FA6"/>
    <w:rsid w:val="00B01D63"/>
    <w:rsid w:val="00B0213C"/>
    <w:rsid w:val="00B03004"/>
    <w:rsid w:val="00B035ED"/>
    <w:rsid w:val="00B062D4"/>
    <w:rsid w:val="00B075E0"/>
    <w:rsid w:val="00B112C4"/>
    <w:rsid w:val="00B11CD9"/>
    <w:rsid w:val="00B129AD"/>
    <w:rsid w:val="00B14A7B"/>
    <w:rsid w:val="00B14F53"/>
    <w:rsid w:val="00B15E16"/>
    <w:rsid w:val="00B169C6"/>
    <w:rsid w:val="00B16F1E"/>
    <w:rsid w:val="00B1799D"/>
    <w:rsid w:val="00B17F4D"/>
    <w:rsid w:val="00B20A56"/>
    <w:rsid w:val="00B20E32"/>
    <w:rsid w:val="00B22E31"/>
    <w:rsid w:val="00B25C94"/>
    <w:rsid w:val="00B260EF"/>
    <w:rsid w:val="00B26538"/>
    <w:rsid w:val="00B27614"/>
    <w:rsid w:val="00B30D06"/>
    <w:rsid w:val="00B32405"/>
    <w:rsid w:val="00B33409"/>
    <w:rsid w:val="00B35D10"/>
    <w:rsid w:val="00B3606E"/>
    <w:rsid w:val="00B377EE"/>
    <w:rsid w:val="00B37C34"/>
    <w:rsid w:val="00B405FC"/>
    <w:rsid w:val="00B40BC0"/>
    <w:rsid w:val="00B41700"/>
    <w:rsid w:val="00B503A1"/>
    <w:rsid w:val="00B54539"/>
    <w:rsid w:val="00B546A7"/>
    <w:rsid w:val="00B62F2D"/>
    <w:rsid w:val="00B63DCD"/>
    <w:rsid w:val="00B64754"/>
    <w:rsid w:val="00B64FED"/>
    <w:rsid w:val="00B658E1"/>
    <w:rsid w:val="00B65CB1"/>
    <w:rsid w:val="00B65E49"/>
    <w:rsid w:val="00B66C47"/>
    <w:rsid w:val="00B678AE"/>
    <w:rsid w:val="00B734A4"/>
    <w:rsid w:val="00B7373D"/>
    <w:rsid w:val="00B73B5E"/>
    <w:rsid w:val="00B7481B"/>
    <w:rsid w:val="00B7575B"/>
    <w:rsid w:val="00B75E88"/>
    <w:rsid w:val="00B76583"/>
    <w:rsid w:val="00B76B6D"/>
    <w:rsid w:val="00B81723"/>
    <w:rsid w:val="00B818D8"/>
    <w:rsid w:val="00B82283"/>
    <w:rsid w:val="00B8309A"/>
    <w:rsid w:val="00B83A12"/>
    <w:rsid w:val="00B8531E"/>
    <w:rsid w:val="00B85CE5"/>
    <w:rsid w:val="00B86123"/>
    <w:rsid w:val="00B877AE"/>
    <w:rsid w:val="00B90BA8"/>
    <w:rsid w:val="00B91688"/>
    <w:rsid w:val="00B9260B"/>
    <w:rsid w:val="00B92E98"/>
    <w:rsid w:val="00B95352"/>
    <w:rsid w:val="00B95B43"/>
    <w:rsid w:val="00B95B92"/>
    <w:rsid w:val="00B96EF2"/>
    <w:rsid w:val="00B97008"/>
    <w:rsid w:val="00BA025C"/>
    <w:rsid w:val="00BA05C3"/>
    <w:rsid w:val="00BA1AB3"/>
    <w:rsid w:val="00BA3190"/>
    <w:rsid w:val="00BA5A88"/>
    <w:rsid w:val="00BA5D76"/>
    <w:rsid w:val="00BA6EE8"/>
    <w:rsid w:val="00BA7AE8"/>
    <w:rsid w:val="00BB0F72"/>
    <w:rsid w:val="00BB1611"/>
    <w:rsid w:val="00BB1893"/>
    <w:rsid w:val="00BB6BD3"/>
    <w:rsid w:val="00BB6E0A"/>
    <w:rsid w:val="00BB7F10"/>
    <w:rsid w:val="00BC30A4"/>
    <w:rsid w:val="00BC6253"/>
    <w:rsid w:val="00BC6E42"/>
    <w:rsid w:val="00BC7D90"/>
    <w:rsid w:val="00BD003A"/>
    <w:rsid w:val="00BD0A78"/>
    <w:rsid w:val="00BD2DA9"/>
    <w:rsid w:val="00BD2F15"/>
    <w:rsid w:val="00BD317C"/>
    <w:rsid w:val="00BD4012"/>
    <w:rsid w:val="00BD4C7C"/>
    <w:rsid w:val="00BD56EA"/>
    <w:rsid w:val="00BD571A"/>
    <w:rsid w:val="00BD5CBD"/>
    <w:rsid w:val="00BD63F8"/>
    <w:rsid w:val="00BD6CAF"/>
    <w:rsid w:val="00BD7E31"/>
    <w:rsid w:val="00BE153E"/>
    <w:rsid w:val="00BE15F2"/>
    <w:rsid w:val="00BE261A"/>
    <w:rsid w:val="00BE284B"/>
    <w:rsid w:val="00BE505A"/>
    <w:rsid w:val="00BF1AF8"/>
    <w:rsid w:val="00BF1B17"/>
    <w:rsid w:val="00BF236B"/>
    <w:rsid w:val="00BF2EC3"/>
    <w:rsid w:val="00BF34E0"/>
    <w:rsid w:val="00BF3950"/>
    <w:rsid w:val="00BF446B"/>
    <w:rsid w:val="00BF4FCC"/>
    <w:rsid w:val="00BF79CD"/>
    <w:rsid w:val="00C00466"/>
    <w:rsid w:val="00C01643"/>
    <w:rsid w:val="00C0345E"/>
    <w:rsid w:val="00C038A5"/>
    <w:rsid w:val="00C04333"/>
    <w:rsid w:val="00C04505"/>
    <w:rsid w:val="00C059B6"/>
    <w:rsid w:val="00C05A89"/>
    <w:rsid w:val="00C13D8D"/>
    <w:rsid w:val="00C144C8"/>
    <w:rsid w:val="00C15A9A"/>
    <w:rsid w:val="00C15AAA"/>
    <w:rsid w:val="00C168DB"/>
    <w:rsid w:val="00C16CFB"/>
    <w:rsid w:val="00C22309"/>
    <w:rsid w:val="00C2241D"/>
    <w:rsid w:val="00C229E0"/>
    <w:rsid w:val="00C23BB2"/>
    <w:rsid w:val="00C2696C"/>
    <w:rsid w:val="00C27D3C"/>
    <w:rsid w:val="00C33A1C"/>
    <w:rsid w:val="00C34369"/>
    <w:rsid w:val="00C37220"/>
    <w:rsid w:val="00C378F1"/>
    <w:rsid w:val="00C37AB3"/>
    <w:rsid w:val="00C41CA4"/>
    <w:rsid w:val="00C43F2E"/>
    <w:rsid w:val="00C45538"/>
    <w:rsid w:val="00C45AC0"/>
    <w:rsid w:val="00C45FC0"/>
    <w:rsid w:val="00C462AC"/>
    <w:rsid w:val="00C466DC"/>
    <w:rsid w:val="00C51B5D"/>
    <w:rsid w:val="00C51DE5"/>
    <w:rsid w:val="00C523A6"/>
    <w:rsid w:val="00C53119"/>
    <w:rsid w:val="00C53DC6"/>
    <w:rsid w:val="00C54FB9"/>
    <w:rsid w:val="00C55542"/>
    <w:rsid w:val="00C57553"/>
    <w:rsid w:val="00C602D7"/>
    <w:rsid w:val="00C61305"/>
    <w:rsid w:val="00C614D4"/>
    <w:rsid w:val="00C62404"/>
    <w:rsid w:val="00C64881"/>
    <w:rsid w:val="00C656AE"/>
    <w:rsid w:val="00C66780"/>
    <w:rsid w:val="00C6711A"/>
    <w:rsid w:val="00C674EC"/>
    <w:rsid w:val="00C711EC"/>
    <w:rsid w:val="00C7136A"/>
    <w:rsid w:val="00C71602"/>
    <w:rsid w:val="00C71A7C"/>
    <w:rsid w:val="00C72130"/>
    <w:rsid w:val="00C7226D"/>
    <w:rsid w:val="00C73E6D"/>
    <w:rsid w:val="00C74078"/>
    <w:rsid w:val="00C758B5"/>
    <w:rsid w:val="00C75E2D"/>
    <w:rsid w:val="00C7614F"/>
    <w:rsid w:val="00C76273"/>
    <w:rsid w:val="00C76560"/>
    <w:rsid w:val="00C7673C"/>
    <w:rsid w:val="00C7686A"/>
    <w:rsid w:val="00C76DE9"/>
    <w:rsid w:val="00C76E90"/>
    <w:rsid w:val="00C7749D"/>
    <w:rsid w:val="00C777D3"/>
    <w:rsid w:val="00C81973"/>
    <w:rsid w:val="00C82CE3"/>
    <w:rsid w:val="00C855E6"/>
    <w:rsid w:val="00C86DB6"/>
    <w:rsid w:val="00C86E29"/>
    <w:rsid w:val="00C87E34"/>
    <w:rsid w:val="00C9025C"/>
    <w:rsid w:val="00C91E59"/>
    <w:rsid w:val="00C92E01"/>
    <w:rsid w:val="00C94AB2"/>
    <w:rsid w:val="00C94C99"/>
    <w:rsid w:val="00C9606B"/>
    <w:rsid w:val="00C97E2D"/>
    <w:rsid w:val="00CA1407"/>
    <w:rsid w:val="00CA18D6"/>
    <w:rsid w:val="00CA325A"/>
    <w:rsid w:val="00CA5759"/>
    <w:rsid w:val="00CA67D4"/>
    <w:rsid w:val="00CA6A16"/>
    <w:rsid w:val="00CA6DDE"/>
    <w:rsid w:val="00CA77DF"/>
    <w:rsid w:val="00CA7888"/>
    <w:rsid w:val="00CB0283"/>
    <w:rsid w:val="00CB0B83"/>
    <w:rsid w:val="00CB1C91"/>
    <w:rsid w:val="00CB3A7D"/>
    <w:rsid w:val="00CB3B5A"/>
    <w:rsid w:val="00CB4CD5"/>
    <w:rsid w:val="00CB6117"/>
    <w:rsid w:val="00CB630B"/>
    <w:rsid w:val="00CB6878"/>
    <w:rsid w:val="00CC07BE"/>
    <w:rsid w:val="00CC0AA9"/>
    <w:rsid w:val="00CC26C6"/>
    <w:rsid w:val="00CC28F3"/>
    <w:rsid w:val="00CC2D1A"/>
    <w:rsid w:val="00CC41EB"/>
    <w:rsid w:val="00CC6F25"/>
    <w:rsid w:val="00CC706E"/>
    <w:rsid w:val="00CD11E2"/>
    <w:rsid w:val="00CD3014"/>
    <w:rsid w:val="00CD3056"/>
    <w:rsid w:val="00CD4B69"/>
    <w:rsid w:val="00CD5C49"/>
    <w:rsid w:val="00CD7FBD"/>
    <w:rsid w:val="00CE0AB0"/>
    <w:rsid w:val="00CE14FE"/>
    <w:rsid w:val="00CE2137"/>
    <w:rsid w:val="00CE24B5"/>
    <w:rsid w:val="00CE36AA"/>
    <w:rsid w:val="00CE382D"/>
    <w:rsid w:val="00CE3AF5"/>
    <w:rsid w:val="00CE4C78"/>
    <w:rsid w:val="00CE4EFC"/>
    <w:rsid w:val="00CF0733"/>
    <w:rsid w:val="00CF5055"/>
    <w:rsid w:val="00CF715C"/>
    <w:rsid w:val="00CF7322"/>
    <w:rsid w:val="00D0010E"/>
    <w:rsid w:val="00D00687"/>
    <w:rsid w:val="00D00F45"/>
    <w:rsid w:val="00D00FC4"/>
    <w:rsid w:val="00D02DFE"/>
    <w:rsid w:val="00D03C8E"/>
    <w:rsid w:val="00D04A8E"/>
    <w:rsid w:val="00D063F6"/>
    <w:rsid w:val="00D06D5A"/>
    <w:rsid w:val="00D0799D"/>
    <w:rsid w:val="00D1089B"/>
    <w:rsid w:val="00D10B1E"/>
    <w:rsid w:val="00D126AA"/>
    <w:rsid w:val="00D13D16"/>
    <w:rsid w:val="00D155BA"/>
    <w:rsid w:val="00D15819"/>
    <w:rsid w:val="00D15B3C"/>
    <w:rsid w:val="00D16600"/>
    <w:rsid w:val="00D177CB"/>
    <w:rsid w:val="00D26305"/>
    <w:rsid w:val="00D26E74"/>
    <w:rsid w:val="00D312D4"/>
    <w:rsid w:val="00D329A9"/>
    <w:rsid w:val="00D32E5E"/>
    <w:rsid w:val="00D33A36"/>
    <w:rsid w:val="00D34DC0"/>
    <w:rsid w:val="00D402FC"/>
    <w:rsid w:val="00D406B0"/>
    <w:rsid w:val="00D4227C"/>
    <w:rsid w:val="00D42BF0"/>
    <w:rsid w:val="00D42C68"/>
    <w:rsid w:val="00D434D2"/>
    <w:rsid w:val="00D43E2F"/>
    <w:rsid w:val="00D45A12"/>
    <w:rsid w:val="00D50A3D"/>
    <w:rsid w:val="00D50D1D"/>
    <w:rsid w:val="00D513DF"/>
    <w:rsid w:val="00D5298B"/>
    <w:rsid w:val="00D535DB"/>
    <w:rsid w:val="00D5377E"/>
    <w:rsid w:val="00D544E8"/>
    <w:rsid w:val="00D55853"/>
    <w:rsid w:val="00D559B4"/>
    <w:rsid w:val="00D56E97"/>
    <w:rsid w:val="00D570F9"/>
    <w:rsid w:val="00D5795D"/>
    <w:rsid w:val="00D61686"/>
    <w:rsid w:val="00D63119"/>
    <w:rsid w:val="00D63675"/>
    <w:rsid w:val="00D641EA"/>
    <w:rsid w:val="00D64C93"/>
    <w:rsid w:val="00D65B9A"/>
    <w:rsid w:val="00D66E64"/>
    <w:rsid w:val="00D6701C"/>
    <w:rsid w:val="00D672A2"/>
    <w:rsid w:val="00D67447"/>
    <w:rsid w:val="00D674E0"/>
    <w:rsid w:val="00D67D51"/>
    <w:rsid w:val="00D70B42"/>
    <w:rsid w:val="00D7243C"/>
    <w:rsid w:val="00D766AB"/>
    <w:rsid w:val="00D7792C"/>
    <w:rsid w:val="00D80341"/>
    <w:rsid w:val="00D8088A"/>
    <w:rsid w:val="00D830C4"/>
    <w:rsid w:val="00D837A8"/>
    <w:rsid w:val="00D84C4A"/>
    <w:rsid w:val="00D872D9"/>
    <w:rsid w:val="00D9000A"/>
    <w:rsid w:val="00D91A6A"/>
    <w:rsid w:val="00D93383"/>
    <w:rsid w:val="00D9393A"/>
    <w:rsid w:val="00D968CA"/>
    <w:rsid w:val="00D96D85"/>
    <w:rsid w:val="00D9715E"/>
    <w:rsid w:val="00D979B7"/>
    <w:rsid w:val="00D97A66"/>
    <w:rsid w:val="00DA1DAD"/>
    <w:rsid w:val="00DA282E"/>
    <w:rsid w:val="00DA32F2"/>
    <w:rsid w:val="00DA4490"/>
    <w:rsid w:val="00DA46BF"/>
    <w:rsid w:val="00DA4775"/>
    <w:rsid w:val="00DA726A"/>
    <w:rsid w:val="00DA764E"/>
    <w:rsid w:val="00DB00CB"/>
    <w:rsid w:val="00DB0471"/>
    <w:rsid w:val="00DB0807"/>
    <w:rsid w:val="00DB1E70"/>
    <w:rsid w:val="00DB3357"/>
    <w:rsid w:val="00DB4284"/>
    <w:rsid w:val="00DB625F"/>
    <w:rsid w:val="00DB7229"/>
    <w:rsid w:val="00DC014C"/>
    <w:rsid w:val="00DC0405"/>
    <w:rsid w:val="00DC091F"/>
    <w:rsid w:val="00DC1D93"/>
    <w:rsid w:val="00DC2094"/>
    <w:rsid w:val="00DC3ED6"/>
    <w:rsid w:val="00DC549D"/>
    <w:rsid w:val="00DC56E7"/>
    <w:rsid w:val="00DC717C"/>
    <w:rsid w:val="00DC77CA"/>
    <w:rsid w:val="00DD0735"/>
    <w:rsid w:val="00DD2B14"/>
    <w:rsid w:val="00DD2EEC"/>
    <w:rsid w:val="00DD473D"/>
    <w:rsid w:val="00DD531F"/>
    <w:rsid w:val="00DD653A"/>
    <w:rsid w:val="00DD6811"/>
    <w:rsid w:val="00DD7BD2"/>
    <w:rsid w:val="00DD7BEF"/>
    <w:rsid w:val="00DE107D"/>
    <w:rsid w:val="00DE24A1"/>
    <w:rsid w:val="00DE3816"/>
    <w:rsid w:val="00DE4389"/>
    <w:rsid w:val="00DE4FB6"/>
    <w:rsid w:val="00DF296A"/>
    <w:rsid w:val="00DF2ADB"/>
    <w:rsid w:val="00DF327C"/>
    <w:rsid w:val="00DF3B71"/>
    <w:rsid w:val="00DF47BE"/>
    <w:rsid w:val="00DF4B59"/>
    <w:rsid w:val="00DF5714"/>
    <w:rsid w:val="00DF5EB2"/>
    <w:rsid w:val="00DF681E"/>
    <w:rsid w:val="00DF6836"/>
    <w:rsid w:val="00E00A15"/>
    <w:rsid w:val="00E00A2B"/>
    <w:rsid w:val="00E00D87"/>
    <w:rsid w:val="00E013F1"/>
    <w:rsid w:val="00E027F3"/>
    <w:rsid w:val="00E0294F"/>
    <w:rsid w:val="00E032DD"/>
    <w:rsid w:val="00E03533"/>
    <w:rsid w:val="00E0362D"/>
    <w:rsid w:val="00E036AA"/>
    <w:rsid w:val="00E03A33"/>
    <w:rsid w:val="00E05674"/>
    <w:rsid w:val="00E075E7"/>
    <w:rsid w:val="00E07CB8"/>
    <w:rsid w:val="00E07F02"/>
    <w:rsid w:val="00E10712"/>
    <w:rsid w:val="00E13763"/>
    <w:rsid w:val="00E17EC8"/>
    <w:rsid w:val="00E21102"/>
    <w:rsid w:val="00E211D9"/>
    <w:rsid w:val="00E214B8"/>
    <w:rsid w:val="00E23E58"/>
    <w:rsid w:val="00E24026"/>
    <w:rsid w:val="00E24C8A"/>
    <w:rsid w:val="00E264F9"/>
    <w:rsid w:val="00E26F04"/>
    <w:rsid w:val="00E27548"/>
    <w:rsid w:val="00E27C39"/>
    <w:rsid w:val="00E33043"/>
    <w:rsid w:val="00E36B04"/>
    <w:rsid w:val="00E37886"/>
    <w:rsid w:val="00E37BD2"/>
    <w:rsid w:val="00E40F74"/>
    <w:rsid w:val="00E47905"/>
    <w:rsid w:val="00E4792B"/>
    <w:rsid w:val="00E51C41"/>
    <w:rsid w:val="00E52E9E"/>
    <w:rsid w:val="00E5304A"/>
    <w:rsid w:val="00E53644"/>
    <w:rsid w:val="00E53AA7"/>
    <w:rsid w:val="00E544A1"/>
    <w:rsid w:val="00E5462B"/>
    <w:rsid w:val="00E55275"/>
    <w:rsid w:val="00E567CB"/>
    <w:rsid w:val="00E57110"/>
    <w:rsid w:val="00E577D3"/>
    <w:rsid w:val="00E57928"/>
    <w:rsid w:val="00E60FC8"/>
    <w:rsid w:val="00E63BBC"/>
    <w:rsid w:val="00E6437E"/>
    <w:rsid w:val="00E65102"/>
    <w:rsid w:val="00E651A3"/>
    <w:rsid w:val="00E651DE"/>
    <w:rsid w:val="00E666C1"/>
    <w:rsid w:val="00E66C6F"/>
    <w:rsid w:val="00E702BA"/>
    <w:rsid w:val="00E70A5E"/>
    <w:rsid w:val="00E72307"/>
    <w:rsid w:val="00E72EB0"/>
    <w:rsid w:val="00E74B0A"/>
    <w:rsid w:val="00E75BCB"/>
    <w:rsid w:val="00E75CCF"/>
    <w:rsid w:val="00E76174"/>
    <w:rsid w:val="00E7627C"/>
    <w:rsid w:val="00E764C2"/>
    <w:rsid w:val="00E80144"/>
    <w:rsid w:val="00E80584"/>
    <w:rsid w:val="00E810FC"/>
    <w:rsid w:val="00E817A2"/>
    <w:rsid w:val="00E821D8"/>
    <w:rsid w:val="00E82487"/>
    <w:rsid w:val="00E82B03"/>
    <w:rsid w:val="00E84728"/>
    <w:rsid w:val="00E84CB8"/>
    <w:rsid w:val="00E84EE0"/>
    <w:rsid w:val="00E8549C"/>
    <w:rsid w:val="00E8610D"/>
    <w:rsid w:val="00E8692E"/>
    <w:rsid w:val="00E90C78"/>
    <w:rsid w:val="00E9147A"/>
    <w:rsid w:val="00E91C99"/>
    <w:rsid w:val="00E91E27"/>
    <w:rsid w:val="00E92020"/>
    <w:rsid w:val="00E9281F"/>
    <w:rsid w:val="00E9440E"/>
    <w:rsid w:val="00E94945"/>
    <w:rsid w:val="00E94A60"/>
    <w:rsid w:val="00E95868"/>
    <w:rsid w:val="00E96583"/>
    <w:rsid w:val="00E97382"/>
    <w:rsid w:val="00E974A7"/>
    <w:rsid w:val="00E97567"/>
    <w:rsid w:val="00EA22D5"/>
    <w:rsid w:val="00EA33CB"/>
    <w:rsid w:val="00EA5D05"/>
    <w:rsid w:val="00EA5EA9"/>
    <w:rsid w:val="00EA6751"/>
    <w:rsid w:val="00EB084D"/>
    <w:rsid w:val="00EB408D"/>
    <w:rsid w:val="00EB4482"/>
    <w:rsid w:val="00EB49A5"/>
    <w:rsid w:val="00EB5496"/>
    <w:rsid w:val="00EB5C55"/>
    <w:rsid w:val="00EB5D16"/>
    <w:rsid w:val="00EB5E9B"/>
    <w:rsid w:val="00EB6181"/>
    <w:rsid w:val="00EB7160"/>
    <w:rsid w:val="00EB7CE3"/>
    <w:rsid w:val="00EC248D"/>
    <w:rsid w:val="00EC309A"/>
    <w:rsid w:val="00EC4125"/>
    <w:rsid w:val="00EC4648"/>
    <w:rsid w:val="00EC4B3B"/>
    <w:rsid w:val="00EC7A05"/>
    <w:rsid w:val="00ED17DF"/>
    <w:rsid w:val="00ED2B78"/>
    <w:rsid w:val="00ED5E0D"/>
    <w:rsid w:val="00ED61D8"/>
    <w:rsid w:val="00ED645C"/>
    <w:rsid w:val="00ED64F0"/>
    <w:rsid w:val="00ED678E"/>
    <w:rsid w:val="00ED6916"/>
    <w:rsid w:val="00ED72CE"/>
    <w:rsid w:val="00ED7A5F"/>
    <w:rsid w:val="00ED7E34"/>
    <w:rsid w:val="00EE1CD9"/>
    <w:rsid w:val="00EE22FB"/>
    <w:rsid w:val="00EE435F"/>
    <w:rsid w:val="00EE5683"/>
    <w:rsid w:val="00EE66E0"/>
    <w:rsid w:val="00EE777A"/>
    <w:rsid w:val="00EE7B54"/>
    <w:rsid w:val="00EF1239"/>
    <w:rsid w:val="00EF12B8"/>
    <w:rsid w:val="00EF1FB2"/>
    <w:rsid w:val="00EF3558"/>
    <w:rsid w:val="00EF5035"/>
    <w:rsid w:val="00F00700"/>
    <w:rsid w:val="00F0204D"/>
    <w:rsid w:val="00F03E8D"/>
    <w:rsid w:val="00F049A0"/>
    <w:rsid w:val="00F0528A"/>
    <w:rsid w:val="00F062AF"/>
    <w:rsid w:val="00F06960"/>
    <w:rsid w:val="00F06D09"/>
    <w:rsid w:val="00F0713D"/>
    <w:rsid w:val="00F077E2"/>
    <w:rsid w:val="00F101F2"/>
    <w:rsid w:val="00F104FE"/>
    <w:rsid w:val="00F10B30"/>
    <w:rsid w:val="00F11144"/>
    <w:rsid w:val="00F11EEB"/>
    <w:rsid w:val="00F12CB3"/>
    <w:rsid w:val="00F12FF6"/>
    <w:rsid w:val="00F14C9B"/>
    <w:rsid w:val="00F2299B"/>
    <w:rsid w:val="00F25C9C"/>
    <w:rsid w:val="00F30031"/>
    <w:rsid w:val="00F312EE"/>
    <w:rsid w:val="00F31615"/>
    <w:rsid w:val="00F34312"/>
    <w:rsid w:val="00F34491"/>
    <w:rsid w:val="00F3464A"/>
    <w:rsid w:val="00F37B3A"/>
    <w:rsid w:val="00F437F0"/>
    <w:rsid w:val="00F44D42"/>
    <w:rsid w:val="00F472CC"/>
    <w:rsid w:val="00F5015C"/>
    <w:rsid w:val="00F5252A"/>
    <w:rsid w:val="00F545F3"/>
    <w:rsid w:val="00F54728"/>
    <w:rsid w:val="00F55025"/>
    <w:rsid w:val="00F55229"/>
    <w:rsid w:val="00F556B7"/>
    <w:rsid w:val="00F5651F"/>
    <w:rsid w:val="00F56F34"/>
    <w:rsid w:val="00F57028"/>
    <w:rsid w:val="00F5769D"/>
    <w:rsid w:val="00F61806"/>
    <w:rsid w:val="00F632BB"/>
    <w:rsid w:val="00F6503B"/>
    <w:rsid w:val="00F65107"/>
    <w:rsid w:val="00F651A0"/>
    <w:rsid w:val="00F6557A"/>
    <w:rsid w:val="00F6592D"/>
    <w:rsid w:val="00F665D4"/>
    <w:rsid w:val="00F72547"/>
    <w:rsid w:val="00F742C9"/>
    <w:rsid w:val="00F75BFF"/>
    <w:rsid w:val="00F8193B"/>
    <w:rsid w:val="00F83188"/>
    <w:rsid w:val="00F837BB"/>
    <w:rsid w:val="00F83E3C"/>
    <w:rsid w:val="00F853BF"/>
    <w:rsid w:val="00F8597D"/>
    <w:rsid w:val="00F85C3F"/>
    <w:rsid w:val="00F86020"/>
    <w:rsid w:val="00F871A3"/>
    <w:rsid w:val="00F92104"/>
    <w:rsid w:val="00F93DEC"/>
    <w:rsid w:val="00F940F4"/>
    <w:rsid w:val="00F97DA6"/>
    <w:rsid w:val="00FA01C6"/>
    <w:rsid w:val="00FA1735"/>
    <w:rsid w:val="00FA449A"/>
    <w:rsid w:val="00FA6BA4"/>
    <w:rsid w:val="00FA7063"/>
    <w:rsid w:val="00FA7135"/>
    <w:rsid w:val="00FA79B3"/>
    <w:rsid w:val="00FB4B87"/>
    <w:rsid w:val="00FB544A"/>
    <w:rsid w:val="00FB7DAD"/>
    <w:rsid w:val="00FC0700"/>
    <w:rsid w:val="00FC0B9A"/>
    <w:rsid w:val="00FC2784"/>
    <w:rsid w:val="00FC2F6E"/>
    <w:rsid w:val="00FC2FA5"/>
    <w:rsid w:val="00FC36DC"/>
    <w:rsid w:val="00FC4DB4"/>
    <w:rsid w:val="00FC611D"/>
    <w:rsid w:val="00FC7134"/>
    <w:rsid w:val="00FC7EAB"/>
    <w:rsid w:val="00FD02FB"/>
    <w:rsid w:val="00FD213A"/>
    <w:rsid w:val="00FD30C8"/>
    <w:rsid w:val="00FD37B4"/>
    <w:rsid w:val="00FD3AB3"/>
    <w:rsid w:val="00FD3BC9"/>
    <w:rsid w:val="00FD47F7"/>
    <w:rsid w:val="00FD5861"/>
    <w:rsid w:val="00FD5A33"/>
    <w:rsid w:val="00FD5F80"/>
    <w:rsid w:val="00FD6745"/>
    <w:rsid w:val="00FD6CC6"/>
    <w:rsid w:val="00FE0BEA"/>
    <w:rsid w:val="00FE0DA3"/>
    <w:rsid w:val="00FE1C93"/>
    <w:rsid w:val="00FE1D1E"/>
    <w:rsid w:val="00FF03AD"/>
    <w:rsid w:val="00FF2D7D"/>
    <w:rsid w:val="00FF3905"/>
    <w:rsid w:val="00FF4C60"/>
    <w:rsid w:val="00FF5608"/>
    <w:rsid w:val="00FF5CBB"/>
    <w:rsid w:val="00FF60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CC"/>
    <w:rPr>
      <w:sz w:val="24"/>
      <w:szCs w:val="24"/>
    </w:rPr>
  </w:style>
  <w:style w:type="paragraph" w:styleId="Heading1">
    <w:name w:val="heading 1"/>
    <w:basedOn w:val="Normal"/>
    <w:next w:val="Normal"/>
    <w:link w:val="Heading1Char"/>
    <w:uiPriority w:val="99"/>
    <w:qFormat/>
    <w:rsid w:val="00024559"/>
    <w:pPr>
      <w:keepNext/>
      <w:tabs>
        <w:tab w:val="num" w:pos="432"/>
      </w:tabs>
      <w:suppressAutoHyphens/>
      <w:ind w:left="432" w:hanging="432"/>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24559"/>
    <w:pPr>
      <w:keepNext/>
      <w:tabs>
        <w:tab w:val="num" w:pos="576"/>
      </w:tabs>
      <w:suppressAutoHyphen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uiPriority w:val="99"/>
    <w:qFormat/>
    <w:rsid w:val="00024559"/>
    <w:pPr>
      <w:keepNext/>
      <w:tabs>
        <w:tab w:val="num" w:pos="720"/>
      </w:tabs>
      <w:suppressAutoHyphen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D1C"/>
    <w:rPr>
      <w:rFonts w:ascii="Cambria" w:hAnsi="Cambria" w:cs="Cambria"/>
      <w:b/>
      <w:bCs/>
      <w:kern w:val="32"/>
      <w:sz w:val="32"/>
      <w:szCs w:val="32"/>
    </w:rPr>
  </w:style>
  <w:style w:type="character" w:customStyle="1" w:styleId="Heading2Char">
    <w:name w:val="Heading 2 Char"/>
    <w:link w:val="Heading2"/>
    <w:uiPriority w:val="99"/>
    <w:semiHidden/>
    <w:locked/>
    <w:rsid w:val="009C3D1C"/>
    <w:rPr>
      <w:rFonts w:ascii="Cambria" w:hAnsi="Cambria" w:cs="Cambria"/>
      <w:b/>
      <w:bCs/>
      <w:i/>
      <w:iCs/>
      <w:sz w:val="28"/>
      <w:szCs w:val="28"/>
    </w:rPr>
  </w:style>
  <w:style w:type="character" w:customStyle="1" w:styleId="Heading3Char">
    <w:name w:val="Heading 3 Char"/>
    <w:link w:val="Heading3"/>
    <w:uiPriority w:val="99"/>
    <w:semiHidden/>
    <w:locked/>
    <w:rsid w:val="009C3D1C"/>
    <w:rPr>
      <w:rFonts w:ascii="Cambria" w:hAnsi="Cambria" w:cs="Cambria"/>
      <w:b/>
      <w:bCs/>
      <w:sz w:val="26"/>
      <w:szCs w:val="26"/>
    </w:rPr>
  </w:style>
  <w:style w:type="table" w:styleId="TableGrid">
    <w:name w:val="Table Grid"/>
    <w:basedOn w:val="TableNormal"/>
    <w:uiPriority w:val="99"/>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customStyle="1" w:styleId="FootnoteTextChar">
    <w:name w:val="Footnote Text Char"/>
    <w:link w:val="FootnoteText"/>
    <w:uiPriority w:val="99"/>
    <w:semiHidden/>
    <w:locked/>
    <w:rsid w:val="00522063"/>
    <w:rPr>
      <w:lang w:val="tr-TR" w:eastAsia="tr-TR"/>
    </w:rPr>
  </w:style>
  <w:style w:type="character" w:styleId="FootnoteReference">
    <w:name w:val="footnote reference"/>
    <w:uiPriority w:val="99"/>
    <w:semiHidden/>
    <w:rsid w:val="00D0799D"/>
    <w:rPr>
      <w:vertAlign w:val="superscript"/>
    </w:rPr>
  </w:style>
  <w:style w:type="character" w:styleId="Hyperlink">
    <w:name w:val="Hyperlink"/>
    <w:uiPriority w:val="99"/>
    <w:rsid w:val="007522D9"/>
    <w:rPr>
      <w:color w:val="0000FF"/>
      <w:u w:val="single"/>
    </w:rPr>
  </w:style>
  <w:style w:type="paragraph" w:styleId="Footer">
    <w:name w:val="footer"/>
    <w:basedOn w:val="Normal"/>
    <w:link w:val="FooterChar"/>
    <w:uiPriority w:val="99"/>
    <w:rsid w:val="007B51E3"/>
    <w:pPr>
      <w:tabs>
        <w:tab w:val="center" w:pos="4536"/>
        <w:tab w:val="right" w:pos="9072"/>
      </w:tabs>
    </w:pPr>
  </w:style>
  <w:style w:type="character" w:customStyle="1" w:styleId="FooterChar">
    <w:name w:val="Footer Char"/>
    <w:link w:val="Footer"/>
    <w:uiPriority w:val="99"/>
    <w:semiHidden/>
    <w:locked/>
    <w:rsid w:val="009C3D1C"/>
    <w:rPr>
      <w:sz w:val="24"/>
      <w:szCs w:val="24"/>
    </w:rPr>
  </w:style>
  <w:style w:type="character" w:styleId="PageNumber">
    <w:name w:val="page number"/>
    <w:basedOn w:val="DefaultParagraphFont"/>
    <w:uiPriority w:val="99"/>
    <w:rsid w:val="007B51E3"/>
  </w:style>
  <w:style w:type="paragraph" w:styleId="Header">
    <w:name w:val="header"/>
    <w:basedOn w:val="Normal"/>
    <w:link w:val="HeaderChar"/>
    <w:uiPriority w:val="99"/>
    <w:rsid w:val="007B51E3"/>
    <w:pPr>
      <w:tabs>
        <w:tab w:val="center" w:pos="4536"/>
        <w:tab w:val="right" w:pos="9072"/>
      </w:tabs>
    </w:pPr>
  </w:style>
  <w:style w:type="character" w:customStyle="1" w:styleId="HeaderChar">
    <w:name w:val="Header Char"/>
    <w:link w:val="Header"/>
    <w:uiPriority w:val="99"/>
    <w:semiHidden/>
    <w:locked/>
    <w:rsid w:val="009C3D1C"/>
    <w:rPr>
      <w:sz w:val="24"/>
      <w:szCs w:val="24"/>
    </w:rPr>
  </w:style>
  <w:style w:type="paragraph" w:styleId="BalloonText">
    <w:name w:val="Balloon Text"/>
    <w:basedOn w:val="Normal"/>
    <w:link w:val="BalloonTextChar"/>
    <w:uiPriority w:val="99"/>
    <w:semiHidden/>
    <w:rsid w:val="00526CC9"/>
    <w:rPr>
      <w:sz w:val="2"/>
      <w:szCs w:val="2"/>
    </w:rPr>
  </w:style>
  <w:style w:type="character" w:customStyle="1" w:styleId="BalloonTextChar">
    <w:name w:val="Balloon Text Char"/>
    <w:link w:val="BalloonText"/>
    <w:uiPriority w:val="99"/>
    <w:semiHidden/>
    <w:locked/>
    <w:rsid w:val="009C3D1C"/>
    <w:rPr>
      <w:sz w:val="2"/>
      <w:szCs w:val="2"/>
    </w:rPr>
  </w:style>
  <w:style w:type="character" w:styleId="LineNumber">
    <w:name w:val="line number"/>
    <w:basedOn w:val="DefaultParagraphFont"/>
    <w:uiPriority w:val="99"/>
    <w:semiHidden/>
    <w:rsid w:val="000F0C2B"/>
  </w:style>
  <w:style w:type="paragraph" w:styleId="ListParagraph">
    <w:name w:val="List Paragraph"/>
    <w:basedOn w:val="Normal"/>
    <w:uiPriority w:val="99"/>
    <w:qFormat/>
    <w:rsid w:val="000B61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6033">
      <w:marLeft w:val="0"/>
      <w:marRight w:val="0"/>
      <w:marTop w:val="0"/>
      <w:marBottom w:val="0"/>
      <w:divBdr>
        <w:top w:val="none" w:sz="0" w:space="0" w:color="auto"/>
        <w:left w:val="none" w:sz="0" w:space="0" w:color="auto"/>
        <w:bottom w:val="none" w:sz="0" w:space="0" w:color="auto"/>
        <w:right w:val="none" w:sz="0" w:space="0" w:color="auto"/>
      </w:divBdr>
    </w:div>
    <w:div w:id="281806034">
      <w:marLeft w:val="0"/>
      <w:marRight w:val="0"/>
      <w:marTop w:val="0"/>
      <w:marBottom w:val="0"/>
      <w:divBdr>
        <w:top w:val="none" w:sz="0" w:space="0" w:color="auto"/>
        <w:left w:val="none" w:sz="0" w:space="0" w:color="auto"/>
        <w:bottom w:val="none" w:sz="0" w:space="0" w:color="auto"/>
        <w:right w:val="none" w:sz="0" w:space="0" w:color="auto"/>
      </w:divBdr>
    </w:div>
    <w:div w:id="281806035">
      <w:marLeft w:val="0"/>
      <w:marRight w:val="0"/>
      <w:marTop w:val="0"/>
      <w:marBottom w:val="0"/>
      <w:divBdr>
        <w:top w:val="none" w:sz="0" w:space="0" w:color="auto"/>
        <w:left w:val="none" w:sz="0" w:space="0" w:color="auto"/>
        <w:bottom w:val="none" w:sz="0" w:space="0" w:color="auto"/>
        <w:right w:val="none" w:sz="0" w:space="0" w:color="auto"/>
      </w:divBdr>
    </w:div>
    <w:div w:id="6666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aris.soybilgen@bahcesehir.edu.tr"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umrut.imamoglu@bahcesehir.edu.tr"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B65CB-F307-41DE-B7F7-6AF9BB2D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oş</vt:lpstr>
    </vt:vector>
  </TitlesOfParts>
  <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oş</dc:title>
  <dc:creator>baris.soybilgen</dc:creator>
  <cp:lastModifiedBy>merve.akgul</cp:lastModifiedBy>
  <cp:revision>2</cp:revision>
  <cp:lastPrinted>2015-03-19T09:39:00Z</cp:lastPrinted>
  <dcterms:created xsi:type="dcterms:W3CDTF">2015-03-19T12:47:00Z</dcterms:created>
  <dcterms:modified xsi:type="dcterms:W3CDTF">2015-03-19T12:47:00Z</dcterms:modified>
</cp:coreProperties>
</file>