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D" w:rsidRDefault="00284C3D" w:rsidP="00AE0BBB">
      <w:pPr>
        <w:spacing w:line="288" w:lineRule="auto"/>
        <w:ind w:right="-319"/>
        <w:jc w:val="center"/>
        <w:rPr>
          <w:rFonts w:ascii="Arial" w:hAnsi="Arial" w:cs="Arial"/>
          <w:b/>
          <w:bCs/>
          <w:sz w:val="20"/>
          <w:szCs w:val="20"/>
        </w:rPr>
      </w:pPr>
      <w:r>
        <w:rPr>
          <w:noProof/>
        </w:rPr>
        <mc:AlternateContent>
          <mc:Choice Requires="wps">
            <w:drawing>
              <wp:anchor distT="0" distB="0" distL="114935" distR="114935" simplePos="0" relativeHeight="251657216" behindDoc="0" locked="0" layoutInCell="1" allowOverlap="1">
                <wp:simplePos x="0" y="0"/>
                <wp:positionH relativeFrom="column">
                  <wp:posOffset>1257300</wp:posOffset>
                </wp:positionH>
                <wp:positionV relativeFrom="paragraph">
                  <wp:posOffset>0</wp:posOffset>
                </wp:positionV>
                <wp:extent cx="434340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3F3737" w:rsidP="00803E3E">
                            <w:pPr>
                              <w:pStyle w:val="Heading1"/>
                              <w:rPr>
                                <w:rFonts w:ascii="Times New Roman" w:hAnsi="Times New Roman" w:cs="Times New Roman"/>
                                <w:sz w:val="40"/>
                                <w:szCs w:val="40"/>
                              </w:rPr>
                            </w:pPr>
                            <w:r>
                              <w:rPr>
                                <w:rFonts w:ascii="Times New Roman" w:hAnsi="Times New Roman" w:cs="Times New Roman"/>
                                <w:sz w:val="40"/>
                                <w:szCs w:val="40"/>
                              </w:rPr>
                              <w:t>2014</w:t>
                            </w:r>
                            <w:r w:rsidR="00B834FD">
                              <w:rPr>
                                <w:rFonts w:ascii="Times New Roman" w:hAnsi="Times New Roman" w:cs="Times New Roman"/>
                                <w:sz w:val="40"/>
                                <w:szCs w:val="40"/>
                              </w:rPr>
                              <w:t xml:space="preserve"> </w:t>
                            </w:r>
                            <w:r w:rsidR="00E74A0E">
                              <w:rPr>
                                <w:rFonts w:ascii="Times New Roman" w:hAnsi="Times New Roman" w:cs="Times New Roman"/>
                                <w:sz w:val="40"/>
                                <w:szCs w:val="40"/>
                              </w:rPr>
                              <w:t>3</w:t>
                            </w:r>
                            <w:r w:rsidR="00B834FD"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0;width:342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" stroked="f">
                <v:fill opacity="0"/>
                <v:textbox inset="0,0,0,0">
                  <w:txbxContent>
                    <w:p w:rsidR="00B834FD" w:rsidRDefault="00B834FD"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B834FD" w:rsidRPr="00803E3E" w:rsidRDefault="003F3737" w:rsidP="00803E3E">
                      <w:pPr>
                        <w:pStyle w:val="Heading1"/>
                        <w:rPr>
                          <w:rFonts w:ascii="Times New Roman" w:hAnsi="Times New Roman" w:cs="Times New Roman"/>
                          <w:sz w:val="40"/>
                          <w:szCs w:val="40"/>
                        </w:rPr>
                      </w:pPr>
                      <w:r>
                        <w:rPr>
                          <w:rFonts w:ascii="Times New Roman" w:hAnsi="Times New Roman" w:cs="Times New Roman"/>
                          <w:sz w:val="40"/>
                          <w:szCs w:val="40"/>
                        </w:rPr>
                        <w:t>2014</w:t>
                      </w:r>
                      <w:r w:rsidR="00B834FD">
                        <w:rPr>
                          <w:rFonts w:ascii="Times New Roman" w:hAnsi="Times New Roman" w:cs="Times New Roman"/>
                          <w:sz w:val="40"/>
                          <w:szCs w:val="40"/>
                        </w:rPr>
                        <w:t xml:space="preserve"> </w:t>
                      </w:r>
                      <w:r w:rsidR="00E74A0E">
                        <w:rPr>
                          <w:rFonts w:ascii="Times New Roman" w:hAnsi="Times New Roman" w:cs="Times New Roman"/>
                          <w:sz w:val="40"/>
                          <w:szCs w:val="40"/>
                        </w:rPr>
                        <w:t>3</w:t>
                      </w:r>
                      <w:r w:rsidR="00B834FD" w:rsidRPr="00803E3E">
                        <w:rPr>
                          <w:rFonts w:ascii="Times New Roman" w:hAnsi="Times New Roman" w:cs="Times New Roman"/>
                          <w:sz w:val="40"/>
                          <w:szCs w:val="40"/>
                        </w:rPr>
                        <w:t>. Çeyrek</w:t>
                      </w:r>
                    </w:p>
                    <w:p w:rsidR="00B834FD" w:rsidRPr="00526178" w:rsidRDefault="00B834FD" w:rsidP="007750EF">
                      <w:pPr>
                        <w:pStyle w:val="Heading2"/>
                        <w:rPr>
                          <w:b w:val="0"/>
                          <w:bCs w:val="0"/>
                          <w:i w:val="0"/>
                          <w:iCs w:val="0"/>
                        </w:rPr>
                      </w:pP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4784090</wp:posOffset>
                </wp:positionH>
                <wp:positionV relativeFrom="paragraph">
                  <wp:posOffset>653415</wp:posOffset>
                </wp:positionV>
                <wp:extent cx="1711960" cy="4546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4FD" w:rsidRDefault="009D708E" w:rsidP="007750EF">
                            <w:pPr>
                              <w:pStyle w:val="Heading3"/>
                              <w:rPr>
                                <w:color w:val="FFFFFF"/>
                                <w:sz w:val="22"/>
                                <w:szCs w:val="22"/>
                                <w:lang w:val="tr-TR"/>
                              </w:rPr>
                            </w:pPr>
                            <w:r>
                              <w:rPr>
                                <w:color w:val="FFFFFF"/>
                                <w:sz w:val="22"/>
                                <w:szCs w:val="22"/>
                              </w:rPr>
                              <w:t xml:space="preserve">            </w:t>
                            </w:r>
                            <w:r w:rsidR="003F3737">
                              <w:rPr>
                                <w:color w:val="FFFFFF"/>
                                <w:sz w:val="22"/>
                                <w:szCs w:val="22"/>
                              </w:rPr>
                              <w:t xml:space="preserve">   10</w:t>
                            </w:r>
                            <w:r>
                              <w:rPr>
                                <w:color w:val="FFFFFF"/>
                                <w:sz w:val="22"/>
                                <w:szCs w:val="22"/>
                              </w:rPr>
                              <w:t xml:space="preserve"> </w:t>
                            </w:r>
                            <w:proofErr w:type="spellStart"/>
                            <w:r w:rsidR="00E74A0E">
                              <w:rPr>
                                <w:color w:val="FFFFFF"/>
                                <w:sz w:val="22"/>
                                <w:szCs w:val="22"/>
                              </w:rPr>
                              <w:t>Aralık</w:t>
                            </w:r>
                            <w:proofErr w:type="spellEnd"/>
                            <w:r>
                              <w:rPr>
                                <w:color w:val="FFFFFF"/>
                                <w:sz w:val="22"/>
                                <w:szCs w:val="22"/>
                              </w:rPr>
                              <w:t xml:space="preserve"> </w:t>
                            </w:r>
                            <w:r w:rsidR="003F3737">
                              <w:rPr>
                                <w:color w:val="FFFFFF"/>
                                <w:sz w:val="22"/>
                                <w:szCs w:val="22"/>
                                <w:lang w:val="tr-TR"/>
                              </w:rPr>
                              <w:t>2014</w:t>
                            </w:r>
                          </w:p>
                          <w:p w:rsidR="00B834FD" w:rsidRDefault="00B834FD"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6.7pt;margin-top:51.45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" stroked="f">
                <v:fill opacity="0"/>
                <v:textbox inset="0,0,0,0">
                  <w:txbxContent>
                    <w:p w:rsidR="00B834FD" w:rsidRDefault="009D708E" w:rsidP="007750EF">
                      <w:pPr>
                        <w:pStyle w:val="Heading3"/>
                        <w:rPr>
                          <w:color w:val="FFFFFF"/>
                          <w:sz w:val="22"/>
                          <w:szCs w:val="22"/>
                          <w:lang w:val="tr-TR"/>
                        </w:rPr>
                      </w:pPr>
                      <w:r>
                        <w:rPr>
                          <w:color w:val="FFFFFF"/>
                          <w:sz w:val="22"/>
                          <w:szCs w:val="22"/>
                        </w:rPr>
                        <w:t xml:space="preserve">            </w:t>
                      </w:r>
                      <w:r w:rsidR="003F3737">
                        <w:rPr>
                          <w:color w:val="FFFFFF"/>
                          <w:sz w:val="22"/>
                          <w:szCs w:val="22"/>
                        </w:rPr>
                        <w:t xml:space="preserve">   10</w:t>
                      </w:r>
                      <w:r>
                        <w:rPr>
                          <w:color w:val="FFFFFF"/>
                          <w:sz w:val="22"/>
                          <w:szCs w:val="22"/>
                        </w:rPr>
                        <w:t xml:space="preserve"> </w:t>
                      </w:r>
                      <w:r w:rsidR="00E74A0E">
                        <w:rPr>
                          <w:color w:val="FFFFFF"/>
                          <w:sz w:val="22"/>
                          <w:szCs w:val="22"/>
                        </w:rPr>
                        <w:t>Aralık</w:t>
                      </w:r>
                      <w:r>
                        <w:rPr>
                          <w:color w:val="FFFFFF"/>
                          <w:sz w:val="22"/>
                          <w:szCs w:val="22"/>
                        </w:rPr>
                        <w:t xml:space="preserve"> </w:t>
                      </w:r>
                      <w:r w:rsidR="003F3737">
                        <w:rPr>
                          <w:color w:val="FFFFFF"/>
                          <w:sz w:val="22"/>
                          <w:szCs w:val="22"/>
                          <w:lang w:val="tr-TR"/>
                        </w:rPr>
                        <w:t>2014</w:t>
                      </w:r>
                    </w:p>
                    <w:p w:rsidR="00B834FD" w:rsidRDefault="00B834FD" w:rsidP="007750EF"/>
                  </w:txbxContent>
                </v:textbox>
              </v:shape>
            </w:pict>
          </mc:Fallback>
        </mc:AlternateContent>
      </w:r>
      <w:r w:rsidR="005A7A25">
        <w:rPr>
          <w:noProof/>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Pr="0015266B" w:rsidRDefault="00B834FD" w:rsidP="00AE0BBB">
      <w:pPr>
        <w:spacing w:line="288" w:lineRule="auto"/>
        <w:ind w:right="-319"/>
        <w:jc w:val="center"/>
        <w:rPr>
          <w:rFonts w:ascii="Arial" w:hAnsi="Arial" w:cs="Arial"/>
          <w:b/>
          <w:bCs/>
          <w:sz w:val="20"/>
          <w:szCs w:val="20"/>
        </w:rPr>
      </w:pPr>
    </w:p>
    <w:p w:rsidR="00B834FD" w:rsidRPr="00DD51D1" w:rsidRDefault="00B834FD" w:rsidP="00C805B9">
      <w:pPr>
        <w:spacing w:line="288" w:lineRule="auto"/>
        <w:ind w:right="-319"/>
        <w:jc w:val="center"/>
        <w:outlineLvl w:val="0"/>
        <w:rPr>
          <w:rFonts w:ascii="Arial" w:hAnsi="Arial" w:cs="Arial"/>
          <w:b/>
          <w:bCs/>
          <w:sz w:val="28"/>
          <w:szCs w:val="28"/>
        </w:rPr>
      </w:pPr>
    </w:p>
    <w:p w:rsidR="00B834FD" w:rsidRPr="00DD51D1" w:rsidRDefault="00B834FD" w:rsidP="007750EF">
      <w:pPr>
        <w:spacing w:line="288" w:lineRule="auto"/>
        <w:ind w:right="-319"/>
        <w:outlineLvl w:val="0"/>
        <w:rPr>
          <w:rFonts w:ascii="Arial" w:hAnsi="Arial" w:cs="Arial"/>
          <w:b/>
          <w:bCs/>
          <w:sz w:val="28"/>
          <w:szCs w:val="28"/>
        </w:rPr>
      </w:pPr>
    </w:p>
    <w:p w:rsidR="00FE3990" w:rsidRDefault="00BB42CE" w:rsidP="00C805B9">
      <w:pPr>
        <w:spacing w:line="288" w:lineRule="auto"/>
        <w:ind w:right="-319"/>
        <w:jc w:val="center"/>
        <w:outlineLvl w:val="0"/>
        <w:rPr>
          <w:rFonts w:ascii="Arial" w:hAnsi="Arial" w:cs="Arial"/>
          <w:b/>
          <w:bCs/>
          <w:sz w:val="28"/>
          <w:szCs w:val="28"/>
        </w:rPr>
      </w:pPr>
      <w:r>
        <w:rPr>
          <w:rFonts w:ascii="Arial" w:hAnsi="Arial" w:cs="Arial"/>
          <w:b/>
          <w:bCs/>
          <w:sz w:val="28"/>
          <w:szCs w:val="28"/>
        </w:rPr>
        <w:t>STOKLARDAKİ AZALIŞ</w:t>
      </w:r>
      <w:bookmarkStart w:id="0" w:name="_GoBack"/>
      <w:bookmarkEnd w:id="0"/>
      <w:r w:rsidR="00FE3990">
        <w:rPr>
          <w:rFonts w:ascii="Arial" w:hAnsi="Arial" w:cs="Arial"/>
          <w:b/>
          <w:bCs/>
          <w:sz w:val="28"/>
          <w:szCs w:val="28"/>
        </w:rPr>
        <w:t xml:space="preserve"> BÜYÜMEYİ DÜŞÜRDÜ</w:t>
      </w:r>
    </w:p>
    <w:p w:rsidR="00B834FD" w:rsidRPr="00DD51D1" w:rsidRDefault="00B834FD" w:rsidP="00C805B9">
      <w:pPr>
        <w:spacing w:line="288" w:lineRule="auto"/>
        <w:ind w:right="-319"/>
        <w:jc w:val="center"/>
        <w:outlineLvl w:val="0"/>
        <w:rPr>
          <w:rFonts w:ascii="Arial" w:hAnsi="Arial" w:cs="Arial"/>
          <w:b/>
          <w:bCs/>
          <w:sz w:val="22"/>
          <w:szCs w:val="22"/>
        </w:rPr>
      </w:pPr>
    </w:p>
    <w:p w:rsidR="00B834FD" w:rsidRPr="00DD51D1" w:rsidRDefault="00B834FD" w:rsidP="00C805B9">
      <w:pPr>
        <w:spacing w:line="288" w:lineRule="auto"/>
        <w:ind w:right="-319"/>
        <w:jc w:val="center"/>
        <w:outlineLvl w:val="0"/>
        <w:rPr>
          <w:rFonts w:ascii="Arial" w:hAnsi="Arial" w:cs="Arial"/>
          <w:b/>
          <w:bCs/>
          <w:sz w:val="22"/>
          <w:szCs w:val="22"/>
        </w:rPr>
      </w:pPr>
      <w:r w:rsidRPr="00DD51D1">
        <w:rPr>
          <w:rFonts w:ascii="Arial" w:hAnsi="Arial" w:cs="Arial"/>
          <w:b/>
          <w:bCs/>
          <w:sz w:val="22"/>
          <w:szCs w:val="22"/>
        </w:rPr>
        <w:t>Seyfettin Gürsel</w:t>
      </w:r>
      <w:r w:rsidRPr="00DD51D1">
        <w:rPr>
          <w:rFonts w:ascii="Arial" w:hAnsi="Arial" w:cs="Arial"/>
          <w:b/>
          <w:bCs/>
          <w:sz w:val="22"/>
          <w:szCs w:val="22"/>
          <w:vertAlign w:val="superscript"/>
        </w:rPr>
        <w:t>•</w:t>
      </w:r>
      <w:r w:rsidRPr="00DD51D1">
        <w:rPr>
          <w:rFonts w:ascii="Arial" w:hAnsi="Arial" w:cs="Arial"/>
          <w:b/>
          <w:bCs/>
          <w:sz w:val="22"/>
          <w:szCs w:val="22"/>
        </w:rPr>
        <w:t>, Zümrüt İmamoğlu</w:t>
      </w:r>
      <w:r w:rsidRPr="00DD51D1">
        <w:rPr>
          <w:rFonts w:ascii="Arial" w:hAnsi="Arial" w:cs="Arial"/>
          <w:b/>
          <w:bCs/>
          <w:sz w:val="22"/>
          <w:szCs w:val="22"/>
          <w:vertAlign w:val="superscript"/>
        </w:rPr>
        <w:t xml:space="preserve">‡ </w:t>
      </w:r>
      <w:r w:rsidRPr="00DD51D1">
        <w:rPr>
          <w:rFonts w:ascii="Arial" w:hAnsi="Arial" w:cs="Arial"/>
          <w:b/>
          <w:bCs/>
          <w:sz w:val="22"/>
          <w:szCs w:val="22"/>
        </w:rPr>
        <w:t xml:space="preserve">ve </w:t>
      </w:r>
      <w:r w:rsidR="00A27217">
        <w:rPr>
          <w:rFonts w:ascii="Arial" w:hAnsi="Arial" w:cs="Arial"/>
          <w:b/>
          <w:bCs/>
          <w:sz w:val="22"/>
          <w:szCs w:val="22"/>
        </w:rPr>
        <w:t>Ayşenur Acar</w:t>
      </w:r>
      <w:r w:rsidRPr="00DD51D1">
        <w:rPr>
          <w:rFonts w:ascii="Arial" w:hAnsi="Arial" w:cs="Arial"/>
          <w:b/>
          <w:bCs/>
          <w:sz w:val="22"/>
          <w:szCs w:val="22"/>
          <w:vertAlign w:val="superscript"/>
        </w:rPr>
        <w:t>†</w:t>
      </w:r>
    </w:p>
    <w:p w:rsidR="00B834FD" w:rsidRDefault="00B834FD" w:rsidP="00AE0BBB">
      <w:pPr>
        <w:spacing w:line="288" w:lineRule="auto"/>
        <w:ind w:right="-318"/>
        <w:jc w:val="both"/>
        <w:rPr>
          <w:rFonts w:ascii="Arial" w:hAnsi="Arial" w:cs="Arial"/>
          <w:b/>
          <w:bCs/>
          <w:sz w:val="20"/>
          <w:szCs w:val="20"/>
        </w:rPr>
      </w:pPr>
    </w:p>
    <w:p w:rsidR="00B834FD" w:rsidRPr="00DD51D1" w:rsidRDefault="00B834FD" w:rsidP="00AE0BBB">
      <w:pPr>
        <w:spacing w:line="288" w:lineRule="auto"/>
        <w:ind w:right="-318"/>
        <w:jc w:val="both"/>
        <w:rPr>
          <w:rFonts w:ascii="Arial" w:hAnsi="Arial" w:cs="Arial"/>
          <w:b/>
          <w:bCs/>
          <w:sz w:val="20"/>
          <w:szCs w:val="20"/>
        </w:rPr>
        <w:sectPr w:rsidR="00B834FD" w:rsidRPr="00DD51D1" w:rsidSect="007750EF">
          <w:footerReference w:type="default" r:id="rId10"/>
          <w:footnotePr>
            <w:numFmt w:val="chicago"/>
          </w:footnotePr>
          <w:pgSz w:w="11906" w:h="16838"/>
          <w:pgMar w:top="719" w:right="1417" w:bottom="1417" w:left="1417" w:header="708" w:footer="708" w:gutter="0"/>
          <w:cols w:space="709"/>
          <w:docGrid w:linePitch="360"/>
        </w:sectPr>
      </w:pPr>
    </w:p>
    <w:p w:rsidR="00B834FD" w:rsidRPr="00DD51D1" w:rsidRDefault="00B834FD" w:rsidP="00110EBA">
      <w:pPr>
        <w:pStyle w:val="NormalWeb"/>
        <w:spacing w:before="0" w:beforeAutospacing="0" w:after="0" w:afterAutospacing="0"/>
        <w:jc w:val="both"/>
        <w:rPr>
          <w:rFonts w:ascii="Arial" w:hAnsi="Arial" w:cs="Arial"/>
          <w:sz w:val="22"/>
          <w:szCs w:val="22"/>
        </w:rPr>
      </w:pPr>
    </w:p>
    <w:p w:rsidR="00B834FD" w:rsidRPr="00DD51D1" w:rsidRDefault="00B834FD" w:rsidP="001C629C">
      <w:pPr>
        <w:pStyle w:val="NormalWeb"/>
        <w:spacing w:before="0" w:beforeAutospacing="0" w:after="0" w:afterAutospacing="0"/>
        <w:jc w:val="center"/>
        <w:rPr>
          <w:rFonts w:ascii="Arial" w:hAnsi="Arial" w:cs="Arial"/>
          <w:b/>
          <w:bCs/>
          <w:sz w:val="22"/>
          <w:szCs w:val="22"/>
        </w:rPr>
      </w:pPr>
      <w:r w:rsidRPr="00DD51D1">
        <w:rPr>
          <w:rFonts w:ascii="Arial" w:hAnsi="Arial" w:cs="Arial"/>
          <w:b/>
          <w:bCs/>
          <w:sz w:val="22"/>
          <w:szCs w:val="22"/>
        </w:rPr>
        <w:t>Yönetici özeti</w:t>
      </w:r>
    </w:p>
    <w:p w:rsidR="00B834FD" w:rsidRPr="00DD51D1" w:rsidRDefault="00B834FD" w:rsidP="0058797D">
      <w:pPr>
        <w:pStyle w:val="NormalWeb"/>
        <w:spacing w:before="0" w:beforeAutospacing="0" w:after="0" w:afterAutospacing="0"/>
        <w:rPr>
          <w:rFonts w:ascii="Arial" w:hAnsi="Arial" w:cs="Arial"/>
          <w:b/>
          <w:bCs/>
          <w:sz w:val="22"/>
          <w:szCs w:val="22"/>
        </w:rPr>
      </w:pPr>
    </w:p>
    <w:p w:rsidR="00B834FD" w:rsidRDefault="00B834FD" w:rsidP="004E3889">
      <w:pPr>
        <w:pStyle w:val="NormalWeb"/>
        <w:spacing w:before="0" w:beforeAutospacing="0" w:after="0" w:afterAutospacing="0" w:line="300" w:lineRule="atLeast"/>
        <w:jc w:val="both"/>
        <w:rPr>
          <w:rFonts w:ascii="Arial" w:hAnsi="Arial" w:cs="Arial"/>
          <w:sz w:val="20"/>
          <w:szCs w:val="20"/>
        </w:rPr>
      </w:pPr>
      <w:r w:rsidRPr="00DD51D1">
        <w:rPr>
          <w:rFonts w:ascii="Arial" w:hAnsi="Arial" w:cs="Arial"/>
          <w:sz w:val="20"/>
          <w:szCs w:val="20"/>
        </w:rPr>
        <w:t>TÜİK'in bugün açıkladığı rakamlara gör</w:t>
      </w:r>
      <w:r>
        <w:rPr>
          <w:rFonts w:ascii="Arial" w:hAnsi="Arial" w:cs="Arial"/>
          <w:sz w:val="20"/>
          <w:szCs w:val="20"/>
        </w:rPr>
        <w:t>e Gayri</w:t>
      </w:r>
      <w:r w:rsidR="003F3737">
        <w:rPr>
          <w:rFonts w:ascii="Arial" w:hAnsi="Arial" w:cs="Arial"/>
          <w:sz w:val="20"/>
          <w:szCs w:val="20"/>
        </w:rPr>
        <w:t xml:space="preserve"> Safi Yurtiçi Hasıla (GSYH) 2014</w:t>
      </w:r>
      <w:r w:rsidRPr="00DD51D1">
        <w:rPr>
          <w:rFonts w:ascii="Arial" w:hAnsi="Arial" w:cs="Arial"/>
          <w:sz w:val="20"/>
          <w:szCs w:val="20"/>
        </w:rPr>
        <w:t xml:space="preserve"> </w:t>
      </w:r>
      <w:r w:rsidR="00FB622B">
        <w:rPr>
          <w:rFonts w:ascii="Arial" w:hAnsi="Arial" w:cs="Arial"/>
          <w:sz w:val="20"/>
          <w:szCs w:val="20"/>
        </w:rPr>
        <w:t>üçüncü</w:t>
      </w:r>
      <w:r w:rsidRPr="00DD51D1">
        <w:rPr>
          <w:rFonts w:ascii="Arial" w:hAnsi="Arial" w:cs="Arial"/>
          <w:sz w:val="20"/>
          <w:szCs w:val="20"/>
        </w:rPr>
        <w:t xml:space="preserve"> çeyreğinde bir önceki yılın aynı </w:t>
      </w:r>
      <w:r>
        <w:rPr>
          <w:rFonts w:ascii="Arial" w:hAnsi="Arial" w:cs="Arial"/>
          <w:sz w:val="20"/>
          <w:szCs w:val="20"/>
        </w:rPr>
        <w:t>çeyreğine</w:t>
      </w:r>
      <w:r w:rsidRPr="00DD51D1">
        <w:rPr>
          <w:rFonts w:ascii="Arial" w:hAnsi="Arial" w:cs="Arial"/>
          <w:sz w:val="20"/>
          <w:szCs w:val="20"/>
        </w:rPr>
        <w:t xml:space="preserve"> </w:t>
      </w:r>
      <w:r>
        <w:rPr>
          <w:rFonts w:ascii="Arial" w:hAnsi="Arial" w:cs="Arial"/>
          <w:sz w:val="20"/>
          <w:szCs w:val="20"/>
        </w:rPr>
        <w:t>göre</w:t>
      </w:r>
      <w:r w:rsidRPr="00DD51D1">
        <w:rPr>
          <w:rFonts w:ascii="Arial" w:hAnsi="Arial" w:cs="Arial"/>
          <w:sz w:val="20"/>
          <w:szCs w:val="20"/>
        </w:rPr>
        <w:t xml:space="preserve"> yüzde </w:t>
      </w:r>
      <w:r w:rsidR="00D83B77">
        <w:rPr>
          <w:rFonts w:ascii="Arial" w:hAnsi="Arial" w:cs="Arial"/>
          <w:sz w:val="20"/>
          <w:szCs w:val="20"/>
        </w:rPr>
        <w:t>1,7</w:t>
      </w:r>
      <w:r w:rsidRPr="00DD51D1">
        <w:rPr>
          <w:rFonts w:ascii="Arial" w:hAnsi="Arial" w:cs="Arial"/>
          <w:sz w:val="20"/>
          <w:szCs w:val="20"/>
        </w:rPr>
        <w:t xml:space="preserve"> büyüdü. </w:t>
      </w:r>
      <w:r w:rsidR="00EB170C">
        <w:rPr>
          <w:rFonts w:ascii="Arial" w:hAnsi="Arial" w:cs="Arial"/>
          <w:sz w:val="20"/>
          <w:szCs w:val="20"/>
        </w:rPr>
        <w:t>Mevsim ve takvim etkisinden arındırılmış</w:t>
      </w:r>
      <w:r w:rsidR="00531B2C">
        <w:rPr>
          <w:rFonts w:ascii="Arial" w:hAnsi="Arial" w:cs="Arial"/>
          <w:sz w:val="20"/>
          <w:szCs w:val="20"/>
        </w:rPr>
        <w:t xml:space="preserve"> rakamlara göre ise ekonomi </w:t>
      </w:r>
      <w:r w:rsidR="00FB622B">
        <w:rPr>
          <w:rFonts w:ascii="Arial" w:hAnsi="Arial" w:cs="Arial"/>
          <w:sz w:val="20"/>
          <w:szCs w:val="20"/>
        </w:rPr>
        <w:t>üçüncü</w:t>
      </w:r>
      <w:r w:rsidR="00531B2C">
        <w:rPr>
          <w:rFonts w:ascii="Arial" w:hAnsi="Arial" w:cs="Arial"/>
          <w:sz w:val="20"/>
          <w:szCs w:val="20"/>
        </w:rPr>
        <w:t xml:space="preserve"> çeyrek</w:t>
      </w:r>
      <w:r w:rsidR="00FB622B">
        <w:rPr>
          <w:rFonts w:ascii="Arial" w:hAnsi="Arial" w:cs="Arial"/>
          <w:sz w:val="20"/>
          <w:szCs w:val="20"/>
        </w:rPr>
        <w:t>te i</w:t>
      </w:r>
      <w:r w:rsidR="00E70DB2">
        <w:rPr>
          <w:rFonts w:ascii="Arial" w:hAnsi="Arial" w:cs="Arial"/>
          <w:sz w:val="20"/>
          <w:szCs w:val="20"/>
        </w:rPr>
        <w:t>k</w:t>
      </w:r>
      <w:r w:rsidR="00FB622B">
        <w:rPr>
          <w:rFonts w:ascii="Arial" w:hAnsi="Arial" w:cs="Arial"/>
          <w:sz w:val="20"/>
          <w:szCs w:val="20"/>
        </w:rPr>
        <w:t>inci</w:t>
      </w:r>
      <w:r w:rsidR="00E70DB2">
        <w:rPr>
          <w:rFonts w:ascii="Arial" w:hAnsi="Arial" w:cs="Arial"/>
          <w:sz w:val="20"/>
          <w:szCs w:val="20"/>
        </w:rPr>
        <w:t xml:space="preserve"> çeyreğe kıyasla yüzde </w:t>
      </w:r>
      <w:r w:rsidR="00A8325A">
        <w:rPr>
          <w:rFonts w:ascii="Arial" w:hAnsi="Arial" w:cs="Arial"/>
          <w:sz w:val="20"/>
          <w:szCs w:val="20"/>
        </w:rPr>
        <w:t>0,4</w:t>
      </w:r>
      <w:r w:rsidR="00531B2C">
        <w:rPr>
          <w:rFonts w:ascii="Arial" w:hAnsi="Arial" w:cs="Arial"/>
          <w:sz w:val="20"/>
          <w:szCs w:val="20"/>
        </w:rPr>
        <w:t xml:space="preserve"> oranında </w:t>
      </w:r>
      <w:bookmarkStart w:id="1" w:name="OLE_LINK1"/>
      <w:bookmarkStart w:id="2" w:name="OLE_LINK2"/>
      <w:bookmarkStart w:id="3" w:name="OLE_LINK3"/>
      <w:r w:rsidR="00E70DB2">
        <w:rPr>
          <w:rFonts w:ascii="Arial" w:hAnsi="Arial" w:cs="Arial"/>
          <w:sz w:val="20"/>
          <w:szCs w:val="20"/>
        </w:rPr>
        <w:t>büyüdü.</w:t>
      </w:r>
      <w:r w:rsidR="00531B2C">
        <w:rPr>
          <w:rFonts w:ascii="Arial" w:hAnsi="Arial" w:cs="Arial"/>
          <w:sz w:val="20"/>
          <w:szCs w:val="20"/>
        </w:rPr>
        <w:t xml:space="preserve"> </w:t>
      </w:r>
      <w:bookmarkEnd w:id="1"/>
      <w:bookmarkEnd w:id="2"/>
      <w:bookmarkEnd w:id="3"/>
    </w:p>
    <w:p w:rsidR="00B834FD" w:rsidRPr="00DD51D1" w:rsidRDefault="00B834FD" w:rsidP="004E3889">
      <w:pPr>
        <w:pStyle w:val="NormalWeb"/>
        <w:spacing w:before="0" w:beforeAutospacing="0" w:after="0" w:afterAutospacing="0" w:line="300" w:lineRule="atLeast"/>
        <w:jc w:val="both"/>
        <w:rPr>
          <w:rFonts w:ascii="Arial" w:hAnsi="Arial" w:cs="Arial"/>
          <w:sz w:val="20"/>
          <w:szCs w:val="20"/>
        </w:rPr>
      </w:pPr>
    </w:p>
    <w:p w:rsidR="00600703" w:rsidRDefault="00990D6A"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Bir önceki çeyreğe kıyasla tüketim, yatırım, kamu harcamaları ve ihracat  kalemlerinin hepsi arttı.</w:t>
      </w:r>
      <w:r w:rsidR="00B834FD">
        <w:rPr>
          <w:rFonts w:ascii="Arial" w:hAnsi="Arial" w:cs="Arial"/>
          <w:sz w:val="20"/>
          <w:szCs w:val="20"/>
        </w:rPr>
        <w:t xml:space="preserve"> </w:t>
      </w:r>
      <w:r>
        <w:rPr>
          <w:rFonts w:ascii="Arial" w:hAnsi="Arial" w:cs="Arial"/>
          <w:sz w:val="20"/>
          <w:szCs w:val="20"/>
        </w:rPr>
        <w:t>Tüketim yüzde 1,7, özel yatırımlar yüzde 2,6 ve kamu harcamaları yüzde 1,3 arttı. İhracat yüzde 0,6 artarken ithalat yüzde 3,1 düştü. Böylece üçüncü çeyrekte</w:t>
      </w:r>
      <w:r w:rsidR="00FE3990">
        <w:rPr>
          <w:rFonts w:ascii="Arial" w:hAnsi="Arial" w:cs="Arial"/>
          <w:sz w:val="20"/>
          <w:szCs w:val="20"/>
        </w:rPr>
        <w:t xml:space="preserve"> hem iç talebin hem de </w:t>
      </w:r>
      <w:r>
        <w:rPr>
          <w:rFonts w:ascii="Arial" w:hAnsi="Arial" w:cs="Arial"/>
          <w:sz w:val="20"/>
          <w:szCs w:val="20"/>
        </w:rPr>
        <w:t xml:space="preserve">net ihracatın büyümeye katkısı pozitif oldu. </w:t>
      </w:r>
      <w:r w:rsidR="00492063">
        <w:rPr>
          <w:rFonts w:ascii="Arial" w:hAnsi="Arial" w:cs="Arial"/>
          <w:sz w:val="20"/>
          <w:szCs w:val="20"/>
        </w:rPr>
        <w:t xml:space="preserve">Ancak tarımsal üretimdeki gerileme stokları azaltarak büyümeyi sınırladı. </w:t>
      </w:r>
      <w:r w:rsidR="00EB170C" w:rsidRPr="00FE3990">
        <w:rPr>
          <w:rFonts w:ascii="Arial" w:hAnsi="Arial" w:cs="Arial"/>
          <w:sz w:val="20"/>
          <w:szCs w:val="20"/>
        </w:rPr>
        <w:t>2014</w:t>
      </w:r>
      <w:r w:rsidR="00671A37" w:rsidRPr="00FE3990">
        <w:rPr>
          <w:rFonts w:ascii="Arial" w:hAnsi="Arial" w:cs="Arial"/>
          <w:sz w:val="20"/>
          <w:szCs w:val="20"/>
        </w:rPr>
        <w:t>'ün</w:t>
      </w:r>
      <w:r w:rsidR="00F44735" w:rsidRPr="00FE3990">
        <w:rPr>
          <w:rFonts w:ascii="Arial" w:hAnsi="Arial" w:cs="Arial"/>
          <w:sz w:val="20"/>
          <w:szCs w:val="20"/>
        </w:rPr>
        <w:t xml:space="preserve"> ilk </w:t>
      </w:r>
      <w:r w:rsidR="00492063">
        <w:rPr>
          <w:rFonts w:ascii="Arial" w:hAnsi="Arial" w:cs="Arial"/>
          <w:sz w:val="20"/>
          <w:szCs w:val="20"/>
        </w:rPr>
        <w:t>iki çeyreğinde daralan tüketim ve yatırım harcamaları üçüncü çeyrekte ilk defa artış gösterdi. Tüketim çeyreklik bazda büyümeye son bir yılın, yatırımlar ise son bir buçuk yılın en yüksek katkısını yaptı.</w:t>
      </w:r>
    </w:p>
    <w:p w:rsidR="00600703" w:rsidRDefault="00600703" w:rsidP="00470351">
      <w:pPr>
        <w:pStyle w:val="NormalWeb"/>
        <w:spacing w:before="0" w:beforeAutospacing="0" w:after="0" w:afterAutospacing="0" w:line="300" w:lineRule="atLeast"/>
        <w:jc w:val="both"/>
        <w:rPr>
          <w:rFonts w:ascii="Arial" w:hAnsi="Arial" w:cs="Arial"/>
          <w:sz w:val="20"/>
          <w:szCs w:val="20"/>
        </w:rPr>
      </w:pPr>
    </w:p>
    <w:p w:rsidR="00B834FD" w:rsidRDefault="00492063" w:rsidP="00470351">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Diğer yandan y</w:t>
      </w:r>
      <w:r w:rsidR="00671A37" w:rsidRPr="00FE3990">
        <w:rPr>
          <w:rFonts w:ascii="Arial" w:hAnsi="Arial" w:cs="Arial"/>
          <w:sz w:val="20"/>
          <w:szCs w:val="20"/>
        </w:rPr>
        <w:t xml:space="preserve">avaşlayan büyüme </w:t>
      </w:r>
      <w:r w:rsidR="00600703">
        <w:rPr>
          <w:rFonts w:ascii="Arial" w:hAnsi="Arial" w:cs="Arial"/>
          <w:sz w:val="20"/>
          <w:szCs w:val="20"/>
        </w:rPr>
        <w:t xml:space="preserve">ve azalan ithalat </w:t>
      </w:r>
      <w:r w:rsidR="00671A37" w:rsidRPr="00FE3990">
        <w:rPr>
          <w:rFonts w:ascii="Arial" w:hAnsi="Arial" w:cs="Arial"/>
          <w:sz w:val="20"/>
          <w:szCs w:val="20"/>
        </w:rPr>
        <w:t xml:space="preserve">cari açığı </w:t>
      </w:r>
      <w:r w:rsidR="00600703">
        <w:rPr>
          <w:rFonts w:ascii="Arial" w:hAnsi="Arial" w:cs="Arial"/>
          <w:sz w:val="20"/>
          <w:szCs w:val="20"/>
        </w:rPr>
        <w:t>azaltmaya devam ediyor</w:t>
      </w:r>
      <w:r w:rsidR="00671A37" w:rsidRPr="00FE3990">
        <w:rPr>
          <w:rFonts w:ascii="Arial" w:hAnsi="Arial" w:cs="Arial"/>
          <w:sz w:val="20"/>
          <w:szCs w:val="20"/>
        </w:rPr>
        <w:t>.</w:t>
      </w:r>
      <w:r w:rsidR="00531B2C" w:rsidRPr="00FE3990">
        <w:rPr>
          <w:rFonts w:ascii="Arial" w:hAnsi="Arial" w:cs="Arial"/>
          <w:sz w:val="20"/>
          <w:szCs w:val="20"/>
        </w:rPr>
        <w:t xml:space="preserve"> </w:t>
      </w:r>
      <w:r w:rsidR="00600703">
        <w:rPr>
          <w:rFonts w:ascii="Arial" w:hAnsi="Arial" w:cs="Arial"/>
          <w:sz w:val="20"/>
          <w:szCs w:val="20"/>
        </w:rPr>
        <w:t>Üçüncü</w:t>
      </w:r>
      <w:r w:rsidR="00531B2C" w:rsidRPr="00FE3990">
        <w:rPr>
          <w:rFonts w:ascii="Arial" w:hAnsi="Arial" w:cs="Arial"/>
          <w:sz w:val="20"/>
          <w:szCs w:val="20"/>
        </w:rPr>
        <w:t xml:space="preserve"> çeyrek sonunda</w:t>
      </w:r>
      <w:r w:rsidR="007929BD" w:rsidRPr="00FE3990">
        <w:rPr>
          <w:rFonts w:ascii="Arial" w:hAnsi="Arial" w:cs="Arial"/>
          <w:sz w:val="20"/>
          <w:szCs w:val="20"/>
        </w:rPr>
        <w:t xml:space="preserve"> 12 aylık cari açığın GSYH’a oranı yüzde</w:t>
      </w:r>
      <w:r w:rsidR="00600703">
        <w:rPr>
          <w:rFonts w:ascii="Arial" w:hAnsi="Arial" w:cs="Arial"/>
          <w:sz w:val="20"/>
          <w:szCs w:val="20"/>
        </w:rPr>
        <w:t xml:space="preserve"> </w:t>
      </w:r>
      <w:r w:rsidR="00531B2C" w:rsidRPr="00FE3990">
        <w:rPr>
          <w:rFonts w:ascii="Arial" w:hAnsi="Arial" w:cs="Arial"/>
          <w:sz w:val="20"/>
          <w:szCs w:val="20"/>
        </w:rPr>
        <w:t>5</w:t>
      </w:r>
      <w:r w:rsidR="00600703">
        <w:rPr>
          <w:rFonts w:ascii="Arial" w:hAnsi="Arial" w:cs="Arial"/>
          <w:sz w:val="20"/>
          <w:szCs w:val="20"/>
        </w:rPr>
        <w:t>,8</w:t>
      </w:r>
      <w:r w:rsidR="007929BD" w:rsidRPr="00FE3990">
        <w:rPr>
          <w:rFonts w:ascii="Arial" w:hAnsi="Arial" w:cs="Arial"/>
          <w:sz w:val="20"/>
          <w:szCs w:val="20"/>
        </w:rPr>
        <w:t xml:space="preserve"> olarak gerçekleşti. </w:t>
      </w:r>
      <w:r w:rsidR="00600703">
        <w:rPr>
          <w:rFonts w:ascii="Arial" w:hAnsi="Arial" w:cs="Arial"/>
          <w:sz w:val="20"/>
          <w:szCs w:val="20"/>
        </w:rPr>
        <w:t>İkinci</w:t>
      </w:r>
      <w:r w:rsidR="00531B2C" w:rsidRPr="00FE3990">
        <w:rPr>
          <w:rFonts w:ascii="Arial" w:hAnsi="Arial" w:cs="Arial"/>
          <w:sz w:val="20"/>
          <w:szCs w:val="20"/>
        </w:rPr>
        <w:t xml:space="preserve"> çeyrek sonunda</w:t>
      </w:r>
      <w:r w:rsidR="007929BD" w:rsidRPr="00FE3990">
        <w:rPr>
          <w:rFonts w:ascii="Arial" w:hAnsi="Arial" w:cs="Arial"/>
          <w:sz w:val="20"/>
          <w:szCs w:val="20"/>
        </w:rPr>
        <w:t xml:space="preserve"> bu rakam </w:t>
      </w:r>
      <w:r w:rsidR="002F7168">
        <w:rPr>
          <w:rFonts w:ascii="Arial" w:hAnsi="Arial" w:cs="Arial"/>
          <w:sz w:val="20"/>
          <w:szCs w:val="20"/>
        </w:rPr>
        <w:t xml:space="preserve">yüzde </w:t>
      </w:r>
      <w:r w:rsidR="00600703">
        <w:rPr>
          <w:rFonts w:ascii="Arial" w:hAnsi="Arial" w:cs="Arial"/>
          <w:sz w:val="20"/>
          <w:szCs w:val="20"/>
        </w:rPr>
        <w:t>6</w:t>
      </w:r>
      <w:r w:rsidR="007929BD" w:rsidRPr="00FE3990">
        <w:rPr>
          <w:rFonts w:ascii="Arial" w:hAnsi="Arial" w:cs="Arial"/>
          <w:sz w:val="20"/>
          <w:szCs w:val="20"/>
        </w:rPr>
        <w:t>,</w:t>
      </w:r>
      <w:r w:rsidR="00382F0E" w:rsidRPr="00FE3990">
        <w:rPr>
          <w:rFonts w:ascii="Arial" w:hAnsi="Arial" w:cs="Arial"/>
          <w:sz w:val="20"/>
          <w:szCs w:val="20"/>
        </w:rPr>
        <w:t xml:space="preserve">5 </w:t>
      </w:r>
      <w:r w:rsidR="007929BD" w:rsidRPr="00FE3990">
        <w:rPr>
          <w:rFonts w:ascii="Arial" w:hAnsi="Arial" w:cs="Arial"/>
          <w:sz w:val="20"/>
          <w:szCs w:val="20"/>
        </w:rPr>
        <w:t>olmuştu. Altın hariç</w:t>
      </w:r>
      <w:r w:rsidR="00382F0E" w:rsidRPr="00FE3990">
        <w:rPr>
          <w:rFonts w:ascii="Arial" w:hAnsi="Arial" w:cs="Arial"/>
          <w:sz w:val="20"/>
          <w:szCs w:val="20"/>
        </w:rPr>
        <w:t xml:space="preserve"> cari açık ise yüzde </w:t>
      </w:r>
      <w:r w:rsidR="00600703">
        <w:rPr>
          <w:rFonts w:ascii="Arial" w:hAnsi="Arial" w:cs="Arial"/>
          <w:sz w:val="20"/>
          <w:szCs w:val="20"/>
        </w:rPr>
        <w:t>5</w:t>
      </w:r>
      <w:r w:rsidR="00382F0E" w:rsidRPr="00FE3990">
        <w:rPr>
          <w:rFonts w:ascii="Arial" w:hAnsi="Arial" w:cs="Arial"/>
          <w:sz w:val="20"/>
          <w:szCs w:val="20"/>
        </w:rPr>
        <w:t>,</w:t>
      </w:r>
      <w:r w:rsidR="00600703">
        <w:rPr>
          <w:rFonts w:ascii="Arial" w:hAnsi="Arial" w:cs="Arial"/>
          <w:sz w:val="20"/>
          <w:szCs w:val="20"/>
        </w:rPr>
        <w:t>9</w:t>
      </w:r>
      <w:r w:rsidR="007929BD" w:rsidRPr="00FE3990">
        <w:rPr>
          <w:rFonts w:ascii="Arial" w:hAnsi="Arial" w:cs="Arial"/>
          <w:sz w:val="20"/>
          <w:szCs w:val="20"/>
        </w:rPr>
        <w:t>'</w:t>
      </w:r>
      <w:r w:rsidR="00600703">
        <w:rPr>
          <w:rFonts w:ascii="Arial" w:hAnsi="Arial" w:cs="Arial"/>
          <w:sz w:val="20"/>
          <w:szCs w:val="20"/>
        </w:rPr>
        <w:t>da</w:t>
      </w:r>
      <w:r w:rsidR="007929BD" w:rsidRPr="00FE3990">
        <w:rPr>
          <w:rFonts w:ascii="Arial" w:hAnsi="Arial" w:cs="Arial"/>
          <w:sz w:val="20"/>
          <w:szCs w:val="20"/>
        </w:rPr>
        <w:t xml:space="preserve">n yüzde </w:t>
      </w:r>
      <w:r w:rsidR="00382F0E" w:rsidRPr="00FE3990">
        <w:rPr>
          <w:rFonts w:ascii="Arial" w:hAnsi="Arial" w:cs="Arial"/>
          <w:sz w:val="20"/>
          <w:szCs w:val="20"/>
        </w:rPr>
        <w:t>5</w:t>
      </w:r>
      <w:r w:rsidR="007929BD" w:rsidRPr="00FE3990">
        <w:rPr>
          <w:rFonts w:ascii="Arial" w:hAnsi="Arial" w:cs="Arial"/>
          <w:sz w:val="20"/>
          <w:szCs w:val="20"/>
        </w:rPr>
        <w:t>,</w:t>
      </w:r>
      <w:r w:rsidR="00600703">
        <w:rPr>
          <w:rFonts w:ascii="Arial" w:hAnsi="Arial" w:cs="Arial"/>
          <w:sz w:val="20"/>
          <w:szCs w:val="20"/>
        </w:rPr>
        <w:t>4</w:t>
      </w:r>
      <w:r w:rsidR="007929BD" w:rsidRPr="00FE3990">
        <w:rPr>
          <w:rFonts w:ascii="Arial" w:hAnsi="Arial" w:cs="Arial"/>
          <w:sz w:val="20"/>
          <w:szCs w:val="20"/>
        </w:rPr>
        <w:t>'</w:t>
      </w:r>
      <w:r w:rsidR="00600703">
        <w:rPr>
          <w:rFonts w:ascii="Arial" w:hAnsi="Arial" w:cs="Arial"/>
          <w:sz w:val="20"/>
          <w:szCs w:val="20"/>
        </w:rPr>
        <w:t>e</w:t>
      </w:r>
      <w:r w:rsidR="007929BD" w:rsidRPr="00FE3990">
        <w:rPr>
          <w:rFonts w:ascii="Arial" w:hAnsi="Arial" w:cs="Arial"/>
          <w:sz w:val="20"/>
          <w:szCs w:val="20"/>
        </w:rPr>
        <w:t xml:space="preserve"> indi.</w:t>
      </w:r>
      <w:r w:rsidR="000252CE" w:rsidRPr="00FE3990">
        <w:rPr>
          <w:rFonts w:ascii="Arial" w:hAnsi="Arial" w:cs="Arial"/>
          <w:sz w:val="20"/>
          <w:szCs w:val="20"/>
        </w:rPr>
        <w:t>*</w:t>
      </w:r>
    </w:p>
    <w:p w:rsidR="00B834FD" w:rsidRPr="00F30DA8" w:rsidRDefault="00284C3D" w:rsidP="00A7746C">
      <w:pPr>
        <w:pStyle w:val="NormalWeb"/>
        <w:spacing w:before="0" w:beforeAutospacing="0" w:after="0" w:afterAutospacing="0"/>
        <w:jc w:val="both"/>
        <w:rPr>
          <w:sz w:val="20"/>
          <w:szCs w:val="20"/>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-48895</wp:posOffset>
                </wp:positionH>
                <wp:positionV relativeFrom="paragraph">
                  <wp:posOffset>46354</wp:posOffset>
                </wp:positionV>
                <wp:extent cx="2971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Q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WTxm8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"/>
            </w:pict>
          </mc:Fallback>
        </mc:AlternateContent>
      </w:r>
      <w:r w:rsidR="00B834FD" w:rsidRPr="00F30DA8">
        <w:rPr>
          <w:sz w:val="20"/>
          <w:szCs w:val="20"/>
        </w:rPr>
        <w:t xml:space="preserve"> </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Prof. Dr. Seyfettin Gürsel, Betam, Direktör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seyfettin.gursel@</w:t>
      </w:r>
      <w:r w:rsidR="00492063">
        <w:rPr>
          <w:rFonts w:ascii="Arial" w:hAnsi="Arial" w:cs="Arial"/>
          <w:sz w:val="16"/>
          <w:szCs w:val="16"/>
        </w:rPr>
        <w:t>eas.</w:t>
      </w:r>
      <w:r w:rsidRPr="009D708E">
        <w:rPr>
          <w:rFonts w:ascii="Arial" w:hAnsi="Arial" w:cs="Arial"/>
          <w:sz w:val="16"/>
          <w:szCs w:val="16"/>
        </w:rPr>
        <w:t>bahcesehir.edu.tr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Dr. Zümrüt İmamoğlu, Betam, Uzman Araştırmacı.</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zumrut.imamoglu@</w:t>
      </w:r>
      <w:r w:rsidR="00492063">
        <w:rPr>
          <w:rFonts w:ascii="Arial" w:hAnsi="Arial" w:cs="Arial"/>
          <w:sz w:val="16"/>
          <w:szCs w:val="16"/>
        </w:rPr>
        <w:t>eas.</w:t>
      </w:r>
      <w:r w:rsidRPr="009D708E">
        <w:rPr>
          <w:rFonts w:ascii="Arial" w:hAnsi="Arial" w:cs="Arial"/>
          <w:sz w:val="16"/>
          <w:szCs w:val="16"/>
        </w:rPr>
        <w:t>bahcesehir.edu.tr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w:t>
      </w:r>
      <w:r w:rsidR="00B47CEA">
        <w:rPr>
          <w:rFonts w:ascii="Arial" w:hAnsi="Arial" w:cs="Arial"/>
          <w:sz w:val="16"/>
          <w:szCs w:val="16"/>
        </w:rPr>
        <w:t xml:space="preserve">Dr. </w:t>
      </w:r>
      <w:r w:rsidR="00492063">
        <w:rPr>
          <w:rFonts w:ascii="Arial" w:hAnsi="Arial" w:cs="Arial"/>
          <w:sz w:val="16"/>
          <w:szCs w:val="16"/>
        </w:rPr>
        <w:t>Ayşenur Acar</w:t>
      </w:r>
      <w:r w:rsidRPr="009D708E">
        <w:rPr>
          <w:rFonts w:ascii="Arial" w:hAnsi="Arial" w:cs="Arial"/>
          <w:sz w:val="16"/>
          <w:szCs w:val="16"/>
        </w:rPr>
        <w:t>, Betam, Araştırma Görevlisi.</w:t>
      </w:r>
    </w:p>
    <w:p w:rsidR="00B834FD"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w:t>
      </w:r>
      <w:r w:rsidR="00492063">
        <w:rPr>
          <w:rFonts w:ascii="Arial" w:hAnsi="Arial" w:cs="Arial"/>
          <w:sz w:val="16"/>
          <w:szCs w:val="16"/>
        </w:rPr>
        <w:t>aysenur</w:t>
      </w:r>
      <w:r w:rsidRPr="009D708E">
        <w:rPr>
          <w:rFonts w:ascii="Arial" w:hAnsi="Arial" w:cs="Arial"/>
          <w:sz w:val="16"/>
          <w:szCs w:val="16"/>
        </w:rPr>
        <w:t>.</w:t>
      </w:r>
      <w:r w:rsidR="00492063">
        <w:rPr>
          <w:rFonts w:ascii="Arial" w:hAnsi="Arial" w:cs="Arial"/>
          <w:sz w:val="16"/>
          <w:szCs w:val="16"/>
        </w:rPr>
        <w:t>acar</w:t>
      </w:r>
      <w:r w:rsidRPr="009D708E">
        <w:rPr>
          <w:rFonts w:ascii="Arial" w:hAnsi="Arial" w:cs="Arial"/>
          <w:sz w:val="16"/>
          <w:szCs w:val="16"/>
        </w:rPr>
        <w:t>@</w:t>
      </w:r>
      <w:r w:rsidR="00492063">
        <w:rPr>
          <w:rFonts w:ascii="Arial" w:hAnsi="Arial" w:cs="Arial"/>
          <w:sz w:val="16"/>
          <w:szCs w:val="16"/>
        </w:rPr>
        <w:t>eas.</w:t>
      </w:r>
      <w:r w:rsidRPr="009D708E">
        <w:rPr>
          <w:rFonts w:ascii="Arial" w:hAnsi="Arial" w:cs="Arial"/>
          <w:sz w:val="16"/>
          <w:szCs w:val="16"/>
        </w:rPr>
        <w:t>bahcesehir.edu.tr</w:t>
      </w:r>
    </w:p>
    <w:p w:rsidR="000252CE" w:rsidRDefault="000252CE" w:rsidP="00A7746C">
      <w:pPr>
        <w:pStyle w:val="NormalWeb"/>
        <w:spacing w:before="0" w:beforeAutospacing="0" w:after="0" w:afterAutospacing="0"/>
        <w:jc w:val="both"/>
        <w:rPr>
          <w:rFonts w:ascii="Arial" w:hAnsi="Arial" w:cs="Arial"/>
          <w:sz w:val="16"/>
          <w:szCs w:val="16"/>
        </w:rPr>
      </w:pPr>
    </w:p>
    <w:p w:rsidR="000252CE" w:rsidRPr="009D708E" w:rsidRDefault="000252CE" w:rsidP="00A7746C">
      <w:pPr>
        <w:pStyle w:val="NormalWeb"/>
        <w:spacing w:before="0" w:beforeAutospacing="0" w:after="0" w:afterAutospacing="0"/>
        <w:jc w:val="both"/>
        <w:rPr>
          <w:rFonts w:ascii="Arial" w:hAnsi="Arial" w:cs="Arial"/>
          <w:sz w:val="16"/>
          <w:szCs w:val="16"/>
        </w:rPr>
      </w:pPr>
      <w:r>
        <w:rPr>
          <w:rFonts w:ascii="Arial" w:hAnsi="Arial" w:cs="Arial"/>
          <w:sz w:val="16"/>
          <w:szCs w:val="16"/>
        </w:rPr>
        <w:t xml:space="preserve">*Ödemeler dengesi </w:t>
      </w:r>
      <w:r w:rsidR="00600703">
        <w:rPr>
          <w:rFonts w:ascii="Arial" w:hAnsi="Arial" w:cs="Arial"/>
          <w:sz w:val="16"/>
          <w:szCs w:val="16"/>
        </w:rPr>
        <w:t>Ekim</w:t>
      </w:r>
      <w:r>
        <w:rPr>
          <w:rFonts w:ascii="Arial" w:hAnsi="Arial" w:cs="Arial"/>
          <w:sz w:val="16"/>
          <w:szCs w:val="16"/>
        </w:rPr>
        <w:t xml:space="preserve"> ayı verileri </w:t>
      </w:r>
      <w:r w:rsidRPr="00492063">
        <w:rPr>
          <w:rFonts w:ascii="Arial" w:hAnsi="Arial" w:cs="Arial"/>
          <w:sz w:val="16"/>
          <w:szCs w:val="16"/>
        </w:rPr>
        <w:t>11</w:t>
      </w:r>
      <w:r>
        <w:rPr>
          <w:rFonts w:ascii="Arial" w:hAnsi="Arial" w:cs="Arial"/>
          <w:sz w:val="16"/>
          <w:szCs w:val="16"/>
        </w:rPr>
        <w:t xml:space="preserve"> </w:t>
      </w:r>
      <w:r w:rsidR="00600703">
        <w:rPr>
          <w:rFonts w:ascii="Arial" w:hAnsi="Arial" w:cs="Arial"/>
          <w:sz w:val="16"/>
          <w:szCs w:val="16"/>
        </w:rPr>
        <w:t>Aralık'ta</w:t>
      </w:r>
      <w:r>
        <w:rPr>
          <w:rFonts w:ascii="Arial" w:hAnsi="Arial" w:cs="Arial"/>
          <w:sz w:val="16"/>
          <w:szCs w:val="16"/>
        </w:rPr>
        <w:t xml:space="preserve"> açıklanacak ve geçmiş</w:t>
      </w:r>
      <w:r w:rsidR="00600703">
        <w:rPr>
          <w:rFonts w:ascii="Arial" w:hAnsi="Arial" w:cs="Arial"/>
          <w:sz w:val="16"/>
          <w:szCs w:val="16"/>
        </w:rPr>
        <w:t xml:space="preserve"> aylara</w:t>
      </w:r>
      <w:r>
        <w:rPr>
          <w:rFonts w:ascii="Arial" w:hAnsi="Arial" w:cs="Arial"/>
          <w:sz w:val="16"/>
          <w:szCs w:val="16"/>
        </w:rPr>
        <w:t xml:space="preserve"> yönelik rakamlar revize edilecek, bu nedenle oranlarda küçük farklılıklar oluşabilir.</w:t>
      </w: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0252CE" w:rsidRDefault="000252CE" w:rsidP="002548F5">
      <w:pPr>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 xml:space="preserve">Şekil 1: GSYH alt kalemlerinin </w:t>
      </w:r>
      <w:r w:rsidR="006F6EBA">
        <w:rPr>
          <w:rFonts w:ascii="Arial" w:hAnsi="Arial" w:cs="Arial"/>
          <w:b/>
          <w:bCs/>
          <w:sz w:val="20"/>
          <w:szCs w:val="20"/>
        </w:rPr>
        <w:t xml:space="preserve">2014 </w:t>
      </w:r>
      <w:r w:rsidR="00792E44">
        <w:rPr>
          <w:rFonts w:ascii="Arial" w:hAnsi="Arial" w:cs="Arial"/>
          <w:b/>
          <w:bCs/>
          <w:sz w:val="20"/>
          <w:szCs w:val="20"/>
        </w:rPr>
        <w:t>2</w:t>
      </w:r>
      <w:r w:rsidR="00F11CBF">
        <w:rPr>
          <w:rFonts w:ascii="Arial" w:hAnsi="Arial" w:cs="Arial"/>
          <w:b/>
          <w:bCs/>
          <w:sz w:val="20"/>
          <w:szCs w:val="20"/>
        </w:rPr>
        <w:t>. çeyrekten 2014</w:t>
      </w:r>
      <w:r w:rsidR="006F6EBA">
        <w:rPr>
          <w:rFonts w:ascii="Arial" w:hAnsi="Arial" w:cs="Arial"/>
          <w:b/>
          <w:bCs/>
          <w:sz w:val="20"/>
          <w:szCs w:val="20"/>
        </w:rPr>
        <w:t xml:space="preserve"> </w:t>
      </w:r>
      <w:r w:rsidR="00792E44">
        <w:rPr>
          <w:rFonts w:ascii="Arial" w:hAnsi="Arial" w:cs="Arial"/>
          <w:b/>
          <w:bCs/>
          <w:sz w:val="20"/>
          <w:szCs w:val="20"/>
        </w:rPr>
        <w:t>3</w:t>
      </w:r>
      <w:r>
        <w:rPr>
          <w:rFonts w:ascii="Arial" w:hAnsi="Arial" w:cs="Arial"/>
          <w:b/>
          <w:bCs/>
          <w:sz w:val="20"/>
          <w:szCs w:val="20"/>
        </w:rPr>
        <w:t xml:space="preserve">. çeyreğe </w:t>
      </w:r>
      <w:r w:rsidRPr="00DD51D1">
        <w:rPr>
          <w:rFonts w:ascii="Arial" w:hAnsi="Arial" w:cs="Arial"/>
          <w:b/>
          <w:bCs/>
          <w:sz w:val="20"/>
          <w:szCs w:val="20"/>
        </w:rPr>
        <w:t xml:space="preserve">değişimleri </w:t>
      </w:r>
    </w:p>
    <w:p w:rsidR="00B834FD" w:rsidRPr="00DB5757" w:rsidRDefault="00E74A0E" w:rsidP="00660DE2">
      <w:pPr>
        <w:ind w:right="77"/>
        <w:jc w:val="both"/>
      </w:pPr>
      <w:r>
        <w:rPr>
          <w:noProof/>
        </w:rPr>
        <w:drawing>
          <wp:inline distT="0" distB="0" distL="0" distR="0">
            <wp:extent cx="3020695" cy="1875790"/>
            <wp:effectExtent l="19050" t="0" r="8255" b="0"/>
            <wp:docPr id="10" name="Picture 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stretch>
                      <a:fillRect/>
                    </a:stretch>
                  </pic:blipFill>
                  <pic:spPr>
                    <a:xfrm>
                      <a:off x="0" y="0"/>
                      <a:ext cx="3020695" cy="1875790"/>
                    </a:xfrm>
                    <a:prstGeom prst="rect">
                      <a:avLst/>
                    </a:prstGeom>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Çeyreklik göstergeler mevsim ve takvim etkisinden arındırılmıştır.</w:t>
      </w:r>
    </w:p>
    <w:p w:rsidR="00B834FD" w:rsidRPr="00DD51D1" w:rsidRDefault="00B834FD" w:rsidP="00DD51D1">
      <w:pPr>
        <w:spacing w:line="360" w:lineRule="auto"/>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Şekil 2: GSYH alt kalemlerinin</w:t>
      </w:r>
      <w:r w:rsidR="006F6EBA">
        <w:rPr>
          <w:rFonts w:ascii="Arial" w:hAnsi="Arial" w:cs="Arial"/>
          <w:b/>
          <w:bCs/>
          <w:sz w:val="20"/>
          <w:szCs w:val="20"/>
        </w:rPr>
        <w:t xml:space="preserve"> 2014 </w:t>
      </w:r>
      <w:r w:rsidR="00792E44">
        <w:rPr>
          <w:rFonts w:ascii="Arial" w:hAnsi="Arial" w:cs="Arial"/>
          <w:b/>
          <w:bCs/>
          <w:sz w:val="20"/>
          <w:szCs w:val="20"/>
        </w:rPr>
        <w:t>2</w:t>
      </w:r>
      <w:r w:rsidR="00F11CBF">
        <w:rPr>
          <w:rFonts w:ascii="Arial" w:hAnsi="Arial" w:cs="Arial"/>
          <w:b/>
          <w:bCs/>
          <w:sz w:val="20"/>
          <w:szCs w:val="20"/>
        </w:rPr>
        <w:t>. çeyrekten 2014</w:t>
      </w:r>
      <w:r w:rsidR="006F6EBA">
        <w:rPr>
          <w:rFonts w:ascii="Arial" w:hAnsi="Arial" w:cs="Arial"/>
          <w:b/>
          <w:bCs/>
          <w:sz w:val="20"/>
          <w:szCs w:val="20"/>
        </w:rPr>
        <w:t xml:space="preserve"> </w:t>
      </w:r>
      <w:r w:rsidR="00792E44">
        <w:rPr>
          <w:rFonts w:ascii="Arial" w:hAnsi="Arial" w:cs="Arial"/>
          <w:b/>
          <w:bCs/>
          <w:sz w:val="20"/>
          <w:szCs w:val="20"/>
        </w:rPr>
        <w:t>3</w:t>
      </w:r>
      <w:r>
        <w:rPr>
          <w:rFonts w:ascii="Arial" w:hAnsi="Arial" w:cs="Arial"/>
          <w:b/>
          <w:bCs/>
          <w:sz w:val="20"/>
          <w:szCs w:val="20"/>
        </w:rPr>
        <w:t>. çeyreğe</w:t>
      </w:r>
      <w:r w:rsidRPr="00DD51D1">
        <w:rPr>
          <w:rFonts w:ascii="Arial" w:hAnsi="Arial" w:cs="Arial"/>
          <w:b/>
          <w:bCs/>
          <w:sz w:val="20"/>
          <w:szCs w:val="20"/>
        </w:rPr>
        <w:t xml:space="preserve"> GSYH büyümesine katkıları</w:t>
      </w:r>
    </w:p>
    <w:p w:rsidR="00B834FD" w:rsidRDefault="0077714A" w:rsidP="001C5776">
      <w:pPr>
        <w:ind w:right="77"/>
        <w:jc w:val="both"/>
      </w:pPr>
      <w:r>
        <w:rPr>
          <w:noProof/>
        </w:rPr>
        <w:drawing>
          <wp:inline distT="0" distB="0" distL="0" distR="0">
            <wp:extent cx="3020695" cy="2072005"/>
            <wp:effectExtent l="19050" t="0" r="8255" b="0"/>
            <wp:docPr id="1" name="Picture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020695" cy="2072005"/>
                    </a:xfrm>
                    <a:prstGeom prst="rect">
                      <a:avLst/>
                    </a:prstGeom>
                  </pic:spPr>
                </pic:pic>
              </a:graphicData>
            </a:graphic>
          </wp:inline>
        </w:drawing>
      </w:r>
    </w:p>
    <w:p w:rsidR="00B834FD" w:rsidRPr="00660DE2" w:rsidRDefault="00B834FD" w:rsidP="00660DE2">
      <w:pPr>
        <w:ind w:right="77"/>
        <w:jc w:val="both"/>
        <w:rPr>
          <w:rFonts w:ascii="Arial" w:hAnsi="Arial" w:cs="Arial"/>
          <w:sz w:val="16"/>
          <w:szCs w:val="16"/>
        </w:rPr>
      </w:pPr>
      <w:r w:rsidRPr="00660DE2">
        <w:rPr>
          <w:rFonts w:ascii="Arial" w:hAnsi="Arial" w:cs="Arial"/>
          <w:sz w:val="16"/>
          <w:szCs w:val="16"/>
        </w:rPr>
        <w:t>Kaynak : TÜİK. Çeyreklik göstergeler mevsim ve takvim etkisinden arındırılmıştır.</w:t>
      </w:r>
    </w:p>
    <w:p w:rsidR="00B834FD" w:rsidRDefault="00B834FD" w:rsidP="00A7746C">
      <w:pPr>
        <w:pStyle w:val="NormalWeb"/>
        <w:spacing w:before="0" w:beforeAutospacing="0" w:after="0" w:afterAutospacing="0" w:line="360" w:lineRule="auto"/>
        <w:ind w:right="77"/>
        <w:rPr>
          <w:rFonts w:ascii="Arial" w:hAnsi="Arial" w:cs="Arial"/>
          <w:b/>
          <w:bCs/>
          <w:sz w:val="20"/>
          <w:szCs w:val="20"/>
        </w:rPr>
      </w:pPr>
    </w:p>
    <w:p w:rsidR="00B834FD" w:rsidRDefault="00B834FD" w:rsidP="004E3889">
      <w:pPr>
        <w:pStyle w:val="NormalWeb"/>
        <w:spacing w:before="0" w:beforeAutospacing="0" w:after="0" w:afterAutospacing="0" w:line="360" w:lineRule="auto"/>
        <w:ind w:right="77"/>
        <w:jc w:val="center"/>
        <w:rPr>
          <w:rFonts w:ascii="Arial" w:hAnsi="Arial" w:cs="Arial"/>
          <w:b/>
          <w:bCs/>
          <w:sz w:val="20"/>
          <w:szCs w:val="20"/>
        </w:rPr>
      </w:pPr>
    </w:p>
    <w:p w:rsidR="0077714A" w:rsidRDefault="0077714A" w:rsidP="004E3889">
      <w:pPr>
        <w:pStyle w:val="NormalWeb"/>
        <w:spacing w:before="0" w:beforeAutospacing="0" w:after="0" w:afterAutospacing="0" w:line="360" w:lineRule="auto"/>
        <w:ind w:right="77"/>
        <w:jc w:val="center"/>
        <w:rPr>
          <w:rFonts w:ascii="Arial" w:hAnsi="Arial" w:cs="Arial"/>
          <w:b/>
          <w:bCs/>
          <w:sz w:val="20"/>
          <w:szCs w:val="20"/>
        </w:rPr>
      </w:pPr>
    </w:p>
    <w:p w:rsidR="0077714A" w:rsidRDefault="0077714A" w:rsidP="004E3889">
      <w:pPr>
        <w:pStyle w:val="NormalWeb"/>
        <w:spacing w:before="0" w:beforeAutospacing="0" w:after="0" w:afterAutospacing="0" w:line="360" w:lineRule="auto"/>
        <w:ind w:right="77"/>
        <w:jc w:val="center"/>
        <w:rPr>
          <w:rFonts w:ascii="Arial" w:hAnsi="Arial" w:cs="Arial"/>
          <w:b/>
          <w:bCs/>
          <w:sz w:val="20"/>
          <w:szCs w:val="20"/>
        </w:rPr>
      </w:pPr>
    </w:p>
    <w:p w:rsidR="0077714A" w:rsidRDefault="0077714A" w:rsidP="004E3889">
      <w:pPr>
        <w:pStyle w:val="NormalWeb"/>
        <w:spacing w:before="0" w:beforeAutospacing="0" w:after="0" w:afterAutospacing="0" w:line="360" w:lineRule="auto"/>
        <w:ind w:right="77"/>
        <w:jc w:val="center"/>
        <w:rPr>
          <w:rFonts w:ascii="Arial" w:hAnsi="Arial" w:cs="Arial"/>
          <w:b/>
          <w:bCs/>
          <w:sz w:val="20"/>
          <w:szCs w:val="20"/>
        </w:rPr>
      </w:pPr>
    </w:p>
    <w:p w:rsidR="00B123F5" w:rsidRDefault="00B123F5" w:rsidP="004E3889">
      <w:pPr>
        <w:pStyle w:val="NormalWeb"/>
        <w:spacing w:before="0" w:beforeAutospacing="0" w:after="0" w:afterAutospacing="0" w:line="360" w:lineRule="auto"/>
        <w:ind w:right="77"/>
        <w:jc w:val="center"/>
        <w:rPr>
          <w:rFonts w:ascii="Arial" w:hAnsi="Arial" w:cs="Arial"/>
          <w:b/>
          <w:bCs/>
          <w:sz w:val="20"/>
          <w:szCs w:val="20"/>
        </w:rPr>
      </w:pPr>
    </w:p>
    <w:p w:rsidR="00B123F5" w:rsidRDefault="00B123F5" w:rsidP="004E3889">
      <w:pPr>
        <w:pStyle w:val="NormalWeb"/>
        <w:spacing w:before="0" w:beforeAutospacing="0" w:after="0" w:afterAutospacing="0" w:line="360" w:lineRule="auto"/>
        <w:ind w:right="77"/>
        <w:jc w:val="center"/>
        <w:rPr>
          <w:rFonts w:ascii="Arial" w:hAnsi="Arial" w:cs="Arial"/>
          <w:b/>
          <w:bCs/>
          <w:sz w:val="20"/>
          <w:szCs w:val="20"/>
        </w:rPr>
      </w:pPr>
    </w:p>
    <w:p w:rsidR="00D90384" w:rsidRDefault="00A27217" w:rsidP="00701EFF">
      <w:pPr>
        <w:pStyle w:val="NormalWeb"/>
        <w:spacing w:before="0" w:beforeAutospacing="0" w:after="0" w:afterAutospacing="0" w:line="360" w:lineRule="auto"/>
        <w:ind w:right="77"/>
        <w:jc w:val="center"/>
        <w:rPr>
          <w:rFonts w:ascii="Arial" w:hAnsi="Arial" w:cs="Arial"/>
          <w:b/>
          <w:sz w:val="20"/>
          <w:szCs w:val="20"/>
        </w:rPr>
      </w:pPr>
      <w:r>
        <w:rPr>
          <w:rFonts w:ascii="Arial" w:hAnsi="Arial" w:cs="Arial"/>
          <w:b/>
          <w:sz w:val="20"/>
          <w:szCs w:val="20"/>
        </w:rPr>
        <w:lastRenderedPageBreak/>
        <w:t>İç talepte canlanma var</w:t>
      </w:r>
    </w:p>
    <w:p w:rsidR="006F6EBA" w:rsidRPr="00701EFF" w:rsidRDefault="006F6EBA" w:rsidP="00701EFF">
      <w:pPr>
        <w:pStyle w:val="NormalWeb"/>
        <w:spacing w:before="0" w:beforeAutospacing="0" w:after="0" w:afterAutospacing="0" w:line="360" w:lineRule="auto"/>
        <w:ind w:right="77"/>
        <w:jc w:val="center"/>
        <w:rPr>
          <w:rFonts w:ascii="Arial" w:hAnsi="Arial" w:cs="Arial"/>
          <w:b/>
          <w:sz w:val="20"/>
          <w:szCs w:val="20"/>
        </w:rPr>
      </w:pPr>
    </w:p>
    <w:p w:rsidR="0035245B" w:rsidRDefault="00A22A10"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2014</w:t>
      </w:r>
      <w:r w:rsidR="00B834FD" w:rsidRPr="00DD51D1">
        <w:rPr>
          <w:rFonts w:ascii="Arial" w:hAnsi="Arial" w:cs="Arial"/>
          <w:sz w:val="20"/>
          <w:szCs w:val="20"/>
        </w:rPr>
        <w:t xml:space="preserve"> </w:t>
      </w:r>
      <w:r w:rsidR="00FB622B">
        <w:rPr>
          <w:rFonts w:ascii="Arial" w:hAnsi="Arial" w:cs="Arial"/>
          <w:sz w:val="20"/>
          <w:szCs w:val="20"/>
        </w:rPr>
        <w:t xml:space="preserve">üçüncü </w:t>
      </w:r>
      <w:r w:rsidR="00B834FD" w:rsidRPr="00DD51D1">
        <w:rPr>
          <w:rFonts w:ascii="Arial" w:hAnsi="Arial" w:cs="Arial"/>
          <w:sz w:val="20"/>
          <w:szCs w:val="20"/>
        </w:rPr>
        <w:t xml:space="preserve">çeyrekte </w:t>
      </w:r>
      <w:r>
        <w:rPr>
          <w:rFonts w:ascii="Arial" w:hAnsi="Arial" w:cs="Arial"/>
          <w:sz w:val="20"/>
          <w:szCs w:val="20"/>
        </w:rPr>
        <w:t xml:space="preserve">Türkiye ekonomisi geçen çeyreğe kıyasla yüzde </w:t>
      </w:r>
      <w:r w:rsidR="0035245B">
        <w:rPr>
          <w:rFonts w:ascii="Arial" w:hAnsi="Arial" w:cs="Arial"/>
          <w:sz w:val="20"/>
          <w:szCs w:val="20"/>
        </w:rPr>
        <w:t>0</w:t>
      </w:r>
      <w:r>
        <w:rPr>
          <w:rFonts w:ascii="Arial" w:hAnsi="Arial" w:cs="Arial"/>
          <w:sz w:val="20"/>
          <w:szCs w:val="20"/>
        </w:rPr>
        <w:t>,</w:t>
      </w:r>
      <w:r w:rsidR="00B5451C">
        <w:rPr>
          <w:rFonts w:ascii="Arial" w:hAnsi="Arial" w:cs="Arial"/>
          <w:sz w:val="20"/>
          <w:szCs w:val="20"/>
        </w:rPr>
        <w:t>4 büyüdü</w:t>
      </w:r>
      <w:r>
        <w:rPr>
          <w:rFonts w:ascii="Arial" w:hAnsi="Arial" w:cs="Arial"/>
          <w:sz w:val="20"/>
          <w:szCs w:val="20"/>
        </w:rPr>
        <w:t xml:space="preserve">. </w:t>
      </w:r>
      <w:r w:rsidR="00035FEE">
        <w:rPr>
          <w:rFonts w:ascii="Arial" w:hAnsi="Arial" w:cs="Arial"/>
          <w:sz w:val="20"/>
          <w:szCs w:val="20"/>
        </w:rPr>
        <w:t xml:space="preserve">Büyümeye </w:t>
      </w:r>
      <w:r w:rsidR="0035245B">
        <w:rPr>
          <w:rFonts w:ascii="Arial" w:hAnsi="Arial" w:cs="Arial"/>
          <w:sz w:val="20"/>
          <w:szCs w:val="20"/>
        </w:rPr>
        <w:t>stokl</w:t>
      </w:r>
      <w:r w:rsidR="00B5451C">
        <w:rPr>
          <w:rFonts w:ascii="Arial" w:hAnsi="Arial" w:cs="Arial"/>
          <w:sz w:val="20"/>
          <w:szCs w:val="20"/>
        </w:rPr>
        <w:t>ar hariç tüm kalemlerden pozitif</w:t>
      </w:r>
      <w:r w:rsidR="0035245B">
        <w:rPr>
          <w:rFonts w:ascii="Arial" w:hAnsi="Arial" w:cs="Arial"/>
          <w:sz w:val="20"/>
          <w:szCs w:val="20"/>
        </w:rPr>
        <w:t xml:space="preserve"> katkı geldi</w:t>
      </w:r>
      <w:r w:rsidR="00B834FD">
        <w:rPr>
          <w:rFonts w:ascii="Arial" w:hAnsi="Arial" w:cs="Arial"/>
          <w:sz w:val="20"/>
          <w:szCs w:val="20"/>
        </w:rPr>
        <w:t>.</w:t>
      </w:r>
      <w:r w:rsidR="0035245B">
        <w:rPr>
          <w:rFonts w:ascii="Arial" w:hAnsi="Arial" w:cs="Arial"/>
          <w:sz w:val="20"/>
          <w:szCs w:val="20"/>
        </w:rPr>
        <w:t xml:space="preserve"> </w:t>
      </w:r>
      <w:r w:rsidR="00F709AB">
        <w:rPr>
          <w:rFonts w:ascii="Arial" w:hAnsi="Arial" w:cs="Arial"/>
          <w:sz w:val="20"/>
          <w:szCs w:val="20"/>
        </w:rPr>
        <w:t>T</w:t>
      </w:r>
      <w:r w:rsidR="00B5451C">
        <w:rPr>
          <w:rFonts w:ascii="Arial" w:hAnsi="Arial" w:cs="Arial"/>
          <w:sz w:val="20"/>
          <w:szCs w:val="20"/>
        </w:rPr>
        <w:t xml:space="preserve">üketim, yatırım, kamu harcamaları ve net ihracatın </w:t>
      </w:r>
      <w:r w:rsidR="00F709AB">
        <w:rPr>
          <w:rFonts w:ascii="Arial" w:hAnsi="Arial" w:cs="Arial"/>
          <w:sz w:val="20"/>
          <w:szCs w:val="20"/>
        </w:rPr>
        <w:t>ikinci çeyrekte büyümeye katkıları negatifti, ancak</w:t>
      </w:r>
      <w:r w:rsidR="00B5451C">
        <w:rPr>
          <w:rFonts w:ascii="Arial" w:hAnsi="Arial" w:cs="Arial"/>
          <w:sz w:val="20"/>
          <w:szCs w:val="20"/>
        </w:rPr>
        <w:t xml:space="preserve"> üçüncü çeyrekte bu kalemler</w:t>
      </w:r>
      <w:r w:rsidR="00A27217">
        <w:rPr>
          <w:rFonts w:ascii="Arial" w:hAnsi="Arial" w:cs="Arial"/>
          <w:sz w:val="20"/>
          <w:szCs w:val="20"/>
        </w:rPr>
        <w:t>in hepsi</w:t>
      </w:r>
      <w:r w:rsidR="00B5451C">
        <w:rPr>
          <w:rFonts w:ascii="Arial" w:hAnsi="Arial" w:cs="Arial"/>
          <w:sz w:val="20"/>
          <w:szCs w:val="20"/>
        </w:rPr>
        <w:t xml:space="preserve"> büyümeye pozitif katkı yaptı. </w:t>
      </w:r>
      <w:r w:rsidR="00A27217">
        <w:rPr>
          <w:rFonts w:ascii="Arial" w:hAnsi="Arial" w:cs="Arial"/>
          <w:sz w:val="20"/>
          <w:szCs w:val="20"/>
        </w:rPr>
        <w:t>G</w:t>
      </w:r>
      <w:r w:rsidR="00B5451C">
        <w:rPr>
          <w:rFonts w:ascii="Arial" w:hAnsi="Arial" w:cs="Arial"/>
          <w:sz w:val="20"/>
          <w:szCs w:val="20"/>
        </w:rPr>
        <w:t>eçen çeyrek</w:t>
      </w:r>
      <w:r w:rsidR="0021041C">
        <w:rPr>
          <w:rFonts w:ascii="Arial" w:hAnsi="Arial" w:cs="Arial"/>
          <w:sz w:val="20"/>
          <w:szCs w:val="20"/>
        </w:rPr>
        <w:t>te</w:t>
      </w:r>
      <w:r w:rsidR="00B5451C">
        <w:rPr>
          <w:rFonts w:ascii="Arial" w:hAnsi="Arial" w:cs="Arial"/>
          <w:sz w:val="20"/>
          <w:szCs w:val="20"/>
        </w:rPr>
        <w:t xml:space="preserve"> </w:t>
      </w:r>
      <w:r w:rsidR="00A27217">
        <w:rPr>
          <w:rFonts w:ascii="Arial" w:hAnsi="Arial" w:cs="Arial"/>
          <w:sz w:val="20"/>
          <w:szCs w:val="20"/>
        </w:rPr>
        <w:t xml:space="preserve">iç talepte </w:t>
      </w:r>
      <w:r w:rsidR="00B5451C">
        <w:rPr>
          <w:rFonts w:ascii="Arial" w:hAnsi="Arial" w:cs="Arial"/>
          <w:sz w:val="20"/>
          <w:szCs w:val="20"/>
        </w:rPr>
        <w:t xml:space="preserve">gözlemlenen daralmanın bu çeyrekte </w:t>
      </w:r>
      <w:r w:rsidR="00A27217">
        <w:rPr>
          <w:rFonts w:ascii="Arial" w:hAnsi="Arial" w:cs="Arial"/>
          <w:sz w:val="20"/>
          <w:szCs w:val="20"/>
        </w:rPr>
        <w:t>yerini büyümeye bıraktığı görülüyor</w:t>
      </w:r>
      <w:r w:rsidR="00DA78DD">
        <w:rPr>
          <w:rFonts w:ascii="Arial" w:hAnsi="Arial" w:cs="Arial"/>
          <w:sz w:val="20"/>
          <w:szCs w:val="20"/>
        </w:rPr>
        <w:t xml:space="preserve"> (Şekil 3)</w:t>
      </w:r>
      <w:r w:rsidR="00351ABF">
        <w:rPr>
          <w:rFonts w:ascii="Arial" w:hAnsi="Arial" w:cs="Arial"/>
          <w:sz w:val="20"/>
          <w:szCs w:val="20"/>
        </w:rPr>
        <w:t>.</w:t>
      </w:r>
      <w:r w:rsidR="00A27217">
        <w:rPr>
          <w:rFonts w:ascii="Arial" w:hAnsi="Arial" w:cs="Arial"/>
          <w:sz w:val="20"/>
          <w:szCs w:val="20"/>
        </w:rPr>
        <w:t xml:space="preserve"> </w:t>
      </w:r>
    </w:p>
    <w:p w:rsidR="00A27217" w:rsidRDefault="00A27217" w:rsidP="00FA1EEF">
      <w:pPr>
        <w:pStyle w:val="NormalWeb"/>
        <w:spacing w:before="0" w:beforeAutospacing="0" w:after="0" w:afterAutospacing="0" w:line="360" w:lineRule="auto"/>
        <w:ind w:right="77"/>
        <w:jc w:val="both"/>
        <w:rPr>
          <w:rFonts w:ascii="Arial" w:hAnsi="Arial" w:cs="Arial"/>
          <w:sz w:val="20"/>
          <w:szCs w:val="20"/>
        </w:rPr>
      </w:pPr>
    </w:p>
    <w:p w:rsidR="0035245B" w:rsidRPr="00DD51D1" w:rsidRDefault="0035245B" w:rsidP="0035245B">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t xml:space="preserve">Tüketim ve özel yatırım </w:t>
      </w:r>
      <w:r w:rsidR="00A27217">
        <w:rPr>
          <w:rFonts w:ascii="Arial" w:hAnsi="Arial" w:cs="Arial"/>
          <w:b/>
          <w:bCs/>
          <w:sz w:val="20"/>
          <w:szCs w:val="20"/>
        </w:rPr>
        <w:t>artışa geçti</w:t>
      </w:r>
    </w:p>
    <w:p w:rsidR="0035245B" w:rsidRDefault="0035245B" w:rsidP="00FA1EEF">
      <w:pPr>
        <w:pStyle w:val="NormalWeb"/>
        <w:spacing w:before="0" w:beforeAutospacing="0" w:after="0" w:afterAutospacing="0" w:line="360" w:lineRule="auto"/>
        <w:ind w:right="77"/>
        <w:jc w:val="both"/>
        <w:rPr>
          <w:rFonts w:ascii="Arial" w:hAnsi="Arial" w:cs="Arial"/>
          <w:sz w:val="20"/>
          <w:szCs w:val="20"/>
        </w:rPr>
      </w:pPr>
    </w:p>
    <w:p w:rsidR="00D157C3" w:rsidRDefault="006F6EBA" w:rsidP="00FA1EEF">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Tablo 1</w:t>
      </w:r>
      <w:r w:rsidR="0035245B">
        <w:rPr>
          <w:rFonts w:ascii="Arial" w:hAnsi="Arial" w:cs="Arial"/>
          <w:sz w:val="20"/>
          <w:szCs w:val="20"/>
        </w:rPr>
        <w:t xml:space="preserve"> ikinci çeyrekte GSYH'ın alt kalemlerinin büyümeye katkılarını ilk çeyrekle karşılaştırmalı olarak gösteriyor. Mevsim ve takvim etkilerinden arındırılmış rakamlara göre </w:t>
      </w:r>
      <w:r w:rsidR="00FB622B">
        <w:rPr>
          <w:rFonts w:ascii="Arial" w:hAnsi="Arial" w:cs="Arial"/>
          <w:sz w:val="20"/>
          <w:szCs w:val="20"/>
        </w:rPr>
        <w:t>üçüncü çeyrekte tüketim harcamaları i</w:t>
      </w:r>
      <w:r w:rsidR="0035245B">
        <w:rPr>
          <w:rFonts w:ascii="Arial" w:hAnsi="Arial" w:cs="Arial"/>
          <w:sz w:val="20"/>
          <w:szCs w:val="20"/>
        </w:rPr>
        <w:t>k</w:t>
      </w:r>
      <w:r w:rsidR="00FB622B">
        <w:rPr>
          <w:rFonts w:ascii="Arial" w:hAnsi="Arial" w:cs="Arial"/>
          <w:sz w:val="20"/>
          <w:szCs w:val="20"/>
        </w:rPr>
        <w:t>inci</w:t>
      </w:r>
      <w:r w:rsidR="0035245B">
        <w:rPr>
          <w:rFonts w:ascii="Arial" w:hAnsi="Arial" w:cs="Arial"/>
          <w:sz w:val="20"/>
          <w:szCs w:val="20"/>
        </w:rPr>
        <w:t xml:space="preserve"> çeyreğe kıyasla yüzde </w:t>
      </w:r>
      <w:r w:rsidR="00F37AEE">
        <w:rPr>
          <w:rFonts w:ascii="Arial" w:hAnsi="Arial" w:cs="Arial"/>
          <w:sz w:val="20"/>
          <w:szCs w:val="20"/>
        </w:rPr>
        <w:t>1,7 arttı ve büyümeye 1,1 yüzde puan pozitif</w:t>
      </w:r>
      <w:r w:rsidR="0035245B">
        <w:rPr>
          <w:rFonts w:ascii="Arial" w:hAnsi="Arial" w:cs="Arial"/>
          <w:sz w:val="20"/>
          <w:szCs w:val="20"/>
        </w:rPr>
        <w:t xml:space="preserve"> katkı yaptı</w:t>
      </w:r>
      <w:r w:rsidR="00035FEE">
        <w:rPr>
          <w:rFonts w:ascii="Arial" w:hAnsi="Arial" w:cs="Arial"/>
          <w:sz w:val="20"/>
          <w:szCs w:val="20"/>
        </w:rPr>
        <w:t>.</w:t>
      </w:r>
      <w:r w:rsidR="00B834FD">
        <w:rPr>
          <w:rFonts w:ascii="Arial" w:hAnsi="Arial" w:cs="Arial"/>
          <w:sz w:val="20"/>
          <w:szCs w:val="20"/>
        </w:rPr>
        <w:t xml:space="preserve"> </w:t>
      </w:r>
      <w:r w:rsidR="00893531">
        <w:rPr>
          <w:rFonts w:ascii="Arial" w:hAnsi="Arial" w:cs="Arial"/>
          <w:sz w:val="20"/>
          <w:szCs w:val="20"/>
        </w:rPr>
        <w:t>İ</w:t>
      </w:r>
      <w:r w:rsidR="00F37AEE">
        <w:rPr>
          <w:rFonts w:ascii="Arial" w:hAnsi="Arial" w:cs="Arial"/>
          <w:sz w:val="20"/>
          <w:szCs w:val="20"/>
        </w:rPr>
        <w:t xml:space="preserve">kinci </w:t>
      </w:r>
      <w:r w:rsidR="00893531">
        <w:rPr>
          <w:rFonts w:ascii="Arial" w:hAnsi="Arial" w:cs="Arial"/>
          <w:sz w:val="20"/>
          <w:szCs w:val="20"/>
        </w:rPr>
        <w:t xml:space="preserve">çeyrekte tüketim harcamaları yüzde </w:t>
      </w:r>
      <w:r w:rsidR="00F37AEE">
        <w:rPr>
          <w:rFonts w:ascii="Arial" w:hAnsi="Arial" w:cs="Arial"/>
          <w:sz w:val="20"/>
          <w:szCs w:val="20"/>
        </w:rPr>
        <w:t>0,3</w:t>
      </w:r>
      <w:r w:rsidR="00893531">
        <w:rPr>
          <w:rFonts w:ascii="Arial" w:hAnsi="Arial" w:cs="Arial"/>
          <w:sz w:val="20"/>
          <w:szCs w:val="20"/>
        </w:rPr>
        <w:t xml:space="preserve"> oranında azalmıştı. Özel yatırım harca</w:t>
      </w:r>
      <w:r w:rsidR="00FB622B">
        <w:rPr>
          <w:rFonts w:ascii="Arial" w:hAnsi="Arial" w:cs="Arial"/>
          <w:sz w:val="20"/>
          <w:szCs w:val="20"/>
        </w:rPr>
        <w:t>maları üçüncü</w:t>
      </w:r>
      <w:r w:rsidR="00F37AEE">
        <w:rPr>
          <w:rFonts w:ascii="Arial" w:hAnsi="Arial" w:cs="Arial"/>
          <w:sz w:val="20"/>
          <w:szCs w:val="20"/>
        </w:rPr>
        <w:t xml:space="preserve"> çeyrekte yüzde 2,6</w:t>
      </w:r>
      <w:r w:rsidR="00893531">
        <w:rPr>
          <w:rFonts w:ascii="Arial" w:hAnsi="Arial" w:cs="Arial"/>
          <w:sz w:val="20"/>
          <w:szCs w:val="20"/>
        </w:rPr>
        <w:t xml:space="preserve"> </w:t>
      </w:r>
      <w:r w:rsidR="00F37AEE">
        <w:rPr>
          <w:rFonts w:ascii="Arial" w:hAnsi="Arial" w:cs="Arial"/>
          <w:sz w:val="20"/>
          <w:szCs w:val="20"/>
        </w:rPr>
        <w:t>arttı ve büyümeye 0,5</w:t>
      </w:r>
      <w:r w:rsidR="00893531">
        <w:rPr>
          <w:rFonts w:ascii="Arial" w:hAnsi="Arial" w:cs="Arial"/>
          <w:sz w:val="20"/>
          <w:szCs w:val="20"/>
        </w:rPr>
        <w:t xml:space="preserve"> yüzde puan </w:t>
      </w:r>
      <w:r w:rsidR="00F37AEE">
        <w:rPr>
          <w:rFonts w:ascii="Arial" w:hAnsi="Arial" w:cs="Arial"/>
          <w:sz w:val="20"/>
          <w:szCs w:val="20"/>
        </w:rPr>
        <w:t>pozitif</w:t>
      </w:r>
      <w:r w:rsidR="00893531">
        <w:rPr>
          <w:rFonts w:ascii="Arial" w:hAnsi="Arial" w:cs="Arial"/>
          <w:sz w:val="20"/>
          <w:szCs w:val="20"/>
        </w:rPr>
        <w:t xml:space="preserve"> katkı yaptı</w:t>
      </w:r>
      <w:r w:rsidR="00B2242E">
        <w:rPr>
          <w:rFonts w:ascii="Arial" w:hAnsi="Arial" w:cs="Arial"/>
          <w:sz w:val="20"/>
          <w:szCs w:val="20"/>
        </w:rPr>
        <w:t xml:space="preserve">. </w:t>
      </w:r>
      <w:r w:rsidR="00893531">
        <w:rPr>
          <w:rFonts w:ascii="Arial" w:hAnsi="Arial" w:cs="Arial"/>
          <w:sz w:val="20"/>
          <w:szCs w:val="20"/>
        </w:rPr>
        <w:t>İ</w:t>
      </w:r>
      <w:r w:rsidR="00F37AEE">
        <w:rPr>
          <w:rFonts w:ascii="Arial" w:hAnsi="Arial" w:cs="Arial"/>
          <w:sz w:val="20"/>
          <w:szCs w:val="20"/>
        </w:rPr>
        <w:t xml:space="preserve">kinci çeyrekte yatırımlar yüzde </w:t>
      </w:r>
      <w:r w:rsidR="00EE5495">
        <w:rPr>
          <w:rFonts w:ascii="Arial" w:hAnsi="Arial" w:cs="Arial"/>
          <w:sz w:val="20"/>
          <w:szCs w:val="20"/>
        </w:rPr>
        <w:t>0,2</w:t>
      </w:r>
      <w:r w:rsidR="00FB622B">
        <w:rPr>
          <w:rFonts w:ascii="Arial" w:hAnsi="Arial" w:cs="Arial"/>
          <w:sz w:val="20"/>
          <w:szCs w:val="20"/>
        </w:rPr>
        <w:t xml:space="preserve"> oranında azalmış ve büyümeye katkı yapmamıştı</w:t>
      </w:r>
      <w:r w:rsidR="00893531">
        <w:rPr>
          <w:rFonts w:ascii="Arial" w:hAnsi="Arial" w:cs="Arial"/>
          <w:sz w:val="20"/>
          <w:szCs w:val="20"/>
        </w:rPr>
        <w:t xml:space="preserve">. </w:t>
      </w:r>
    </w:p>
    <w:p w:rsidR="00A27217" w:rsidRDefault="00A27217" w:rsidP="00FA1EEF">
      <w:pPr>
        <w:pStyle w:val="NormalWeb"/>
        <w:spacing w:before="0" w:beforeAutospacing="0" w:after="0" w:afterAutospacing="0" w:line="360" w:lineRule="auto"/>
        <w:ind w:right="77"/>
        <w:jc w:val="both"/>
        <w:rPr>
          <w:rFonts w:ascii="Arial" w:hAnsi="Arial" w:cs="Arial"/>
          <w:sz w:val="20"/>
          <w:szCs w:val="20"/>
        </w:rPr>
      </w:pPr>
    </w:p>
    <w:p w:rsidR="00B123F5" w:rsidRDefault="00E55FDA" w:rsidP="00D157C3">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Tablo 3 son üç yıl için alt kalemlerin GSYH büyümesine katkılarını gösteriyor.</w:t>
      </w:r>
      <w:r w:rsidR="00597E04">
        <w:rPr>
          <w:rFonts w:ascii="Arial" w:hAnsi="Arial" w:cs="Arial"/>
          <w:sz w:val="20"/>
          <w:szCs w:val="20"/>
        </w:rPr>
        <w:t xml:space="preserve"> Takip eden şekiller (Şekil 4-7) ise bu katkıları grafik olarak her bir kalem için göstermekte.</w:t>
      </w:r>
      <w:r>
        <w:rPr>
          <w:rFonts w:ascii="Arial" w:hAnsi="Arial" w:cs="Arial"/>
          <w:sz w:val="20"/>
          <w:szCs w:val="20"/>
        </w:rPr>
        <w:t xml:space="preserve"> </w:t>
      </w:r>
      <w:r w:rsidR="00597E04">
        <w:rPr>
          <w:rFonts w:ascii="Arial" w:hAnsi="Arial" w:cs="Arial"/>
          <w:sz w:val="20"/>
          <w:szCs w:val="20"/>
        </w:rPr>
        <w:t>Şekil 4'de tüketim harcamalarının büyümeye katkısının son bir yılın en yüksek seviyesinde olduğu görülüyor. Şekil 5'de</w:t>
      </w:r>
      <w:r w:rsidR="00BF331F">
        <w:rPr>
          <w:rFonts w:ascii="Arial" w:hAnsi="Arial" w:cs="Arial"/>
          <w:sz w:val="20"/>
          <w:szCs w:val="20"/>
        </w:rPr>
        <w:t>n</w:t>
      </w:r>
      <w:r w:rsidR="00597E04">
        <w:rPr>
          <w:rFonts w:ascii="Arial" w:hAnsi="Arial" w:cs="Arial"/>
          <w:sz w:val="20"/>
          <w:szCs w:val="20"/>
        </w:rPr>
        <w:t xml:space="preserve"> ise özel yatırımların büyümeye katkısının son beş çeyreğin en yükseğinde olduğu anlaşılıyor. Özel kesimde iç talep uzun bir aradan sonra toparlanmaya başlıyor.</w:t>
      </w:r>
    </w:p>
    <w:p w:rsidR="002D1EEA" w:rsidRDefault="002D1EEA" w:rsidP="00D157C3">
      <w:pPr>
        <w:pStyle w:val="NormalWeb"/>
        <w:spacing w:before="0" w:beforeAutospacing="0" w:after="0" w:afterAutospacing="0" w:line="360" w:lineRule="auto"/>
        <w:ind w:right="77"/>
        <w:jc w:val="both"/>
        <w:rPr>
          <w:rFonts w:ascii="Arial" w:hAnsi="Arial" w:cs="Arial"/>
          <w:sz w:val="20"/>
          <w:szCs w:val="20"/>
        </w:rPr>
      </w:pPr>
    </w:p>
    <w:p w:rsidR="002D1EEA" w:rsidRDefault="002D1EEA" w:rsidP="00D157C3">
      <w:pPr>
        <w:pStyle w:val="NormalWeb"/>
        <w:spacing w:before="0" w:beforeAutospacing="0" w:after="0" w:afterAutospacing="0" w:line="360" w:lineRule="auto"/>
        <w:ind w:right="77"/>
        <w:jc w:val="both"/>
        <w:rPr>
          <w:rFonts w:ascii="Arial" w:hAnsi="Arial" w:cs="Arial"/>
          <w:sz w:val="20"/>
          <w:szCs w:val="20"/>
        </w:rPr>
      </w:pPr>
    </w:p>
    <w:p w:rsidR="002D1EEA" w:rsidRDefault="002D1EEA" w:rsidP="00D157C3">
      <w:pPr>
        <w:pStyle w:val="NormalWeb"/>
        <w:spacing w:before="0" w:beforeAutospacing="0" w:after="0" w:afterAutospacing="0" w:line="360" w:lineRule="auto"/>
        <w:ind w:right="77"/>
        <w:jc w:val="both"/>
        <w:rPr>
          <w:rFonts w:ascii="Arial" w:hAnsi="Arial" w:cs="Arial"/>
          <w:sz w:val="20"/>
          <w:szCs w:val="20"/>
        </w:rPr>
      </w:pPr>
    </w:p>
    <w:p w:rsidR="002D1EEA" w:rsidRPr="00D157C3" w:rsidRDefault="002D1EEA" w:rsidP="00D157C3">
      <w:pPr>
        <w:pStyle w:val="NormalWeb"/>
        <w:spacing w:before="0" w:beforeAutospacing="0" w:after="0" w:afterAutospacing="0" w:line="360" w:lineRule="auto"/>
        <w:ind w:right="77"/>
        <w:jc w:val="both"/>
        <w:rPr>
          <w:rFonts w:ascii="Arial" w:hAnsi="Arial" w:cs="Arial"/>
          <w:sz w:val="20"/>
          <w:szCs w:val="20"/>
        </w:rPr>
      </w:pPr>
    </w:p>
    <w:p w:rsidR="002D1EEA" w:rsidRDefault="002D1EEA" w:rsidP="002D1EEA">
      <w:pPr>
        <w:pStyle w:val="NormalWeb"/>
        <w:spacing w:before="0" w:beforeAutospacing="0" w:after="0" w:afterAutospacing="0" w:line="360" w:lineRule="auto"/>
        <w:ind w:right="77"/>
        <w:jc w:val="center"/>
        <w:rPr>
          <w:rFonts w:ascii="Arial" w:hAnsi="Arial" w:cs="Arial"/>
          <w:b/>
          <w:bCs/>
          <w:sz w:val="20"/>
          <w:szCs w:val="20"/>
        </w:rPr>
      </w:pPr>
      <w:r w:rsidRPr="00DD51D1">
        <w:rPr>
          <w:rFonts w:ascii="Arial" w:hAnsi="Arial" w:cs="Arial"/>
          <w:b/>
          <w:bCs/>
          <w:sz w:val="20"/>
          <w:szCs w:val="20"/>
        </w:rPr>
        <w:lastRenderedPageBreak/>
        <w:t>Ka</w:t>
      </w:r>
      <w:r>
        <w:rPr>
          <w:rFonts w:ascii="Arial" w:hAnsi="Arial" w:cs="Arial"/>
          <w:b/>
          <w:bCs/>
          <w:sz w:val="20"/>
          <w:szCs w:val="20"/>
        </w:rPr>
        <w:t xml:space="preserve">mu harcamalarında </w:t>
      </w:r>
      <w:r w:rsidR="00401CFC">
        <w:rPr>
          <w:rFonts w:ascii="Arial" w:hAnsi="Arial" w:cs="Arial"/>
          <w:b/>
          <w:bCs/>
          <w:sz w:val="20"/>
          <w:szCs w:val="20"/>
        </w:rPr>
        <w:t>sınırlı artış</w:t>
      </w:r>
    </w:p>
    <w:p w:rsidR="002D1EEA" w:rsidRPr="00DD51D1" w:rsidRDefault="002D1EEA" w:rsidP="002D1EEA">
      <w:pPr>
        <w:pStyle w:val="NormalWeb"/>
        <w:spacing w:before="0" w:beforeAutospacing="0" w:after="0" w:afterAutospacing="0" w:line="360" w:lineRule="auto"/>
        <w:ind w:right="77"/>
        <w:jc w:val="both"/>
        <w:rPr>
          <w:rFonts w:ascii="Arial" w:hAnsi="Arial" w:cs="Arial"/>
          <w:b/>
          <w:bCs/>
          <w:sz w:val="20"/>
          <w:szCs w:val="20"/>
        </w:rPr>
      </w:pPr>
    </w:p>
    <w:p w:rsidR="000252CE" w:rsidRDefault="00401CFC" w:rsidP="00C23712">
      <w:pPr>
        <w:pStyle w:val="NormalWeb"/>
        <w:spacing w:before="0" w:beforeAutospacing="0" w:after="0" w:afterAutospacing="0" w:line="360" w:lineRule="auto"/>
        <w:ind w:right="77"/>
        <w:jc w:val="both"/>
        <w:rPr>
          <w:rFonts w:ascii="Arial" w:hAnsi="Arial" w:cs="Arial"/>
          <w:sz w:val="20"/>
          <w:szCs w:val="20"/>
        </w:rPr>
      </w:pPr>
      <w:r>
        <w:rPr>
          <w:rFonts w:ascii="Arial" w:hAnsi="Arial" w:cs="Arial"/>
          <w:sz w:val="20"/>
          <w:szCs w:val="20"/>
        </w:rPr>
        <w:t xml:space="preserve">İkinci çeyrekte kamu harcamaları yüzde 3,3 gibi yüksek bir oranda azalarak büyümeyi </w:t>
      </w:r>
      <w:r w:rsidR="00BF331F">
        <w:rPr>
          <w:rFonts w:ascii="Arial" w:hAnsi="Arial" w:cs="Arial"/>
          <w:sz w:val="20"/>
          <w:szCs w:val="20"/>
        </w:rPr>
        <w:t>0,5</w:t>
      </w:r>
      <w:r>
        <w:rPr>
          <w:rFonts w:ascii="Arial" w:hAnsi="Arial" w:cs="Arial"/>
          <w:sz w:val="20"/>
          <w:szCs w:val="20"/>
        </w:rPr>
        <w:t xml:space="preserve"> yüzde puan aşağıya çekmişti. Üçüncü çeyrekte ise kamu harcamalarının yüzde 1,3 oranında arttığını ve büyümeye 0,2 yüzde puanlık küçük bir katkı yaptığını görüyoruz.</w:t>
      </w:r>
      <w:r w:rsidR="002D1EEA">
        <w:rPr>
          <w:rFonts w:ascii="Arial" w:hAnsi="Arial" w:cs="Arial"/>
          <w:sz w:val="20"/>
          <w:szCs w:val="20"/>
        </w:rPr>
        <w:t xml:space="preserve"> </w:t>
      </w:r>
    </w:p>
    <w:p w:rsidR="00C23712" w:rsidRDefault="00C23712" w:rsidP="00C23712">
      <w:pPr>
        <w:pStyle w:val="NormalWeb"/>
        <w:spacing w:before="0" w:beforeAutospacing="0" w:after="0" w:afterAutospacing="0" w:line="360" w:lineRule="auto"/>
        <w:ind w:right="77"/>
        <w:jc w:val="both"/>
        <w:rPr>
          <w:rFonts w:ascii="Arial" w:hAnsi="Arial" w:cs="Arial"/>
          <w:b/>
          <w:bCs/>
          <w:sz w:val="20"/>
          <w:szCs w:val="20"/>
        </w:rPr>
      </w:pPr>
    </w:p>
    <w:p w:rsidR="00B834FD" w:rsidRDefault="007C6AE5" w:rsidP="006F6EBA">
      <w:pPr>
        <w:pStyle w:val="NormalWeb"/>
        <w:spacing w:before="0" w:beforeAutospacing="0" w:after="0" w:afterAutospacing="0" w:line="360" w:lineRule="auto"/>
        <w:ind w:right="77"/>
        <w:jc w:val="center"/>
        <w:rPr>
          <w:rFonts w:ascii="Arial" w:hAnsi="Arial" w:cs="Arial"/>
          <w:b/>
          <w:bCs/>
          <w:sz w:val="20"/>
          <w:szCs w:val="20"/>
        </w:rPr>
      </w:pPr>
      <w:r w:rsidRPr="000046A3">
        <w:rPr>
          <w:rFonts w:ascii="Arial" w:hAnsi="Arial" w:cs="Arial"/>
          <w:b/>
          <w:bCs/>
          <w:sz w:val="20"/>
          <w:szCs w:val="20"/>
        </w:rPr>
        <w:t xml:space="preserve">Dış talep zayıf, </w:t>
      </w:r>
      <w:r w:rsidR="000046A3">
        <w:rPr>
          <w:rFonts w:ascii="Arial" w:hAnsi="Arial" w:cs="Arial"/>
          <w:b/>
          <w:bCs/>
          <w:sz w:val="20"/>
          <w:szCs w:val="20"/>
        </w:rPr>
        <w:t>ithalat azalıyor</w:t>
      </w:r>
    </w:p>
    <w:p w:rsidR="007C6AE5" w:rsidRDefault="007C6AE5" w:rsidP="00FA1EEF">
      <w:pPr>
        <w:pStyle w:val="NormalWeb"/>
        <w:spacing w:before="0" w:beforeAutospacing="0" w:after="0" w:afterAutospacing="0" w:line="360" w:lineRule="auto"/>
        <w:ind w:right="77"/>
        <w:jc w:val="both"/>
        <w:rPr>
          <w:rFonts w:ascii="Arial" w:hAnsi="Arial" w:cs="Arial"/>
          <w:b/>
          <w:bCs/>
          <w:sz w:val="20"/>
          <w:szCs w:val="20"/>
        </w:rPr>
      </w:pPr>
    </w:p>
    <w:p w:rsidR="007C6AE5" w:rsidRDefault="003632EB" w:rsidP="003632EB">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İkinci çeyrekte yüzde 0,7 oranında azalan ihracat, üçüncü çeyrekte yüzde 0,6 oranında arttı ve büyümeye 0,2 yüzde puan pozitif</w:t>
      </w:r>
      <w:r w:rsidR="007C6AE5">
        <w:rPr>
          <w:rFonts w:ascii="Arial" w:hAnsi="Arial" w:cs="Arial"/>
          <w:bCs/>
          <w:sz w:val="20"/>
          <w:szCs w:val="20"/>
        </w:rPr>
        <w:t xml:space="preserve"> katkı yaptı. </w:t>
      </w:r>
      <w:r w:rsidR="00DE356A">
        <w:rPr>
          <w:rFonts w:ascii="Arial" w:hAnsi="Arial" w:cs="Arial"/>
          <w:bCs/>
          <w:sz w:val="20"/>
          <w:szCs w:val="20"/>
        </w:rPr>
        <w:t>İkinci çeyrekte yüzde 1</w:t>
      </w:r>
      <w:r w:rsidR="007C6AE5">
        <w:rPr>
          <w:rFonts w:ascii="Arial" w:hAnsi="Arial" w:cs="Arial"/>
          <w:bCs/>
          <w:sz w:val="20"/>
          <w:szCs w:val="20"/>
        </w:rPr>
        <w:t>,</w:t>
      </w:r>
      <w:r w:rsidR="00DE356A">
        <w:rPr>
          <w:rFonts w:ascii="Arial" w:hAnsi="Arial" w:cs="Arial"/>
          <w:bCs/>
          <w:sz w:val="20"/>
          <w:szCs w:val="20"/>
        </w:rPr>
        <w:t>3</w:t>
      </w:r>
      <w:r w:rsidR="007C6AE5">
        <w:rPr>
          <w:rFonts w:ascii="Arial" w:hAnsi="Arial" w:cs="Arial"/>
          <w:bCs/>
          <w:sz w:val="20"/>
          <w:szCs w:val="20"/>
        </w:rPr>
        <w:t xml:space="preserve"> oranında </w:t>
      </w:r>
      <w:r w:rsidR="00DE356A">
        <w:rPr>
          <w:rFonts w:ascii="Arial" w:hAnsi="Arial" w:cs="Arial"/>
          <w:bCs/>
          <w:sz w:val="20"/>
          <w:szCs w:val="20"/>
        </w:rPr>
        <w:t>artan</w:t>
      </w:r>
      <w:r w:rsidR="007C6AE5">
        <w:rPr>
          <w:rFonts w:ascii="Arial" w:hAnsi="Arial" w:cs="Arial"/>
          <w:bCs/>
          <w:sz w:val="20"/>
          <w:szCs w:val="20"/>
        </w:rPr>
        <w:t xml:space="preserve"> ithalat ise</w:t>
      </w:r>
      <w:r w:rsidR="00DE356A">
        <w:rPr>
          <w:rFonts w:ascii="Arial" w:hAnsi="Arial" w:cs="Arial"/>
          <w:bCs/>
          <w:sz w:val="20"/>
          <w:szCs w:val="20"/>
        </w:rPr>
        <w:t xml:space="preserve"> üçüncü</w:t>
      </w:r>
      <w:r w:rsidR="007C6AE5">
        <w:rPr>
          <w:rFonts w:ascii="Arial" w:hAnsi="Arial" w:cs="Arial"/>
          <w:bCs/>
          <w:sz w:val="20"/>
          <w:szCs w:val="20"/>
        </w:rPr>
        <w:t xml:space="preserve"> çeyrekte yüzde </w:t>
      </w:r>
      <w:r w:rsidR="00DE356A">
        <w:rPr>
          <w:rFonts w:ascii="Arial" w:hAnsi="Arial" w:cs="Arial"/>
          <w:bCs/>
          <w:sz w:val="20"/>
          <w:szCs w:val="20"/>
        </w:rPr>
        <w:t>3</w:t>
      </w:r>
      <w:r w:rsidR="007C6AE5">
        <w:rPr>
          <w:rFonts w:ascii="Arial" w:hAnsi="Arial" w:cs="Arial"/>
          <w:bCs/>
          <w:sz w:val="20"/>
          <w:szCs w:val="20"/>
        </w:rPr>
        <w:t>,</w:t>
      </w:r>
      <w:r w:rsidR="00DE356A">
        <w:rPr>
          <w:rFonts w:ascii="Arial" w:hAnsi="Arial" w:cs="Arial"/>
          <w:bCs/>
          <w:sz w:val="20"/>
          <w:szCs w:val="20"/>
        </w:rPr>
        <w:t>1</w:t>
      </w:r>
      <w:r w:rsidR="007C6AE5">
        <w:rPr>
          <w:rFonts w:ascii="Arial" w:hAnsi="Arial" w:cs="Arial"/>
          <w:bCs/>
          <w:sz w:val="20"/>
          <w:szCs w:val="20"/>
        </w:rPr>
        <w:t xml:space="preserve"> </w:t>
      </w:r>
      <w:r w:rsidR="00DE356A">
        <w:rPr>
          <w:rFonts w:ascii="Arial" w:hAnsi="Arial" w:cs="Arial"/>
          <w:bCs/>
          <w:sz w:val="20"/>
          <w:szCs w:val="20"/>
        </w:rPr>
        <w:t>azaldı ve</w:t>
      </w:r>
      <w:r w:rsidR="001E2576">
        <w:rPr>
          <w:rFonts w:ascii="Arial" w:hAnsi="Arial" w:cs="Arial"/>
          <w:bCs/>
          <w:sz w:val="20"/>
          <w:szCs w:val="20"/>
        </w:rPr>
        <w:t xml:space="preserve"> </w:t>
      </w:r>
      <w:r w:rsidR="007C6AE5">
        <w:rPr>
          <w:rFonts w:ascii="Arial" w:hAnsi="Arial" w:cs="Arial"/>
          <w:bCs/>
          <w:sz w:val="20"/>
          <w:szCs w:val="20"/>
        </w:rPr>
        <w:t>büyüme</w:t>
      </w:r>
      <w:r w:rsidR="001E2576">
        <w:rPr>
          <w:rFonts w:ascii="Arial" w:hAnsi="Arial" w:cs="Arial"/>
          <w:bCs/>
          <w:sz w:val="20"/>
          <w:szCs w:val="20"/>
        </w:rPr>
        <w:t>y</w:t>
      </w:r>
      <w:r w:rsidR="00DE356A">
        <w:rPr>
          <w:rFonts w:ascii="Arial" w:hAnsi="Arial" w:cs="Arial"/>
          <w:bCs/>
          <w:sz w:val="20"/>
          <w:szCs w:val="20"/>
        </w:rPr>
        <w:t>e</w:t>
      </w:r>
      <w:r w:rsidR="007C6AE5">
        <w:rPr>
          <w:rFonts w:ascii="Arial" w:hAnsi="Arial" w:cs="Arial"/>
          <w:bCs/>
          <w:sz w:val="20"/>
          <w:szCs w:val="20"/>
        </w:rPr>
        <w:t xml:space="preserve"> 0,</w:t>
      </w:r>
      <w:r w:rsidR="00DE356A">
        <w:rPr>
          <w:rFonts w:ascii="Arial" w:hAnsi="Arial" w:cs="Arial"/>
          <w:bCs/>
          <w:sz w:val="20"/>
          <w:szCs w:val="20"/>
        </w:rPr>
        <w:t>9</w:t>
      </w:r>
      <w:r w:rsidR="007C6AE5">
        <w:rPr>
          <w:rFonts w:ascii="Arial" w:hAnsi="Arial" w:cs="Arial"/>
          <w:bCs/>
          <w:sz w:val="20"/>
          <w:szCs w:val="20"/>
        </w:rPr>
        <w:t xml:space="preserve"> yüzde puan </w:t>
      </w:r>
      <w:r w:rsidR="00DE356A">
        <w:rPr>
          <w:rFonts w:ascii="Arial" w:hAnsi="Arial" w:cs="Arial"/>
          <w:bCs/>
          <w:sz w:val="20"/>
          <w:szCs w:val="20"/>
        </w:rPr>
        <w:t>ekledi</w:t>
      </w:r>
      <w:r w:rsidR="007C6AE5">
        <w:rPr>
          <w:rFonts w:ascii="Arial" w:hAnsi="Arial" w:cs="Arial"/>
          <w:bCs/>
          <w:sz w:val="20"/>
          <w:szCs w:val="20"/>
        </w:rPr>
        <w:t>.</w:t>
      </w:r>
    </w:p>
    <w:p w:rsidR="007C6AE5" w:rsidRDefault="007C6AE5" w:rsidP="00FA1EEF">
      <w:pPr>
        <w:pStyle w:val="NormalWeb"/>
        <w:spacing w:before="0" w:beforeAutospacing="0" w:after="0" w:afterAutospacing="0" w:line="360" w:lineRule="auto"/>
        <w:ind w:right="77"/>
        <w:jc w:val="both"/>
        <w:rPr>
          <w:rFonts w:ascii="Arial" w:hAnsi="Arial" w:cs="Arial"/>
          <w:bCs/>
          <w:sz w:val="20"/>
          <w:szCs w:val="20"/>
        </w:rPr>
      </w:pPr>
    </w:p>
    <w:p w:rsidR="00BA4A96" w:rsidRDefault="00BF331F" w:rsidP="00BF331F">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Avrupa Birliği'nde</w:t>
      </w:r>
      <w:r w:rsidR="00BA4A96">
        <w:rPr>
          <w:rFonts w:ascii="Arial" w:hAnsi="Arial" w:cs="Arial"/>
          <w:bCs/>
          <w:sz w:val="20"/>
          <w:szCs w:val="20"/>
        </w:rPr>
        <w:t xml:space="preserve"> büyümenin yavaş seyretmeye devam etmesi ihracatın zayıf kalmasına neden oluyor</w:t>
      </w:r>
      <w:r w:rsidR="007C6AE5">
        <w:rPr>
          <w:rFonts w:ascii="Arial" w:hAnsi="Arial" w:cs="Arial"/>
          <w:bCs/>
          <w:sz w:val="20"/>
          <w:szCs w:val="20"/>
        </w:rPr>
        <w:t>.</w:t>
      </w:r>
      <w:r w:rsidR="00BA4A96">
        <w:rPr>
          <w:rFonts w:ascii="Arial" w:hAnsi="Arial" w:cs="Arial"/>
          <w:bCs/>
          <w:sz w:val="20"/>
          <w:szCs w:val="20"/>
        </w:rPr>
        <w:t xml:space="preserve"> Şekil 6 son üç yıldır ihracatın büyümeye katkılarını gösteriyor. 2014'ün ilk iki çeyreğinde oldukça yüksek olan katkı son iki çeyrektir sıfıra yakın seyrediyor. İhracat performansının dış talep etkisiyle gerilemiş olması büyümeyi önemli ölçüde sınırlamış durumda. </w:t>
      </w:r>
      <w:r w:rsidR="009A290D">
        <w:rPr>
          <w:rFonts w:ascii="Arial" w:hAnsi="Arial" w:cs="Arial"/>
          <w:bCs/>
          <w:sz w:val="20"/>
          <w:szCs w:val="20"/>
        </w:rPr>
        <w:t xml:space="preserve"> </w:t>
      </w:r>
    </w:p>
    <w:p w:rsidR="00BA4A96" w:rsidRDefault="00BA4A96" w:rsidP="00FA1EEF">
      <w:pPr>
        <w:pStyle w:val="NormalWeb"/>
        <w:spacing w:before="0" w:beforeAutospacing="0" w:after="0" w:afterAutospacing="0" w:line="360" w:lineRule="auto"/>
        <w:ind w:right="77"/>
        <w:jc w:val="both"/>
        <w:rPr>
          <w:rFonts w:ascii="Arial" w:hAnsi="Arial" w:cs="Arial"/>
          <w:bCs/>
          <w:sz w:val="20"/>
          <w:szCs w:val="20"/>
        </w:rPr>
      </w:pPr>
    </w:p>
    <w:p w:rsidR="00401CFC" w:rsidRDefault="00401CFC" w:rsidP="00401CFC">
      <w:pPr>
        <w:pStyle w:val="NormalWeb"/>
        <w:spacing w:before="0" w:beforeAutospacing="0" w:after="0" w:afterAutospacing="0" w:line="360" w:lineRule="auto"/>
        <w:ind w:right="77"/>
        <w:jc w:val="center"/>
        <w:rPr>
          <w:rFonts w:ascii="Arial" w:hAnsi="Arial" w:cs="Arial"/>
          <w:b/>
          <w:bCs/>
          <w:sz w:val="20"/>
          <w:szCs w:val="20"/>
        </w:rPr>
      </w:pPr>
      <w:r w:rsidRPr="00401CFC">
        <w:rPr>
          <w:rFonts w:ascii="Arial" w:hAnsi="Arial" w:cs="Arial"/>
          <w:b/>
          <w:bCs/>
          <w:sz w:val="20"/>
          <w:szCs w:val="20"/>
        </w:rPr>
        <w:t>Tarımsal üretimdeki düşüş stokları geriletti</w:t>
      </w:r>
    </w:p>
    <w:p w:rsidR="00C23712" w:rsidRPr="00401CFC" w:rsidRDefault="00C23712" w:rsidP="00401CFC">
      <w:pPr>
        <w:pStyle w:val="NormalWeb"/>
        <w:spacing w:before="0" w:beforeAutospacing="0" w:after="0" w:afterAutospacing="0" w:line="360" w:lineRule="auto"/>
        <w:ind w:right="77"/>
        <w:jc w:val="center"/>
        <w:rPr>
          <w:rFonts w:ascii="Arial" w:hAnsi="Arial" w:cs="Arial"/>
          <w:b/>
          <w:bCs/>
          <w:sz w:val="20"/>
          <w:szCs w:val="20"/>
        </w:rPr>
      </w:pPr>
    </w:p>
    <w:p w:rsidR="00D5417D" w:rsidRDefault="00BA4A96" w:rsidP="00FA1EEF">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Üçüncü çeyrekte</w:t>
      </w:r>
      <w:r w:rsidR="007C6AE5">
        <w:rPr>
          <w:rFonts w:ascii="Arial" w:hAnsi="Arial" w:cs="Arial"/>
          <w:bCs/>
          <w:sz w:val="20"/>
          <w:szCs w:val="20"/>
        </w:rPr>
        <w:t xml:space="preserve"> </w:t>
      </w:r>
      <w:r>
        <w:rPr>
          <w:rFonts w:ascii="Arial" w:hAnsi="Arial" w:cs="Arial"/>
          <w:bCs/>
          <w:sz w:val="20"/>
          <w:szCs w:val="20"/>
        </w:rPr>
        <w:t>stoklarda önemli ölçüde azalma meydana geldi.</w:t>
      </w:r>
      <w:r w:rsidR="007C6AE5">
        <w:rPr>
          <w:rFonts w:ascii="Arial" w:hAnsi="Arial" w:cs="Arial"/>
          <w:bCs/>
          <w:sz w:val="20"/>
          <w:szCs w:val="20"/>
        </w:rPr>
        <w:t xml:space="preserve"> </w:t>
      </w:r>
      <w:r>
        <w:rPr>
          <w:rFonts w:ascii="Arial" w:hAnsi="Arial" w:cs="Arial"/>
          <w:bCs/>
          <w:sz w:val="20"/>
          <w:szCs w:val="20"/>
        </w:rPr>
        <w:t>Her ne kadar bunda artan tüketim ve özel yatırımlar ile azalan ithalatın</w:t>
      </w:r>
      <w:r w:rsidR="00D06CBF">
        <w:rPr>
          <w:rFonts w:ascii="Arial" w:hAnsi="Arial" w:cs="Arial"/>
          <w:bCs/>
          <w:sz w:val="20"/>
          <w:szCs w:val="20"/>
        </w:rPr>
        <w:t xml:space="preserve"> payı olsa da asıl büyük etkinin</w:t>
      </w:r>
      <w:r>
        <w:rPr>
          <w:rFonts w:ascii="Arial" w:hAnsi="Arial" w:cs="Arial"/>
          <w:bCs/>
          <w:sz w:val="20"/>
          <w:szCs w:val="20"/>
        </w:rPr>
        <w:t xml:space="preserve"> tarım</w:t>
      </w:r>
      <w:r w:rsidR="00D06CBF">
        <w:rPr>
          <w:rFonts w:ascii="Arial" w:hAnsi="Arial" w:cs="Arial"/>
          <w:bCs/>
          <w:sz w:val="20"/>
          <w:szCs w:val="20"/>
        </w:rPr>
        <w:t xml:space="preserve"> sektöründeki gerilemeden kaynaklandığı kanaatindeyiz. Tarım</w:t>
      </w:r>
      <w:r>
        <w:rPr>
          <w:rFonts w:ascii="Arial" w:hAnsi="Arial" w:cs="Arial"/>
          <w:bCs/>
          <w:sz w:val="20"/>
          <w:szCs w:val="20"/>
        </w:rPr>
        <w:t xml:space="preserve">sal üretimdeki azalma stokları mevsimsel normallerin altına </w:t>
      </w:r>
      <w:r w:rsidR="00D06CBF">
        <w:rPr>
          <w:rFonts w:ascii="Arial" w:hAnsi="Arial" w:cs="Arial"/>
          <w:bCs/>
          <w:sz w:val="20"/>
          <w:szCs w:val="20"/>
        </w:rPr>
        <w:t xml:space="preserve">çekerek azalmasına neden oldu. Bunun sonucunda stoklar büyümeye 2,4 yüzde puan negatif katkı yaptı. </w:t>
      </w:r>
    </w:p>
    <w:p w:rsidR="00D5417D" w:rsidRDefault="00D5417D" w:rsidP="00FA1EEF">
      <w:pPr>
        <w:pStyle w:val="NormalWeb"/>
        <w:spacing w:before="0" w:beforeAutospacing="0" w:after="0" w:afterAutospacing="0" w:line="360" w:lineRule="auto"/>
        <w:ind w:right="77"/>
        <w:jc w:val="both"/>
        <w:rPr>
          <w:rFonts w:ascii="Arial" w:hAnsi="Arial" w:cs="Arial"/>
          <w:bCs/>
          <w:sz w:val="20"/>
          <w:szCs w:val="20"/>
        </w:rPr>
      </w:pPr>
    </w:p>
    <w:p w:rsidR="007C6AE5" w:rsidRDefault="007C6AE5" w:rsidP="00FA1EEF">
      <w:pPr>
        <w:pStyle w:val="NormalWeb"/>
        <w:spacing w:before="0" w:beforeAutospacing="0" w:after="0" w:afterAutospacing="0" w:line="360" w:lineRule="auto"/>
        <w:ind w:right="77"/>
        <w:jc w:val="both"/>
        <w:rPr>
          <w:rFonts w:ascii="Arial" w:hAnsi="Arial" w:cs="Arial"/>
          <w:bCs/>
          <w:sz w:val="20"/>
          <w:szCs w:val="20"/>
        </w:rPr>
      </w:pPr>
    </w:p>
    <w:p w:rsidR="00701EFF" w:rsidRPr="00DD51D1" w:rsidRDefault="00701EFF" w:rsidP="00FA1EEF">
      <w:pPr>
        <w:pStyle w:val="NormalWeb"/>
        <w:spacing w:before="0" w:beforeAutospacing="0" w:after="0" w:afterAutospacing="0" w:line="360" w:lineRule="auto"/>
        <w:ind w:right="77"/>
        <w:jc w:val="both"/>
        <w:rPr>
          <w:rFonts w:ascii="Arial" w:hAnsi="Arial" w:cs="Arial"/>
          <w:sz w:val="20"/>
          <w:szCs w:val="20"/>
        </w:rPr>
      </w:pPr>
    </w:p>
    <w:p w:rsidR="00B834FD" w:rsidRDefault="00F7054C" w:rsidP="00FA1EEF">
      <w:pPr>
        <w:pStyle w:val="NormalWeb"/>
        <w:spacing w:before="0" w:beforeAutospacing="0" w:after="0" w:afterAutospacing="0" w:line="360" w:lineRule="auto"/>
        <w:ind w:right="77"/>
        <w:jc w:val="center"/>
        <w:rPr>
          <w:rFonts w:ascii="Arial" w:hAnsi="Arial" w:cs="Arial"/>
          <w:b/>
          <w:bCs/>
          <w:sz w:val="20"/>
          <w:szCs w:val="20"/>
        </w:rPr>
      </w:pPr>
      <w:r>
        <w:rPr>
          <w:rFonts w:ascii="Arial" w:hAnsi="Arial" w:cs="Arial"/>
          <w:b/>
          <w:bCs/>
          <w:sz w:val="20"/>
          <w:szCs w:val="20"/>
        </w:rPr>
        <w:lastRenderedPageBreak/>
        <w:t>Tahminler ve b</w:t>
      </w:r>
      <w:r w:rsidR="00B834FD">
        <w:rPr>
          <w:rFonts w:ascii="Arial" w:hAnsi="Arial" w:cs="Arial"/>
          <w:b/>
          <w:bCs/>
          <w:sz w:val="20"/>
          <w:szCs w:val="20"/>
        </w:rPr>
        <w:t>üyümenin geleceği</w:t>
      </w:r>
    </w:p>
    <w:p w:rsidR="006F6EBA" w:rsidRDefault="006F6EBA" w:rsidP="00FA1EEF">
      <w:pPr>
        <w:pStyle w:val="NormalWeb"/>
        <w:spacing w:before="0" w:beforeAutospacing="0" w:after="0" w:afterAutospacing="0" w:line="360" w:lineRule="auto"/>
        <w:ind w:right="77"/>
        <w:jc w:val="center"/>
        <w:rPr>
          <w:rFonts w:ascii="Arial" w:hAnsi="Arial" w:cs="Arial"/>
          <w:b/>
          <w:bCs/>
          <w:sz w:val="20"/>
          <w:szCs w:val="20"/>
        </w:rPr>
      </w:pPr>
    </w:p>
    <w:p w:rsidR="00D5417D" w:rsidRDefault="00D5417D" w:rsidP="00D5417D">
      <w:pPr>
        <w:pStyle w:val="NormalWeb"/>
        <w:spacing w:before="0" w:beforeAutospacing="0" w:after="0" w:afterAutospacing="0" w:line="360" w:lineRule="auto"/>
        <w:ind w:right="77"/>
        <w:jc w:val="both"/>
        <w:rPr>
          <w:rFonts w:ascii="Arial" w:hAnsi="Arial" w:cs="Arial"/>
          <w:bCs/>
          <w:sz w:val="20"/>
          <w:szCs w:val="20"/>
        </w:rPr>
      </w:pPr>
      <w:r>
        <w:rPr>
          <w:rFonts w:ascii="Arial" w:hAnsi="Arial" w:cs="Arial"/>
          <w:bCs/>
          <w:sz w:val="20"/>
          <w:szCs w:val="20"/>
        </w:rPr>
        <w:t>Üçüncü çeyrekte iç talepte canlanma olmasına karşın zayıf seyreden ihracat ve stoklarda tarımsal ürün kaynaklı azalma büyümeyi sınırladı ve mevsimsellikten arındırılmış rakamlar ile üçüncü çeyrekte Türkiye ekonomisi bir önceki çeyreğe kıyasla yüzde 0,4 oranında büyüdü. Betam'ın çeyreklik bazda büyüme tahmini yüzde 0,8'di.</w:t>
      </w:r>
    </w:p>
    <w:p w:rsidR="00D5417D" w:rsidRDefault="00D5417D" w:rsidP="00FA1EEF">
      <w:pPr>
        <w:pStyle w:val="NormalWeb"/>
        <w:spacing w:before="0" w:beforeAutospacing="0" w:after="0" w:afterAutospacing="0" w:line="360" w:lineRule="auto"/>
        <w:jc w:val="both"/>
        <w:rPr>
          <w:rFonts w:ascii="Arial" w:hAnsi="Arial" w:cs="Arial"/>
          <w:sz w:val="20"/>
          <w:szCs w:val="20"/>
        </w:rPr>
      </w:pPr>
    </w:p>
    <w:p w:rsidR="00D5417D" w:rsidRDefault="00D5417D"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Yıllık bazda ise </w:t>
      </w:r>
      <w:r w:rsidR="00701EFF">
        <w:rPr>
          <w:rFonts w:ascii="Arial" w:hAnsi="Arial" w:cs="Arial"/>
          <w:sz w:val="20"/>
          <w:szCs w:val="20"/>
        </w:rPr>
        <w:t xml:space="preserve">Betam 2014 </w:t>
      </w:r>
      <w:r>
        <w:rPr>
          <w:rFonts w:ascii="Arial" w:hAnsi="Arial" w:cs="Arial"/>
          <w:sz w:val="20"/>
          <w:szCs w:val="20"/>
        </w:rPr>
        <w:t>üçüncü</w:t>
      </w:r>
      <w:r w:rsidR="00701EFF">
        <w:rPr>
          <w:rFonts w:ascii="Arial" w:hAnsi="Arial" w:cs="Arial"/>
          <w:sz w:val="20"/>
          <w:szCs w:val="20"/>
        </w:rPr>
        <w:t xml:space="preserve"> çeyrek</w:t>
      </w:r>
      <w:r>
        <w:rPr>
          <w:rFonts w:ascii="Arial" w:hAnsi="Arial" w:cs="Arial"/>
          <w:sz w:val="20"/>
          <w:szCs w:val="20"/>
        </w:rPr>
        <w:t xml:space="preserve"> için</w:t>
      </w:r>
      <w:r w:rsidR="00701EFF">
        <w:rPr>
          <w:rFonts w:ascii="Arial" w:hAnsi="Arial" w:cs="Arial"/>
          <w:sz w:val="20"/>
          <w:szCs w:val="20"/>
        </w:rPr>
        <w:t xml:space="preserve"> </w:t>
      </w:r>
      <w:r>
        <w:rPr>
          <w:rFonts w:ascii="Arial" w:hAnsi="Arial" w:cs="Arial"/>
          <w:sz w:val="20"/>
          <w:szCs w:val="20"/>
        </w:rPr>
        <w:t xml:space="preserve">geçen yılın aynı çeyreğine kıyasla </w:t>
      </w:r>
      <w:r w:rsidR="00701EFF">
        <w:rPr>
          <w:rFonts w:ascii="Arial" w:hAnsi="Arial" w:cs="Arial"/>
          <w:sz w:val="20"/>
          <w:szCs w:val="20"/>
        </w:rPr>
        <w:t>yüzde 3,</w:t>
      </w:r>
      <w:r w:rsidR="00EA1EF9">
        <w:rPr>
          <w:rFonts w:ascii="Arial" w:hAnsi="Arial" w:cs="Arial"/>
          <w:sz w:val="20"/>
          <w:szCs w:val="20"/>
        </w:rPr>
        <w:t>1</w:t>
      </w:r>
      <w:r>
        <w:rPr>
          <w:rFonts w:ascii="Arial" w:hAnsi="Arial" w:cs="Arial"/>
          <w:sz w:val="20"/>
          <w:szCs w:val="20"/>
        </w:rPr>
        <w:t xml:space="preserve"> büyüme bekliyordu</w:t>
      </w:r>
      <w:r w:rsidR="00701EFF">
        <w:rPr>
          <w:rFonts w:ascii="Arial" w:hAnsi="Arial" w:cs="Arial"/>
          <w:sz w:val="20"/>
          <w:szCs w:val="20"/>
        </w:rPr>
        <w:t>. Gerçekleşme</w:t>
      </w:r>
      <w:r w:rsidR="00EA1EF9">
        <w:rPr>
          <w:rFonts w:ascii="Arial" w:hAnsi="Arial" w:cs="Arial"/>
          <w:sz w:val="20"/>
          <w:szCs w:val="20"/>
        </w:rPr>
        <w:t xml:space="preserve"> hem Betam'ın hem de piyasa beklentilerinin çok altında yüzde </w:t>
      </w:r>
      <w:r>
        <w:rPr>
          <w:rFonts w:ascii="Arial" w:hAnsi="Arial" w:cs="Arial"/>
          <w:sz w:val="20"/>
          <w:szCs w:val="20"/>
        </w:rPr>
        <w:t>1</w:t>
      </w:r>
      <w:r w:rsidR="00701EFF">
        <w:rPr>
          <w:rFonts w:ascii="Arial" w:hAnsi="Arial" w:cs="Arial"/>
          <w:sz w:val="20"/>
          <w:szCs w:val="20"/>
        </w:rPr>
        <w:t>,</w:t>
      </w:r>
      <w:r>
        <w:rPr>
          <w:rFonts w:ascii="Arial" w:hAnsi="Arial" w:cs="Arial"/>
          <w:sz w:val="20"/>
          <w:szCs w:val="20"/>
        </w:rPr>
        <w:t>7</w:t>
      </w:r>
      <w:r w:rsidR="00701EFF">
        <w:rPr>
          <w:rFonts w:ascii="Arial" w:hAnsi="Arial" w:cs="Arial"/>
          <w:sz w:val="20"/>
          <w:szCs w:val="20"/>
        </w:rPr>
        <w:t xml:space="preserve"> oldu.</w:t>
      </w:r>
      <w:r w:rsidR="00EA1EF9">
        <w:rPr>
          <w:rFonts w:ascii="Arial" w:hAnsi="Arial" w:cs="Arial"/>
          <w:sz w:val="20"/>
          <w:szCs w:val="20"/>
        </w:rPr>
        <w:t xml:space="preserve"> </w:t>
      </w:r>
      <w:r>
        <w:rPr>
          <w:rFonts w:ascii="Arial" w:hAnsi="Arial" w:cs="Arial"/>
          <w:sz w:val="20"/>
          <w:szCs w:val="20"/>
        </w:rPr>
        <w:t xml:space="preserve">Tahminlerdeki sapma </w:t>
      </w:r>
      <w:r w:rsidR="00BF331F">
        <w:rPr>
          <w:rFonts w:ascii="Arial" w:hAnsi="Arial" w:cs="Arial"/>
          <w:sz w:val="20"/>
          <w:szCs w:val="20"/>
        </w:rPr>
        <w:t xml:space="preserve">ağırlıklı olarak </w:t>
      </w:r>
      <w:r>
        <w:rPr>
          <w:rFonts w:ascii="Arial" w:hAnsi="Arial" w:cs="Arial"/>
          <w:sz w:val="20"/>
          <w:szCs w:val="20"/>
        </w:rPr>
        <w:t>tarımsal üretimdeki beklenmedik gerilemeden kaynaklandı</w:t>
      </w:r>
      <w:r w:rsidR="00EA1EF9">
        <w:rPr>
          <w:rFonts w:ascii="Arial" w:hAnsi="Arial" w:cs="Arial"/>
          <w:sz w:val="20"/>
          <w:szCs w:val="20"/>
        </w:rPr>
        <w:t>.</w:t>
      </w:r>
      <w:r>
        <w:rPr>
          <w:rFonts w:ascii="Arial" w:hAnsi="Arial" w:cs="Arial"/>
          <w:sz w:val="20"/>
          <w:szCs w:val="20"/>
        </w:rPr>
        <w:t xml:space="preserve"> Diğer tüm kalemlerde beklediğimi</w:t>
      </w:r>
      <w:r w:rsidR="00BF331F">
        <w:rPr>
          <w:rFonts w:ascii="Arial" w:hAnsi="Arial" w:cs="Arial"/>
          <w:sz w:val="20"/>
          <w:szCs w:val="20"/>
        </w:rPr>
        <w:t>z yönde değişimler gerçekleşti. Özel y</w:t>
      </w:r>
      <w:r>
        <w:rPr>
          <w:rFonts w:ascii="Arial" w:hAnsi="Arial" w:cs="Arial"/>
          <w:sz w:val="20"/>
          <w:szCs w:val="20"/>
        </w:rPr>
        <w:t xml:space="preserve">atırımlardaki artış beklentimizin </w:t>
      </w:r>
      <w:r w:rsidR="00BF331F">
        <w:rPr>
          <w:rFonts w:ascii="Arial" w:hAnsi="Arial" w:cs="Arial"/>
          <w:sz w:val="20"/>
          <w:szCs w:val="20"/>
        </w:rPr>
        <w:t xml:space="preserve">bir miktar </w:t>
      </w:r>
      <w:r>
        <w:rPr>
          <w:rFonts w:ascii="Arial" w:hAnsi="Arial" w:cs="Arial"/>
          <w:sz w:val="20"/>
          <w:szCs w:val="20"/>
        </w:rPr>
        <w:t>üzerinde gerçekleşti.</w:t>
      </w:r>
    </w:p>
    <w:p w:rsidR="00EA1EF9" w:rsidRDefault="00701EFF"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 </w:t>
      </w:r>
    </w:p>
    <w:p w:rsidR="00B834FD" w:rsidRDefault="00D5417D"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Üçüncü</w:t>
      </w:r>
      <w:r w:rsidR="00701EFF">
        <w:rPr>
          <w:rFonts w:ascii="Arial" w:hAnsi="Arial" w:cs="Arial"/>
          <w:sz w:val="20"/>
          <w:szCs w:val="20"/>
        </w:rPr>
        <w:t xml:space="preserve"> çeyrek sonunda </w:t>
      </w:r>
      <w:r w:rsidR="00EA1EF9">
        <w:rPr>
          <w:rFonts w:ascii="Arial" w:hAnsi="Arial" w:cs="Arial"/>
          <w:sz w:val="20"/>
          <w:szCs w:val="20"/>
        </w:rPr>
        <w:t xml:space="preserve">beklentilerimize paralel olarak </w:t>
      </w:r>
      <w:r w:rsidR="00701EFF">
        <w:rPr>
          <w:rFonts w:ascii="Arial" w:hAnsi="Arial" w:cs="Arial"/>
          <w:sz w:val="20"/>
          <w:szCs w:val="20"/>
        </w:rPr>
        <w:t xml:space="preserve">cari açık oranı yüzde </w:t>
      </w:r>
      <w:r>
        <w:rPr>
          <w:rFonts w:ascii="Arial" w:hAnsi="Arial" w:cs="Arial"/>
          <w:sz w:val="20"/>
          <w:szCs w:val="20"/>
        </w:rPr>
        <w:t>6</w:t>
      </w:r>
      <w:r w:rsidR="00701EFF">
        <w:rPr>
          <w:rFonts w:ascii="Arial" w:hAnsi="Arial" w:cs="Arial"/>
          <w:sz w:val="20"/>
          <w:szCs w:val="20"/>
        </w:rPr>
        <w:t>,</w:t>
      </w:r>
      <w:r w:rsidR="00EA1EF9">
        <w:rPr>
          <w:rFonts w:ascii="Arial" w:hAnsi="Arial" w:cs="Arial"/>
          <w:sz w:val="20"/>
          <w:szCs w:val="20"/>
        </w:rPr>
        <w:t>5</w:t>
      </w:r>
      <w:r w:rsidR="00701EFF">
        <w:rPr>
          <w:rFonts w:ascii="Arial" w:hAnsi="Arial" w:cs="Arial"/>
          <w:sz w:val="20"/>
          <w:szCs w:val="20"/>
        </w:rPr>
        <w:t>'</w:t>
      </w:r>
      <w:r w:rsidR="00EA1EF9">
        <w:rPr>
          <w:rFonts w:ascii="Arial" w:hAnsi="Arial" w:cs="Arial"/>
          <w:sz w:val="20"/>
          <w:szCs w:val="20"/>
        </w:rPr>
        <w:t>ten</w:t>
      </w:r>
      <w:r w:rsidR="00701EFF">
        <w:rPr>
          <w:rFonts w:ascii="Arial" w:hAnsi="Arial" w:cs="Arial"/>
          <w:sz w:val="20"/>
          <w:szCs w:val="20"/>
        </w:rPr>
        <w:t xml:space="preserve"> </w:t>
      </w:r>
      <w:r>
        <w:rPr>
          <w:rFonts w:ascii="Arial" w:hAnsi="Arial" w:cs="Arial"/>
          <w:sz w:val="20"/>
          <w:szCs w:val="20"/>
        </w:rPr>
        <w:t>5</w:t>
      </w:r>
      <w:r w:rsidR="00701EFF">
        <w:rPr>
          <w:rFonts w:ascii="Arial" w:hAnsi="Arial" w:cs="Arial"/>
          <w:sz w:val="20"/>
          <w:szCs w:val="20"/>
        </w:rPr>
        <w:t>,</w:t>
      </w:r>
      <w:r>
        <w:rPr>
          <w:rFonts w:ascii="Arial" w:hAnsi="Arial" w:cs="Arial"/>
          <w:sz w:val="20"/>
          <w:szCs w:val="20"/>
        </w:rPr>
        <w:t>8</w:t>
      </w:r>
      <w:r w:rsidR="00701EFF">
        <w:rPr>
          <w:rFonts w:ascii="Arial" w:hAnsi="Arial" w:cs="Arial"/>
          <w:sz w:val="20"/>
          <w:szCs w:val="20"/>
        </w:rPr>
        <w:t xml:space="preserve">'e, altın hariç cari açık ise yüzde </w:t>
      </w:r>
      <w:r>
        <w:rPr>
          <w:rFonts w:ascii="Arial" w:hAnsi="Arial" w:cs="Arial"/>
          <w:sz w:val="20"/>
          <w:szCs w:val="20"/>
        </w:rPr>
        <w:t>5</w:t>
      </w:r>
      <w:r w:rsidR="00701EFF">
        <w:rPr>
          <w:rFonts w:ascii="Arial" w:hAnsi="Arial" w:cs="Arial"/>
          <w:sz w:val="20"/>
          <w:szCs w:val="20"/>
        </w:rPr>
        <w:t>,</w:t>
      </w:r>
      <w:r>
        <w:rPr>
          <w:rFonts w:ascii="Arial" w:hAnsi="Arial" w:cs="Arial"/>
          <w:sz w:val="20"/>
          <w:szCs w:val="20"/>
        </w:rPr>
        <w:t>9</w:t>
      </w:r>
      <w:r w:rsidR="00701EFF">
        <w:rPr>
          <w:rFonts w:ascii="Arial" w:hAnsi="Arial" w:cs="Arial"/>
          <w:sz w:val="20"/>
          <w:szCs w:val="20"/>
        </w:rPr>
        <w:t>'d</w:t>
      </w:r>
      <w:r>
        <w:rPr>
          <w:rFonts w:ascii="Arial" w:hAnsi="Arial" w:cs="Arial"/>
          <w:sz w:val="20"/>
          <w:szCs w:val="20"/>
        </w:rPr>
        <w:t>a</w:t>
      </w:r>
      <w:r w:rsidR="00701EFF">
        <w:rPr>
          <w:rFonts w:ascii="Arial" w:hAnsi="Arial" w:cs="Arial"/>
          <w:sz w:val="20"/>
          <w:szCs w:val="20"/>
        </w:rPr>
        <w:t xml:space="preserve">n yüzde </w:t>
      </w:r>
      <w:r w:rsidR="00EA1EF9">
        <w:rPr>
          <w:rFonts w:ascii="Arial" w:hAnsi="Arial" w:cs="Arial"/>
          <w:sz w:val="20"/>
          <w:szCs w:val="20"/>
        </w:rPr>
        <w:t>5</w:t>
      </w:r>
      <w:r w:rsidR="00701EFF">
        <w:rPr>
          <w:rFonts w:ascii="Arial" w:hAnsi="Arial" w:cs="Arial"/>
          <w:sz w:val="20"/>
          <w:szCs w:val="20"/>
        </w:rPr>
        <w:t>,</w:t>
      </w:r>
      <w:r>
        <w:rPr>
          <w:rFonts w:ascii="Arial" w:hAnsi="Arial" w:cs="Arial"/>
          <w:sz w:val="20"/>
          <w:szCs w:val="20"/>
        </w:rPr>
        <w:t>4</w:t>
      </w:r>
      <w:r w:rsidR="00701EFF">
        <w:rPr>
          <w:rFonts w:ascii="Arial" w:hAnsi="Arial" w:cs="Arial"/>
          <w:sz w:val="20"/>
          <w:szCs w:val="20"/>
        </w:rPr>
        <w:t>'</w:t>
      </w:r>
      <w:r>
        <w:rPr>
          <w:rFonts w:ascii="Arial" w:hAnsi="Arial" w:cs="Arial"/>
          <w:sz w:val="20"/>
          <w:szCs w:val="20"/>
        </w:rPr>
        <w:t>e</w:t>
      </w:r>
      <w:r w:rsidR="00701EFF">
        <w:rPr>
          <w:rFonts w:ascii="Arial" w:hAnsi="Arial" w:cs="Arial"/>
          <w:sz w:val="20"/>
          <w:szCs w:val="20"/>
        </w:rPr>
        <w:t xml:space="preserve"> düştü. </w:t>
      </w:r>
    </w:p>
    <w:p w:rsidR="00EA1EF9" w:rsidRDefault="00EA1EF9" w:rsidP="00FA1EEF">
      <w:pPr>
        <w:pStyle w:val="NormalWeb"/>
        <w:spacing w:before="0" w:beforeAutospacing="0" w:after="0" w:afterAutospacing="0" w:line="360" w:lineRule="auto"/>
        <w:jc w:val="both"/>
        <w:rPr>
          <w:rFonts w:ascii="Arial" w:hAnsi="Arial" w:cs="Arial"/>
          <w:sz w:val="20"/>
          <w:szCs w:val="20"/>
        </w:rPr>
      </w:pPr>
    </w:p>
    <w:p w:rsidR="002763DA" w:rsidRDefault="00002880"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 xml:space="preserve">Tarımsal üretimdeki beklenmedik gerileme büyümeyi aşağıya çekmiş olsa da ekonomide iç talep ağırlıklı ılımlı büyümenin devam ettiğini görüyoruz. Dördüncü çeyreğe ilişkin elimizde kısıtlı sayıda gösterge var ancak tüketim ve özel yatırımlardaki ivmenin bu dönemde de süreceğini tahmin ediyoruz. </w:t>
      </w:r>
    </w:p>
    <w:p w:rsidR="00E558A0" w:rsidRDefault="00E558A0" w:rsidP="00FA1EEF">
      <w:pPr>
        <w:pStyle w:val="NormalWeb"/>
        <w:spacing w:before="0" w:beforeAutospacing="0" w:after="0" w:afterAutospacing="0" w:line="360" w:lineRule="auto"/>
        <w:jc w:val="both"/>
        <w:rPr>
          <w:rFonts w:ascii="Arial" w:hAnsi="Arial" w:cs="Arial"/>
          <w:sz w:val="20"/>
          <w:szCs w:val="20"/>
        </w:rPr>
      </w:pPr>
    </w:p>
    <w:p w:rsidR="00E558A0" w:rsidRDefault="00E558A0" w:rsidP="00FA1EEF">
      <w:pPr>
        <w:pStyle w:val="NormalWeb"/>
        <w:spacing w:before="0" w:beforeAutospacing="0" w:after="0" w:afterAutospacing="0" w:line="360" w:lineRule="auto"/>
        <w:jc w:val="both"/>
        <w:rPr>
          <w:rFonts w:ascii="Arial" w:hAnsi="Arial" w:cs="Arial"/>
          <w:sz w:val="20"/>
          <w:szCs w:val="20"/>
        </w:rPr>
      </w:pPr>
      <w:r>
        <w:rPr>
          <w:rFonts w:ascii="Arial" w:hAnsi="Arial" w:cs="Arial"/>
          <w:sz w:val="20"/>
          <w:szCs w:val="20"/>
        </w:rPr>
        <w:t>2015 yılında ekonominin önünde önemli riskler olmaya devam ediyor. Emtia fiyatlarındaki ve özellikle petrol fiyatındaki düşüşün kalıcı olması büyümeyi olumlu yönde etkilerken, küresel finansal koşulların Amerikan Merkez Bankası'nın faiz artırması ile Türkiye aleyhine dönmesi ve yeni bir kur şoku</w:t>
      </w:r>
      <w:r w:rsidR="00B9586E">
        <w:rPr>
          <w:rFonts w:ascii="Arial" w:hAnsi="Arial" w:cs="Arial"/>
          <w:sz w:val="20"/>
          <w:szCs w:val="20"/>
        </w:rPr>
        <w:t xml:space="preserve"> (artış yönlü)</w:t>
      </w:r>
      <w:r>
        <w:rPr>
          <w:rFonts w:ascii="Arial" w:hAnsi="Arial" w:cs="Arial"/>
          <w:sz w:val="20"/>
          <w:szCs w:val="20"/>
        </w:rPr>
        <w:t xml:space="preserve"> ile olumsuz etkilemesi mümkün. Bu nedenle önümüzdeki dönemde para politikasının çok dikkatli bir şekilde yürütülmesi gerekiyor.</w:t>
      </w:r>
      <w:r w:rsidR="005A0E4F">
        <w:rPr>
          <w:rFonts w:ascii="Arial" w:hAnsi="Arial" w:cs="Arial"/>
          <w:sz w:val="20"/>
          <w:szCs w:val="20"/>
        </w:rPr>
        <w:t xml:space="preserve"> Tarımsal üretimdeki </w:t>
      </w:r>
      <w:r w:rsidR="005A0E4F">
        <w:rPr>
          <w:rFonts w:ascii="Arial" w:hAnsi="Arial" w:cs="Arial"/>
          <w:sz w:val="20"/>
          <w:szCs w:val="20"/>
        </w:rPr>
        <w:lastRenderedPageBreak/>
        <w:t>düşüş iç talepte zayıflık olarak algılanarak küresel finansal koşulların hafife alınması oldukça yanlış politika beklentileri üretecektir. 2015 yılında büyüme ve enflasyon üzerindeki en önemli risk 2014 yılı başındaki gibi bir kur şokunun yaşanması olacaktır.</w:t>
      </w:r>
      <w:r w:rsidR="00B9586E">
        <w:rPr>
          <w:rFonts w:ascii="Arial" w:hAnsi="Arial" w:cs="Arial"/>
          <w:sz w:val="20"/>
          <w:szCs w:val="20"/>
        </w:rPr>
        <w:t xml:space="preserve"> Merkez Bankasının ihtiyatlı politikaları bu etkiyi sınırlayarak büyümeyi ve enflasyon görünümünü destekleye</w:t>
      </w:r>
      <w:r w:rsidR="001942E3">
        <w:rPr>
          <w:rFonts w:ascii="Arial" w:hAnsi="Arial" w:cs="Arial"/>
          <w:sz w:val="20"/>
          <w:szCs w:val="20"/>
        </w:rPr>
        <w:t>bilir</w:t>
      </w:r>
      <w:r w:rsidR="00B9586E">
        <w:rPr>
          <w:rFonts w:ascii="Arial" w:hAnsi="Arial" w:cs="Arial"/>
          <w:sz w:val="20"/>
          <w:szCs w:val="20"/>
        </w:rPr>
        <w:t>.</w:t>
      </w:r>
    </w:p>
    <w:p w:rsidR="00B834FD" w:rsidRDefault="00B834FD" w:rsidP="00572866">
      <w:pPr>
        <w:spacing w:line="288" w:lineRule="auto"/>
        <w:ind w:right="77"/>
        <w:jc w:val="both"/>
        <w:rPr>
          <w:rFonts w:ascii="Arial" w:hAnsi="Arial" w:cs="Arial"/>
          <w:sz w:val="20"/>
          <w:szCs w:val="20"/>
        </w:rPr>
      </w:pPr>
    </w:p>
    <w:p w:rsidR="00B834FD" w:rsidRPr="00712EDE" w:rsidRDefault="00B834FD" w:rsidP="00572866">
      <w:pPr>
        <w:spacing w:line="288" w:lineRule="auto"/>
        <w:ind w:right="77"/>
        <w:jc w:val="both"/>
        <w:rPr>
          <w:rFonts w:ascii="Arial" w:hAnsi="Arial" w:cs="Arial"/>
          <w:b/>
          <w:bCs/>
          <w:sz w:val="20"/>
          <w:szCs w:val="20"/>
        </w:rPr>
      </w:pPr>
      <w:r w:rsidRPr="00712EDE">
        <w:rPr>
          <w:rFonts w:ascii="Arial" w:hAnsi="Arial" w:cs="Arial"/>
          <w:b/>
          <w:bCs/>
          <w:sz w:val="20"/>
          <w:szCs w:val="20"/>
        </w:rPr>
        <w:t>Ş</w:t>
      </w:r>
      <w:r>
        <w:rPr>
          <w:rFonts w:ascii="Arial" w:hAnsi="Arial" w:cs="Arial"/>
          <w:b/>
          <w:bCs/>
          <w:sz w:val="20"/>
          <w:szCs w:val="20"/>
        </w:rPr>
        <w:t>ekil 3</w:t>
      </w:r>
      <w:r w:rsidRPr="00712EDE">
        <w:rPr>
          <w:rFonts w:ascii="Arial" w:hAnsi="Arial" w:cs="Arial"/>
          <w:b/>
          <w:bCs/>
          <w:sz w:val="20"/>
          <w:szCs w:val="20"/>
        </w:rPr>
        <w:t>:</w:t>
      </w:r>
      <w:r>
        <w:rPr>
          <w:rFonts w:ascii="Arial" w:hAnsi="Arial" w:cs="Arial"/>
          <w:b/>
          <w:bCs/>
          <w:sz w:val="20"/>
          <w:szCs w:val="20"/>
        </w:rPr>
        <w:t xml:space="preserve"> </w:t>
      </w:r>
      <w:r w:rsidRPr="00712EDE">
        <w:rPr>
          <w:rFonts w:ascii="Arial" w:hAnsi="Arial" w:cs="Arial"/>
          <w:b/>
          <w:bCs/>
          <w:sz w:val="20"/>
          <w:szCs w:val="20"/>
        </w:rPr>
        <w:t>GSYH</w:t>
      </w:r>
      <w:r>
        <w:rPr>
          <w:rFonts w:ascii="Arial" w:hAnsi="Arial" w:cs="Arial"/>
          <w:b/>
          <w:bCs/>
          <w:sz w:val="20"/>
          <w:szCs w:val="20"/>
        </w:rPr>
        <w:t xml:space="preserve">, </w:t>
      </w:r>
      <w:r w:rsidRPr="00712EDE">
        <w:rPr>
          <w:rFonts w:ascii="Arial" w:hAnsi="Arial" w:cs="Arial"/>
          <w:b/>
          <w:bCs/>
          <w:sz w:val="20"/>
          <w:szCs w:val="20"/>
        </w:rPr>
        <w:t>Önceki çeyreğe göre büyüme</w:t>
      </w:r>
    </w:p>
    <w:p w:rsidR="00B834FD" w:rsidRDefault="00E74A0E" w:rsidP="00572866">
      <w:pPr>
        <w:pStyle w:val="NormalWeb"/>
        <w:spacing w:before="0" w:beforeAutospacing="0" w:after="0" w:afterAutospacing="0"/>
        <w:jc w:val="both"/>
      </w:pPr>
      <w:r w:rsidRPr="00E74A0E">
        <w:rPr>
          <w:noProof/>
        </w:rPr>
        <w:drawing>
          <wp:inline distT="0" distB="0" distL="0" distR="0">
            <wp:extent cx="3028493" cy="1997050"/>
            <wp:effectExtent l="0" t="0" r="0"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3712" w:rsidRDefault="00C23712" w:rsidP="000252CE">
      <w:pPr>
        <w:pStyle w:val="NormalWeb"/>
        <w:spacing w:before="0" w:beforeAutospacing="0" w:after="0" w:afterAutospacing="0"/>
        <w:jc w:val="both"/>
        <w:rPr>
          <w:rFonts w:ascii="Arial" w:hAnsi="Arial" w:cs="Arial"/>
          <w:sz w:val="16"/>
          <w:szCs w:val="16"/>
        </w:rPr>
      </w:pPr>
    </w:p>
    <w:p w:rsidR="00062A47" w:rsidRDefault="00B834FD" w:rsidP="000252CE">
      <w:pPr>
        <w:pStyle w:val="NormalWeb"/>
        <w:spacing w:before="0" w:beforeAutospacing="0" w:after="0" w:afterAutospacing="0"/>
        <w:jc w:val="both"/>
        <w:rPr>
          <w:rFonts w:ascii="Arial" w:hAnsi="Arial" w:cs="Arial"/>
          <w:sz w:val="16"/>
          <w:szCs w:val="16"/>
        </w:rPr>
      </w:pPr>
      <w:r w:rsidRPr="00660DE2">
        <w:rPr>
          <w:rFonts w:ascii="Arial" w:hAnsi="Arial" w:cs="Arial"/>
          <w:sz w:val="16"/>
          <w:szCs w:val="16"/>
        </w:rPr>
        <w:t>Kaynak : TÜİK.</w:t>
      </w:r>
    </w:p>
    <w:p w:rsidR="00FE3990" w:rsidRDefault="00FE3990"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FE3990" w:rsidRPr="000252CE" w:rsidRDefault="00FE3990" w:rsidP="000252CE">
      <w:pPr>
        <w:pStyle w:val="NormalWeb"/>
        <w:spacing w:before="0" w:beforeAutospacing="0" w:after="0" w:afterAutospacing="0"/>
        <w:jc w:val="both"/>
        <w:rPr>
          <w:rFonts w:ascii="Arial" w:hAnsi="Arial" w:cs="Arial"/>
          <w:sz w:val="20"/>
          <w:szCs w:val="20"/>
        </w:rPr>
      </w:pPr>
    </w:p>
    <w:p w:rsidR="00B834FD" w:rsidRDefault="00062A47" w:rsidP="00D561EE">
      <w:pPr>
        <w:pStyle w:val="NormalWeb"/>
        <w:spacing w:before="0" w:beforeAutospacing="0" w:after="0" w:afterAutospacing="0"/>
        <w:ind w:right="77"/>
        <w:jc w:val="both"/>
        <w:rPr>
          <w:b/>
          <w:bCs/>
          <w:sz w:val="22"/>
          <w:szCs w:val="22"/>
        </w:rPr>
      </w:pPr>
      <w:r>
        <w:rPr>
          <w:b/>
          <w:bCs/>
          <w:sz w:val="22"/>
          <w:szCs w:val="22"/>
        </w:rPr>
        <w:lastRenderedPageBreak/>
        <w:t xml:space="preserve">Tablo 1. 2014 </w:t>
      </w:r>
      <w:r w:rsidR="00792E44">
        <w:rPr>
          <w:b/>
          <w:bCs/>
          <w:sz w:val="22"/>
          <w:szCs w:val="22"/>
        </w:rPr>
        <w:t>2</w:t>
      </w:r>
      <w:r w:rsidR="00FC018D">
        <w:rPr>
          <w:b/>
          <w:bCs/>
          <w:sz w:val="22"/>
          <w:szCs w:val="22"/>
        </w:rPr>
        <w:t>. çeyrekte ve 2014</w:t>
      </w:r>
      <w:r>
        <w:rPr>
          <w:b/>
          <w:bCs/>
          <w:sz w:val="22"/>
          <w:szCs w:val="22"/>
        </w:rPr>
        <w:t xml:space="preserve"> </w:t>
      </w:r>
      <w:r w:rsidR="00792E44">
        <w:rPr>
          <w:b/>
          <w:bCs/>
          <w:sz w:val="22"/>
          <w:szCs w:val="22"/>
        </w:rPr>
        <w:t>3</w:t>
      </w:r>
      <w:r w:rsidR="00B834FD">
        <w:rPr>
          <w:b/>
          <w:bCs/>
          <w:sz w:val="22"/>
          <w:szCs w:val="22"/>
        </w:rPr>
        <w:t xml:space="preserve">. çeyrekte GSYH altkalemlerinin, </w:t>
      </w:r>
      <w:r w:rsidR="00B834FD" w:rsidRPr="00002CEE">
        <w:rPr>
          <w:b/>
          <w:bCs/>
          <w:sz w:val="22"/>
          <w:szCs w:val="22"/>
          <w:u w:val="single"/>
        </w:rPr>
        <w:t>bir önceki çeyreğe</w:t>
      </w:r>
      <w:r w:rsidR="00B834FD">
        <w:rPr>
          <w:b/>
          <w:bCs/>
          <w:sz w:val="22"/>
          <w:szCs w:val="22"/>
        </w:rPr>
        <w:t xml:space="preserve"> göre değişimleri ve büyümeye katkıları</w:t>
      </w:r>
    </w:p>
    <w:tbl>
      <w:tblPr>
        <w:tblW w:w="4680" w:type="dxa"/>
        <w:tblInd w:w="70" w:type="dxa"/>
        <w:tblLayout w:type="fixed"/>
        <w:tblCellMar>
          <w:left w:w="70" w:type="dxa"/>
          <w:right w:w="70" w:type="dxa"/>
        </w:tblCellMar>
        <w:tblLook w:val="0000" w:firstRow="0" w:lastRow="0" w:firstColumn="0" w:lastColumn="0" w:noHBand="0" w:noVBand="0"/>
      </w:tblPr>
      <w:tblGrid>
        <w:gridCol w:w="1980"/>
        <w:gridCol w:w="1350"/>
        <w:gridCol w:w="1350"/>
      </w:tblGrid>
      <w:tr w:rsidR="00B834FD" w:rsidTr="00DB028A">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B834FD" w:rsidRDefault="00FC018D" w:rsidP="0089443A">
            <w:pPr>
              <w:rPr>
                <w:rFonts w:ascii="Arial TUR" w:hAnsi="Arial TUR" w:cs="Arial TUR"/>
                <w:b/>
                <w:bCs/>
                <w:sz w:val="20"/>
                <w:szCs w:val="20"/>
              </w:rPr>
            </w:pPr>
            <w:r>
              <w:rPr>
                <w:rFonts w:ascii="Arial TUR" w:hAnsi="Arial TUR" w:cs="Arial TUR"/>
                <w:b/>
                <w:bCs/>
                <w:sz w:val="20"/>
                <w:szCs w:val="20"/>
              </w:rPr>
              <w:t>2014</w:t>
            </w:r>
            <w:r w:rsidR="00E74A0E">
              <w:rPr>
                <w:rFonts w:ascii="Arial TUR" w:hAnsi="Arial TUR" w:cs="Arial TUR"/>
                <w:b/>
                <w:bCs/>
                <w:sz w:val="20"/>
                <w:szCs w:val="20"/>
              </w:rPr>
              <w:t xml:space="preserve"> – 3</w:t>
            </w:r>
            <w:r w:rsidR="00B834FD">
              <w:rPr>
                <w:rFonts w:ascii="Arial TUR" w:hAnsi="Arial TUR" w:cs="Arial TUR"/>
                <w:b/>
                <w:bCs/>
                <w:sz w:val="20"/>
                <w:szCs w:val="20"/>
              </w:rPr>
              <w:t>. Ç</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single" w:sz="4" w:space="0" w:color="auto"/>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1.7%</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1.1%</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2.6%</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0.5%</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1.3%</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0.2%</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E74A0E" w:rsidRDefault="00E74A0E" w:rsidP="00E74A0E">
            <w:pPr>
              <w:jc w:val="right"/>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-2.4%</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0.6%</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0.2%</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-3.1%</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0.9%</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B834FD" w:rsidRDefault="00B834FD" w:rsidP="0089443A">
            <w:pPr>
              <w:rPr>
                <w:rFonts w:ascii="Arial" w:hAnsi="Arial" w:cs="Arial"/>
                <w:sz w:val="20"/>
                <w:szCs w:val="20"/>
              </w:rPr>
            </w:pPr>
            <w:r>
              <w:rPr>
                <w:rFonts w:ascii="Arial" w:hAnsi="Arial" w:cs="Arial"/>
                <w:sz w:val="20"/>
                <w:szCs w:val="20"/>
              </w:rPr>
              <w:t> </w:t>
            </w:r>
          </w:p>
        </w:tc>
      </w:tr>
      <w:tr w:rsidR="00B834FD"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B834FD" w:rsidRDefault="00B373FE" w:rsidP="0089443A">
            <w:pPr>
              <w:rPr>
                <w:rFonts w:ascii="Arial TUR" w:hAnsi="Arial TUR" w:cs="Arial TUR"/>
                <w:b/>
                <w:bCs/>
                <w:sz w:val="20"/>
                <w:szCs w:val="20"/>
              </w:rPr>
            </w:pPr>
            <w:r>
              <w:rPr>
                <w:rFonts w:ascii="Arial TUR" w:hAnsi="Arial TUR" w:cs="Arial TUR"/>
                <w:b/>
                <w:bCs/>
                <w:sz w:val="20"/>
                <w:szCs w:val="20"/>
              </w:rPr>
              <w:t>2014</w:t>
            </w:r>
            <w:r w:rsidR="00E74A0E">
              <w:rPr>
                <w:rFonts w:ascii="Arial TUR" w:hAnsi="Arial TUR" w:cs="Arial TUR"/>
                <w:b/>
                <w:bCs/>
                <w:sz w:val="20"/>
                <w:szCs w:val="20"/>
              </w:rPr>
              <w:t xml:space="preserve"> – 2</w:t>
            </w:r>
            <w:r w:rsidR="00B834FD">
              <w:rPr>
                <w:rFonts w:ascii="Arial TUR" w:hAnsi="Arial TUR" w:cs="Arial TUR"/>
                <w:b/>
                <w:bCs/>
                <w:sz w:val="20"/>
                <w:szCs w:val="20"/>
              </w:rPr>
              <w:t>. Ç</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Degişim</w:t>
            </w:r>
          </w:p>
        </w:tc>
        <w:tc>
          <w:tcPr>
            <w:tcW w:w="1350" w:type="dxa"/>
            <w:tcBorders>
              <w:top w:val="nil"/>
              <w:left w:val="nil"/>
              <w:bottom w:val="single" w:sz="4" w:space="0" w:color="auto"/>
              <w:right w:val="single" w:sz="4" w:space="0" w:color="auto"/>
            </w:tcBorders>
            <w:noWrap/>
            <w:vAlign w:val="bottom"/>
          </w:tcPr>
          <w:p w:rsidR="00B834FD" w:rsidRDefault="00B834FD" w:rsidP="0089443A">
            <w:pPr>
              <w:jc w:val="center"/>
              <w:rPr>
                <w:rFonts w:ascii="Arial TUR" w:hAnsi="Arial TUR" w:cs="Arial TUR"/>
                <w:b/>
                <w:bCs/>
                <w:sz w:val="20"/>
                <w:szCs w:val="20"/>
              </w:rPr>
            </w:pPr>
            <w:r>
              <w:rPr>
                <w:rFonts w:ascii="Arial TUR" w:hAnsi="Arial TUR" w:cs="Arial TUR"/>
                <w:b/>
                <w:bCs/>
                <w:sz w:val="20"/>
                <w:szCs w:val="20"/>
              </w:rPr>
              <w:t>Katkılar</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-0.3%</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-0.2%</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-0.2%</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0.0%</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-3.3%</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-0.5%</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E74A0E" w:rsidRDefault="00E74A0E" w:rsidP="00E74A0E">
            <w:pPr>
              <w:jc w:val="right"/>
              <w:rPr>
                <w:rFonts w:ascii="Arial" w:hAnsi="Arial" w:cs="Arial"/>
                <w:sz w:val="20"/>
                <w:szCs w:val="20"/>
              </w:rPr>
            </w:pPr>
            <w:r>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0.8%</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-0.7%</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-0.2%</w:t>
            </w:r>
          </w:p>
        </w:tc>
      </w:tr>
      <w:tr w:rsidR="00E74A0E" w:rsidTr="00DB028A">
        <w:trPr>
          <w:trHeight w:val="255"/>
        </w:trPr>
        <w:tc>
          <w:tcPr>
            <w:tcW w:w="1980" w:type="dxa"/>
            <w:tcBorders>
              <w:top w:val="nil"/>
              <w:left w:val="single" w:sz="4" w:space="0" w:color="auto"/>
              <w:bottom w:val="single" w:sz="4" w:space="0" w:color="auto"/>
              <w:right w:val="single" w:sz="4" w:space="0" w:color="auto"/>
            </w:tcBorders>
            <w:noWrap/>
            <w:vAlign w:val="bottom"/>
          </w:tcPr>
          <w:p w:rsidR="00E74A0E" w:rsidRDefault="00E74A0E" w:rsidP="0089443A">
            <w:pPr>
              <w:rPr>
                <w:rFonts w:ascii="Arial TUR" w:hAnsi="Arial TUR" w:cs="Arial TUR"/>
                <w:b/>
                <w:bCs/>
                <w:sz w:val="20"/>
                <w:szCs w:val="20"/>
              </w:rPr>
            </w:pPr>
            <w:r>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1.4%</w:t>
            </w:r>
          </w:p>
        </w:tc>
        <w:tc>
          <w:tcPr>
            <w:tcW w:w="1350"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-0.4%</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B834FD" w:rsidRDefault="00B834FD" w:rsidP="00A7746C">
      <w:pPr>
        <w:pStyle w:val="NormalWeb"/>
        <w:spacing w:before="0" w:beforeAutospacing="0" w:after="0" w:afterAutospacing="0"/>
        <w:ind w:right="77"/>
        <w:rPr>
          <w:b/>
          <w:bCs/>
          <w:sz w:val="22"/>
          <w:szCs w:val="22"/>
        </w:rPr>
      </w:pPr>
    </w:p>
    <w:p w:rsidR="00B834FD" w:rsidRDefault="00B86B6B" w:rsidP="00D561EE">
      <w:pPr>
        <w:pStyle w:val="NormalWeb"/>
        <w:spacing w:before="0" w:beforeAutospacing="0" w:after="0" w:afterAutospacing="0"/>
        <w:ind w:right="77"/>
        <w:jc w:val="both"/>
        <w:rPr>
          <w:b/>
          <w:bCs/>
          <w:sz w:val="22"/>
          <w:szCs w:val="22"/>
        </w:rPr>
      </w:pPr>
      <w:r>
        <w:rPr>
          <w:b/>
          <w:bCs/>
          <w:sz w:val="22"/>
          <w:szCs w:val="22"/>
        </w:rPr>
        <w:t xml:space="preserve"> </w:t>
      </w:r>
      <w:r w:rsidR="00C23712">
        <w:rPr>
          <w:b/>
          <w:bCs/>
          <w:sz w:val="22"/>
          <w:szCs w:val="22"/>
        </w:rPr>
        <w:br w:type="column"/>
      </w:r>
      <w:r w:rsidR="00062A47">
        <w:rPr>
          <w:b/>
          <w:bCs/>
          <w:sz w:val="22"/>
          <w:szCs w:val="22"/>
        </w:rPr>
        <w:lastRenderedPageBreak/>
        <w:t xml:space="preserve">Tablo 2. 2014 </w:t>
      </w:r>
      <w:r w:rsidR="00792E44">
        <w:rPr>
          <w:b/>
          <w:bCs/>
          <w:sz w:val="22"/>
          <w:szCs w:val="22"/>
        </w:rPr>
        <w:t>2</w:t>
      </w:r>
      <w:r w:rsidR="00FC018D">
        <w:rPr>
          <w:b/>
          <w:bCs/>
          <w:sz w:val="22"/>
          <w:szCs w:val="22"/>
        </w:rPr>
        <w:t>. çeyrekte ve 2014</w:t>
      </w:r>
      <w:r w:rsidR="00792E44">
        <w:rPr>
          <w:b/>
          <w:bCs/>
          <w:sz w:val="22"/>
          <w:szCs w:val="22"/>
        </w:rPr>
        <w:t xml:space="preserve"> 3</w:t>
      </w:r>
      <w:r w:rsidR="00B834FD">
        <w:rPr>
          <w:b/>
          <w:bCs/>
          <w:sz w:val="22"/>
          <w:szCs w:val="22"/>
        </w:rPr>
        <w:t xml:space="preserve">. çeyrekte GSYH altkalemlerinin, </w:t>
      </w:r>
      <w:r w:rsidR="00B834FD" w:rsidRPr="00002CEE">
        <w:rPr>
          <w:b/>
          <w:bCs/>
          <w:sz w:val="22"/>
          <w:szCs w:val="22"/>
          <w:u w:val="single"/>
        </w:rPr>
        <w:t xml:space="preserve">bir önceki yılın aynı çeyreğine göre </w:t>
      </w:r>
      <w:r w:rsidR="00B834FD">
        <w:rPr>
          <w:b/>
          <w:bCs/>
          <w:sz w:val="22"/>
          <w:szCs w:val="22"/>
        </w:rPr>
        <w:t>değişimleri ve büyümeye katkıları</w:t>
      </w:r>
    </w:p>
    <w:tbl>
      <w:tblPr>
        <w:tblW w:w="4680" w:type="dxa"/>
        <w:tblInd w:w="70" w:type="dxa"/>
        <w:tblLayout w:type="fixed"/>
        <w:tblCellMar>
          <w:left w:w="70" w:type="dxa"/>
          <w:right w:w="70" w:type="dxa"/>
        </w:tblCellMar>
        <w:tblLook w:val="0000" w:firstRow="0" w:lastRow="0" w:firstColumn="0" w:lastColumn="0" w:noHBand="0" w:noVBand="0"/>
      </w:tblPr>
      <w:tblGrid>
        <w:gridCol w:w="2070"/>
        <w:gridCol w:w="1305"/>
        <w:gridCol w:w="1305"/>
      </w:tblGrid>
      <w:tr w:rsidR="00B834FD" w:rsidTr="00B44918">
        <w:trPr>
          <w:trHeight w:val="255"/>
        </w:trPr>
        <w:tc>
          <w:tcPr>
            <w:tcW w:w="2070" w:type="dxa"/>
            <w:tcBorders>
              <w:top w:val="single" w:sz="4" w:space="0" w:color="auto"/>
              <w:left w:val="single" w:sz="4" w:space="0" w:color="auto"/>
              <w:bottom w:val="single" w:sz="4" w:space="0" w:color="auto"/>
              <w:right w:val="single" w:sz="4" w:space="0" w:color="auto"/>
            </w:tcBorders>
            <w:noWrap/>
            <w:vAlign w:val="bottom"/>
          </w:tcPr>
          <w:p w:rsidR="00B834FD" w:rsidRPr="005E763B" w:rsidRDefault="00FC018D" w:rsidP="0089443A">
            <w:pPr>
              <w:rPr>
                <w:rFonts w:ascii="Arial" w:hAnsi="Arial" w:cs="Arial"/>
                <w:b/>
                <w:bCs/>
                <w:sz w:val="20"/>
                <w:szCs w:val="20"/>
              </w:rPr>
            </w:pPr>
            <w:r>
              <w:rPr>
                <w:rFonts w:ascii="Arial" w:hAnsi="Arial" w:cs="Arial"/>
                <w:b/>
                <w:bCs/>
                <w:sz w:val="20"/>
                <w:szCs w:val="20"/>
              </w:rPr>
              <w:t>2014</w:t>
            </w:r>
            <w:r w:rsidR="00E74A0E">
              <w:rPr>
                <w:rFonts w:ascii="Arial" w:hAnsi="Arial" w:cs="Arial"/>
                <w:b/>
                <w:bCs/>
                <w:sz w:val="20"/>
                <w:szCs w:val="20"/>
              </w:rPr>
              <w:t xml:space="preserve"> – 3</w:t>
            </w:r>
            <w:r w:rsidR="00B834FD" w:rsidRPr="005E763B">
              <w:rPr>
                <w:rFonts w:ascii="Arial" w:hAnsi="Arial" w:cs="Arial"/>
                <w:b/>
                <w:bCs/>
                <w:sz w:val="20"/>
                <w:szCs w:val="20"/>
              </w:rPr>
              <w:t>. Ç</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single" w:sz="4" w:space="0" w:color="auto"/>
              <w:left w:val="nil"/>
              <w:bottom w:val="single" w:sz="4" w:space="0" w:color="auto"/>
              <w:right w:val="single" w:sz="4" w:space="0" w:color="auto"/>
            </w:tcBorders>
            <w:noWrap/>
            <w:vAlign w:val="bottom"/>
          </w:tcPr>
          <w:p w:rsidR="00B834FD" w:rsidRPr="005E763B" w:rsidRDefault="00B834FD" w:rsidP="0089443A">
            <w:pPr>
              <w:jc w:val="center"/>
              <w:rPr>
                <w:rFonts w:ascii="Arial" w:hAnsi="Arial" w:cs="Arial"/>
                <w:b/>
                <w:bCs/>
                <w:sz w:val="20"/>
                <w:szCs w:val="20"/>
              </w:rPr>
            </w:pPr>
            <w:r w:rsidRPr="005E763B">
              <w:rPr>
                <w:rFonts w:ascii="Arial" w:hAnsi="Arial" w:cs="Arial"/>
                <w:b/>
                <w:bCs/>
                <w:sz w:val="20"/>
                <w:szCs w:val="20"/>
              </w:rPr>
              <w:t>Katkılar</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0.2%</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0.1%</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0.0%</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0.0%</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3.8%</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0.5%</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E74A0E" w:rsidRDefault="00E74A0E" w:rsidP="00E74A0E">
            <w:pPr>
              <w:jc w:val="right"/>
              <w:rPr>
                <w:rFonts w:ascii="Arial" w:hAnsi="Arial" w:cs="Arial"/>
                <w:sz w:val="20"/>
                <w:szCs w:val="20"/>
              </w:rPr>
            </w:pPr>
            <w:r>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-1.5%</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8.0%</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2.0%</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-1.8%</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0.5%</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B44918" w:rsidP="0089443A">
            <w:pPr>
              <w:rPr>
                <w:rFonts w:ascii="Arial" w:hAnsi="Arial" w:cs="Arial"/>
                <w:b/>
                <w:bCs/>
                <w:sz w:val="20"/>
                <w:szCs w:val="20"/>
              </w:rPr>
            </w:pPr>
            <w:r w:rsidRPr="005E763B">
              <w:rPr>
                <w:rFonts w:ascii="Arial" w:hAnsi="Arial" w:cs="Arial"/>
                <w:b/>
                <w:bCs/>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c>
          <w:tcPr>
            <w:tcW w:w="1305" w:type="dxa"/>
            <w:tcBorders>
              <w:top w:val="nil"/>
              <w:left w:val="nil"/>
              <w:bottom w:val="single" w:sz="4" w:space="0" w:color="auto"/>
              <w:right w:val="single" w:sz="4" w:space="0" w:color="auto"/>
            </w:tcBorders>
            <w:noWrap/>
            <w:vAlign w:val="bottom"/>
          </w:tcPr>
          <w:p w:rsidR="00B44918" w:rsidRDefault="00B44918" w:rsidP="0089443A">
            <w:pPr>
              <w:rPr>
                <w:rFonts w:ascii="Arial" w:hAnsi="Arial" w:cs="Arial"/>
                <w:sz w:val="20"/>
                <w:szCs w:val="20"/>
              </w:rPr>
            </w:pPr>
            <w:r>
              <w:rPr>
                <w:rFonts w:ascii="Arial" w:hAnsi="Arial" w:cs="Arial"/>
                <w:sz w:val="20"/>
                <w:szCs w:val="20"/>
              </w:rPr>
              <w:t> </w:t>
            </w:r>
          </w:p>
        </w:tc>
      </w:tr>
      <w:tr w:rsidR="00B44918"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B44918" w:rsidRPr="005E763B" w:rsidRDefault="00E74A0E" w:rsidP="0089443A">
            <w:pPr>
              <w:rPr>
                <w:rFonts w:ascii="Arial" w:hAnsi="Arial" w:cs="Arial"/>
                <w:b/>
                <w:bCs/>
                <w:sz w:val="20"/>
                <w:szCs w:val="20"/>
              </w:rPr>
            </w:pPr>
            <w:r>
              <w:rPr>
                <w:rFonts w:ascii="Arial" w:hAnsi="Arial" w:cs="Arial"/>
                <w:b/>
                <w:bCs/>
                <w:sz w:val="20"/>
                <w:szCs w:val="20"/>
              </w:rPr>
              <w:t>2014 – 2</w:t>
            </w:r>
            <w:r w:rsidR="00B44918" w:rsidRPr="005E763B">
              <w:rPr>
                <w:rFonts w:ascii="Arial" w:hAnsi="Arial" w:cs="Arial"/>
                <w:b/>
                <w:bCs/>
                <w:sz w:val="20"/>
                <w:szCs w:val="20"/>
              </w:rPr>
              <w:t>. Ç</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Degişim</w:t>
            </w:r>
          </w:p>
        </w:tc>
        <w:tc>
          <w:tcPr>
            <w:tcW w:w="1305" w:type="dxa"/>
            <w:tcBorders>
              <w:top w:val="nil"/>
              <w:left w:val="nil"/>
              <w:bottom w:val="single" w:sz="4" w:space="0" w:color="auto"/>
              <w:right w:val="single" w:sz="4" w:space="0" w:color="auto"/>
            </w:tcBorders>
            <w:noWrap/>
            <w:vAlign w:val="bottom"/>
          </w:tcPr>
          <w:p w:rsidR="00B44918" w:rsidRPr="005E763B" w:rsidRDefault="00B44918" w:rsidP="0089443A">
            <w:pPr>
              <w:jc w:val="center"/>
              <w:rPr>
                <w:rFonts w:ascii="Arial" w:hAnsi="Arial" w:cs="Arial"/>
                <w:b/>
                <w:bCs/>
                <w:sz w:val="20"/>
                <w:szCs w:val="20"/>
              </w:rPr>
            </w:pPr>
            <w:r w:rsidRPr="005E763B">
              <w:rPr>
                <w:rFonts w:ascii="Arial" w:hAnsi="Arial" w:cs="Arial"/>
                <w:b/>
                <w:bCs/>
                <w:sz w:val="20"/>
                <w:szCs w:val="20"/>
              </w:rPr>
              <w:t>Katkılar</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Tüketim</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0.5%</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0.3%</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Özel Yatırım</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-3.6%</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-0.8%</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Kamu Harcamaları</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0.8%</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0.1%</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Stok Değişimi</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-0.4%</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İhracat</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5.7%</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1.5%</w:t>
            </w:r>
          </w:p>
        </w:tc>
      </w:tr>
      <w:tr w:rsidR="00E74A0E" w:rsidTr="00B44918">
        <w:trPr>
          <w:trHeight w:val="255"/>
        </w:trPr>
        <w:tc>
          <w:tcPr>
            <w:tcW w:w="2070" w:type="dxa"/>
            <w:tcBorders>
              <w:top w:val="nil"/>
              <w:left w:val="single" w:sz="4" w:space="0" w:color="auto"/>
              <w:bottom w:val="single" w:sz="4" w:space="0" w:color="auto"/>
              <w:right w:val="single" w:sz="4" w:space="0" w:color="auto"/>
            </w:tcBorders>
            <w:noWrap/>
            <w:vAlign w:val="bottom"/>
          </w:tcPr>
          <w:p w:rsidR="00E74A0E" w:rsidRPr="005E763B" w:rsidRDefault="00E74A0E" w:rsidP="0089443A">
            <w:pPr>
              <w:rPr>
                <w:rFonts w:ascii="Arial" w:hAnsi="Arial" w:cs="Arial"/>
                <w:b/>
                <w:bCs/>
                <w:sz w:val="20"/>
                <w:szCs w:val="20"/>
              </w:rPr>
            </w:pPr>
            <w:r w:rsidRPr="005E763B">
              <w:rPr>
                <w:rFonts w:ascii="Arial" w:hAnsi="Arial" w:cs="Arial"/>
                <w:b/>
                <w:bCs/>
                <w:sz w:val="20"/>
                <w:szCs w:val="20"/>
              </w:rPr>
              <w:t>İthalat</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-4.4%</w:t>
            </w:r>
          </w:p>
        </w:tc>
        <w:tc>
          <w:tcPr>
            <w:tcW w:w="1305" w:type="dxa"/>
            <w:tcBorders>
              <w:top w:val="nil"/>
              <w:left w:val="nil"/>
              <w:bottom w:val="single" w:sz="4" w:space="0" w:color="auto"/>
              <w:right w:val="single" w:sz="4" w:space="0" w:color="auto"/>
            </w:tcBorders>
            <w:noWrap/>
            <w:vAlign w:val="bottom"/>
          </w:tcPr>
          <w:p w:rsidR="00E74A0E" w:rsidRDefault="00E74A0E">
            <w:pPr>
              <w:jc w:val="right"/>
              <w:rPr>
                <w:rFonts w:ascii="Arial" w:hAnsi="Arial" w:cs="Arial"/>
                <w:sz w:val="20"/>
                <w:szCs w:val="20"/>
              </w:rPr>
            </w:pPr>
            <w:r>
              <w:rPr>
                <w:rFonts w:ascii="Arial" w:hAnsi="Arial" w:cs="Arial"/>
                <w:sz w:val="20"/>
                <w:szCs w:val="20"/>
              </w:rPr>
              <w:t>1.4%</w:t>
            </w:r>
          </w:p>
        </w:tc>
      </w:tr>
    </w:tbl>
    <w:p w:rsidR="00B834FD" w:rsidRDefault="00B834FD" w:rsidP="00D561EE">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B834FD" w:rsidRDefault="00B834FD" w:rsidP="00A7746C">
      <w:pPr>
        <w:pStyle w:val="NormalWeb"/>
        <w:spacing w:before="0" w:beforeAutospacing="0" w:after="0" w:afterAutospacing="0" w:line="360" w:lineRule="auto"/>
        <w:ind w:right="77"/>
        <w:rPr>
          <w:rFonts w:ascii="Arial" w:hAnsi="Arial" w:cs="Arial"/>
          <w:b/>
          <w:bCs/>
          <w:sz w:val="20"/>
          <w:szCs w:val="20"/>
        </w:rPr>
      </w:pPr>
    </w:p>
    <w:tbl>
      <w:tblPr>
        <w:tblpPr w:leftFromText="141" w:rightFromText="141" w:vertAnchor="text" w:horzAnchor="margin" w:tblpY="592"/>
        <w:tblW w:w="9437" w:type="dxa"/>
        <w:tblCellMar>
          <w:left w:w="70" w:type="dxa"/>
          <w:right w:w="70" w:type="dxa"/>
        </w:tblCellMar>
        <w:tblLook w:val="04A0" w:firstRow="1" w:lastRow="0" w:firstColumn="1" w:lastColumn="0" w:noHBand="0" w:noVBand="1"/>
      </w:tblPr>
      <w:tblGrid>
        <w:gridCol w:w="1417"/>
        <w:gridCol w:w="960"/>
        <w:gridCol w:w="960"/>
        <w:gridCol w:w="1286"/>
        <w:gridCol w:w="974"/>
        <w:gridCol w:w="960"/>
        <w:gridCol w:w="960"/>
        <w:gridCol w:w="960"/>
        <w:gridCol w:w="960"/>
      </w:tblGrid>
      <w:tr w:rsidR="004131D0" w:rsidRPr="008E5192" w:rsidTr="004131D0">
        <w:trPr>
          <w:trHeight w:val="765"/>
        </w:trPr>
        <w:tc>
          <w:tcPr>
            <w:tcW w:w="9437" w:type="dxa"/>
            <w:gridSpan w:val="9"/>
            <w:tcBorders>
              <w:bottom w:val="single" w:sz="4" w:space="0" w:color="auto"/>
            </w:tcBorders>
            <w:shd w:val="clear" w:color="auto" w:fill="auto"/>
            <w:noWrap/>
            <w:vAlign w:val="bottom"/>
            <w:hideMark/>
          </w:tcPr>
          <w:p w:rsidR="004131D0" w:rsidRDefault="004131D0" w:rsidP="00B86B6B">
            <w:pPr>
              <w:pStyle w:val="NormalWeb"/>
              <w:spacing w:before="0" w:beforeAutospacing="0" w:after="0" w:afterAutospacing="0"/>
              <w:ind w:right="79"/>
              <w:rPr>
                <w:rFonts w:ascii="Arial" w:hAnsi="Arial" w:cs="Arial"/>
                <w:b/>
                <w:bCs/>
                <w:sz w:val="20"/>
                <w:szCs w:val="20"/>
              </w:rPr>
            </w:pPr>
            <w:r>
              <w:rPr>
                <w:rFonts w:ascii="Arial" w:hAnsi="Arial" w:cs="Arial"/>
                <w:b/>
                <w:bCs/>
                <w:sz w:val="20"/>
                <w:szCs w:val="20"/>
              </w:rPr>
              <w:t xml:space="preserve">Tablo 3. </w:t>
            </w:r>
            <w:r>
              <w:rPr>
                <w:b/>
                <w:bCs/>
                <w:sz w:val="22"/>
                <w:szCs w:val="22"/>
              </w:rPr>
              <w:t xml:space="preserve">GSYH alt kalemlerinin bir önceki çeyreğe göre büyümeye katkıları ve toplam büyüme </w:t>
            </w:r>
          </w:p>
          <w:p w:rsidR="004131D0" w:rsidRPr="00B123F5" w:rsidRDefault="004131D0" w:rsidP="004131D0">
            <w:pPr>
              <w:pStyle w:val="NormalWeb"/>
              <w:spacing w:before="0" w:beforeAutospacing="0" w:after="0" w:afterAutospacing="0"/>
              <w:jc w:val="both"/>
              <w:rPr>
                <w:rFonts w:ascii="Arial" w:hAnsi="Arial" w:cs="Arial"/>
                <w:b/>
                <w:sz w:val="20"/>
                <w:szCs w:val="20"/>
              </w:rPr>
            </w:pPr>
          </w:p>
        </w:tc>
      </w:tr>
      <w:tr w:rsidR="00B86B6B" w:rsidRPr="008E5192" w:rsidTr="004131D0">
        <w:trPr>
          <w:trHeight w:val="7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sz w:val="20"/>
                <w:szCs w:val="20"/>
              </w:rPr>
            </w:pPr>
            <w:r w:rsidRPr="008E5192">
              <w:rPr>
                <w:rFonts w:ascii="Arial" w:hAnsi="Arial" w:cs="Arial"/>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Tüketim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Özel Yatırım</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Kamu Harcamaları</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Stok Değişimi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Net 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İhracat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İthalat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86B6B" w:rsidRPr="00B123F5" w:rsidRDefault="00B86B6B" w:rsidP="00B86B6B">
            <w:pPr>
              <w:jc w:val="center"/>
              <w:rPr>
                <w:rFonts w:ascii="Arial" w:hAnsi="Arial" w:cs="Arial"/>
                <w:b/>
                <w:sz w:val="20"/>
                <w:szCs w:val="20"/>
              </w:rPr>
            </w:pPr>
            <w:r w:rsidRPr="00B123F5">
              <w:rPr>
                <w:rFonts w:ascii="Arial" w:hAnsi="Arial" w:cs="Arial"/>
                <w:b/>
                <w:sz w:val="20"/>
                <w:szCs w:val="20"/>
              </w:rPr>
              <w:t>Toplam</w:t>
            </w:r>
          </w:p>
        </w:tc>
      </w:tr>
      <w:tr w:rsidR="00B86B6B"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b/>
                <w:bCs/>
                <w:sz w:val="20"/>
                <w:szCs w:val="20"/>
              </w:rPr>
            </w:pPr>
            <w:r w:rsidRPr="008E5192">
              <w:rPr>
                <w:rFonts w:ascii="Arial" w:hAnsi="Arial" w:cs="Arial"/>
                <w:b/>
                <w:bCs/>
                <w:sz w:val="20"/>
                <w:szCs w:val="20"/>
              </w:rPr>
              <w:t>2012(1)</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0.2</w:t>
            </w:r>
          </w:p>
        </w:tc>
        <w:tc>
          <w:tcPr>
            <w:tcW w:w="974"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-0.2%</w:t>
            </w:r>
          </w:p>
        </w:tc>
      </w:tr>
      <w:tr w:rsidR="00B86B6B"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b/>
                <w:bCs/>
                <w:sz w:val="20"/>
                <w:szCs w:val="20"/>
              </w:rPr>
            </w:pPr>
            <w:r w:rsidRPr="008E5192">
              <w:rPr>
                <w:rFonts w:ascii="Arial" w:hAnsi="Arial" w:cs="Arial"/>
                <w:b/>
                <w:bCs/>
                <w:sz w:val="20"/>
                <w:szCs w:val="20"/>
              </w:rPr>
              <w:t>2012(2)</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-0.6</w:t>
            </w:r>
          </w:p>
        </w:tc>
        <w:tc>
          <w:tcPr>
            <w:tcW w:w="1286"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0.9</w:t>
            </w:r>
          </w:p>
        </w:tc>
        <w:tc>
          <w:tcPr>
            <w:tcW w:w="974"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1.1%</w:t>
            </w:r>
          </w:p>
        </w:tc>
      </w:tr>
      <w:tr w:rsidR="00B86B6B"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b/>
                <w:bCs/>
                <w:sz w:val="20"/>
                <w:szCs w:val="20"/>
              </w:rPr>
            </w:pPr>
            <w:r w:rsidRPr="008E5192">
              <w:rPr>
                <w:rFonts w:ascii="Arial" w:hAnsi="Arial" w:cs="Arial"/>
                <w:b/>
                <w:bCs/>
                <w:sz w:val="20"/>
                <w:szCs w:val="20"/>
              </w:rPr>
              <w:t>2012(3)</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-0.9</w:t>
            </w:r>
          </w:p>
        </w:tc>
        <w:tc>
          <w:tcPr>
            <w:tcW w:w="1286"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0.6</w:t>
            </w:r>
          </w:p>
        </w:tc>
        <w:tc>
          <w:tcPr>
            <w:tcW w:w="974"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r>
      <w:tr w:rsidR="00B86B6B"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b/>
                <w:bCs/>
                <w:sz w:val="20"/>
                <w:szCs w:val="20"/>
              </w:rPr>
            </w:pPr>
            <w:r w:rsidRPr="008E5192">
              <w:rPr>
                <w:rFonts w:ascii="Arial" w:hAnsi="Arial" w:cs="Arial"/>
                <w:b/>
                <w:bCs/>
                <w:sz w:val="20"/>
                <w:szCs w:val="20"/>
              </w:rPr>
              <w:t>2012(4)</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-0.1</w:t>
            </w:r>
          </w:p>
        </w:tc>
        <w:tc>
          <w:tcPr>
            <w:tcW w:w="974"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r>
      <w:tr w:rsidR="00B86B6B"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b/>
                <w:bCs/>
                <w:sz w:val="20"/>
                <w:szCs w:val="20"/>
              </w:rPr>
            </w:pPr>
            <w:r w:rsidRPr="008E5192">
              <w:rPr>
                <w:rFonts w:ascii="Arial" w:hAnsi="Arial" w:cs="Arial"/>
                <w:b/>
                <w:bCs/>
                <w:sz w:val="20"/>
                <w:szCs w:val="20"/>
              </w:rPr>
              <w:t>2013(1)</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0.6</w:t>
            </w:r>
          </w:p>
        </w:tc>
        <w:tc>
          <w:tcPr>
            <w:tcW w:w="1286"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1.1</w:t>
            </w:r>
          </w:p>
        </w:tc>
        <w:tc>
          <w:tcPr>
            <w:tcW w:w="974"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-2.7</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1.8%</w:t>
            </w:r>
          </w:p>
        </w:tc>
      </w:tr>
      <w:tr w:rsidR="00B86B6B"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b/>
                <w:bCs/>
                <w:sz w:val="20"/>
                <w:szCs w:val="20"/>
              </w:rPr>
            </w:pPr>
            <w:r w:rsidRPr="008E5192">
              <w:rPr>
                <w:rFonts w:ascii="Arial" w:hAnsi="Arial" w:cs="Arial"/>
                <w:b/>
                <w:bCs/>
                <w:sz w:val="20"/>
                <w:szCs w:val="20"/>
              </w:rPr>
              <w:t>2013(2)</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0.5</w:t>
            </w:r>
          </w:p>
        </w:tc>
        <w:tc>
          <w:tcPr>
            <w:tcW w:w="1286"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0.1</w:t>
            </w:r>
          </w:p>
        </w:tc>
        <w:tc>
          <w:tcPr>
            <w:tcW w:w="974"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1.6%</w:t>
            </w:r>
          </w:p>
        </w:tc>
      </w:tr>
      <w:tr w:rsidR="00B86B6B"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b/>
                <w:bCs/>
                <w:sz w:val="20"/>
                <w:szCs w:val="20"/>
              </w:rPr>
            </w:pPr>
            <w:r w:rsidRPr="008E5192">
              <w:rPr>
                <w:rFonts w:ascii="Arial" w:hAnsi="Arial" w:cs="Arial"/>
                <w:b/>
                <w:bCs/>
                <w:sz w:val="20"/>
                <w:szCs w:val="20"/>
              </w:rPr>
              <w:t>2013(3)</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-0.2</w:t>
            </w:r>
          </w:p>
        </w:tc>
        <w:tc>
          <w:tcPr>
            <w:tcW w:w="974"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0.5%</w:t>
            </w:r>
          </w:p>
        </w:tc>
      </w:tr>
      <w:tr w:rsidR="00B86B6B"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b/>
                <w:bCs/>
                <w:sz w:val="20"/>
                <w:szCs w:val="20"/>
              </w:rPr>
            </w:pPr>
            <w:r w:rsidRPr="008E5192">
              <w:rPr>
                <w:rFonts w:ascii="Arial" w:hAnsi="Arial" w:cs="Arial"/>
                <w:b/>
                <w:bCs/>
                <w:sz w:val="20"/>
                <w:szCs w:val="20"/>
              </w:rPr>
              <w:t>2013(4)</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0.6</w:t>
            </w:r>
          </w:p>
        </w:tc>
        <w:tc>
          <w:tcPr>
            <w:tcW w:w="974"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0.8%</w:t>
            </w:r>
          </w:p>
        </w:tc>
      </w:tr>
      <w:tr w:rsidR="00B86B6B" w:rsidRPr="008E5192" w:rsidTr="004131D0">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b/>
                <w:bCs/>
                <w:sz w:val="20"/>
                <w:szCs w:val="20"/>
              </w:rPr>
            </w:pPr>
            <w:r w:rsidRPr="008E5192">
              <w:rPr>
                <w:rFonts w:ascii="Arial" w:hAnsi="Arial" w:cs="Arial"/>
                <w:b/>
                <w:bCs/>
                <w:sz w:val="20"/>
                <w:szCs w:val="20"/>
              </w:rPr>
              <w:t>2014(1)</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-0.7</w:t>
            </w:r>
          </w:p>
        </w:tc>
        <w:tc>
          <w:tcPr>
            <w:tcW w:w="1286"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0.7</w:t>
            </w:r>
          </w:p>
        </w:tc>
        <w:tc>
          <w:tcPr>
            <w:tcW w:w="974"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1.8%</w:t>
            </w:r>
          </w:p>
        </w:tc>
      </w:tr>
      <w:tr w:rsidR="00B86B6B" w:rsidRPr="008E5192" w:rsidTr="004131D0">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B6B" w:rsidRPr="008E5192" w:rsidRDefault="00B86B6B" w:rsidP="00B86B6B">
            <w:pPr>
              <w:rPr>
                <w:rFonts w:ascii="Arial" w:hAnsi="Arial" w:cs="Arial"/>
                <w:b/>
                <w:bCs/>
                <w:sz w:val="20"/>
                <w:szCs w:val="20"/>
              </w:rPr>
            </w:pPr>
            <w:r>
              <w:rPr>
                <w:rFonts w:ascii="Arial" w:hAnsi="Arial" w:cs="Arial"/>
                <w:b/>
                <w:bCs/>
                <w:sz w:val="20"/>
                <w:szCs w:val="20"/>
              </w:rPr>
              <w:t>2014(2)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-0.5</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-0.5%</w:t>
            </w:r>
          </w:p>
        </w:tc>
      </w:tr>
      <w:tr w:rsidR="00B86B6B" w:rsidRPr="008E5192" w:rsidTr="004131D0">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B6B" w:rsidRDefault="00B86B6B" w:rsidP="00B86B6B">
            <w:pPr>
              <w:rPr>
                <w:rFonts w:ascii="Arial" w:hAnsi="Arial" w:cs="Arial"/>
                <w:b/>
                <w:bCs/>
                <w:sz w:val="20"/>
                <w:szCs w:val="20"/>
              </w:rPr>
            </w:pPr>
            <w:r>
              <w:rPr>
                <w:rFonts w:ascii="Arial" w:hAnsi="Arial" w:cs="Arial"/>
                <w:b/>
                <w:bCs/>
                <w:sz w:val="20"/>
                <w:szCs w:val="20"/>
              </w:rPr>
              <w:t>2014(3)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0.2</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6B6B" w:rsidRDefault="00B86B6B" w:rsidP="00B86B6B">
            <w:pPr>
              <w:jc w:val="right"/>
              <w:rPr>
                <w:rFonts w:ascii="Arial" w:hAnsi="Arial" w:cs="Arial"/>
                <w:sz w:val="20"/>
                <w:szCs w:val="20"/>
              </w:rPr>
            </w:pPr>
            <w:r>
              <w:rPr>
                <w:rFonts w:ascii="Arial" w:hAnsi="Arial" w:cs="Arial"/>
                <w:sz w:val="20"/>
                <w:szCs w:val="20"/>
              </w:rPr>
              <w:t>0.4%</w:t>
            </w:r>
          </w:p>
        </w:tc>
      </w:tr>
      <w:tr w:rsidR="004131D0" w:rsidRPr="008E5192" w:rsidTr="004131D0">
        <w:trPr>
          <w:trHeight w:val="255"/>
        </w:trPr>
        <w:tc>
          <w:tcPr>
            <w:tcW w:w="1417" w:type="dxa"/>
            <w:tcBorders>
              <w:top w:val="single" w:sz="4" w:space="0" w:color="auto"/>
            </w:tcBorders>
            <w:shd w:val="clear" w:color="auto" w:fill="auto"/>
            <w:noWrap/>
            <w:vAlign w:val="bottom"/>
            <w:hideMark/>
          </w:tcPr>
          <w:p w:rsidR="004131D0" w:rsidRDefault="004131D0" w:rsidP="004131D0">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4131D0" w:rsidRDefault="004131D0" w:rsidP="00B86B6B">
            <w:pPr>
              <w:rPr>
                <w:rFonts w:ascii="Arial" w:hAnsi="Arial" w:cs="Arial"/>
                <w:b/>
                <w:bCs/>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1286"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74"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4131D0" w:rsidRDefault="004131D0" w:rsidP="00B86B6B">
            <w:pPr>
              <w:jc w:val="right"/>
              <w:rPr>
                <w:rFonts w:ascii="Arial" w:hAnsi="Arial" w:cs="Arial"/>
                <w:sz w:val="20"/>
                <w:szCs w:val="20"/>
              </w:rPr>
            </w:pPr>
          </w:p>
        </w:tc>
      </w:tr>
    </w:tbl>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D90384" w:rsidRDefault="00D90384" w:rsidP="00A7746C">
      <w:pPr>
        <w:pStyle w:val="NormalWeb"/>
        <w:spacing w:before="0" w:beforeAutospacing="0" w:after="0" w:afterAutospacing="0" w:line="360" w:lineRule="auto"/>
        <w:ind w:right="77"/>
        <w:rPr>
          <w:rFonts w:ascii="Arial" w:hAnsi="Arial" w:cs="Arial"/>
          <w:b/>
          <w:bCs/>
          <w:sz w:val="20"/>
          <w:szCs w:val="20"/>
        </w:rPr>
        <w:sectPr w:rsidR="00D90384" w:rsidSect="00C335E9">
          <w:type w:val="continuous"/>
          <w:pgSz w:w="11906" w:h="16838"/>
          <w:pgMar w:top="1417" w:right="1106" w:bottom="1417" w:left="900" w:header="708" w:footer="708" w:gutter="0"/>
          <w:cols w:num="2" w:space="386"/>
          <w:docGrid w:linePitch="360"/>
        </w:sectPr>
      </w:pPr>
    </w:p>
    <w:p w:rsidR="003632EB" w:rsidRDefault="003632EB" w:rsidP="00A7746C">
      <w:pPr>
        <w:pStyle w:val="NormalWeb"/>
        <w:spacing w:before="0" w:beforeAutospacing="0" w:after="0" w:afterAutospacing="0" w:line="360" w:lineRule="auto"/>
        <w:ind w:right="77"/>
        <w:rPr>
          <w:rFonts w:ascii="Arial" w:hAnsi="Arial" w:cs="Arial"/>
          <w:b/>
          <w:bCs/>
          <w:sz w:val="20"/>
          <w:szCs w:val="20"/>
        </w:rPr>
        <w:sectPr w:rsidR="003632EB" w:rsidSect="00D90384">
          <w:pgSz w:w="11906" w:h="16838"/>
          <w:pgMar w:top="1417" w:right="1106" w:bottom="1417" w:left="900" w:header="708" w:footer="708" w:gutter="0"/>
          <w:cols w:space="386"/>
          <w:docGrid w:linePitch="360"/>
        </w:sectPr>
      </w:pPr>
    </w:p>
    <w:p w:rsidR="008E5192" w:rsidRDefault="008E5192" w:rsidP="00A7746C">
      <w:pPr>
        <w:pStyle w:val="NormalWeb"/>
        <w:spacing w:before="0" w:beforeAutospacing="0" w:after="0" w:afterAutospacing="0" w:line="360" w:lineRule="auto"/>
        <w:ind w:right="77"/>
        <w:rPr>
          <w:rFonts w:ascii="Arial" w:hAnsi="Arial" w:cs="Arial"/>
          <w:b/>
          <w:bCs/>
          <w:sz w:val="20"/>
          <w:szCs w:val="20"/>
        </w:rPr>
      </w:pPr>
    </w:p>
    <w:p w:rsidR="00C5707D" w:rsidRDefault="00C5707D" w:rsidP="00C5707D">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Şekil 4. Tüketim, Çeyrekten çeyreğe katkı</w:t>
      </w:r>
    </w:p>
    <w:p w:rsidR="00C5707D" w:rsidRDefault="00C5707D" w:rsidP="00C5707D">
      <w:pPr>
        <w:pStyle w:val="NormalWeb"/>
        <w:spacing w:before="0" w:beforeAutospacing="0" w:after="0" w:afterAutospacing="0"/>
        <w:ind w:right="77"/>
        <w:rPr>
          <w:rFonts w:ascii="Arial" w:hAnsi="Arial" w:cs="Arial"/>
          <w:b/>
          <w:bCs/>
          <w:sz w:val="20"/>
          <w:szCs w:val="20"/>
        </w:rPr>
      </w:pPr>
      <w:r>
        <w:rPr>
          <w:rFonts w:ascii="Arial" w:hAnsi="Arial" w:cs="Arial"/>
          <w:b/>
          <w:bCs/>
          <w:noProof/>
          <w:sz w:val="20"/>
          <w:szCs w:val="20"/>
        </w:rPr>
        <w:drawing>
          <wp:inline distT="0" distB="0" distL="0" distR="0">
            <wp:extent cx="3020695" cy="1774190"/>
            <wp:effectExtent l="19050" t="0" r="8255" b="0"/>
            <wp:docPr id="5" name="Picture 4"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a:stretch>
                      <a:fillRect/>
                    </a:stretch>
                  </pic:blipFill>
                  <pic:spPr>
                    <a:xfrm>
                      <a:off x="0" y="0"/>
                      <a:ext cx="3020695" cy="1774190"/>
                    </a:xfrm>
                    <a:prstGeom prst="rect">
                      <a:avLst/>
                    </a:prstGeom>
                  </pic:spPr>
                </pic:pic>
              </a:graphicData>
            </a:graphic>
          </wp:inline>
        </w:drawing>
      </w:r>
    </w:p>
    <w:p w:rsidR="00C5707D" w:rsidRDefault="00C5707D" w:rsidP="00C5707D">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C5707D" w:rsidRPr="00C5707D" w:rsidRDefault="00C5707D" w:rsidP="00C5707D">
      <w:pPr>
        <w:pStyle w:val="NormalWeb"/>
        <w:spacing w:before="0" w:beforeAutospacing="0" w:after="0" w:afterAutospacing="0"/>
        <w:jc w:val="both"/>
        <w:rPr>
          <w:rFonts w:ascii="Arial" w:hAnsi="Arial" w:cs="Arial"/>
          <w:sz w:val="20"/>
          <w:szCs w:val="20"/>
        </w:rPr>
      </w:pPr>
    </w:p>
    <w:p w:rsidR="00D90384" w:rsidRDefault="00D90384" w:rsidP="00D90384">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 xml:space="preserve">Şekil </w:t>
      </w:r>
      <w:r w:rsidR="00C5707D">
        <w:rPr>
          <w:rFonts w:ascii="Arial" w:hAnsi="Arial" w:cs="Arial"/>
          <w:b/>
          <w:bCs/>
          <w:sz w:val="20"/>
          <w:szCs w:val="20"/>
        </w:rPr>
        <w:t>5</w:t>
      </w:r>
      <w:r>
        <w:rPr>
          <w:rFonts w:ascii="Arial" w:hAnsi="Arial" w:cs="Arial"/>
          <w:b/>
          <w:bCs/>
          <w:sz w:val="20"/>
          <w:szCs w:val="20"/>
        </w:rPr>
        <w:t>. Özel Yatırım, Çeyrekten çeyreğe katkı</w:t>
      </w:r>
    </w:p>
    <w:p w:rsidR="00D90384" w:rsidRDefault="006C4458" w:rsidP="00D90384">
      <w:pPr>
        <w:pStyle w:val="NormalWeb"/>
        <w:spacing w:before="0" w:beforeAutospacing="0" w:after="0" w:afterAutospacing="0"/>
        <w:ind w:right="77"/>
        <w:rPr>
          <w:rFonts w:ascii="Arial" w:hAnsi="Arial" w:cs="Arial"/>
          <w:b/>
          <w:bCs/>
          <w:sz w:val="20"/>
          <w:szCs w:val="20"/>
        </w:rPr>
      </w:pPr>
      <w:r>
        <w:rPr>
          <w:rFonts w:ascii="Arial" w:hAnsi="Arial" w:cs="Arial"/>
          <w:b/>
          <w:bCs/>
          <w:noProof/>
          <w:sz w:val="20"/>
          <w:szCs w:val="20"/>
        </w:rPr>
        <w:drawing>
          <wp:inline distT="0" distB="0" distL="0" distR="0">
            <wp:extent cx="3021172" cy="1821485"/>
            <wp:effectExtent l="19050" t="0" r="7778" b="0"/>
            <wp:docPr id="19" name="Picture 18"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5"/>
                    <a:stretch>
                      <a:fillRect/>
                    </a:stretch>
                  </pic:blipFill>
                  <pic:spPr>
                    <a:xfrm>
                      <a:off x="0" y="0"/>
                      <a:ext cx="3020695" cy="1821198"/>
                    </a:xfrm>
                    <a:prstGeom prst="rect">
                      <a:avLst/>
                    </a:prstGeom>
                  </pic:spPr>
                </pic:pic>
              </a:graphicData>
            </a:graphic>
          </wp:inline>
        </w:drawing>
      </w:r>
    </w:p>
    <w:p w:rsidR="00D90384" w:rsidRDefault="00D90384" w:rsidP="00D90384">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D90384" w:rsidRDefault="00C5707D" w:rsidP="00D90384">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br w:type="column"/>
      </w:r>
    </w:p>
    <w:p w:rsidR="00D90384" w:rsidRDefault="00D90384" w:rsidP="00D90384">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 xml:space="preserve">Şekil </w:t>
      </w:r>
      <w:r w:rsidR="00C5707D">
        <w:rPr>
          <w:rFonts w:ascii="Arial" w:hAnsi="Arial" w:cs="Arial"/>
          <w:b/>
          <w:bCs/>
          <w:sz w:val="20"/>
          <w:szCs w:val="20"/>
        </w:rPr>
        <w:t>6</w:t>
      </w:r>
      <w:r>
        <w:rPr>
          <w:rFonts w:ascii="Arial" w:hAnsi="Arial" w:cs="Arial"/>
          <w:b/>
          <w:bCs/>
          <w:sz w:val="20"/>
          <w:szCs w:val="20"/>
        </w:rPr>
        <w:t>. İhracat, Çeyrekten çeyreğe katkı</w:t>
      </w:r>
    </w:p>
    <w:p w:rsidR="00D90384" w:rsidRDefault="006C4458" w:rsidP="006C4458">
      <w:pPr>
        <w:pStyle w:val="NormalWeb"/>
        <w:spacing w:before="0" w:beforeAutospacing="0" w:after="0" w:afterAutospacing="0"/>
        <w:ind w:right="77"/>
        <w:rPr>
          <w:rFonts w:ascii="Arial" w:hAnsi="Arial" w:cs="Arial"/>
          <w:sz w:val="20"/>
          <w:szCs w:val="20"/>
        </w:rPr>
      </w:pPr>
      <w:r>
        <w:rPr>
          <w:rFonts w:ascii="Arial" w:hAnsi="Arial" w:cs="Arial"/>
          <w:b/>
          <w:bCs/>
          <w:noProof/>
          <w:sz w:val="20"/>
          <w:szCs w:val="20"/>
        </w:rPr>
        <w:drawing>
          <wp:inline distT="0" distB="0" distL="0" distR="0">
            <wp:extent cx="3023133" cy="1777593"/>
            <wp:effectExtent l="19050" t="0" r="5817" b="0"/>
            <wp:docPr id="18" name="Picture 17"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6"/>
                    <a:stretch>
                      <a:fillRect/>
                    </a:stretch>
                  </pic:blipFill>
                  <pic:spPr>
                    <a:xfrm>
                      <a:off x="0" y="0"/>
                      <a:ext cx="3017235" cy="1774125"/>
                    </a:xfrm>
                    <a:prstGeom prst="rect">
                      <a:avLst/>
                    </a:prstGeom>
                  </pic:spPr>
                </pic:pic>
              </a:graphicData>
            </a:graphic>
          </wp:inline>
        </w:drawing>
      </w:r>
      <w:r w:rsidR="00D90384" w:rsidRPr="00660DE2">
        <w:rPr>
          <w:rFonts w:ascii="Arial" w:hAnsi="Arial" w:cs="Arial"/>
          <w:sz w:val="16"/>
          <w:szCs w:val="16"/>
        </w:rPr>
        <w:t>Kaynak : TÜİK.</w:t>
      </w:r>
    </w:p>
    <w:p w:rsidR="00D90384" w:rsidRDefault="00D90384"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C5707D">
      <w:pPr>
        <w:pStyle w:val="NormalWeb"/>
        <w:spacing w:before="0" w:beforeAutospacing="0" w:after="0" w:afterAutospacing="0" w:line="360" w:lineRule="auto"/>
        <w:ind w:right="77"/>
        <w:rPr>
          <w:rFonts w:ascii="Arial" w:hAnsi="Arial" w:cs="Arial"/>
          <w:b/>
          <w:bCs/>
          <w:sz w:val="20"/>
          <w:szCs w:val="20"/>
        </w:rPr>
      </w:pPr>
      <w:r>
        <w:rPr>
          <w:rFonts w:ascii="Arial" w:hAnsi="Arial" w:cs="Arial"/>
          <w:b/>
          <w:bCs/>
          <w:sz w:val="20"/>
          <w:szCs w:val="20"/>
        </w:rPr>
        <w:t>Şekil 7. Kamu harcama, Çeyrekten çeyreğe katkı</w:t>
      </w:r>
    </w:p>
    <w:p w:rsidR="00C5707D" w:rsidRDefault="00C5707D" w:rsidP="00C5707D">
      <w:pPr>
        <w:pStyle w:val="NormalWeb"/>
        <w:spacing w:before="0" w:beforeAutospacing="0" w:after="0" w:afterAutospacing="0"/>
        <w:ind w:right="77"/>
        <w:rPr>
          <w:rFonts w:ascii="Arial" w:hAnsi="Arial" w:cs="Arial"/>
          <w:b/>
          <w:bCs/>
          <w:sz w:val="20"/>
          <w:szCs w:val="20"/>
        </w:rPr>
      </w:pPr>
      <w:r>
        <w:rPr>
          <w:rFonts w:ascii="Arial" w:hAnsi="Arial" w:cs="Arial"/>
          <w:b/>
          <w:bCs/>
          <w:noProof/>
          <w:sz w:val="20"/>
          <w:szCs w:val="20"/>
        </w:rPr>
        <w:drawing>
          <wp:inline distT="0" distB="0" distL="0" distR="0">
            <wp:extent cx="3022691" cy="1814170"/>
            <wp:effectExtent l="19050" t="0" r="6259" b="0"/>
            <wp:docPr id="6" name="Picture 5"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7"/>
                    <a:stretch>
                      <a:fillRect/>
                    </a:stretch>
                  </pic:blipFill>
                  <pic:spPr>
                    <a:xfrm>
                      <a:off x="0" y="0"/>
                      <a:ext cx="3020695" cy="1812972"/>
                    </a:xfrm>
                    <a:prstGeom prst="rect">
                      <a:avLst/>
                    </a:prstGeom>
                  </pic:spPr>
                </pic:pic>
              </a:graphicData>
            </a:graphic>
          </wp:inline>
        </w:drawing>
      </w:r>
    </w:p>
    <w:p w:rsidR="00C5707D" w:rsidRDefault="00C5707D" w:rsidP="00C5707D">
      <w:pPr>
        <w:pStyle w:val="NormalWeb"/>
        <w:spacing w:before="0" w:beforeAutospacing="0" w:after="0" w:afterAutospacing="0"/>
        <w:jc w:val="both"/>
        <w:rPr>
          <w:rFonts w:ascii="Arial" w:hAnsi="Arial" w:cs="Arial"/>
          <w:sz w:val="20"/>
          <w:szCs w:val="20"/>
        </w:rPr>
      </w:pPr>
      <w:r w:rsidRPr="00660DE2">
        <w:rPr>
          <w:rFonts w:ascii="Arial" w:hAnsi="Arial" w:cs="Arial"/>
          <w:sz w:val="16"/>
          <w:szCs w:val="16"/>
        </w:rPr>
        <w:t>Kaynak : TÜİK.</w:t>
      </w: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sectPr w:rsidR="00C5707D" w:rsidSect="00D90384">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B2" w:rsidRDefault="008B6FB2">
      <w:r>
        <w:separator/>
      </w:r>
    </w:p>
  </w:endnote>
  <w:endnote w:type="continuationSeparator" w:id="0">
    <w:p w:rsidR="008B6FB2" w:rsidRDefault="008B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FD" w:rsidRDefault="00E96A0A" w:rsidP="007344A9">
    <w:pPr>
      <w:pStyle w:val="Footer"/>
      <w:framePr w:wrap="auto" w:vAnchor="text" w:hAnchor="margin" w:xAlign="right" w:y="1"/>
      <w:rPr>
        <w:rStyle w:val="PageNumber"/>
      </w:rPr>
    </w:pPr>
    <w:r>
      <w:rPr>
        <w:rStyle w:val="PageNumber"/>
      </w:rPr>
      <w:fldChar w:fldCharType="begin"/>
    </w:r>
    <w:r w:rsidR="00B834FD">
      <w:rPr>
        <w:rStyle w:val="PageNumber"/>
      </w:rPr>
      <w:instrText xml:space="preserve">PAGE  </w:instrText>
    </w:r>
    <w:r>
      <w:rPr>
        <w:rStyle w:val="PageNumber"/>
      </w:rPr>
      <w:fldChar w:fldCharType="separate"/>
    </w:r>
    <w:r w:rsidR="00BB42CE">
      <w:rPr>
        <w:rStyle w:val="PageNumber"/>
        <w:noProof/>
      </w:rPr>
      <w:t>1</w:t>
    </w:r>
    <w:r>
      <w:rPr>
        <w:rStyle w:val="PageNumber"/>
      </w:rPr>
      <w:fldChar w:fldCharType="end"/>
    </w:r>
  </w:p>
  <w:p w:rsidR="00B834FD" w:rsidRPr="007750EF" w:rsidRDefault="00B834FD" w:rsidP="00017426">
    <w:pPr>
      <w:pStyle w:val="Footer"/>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B834FD" w:rsidRDefault="00B834FD"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B2" w:rsidRDefault="008B6FB2">
      <w:r>
        <w:separator/>
      </w:r>
    </w:p>
  </w:footnote>
  <w:footnote w:type="continuationSeparator" w:id="0">
    <w:p w:rsidR="008B6FB2" w:rsidRDefault="008B6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1444"/>
    <w:rsid w:val="00002880"/>
    <w:rsid w:val="00002CEE"/>
    <w:rsid w:val="000038DF"/>
    <w:rsid w:val="000046A3"/>
    <w:rsid w:val="0000598D"/>
    <w:rsid w:val="000103E6"/>
    <w:rsid w:val="000129C2"/>
    <w:rsid w:val="00017426"/>
    <w:rsid w:val="00020EB8"/>
    <w:rsid w:val="000231C7"/>
    <w:rsid w:val="000252CE"/>
    <w:rsid w:val="000301E5"/>
    <w:rsid w:val="00033759"/>
    <w:rsid w:val="00034ECF"/>
    <w:rsid w:val="00035FEE"/>
    <w:rsid w:val="00041917"/>
    <w:rsid w:val="000440B1"/>
    <w:rsid w:val="00052B36"/>
    <w:rsid w:val="00054DF2"/>
    <w:rsid w:val="00060E9B"/>
    <w:rsid w:val="00060EC4"/>
    <w:rsid w:val="00062A47"/>
    <w:rsid w:val="0007393F"/>
    <w:rsid w:val="00076A31"/>
    <w:rsid w:val="00076E68"/>
    <w:rsid w:val="00083ED6"/>
    <w:rsid w:val="000847EA"/>
    <w:rsid w:val="00092686"/>
    <w:rsid w:val="000A1C83"/>
    <w:rsid w:val="000A3710"/>
    <w:rsid w:val="000A4BD1"/>
    <w:rsid w:val="000A6CA9"/>
    <w:rsid w:val="000A701D"/>
    <w:rsid w:val="000B1F93"/>
    <w:rsid w:val="000B3E5D"/>
    <w:rsid w:val="000C04C5"/>
    <w:rsid w:val="000C5B7E"/>
    <w:rsid w:val="000C5C8B"/>
    <w:rsid w:val="000D321F"/>
    <w:rsid w:val="000D4F14"/>
    <w:rsid w:val="000D79EC"/>
    <w:rsid w:val="000E10A3"/>
    <w:rsid w:val="000E468B"/>
    <w:rsid w:val="000F0FAB"/>
    <w:rsid w:val="000F4567"/>
    <w:rsid w:val="000F4941"/>
    <w:rsid w:val="00105A12"/>
    <w:rsid w:val="00107363"/>
    <w:rsid w:val="0010795F"/>
    <w:rsid w:val="001105B2"/>
    <w:rsid w:val="00110EBA"/>
    <w:rsid w:val="00111AD6"/>
    <w:rsid w:val="00113284"/>
    <w:rsid w:val="00116868"/>
    <w:rsid w:val="001168BF"/>
    <w:rsid w:val="00123843"/>
    <w:rsid w:val="00124F5D"/>
    <w:rsid w:val="0013046A"/>
    <w:rsid w:val="00130FEE"/>
    <w:rsid w:val="00141A2F"/>
    <w:rsid w:val="00141FFF"/>
    <w:rsid w:val="00144245"/>
    <w:rsid w:val="00150C5D"/>
    <w:rsid w:val="0015266B"/>
    <w:rsid w:val="00160FA3"/>
    <w:rsid w:val="001635A4"/>
    <w:rsid w:val="0016522D"/>
    <w:rsid w:val="00166F89"/>
    <w:rsid w:val="001679A2"/>
    <w:rsid w:val="00177D70"/>
    <w:rsid w:val="00177FE3"/>
    <w:rsid w:val="00185A12"/>
    <w:rsid w:val="001942E3"/>
    <w:rsid w:val="001A0A58"/>
    <w:rsid w:val="001A1E7D"/>
    <w:rsid w:val="001A2605"/>
    <w:rsid w:val="001A46BF"/>
    <w:rsid w:val="001A6323"/>
    <w:rsid w:val="001A713D"/>
    <w:rsid w:val="001A7176"/>
    <w:rsid w:val="001B0683"/>
    <w:rsid w:val="001B4591"/>
    <w:rsid w:val="001C396B"/>
    <w:rsid w:val="001C5776"/>
    <w:rsid w:val="001C5F08"/>
    <w:rsid w:val="001C629C"/>
    <w:rsid w:val="001D404B"/>
    <w:rsid w:val="001D4057"/>
    <w:rsid w:val="001E1DFE"/>
    <w:rsid w:val="001E2576"/>
    <w:rsid w:val="001E5D74"/>
    <w:rsid w:val="001F0A81"/>
    <w:rsid w:val="001F19DC"/>
    <w:rsid w:val="001F74A2"/>
    <w:rsid w:val="002063D4"/>
    <w:rsid w:val="00206831"/>
    <w:rsid w:val="0021041C"/>
    <w:rsid w:val="002111EE"/>
    <w:rsid w:val="00217042"/>
    <w:rsid w:val="0022485B"/>
    <w:rsid w:val="002304FE"/>
    <w:rsid w:val="002310A4"/>
    <w:rsid w:val="00232927"/>
    <w:rsid w:val="00236E7A"/>
    <w:rsid w:val="00240B3E"/>
    <w:rsid w:val="00242460"/>
    <w:rsid w:val="002548F5"/>
    <w:rsid w:val="00256199"/>
    <w:rsid w:val="00263147"/>
    <w:rsid w:val="002763DA"/>
    <w:rsid w:val="002776F4"/>
    <w:rsid w:val="002803EC"/>
    <w:rsid w:val="002829AF"/>
    <w:rsid w:val="00284C3D"/>
    <w:rsid w:val="002872E8"/>
    <w:rsid w:val="002A1249"/>
    <w:rsid w:val="002A66ED"/>
    <w:rsid w:val="002C3E28"/>
    <w:rsid w:val="002C664B"/>
    <w:rsid w:val="002D1EEA"/>
    <w:rsid w:val="002D2C9F"/>
    <w:rsid w:val="002E24C3"/>
    <w:rsid w:val="002E4241"/>
    <w:rsid w:val="002E4EBB"/>
    <w:rsid w:val="002F27AE"/>
    <w:rsid w:val="002F4D4C"/>
    <w:rsid w:val="002F5134"/>
    <w:rsid w:val="002F7168"/>
    <w:rsid w:val="00301610"/>
    <w:rsid w:val="00303668"/>
    <w:rsid w:val="0031043B"/>
    <w:rsid w:val="00311DAA"/>
    <w:rsid w:val="00312D10"/>
    <w:rsid w:val="003142BA"/>
    <w:rsid w:val="00315A38"/>
    <w:rsid w:val="00322B46"/>
    <w:rsid w:val="003232C7"/>
    <w:rsid w:val="00323B97"/>
    <w:rsid w:val="003308FF"/>
    <w:rsid w:val="00334029"/>
    <w:rsid w:val="0034543C"/>
    <w:rsid w:val="0035035A"/>
    <w:rsid w:val="003515B5"/>
    <w:rsid w:val="00351ABF"/>
    <w:rsid w:val="00351F97"/>
    <w:rsid w:val="0035245B"/>
    <w:rsid w:val="00355207"/>
    <w:rsid w:val="0035628A"/>
    <w:rsid w:val="003632EB"/>
    <w:rsid w:val="0036512F"/>
    <w:rsid w:val="00370430"/>
    <w:rsid w:val="00373696"/>
    <w:rsid w:val="00380585"/>
    <w:rsid w:val="00382F0E"/>
    <w:rsid w:val="00384835"/>
    <w:rsid w:val="00384C18"/>
    <w:rsid w:val="003858F8"/>
    <w:rsid w:val="00397F47"/>
    <w:rsid w:val="003A0ECD"/>
    <w:rsid w:val="003C0C43"/>
    <w:rsid w:val="003C1ECC"/>
    <w:rsid w:val="003C2E6D"/>
    <w:rsid w:val="003C4A71"/>
    <w:rsid w:val="003D15E0"/>
    <w:rsid w:val="003D29C7"/>
    <w:rsid w:val="003D7E7F"/>
    <w:rsid w:val="003E02D6"/>
    <w:rsid w:val="003E3634"/>
    <w:rsid w:val="003E6684"/>
    <w:rsid w:val="003F0603"/>
    <w:rsid w:val="003F3737"/>
    <w:rsid w:val="00400B76"/>
    <w:rsid w:val="00401CFC"/>
    <w:rsid w:val="00402989"/>
    <w:rsid w:val="00405EC6"/>
    <w:rsid w:val="0040666B"/>
    <w:rsid w:val="0040754A"/>
    <w:rsid w:val="004131D0"/>
    <w:rsid w:val="00414520"/>
    <w:rsid w:val="0041456D"/>
    <w:rsid w:val="00423CB6"/>
    <w:rsid w:val="004254C3"/>
    <w:rsid w:val="00425675"/>
    <w:rsid w:val="004337B1"/>
    <w:rsid w:val="004360BB"/>
    <w:rsid w:val="00444446"/>
    <w:rsid w:val="004458F8"/>
    <w:rsid w:val="00450ACD"/>
    <w:rsid w:val="004529AD"/>
    <w:rsid w:val="00453FA5"/>
    <w:rsid w:val="0046338A"/>
    <w:rsid w:val="00470351"/>
    <w:rsid w:val="004714CD"/>
    <w:rsid w:val="00475519"/>
    <w:rsid w:val="00484F5F"/>
    <w:rsid w:val="00492063"/>
    <w:rsid w:val="004947B8"/>
    <w:rsid w:val="00497E5F"/>
    <w:rsid w:val="004A3A86"/>
    <w:rsid w:val="004A4704"/>
    <w:rsid w:val="004B27BA"/>
    <w:rsid w:val="004B63B3"/>
    <w:rsid w:val="004C2F4B"/>
    <w:rsid w:val="004C6B9A"/>
    <w:rsid w:val="004C7967"/>
    <w:rsid w:val="004C7BD6"/>
    <w:rsid w:val="004D4750"/>
    <w:rsid w:val="004E272F"/>
    <w:rsid w:val="004E3889"/>
    <w:rsid w:val="004E6D54"/>
    <w:rsid w:val="004F40CF"/>
    <w:rsid w:val="004F7017"/>
    <w:rsid w:val="0050593C"/>
    <w:rsid w:val="00510B8E"/>
    <w:rsid w:val="00513310"/>
    <w:rsid w:val="00514BF6"/>
    <w:rsid w:val="0051655D"/>
    <w:rsid w:val="005171AD"/>
    <w:rsid w:val="00520C9F"/>
    <w:rsid w:val="00526178"/>
    <w:rsid w:val="00530734"/>
    <w:rsid w:val="00530EC8"/>
    <w:rsid w:val="00531B2C"/>
    <w:rsid w:val="00542058"/>
    <w:rsid w:val="005458AF"/>
    <w:rsid w:val="00550844"/>
    <w:rsid w:val="00552BF8"/>
    <w:rsid w:val="00572866"/>
    <w:rsid w:val="00576F19"/>
    <w:rsid w:val="005774A6"/>
    <w:rsid w:val="00580A75"/>
    <w:rsid w:val="00585B90"/>
    <w:rsid w:val="0058720D"/>
    <w:rsid w:val="005876F2"/>
    <w:rsid w:val="0058797D"/>
    <w:rsid w:val="00591DB9"/>
    <w:rsid w:val="005943C0"/>
    <w:rsid w:val="00595B85"/>
    <w:rsid w:val="00597E04"/>
    <w:rsid w:val="005A0E4F"/>
    <w:rsid w:val="005A112A"/>
    <w:rsid w:val="005A5C33"/>
    <w:rsid w:val="005A7A25"/>
    <w:rsid w:val="005B3336"/>
    <w:rsid w:val="005C5B4F"/>
    <w:rsid w:val="005C6DF4"/>
    <w:rsid w:val="005D32E4"/>
    <w:rsid w:val="005D4715"/>
    <w:rsid w:val="005D47AA"/>
    <w:rsid w:val="005D4824"/>
    <w:rsid w:val="005D7AE5"/>
    <w:rsid w:val="005E26C6"/>
    <w:rsid w:val="005E35F5"/>
    <w:rsid w:val="005E4725"/>
    <w:rsid w:val="005E4EF0"/>
    <w:rsid w:val="005E5915"/>
    <w:rsid w:val="005E756F"/>
    <w:rsid w:val="005E763B"/>
    <w:rsid w:val="005F31BE"/>
    <w:rsid w:val="005F51ED"/>
    <w:rsid w:val="00600703"/>
    <w:rsid w:val="00604C1F"/>
    <w:rsid w:val="006057A0"/>
    <w:rsid w:val="00614670"/>
    <w:rsid w:val="00615C7F"/>
    <w:rsid w:val="00630B75"/>
    <w:rsid w:val="00632E2B"/>
    <w:rsid w:val="00633C51"/>
    <w:rsid w:val="00636BAF"/>
    <w:rsid w:val="0065789B"/>
    <w:rsid w:val="00660DE2"/>
    <w:rsid w:val="006641E9"/>
    <w:rsid w:val="00671A37"/>
    <w:rsid w:val="00680D3E"/>
    <w:rsid w:val="006878CD"/>
    <w:rsid w:val="00692DB0"/>
    <w:rsid w:val="0069530D"/>
    <w:rsid w:val="00697C0A"/>
    <w:rsid w:val="006A343A"/>
    <w:rsid w:val="006A46FE"/>
    <w:rsid w:val="006A538E"/>
    <w:rsid w:val="006A6263"/>
    <w:rsid w:val="006A6C5B"/>
    <w:rsid w:val="006B4D2C"/>
    <w:rsid w:val="006C2514"/>
    <w:rsid w:val="006C405A"/>
    <w:rsid w:val="006C4458"/>
    <w:rsid w:val="006C59C1"/>
    <w:rsid w:val="006D04DD"/>
    <w:rsid w:val="006D0CA9"/>
    <w:rsid w:val="006D316F"/>
    <w:rsid w:val="006D3857"/>
    <w:rsid w:val="006E0CBB"/>
    <w:rsid w:val="006F40CE"/>
    <w:rsid w:val="006F4A63"/>
    <w:rsid w:val="006F6EBA"/>
    <w:rsid w:val="00700658"/>
    <w:rsid w:val="00701EFF"/>
    <w:rsid w:val="007041DF"/>
    <w:rsid w:val="00710098"/>
    <w:rsid w:val="00712EDE"/>
    <w:rsid w:val="00716632"/>
    <w:rsid w:val="00716BBE"/>
    <w:rsid w:val="00717B60"/>
    <w:rsid w:val="00720EA3"/>
    <w:rsid w:val="0072389D"/>
    <w:rsid w:val="00726749"/>
    <w:rsid w:val="00727963"/>
    <w:rsid w:val="0073287D"/>
    <w:rsid w:val="007344A9"/>
    <w:rsid w:val="007415A5"/>
    <w:rsid w:val="00744ACB"/>
    <w:rsid w:val="00752C9A"/>
    <w:rsid w:val="00754536"/>
    <w:rsid w:val="0075696F"/>
    <w:rsid w:val="00762F7B"/>
    <w:rsid w:val="0076354F"/>
    <w:rsid w:val="00763C67"/>
    <w:rsid w:val="00773D7C"/>
    <w:rsid w:val="007750EF"/>
    <w:rsid w:val="0077714A"/>
    <w:rsid w:val="007777F0"/>
    <w:rsid w:val="007818BA"/>
    <w:rsid w:val="00783713"/>
    <w:rsid w:val="007848CD"/>
    <w:rsid w:val="007849D7"/>
    <w:rsid w:val="007868A5"/>
    <w:rsid w:val="007929BD"/>
    <w:rsid w:val="00792E44"/>
    <w:rsid w:val="007972B3"/>
    <w:rsid w:val="007A32CF"/>
    <w:rsid w:val="007A35F3"/>
    <w:rsid w:val="007A669F"/>
    <w:rsid w:val="007B0061"/>
    <w:rsid w:val="007B5709"/>
    <w:rsid w:val="007B71AC"/>
    <w:rsid w:val="007C2C17"/>
    <w:rsid w:val="007C3006"/>
    <w:rsid w:val="007C6AE5"/>
    <w:rsid w:val="007D27BC"/>
    <w:rsid w:val="007D3FA1"/>
    <w:rsid w:val="007D6427"/>
    <w:rsid w:val="007E2BBD"/>
    <w:rsid w:val="007E6250"/>
    <w:rsid w:val="007F41B8"/>
    <w:rsid w:val="007F50E5"/>
    <w:rsid w:val="008038AF"/>
    <w:rsid w:val="00803E3E"/>
    <w:rsid w:val="00805D70"/>
    <w:rsid w:val="008070A4"/>
    <w:rsid w:val="008178BE"/>
    <w:rsid w:val="00823EC8"/>
    <w:rsid w:val="00835D6F"/>
    <w:rsid w:val="008372C4"/>
    <w:rsid w:val="008372E2"/>
    <w:rsid w:val="008503B3"/>
    <w:rsid w:val="008517F6"/>
    <w:rsid w:val="00855AA6"/>
    <w:rsid w:val="008562BF"/>
    <w:rsid w:val="00862742"/>
    <w:rsid w:val="0087093F"/>
    <w:rsid w:val="00876D88"/>
    <w:rsid w:val="0088054E"/>
    <w:rsid w:val="00886F8E"/>
    <w:rsid w:val="008870E7"/>
    <w:rsid w:val="008905DC"/>
    <w:rsid w:val="00890B1D"/>
    <w:rsid w:val="00893531"/>
    <w:rsid w:val="0089443A"/>
    <w:rsid w:val="008A14F5"/>
    <w:rsid w:val="008A1528"/>
    <w:rsid w:val="008A5FC4"/>
    <w:rsid w:val="008A6647"/>
    <w:rsid w:val="008B6FB2"/>
    <w:rsid w:val="008D2EB9"/>
    <w:rsid w:val="008D3D8C"/>
    <w:rsid w:val="008D5294"/>
    <w:rsid w:val="008D711C"/>
    <w:rsid w:val="008E1AE4"/>
    <w:rsid w:val="008E3765"/>
    <w:rsid w:val="008E5192"/>
    <w:rsid w:val="008F1406"/>
    <w:rsid w:val="008F61F6"/>
    <w:rsid w:val="0091124D"/>
    <w:rsid w:val="0091445B"/>
    <w:rsid w:val="009151D5"/>
    <w:rsid w:val="00923AE7"/>
    <w:rsid w:val="00930D19"/>
    <w:rsid w:val="009344D3"/>
    <w:rsid w:val="00934718"/>
    <w:rsid w:val="009377F5"/>
    <w:rsid w:val="00937D5B"/>
    <w:rsid w:val="00945FFA"/>
    <w:rsid w:val="00952683"/>
    <w:rsid w:val="00953EFF"/>
    <w:rsid w:val="00956784"/>
    <w:rsid w:val="009575C3"/>
    <w:rsid w:val="009608B2"/>
    <w:rsid w:val="00970251"/>
    <w:rsid w:val="0097246B"/>
    <w:rsid w:val="00983059"/>
    <w:rsid w:val="0098521E"/>
    <w:rsid w:val="009860B5"/>
    <w:rsid w:val="00990D6A"/>
    <w:rsid w:val="00995F40"/>
    <w:rsid w:val="00996034"/>
    <w:rsid w:val="009969B5"/>
    <w:rsid w:val="009A0C2F"/>
    <w:rsid w:val="009A0FAF"/>
    <w:rsid w:val="009A13FB"/>
    <w:rsid w:val="009A290D"/>
    <w:rsid w:val="009A38F2"/>
    <w:rsid w:val="009A3A23"/>
    <w:rsid w:val="009A5CBE"/>
    <w:rsid w:val="009B3ADD"/>
    <w:rsid w:val="009B5D1C"/>
    <w:rsid w:val="009C11E1"/>
    <w:rsid w:val="009C7AA9"/>
    <w:rsid w:val="009D0F22"/>
    <w:rsid w:val="009D708E"/>
    <w:rsid w:val="009E0021"/>
    <w:rsid w:val="009E0068"/>
    <w:rsid w:val="009F1285"/>
    <w:rsid w:val="009F61FA"/>
    <w:rsid w:val="009F76E5"/>
    <w:rsid w:val="00A10419"/>
    <w:rsid w:val="00A13AC7"/>
    <w:rsid w:val="00A208D0"/>
    <w:rsid w:val="00A21846"/>
    <w:rsid w:val="00A22A10"/>
    <w:rsid w:val="00A27158"/>
    <w:rsid w:val="00A27217"/>
    <w:rsid w:val="00A3171E"/>
    <w:rsid w:val="00A31D44"/>
    <w:rsid w:val="00A50DE6"/>
    <w:rsid w:val="00A54173"/>
    <w:rsid w:val="00A57199"/>
    <w:rsid w:val="00A610C8"/>
    <w:rsid w:val="00A61B09"/>
    <w:rsid w:val="00A70CB2"/>
    <w:rsid w:val="00A76BDF"/>
    <w:rsid w:val="00A7746C"/>
    <w:rsid w:val="00A8325A"/>
    <w:rsid w:val="00A85A9E"/>
    <w:rsid w:val="00A86B36"/>
    <w:rsid w:val="00A95582"/>
    <w:rsid w:val="00AA3B29"/>
    <w:rsid w:val="00AC53E9"/>
    <w:rsid w:val="00AD7A02"/>
    <w:rsid w:val="00AE0BBB"/>
    <w:rsid w:val="00AE12DE"/>
    <w:rsid w:val="00AE2554"/>
    <w:rsid w:val="00AE26E3"/>
    <w:rsid w:val="00AF0547"/>
    <w:rsid w:val="00AF26BD"/>
    <w:rsid w:val="00AF2B70"/>
    <w:rsid w:val="00AF2D7A"/>
    <w:rsid w:val="00B00EBD"/>
    <w:rsid w:val="00B073E3"/>
    <w:rsid w:val="00B10A46"/>
    <w:rsid w:val="00B123F5"/>
    <w:rsid w:val="00B14F53"/>
    <w:rsid w:val="00B157B3"/>
    <w:rsid w:val="00B171D8"/>
    <w:rsid w:val="00B213B6"/>
    <w:rsid w:val="00B2212D"/>
    <w:rsid w:val="00B2242E"/>
    <w:rsid w:val="00B30B41"/>
    <w:rsid w:val="00B32289"/>
    <w:rsid w:val="00B3427A"/>
    <w:rsid w:val="00B34AC5"/>
    <w:rsid w:val="00B373FE"/>
    <w:rsid w:val="00B37C4D"/>
    <w:rsid w:val="00B40C86"/>
    <w:rsid w:val="00B43EAF"/>
    <w:rsid w:val="00B44918"/>
    <w:rsid w:val="00B47CEA"/>
    <w:rsid w:val="00B5451C"/>
    <w:rsid w:val="00B56EE9"/>
    <w:rsid w:val="00B662BD"/>
    <w:rsid w:val="00B70759"/>
    <w:rsid w:val="00B71D85"/>
    <w:rsid w:val="00B71DA7"/>
    <w:rsid w:val="00B72337"/>
    <w:rsid w:val="00B7456E"/>
    <w:rsid w:val="00B75A4B"/>
    <w:rsid w:val="00B80E25"/>
    <w:rsid w:val="00B834FD"/>
    <w:rsid w:val="00B84E62"/>
    <w:rsid w:val="00B86B6B"/>
    <w:rsid w:val="00B92F70"/>
    <w:rsid w:val="00B9586E"/>
    <w:rsid w:val="00BA30B6"/>
    <w:rsid w:val="00BA3435"/>
    <w:rsid w:val="00BA4A96"/>
    <w:rsid w:val="00BA4C88"/>
    <w:rsid w:val="00BA58D1"/>
    <w:rsid w:val="00BB42CE"/>
    <w:rsid w:val="00BB69A7"/>
    <w:rsid w:val="00BB721D"/>
    <w:rsid w:val="00BC0F31"/>
    <w:rsid w:val="00BD3858"/>
    <w:rsid w:val="00BE1028"/>
    <w:rsid w:val="00BE1068"/>
    <w:rsid w:val="00BF099B"/>
    <w:rsid w:val="00BF331F"/>
    <w:rsid w:val="00BF5284"/>
    <w:rsid w:val="00C03A61"/>
    <w:rsid w:val="00C07AB0"/>
    <w:rsid w:val="00C10CAB"/>
    <w:rsid w:val="00C12A4B"/>
    <w:rsid w:val="00C17269"/>
    <w:rsid w:val="00C2177C"/>
    <w:rsid w:val="00C23712"/>
    <w:rsid w:val="00C23AF4"/>
    <w:rsid w:val="00C26C89"/>
    <w:rsid w:val="00C30753"/>
    <w:rsid w:val="00C32546"/>
    <w:rsid w:val="00C335E9"/>
    <w:rsid w:val="00C338A0"/>
    <w:rsid w:val="00C33984"/>
    <w:rsid w:val="00C402A3"/>
    <w:rsid w:val="00C402F7"/>
    <w:rsid w:val="00C5094B"/>
    <w:rsid w:val="00C529B2"/>
    <w:rsid w:val="00C5707D"/>
    <w:rsid w:val="00C6121C"/>
    <w:rsid w:val="00C61305"/>
    <w:rsid w:val="00C63F61"/>
    <w:rsid w:val="00C7064D"/>
    <w:rsid w:val="00C7235A"/>
    <w:rsid w:val="00C805B9"/>
    <w:rsid w:val="00C837A3"/>
    <w:rsid w:val="00C8511A"/>
    <w:rsid w:val="00C87DB6"/>
    <w:rsid w:val="00C90178"/>
    <w:rsid w:val="00C91E59"/>
    <w:rsid w:val="00C9454F"/>
    <w:rsid w:val="00C956D5"/>
    <w:rsid w:val="00CA5BA6"/>
    <w:rsid w:val="00CB111E"/>
    <w:rsid w:val="00CB4BF1"/>
    <w:rsid w:val="00CC2A39"/>
    <w:rsid w:val="00CD4AC2"/>
    <w:rsid w:val="00CF1794"/>
    <w:rsid w:val="00CF7EDB"/>
    <w:rsid w:val="00D06CBF"/>
    <w:rsid w:val="00D12C47"/>
    <w:rsid w:val="00D139DF"/>
    <w:rsid w:val="00D1509B"/>
    <w:rsid w:val="00D157C3"/>
    <w:rsid w:val="00D16840"/>
    <w:rsid w:val="00D16F40"/>
    <w:rsid w:val="00D31213"/>
    <w:rsid w:val="00D5417D"/>
    <w:rsid w:val="00D561EE"/>
    <w:rsid w:val="00D61C20"/>
    <w:rsid w:val="00D6349F"/>
    <w:rsid w:val="00D705E1"/>
    <w:rsid w:val="00D74DD4"/>
    <w:rsid w:val="00D77718"/>
    <w:rsid w:val="00D83B77"/>
    <w:rsid w:val="00D87EC4"/>
    <w:rsid w:val="00D90384"/>
    <w:rsid w:val="00D91378"/>
    <w:rsid w:val="00D92555"/>
    <w:rsid w:val="00D97362"/>
    <w:rsid w:val="00DA49D6"/>
    <w:rsid w:val="00DA4A6D"/>
    <w:rsid w:val="00DA7445"/>
    <w:rsid w:val="00DA78DD"/>
    <w:rsid w:val="00DB028A"/>
    <w:rsid w:val="00DB54D8"/>
    <w:rsid w:val="00DB5757"/>
    <w:rsid w:val="00DB591D"/>
    <w:rsid w:val="00DC4D42"/>
    <w:rsid w:val="00DC523D"/>
    <w:rsid w:val="00DC7F3E"/>
    <w:rsid w:val="00DD51D1"/>
    <w:rsid w:val="00DE0BBF"/>
    <w:rsid w:val="00DE356A"/>
    <w:rsid w:val="00DE3FDF"/>
    <w:rsid w:val="00DE5762"/>
    <w:rsid w:val="00DE7222"/>
    <w:rsid w:val="00DF6F26"/>
    <w:rsid w:val="00E02B7E"/>
    <w:rsid w:val="00E06534"/>
    <w:rsid w:val="00E12EA6"/>
    <w:rsid w:val="00E14F6E"/>
    <w:rsid w:val="00E159A6"/>
    <w:rsid w:val="00E172B6"/>
    <w:rsid w:val="00E22400"/>
    <w:rsid w:val="00E2274D"/>
    <w:rsid w:val="00E23A5D"/>
    <w:rsid w:val="00E33156"/>
    <w:rsid w:val="00E3611F"/>
    <w:rsid w:val="00E416B0"/>
    <w:rsid w:val="00E4342A"/>
    <w:rsid w:val="00E50802"/>
    <w:rsid w:val="00E532A7"/>
    <w:rsid w:val="00E558A0"/>
    <w:rsid w:val="00E55FDA"/>
    <w:rsid w:val="00E663A9"/>
    <w:rsid w:val="00E70298"/>
    <w:rsid w:val="00E70DB2"/>
    <w:rsid w:val="00E74A0E"/>
    <w:rsid w:val="00E74B7B"/>
    <w:rsid w:val="00E74CCB"/>
    <w:rsid w:val="00E76458"/>
    <w:rsid w:val="00E76F2B"/>
    <w:rsid w:val="00E81A3A"/>
    <w:rsid w:val="00E83685"/>
    <w:rsid w:val="00E878C3"/>
    <w:rsid w:val="00E96583"/>
    <w:rsid w:val="00E96A0A"/>
    <w:rsid w:val="00EA1EF9"/>
    <w:rsid w:val="00EA32A9"/>
    <w:rsid w:val="00EA32FB"/>
    <w:rsid w:val="00EA55F1"/>
    <w:rsid w:val="00EB170C"/>
    <w:rsid w:val="00EB2FE3"/>
    <w:rsid w:val="00EB5E9B"/>
    <w:rsid w:val="00EC19E1"/>
    <w:rsid w:val="00EC6DBA"/>
    <w:rsid w:val="00ED17CA"/>
    <w:rsid w:val="00EE36D3"/>
    <w:rsid w:val="00EE5495"/>
    <w:rsid w:val="00F02C52"/>
    <w:rsid w:val="00F04250"/>
    <w:rsid w:val="00F11CBF"/>
    <w:rsid w:val="00F13CED"/>
    <w:rsid w:val="00F26339"/>
    <w:rsid w:val="00F26435"/>
    <w:rsid w:val="00F26692"/>
    <w:rsid w:val="00F27DE2"/>
    <w:rsid w:val="00F30DA8"/>
    <w:rsid w:val="00F30F41"/>
    <w:rsid w:val="00F3293D"/>
    <w:rsid w:val="00F3766D"/>
    <w:rsid w:val="00F37AEE"/>
    <w:rsid w:val="00F4134F"/>
    <w:rsid w:val="00F428BE"/>
    <w:rsid w:val="00F44735"/>
    <w:rsid w:val="00F46B44"/>
    <w:rsid w:val="00F50073"/>
    <w:rsid w:val="00F528C6"/>
    <w:rsid w:val="00F576A3"/>
    <w:rsid w:val="00F5790B"/>
    <w:rsid w:val="00F6419E"/>
    <w:rsid w:val="00F64E65"/>
    <w:rsid w:val="00F66727"/>
    <w:rsid w:val="00F7054C"/>
    <w:rsid w:val="00F709AB"/>
    <w:rsid w:val="00F70C3E"/>
    <w:rsid w:val="00F70D82"/>
    <w:rsid w:val="00F73EE2"/>
    <w:rsid w:val="00F83753"/>
    <w:rsid w:val="00F86020"/>
    <w:rsid w:val="00FA01C6"/>
    <w:rsid w:val="00FA0645"/>
    <w:rsid w:val="00FA1EEF"/>
    <w:rsid w:val="00FA4BA1"/>
    <w:rsid w:val="00FA7C62"/>
    <w:rsid w:val="00FB3BC1"/>
    <w:rsid w:val="00FB4CD9"/>
    <w:rsid w:val="00FB622B"/>
    <w:rsid w:val="00FB7D81"/>
    <w:rsid w:val="00FB7E08"/>
    <w:rsid w:val="00FC018D"/>
    <w:rsid w:val="00FD0510"/>
    <w:rsid w:val="00FD1FE2"/>
    <w:rsid w:val="00FD2781"/>
    <w:rsid w:val="00FD3EF7"/>
    <w:rsid w:val="00FD70DC"/>
    <w:rsid w:val="00FE3990"/>
    <w:rsid w:val="00FE7CE6"/>
    <w:rsid w:val="00FF0FE7"/>
    <w:rsid w:val="00FF11D0"/>
    <w:rsid w:val="00FF66BD"/>
    <w:rsid w:val="00FF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717120473">
      <w:bodyDiv w:val="1"/>
      <w:marLeft w:val="0"/>
      <w:marRight w:val="0"/>
      <w:marTop w:val="0"/>
      <w:marBottom w:val="0"/>
      <w:divBdr>
        <w:top w:val="none" w:sz="0" w:space="0" w:color="auto"/>
        <w:left w:val="none" w:sz="0" w:space="0" w:color="auto"/>
        <w:bottom w:val="none" w:sz="0" w:space="0" w:color="auto"/>
        <w:right w:val="none" w:sz="0" w:space="0" w:color="auto"/>
      </w:divBdr>
    </w:div>
    <w:div w:id="1357537453">
      <w:bodyDiv w:val="1"/>
      <w:marLeft w:val="0"/>
      <w:marRight w:val="0"/>
      <w:marTop w:val="0"/>
      <w:marBottom w:val="0"/>
      <w:divBdr>
        <w:top w:val="none" w:sz="0" w:space="0" w:color="auto"/>
        <w:left w:val="none" w:sz="0" w:space="0" w:color="auto"/>
        <w:bottom w:val="none" w:sz="0" w:space="0" w:color="auto"/>
        <w:right w:val="none" w:sz="0" w:space="0" w:color="auto"/>
      </w:divBdr>
    </w:div>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 w:id="1713723818">
      <w:bodyDiv w:val="1"/>
      <w:marLeft w:val="0"/>
      <w:marRight w:val="0"/>
      <w:marTop w:val="0"/>
      <w:marBottom w:val="0"/>
      <w:divBdr>
        <w:top w:val="none" w:sz="0" w:space="0" w:color="auto"/>
        <w:left w:val="none" w:sz="0" w:space="0" w:color="auto"/>
        <w:bottom w:val="none" w:sz="0" w:space="0" w:color="auto"/>
        <w:right w:val="none" w:sz="0" w:space="0" w:color="auto"/>
      </w:divBdr>
    </w:div>
    <w:div w:id="1865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ysenur.acar\Documents\AN\B&#252;y&#252;me%20(revised)\2014%203.%20&#199;eyrek\Quarterly%20GD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4096158801262"/>
          <c:y val="4.8676831338040454E-2"/>
          <c:w val="0.85617226418126258"/>
          <c:h val="0.672479231851976"/>
        </c:manualLayout>
      </c:layout>
      <c:barChart>
        <c:barDir val="col"/>
        <c:grouping val="clustered"/>
        <c:varyColors val="0"/>
        <c:ser>
          <c:idx val="4"/>
          <c:order val="0"/>
          <c:spPr>
            <a:solidFill>
              <a:srgbClr val="0000FF"/>
            </a:solidFill>
            <a:ln w="25400">
              <a:noFill/>
            </a:ln>
          </c:spPr>
          <c:invertIfNegative val="0"/>
          <c:cat>
            <c:strRef>
              <c:f>Quarterly!$A$53:$A$71</c:f>
              <c:strCache>
                <c:ptCount val="19"/>
                <c:pt idx="0">
                  <c:v>2010(1)</c:v>
                </c:pt>
                <c:pt idx="1">
                  <c:v>2010(2)</c:v>
                </c:pt>
                <c:pt idx="2">
                  <c:v>2010(3)</c:v>
                </c:pt>
                <c:pt idx="3">
                  <c:v>2010(4)</c:v>
                </c:pt>
                <c:pt idx="4">
                  <c:v>2011(1)</c:v>
                </c:pt>
                <c:pt idx="5">
                  <c:v>2011(2)</c:v>
                </c:pt>
                <c:pt idx="6">
                  <c:v>2011(3)</c:v>
                </c:pt>
                <c:pt idx="7">
                  <c:v>2011(4)</c:v>
                </c:pt>
                <c:pt idx="8">
                  <c:v>2012(1)</c:v>
                </c:pt>
                <c:pt idx="9">
                  <c:v>2012(2)</c:v>
                </c:pt>
                <c:pt idx="10">
                  <c:v>2012(3)</c:v>
                </c:pt>
                <c:pt idx="11">
                  <c:v>2012(4)</c:v>
                </c:pt>
                <c:pt idx="12">
                  <c:v>2013(1)</c:v>
                </c:pt>
                <c:pt idx="13">
                  <c:v>2013(2)</c:v>
                </c:pt>
                <c:pt idx="14">
                  <c:v>2013(3)</c:v>
                </c:pt>
                <c:pt idx="15">
                  <c:v>2013(4)</c:v>
                </c:pt>
                <c:pt idx="16">
                  <c:v>2014(1)</c:v>
                </c:pt>
                <c:pt idx="17">
                  <c:v>2014(2)</c:v>
                </c:pt>
                <c:pt idx="18">
                  <c:v>2014(3)</c:v>
                </c:pt>
              </c:strCache>
            </c:strRef>
          </c:cat>
          <c:val>
            <c:numRef>
              <c:f>Quarterly!$N$53:$N$71</c:f>
              <c:numCache>
                <c:formatCode>0.00%</c:formatCode>
                <c:ptCount val="19"/>
                <c:pt idx="0">
                  <c:v>5.4931827113160539E-3</c:v>
                </c:pt>
                <c:pt idx="1">
                  <c:v>3.1467670201326216E-2</c:v>
                </c:pt>
                <c:pt idx="2">
                  <c:v>1.1868046476993348E-2</c:v>
                </c:pt>
                <c:pt idx="3">
                  <c:v>4.5860842626486382E-2</c:v>
                </c:pt>
                <c:pt idx="4">
                  <c:v>2.5263940475305804E-2</c:v>
                </c:pt>
                <c:pt idx="5">
                  <c:v>5.5297053486251802E-3</c:v>
                </c:pt>
                <c:pt idx="6">
                  <c:v>1.2538601816791894E-2</c:v>
                </c:pt>
                <c:pt idx="7">
                  <c:v>7.8070202239721902E-3</c:v>
                </c:pt>
                <c:pt idx="8">
                  <c:v>-2.3518698055297028E-3</c:v>
                </c:pt>
                <c:pt idx="9">
                  <c:v>1.0559183182985659E-2</c:v>
                </c:pt>
                <c:pt idx="10">
                  <c:v>2.8222609284689368E-3</c:v>
                </c:pt>
                <c:pt idx="11">
                  <c:v>2.8453251333317997E-3</c:v>
                </c:pt>
                <c:pt idx="12">
                  <c:v>1.7811244986696936E-2</c:v>
                </c:pt>
                <c:pt idx="13">
                  <c:v>1.6438477083287103E-2</c:v>
                </c:pt>
                <c:pt idx="14">
                  <c:v>4.7303120943467288E-3</c:v>
                </c:pt>
                <c:pt idx="15">
                  <c:v>7.9041535297925819E-3</c:v>
                </c:pt>
                <c:pt idx="16">
                  <c:v>1.7704494739111887E-2</c:v>
                </c:pt>
                <c:pt idx="17">
                  <c:v>-4.6164517342168823E-3</c:v>
                </c:pt>
                <c:pt idx="18">
                  <c:v>4.4187346385342633E-3</c:v>
                </c:pt>
              </c:numCache>
            </c:numRef>
          </c:val>
        </c:ser>
        <c:dLbls>
          <c:showLegendKey val="0"/>
          <c:showVal val="0"/>
          <c:showCatName val="0"/>
          <c:showSerName val="0"/>
          <c:showPercent val="0"/>
          <c:showBubbleSize val="0"/>
        </c:dLbls>
        <c:gapWidth val="150"/>
        <c:axId val="83660160"/>
        <c:axId val="44246144"/>
      </c:barChart>
      <c:catAx>
        <c:axId val="83660160"/>
        <c:scaling>
          <c:orientation val="minMax"/>
        </c:scaling>
        <c:delete val="0"/>
        <c:axPos val="b"/>
        <c:majorGridlines>
          <c:spPr>
            <a:ln w="3175">
              <a:solidFill>
                <a:srgbClr val="333399"/>
              </a:solidFill>
              <a:prstDash val="sysDash"/>
            </a:ln>
          </c:spPr>
        </c:majorGridlines>
        <c:numFmt formatCode="0.00" sourceLinked="1"/>
        <c:majorTickMark val="none"/>
        <c:minorTickMark val="none"/>
        <c:tickLblPos val="low"/>
        <c:spPr>
          <a:ln w="3175">
            <a:solidFill>
              <a:srgbClr val="000000"/>
            </a:solidFill>
            <a:prstDash val="solid"/>
          </a:ln>
        </c:spPr>
        <c:txPr>
          <a:bodyPr rot="-5400000" vert="horz"/>
          <a:lstStyle/>
          <a:p>
            <a:pPr>
              <a:defRPr lang="en-US" sz="800" b="1" i="0" u="none" strike="noStrike" baseline="0">
                <a:solidFill>
                  <a:srgbClr val="000000"/>
                </a:solidFill>
                <a:latin typeface="Arial"/>
                <a:ea typeface="Arial"/>
                <a:cs typeface="Arial"/>
              </a:defRPr>
            </a:pPr>
            <a:endParaRPr lang="tr-TR"/>
          </a:p>
        </c:txPr>
        <c:crossAx val="44246144"/>
        <c:crosses val="autoZero"/>
        <c:auto val="0"/>
        <c:lblAlgn val="ctr"/>
        <c:lblOffset val="100"/>
        <c:tickLblSkip val="1"/>
        <c:tickMarkSkip val="1"/>
        <c:noMultiLvlLbl val="0"/>
      </c:catAx>
      <c:valAx>
        <c:axId val="44246144"/>
        <c:scaling>
          <c:orientation val="minMax"/>
        </c:scaling>
        <c:delete val="0"/>
        <c:axPos val="l"/>
        <c:majorGridlines>
          <c:spPr>
            <a:ln w="3175">
              <a:solidFill>
                <a:srgbClr val="CCCCFF"/>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tr-TR"/>
          </a:p>
        </c:txPr>
        <c:crossAx val="83660160"/>
        <c:crosses val="autoZero"/>
        <c:crossBetween val="between"/>
        <c:majorUnit val="1.0000000000000023E-2"/>
        <c:minorUnit val="4.0000000000000114E-3"/>
      </c:valAx>
      <c:spPr>
        <a:noFill/>
        <a:ln w="25400">
          <a:noFill/>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0.15095</cdr:x>
      <cdr:y>0.90871</cdr:y>
    </cdr:from>
    <cdr:to>
      <cdr:x>0.18615</cdr:x>
      <cdr:y>0.95846</cdr:y>
    </cdr:to>
    <cdr:sp macro="" textlink="">
      <cdr:nvSpPr>
        <cdr:cNvPr id="3073" name="Rectangle 1"/>
        <cdr:cNvSpPr>
          <a:spLocks xmlns:a="http://schemas.openxmlformats.org/drawingml/2006/main" noChangeArrowheads="1"/>
        </cdr:cNvSpPr>
      </cdr:nvSpPr>
      <cdr:spPr bwMode="auto">
        <a:xfrm xmlns:a="http://schemas.openxmlformats.org/drawingml/2006/main">
          <a:off x="497780" y="1812170"/>
          <a:ext cx="115324" cy="99039"/>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sp>
  </cdr:relSizeAnchor>
  <cdr:relSizeAnchor xmlns:cdr="http://schemas.openxmlformats.org/drawingml/2006/chartDrawing">
    <cdr:from>
      <cdr:x>0.15092</cdr:x>
      <cdr:y>0.91071</cdr:y>
    </cdr:from>
    <cdr:to>
      <cdr:x>0.18636</cdr:x>
      <cdr:y>0.95929</cdr:y>
    </cdr:to>
    <cdr:sp macro="" textlink="">
      <cdr:nvSpPr>
        <cdr:cNvPr id="9217" name="Rectangle 1"/>
        <cdr:cNvSpPr>
          <a:spLocks xmlns:a="http://schemas.openxmlformats.org/drawingml/2006/main" noChangeArrowheads="1"/>
        </cdr:cNvSpPr>
      </cdr:nvSpPr>
      <cdr:spPr bwMode="auto">
        <a:xfrm xmlns:a="http://schemas.openxmlformats.org/drawingml/2006/main">
          <a:off x="499118" y="1824831"/>
          <a:ext cx="116467" cy="9715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B9F3D-F7C5-476A-A8E3-5C6085F6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3</cp:revision>
  <cp:lastPrinted>2014-12-10T11:12:00Z</cp:lastPrinted>
  <dcterms:created xsi:type="dcterms:W3CDTF">2014-12-10T12:49:00Z</dcterms:created>
  <dcterms:modified xsi:type="dcterms:W3CDTF">2014-12-10T13:21:00Z</dcterms:modified>
</cp:coreProperties>
</file>