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D3" w:rsidRDefault="006E668E" w:rsidP="001E4BF5">
      <w:pPr>
        <w:spacing w:line="360" w:lineRule="auto"/>
        <w:ind w:right="-319"/>
        <w:jc w:val="center"/>
        <w:outlineLvl w:val="0"/>
        <w:rPr>
          <w:rFonts w:ascii="Arial" w:hAnsi="Arial" w:cs="Arial"/>
          <w:b/>
          <w:bCs/>
          <w:sz w:val="32"/>
          <w:szCs w:val="32"/>
        </w:rPr>
      </w:pPr>
      <w:r w:rsidRPr="006E668E">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390.6pt;margin-top:14.95pt;width:187.9pt;height:27.4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" stroked="f">
            <v:fill opacity="0"/>
            <v:textbox inset="0,0,0,0">
              <w:txbxContent>
                <w:p w:rsidR="00E57928" w:rsidRPr="00DB7229" w:rsidRDefault="00D26E74" w:rsidP="00E57928">
                  <w:pPr>
                    <w:pStyle w:val="Heading3"/>
                    <w:rPr>
                      <w:color w:val="FFFFFF"/>
                      <w:sz w:val="22"/>
                      <w:szCs w:val="22"/>
                    </w:rPr>
                  </w:pPr>
                  <w:r>
                    <w:rPr>
                      <w:color w:val="FFFFFF"/>
                      <w:sz w:val="22"/>
                      <w:szCs w:val="22"/>
                    </w:rPr>
                    <w:t xml:space="preserve">         </w:t>
                  </w:r>
                  <w:r w:rsidR="003E40B5">
                    <w:rPr>
                      <w:color w:val="FFFFFF"/>
                      <w:sz w:val="22"/>
                      <w:szCs w:val="22"/>
                    </w:rPr>
                    <w:t>24</w:t>
                  </w:r>
                  <w:r w:rsidR="00E57928">
                    <w:rPr>
                      <w:color w:val="FFFFFF"/>
                      <w:sz w:val="22"/>
                      <w:szCs w:val="22"/>
                    </w:rPr>
                    <w:t xml:space="preserve"> </w:t>
                  </w:r>
                  <w:r>
                    <w:rPr>
                      <w:color w:val="FFFFFF"/>
                      <w:sz w:val="22"/>
                      <w:szCs w:val="22"/>
                    </w:rPr>
                    <w:t>E</w:t>
                  </w:r>
                  <w:r w:rsidR="00B81723">
                    <w:rPr>
                      <w:color w:val="FFFFFF"/>
                      <w:sz w:val="22"/>
                      <w:szCs w:val="22"/>
                    </w:rPr>
                    <w:t>kim</w:t>
                  </w:r>
                  <w:r w:rsidR="00E57928">
                    <w:rPr>
                      <w:color w:val="FFFFFF"/>
                      <w:sz w:val="22"/>
                      <w:szCs w:val="22"/>
                    </w:rPr>
                    <w:t xml:space="preserve"> 2014</w:t>
                  </w:r>
                </w:p>
                <w:p w:rsidR="00E57928" w:rsidRDefault="00E57928" w:rsidP="00E57928"/>
              </w:txbxContent>
            </v:textbox>
          </v:shape>
        </w:pict>
      </w:r>
      <w:r w:rsidRPr="006E668E">
        <w:rPr>
          <w:noProof/>
        </w:rPr>
        <w:pict>
          <v:shape id="Text Box 3" o:spid="_x0000_s1027" type="#_x0000_t202" style="position:absolute;left:0;text-align:left;margin-left:131.4pt;margin-top:-38.65pt;width:346.2pt;height:44.8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WjQ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" stroked="f">
            <v:fill opacity="0"/>
            <v:textbox inset="0,0,0,0">
              <w:txbxContent>
                <w:p w:rsidR="00E57928" w:rsidRDefault="00E57928" w:rsidP="00E57928">
                  <w:pPr>
                    <w:pStyle w:val="Heading1"/>
                    <w:jc w:val="left"/>
                    <w:rPr>
                      <w:rFonts w:ascii="Times New Roman" w:hAnsi="Times New Roman"/>
                      <w:sz w:val="40"/>
                      <w:szCs w:val="40"/>
                    </w:rPr>
                  </w:pPr>
                  <w:r>
                    <w:rPr>
                      <w:rFonts w:ascii="Times New Roman" w:hAnsi="Times New Roman"/>
                      <w:sz w:val="40"/>
                      <w:szCs w:val="40"/>
                    </w:rPr>
                    <w:t xml:space="preserve">Ekonomik Görünüm ve Tahminler: </w:t>
                  </w:r>
                </w:p>
                <w:p w:rsidR="00E57928" w:rsidRPr="0026114C" w:rsidRDefault="00B81723" w:rsidP="00E57928">
                  <w:pPr>
                    <w:pStyle w:val="Heading1"/>
                    <w:rPr>
                      <w:rFonts w:ascii="Times New Roman" w:hAnsi="Times New Roman"/>
                      <w:sz w:val="40"/>
                      <w:szCs w:val="40"/>
                    </w:rPr>
                  </w:pPr>
                  <w:r>
                    <w:rPr>
                      <w:rFonts w:ascii="Times New Roman" w:hAnsi="Times New Roman"/>
                      <w:sz w:val="40"/>
                      <w:szCs w:val="40"/>
                    </w:rPr>
                    <w:t>Ekim</w:t>
                  </w:r>
                  <w:r w:rsidR="00E57928">
                    <w:rPr>
                      <w:rFonts w:ascii="Times New Roman" w:hAnsi="Times New Roman"/>
                      <w:sz w:val="40"/>
                      <w:szCs w:val="40"/>
                    </w:rPr>
                    <w:t xml:space="preserve"> 2014</w:t>
                  </w:r>
                </w:p>
                <w:p w:rsidR="00E57928" w:rsidRPr="00A75A46" w:rsidRDefault="00E57928" w:rsidP="00E57928">
                  <w:pPr>
                    <w:pStyle w:val="Heading2"/>
                    <w:rPr>
                      <w:b w:val="0"/>
                      <w:bCs w:val="0"/>
                      <w:i w:val="0"/>
                      <w:iCs w:val="0"/>
                      <w:lang w:val="nl-NL"/>
                    </w:rPr>
                  </w:pPr>
                </w:p>
              </w:txbxContent>
            </v:textbox>
          </v:shape>
        </w:pict>
      </w:r>
      <w:r w:rsidR="00E57928" w:rsidRPr="00E57928">
        <w:rPr>
          <w:rFonts w:ascii="Arial" w:hAnsi="Arial" w:cs="Arial"/>
          <w:b/>
          <w:bCs/>
          <w:noProof/>
          <w:sz w:val="32"/>
          <w:szCs w:val="32"/>
        </w:rPr>
        <w:drawing>
          <wp:anchor distT="0" distB="0" distL="114300" distR="114300" simplePos="0" relativeHeight="25165875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8"/>
                    <a:srcRect/>
                    <a:stretch>
                      <a:fillRect/>
                    </a:stretch>
                  </pic:blipFill>
                  <pic:spPr bwMode="auto">
                    <a:xfrm>
                      <a:off x="0" y="0"/>
                      <a:ext cx="6858000" cy="1261745"/>
                    </a:xfrm>
                    <a:prstGeom prst="rect">
                      <a:avLst/>
                    </a:prstGeom>
                    <a:noFill/>
                    <a:ln w="9525">
                      <a:noFill/>
                      <a:miter lim="800000"/>
                      <a:headEnd/>
                      <a:tailEnd/>
                    </a:ln>
                  </pic:spPr>
                </pic:pic>
              </a:graphicData>
            </a:graphic>
          </wp:anchor>
        </w:drawing>
      </w:r>
    </w:p>
    <w:p w:rsidR="00054BD3" w:rsidRDefault="00054BD3" w:rsidP="001E4BF5">
      <w:pPr>
        <w:spacing w:line="360" w:lineRule="auto"/>
        <w:ind w:right="-319"/>
        <w:jc w:val="center"/>
        <w:outlineLvl w:val="0"/>
        <w:rPr>
          <w:rFonts w:ascii="Arial" w:hAnsi="Arial" w:cs="Arial"/>
          <w:b/>
          <w:bCs/>
          <w:sz w:val="32"/>
          <w:szCs w:val="32"/>
        </w:rPr>
      </w:pPr>
    </w:p>
    <w:p w:rsidR="00C777D3" w:rsidRDefault="00566E5E" w:rsidP="00C777D3">
      <w:pPr>
        <w:ind w:right="-317"/>
        <w:jc w:val="center"/>
        <w:outlineLvl w:val="0"/>
        <w:rPr>
          <w:rFonts w:ascii="Arial" w:hAnsi="Arial" w:cs="Arial"/>
          <w:b/>
          <w:bCs/>
          <w:caps/>
          <w:sz w:val="28"/>
          <w:szCs w:val="28"/>
        </w:rPr>
      </w:pPr>
      <w:r>
        <w:rPr>
          <w:rFonts w:ascii="Arial" w:hAnsi="Arial" w:cs="Arial"/>
          <w:b/>
          <w:bCs/>
          <w:caps/>
          <w:sz w:val="28"/>
          <w:szCs w:val="28"/>
        </w:rPr>
        <w:t xml:space="preserve">ılımlı </w:t>
      </w:r>
      <w:r w:rsidR="00F5015C">
        <w:rPr>
          <w:rFonts w:ascii="Arial" w:hAnsi="Arial" w:cs="Arial"/>
          <w:b/>
          <w:bCs/>
          <w:caps/>
          <w:sz w:val="28"/>
          <w:szCs w:val="28"/>
        </w:rPr>
        <w:t>büyüme devam ediyor</w:t>
      </w:r>
    </w:p>
    <w:p w:rsidR="009438A8" w:rsidRDefault="009438A8" w:rsidP="009438A8">
      <w:pPr>
        <w:ind w:right="-317"/>
        <w:jc w:val="center"/>
        <w:outlineLvl w:val="0"/>
        <w:rPr>
          <w:rFonts w:ascii="Arial" w:hAnsi="Arial" w:cs="Arial"/>
          <w:b/>
          <w:bCs/>
          <w:caps/>
          <w:sz w:val="28"/>
          <w:szCs w:val="28"/>
        </w:rPr>
      </w:pPr>
    </w:p>
    <w:p w:rsidR="009438A8" w:rsidRPr="00D63675" w:rsidRDefault="009438A8" w:rsidP="009438A8">
      <w:pPr>
        <w:ind w:right="-317"/>
        <w:jc w:val="center"/>
        <w:outlineLvl w:val="0"/>
        <w:rPr>
          <w:rFonts w:ascii="Arial" w:hAnsi="Arial" w:cs="Arial"/>
          <w:b/>
          <w:bCs/>
          <w:sz w:val="21"/>
          <w:szCs w:val="21"/>
          <w:vertAlign w:val="superscript"/>
        </w:rPr>
      </w:pPr>
      <w:r w:rsidRPr="00D63675">
        <w:rPr>
          <w:rFonts w:ascii="Arial" w:hAnsi="Arial" w:cs="Arial"/>
          <w:b/>
          <w:bCs/>
          <w:sz w:val="21"/>
          <w:szCs w:val="21"/>
        </w:rPr>
        <w:t xml:space="preserve">Zümrüt İmamoğlu* ve Barış </w:t>
      </w:r>
      <w:proofErr w:type="spellStart"/>
      <w:r w:rsidRPr="00D63675">
        <w:rPr>
          <w:rFonts w:ascii="Arial" w:hAnsi="Arial" w:cs="Arial"/>
          <w:b/>
          <w:bCs/>
          <w:sz w:val="21"/>
          <w:szCs w:val="21"/>
        </w:rPr>
        <w:t>Soybilgen</w:t>
      </w:r>
      <w:proofErr w:type="spellEnd"/>
      <w:r>
        <w:rPr>
          <w:rFonts w:ascii="Arial" w:hAnsi="Arial" w:cs="Arial"/>
          <w:b/>
          <w:bCs/>
          <w:sz w:val="21"/>
          <w:szCs w:val="21"/>
          <w:vertAlign w:val="superscript"/>
        </w:rPr>
        <w:t>**</w:t>
      </w:r>
    </w:p>
    <w:p w:rsidR="00F5015C" w:rsidRDefault="00F5015C" w:rsidP="009438A8">
      <w:pPr>
        <w:spacing w:line="360" w:lineRule="auto"/>
        <w:ind w:right="-319"/>
        <w:jc w:val="center"/>
        <w:outlineLvl w:val="0"/>
        <w:rPr>
          <w:rFonts w:ascii="Arial" w:hAnsi="Arial" w:cs="Arial"/>
          <w:sz w:val="22"/>
          <w:szCs w:val="22"/>
          <w:vertAlign w:val="superscript"/>
        </w:rPr>
      </w:pPr>
    </w:p>
    <w:p w:rsidR="00566E5E" w:rsidRDefault="00566E5E" w:rsidP="009438A8">
      <w:pPr>
        <w:spacing w:line="360" w:lineRule="auto"/>
        <w:ind w:right="-319"/>
        <w:jc w:val="center"/>
        <w:outlineLvl w:val="0"/>
        <w:rPr>
          <w:rFonts w:ascii="Arial" w:hAnsi="Arial" w:cs="Arial"/>
          <w:sz w:val="22"/>
          <w:szCs w:val="22"/>
          <w:vertAlign w:val="superscript"/>
        </w:rPr>
      </w:pPr>
    </w:p>
    <w:p w:rsidR="009438A8" w:rsidRPr="004A7FE6" w:rsidRDefault="009438A8" w:rsidP="009438A8">
      <w:pPr>
        <w:spacing w:line="360" w:lineRule="auto"/>
        <w:ind w:right="-319"/>
        <w:jc w:val="center"/>
        <w:outlineLvl w:val="0"/>
        <w:rPr>
          <w:rFonts w:ascii="Arial" w:hAnsi="Arial" w:cs="Arial"/>
          <w:sz w:val="22"/>
          <w:szCs w:val="22"/>
          <w:vertAlign w:val="superscript"/>
        </w:rPr>
        <w:sectPr w:rsidR="009438A8" w:rsidRPr="004A7FE6" w:rsidSect="008651A8">
          <w:footerReference w:type="default" r:id="rId9"/>
          <w:type w:val="continuous"/>
          <w:pgSz w:w="11906" w:h="16838"/>
          <w:pgMar w:top="1417" w:right="1417" w:bottom="1417" w:left="1417" w:header="708" w:footer="708" w:gutter="0"/>
          <w:cols w:space="708"/>
          <w:docGrid w:linePitch="360"/>
        </w:sectPr>
      </w:pPr>
    </w:p>
    <w:p w:rsidR="005347F8" w:rsidRDefault="00E65102" w:rsidP="00E65102">
      <w:pPr>
        <w:spacing w:line="360" w:lineRule="auto"/>
        <w:ind w:left="-360" w:right="42" w:firstLine="360"/>
        <w:jc w:val="center"/>
        <w:rPr>
          <w:b/>
          <w:bCs/>
          <w:sz w:val="22"/>
          <w:szCs w:val="22"/>
        </w:rPr>
      </w:pPr>
      <w:r w:rsidRPr="004A7FE6">
        <w:rPr>
          <w:b/>
          <w:bCs/>
          <w:sz w:val="22"/>
          <w:szCs w:val="22"/>
        </w:rPr>
        <w:lastRenderedPageBreak/>
        <w:t>Yönetici Özeti</w:t>
      </w:r>
    </w:p>
    <w:p w:rsidR="00BC7D90" w:rsidRPr="0063286C" w:rsidRDefault="00BC7D90" w:rsidP="00E65102">
      <w:pPr>
        <w:spacing w:line="360" w:lineRule="auto"/>
        <w:ind w:left="-360" w:right="42" w:firstLine="360"/>
        <w:jc w:val="center"/>
        <w:rPr>
          <w:b/>
          <w:bCs/>
          <w:sz w:val="16"/>
          <w:szCs w:val="16"/>
        </w:rPr>
      </w:pPr>
    </w:p>
    <w:p w:rsidR="00C777D3" w:rsidRDefault="00C777D3" w:rsidP="00C777D3">
      <w:pPr>
        <w:spacing w:line="360" w:lineRule="auto"/>
        <w:ind w:left="-360" w:right="40"/>
        <w:jc w:val="both"/>
        <w:rPr>
          <w:sz w:val="22"/>
          <w:szCs w:val="22"/>
        </w:rPr>
      </w:pPr>
      <w:r>
        <w:rPr>
          <w:sz w:val="22"/>
          <w:szCs w:val="22"/>
        </w:rPr>
        <w:t xml:space="preserve">Mevsim ve takvim etkisinden arındırılmış Sanayi </w:t>
      </w:r>
      <w:r w:rsidR="00566E5E">
        <w:rPr>
          <w:sz w:val="22"/>
          <w:szCs w:val="22"/>
        </w:rPr>
        <w:t>Üretim E</w:t>
      </w:r>
      <w:r w:rsidR="00BC7D90">
        <w:rPr>
          <w:sz w:val="22"/>
          <w:szCs w:val="22"/>
        </w:rPr>
        <w:t>ndeksi</w:t>
      </w:r>
      <w:r>
        <w:rPr>
          <w:sz w:val="22"/>
          <w:szCs w:val="22"/>
        </w:rPr>
        <w:t xml:space="preserve"> (SÜE) </w:t>
      </w:r>
      <w:r w:rsidR="00D544E8">
        <w:rPr>
          <w:sz w:val="22"/>
          <w:szCs w:val="22"/>
        </w:rPr>
        <w:t>Ağustos</w:t>
      </w:r>
      <w:r>
        <w:rPr>
          <w:sz w:val="22"/>
          <w:szCs w:val="22"/>
        </w:rPr>
        <w:t xml:space="preserve"> ayında bir önceki aya göre yüzde </w:t>
      </w:r>
      <w:r w:rsidR="002D44DC">
        <w:rPr>
          <w:sz w:val="22"/>
          <w:szCs w:val="22"/>
        </w:rPr>
        <w:t>1</w:t>
      </w:r>
      <w:r>
        <w:rPr>
          <w:sz w:val="22"/>
          <w:szCs w:val="22"/>
        </w:rPr>
        <w:t>,</w:t>
      </w:r>
      <w:r w:rsidR="00D544E8">
        <w:rPr>
          <w:sz w:val="22"/>
          <w:szCs w:val="22"/>
        </w:rPr>
        <w:t>4</w:t>
      </w:r>
      <w:r w:rsidR="002D44DC">
        <w:rPr>
          <w:sz w:val="22"/>
          <w:szCs w:val="22"/>
        </w:rPr>
        <w:t xml:space="preserve"> oranında</w:t>
      </w:r>
      <w:r>
        <w:rPr>
          <w:sz w:val="22"/>
          <w:szCs w:val="22"/>
        </w:rPr>
        <w:t xml:space="preserve"> </w:t>
      </w:r>
      <w:r w:rsidR="00D544E8">
        <w:rPr>
          <w:sz w:val="22"/>
          <w:szCs w:val="22"/>
        </w:rPr>
        <w:t>düştü</w:t>
      </w:r>
      <w:r>
        <w:rPr>
          <w:sz w:val="22"/>
          <w:szCs w:val="22"/>
        </w:rPr>
        <w:t>. İ</w:t>
      </w:r>
      <w:r w:rsidRPr="00A41035">
        <w:rPr>
          <w:sz w:val="22"/>
          <w:szCs w:val="22"/>
        </w:rPr>
        <w:t xml:space="preserve">hracat miktar endeksi yüzde </w:t>
      </w:r>
      <w:r w:rsidR="00D544E8">
        <w:rPr>
          <w:sz w:val="22"/>
          <w:szCs w:val="22"/>
        </w:rPr>
        <w:t>15</w:t>
      </w:r>
      <w:r w:rsidRPr="00A41035">
        <w:rPr>
          <w:sz w:val="22"/>
          <w:szCs w:val="22"/>
        </w:rPr>
        <w:t>,</w:t>
      </w:r>
      <w:r w:rsidR="002D44DC">
        <w:rPr>
          <w:sz w:val="22"/>
          <w:szCs w:val="22"/>
        </w:rPr>
        <w:t>0</w:t>
      </w:r>
      <w:r>
        <w:rPr>
          <w:sz w:val="22"/>
          <w:szCs w:val="22"/>
        </w:rPr>
        <w:t>,</w:t>
      </w:r>
      <w:r w:rsidRPr="00A41035">
        <w:rPr>
          <w:sz w:val="22"/>
          <w:szCs w:val="22"/>
        </w:rPr>
        <w:t xml:space="preserve"> ithalat miktar endeksi </w:t>
      </w:r>
      <w:r w:rsidR="002D44DC">
        <w:rPr>
          <w:sz w:val="22"/>
          <w:szCs w:val="22"/>
        </w:rPr>
        <w:t xml:space="preserve">ise </w:t>
      </w:r>
      <w:r w:rsidRPr="00A41035">
        <w:rPr>
          <w:sz w:val="22"/>
          <w:szCs w:val="22"/>
        </w:rPr>
        <w:t xml:space="preserve">yüzde </w:t>
      </w:r>
      <w:r w:rsidR="00D544E8">
        <w:rPr>
          <w:sz w:val="22"/>
          <w:szCs w:val="22"/>
        </w:rPr>
        <w:t>2</w:t>
      </w:r>
      <w:r w:rsidR="002D44DC">
        <w:rPr>
          <w:sz w:val="22"/>
          <w:szCs w:val="22"/>
        </w:rPr>
        <w:t>,</w:t>
      </w:r>
      <w:r w:rsidR="00D544E8">
        <w:rPr>
          <w:sz w:val="22"/>
          <w:szCs w:val="22"/>
        </w:rPr>
        <w:t>3</w:t>
      </w:r>
      <w:r>
        <w:rPr>
          <w:sz w:val="22"/>
          <w:szCs w:val="22"/>
        </w:rPr>
        <w:t xml:space="preserve"> oranında </w:t>
      </w:r>
      <w:r w:rsidR="00D544E8">
        <w:rPr>
          <w:sz w:val="22"/>
          <w:szCs w:val="22"/>
        </w:rPr>
        <w:t>azaldı</w:t>
      </w:r>
      <w:r w:rsidRPr="00A41035">
        <w:rPr>
          <w:sz w:val="22"/>
          <w:szCs w:val="22"/>
        </w:rPr>
        <w:t>.</w:t>
      </w:r>
      <w:r>
        <w:rPr>
          <w:sz w:val="22"/>
          <w:szCs w:val="22"/>
        </w:rPr>
        <w:t xml:space="preserve"> </w:t>
      </w:r>
      <w:r w:rsidR="00566E5E">
        <w:rPr>
          <w:sz w:val="22"/>
          <w:szCs w:val="22"/>
        </w:rPr>
        <w:t xml:space="preserve">İlk bakışta </w:t>
      </w:r>
      <w:r w:rsidR="00D544E8">
        <w:rPr>
          <w:sz w:val="22"/>
          <w:szCs w:val="22"/>
        </w:rPr>
        <w:t>Ağustos verileri olumsuz görünse</w:t>
      </w:r>
      <w:r w:rsidR="00566E5E">
        <w:rPr>
          <w:sz w:val="22"/>
          <w:szCs w:val="22"/>
        </w:rPr>
        <w:t xml:space="preserve"> de</w:t>
      </w:r>
      <w:r w:rsidR="00D544E8">
        <w:rPr>
          <w:sz w:val="22"/>
          <w:szCs w:val="22"/>
        </w:rPr>
        <w:t xml:space="preserve"> iki aylık </w:t>
      </w:r>
      <w:r w:rsidR="00566E5E">
        <w:rPr>
          <w:sz w:val="22"/>
          <w:szCs w:val="22"/>
        </w:rPr>
        <w:t>ortalamalara göre</w:t>
      </w:r>
      <w:r w:rsidR="00D544E8">
        <w:rPr>
          <w:sz w:val="22"/>
          <w:szCs w:val="22"/>
        </w:rPr>
        <w:t xml:space="preserve"> üçüncü çeyrekte büyüme </w:t>
      </w:r>
      <w:r w:rsidR="00566E5E">
        <w:rPr>
          <w:sz w:val="22"/>
          <w:szCs w:val="22"/>
        </w:rPr>
        <w:t>sinyalleri hala güçlü.</w:t>
      </w:r>
      <w:r w:rsidR="00D544E8">
        <w:rPr>
          <w:sz w:val="22"/>
          <w:szCs w:val="22"/>
        </w:rPr>
        <w:t xml:space="preserve">  Eylül ayında hem ihracat hem de sanayi üretiminde toparlanma bekliyoruz. Bu nedenle ü</w:t>
      </w:r>
      <w:r w:rsidR="002D44DC">
        <w:rPr>
          <w:sz w:val="22"/>
          <w:szCs w:val="22"/>
        </w:rPr>
        <w:t>çüncü çeyreğe il</w:t>
      </w:r>
      <w:r w:rsidR="00827412">
        <w:rPr>
          <w:sz w:val="22"/>
          <w:szCs w:val="22"/>
        </w:rPr>
        <w:t>i</w:t>
      </w:r>
      <w:r w:rsidR="002D44DC">
        <w:rPr>
          <w:sz w:val="22"/>
          <w:szCs w:val="22"/>
        </w:rPr>
        <w:t>şkin tahminimiz</w:t>
      </w:r>
      <w:r w:rsidR="00D544E8">
        <w:rPr>
          <w:sz w:val="22"/>
          <w:szCs w:val="22"/>
        </w:rPr>
        <w:t>i geçen ayki seviyesinde tutmaya devam ediyoruz.</w:t>
      </w:r>
      <w:r w:rsidR="002D44DC">
        <w:rPr>
          <w:sz w:val="22"/>
          <w:szCs w:val="22"/>
        </w:rPr>
        <w:t xml:space="preserve"> </w:t>
      </w:r>
      <w:r w:rsidR="00D544E8">
        <w:rPr>
          <w:sz w:val="22"/>
          <w:szCs w:val="22"/>
        </w:rPr>
        <w:t>Ekonominin b</w:t>
      </w:r>
      <w:r>
        <w:rPr>
          <w:sz w:val="22"/>
          <w:szCs w:val="22"/>
        </w:rPr>
        <w:t xml:space="preserve">ir önceki çeyreğe </w:t>
      </w:r>
      <w:r w:rsidR="002D44DC">
        <w:rPr>
          <w:sz w:val="22"/>
          <w:szCs w:val="22"/>
        </w:rPr>
        <w:t>göre</w:t>
      </w:r>
      <w:r>
        <w:rPr>
          <w:sz w:val="22"/>
          <w:szCs w:val="22"/>
        </w:rPr>
        <w:t xml:space="preserve"> yüzde 0,</w:t>
      </w:r>
      <w:r w:rsidR="002D44DC">
        <w:rPr>
          <w:sz w:val="22"/>
          <w:szCs w:val="22"/>
        </w:rPr>
        <w:t>6</w:t>
      </w:r>
      <w:r>
        <w:rPr>
          <w:sz w:val="22"/>
          <w:szCs w:val="22"/>
        </w:rPr>
        <w:t xml:space="preserve"> oranında </w:t>
      </w:r>
      <w:r w:rsidR="00D544E8">
        <w:rPr>
          <w:sz w:val="22"/>
          <w:szCs w:val="22"/>
        </w:rPr>
        <w:t>büyüyeceğini, b</w:t>
      </w:r>
      <w:r w:rsidR="00827412">
        <w:rPr>
          <w:sz w:val="22"/>
          <w:szCs w:val="22"/>
        </w:rPr>
        <w:t xml:space="preserve">uradan hareketle </w:t>
      </w:r>
      <w:r>
        <w:rPr>
          <w:sz w:val="22"/>
          <w:szCs w:val="22"/>
        </w:rPr>
        <w:t xml:space="preserve">önceki yılın aynı çeyreğine göre yıllık büyümenin yüzde </w:t>
      </w:r>
      <w:r w:rsidR="00827412">
        <w:rPr>
          <w:sz w:val="22"/>
          <w:szCs w:val="22"/>
        </w:rPr>
        <w:t>2</w:t>
      </w:r>
      <w:r>
        <w:rPr>
          <w:sz w:val="22"/>
          <w:szCs w:val="22"/>
        </w:rPr>
        <w:t>,</w:t>
      </w:r>
      <w:r w:rsidR="00BE261A">
        <w:rPr>
          <w:sz w:val="22"/>
          <w:szCs w:val="22"/>
        </w:rPr>
        <w:t>8</w:t>
      </w:r>
      <w:r>
        <w:rPr>
          <w:sz w:val="22"/>
          <w:szCs w:val="22"/>
        </w:rPr>
        <w:t xml:space="preserve"> olacağını tahmin ediyoruz. </w:t>
      </w:r>
    </w:p>
    <w:p w:rsidR="00C777D3" w:rsidRDefault="00C777D3" w:rsidP="00C777D3">
      <w:pPr>
        <w:spacing w:line="360" w:lineRule="auto"/>
        <w:ind w:left="-360" w:right="40"/>
        <w:jc w:val="both"/>
        <w:rPr>
          <w:sz w:val="22"/>
          <w:szCs w:val="22"/>
        </w:rPr>
      </w:pPr>
    </w:p>
    <w:p w:rsidR="00C777D3" w:rsidRDefault="008C508A" w:rsidP="00C777D3">
      <w:pPr>
        <w:spacing w:line="360" w:lineRule="auto"/>
        <w:ind w:left="-360" w:right="40"/>
        <w:jc w:val="both"/>
        <w:rPr>
          <w:sz w:val="22"/>
          <w:szCs w:val="22"/>
        </w:rPr>
      </w:pPr>
      <w:r>
        <w:rPr>
          <w:sz w:val="22"/>
          <w:szCs w:val="22"/>
        </w:rPr>
        <w:t>Ağustos ayı</w:t>
      </w:r>
      <w:r w:rsidR="00C777D3">
        <w:rPr>
          <w:sz w:val="22"/>
          <w:szCs w:val="22"/>
        </w:rPr>
        <w:t xml:space="preserve"> cari açığı </w:t>
      </w:r>
      <w:r w:rsidR="00717C4C">
        <w:rPr>
          <w:sz w:val="22"/>
          <w:szCs w:val="22"/>
        </w:rPr>
        <w:t>2</w:t>
      </w:r>
      <w:r w:rsidR="00C777D3">
        <w:rPr>
          <w:sz w:val="22"/>
          <w:szCs w:val="22"/>
        </w:rPr>
        <w:t>,</w:t>
      </w:r>
      <w:r w:rsidR="006E68A1">
        <w:rPr>
          <w:sz w:val="22"/>
          <w:szCs w:val="22"/>
        </w:rPr>
        <w:t>8</w:t>
      </w:r>
      <w:r w:rsidR="00C777D3">
        <w:rPr>
          <w:sz w:val="22"/>
          <w:szCs w:val="22"/>
        </w:rPr>
        <w:t xml:space="preserve"> milyar dolar olarak açıklandı. 12 aylık cari açık toplamı, geçen aya kıyasla, </w:t>
      </w:r>
      <w:r w:rsidR="00566E5E">
        <w:rPr>
          <w:sz w:val="22"/>
          <w:szCs w:val="22"/>
        </w:rPr>
        <w:t>küçük bir miktar (</w:t>
      </w:r>
      <w:r w:rsidR="006E68A1">
        <w:rPr>
          <w:sz w:val="22"/>
          <w:szCs w:val="22"/>
        </w:rPr>
        <w:t>0</w:t>
      </w:r>
      <w:r w:rsidR="00C777D3">
        <w:rPr>
          <w:sz w:val="22"/>
          <w:szCs w:val="22"/>
        </w:rPr>
        <w:t>,</w:t>
      </w:r>
      <w:r w:rsidR="006E68A1">
        <w:rPr>
          <w:sz w:val="22"/>
          <w:szCs w:val="22"/>
        </w:rPr>
        <w:t>4</w:t>
      </w:r>
      <w:r w:rsidR="00C777D3">
        <w:rPr>
          <w:sz w:val="22"/>
          <w:szCs w:val="22"/>
        </w:rPr>
        <w:t xml:space="preserve"> milyar dolar</w:t>
      </w:r>
      <w:r w:rsidR="00566E5E">
        <w:rPr>
          <w:sz w:val="22"/>
          <w:szCs w:val="22"/>
        </w:rPr>
        <w:t>)</w:t>
      </w:r>
      <w:r w:rsidR="00C777D3">
        <w:rPr>
          <w:sz w:val="22"/>
          <w:szCs w:val="22"/>
        </w:rPr>
        <w:t xml:space="preserve"> </w:t>
      </w:r>
      <w:r w:rsidR="006E68A1">
        <w:rPr>
          <w:sz w:val="22"/>
          <w:szCs w:val="22"/>
        </w:rPr>
        <w:t>artarak</w:t>
      </w:r>
      <w:r w:rsidR="00C777D3">
        <w:rPr>
          <w:sz w:val="22"/>
          <w:szCs w:val="22"/>
        </w:rPr>
        <w:t xml:space="preserve"> </w:t>
      </w:r>
      <w:r w:rsidR="00717C4C">
        <w:rPr>
          <w:sz w:val="22"/>
          <w:szCs w:val="22"/>
        </w:rPr>
        <w:t>48</w:t>
      </w:r>
      <w:r w:rsidR="00C777D3">
        <w:rPr>
          <w:sz w:val="22"/>
          <w:szCs w:val="22"/>
        </w:rPr>
        <w:t>,</w:t>
      </w:r>
      <w:r w:rsidR="006E68A1">
        <w:rPr>
          <w:sz w:val="22"/>
          <w:szCs w:val="22"/>
        </w:rPr>
        <w:t>9</w:t>
      </w:r>
      <w:r w:rsidR="00C777D3">
        <w:rPr>
          <w:sz w:val="22"/>
          <w:szCs w:val="22"/>
        </w:rPr>
        <w:t xml:space="preserve"> milyar dolar o</w:t>
      </w:r>
      <w:r w:rsidR="00717C4C">
        <w:rPr>
          <w:sz w:val="22"/>
          <w:szCs w:val="22"/>
        </w:rPr>
        <w:t xml:space="preserve">ldu. Cari açığın </w:t>
      </w:r>
      <w:proofErr w:type="spellStart"/>
      <w:r w:rsidR="00717C4C">
        <w:rPr>
          <w:sz w:val="22"/>
          <w:szCs w:val="22"/>
        </w:rPr>
        <w:t>GSYH’a</w:t>
      </w:r>
      <w:proofErr w:type="spellEnd"/>
      <w:r w:rsidR="00717C4C">
        <w:rPr>
          <w:sz w:val="22"/>
          <w:szCs w:val="22"/>
        </w:rPr>
        <w:t xml:space="preserve"> oranı</w:t>
      </w:r>
      <w:r w:rsidR="00C777D3">
        <w:rPr>
          <w:sz w:val="22"/>
          <w:szCs w:val="22"/>
        </w:rPr>
        <w:t xml:space="preserve"> </w:t>
      </w:r>
      <w:r w:rsidR="006522C9">
        <w:rPr>
          <w:sz w:val="22"/>
          <w:szCs w:val="22"/>
        </w:rPr>
        <w:t>ikinci</w:t>
      </w:r>
      <w:bookmarkStart w:id="0" w:name="_GoBack"/>
      <w:bookmarkEnd w:id="0"/>
      <w:r w:rsidR="00C777D3">
        <w:rPr>
          <w:sz w:val="22"/>
          <w:szCs w:val="22"/>
        </w:rPr>
        <w:t xml:space="preserve"> çeyrek sonunda yüzde </w:t>
      </w:r>
      <w:r w:rsidR="00717C4C">
        <w:rPr>
          <w:sz w:val="22"/>
          <w:szCs w:val="22"/>
        </w:rPr>
        <w:t>6,5 olarak gerçekleşmişti.</w:t>
      </w:r>
      <w:r w:rsidR="00C777D3">
        <w:rPr>
          <w:sz w:val="22"/>
          <w:szCs w:val="22"/>
        </w:rPr>
        <w:t xml:space="preserve"> </w:t>
      </w:r>
      <w:r w:rsidR="00717C4C">
        <w:rPr>
          <w:sz w:val="22"/>
          <w:szCs w:val="22"/>
        </w:rPr>
        <w:t>Üçüncü</w:t>
      </w:r>
      <w:r w:rsidR="00C777D3">
        <w:rPr>
          <w:sz w:val="22"/>
          <w:szCs w:val="22"/>
        </w:rPr>
        <w:t xml:space="preserve"> çeyrek sonunda </w:t>
      </w:r>
      <w:r w:rsidR="00717C4C">
        <w:rPr>
          <w:sz w:val="22"/>
          <w:szCs w:val="22"/>
        </w:rPr>
        <w:t xml:space="preserve">bu oranın </w:t>
      </w:r>
      <w:r w:rsidR="00C777D3">
        <w:rPr>
          <w:sz w:val="22"/>
          <w:szCs w:val="22"/>
        </w:rPr>
        <w:t>yüzde 6,</w:t>
      </w:r>
      <w:r w:rsidR="006E68A1">
        <w:rPr>
          <w:sz w:val="22"/>
          <w:szCs w:val="22"/>
        </w:rPr>
        <w:t>2</w:t>
      </w:r>
      <w:r w:rsidR="00732BA5">
        <w:rPr>
          <w:sz w:val="22"/>
          <w:szCs w:val="22"/>
        </w:rPr>
        <w:t>'</w:t>
      </w:r>
      <w:r w:rsidR="006E68A1">
        <w:rPr>
          <w:sz w:val="22"/>
          <w:szCs w:val="22"/>
        </w:rPr>
        <w:t>y</w:t>
      </w:r>
      <w:r w:rsidR="00717C4C">
        <w:rPr>
          <w:sz w:val="22"/>
          <w:szCs w:val="22"/>
        </w:rPr>
        <w:t>e</w:t>
      </w:r>
      <w:r w:rsidR="00C777D3">
        <w:rPr>
          <w:sz w:val="22"/>
          <w:szCs w:val="22"/>
        </w:rPr>
        <w:t xml:space="preserve"> düşmesini bekliyoruz. Altın hari</w:t>
      </w:r>
      <w:r w:rsidR="00732BA5">
        <w:rPr>
          <w:sz w:val="22"/>
          <w:szCs w:val="22"/>
        </w:rPr>
        <w:t>ç cari açık oranının ise yüzde 5</w:t>
      </w:r>
      <w:r w:rsidR="00C777D3">
        <w:rPr>
          <w:sz w:val="22"/>
          <w:szCs w:val="22"/>
        </w:rPr>
        <w:t>,</w:t>
      </w:r>
      <w:r w:rsidR="00732BA5">
        <w:rPr>
          <w:sz w:val="22"/>
          <w:szCs w:val="22"/>
        </w:rPr>
        <w:t>9</w:t>
      </w:r>
      <w:r w:rsidR="00C777D3">
        <w:rPr>
          <w:sz w:val="22"/>
          <w:szCs w:val="22"/>
        </w:rPr>
        <w:t>'d</w:t>
      </w:r>
      <w:r w:rsidR="00732BA5">
        <w:rPr>
          <w:sz w:val="22"/>
          <w:szCs w:val="22"/>
        </w:rPr>
        <w:t>a</w:t>
      </w:r>
      <w:r w:rsidR="00C777D3">
        <w:rPr>
          <w:sz w:val="22"/>
          <w:szCs w:val="22"/>
        </w:rPr>
        <w:t>n yüzde 5,</w:t>
      </w:r>
      <w:r w:rsidR="006E68A1">
        <w:rPr>
          <w:sz w:val="22"/>
          <w:szCs w:val="22"/>
        </w:rPr>
        <w:t>8</w:t>
      </w:r>
      <w:r w:rsidR="00732BA5">
        <w:rPr>
          <w:sz w:val="22"/>
          <w:szCs w:val="22"/>
        </w:rPr>
        <w:t>'e</w:t>
      </w:r>
      <w:r w:rsidR="00C777D3">
        <w:rPr>
          <w:sz w:val="22"/>
          <w:szCs w:val="22"/>
        </w:rPr>
        <w:t xml:space="preserve"> ineceğini tahmin ediyoruz.</w:t>
      </w:r>
    </w:p>
    <w:p w:rsidR="00E65102" w:rsidRDefault="006E668E" w:rsidP="00E65102">
      <w:pPr>
        <w:spacing w:line="288" w:lineRule="auto"/>
        <w:ind w:right="-318"/>
        <w:jc w:val="both"/>
        <w:rPr>
          <w:rFonts w:ascii="Arial" w:hAnsi="Arial" w:cs="Arial"/>
          <w:sz w:val="16"/>
          <w:szCs w:val="16"/>
        </w:rPr>
      </w:pPr>
      <w:r w:rsidRPr="006E668E">
        <w:rPr>
          <w:noProof/>
        </w:rPr>
        <w:pict>
          <v:line id="Line 11" o:spid="_x0000_s1030" style="position:absolute;left:0;text-align:left;z-index:251666432;visibility:visibl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5FQIAACs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fk6D+RUCAAArBAAADgAAAAAAAAAAAAAAAAAuAgAAZHJzL2Uyb0RvYy54bWxQSwECLQAUAAYACAAA&#10;ACEA+QGAlN0AAAAJAQAADwAAAAAAAAAAAAAAAABvBAAAZHJzL2Rvd25yZXYueG1sUEsFBgAAAAAE&#10;AAQA8wAAAHkFAAAAAA==&#10;"/>
        </w:pict>
      </w:r>
      <w:r>
        <w:rPr>
          <w:rFonts w:ascii="Arial" w:hAnsi="Arial" w:cs="Arial"/>
          <w:noProof/>
          <w:sz w:val="16"/>
          <w:szCs w:val="16"/>
        </w:rPr>
      </w:r>
      <w:r>
        <w:rPr>
          <w:rFonts w:ascii="Arial" w:hAnsi="Arial" w:cs="Arial"/>
          <w:noProof/>
          <w:sz w:val="16"/>
          <w:szCs w:val="16"/>
        </w:rPr>
        <w:pict>
          <v:group id="Canvas 9" o:spid="_x0000_s1028"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457;visibility:visible">
              <v:fill o:detectmouseclick="t"/>
              <v:path o:connecttype="none"/>
            </v:shape>
            <w10:wrap type="none"/>
            <w10:anchorlock/>
          </v:group>
        </w:pict>
      </w:r>
    </w:p>
    <w:p w:rsidR="00E65102" w:rsidRPr="00BB6BD3" w:rsidRDefault="00E65102" w:rsidP="00E65102">
      <w:pPr>
        <w:spacing w:line="288" w:lineRule="auto"/>
        <w:ind w:left="-360" w:right="-318"/>
        <w:jc w:val="both"/>
        <w:rPr>
          <w:sz w:val="16"/>
          <w:szCs w:val="16"/>
        </w:rPr>
      </w:pPr>
      <w:r w:rsidRPr="00BB6BD3">
        <w:rPr>
          <w:sz w:val="16"/>
          <w:szCs w:val="16"/>
        </w:rPr>
        <w:t>* Dr. Zümrüt İmamoğlu, Betam, Uzman Araştırmacı.</w:t>
      </w:r>
    </w:p>
    <w:p w:rsidR="00E65102" w:rsidRPr="00BB6BD3" w:rsidRDefault="006E668E" w:rsidP="00E65102">
      <w:pPr>
        <w:spacing w:line="288" w:lineRule="auto"/>
        <w:ind w:left="-360" w:right="-318"/>
        <w:jc w:val="both"/>
        <w:rPr>
          <w:sz w:val="16"/>
          <w:szCs w:val="16"/>
          <w:vertAlign w:val="superscript"/>
        </w:rPr>
      </w:pPr>
      <w:hyperlink r:id="rId10" w:history="1">
        <w:r w:rsidR="00E65102" w:rsidRPr="00BB6BD3">
          <w:rPr>
            <w:rStyle w:val="Hyperlink"/>
            <w:sz w:val="16"/>
            <w:szCs w:val="16"/>
          </w:rPr>
          <w:t>zumrut.imamoglu@</w:t>
        </w:r>
        <w:r w:rsidR="00136362">
          <w:rPr>
            <w:rStyle w:val="Hyperlink"/>
            <w:sz w:val="16"/>
            <w:szCs w:val="16"/>
          </w:rPr>
          <w:t>eas.</w:t>
        </w:r>
        <w:r w:rsidR="00E65102" w:rsidRPr="00BB6BD3">
          <w:rPr>
            <w:rStyle w:val="Hyperlink"/>
            <w:sz w:val="16"/>
            <w:szCs w:val="16"/>
          </w:rPr>
          <w:t>bahcesehir.edu.tr</w:t>
        </w:r>
      </w:hyperlink>
    </w:p>
    <w:p w:rsidR="00E65102" w:rsidRPr="00BB6BD3" w:rsidRDefault="00E65102" w:rsidP="00E65102">
      <w:pPr>
        <w:spacing w:line="288" w:lineRule="auto"/>
        <w:ind w:left="-360" w:right="-318"/>
        <w:jc w:val="both"/>
        <w:rPr>
          <w:sz w:val="16"/>
          <w:szCs w:val="16"/>
        </w:rPr>
      </w:pPr>
      <w:r w:rsidRPr="00BB6BD3">
        <w:rPr>
          <w:sz w:val="16"/>
          <w:szCs w:val="16"/>
        </w:rPr>
        <w:t xml:space="preserve">** Barış </w:t>
      </w:r>
      <w:proofErr w:type="spellStart"/>
      <w:r w:rsidRPr="00BB6BD3">
        <w:rPr>
          <w:sz w:val="16"/>
          <w:szCs w:val="16"/>
        </w:rPr>
        <w:t>Soybilgen</w:t>
      </w:r>
      <w:proofErr w:type="spellEnd"/>
      <w:r w:rsidRPr="00BB6BD3">
        <w:rPr>
          <w:sz w:val="16"/>
          <w:szCs w:val="16"/>
        </w:rPr>
        <w:t>, Betam, Araştırma Görevlisi</w:t>
      </w:r>
    </w:p>
    <w:p w:rsidR="00E65102" w:rsidRPr="00BB6BD3" w:rsidRDefault="006E668E" w:rsidP="00E65102">
      <w:pPr>
        <w:ind w:left="-360"/>
        <w:rPr>
          <w:sz w:val="16"/>
          <w:szCs w:val="16"/>
        </w:rPr>
      </w:pPr>
      <w:hyperlink r:id="rId11" w:history="1">
        <w:r w:rsidR="00E65102" w:rsidRPr="00BB6BD3">
          <w:rPr>
            <w:rStyle w:val="Hyperlink"/>
            <w:sz w:val="16"/>
            <w:szCs w:val="16"/>
          </w:rPr>
          <w:t>baris.soybilgen@</w:t>
        </w:r>
        <w:r w:rsidR="00136362">
          <w:rPr>
            <w:rStyle w:val="Hyperlink"/>
            <w:sz w:val="16"/>
            <w:szCs w:val="16"/>
          </w:rPr>
          <w:t>eas.</w:t>
        </w:r>
        <w:r w:rsidR="00E65102" w:rsidRPr="00BB6BD3">
          <w:rPr>
            <w:rStyle w:val="Hyperlink"/>
            <w:sz w:val="16"/>
            <w:szCs w:val="16"/>
          </w:rPr>
          <w:t>bahcesehir.edu.tr</w:t>
        </w:r>
      </w:hyperlink>
    </w:p>
    <w:p w:rsidR="00E65102" w:rsidRDefault="00E65102" w:rsidP="00E65102">
      <w:pPr>
        <w:ind w:right="42"/>
        <w:rPr>
          <w:b/>
          <w:bCs/>
          <w:sz w:val="22"/>
          <w:szCs w:val="22"/>
        </w:rPr>
      </w:pPr>
    </w:p>
    <w:p w:rsidR="00E65102" w:rsidRPr="004A7FE6" w:rsidRDefault="00E65102" w:rsidP="00E65102">
      <w:pPr>
        <w:outlineLvl w:val="0"/>
        <w:rPr>
          <w:b/>
          <w:bCs/>
          <w:sz w:val="22"/>
          <w:szCs w:val="22"/>
        </w:rPr>
      </w:pPr>
      <w:r>
        <w:rPr>
          <w:b/>
          <w:bCs/>
          <w:sz w:val="22"/>
          <w:szCs w:val="22"/>
        </w:rPr>
        <w:t xml:space="preserve">Tablo 1. </w:t>
      </w:r>
      <w:proofErr w:type="spellStart"/>
      <w:r w:rsidRPr="008C6E50">
        <w:rPr>
          <w:b/>
          <w:bCs/>
          <w:sz w:val="22"/>
          <w:szCs w:val="22"/>
        </w:rPr>
        <w:t>B</w:t>
      </w:r>
      <w:r>
        <w:rPr>
          <w:b/>
          <w:bCs/>
          <w:sz w:val="22"/>
          <w:szCs w:val="22"/>
        </w:rPr>
        <w:t>etam</w:t>
      </w:r>
      <w:r w:rsidRPr="008C6E50">
        <w:rPr>
          <w:b/>
          <w:bCs/>
          <w:sz w:val="22"/>
          <w:szCs w:val="22"/>
        </w:rPr>
        <w:t>’ın</w:t>
      </w:r>
      <w:proofErr w:type="spellEnd"/>
      <w:r w:rsidRPr="008C6E50">
        <w:rPr>
          <w:b/>
          <w:bCs/>
          <w:sz w:val="22"/>
          <w:szCs w:val="22"/>
        </w:rPr>
        <w:t xml:space="preserve"> GSYH ve Cari Açık Tahminleri</w:t>
      </w:r>
    </w:p>
    <w:tbl>
      <w:tblPr>
        <w:tblpPr w:leftFromText="141" w:rightFromText="141" w:vertAnchor="text" w:horzAnchor="margin" w:tblpXSpec="right" w:tblpY="129"/>
        <w:tblW w:w="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5"/>
        <w:gridCol w:w="1362"/>
      </w:tblGrid>
      <w:tr w:rsidR="00E65102" w:rsidRPr="003118F7" w:rsidTr="00F646BA">
        <w:trPr>
          <w:trHeight w:val="986"/>
        </w:trPr>
        <w:tc>
          <w:tcPr>
            <w:tcW w:w="3185" w:type="dxa"/>
            <w:tcMar>
              <w:left w:w="28" w:type="dxa"/>
              <w:right w:w="28" w:type="dxa"/>
            </w:tcMar>
            <w:vAlign w:val="center"/>
          </w:tcPr>
          <w:p w:rsidR="00E65102" w:rsidRPr="00180C8C" w:rsidRDefault="00E65102" w:rsidP="00F646BA">
            <w:pPr>
              <w:ind w:right="42"/>
              <w:jc w:val="center"/>
              <w:rPr>
                <w:sz w:val="20"/>
                <w:szCs w:val="20"/>
              </w:rPr>
            </w:pPr>
          </w:p>
        </w:tc>
        <w:tc>
          <w:tcPr>
            <w:tcW w:w="1362" w:type="dxa"/>
            <w:vAlign w:val="center"/>
          </w:tcPr>
          <w:p w:rsidR="00E65102" w:rsidRPr="00180C8C" w:rsidRDefault="00E65102" w:rsidP="00F646BA">
            <w:pPr>
              <w:ind w:right="40"/>
              <w:jc w:val="center"/>
              <w:rPr>
                <w:b/>
                <w:bCs/>
                <w:sz w:val="20"/>
                <w:szCs w:val="20"/>
              </w:rPr>
            </w:pPr>
            <w:r w:rsidRPr="00180C8C">
              <w:rPr>
                <w:b/>
                <w:bCs/>
                <w:sz w:val="20"/>
                <w:szCs w:val="20"/>
              </w:rPr>
              <w:t>201</w:t>
            </w:r>
            <w:r>
              <w:rPr>
                <w:b/>
                <w:bCs/>
                <w:sz w:val="20"/>
                <w:szCs w:val="20"/>
              </w:rPr>
              <w:t>4</w:t>
            </w:r>
          </w:p>
          <w:p w:rsidR="00E65102" w:rsidRPr="00180C8C" w:rsidRDefault="00A54A86" w:rsidP="00F646BA">
            <w:pPr>
              <w:ind w:right="40"/>
              <w:jc w:val="center"/>
              <w:rPr>
                <w:b/>
                <w:bCs/>
                <w:sz w:val="20"/>
                <w:szCs w:val="20"/>
              </w:rPr>
            </w:pPr>
            <w:r>
              <w:rPr>
                <w:b/>
                <w:bCs/>
                <w:sz w:val="20"/>
                <w:szCs w:val="20"/>
              </w:rPr>
              <w:t>3</w:t>
            </w:r>
            <w:r w:rsidR="00E65102" w:rsidRPr="00180C8C">
              <w:rPr>
                <w:b/>
                <w:bCs/>
                <w:sz w:val="20"/>
                <w:szCs w:val="20"/>
              </w:rPr>
              <w:t>. Çeyrek</w:t>
            </w:r>
          </w:p>
          <w:p w:rsidR="00E65102" w:rsidRDefault="00E65102" w:rsidP="00F646BA">
            <w:pPr>
              <w:ind w:right="40"/>
              <w:jc w:val="center"/>
              <w:rPr>
                <w:b/>
                <w:bCs/>
                <w:sz w:val="20"/>
                <w:szCs w:val="20"/>
              </w:rPr>
            </w:pPr>
            <w:r w:rsidRPr="00180C8C">
              <w:rPr>
                <w:b/>
                <w:bCs/>
                <w:sz w:val="20"/>
                <w:szCs w:val="20"/>
              </w:rPr>
              <w:t>Tahmin</w:t>
            </w:r>
          </w:p>
          <w:p w:rsidR="00E65102" w:rsidRPr="00180C8C" w:rsidRDefault="00E65102" w:rsidP="00F646BA">
            <w:pPr>
              <w:ind w:right="40"/>
              <w:jc w:val="center"/>
              <w:rPr>
                <w:b/>
                <w:bCs/>
                <w:sz w:val="20"/>
                <w:szCs w:val="20"/>
              </w:rPr>
            </w:pPr>
            <w:r>
              <w:rPr>
                <w:b/>
                <w:bCs/>
                <w:sz w:val="20"/>
                <w:szCs w:val="20"/>
              </w:rPr>
              <w:t>(%)</w:t>
            </w:r>
          </w:p>
        </w:tc>
      </w:tr>
      <w:tr w:rsidR="00E65102" w:rsidRPr="003118F7" w:rsidTr="00F646BA">
        <w:trPr>
          <w:trHeight w:val="771"/>
        </w:trPr>
        <w:tc>
          <w:tcPr>
            <w:tcW w:w="3185" w:type="dxa"/>
            <w:tcMar>
              <w:left w:w="28" w:type="dxa"/>
              <w:right w:w="28" w:type="dxa"/>
            </w:tcMar>
            <w:vAlign w:val="center"/>
          </w:tcPr>
          <w:p w:rsidR="00E65102" w:rsidRPr="00180C8C" w:rsidRDefault="00E65102" w:rsidP="00F646BA">
            <w:pPr>
              <w:ind w:right="42"/>
              <w:rPr>
                <w:sz w:val="20"/>
                <w:szCs w:val="20"/>
              </w:rPr>
            </w:pPr>
            <w:r w:rsidRPr="00180C8C">
              <w:rPr>
                <w:sz w:val="20"/>
                <w:szCs w:val="20"/>
              </w:rPr>
              <w:t>GSYH büyüme, reel</w:t>
            </w:r>
          </w:p>
          <w:p w:rsidR="00E65102" w:rsidRPr="00180C8C" w:rsidRDefault="00E65102" w:rsidP="00F646BA">
            <w:pPr>
              <w:ind w:right="42"/>
              <w:rPr>
                <w:sz w:val="20"/>
                <w:szCs w:val="20"/>
              </w:rPr>
            </w:pPr>
            <w:r w:rsidRPr="00180C8C">
              <w:rPr>
                <w:sz w:val="20"/>
                <w:szCs w:val="20"/>
              </w:rPr>
              <w:t xml:space="preserve">(bir önceki çeyreğe göre, </w:t>
            </w:r>
            <w:proofErr w:type="spellStart"/>
            <w:r w:rsidRPr="00180C8C">
              <w:rPr>
                <w:sz w:val="20"/>
                <w:szCs w:val="20"/>
              </w:rPr>
              <w:t>mea</w:t>
            </w:r>
            <w:proofErr w:type="spellEnd"/>
            <w:r w:rsidRPr="00180C8C">
              <w:rPr>
                <w:sz w:val="20"/>
                <w:szCs w:val="20"/>
              </w:rPr>
              <w:t>*)</w:t>
            </w:r>
          </w:p>
        </w:tc>
        <w:tc>
          <w:tcPr>
            <w:tcW w:w="1362" w:type="dxa"/>
            <w:vAlign w:val="center"/>
          </w:tcPr>
          <w:p w:rsidR="00E65102" w:rsidRPr="00180C8C" w:rsidRDefault="00E65102" w:rsidP="00D26E74">
            <w:pPr>
              <w:ind w:right="42"/>
              <w:jc w:val="center"/>
              <w:rPr>
                <w:sz w:val="20"/>
                <w:szCs w:val="20"/>
              </w:rPr>
            </w:pPr>
            <w:r w:rsidRPr="00180C8C">
              <w:rPr>
                <w:sz w:val="20"/>
                <w:szCs w:val="20"/>
              </w:rPr>
              <w:t>0,</w:t>
            </w:r>
            <w:r w:rsidR="00413AFE">
              <w:rPr>
                <w:sz w:val="20"/>
                <w:szCs w:val="20"/>
              </w:rPr>
              <w:t>6</w:t>
            </w:r>
          </w:p>
        </w:tc>
      </w:tr>
      <w:tr w:rsidR="00E65102" w:rsidRPr="003118F7" w:rsidTr="00F646BA">
        <w:trPr>
          <w:trHeight w:val="756"/>
        </w:trPr>
        <w:tc>
          <w:tcPr>
            <w:tcW w:w="3185" w:type="dxa"/>
            <w:tcMar>
              <w:left w:w="28" w:type="dxa"/>
              <w:right w:w="28" w:type="dxa"/>
            </w:tcMar>
            <w:vAlign w:val="center"/>
          </w:tcPr>
          <w:p w:rsidR="00E65102" w:rsidRPr="00180C8C" w:rsidRDefault="00E65102" w:rsidP="00F646BA">
            <w:pPr>
              <w:ind w:right="42"/>
              <w:rPr>
                <w:sz w:val="20"/>
                <w:szCs w:val="20"/>
              </w:rPr>
            </w:pPr>
            <w:r w:rsidRPr="00180C8C">
              <w:rPr>
                <w:sz w:val="20"/>
                <w:szCs w:val="20"/>
              </w:rPr>
              <w:t xml:space="preserve">GSYH büyüme, reel (geçen yılın aynı çeyreğine göre, </w:t>
            </w:r>
            <w:proofErr w:type="spellStart"/>
            <w:r w:rsidRPr="00180C8C">
              <w:rPr>
                <w:sz w:val="20"/>
                <w:szCs w:val="20"/>
              </w:rPr>
              <w:t>tea</w:t>
            </w:r>
            <w:proofErr w:type="spellEnd"/>
            <w:r w:rsidRPr="00180C8C">
              <w:rPr>
                <w:sz w:val="20"/>
                <w:szCs w:val="20"/>
              </w:rPr>
              <w:t>**)</w:t>
            </w:r>
          </w:p>
        </w:tc>
        <w:tc>
          <w:tcPr>
            <w:tcW w:w="1362" w:type="dxa"/>
            <w:vAlign w:val="center"/>
          </w:tcPr>
          <w:p w:rsidR="00E65102" w:rsidRPr="00180C8C" w:rsidRDefault="00D26E74" w:rsidP="00D26E74">
            <w:pPr>
              <w:ind w:right="42"/>
              <w:jc w:val="center"/>
              <w:rPr>
                <w:sz w:val="20"/>
                <w:szCs w:val="20"/>
              </w:rPr>
            </w:pPr>
            <w:r>
              <w:rPr>
                <w:sz w:val="20"/>
                <w:szCs w:val="20"/>
              </w:rPr>
              <w:t>2</w:t>
            </w:r>
            <w:r w:rsidR="00E65102" w:rsidRPr="00180C8C">
              <w:rPr>
                <w:sz w:val="20"/>
                <w:szCs w:val="20"/>
              </w:rPr>
              <w:t>,</w:t>
            </w:r>
            <w:r w:rsidR="00413AFE">
              <w:rPr>
                <w:sz w:val="20"/>
                <w:szCs w:val="20"/>
              </w:rPr>
              <w:t>8</w:t>
            </w:r>
          </w:p>
        </w:tc>
      </w:tr>
      <w:tr w:rsidR="00E65102" w:rsidRPr="003118F7" w:rsidTr="00F646BA">
        <w:trPr>
          <w:trHeight w:val="583"/>
        </w:trPr>
        <w:tc>
          <w:tcPr>
            <w:tcW w:w="3185" w:type="dxa"/>
            <w:tcMar>
              <w:left w:w="28" w:type="dxa"/>
              <w:right w:w="28" w:type="dxa"/>
            </w:tcMar>
            <w:vAlign w:val="center"/>
          </w:tcPr>
          <w:p w:rsidR="00E65102" w:rsidRPr="00180C8C" w:rsidRDefault="00E65102" w:rsidP="00F646BA">
            <w:pPr>
              <w:ind w:right="40"/>
              <w:rPr>
                <w:sz w:val="20"/>
                <w:szCs w:val="20"/>
              </w:rPr>
            </w:pPr>
            <w:r>
              <w:rPr>
                <w:sz w:val="20"/>
                <w:szCs w:val="20"/>
              </w:rPr>
              <w:t>Cari a</w:t>
            </w:r>
            <w:r w:rsidRPr="00180C8C">
              <w:rPr>
                <w:sz w:val="20"/>
                <w:szCs w:val="20"/>
              </w:rPr>
              <w:t>çık (yıllık)</w:t>
            </w:r>
          </w:p>
        </w:tc>
        <w:tc>
          <w:tcPr>
            <w:tcW w:w="1362" w:type="dxa"/>
            <w:vAlign w:val="center"/>
          </w:tcPr>
          <w:p w:rsidR="00E65102" w:rsidRPr="00180C8C" w:rsidRDefault="00E65102" w:rsidP="006707E3">
            <w:pPr>
              <w:ind w:right="40"/>
              <w:jc w:val="center"/>
              <w:rPr>
                <w:sz w:val="20"/>
                <w:szCs w:val="20"/>
              </w:rPr>
            </w:pPr>
            <w:r>
              <w:rPr>
                <w:sz w:val="20"/>
                <w:szCs w:val="20"/>
              </w:rPr>
              <w:t>6</w:t>
            </w:r>
            <w:r w:rsidRPr="00180C8C">
              <w:rPr>
                <w:sz w:val="20"/>
                <w:szCs w:val="20"/>
              </w:rPr>
              <w:t>,</w:t>
            </w:r>
            <w:r w:rsidR="002173B9">
              <w:rPr>
                <w:sz w:val="20"/>
                <w:szCs w:val="20"/>
              </w:rPr>
              <w:t>2</w:t>
            </w:r>
          </w:p>
        </w:tc>
      </w:tr>
      <w:tr w:rsidR="00E65102" w:rsidRPr="003118F7" w:rsidTr="00F646BA">
        <w:trPr>
          <w:trHeight w:val="583"/>
        </w:trPr>
        <w:tc>
          <w:tcPr>
            <w:tcW w:w="3185" w:type="dxa"/>
            <w:tcMar>
              <w:left w:w="28" w:type="dxa"/>
              <w:right w:w="28" w:type="dxa"/>
            </w:tcMar>
            <w:vAlign w:val="center"/>
          </w:tcPr>
          <w:p w:rsidR="00E65102" w:rsidRPr="00180C8C" w:rsidRDefault="00E65102" w:rsidP="00F646BA">
            <w:pPr>
              <w:ind w:right="40"/>
              <w:rPr>
                <w:sz w:val="20"/>
                <w:szCs w:val="20"/>
              </w:rPr>
            </w:pPr>
            <w:r>
              <w:rPr>
                <w:sz w:val="20"/>
                <w:szCs w:val="20"/>
              </w:rPr>
              <w:t>Altın hariç cari açık (yıllık)</w:t>
            </w:r>
          </w:p>
        </w:tc>
        <w:tc>
          <w:tcPr>
            <w:tcW w:w="1362" w:type="dxa"/>
            <w:vAlign w:val="center"/>
          </w:tcPr>
          <w:p w:rsidR="00E65102" w:rsidRPr="00180C8C" w:rsidRDefault="00E65102" w:rsidP="00732BA5">
            <w:pPr>
              <w:ind w:right="40"/>
              <w:jc w:val="center"/>
              <w:rPr>
                <w:sz w:val="20"/>
                <w:szCs w:val="20"/>
              </w:rPr>
            </w:pPr>
            <w:r>
              <w:rPr>
                <w:sz w:val="20"/>
                <w:szCs w:val="20"/>
              </w:rPr>
              <w:t>5,</w:t>
            </w:r>
            <w:r w:rsidR="002173B9">
              <w:rPr>
                <w:sz w:val="20"/>
                <w:szCs w:val="20"/>
              </w:rPr>
              <w:t>8</w:t>
            </w:r>
          </w:p>
        </w:tc>
      </w:tr>
    </w:tbl>
    <w:p w:rsidR="00E65102" w:rsidRPr="0070556E" w:rsidRDefault="00E65102" w:rsidP="00E65102">
      <w:pPr>
        <w:ind w:left="-360" w:right="40"/>
        <w:rPr>
          <w:sz w:val="4"/>
          <w:szCs w:val="4"/>
        </w:rPr>
      </w:pPr>
    </w:p>
    <w:p w:rsidR="00E65102" w:rsidRPr="00C674EC" w:rsidRDefault="00E65102" w:rsidP="00E65102">
      <w:pPr>
        <w:ind w:left="-360" w:right="40"/>
        <w:rPr>
          <w:sz w:val="18"/>
          <w:szCs w:val="18"/>
        </w:rPr>
      </w:pPr>
      <w:r w:rsidRPr="00CC41EB">
        <w:rPr>
          <w:sz w:val="18"/>
          <w:szCs w:val="18"/>
        </w:rPr>
        <w:t>Kaynak: Betam</w:t>
      </w:r>
      <w:r>
        <w:rPr>
          <w:sz w:val="18"/>
          <w:szCs w:val="18"/>
        </w:rPr>
        <w:t xml:space="preserve">. </w:t>
      </w:r>
      <w:r w:rsidRPr="00CC41EB">
        <w:rPr>
          <w:sz w:val="18"/>
          <w:szCs w:val="18"/>
        </w:rPr>
        <w:t>*</w:t>
      </w:r>
      <w:proofErr w:type="spellStart"/>
      <w:r w:rsidRPr="00CC41EB">
        <w:rPr>
          <w:sz w:val="18"/>
          <w:szCs w:val="18"/>
        </w:rPr>
        <w:t>mea</w:t>
      </w:r>
      <w:proofErr w:type="spellEnd"/>
      <w:r w:rsidRPr="00CC41EB">
        <w:rPr>
          <w:sz w:val="18"/>
          <w:szCs w:val="18"/>
        </w:rPr>
        <w:t>: mevsim ve takvim etkilerinden arındırılmış</w:t>
      </w:r>
      <w:r>
        <w:rPr>
          <w:sz w:val="18"/>
          <w:szCs w:val="18"/>
        </w:rPr>
        <w:t xml:space="preserve">.  </w:t>
      </w:r>
      <w:r w:rsidRPr="00CC41EB">
        <w:rPr>
          <w:sz w:val="18"/>
          <w:szCs w:val="18"/>
        </w:rPr>
        <w:t>**</w:t>
      </w:r>
      <w:proofErr w:type="spellStart"/>
      <w:r w:rsidRPr="00CC41EB">
        <w:rPr>
          <w:sz w:val="18"/>
          <w:szCs w:val="18"/>
        </w:rPr>
        <w:t>tea</w:t>
      </w:r>
      <w:proofErr w:type="spellEnd"/>
      <w:r w:rsidRPr="00CC41EB">
        <w:rPr>
          <w:sz w:val="18"/>
          <w:szCs w:val="18"/>
        </w:rPr>
        <w:t>: takvim etkilerinden arındırılmış</w:t>
      </w:r>
      <w:r>
        <w:rPr>
          <w:sz w:val="18"/>
          <w:szCs w:val="18"/>
        </w:rPr>
        <w:t>.</w:t>
      </w:r>
    </w:p>
    <w:p w:rsidR="00E65102" w:rsidRDefault="00E65102" w:rsidP="00E65102">
      <w:pPr>
        <w:spacing w:line="360" w:lineRule="auto"/>
        <w:ind w:right="42"/>
        <w:rPr>
          <w:b/>
          <w:bCs/>
          <w:sz w:val="22"/>
          <w:szCs w:val="22"/>
        </w:rPr>
      </w:pPr>
    </w:p>
    <w:p w:rsidR="00E65102" w:rsidRDefault="00E65102" w:rsidP="00E65102">
      <w:pPr>
        <w:ind w:left="-360"/>
        <w:rPr>
          <w:rFonts w:ascii="Arial" w:hAnsi="Arial" w:cs="Arial"/>
          <w:sz w:val="16"/>
          <w:szCs w:val="16"/>
        </w:rPr>
      </w:pPr>
    </w:p>
    <w:p w:rsidR="00C777D3" w:rsidRDefault="00566E5E" w:rsidP="00C777D3">
      <w:pPr>
        <w:spacing w:line="360" w:lineRule="auto"/>
        <w:ind w:left="-360" w:right="42"/>
        <w:jc w:val="center"/>
        <w:rPr>
          <w:b/>
          <w:sz w:val="22"/>
          <w:szCs w:val="22"/>
        </w:rPr>
      </w:pPr>
      <w:r>
        <w:rPr>
          <w:b/>
          <w:sz w:val="22"/>
          <w:szCs w:val="22"/>
        </w:rPr>
        <w:t>Tüketim ve kamu harcamaları ile büyüme</w:t>
      </w:r>
    </w:p>
    <w:p w:rsidR="00C777D3" w:rsidRPr="007168F4" w:rsidRDefault="00C777D3" w:rsidP="00C777D3">
      <w:pPr>
        <w:spacing w:line="360" w:lineRule="auto"/>
        <w:ind w:left="-360" w:right="42"/>
        <w:jc w:val="center"/>
        <w:rPr>
          <w:b/>
          <w:sz w:val="22"/>
          <w:szCs w:val="22"/>
        </w:rPr>
      </w:pPr>
    </w:p>
    <w:p w:rsidR="00C777D3" w:rsidRDefault="00C777D3" w:rsidP="00C777D3">
      <w:pPr>
        <w:spacing w:line="360" w:lineRule="auto"/>
        <w:ind w:left="-360" w:right="42"/>
        <w:jc w:val="both"/>
        <w:rPr>
          <w:sz w:val="22"/>
          <w:szCs w:val="22"/>
        </w:rPr>
      </w:pPr>
      <w:r>
        <w:rPr>
          <w:sz w:val="22"/>
          <w:szCs w:val="22"/>
        </w:rPr>
        <w:t xml:space="preserve">Sanayi üretimi </w:t>
      </w:r>
      <w:r w:rsidR="00AD488E">
        <w:rPr>
          <w:sz w:val="22"/>
          <w:szCs w:val="22"/>
        </w:rPr>
        <w:t>aylık bazda dalgalanma</w:t>
      </w:r>
      <w:r w:rsidR="00F5015C">
        <w:rPr>
          <w:sz w:val="22"/>
          <w:szCs w:val="22"/>
        </w:rPr>
        <w:t xml:space="preserve"> gösteriyor. Temmuz ayında yüzde 1,9 artan SÜE Ağustos</w:t>
      </w:r>
      <w:r>
        <w:rPr>
          <w:sz w:val="22"/>
          <w:szCs w:val="22"/>
        </w:rPr>
        <w:t xml:space="preserve"> ayında yüzde </w:t>
      </w:r>
      <w:r w:rsidR="00FE0DA3">
        <w:rPr>
          <w:sz w:val="22"/>
          <w:szCs w:val="22"/>
        </w:rPr>
        <w:t>1</w:t>
      </w:r>
      <w:r>
        <w:rPr>
          <w:sz w:val="22"/>
          <w:szCs w:val="22"/>
        </w:rPr>
        <w:t>,</w:t>
      </w:r>
      <w:r w:rsidR="00F5015C">
        <w:rPr>
          <w:sz w:val="22"/>
          <w:szCs w:val="22"/>
        </w:rPr>
        <w:t>4</w:t>
      </w:r>
      <w:r>
        <w:rPr>
          <w:sz w:val="22"/>
          <w:szCs w:val="22"/>
        </w:rPr>
        <w:t xml:space="preserve"> </w:t>
      </w:r>
      <w:r w:rsidR="00F5015C">
        <w:rPr>
          <w:sz w:val="22"/>
          <w:szCs w:val="22"/>
        </w:rPr>
        <w:t>azaldı</w:t>
      </w:r>
      <w:r w:rsidR="00EE66E0">
        <w:rPr>
          <w:sz w:val="22"/>
          <w:szCs w:val="22"/>
        </w:rPr>
        <w:t>.</w:t>
      </w:r>
      <w:r w:rsidR="00F5015C">
        <w:rPr>
          <w:sz w:val="22"/>
          <w:szCs w:val="22"/>
        </w:rPr>
        <w:t xml:space="preserve"> İki aylık ortalama ise ikinci çeyreğe kıyasla yüzde 1,1 artmış durumda. İkinci çeyrekte sanayi üretimi hiç artmamış, büyüme ise negatif gelmişti. Üçüncü çeyrekte </w:t>
      </w:r>
      <w:proofErr w:type="spellStart"/>
      <w:r w:rsidR="00F5015C">
        <w:rPr>
          <w:sz w:val="22"/>
          <w:szCs w:val="22"/>
        </w:rPr>
        <w:t>SÜE'deki</w:t>
      </w:r>
      <w:proofErr w:type="spellEnd"/>
      <w:r w:rsidR="00F5015C">
        <w:rPr>
          <w:sz w:val="22"/>
          <w:szCs w:val="22"/>
        </w:rPr>
        <w:t xml:space="preserve"> artış ekonominin büyüyeceğini gösteriyor. Eylül ayında sanayi üretiminde ve ihracatta ılımlı bir toparlanma bekliyoruz. </w:t>
      </w:r>
      <w:r>
        <w:rPr>
          <w:sz w:val="22"/>
          <w:szCs w:val="22"/>
        </w:rPr>
        <w:t xml:space="preserve">Kapasite </w:t>
      </w:r>
      <w:r w:rsidR="00AC3E17">
        <w:rPr>
          <w:sz w:val="22"/>
          <w:szCs w:val="22"/>
        </w:rPr>
        <w:t>K</w:t>
      </w:r>
      <w:r w:rsidR="00BC7D90">
        <w:rPr>
          <w:sz w:val="22"/>
          <w:szCs w:val="22"/>
        </w:rPr>
        <w:t xml:space="preserve">ullanım </w:t>
      </w:r>
      <w:r w:rsidR="00AC3E17">
        <w:rPr>
          <w:sz w:val="22"/>
          <w:szCs w:val="22"/>
        </w:rPr>
        <w:t>O</w:t>
      </w:r>
      <w:r w:rsidR="00BC7D90">
        <w:rPr>
          <w:sz w:val="22"/>
          <w:szCs w:val="22"/>
        </w:rPr>
        <w:t>ranı</w:t>
      </w:r>
      <w:r w:rsidR="00136362">
        <w:rPr>
          <w:sz w:val="22"/>
          <w:szCs w:val="22"/>
        </w:rPr>
        <w:t xml:space="preserve"> (KKO)</w:t>
      </w:r>
      <w:r w:rsidR="00F5015C">
        <w:rPr>
          <w:sz w:val="22"/>
          <w:szCs w:val="22"/>
        </w:rPr>
        <w:t>'</w:t>
      </w:r>
      <w:proofErr w:type="spellStart"/>
      <w:r w:rsidR="00566E5E">
        <w:rPr>
          <w:sz w:val="22"/>
          <w:szCs w:val="22"/>
        </w:rPr>
        <w:t>n</w:t>
      </w:r>
      <w:r w:rsidR="00F5015C">
        <w:rPr>
          <w:sz w:val="22"/>
          <w:szCs w:val="22"/>
        </w:rPr>
        <w:t>da</w:t>
      </w:r>
      <w:proofErr w:type="spellEnd"/>
      <w:r>
        <w:rPr>
          <w:sz w:val="22"/>
          <w:szCs w:val="22"/>
        </w:rPr>
        <w:t xml:space="preserve"> </w:t>
      </w:r>
      <w:r w:rsidR="00F5015C">
        <w:rPr>
          <w:sz w:val="22"/>
          <w:szCs w:val="22"/>
        </w:rPr>
        <w:t xml:space="preserve">Eylül ayında bir düşüş söz konusu değil. </w:t>
      </w:r>
      <w:r w:rsidR="000150D2">
        <w:rPr>
          <w:sz w:val="22"/>
          <w:szCs w:val="22"/>
        </w:rPr>
        <w:t xml:space="preserve">Reel kesim güven endeksi de </w:t>
      </w:r>
      <w:r w:rsidR="00F5015C">
        <w:rPr>
          <w:sz w:val="22"/>
          <w:szCs w:val="22"/>
        </w:rPr>
        <w:t>iki aylık düşüşün ardından Eylül'de yüzde 1,3 oranında artış gösterdi.</w:t>
      </w:r>
      <w:r w:rsidR="000150D2">
        <w:rPr>
          <w:sz w:val="22"/>
          <w:szCs w:val="22"/>
        </w:rPr>
        <w:t xml:space="preserve"> </w:t>
      </w:r>
    </w:p>
    <w:p w:rsidR="00C777D3" w:rsidRDefault="00F5015C" w:rsidP="00C777D3">
      <w:pPr>
        <w:spacing w:line="360" w:lineRule="auto"/>
        <w:ind w:left="-360" w:right="42"/>
        <w:jc w:val="both"/>
        <w:rPr>
          <w:sz w:val="22"/>
          <w:szCs w:val="22"/>
        </w:rPr>
      </w:pPr>
      <w:r>
        <w:rPr>
          <w:sz w:val="22"/>
          <w:szCs w:val="22"/>
        </w:rPr>
        <w:lastRenderedPageBreak/>
        <w:t>Üçüncü çeyrekte büyümenin ağırlıklı olarak iç talepten kaynaklanmasını bekliyoruz. Reel kamu harcamalarında ikinci çeyrekteki düşüş, yerini üçüncü çeyrekte artışa bırakmış durumda.</w:t>
      </w:r>
      <w:r w:rsidR="00523826">
        <w:rPr>
          <w:sz w:val="22"/>
          <w:szCs w:val="22"/>
        </w:rPr>
        <w:t xml:space="preserve"> Diğer yandan tüketim malı ithalatı ile dayanıklı ve dayanıksız tüketim malı imalatı artıyor. Yatırımlar açısından sinyaller karışık. İki aylık ortalamalara bakıldığında yatırım malı imalatı önemli oranda artarken, </w:t>
      </w:r>
      <w:r w:rsidR="00566E5E">
        <w:rPr>
          <w:sz w:val="22"/>
          <w:szCs w:val="22"/>
        </w:rPr>
        <w:t xml:space="preserve">yatırım malı </w:t>
      </w:r>
      <w:r w:rsidR="00523826">
        <w:rPr>
          <w:sz w:val="22"/>
          <w:szCs w:val="22"/>
        </w:rPr>
        <w:t xml:space="preserve">ithalatı azalıyor. Büyümenin kaynağının üçüncü çeyrekte yeniden tüketim ve kamu harcamaları olacağını tahmin ediyoruz. Geçtiğimiz yıl </w:t>
      </w:r>
      <w:r w:rsidR="007E395D">
        <w:rPr>
          <w:sz w:val="22"/>
          <w:szCs w:val="22"/>
        </w:rPr>
        <w:t xml:space="preserve">da </w:t>
      </w:r>
      <w:r w:rsidR="00523826">
        <w:rPr>
          <w:sz w:val="22"/>
          <w:szCs w:val="22"/>
        </w:rPr>
        <w:t>ekonomi ağırlıklı olarak bu iki bileşen üzerinden büyümüştü.</w:t>
      </w:r>
    </w:p>
    <w:p w:rsidR="00523826" w:rsidRDefault="00523826" w:rsidP="00C777D3">
      <w:pPr>
        <w:spacing w:line="360" w:lineRule="auto"/>
        <w:ind w:left="-360" w:right="42"/>
        <w:jc w:val="both"/>
        <w:rPr>
          <w:sz w:val="22"/>
          <w:szCs w:val="22"/>
        </w:rPr>
      </w:pPr>
    </w:p>
    <w:p w:rsidR="00C777D3" w:rsidRDefault="00523826" w:rsidP="00C777D3">
      <w:pPr>
        <w:spacing w:line="360" w:lineRule="auto"/>
        <w:ind w:left="-360" w:right="42"/>
        <w:jc w:val="both"/>
        <w:rPr>
          <w:sz w:val="22"/>
          <w:szCs w:val="22"/>
        </w:rPr>
      </w:pPr>
      <w:r>
        <w:rPr>
          <w:sz w:val="22"/>
          <w:szCs w:val="22"/>
        </w:rPr>
        <w:t>İkinci çeyrekten itibaren Almanya başta olmak üzere Avrupa ekonomisinde görülmeye başlayan zayıflık Türkiye'nin ihracat performansını olumsuz etkiledi. İki aylık ortalamalara göre hem ihracat hem de ithalatta küçük düşüşler var.</w:t>
      </w:r>
      <w:r w:rsidR="007E395D">
        <w:rPr>
          <w:sz w:val="22"/>
          <w:szCs w:val="22"/>
        </w:rPr>
        <w:t xml:space="preserve"> Eylül'de ihracatta ciddi bir canlanma olmazsa</w:t>
      </w:r>
      <w:r>
        <w:rPr>
          <w:sz w:val="22"/>
          <w:szCs w:val="22"/>
        </w:rPr>
        <w:t xml:space="preserve"> </w:t>
      </w:r>
      <w:r w:rsidR="007E395D">
        <w:rPr>
          <w:sz w:val="22"/>
          <w:szCs w:val="22"/>
        </w:rPr>
        <w:t>n</w:t>
      </w:r>
      <w:r>
        <w:rPr>
          <w:sz w:val="22"/>
          <w:szCs w:val="22"/>
        </w:rPr>
        <w:t>et ihracatın büyümeye katkısı</w:t>
      </w:r>
      <w:r w:rsidR="007E395D">
        <w:rPr>
          <w:sz w:val="22"/>
          <w:szCs w:val="22"/>
        </w:rPr>
        <w:t>nın önemli bir katkı yapmasını beklemiyoruz</w:t>
      </w:r>
      <w:r>
        <w:rPr>
          <w:sz w:val="22"/>
          <w:szCs w:val="22"/>
        </w:rPr>
        <w:t xml:space="preserve">.  </w:t>
      </w:r>
    </w:p>
    <w:p w:rsidR="00523826" w:rsidRDefault="00523826" w:rsidP="00C777D3">
      <w:pPr>
        <w:spacing w:line="360" w:lineRule="auto"/>
        <w:ind w:left="-360" w:right="42"/>
        <w:jc w:val="both"/>
        <w:rPr>
          <w:sz w:val="22"/>
          <w:szCs w:val="22"/>
        </w:rPr>
      </w:pPr>
    </w:p>
    <w:p w:rsidR="00C777D3" w:rsidRDefault="00A76C85" w:rsidP="00C777D3">
      <w:pPr>
        <w:spacing w:line="360" w:lineRule="auto"/>
        <w:ind w:left="-360" w:right="42"/>
        <w:jc w:val="both"/>
        <w:rPr>
          <w:sz w:val="22"/>
          <w:szCs w:val="22"/>
        </w:rPr>
      </w:pPr>
      <w:r>
        <w:rPr>
          <w:sz w:val="22"/>
          <w:szCs w:val="22"/>
        </w:rPr>
        <w:t xml:space="preserve">Bu gelişmelere dayanarak üçüncü çeyreğe dair tahminimizde herhangi bir değişikliğe gitmiyor ve çeyrekten çeyreğe büyüme tahminimizi </w:t>
      </w:r>
      <w:r w:rsidR="00C777D3">
        <w:rPr>
          <w:sz w:val="22"/>
          <w:szCs w:val="22"/>
        </w:rPr>
        <w:t>yüzde 0,</w:t>
      </w:r>
      <w:r w:rsidR="005E0731">
        <w:rPr>
          <w:sz w:val="22"/>
          <w:szCs w:val="22"/>
        </w:rPr>
        <w:t>6</w:t>
      </w:r>
      <w:r>
        <w:rPr>
          <w:sz w:val="22"/>
          <w:szCs w:val="22"/>
        </w:rPr>
        <w:t>'da tutuyoruz</w:t>
      </w:r>
      <w:r w:rsidR="005E0731">
        <w:rPr>
          <w:sz w:val="22"/>
          <w:szCs w:val="22"/>
        </w:rPr>
        <w:t xml:space="preserve">. </w:t>
      </w:r>
      <w:r w:rsidR="00C462AC">
        <w:rPr>
          <w:sz w:val="22"/>
          <w:szCs w:val="22"/>
        </w:rPr>
        <w:t>G</w:t>
      </w:r>
      <w:r w:rsidR="00C777D3">
        <w:rPr>
          <w:sz w:val="22"/>
          <w:szCs w:val="22"/>
        </w:rPr>
        <w:t>eçtiğimiz y</w:t>
      </w:r>
      <w:r w:rsidR="005E0731">
        <w:rPr>
          <w:sz w:val="22"/>
          <w:szCs w:val="22"/>
        </w:rPr>
        <w:t xml:space="preserve">ılın aynı çeyreğine göre büyümeyi </w:t>
      </w:r>
      <w:r w:rsidR="00C462AC">
        <w:rPr>
          <w:sz w:val="22"/>
          <w:szCs w:val="22"/>
        </w:rPr>
        <w:t xml:space="preserve">ise </w:t>
      </w:r>
      <w:r w:rsidR="00C777D3">
        <w:rPr>
          <w:sz w:val="22"/>
          <w:szCs w:val="22"/>
        </w:rPr>
        <w:t xml:space="preserve">yüzde </w:t>
      </w:r>
      <w:r w:rsidR="005E0731">
        <w:rPr>
          <w:sz w:val="22"/>
          <w:szCs w:val="22"/>
        </w:rPr>
        <w:t>2,</w:t>
      </w:r>
      <w:r w:rsidR="00DA282E">
        <w:rPr>
          <w:sz w:val="22"/>
          <w:szCs w:val="22"/>
        </w:rPr>
        <w:t>8</w:t>
      </w:r>
      <w:r w:rsidR="005E0731">
        <w:rPr>
          <w:sz w:val="22"/>
          <w:szCs w:val="22"/>
        </w:rPr>
        <w:t xml:space="preserve"> olarak tahmin ediyoruz</w:t>
      </w:r>
      <w:r w:rsidR="00C777D3">
        <w:rPr>
          <w:sz w:val="22"/>
          <w:szCs w:val="22"/>
        </w:rPr>
        <w:t xml:space="preserve">. </w:t>
      </w:r>
    </w:p>
    <w:p w:rsidR="00C777D3" w:rsidRDefault="00C777D3" w:rsidP="00C777D3">
      <w:pPr>
        <w:spacing w:line="360" w:lineRule="auto"/>
        <w:ind w:left="-360" w:right="42"/>
        <w:jc w:val="both"/>
        <w:rPr>
          <w:sz w:val="22"/>
          <w:szCs w:val="22"/>
        </w:rPr>
      </w:pPr>
    </w:p>
    <w:p w:rsidR="005E0731" w:rsidRDefault="00984330" w:rsidP="005E0731">
      <w:pPr>
        <w:spacing w:line="360" w:lineRule="auto"/>
        <w:ind w:left="-360" w:right="43"/>
        <w:jc w:val="both"/>
        <w:rPr>
          <w:sz w:val="22"/>
          <w:szCs w:val="22"/>
        </w:rPr>
      </w:pPr>
      <w:r>
        <w:rPr>
          <w:sz w:val="22"/>
          <w:szCs w:val="22"/>
        </w:rPr>
        <w:t>Cari açık</w:t>
      </w:r>
      <w:r w:rsidR="00C777D3">
        <w:rPr>
          <w:sz w:val="22"/>
          <w:szCs w:val="22"/>
        </w:rPr>
        <w:t xml:space="preserve"> </w:t>
      </w:r>
      <w:r>
        <w:rPr>
          <w:sz w:val="22"/>
          <w:szCs w:val="22"/>
        </w:rPr>
        <w:t xml:space="preserve">ihracat performansının düşmesine paralel olarak çok kısıtlı bir artış gösterdi. Ancak yılın geri kalanında zayıf talep ve altın etkisiyle düşüşün devam etmesini bekliyoruz. </w:t>
      </w:r>
      <w:r w:rsidR="00C777D3">
        <w:rPr>
          <w:sz w:val="22"/>
          <w:szCs w:val="22"/>
        </w:rPr>
        <w:t xml:space="preserve"> </w:t>
      </w:r>
      <w:r w:rsidR="005E0731">
        <w:rPr>
          <w:sz w:val="22"/>
          <w:szCs w:val="22"/>
        </w:rPr>
        <w:t xml:space="preserve">İkinci çeyrek sonunda yüzde 6,5 olan cari açığın </w:t>
      </w:r>
      <w:proofErr w:type="spellStart"/>
      <w:r w:rsidR="005E0731">
        <w:rPr>
          <w:sz w:val="22"/>
          <w:szCs w:val="22"/>
        </w:rPr>
        <w:t>GSYH'a</w:t>
      </w:r>
      <w:proofErr w:type="spellEnd"/>
      <w:r w:rsidR="005E0731">
        <w:rPr>
          <w:sz w:val="22"/>
          <w:szCs w:val="22"/>
        </w:rPr>
        <w:t xml:space="preserve"> oranının üçüncü çeyrek sonunda yüzde 6,</w:t>
      </w:r>
      <w:r w:rsidR="008F79EF">
        <w:rPr>
          <w:sz w:val="22"/>
          <w:szCs w:val="22"/>
        </w:rPr>
        <w:t>2</w:t>
      </w:r>
      <w:r w:rsidR="005E0731">
        <w:rPr>
          <w:sz w:val="22"/>
          <w:szCs w:val="22"/>
        </w:rPr>
        <w:t>'</w:t>
      </w:r>
      <w:r w:rsidR="008F79EF">
        <w:rPr>
          <w:sz w:val="22"/>
          <w:szCs w:val="22"/>
        </w:rPr>
        <w:t>y</w:t>
      </w:r>
      <w:r w:rsidR="005E0731">
        <w:rPr>
          <w:sz w:val="22"/>
          <w:szCs w:val="22"/>
        </w:rPr>
        <w:t xml:space="preserve">e düşmesini bekliyoruz. Altın hariç cari açık </w:t>
      </w:r>
      <w:r w:rsidR="005E0731">
        <w:rPr>
          <w:sz w:val="22"/>
          <w:szCs w:val="22"/>
        </w:rPr>
        <w:lastRenderedPageBreak/>
        <w:t>oranının ise yüzde 5,9'den 5,</w:t>
      </w:r>
      <w:r w:rsidR="008F79EF">
        <w:rPr>
          <w:sz w:val="22"/>
          <w:szCs w:val="22"/>
        </w:rPr>
        <w:t>8</w:t>
      </w:r>
      <w:r w:rsidR="005E0731">
        <w:rPr>
          <w:sz w:val="22"/>
          <w:szCs w:val="22"/>
        </w:rPr>
        <w:t>'e ineceğini tahmin ediyoruz.</w:t>
      </w:r>
    </w:p>
    <w:p w:rsidR="008F79EF" w:rsidRDefault="008F79EF" w:rsidP="005E0731">
      <w:pPr>
        <w:spacing w:line="360" w:lineRule="auto"/>
        <w:ind w:left="-360" w:right="43"/>
        <w:jc w:val="both"/>
        <w:rPr>
          <w:sz w:val="22"/>
          <w:szCs w:val="22"/>
        </w:rPr>
      </w:pPr>
    </w:p>
    <w:p w:rsidR="00C777D3" w:rsidRPr="00771BFD" w:rsidRDefault="001009B7" w:rsidP="00C777D3">
      <w:pPr>
        <w:spacing w:line="360" w:lineRule="auto"/>
        <w:ind w:left="-360" w:right="42"/>
        <w:jc w:val="center"/>
        <w:rPr>
          <w:b/>
          <w:sz w:val="22"/>
          <w:szCs w:val="22"/>
        </w:rPr>
      </w:pPr>
      <w:r>
        <w:rPr>
          <w:b/>
          <w:sz w:val="22"/>
          <w:szCs w:val="22"/>
        </w:rPr>
        <w:t>Faiz ve kur dalgalanıyor</w:t>
      </w:r>
    </w:p>
    <w:p w:rsidR="00771BFD" w:rsidRDefault="00771BFD" w:rsidP="00C777D3">
      <w:pPr>
        <w:spacing w:line="360" w:lineRule="auto"/>
        <w:ind w:left="-360" w:right="42"/>
        <w:jc w:val="both"/>
        <w:rPr>
          <w:sz w:val="22"/>
          <w:szCs w:val="22"/>
        </w:rPr>
      </w:pPr>
    </w:p>
    <w:p w:rsidR="00556D13" w:rsidRDefault="00556D13" w:rsidP="00556D13">
      <w:pPr>
        <w:spacing w:line="360" w:lineRule="auto"/>
        <w:ind w:left="-360" w:right="42"/>
        <w:jc w:val="both"/>
        <w:rPr>
          <w:bCs/>
          <w:sz w:val="22"/>
          <w:szCs w:val="22"/>
        </w:rPr>
      </w:pPr>
      <w:r w:rsidRPr="00556D13">
        <w:rPr>
          <w:bCs/>
          <w:sz w:val="22"/>
          <w:szCs w:val="22"/>
        </w:rPr>
        <w:t>Geçtiği</w:t>
      </w:r>
      <w:r>
        <w:rPr>
          <w:bCs/>
          <w:sz w:val="22"/>
          <w:szCs w:val="22"/>
        </w:rPr>
        <w:t xml:space="preserve">miz ay Amerikan Merkez Bankası (Fed)'in açıklamaları faiz artırımlarına yönelik beklentileri artırmış, bu da Türkiye dahil gelişmekte olan ülkelerin kur ve faizlerinde yükselmeye neden olmuştu.  Ancak sonrasında Avrupa ve Çin'de gözlemlenen yavaşlamanın küresel talepte ciddi bir azalmaya neden olabileceği endişeleri önce petrol fiyatlarını, ardından gelişmekte olan ülkelerde kur ve faizi düşürdü. </w:t>
      </w:r>
    </w:p>
    <w:p w:rsidR="00556D13" w:rsidRDefault="00556D13" w:rsidP="00556D13">
      <w:pPr>
        <w:spacing w:line="360" w:lineRule="auto"/>
        <w:ind w:left="-360" w:right="42"/>
        <w:jc w:val="both"/>
        <w:rPr>
          <w:bCs/>
          <w:sz w:val="22"/>
          <w:szCs w:val="22"/>
        </w:rPr>
      </w:pPr>
    </w:p>
    <w:p w:rsidR="00E65102" w:rsidRDefault="00556D13" w:rsidP="00556D13">
      <w:pPr>
        <w:spacing w:line="360" w:lineRule="auto"/>
        <w:ind w:left="-360" w:right="42"/>
        <w:jc w:val="both"/>
        <w:rPr>
          <w:bCs/>
          <w:sz w:val="22"/>
          <w:szCs w:val="22"/>
        </w:rPr>
      </w:pPr>
      <w:r>
        <w:rPr>
          <w:bCs/>
          <w:sz w:val="22"/>
          <w:szCs w:val="22"/>
        </w:rPr>
        <w:t>Ülkelerin kendi makroekonomik politikalarından bağımsız olarak gerçekleşen bu tür kısa süreli büyük dalgalanmalar ekonomiler üzerinde genelde olumsuz etki yap</w:t>
      </w:r>
      <w:r w:rsidR="00C462AC">
        <w:rPr>
          <w:bCs/>
          <w:sz w:val="22"/>
          <w:szCs w:val="22"/>
        </w:rPr>
        <w:t>maktadır</w:t>
      </w:r>
      <w:r>
        <w:rPr>
          <w:bCs/>
          <w:sz w:val="22"/>
          <w:szCs w:val="22"/>
        </w:rPr>
        <w:t xml:space="preserve">. Faiz ve kurların öngörülemeyişi ve kısa süre içerisinde büyük değişimler göstermesi belirsizliği artırarak reel sektörü ve yatırımları baskılayabilir. </w:t>
      </w:r>
    </w:p>
    <w:p w:rsidR="00556D13" w:rsidRDefault="00556D13" w:rsidP="00556D13">
      <w:pPr>
        <w:spacing w:line="360" w:lineRule="auto"/>
        <w:ind w:left="-360" w:right="42"/>
        <w:jc w:val="both"/>
        <w:rPr>
          <w:bCs/>
          <w:sz w:val="22"/>
          <w:szCs w:val="22"/>
        </w:rPr>
      </w:pPr>
    </w:p>
    <w:p w:rsidR="00556D13" w:rsidRPr="00556D13" w:rsidRDefault="00556D13" w:rsidP="00556D13">
      <w:pPr>
        <w:spacing w:line="360" w:lineRule="auto"/>
        <w:ind w:left="-360" w:right="42"/>
        <w:jc w:val="both"/>
        <w:rPr>
          <w:bCs/>
          <w:sz w:val="22"/>
          <w:szCs w:val="22"/>
        </w:rPr>
      </w:pPr>
      <w:r>
        <w:rPr>
          <w:bCs/>
          <w:sz w:val="22"/>
          <w:szCs w:val="22"/>
        </w:rPr>
        <w:t xml:space="preserve">Bu notun yayınlanacağı tarihten bir kaç gün sonra (29 Ekim) </w:t>
      </w:r>
      <w:proofErr w:type="spellStart"/>
      <w:r>
        <w:rPr>
          <w:bCs/>
          <w:sz w:val="22"/>
          <w:szCs w:val="22"/>
        </w:rPr>
        <w:t>Fed</w:t>
      </w:r>
      <w:r w:rsidR="00C462AC">
        <w:rPr>
          <w:bCs/>
          <w:sz w:val="22"/>
          <w:szCs w:val="22"/>
        </w:rPr>
        <w:t>'in</w:t>
      </w:r>
      <w:proofErr w:type="spellEnd"/>
      <w:r w:rsidR="00C462AC">
        <w:rPr>
          <w:bCs/>
          <w:sz w:val="22"/>
          <w:szCs w:val="22"/>
        </w:rPr>
        <w:t xml:space="preserve"> E</w:t>
      </w:r>
      <w:r>
        <w:rPr>
          <w:bCs/>
          <w:sz w:val="22"/>
          <w:szCs w:val="22"/>
        </w:rPr>
        <w:t xml:space="preserve">kim toplantısı sonuçları </w:t>
      </w:r>
      <w:r w:rsidR="007F017D">
        <w:rPr>
          <w:bCs/>
          <w:sz w:val="22"/>
          <w:szCs w:val="22"/>
        </w:rPr>
        <w:t xml:space="preserve">açıklanacak. Burada </w:t>
      </w:r>
      <w:r>
        <w:rPr>
          <w:bCs/>
          <w:sz w:val="22"/>
          <w:szCs w:val="22"/>
        </w:rPr>
        <w:t xml:space="preserve">faiz artırım </w:t>
      </w:r>
      <w:r w:rsidR="007F017D">
        <w:rPr>
          <w:bCs/>
          <w:sz w:val="22"/>
          <w:szCs w:val="22"/>
        </w:rPr>
        <w:t xml:space="preserve">beklentilerini etkileyen bir </w:t>
      </w:r>
      <w:r>
        <w:rPr>
          <w:bCs/>
          <w:sz w:val="22"/>
          <w:szCs w:val="22"/>
        </w:rPr>
        <w:t>sinyal</w:t>
      </w:r>
      <w:r w:rsidR="007F017D">
        <w:rPr>
          <w:bCs/>
          <w:sz w:val="22"/>
          <w:szCs w:val="22"/>
        </w:rPr>
        <w:t>in</w:t>
      </w:r>
      <w:r>
        <w:rPr>
          <w:bCs/>
          <w:sz w:val="22"/>
          <w:szCs w:val="22"/>
        </w:rPr>
        <w:t xml:space="preserve"> gelmesi</w:t>
      </w:r>
      <w:r w:rsidR="007F017D">
        <w:rPr>
          <w:bCs/>
          <w:sz w:val="22"/>
          <w:szCs w:val="22"/>
        </w:rPr>
        <w:t xml:space="preserve"> kur ve faizi yeniden dalgalandıracaktır. Oynaklığın yüksek olduğu bu ortamda Türkiye'nin avantajı mali politikanın oldukça sağlam olması ve son açıklanan Orta Vadeli Program'da (OVP) dengeli bütçenin hedeflenmiş olmasıdır. Önümüzdeki dönemde kamu harcamalarının bu şekilde disiplin altında tutulacağının taahhüdü verilerek enflasyon beklentilerinin çapalanmak i</w:t>
      </w:r>
      <w:r w:rsidR="00F14C9B">
        <w:rPr>
          <w:bCs/>
          <w:sz w:val="22"/>
          <w:szCs w:val="22"/>
        </w:rPr>
        <w:t>stendiği açıktır. Ancak p</w:t>
      </w:r>
      <w:r w:rsidR="007F017D">
        <w:rPr>
          <w:bCs/>
          <w:sz w:val="22"/>
          <w:szCs w:val="22"/>
        </w:rPr>
        <w:t xml:space="preserve">ara politikasının da </w:t>
      </w:r>
      <w:r w:rsidR="00C462AC">
        <w:rPr>
          <w:bCs/>
          <w:sz w:val="22"/>
          <w:szCs w:val="22"/>
        </w:rPr>
        <w:t xml:space="preserve">önümüzdeki dönemde </w:t>
      </w:r>
      <w:r w:rsidR="007F017D">
        <w:rPr>
          <w:bCs/>
          <w:sz w:val="22"/>
          <w:szCs w:val="22"/>
        </w:rPr>
        <w:t>aynı şekilde öngörülebilir olması gerekmektedir.</w:t>
      </w:r>
      <w:r w:rsidR="00F14C9B">
        <w:rPr>
          <w:bCs/>
          <w:sz w:val="22"/>
          <w:szCs w:val="22"/>
        </w:rPr>
        <w:t xml:space="preserve"> </w:t>
      </w:r>
    </w:p>
    <w:p w:rsidR="00EF12B8" w:rsidRDefault="00EF12B8" w:rsidP="00175F89">
      <w:pPr>
        <w:spacing w:line="360" w:lineRule="auto"/>
        <w:ind w:left="-360" w:right="42"/>
        <w:jc w:val="center"/>
        <w:rPr>
          <w:b/>
          <w:bCs/>
          <w:sz w:val="22"/>
          <w:szCs w:val="22"/>
        </w:rPr>
        <w:sectPr w:rsidR="00EF12B8" w:rsidSect="000F0C2B">
          <w:type w:val="continuous"/>
          <w:pgSz w:w="11906" w:h="16838"/>
          <w:pgMar w:top="1417" w:right="1417" w:bottom="1417" w:left="1417" w:header="708" w:footer="708" w:gutter="0"/>
          <w:cols w:num="2" w:space="708" w:equalWidth="0">
            <w:col w:w="4182" w:space="708"/>
            <w:col w:w="4182"/>
          </w:cols>
          <w:docGrid w:linePitch="360"/>
        </w:sectPr>
      </w:pPr>
    </w:p>
    <w:p w:rsidR="00175F89" w:rsidRDefault="00090498" w:rsidP="00175F89">
      <w:pPr>
        <w:spacing w:line="360" w:lineRule="auto"/>
        <w:ind w:left="-360" w:right="42"/>
        <w:jc w:val="center"/>
        <w:rPr>
          <w:b/>
          <w:bCs/>
          <w:sz w:val="22"/>
          <w:szCs w:val="22"/>
        </w:rPr>
      </w:pPr>
      <w:r>
        <w:rPr>
          <w:b/>
          <w:bCs/>
          <w:sz w:val="22"/>
          <w:szCs w:val="22"/>
        </w:rPr>
        <w:lastRenderedPageBreak/>
        <w:t>Üçüncü çeyrek</w:t>
      </w:r>
      <w:r w:rsidR="00566E5E">
        <w:rPr>
          <w:b/>
          <w:bCs/>
          <w:sz w:val="22"/>
          <w:szCs w:val="22"/>
        </w:rPr>
        <w:t>te</w:t>
      </w:r>
      <w:r>
        <w:rPr>
          <w:b/>
          <w:bCs/>
          <w:sz w:val="22"/>
          <w:szCs w:val="22"/>
        </w:rPr>
        <w:t xml:space="preserve"> özel tüketim </w:t>
      </w:r>
      <w:r w:rsidR="00566E5E">
        <w:rPr>
          <w:b/>
          <w:bCs/>
          <w:sz w:val="22"/>
          <w:szCs w:val="22"/>
        </w:rPr>
        <w:t>arttı</w:t>
      </w:r>
    </w:p>
    <w:p w:rsidR="00175F89" w:rsidRPr="001837A6" w:rsidRDefault="00175F89" w:rsidP="00175F89">
      <w:pPr>
        <w:spacing w:line="360" w:lineRule="auto"/>
        <w:ind w:left="-360" w:right="42"/>
        <w:jc w:val="center"/>
        <w:rPr>
          <w:b/>
          <w:bCs/>
          <w:sz w:val="22"/>
          <w:szCs w:val="22"/>
        </w:rPr>
      </w:pPr>
    </w:p>
    <w:p w:rsidR="00F61806" w:rsidRDefault="00F61806" w:rsidP="00175F89">
      <w:pPr>
        <w:spacing w:line="360" w:lineRule="auto"/>
        <w:ind w:left="-360" w:right="42"/>
        <w:jc w:val="both"/>
        <w:rPr>
          <w:sz w:val="22"/>
          <w:szCs w:val="22"/>
        </w:rPr>
      </w:pPr>
      <w:r>
        <w:rPr>
          <w:sz w:val="22"/>
          <w:szCs w:val="22"/>
        </w:rPr>
        <w:t>Ağustos</w:t>
      </w:r>
      <w:r w:rsidR="00175F89">
        <w:rPr>
          <w:sz w:val="22"/>
          <w:szCs w:val="22"/>
        </w:rPr>
        <w:t xml:space="preserve"> ayında bir önceki aya göre dayanıksız tüketim malı imalatı ve dayanıklı tüketim malı imalatı sırasıyla</w:t>
      </w:r>
      <w:r>
        <w:rPr>
          <w:sz w:val="22"/>
          <w:szCs w:val="22"/>
        </w:rPr>
        <w:t xml:space="preserve"> yüzde 1,0 ve yüzde 4,7 azaldı.</w:t>
      </w:r>
      <w:r w:rsidR="005E6479">
        <w:rPr>
          <w:sz w:val="22"/>
          <w:szCs w:val="22"/>
        </w:rPr>
        <w:t xml:space="preserve"> Buna rağmen çeyreklik bazda hala pozitif artış görünüyor.</w:t>
      </w:r>
      <w:r>
        <w:rPr>
          <w:sz w:val="22"/>
          <w:szCs w:val="22"/>
        </w:rPr>
        <w:t xml:space="preserve"> </w:t>
      </w:r>
      <w:r w:rsidR="005E6479">
        <w:rPr>
          <w:sz w:val="22"/>
          <w:szCs w:val="22"/>
        </w:rPr>
        <w:t>T</w:t>
      </w:r>
      <w:r>
        <w:rPr>
          <w:sz w:val="22"/>
          <w:szCs w:val="22"/>
        </w:rPr>
        <w:t>üketim malı ithalatı</w:t>
      </w:r>
      <w:r w:rsidR="005E6479">
        <w:rPr>
          <w:sz w:val="22"/>
          <w:szCs w:val="22"/>
        </w:rPr>
        <w:t xml:space="preserve"> ise aynı dönemde</w:t>
      </w:r>
      <w:r>
        <w:rPr>
          <w:sz w:val="22"/>
          <w:szCs w:val="22"/>
        </w:rPr>
        <w:t xml:space="preserve"> yüzde 3,7 arttı. Tüketici güven endeksi </w:t>
      </w:r>
      <w:r w:rsidR="005E6479">
        <w:rPr>
          <w:sz w:val="22"/>
          <w:szCs w:val="22"/>
        </w:rPr>
        <w:t xml:space="preserve">Ağustos ayındaki yüzde 0,5'lik artışının ardından, Eylül ayında da yüzde 0,8 arttı. Genel olarak özel tüketim harcamalarının üçüncü çeyrek büyümesine pozitif katkı yapacağını tahmin ediyoruz. </w:t>
      </w:r>
      <w:r>
        <w:rPr>
          <w:sz w:val="22"/>
          <w:szCs w:val="22"/>
        </w:rPr>
        <w:t xml:space="preserve"> </w:t>
      </w:r>
    </w:p>
    <w:p w:rsidR="0063286C" w:rsidRPr="00175F89" w:rsidRDefault="0063286C" w:rsidP="00175F89">
      <w:pPr>
        <w:spacing w:line="360" w:lineRule="auto"/>
        <w:ind w:left="-360" w:right="42"/>
        <w:jc w:val="both"/>
        <w:rPr>
          <w:sz w:val="22"/>
          <w:szCs w:val="22"/>
        </w:rPr>
      </w:pPr>
    </w:p>
    <w:p w:rsidR="00175F89" w:rsidRDefault="00175F89" w:rsidP="00175F89">
      <w:pPr>
        <w:spacing w:line="360" w:lineRule="auto"/>
        <w:ind w:left="-360" w:right="42"/>
        <w:jc w:val="center"/>
        <w:rPr>
          <w:b/>
          <w:bCs/>
          <w:sz w:val="22"/>
          <w:szCs w:val="22"/>
        </w:rPr>
      </w:pPr>
      <w:r>
        <w:rPr>
          <w:b/>
          <w:bCs/>
          <w:sz w:val="22"/>
          <w:szCs w:val="22"/>
        </w:rPr>
        <w:t>Özel yatırım harcamalarında karışık sinyaller</w:t>
      </w:r>
    </w:p>
    <w:p w:rsidR="00175F89" w:rsidRPr="001837A6" w:rsidRDefault="00175F89" w:rsidP="00175F89">
      <w:pPr>
        <w:spacing w:line="360" w:lineRule="auto"/>
        <w:ind w:left="-360" w:right="42"/>
        <w:jc w:val="center"/>
        <w:rPr>
          <w:b/>
          <w:bCs/>
          <w:sz w:val="22"/>
          <w:szCs w:val="22"/>
        </w:rPr>
      </w:pPr>
    </w:p>
    <w:p w:rsidR="00090498" w:rsidRDefault="00090498" w:rsidP="00175F89">
      <w:pPr>
        <w:spacing w:line="360" w:lineRule="auto"/>
        <w:ind w:left="-360" w:right="43"/>
        <w:jc w:val="both"/>
        <w:rPr>
          <w:bCs/>
          <w:sz w:val="22"/>
          <w:szCs w:val="22"/>
        </w:rPr>
      </w:pPr>
      <w:r>
        <w:rPr>
          <w:bCs/>
          <w:sz w:val="22"/>
          <w:szCs w:val="22"/>
        </w:rPr>
        <w:t xml:space="preserve">Ağustos </w:t>
      </w:r>
      <w:r w:rsidR="00175F89">
        <w:rPr>
          <w:bCs/>
          <w:sz w:val="22"/>
          <w:szCs w:val="22"/>
        </w:rPr>
        <w:t>ayında bir önceki aya göre yatırım malı ithalatı</w:t>
      </w:r>
      <w:r>
        <w:rPr>
          <w:bCs/>
          <w:sz w:val="22"/>
          <w:szCs w:val="22"/>
        </w:rPr>
        <w:t xml:space="preserve"> yüzde 10,7 azalırken,</w:t>
      </w:r>
      <w:r w:rsidR="00175F89">
        <w:rPr>
          <w:bCs/>
          <w:sz w:val="22"/>
          <w:szCs w:val="22"/>
        </w:rPr>
        <w:t xml:space="preserve"> yatırım malı imalatı yüzde </w:t>
      </w:r>
      <w:r>
        <w:rPr>
          <w:bCs/>
          <w:sz w:val="22"/>
          <w:szCs w:val="22"/>
        </w:rPr>
        <w:t>1,7</w:t>
      </w:r>
      <w:r w:rsidR="00175F89">
        <w:rPr>
          <w:bCs/>
          <w:sz w:val="22"/>
          <w:szCs w:val="22"/>
        </w:rPr>
        <w:t xml:space="preserve"> arttı. </w:t>
      </w:r>
      <w:r>
        <w:rPr>
          <w:bCs/>
          <w:sz w:val="22"/>
          <w:szCs w:val="22"/>
        </w:rPr>
        <w:t>Yine aynı dönemde, SÜE yüzde 1,4</w:t>
      </w:r>
      <w:r w:rsidR="00175F89">
        <w:rPr>
          <w:bCs/>
          <w:sz w:val="22"/>
          <w:szCs w:val="22"/>
        </w:rPr>
        <w:t xml:space="preserve"> </w:t>
      </w:r>
      <w:r>
        <w:rPr>
          <w:bCs/>
          <w:sz w:val="22"/>
          <w:szCs w:val="22"/>
        </w:rPr>
        <w:t>azaldı</w:t>
      </w:r>
      <w:r w:rsidR="00175F89">
        <w:rPr>
          <w:bCs/>
          <w:sz w:val="22"/>
          <w:szCs w:val="22"/>
        </w:rPr>
        <w:t xml:space="preserve">. </w:t>
      </w:r>
      <w:r>
        <w:rPr>
          <w:bCs/>
          <w:sz w:val="22"/>
          <w:szCs w:val="22"/>
        </w:rPr>
        <w:t>Kapasite kullanım oranı Eylül ayında bir önceki ay</w:t>
      </w:r>
      <w:r w:rsidR="009C2076">
        <w:rPr>
          <w:bCs/>
          <w:sz w:val="22"/>
          <w:szCs w:val="22"/>
        </w:rPr>
        <w:t>a kıyasla</w:t>
      </w:r>
      <w:r>
        <w:rPr>
          <w:bCs/>
          <w:sz w:val="22"/>
          <w:szCs w:val="22"/>
        </w:rPr>
        <w:t xml:space="preserve"> aynı seviyede kaldı. Reel kesim güven endeksi Eylül ayında yüzde 1,3 arttı, fakat çeyreklik bazda </w:t>
      </w:r>
      <w:r w:rsidR="00732049">
        <w:rPr>
          <w:bCs/>
          <w:sz w:val="22"/>
          <w:szCs w:val="22"/>
        </w:rPr>
        <w:t>hala negatif görünümünü koruyor.</w:t>
      </w:r>
      <w:r w:rsidR="004D5E10">
        <w:rPr>
          <w:bCs/>
          <w:sz w:val="22"/>
          <w:szCs w:val="22"/>
        </w:rPr>
        <w:t xml:space="preserve"> Şu ana kadar </w:t>
      </w:r>
      <w:r w:rsidR="009C2076">
        <w:rPr>
          <w:bCs/>
          <w:sz w:val="22"/>
          <w:szCs w:val="22"/>
        </w:rPr>
        <w:t>açıklanan</w:t>
      </w:r>
      <w:r w:rsidR="004D5E10">
        <w:rPr>
          <w:bCs/>
          <w:sz w:val="22"/>
          <w:szCs w:val="22"/>
        </w:rPr>
        <w:t xml:space="preserve"> verilere göre özel yatırım harcamalarının 3. çeyrekte de</w:t>
      </w:r>
      <w:r w:rsidR="009C2076">
        <w:rPr>
          <w:bCs/>
          <w:sz w:val="22"/>
          <w:szCs w:val="22"/>
        </w:rPr>
        <w:t xml:space="preserve"> reel GSYH büyümesine</w:t>
      </w:r>
      <w:r w:rsidR="004D5E10">
        <w:rPr>
          <w:bCs/>
          <w:sz w:val="22"/>
          <w:szCs w:val="22"/>
        </w:rPr>
        <w:t xml:space="preserve"> </w:t>
      </w:r>
      <w:r w:rsidR="00566E5E">
        <w:rPr>
          <w:bCs/>
          <w:sz w:val="22"/>
          <w:szCs w:val="22"/>
        </w:rPr>
        <w:t xml:space="preserve">sınırlı olmakla beraber </w:t>
      </w:r>
      <w:r w:rsidR="004D5E10">
        <w:rPr>
          <w:bCs/>
          <w:sz w:val="22"/>
          <w:szCs w:val="22"/>
        </w:rPr>
        <w:t>negatif katkı yapacağını tahmin ediyoruz.</w:t>
      </w:r>
    </w:p>
    <w:p w:rsidR="00175F89" w:rsidRDefault="00175F89" w:rsidP="00175F89">
      <w:pPr>
        <w:spacing w:line="360" w:lineRule="auto"/>
        <w:ind w:left="-360" w:right="43"/>
        <w:jc w:val="both"/>
        <w:rPr>
          <w:bCs/>
          <w:sz w:val="22"/>
          <w:szCs w:val="22"/>
        </w:rPr>
      </w:pPr>
    </w:p>
    <w:p w:rsidR="00175F89" w:rsidRDefault="004D5E10" w:rsidP="00175F89">
      <w:pPr>
        <w:spacing w:line="360" w:lineRule="auto"/>
        <w:ind w:left="-360" w:right="43"/>
        <w:jc w:val="center"/>
        <w:rPr>
          <w:b/>
          <w:bCs/>
          <w:sz w:val="22"/>
          <w:szCs w:val="22"/>
        </w:rPr>
      </w:pPr>
      <w:r>
        <w:rPr>
          <w:b/>
          <w:bCs/>
          <w:sz w:val="22"/>
          <w:szCs w:val="22"/>
        </w:rPr>
        <w:t>Ağustos</w:t>
      </w:r>
      <w:r w:rsidR="00175F89">
        <w:rPr>
          <w:b/>
          <w:bCs/>
          <w:sz w:val="22"/>
          <w:szCs w:val="22"/>
        </w:rPr>
        <w:t xml:space="preserve"> ayında ihracatta büyük </w:t>
      </w:r>
      <w:r>
        <w:rPr>
          <w:b/>
          <w:bCs/>
          <w:sz w:val="22"/>
          <w:szCs w:val="22"/>
        </w:rPr>
        <w:t>düşüş</w:t>
      </w:r>
    </w:p>
    <w:p w:rsidR="00175F89" w:rsidRDefault="00175F89" w:rsidP="00175F89">
      <w:pPr>
        <w:spacing w:line="360" w:lineRule="auto"/>
        <w:ind w:left="-360" w:right="43"/>
        <w:jc w:val="center"/>
        <w:rPr>
          <w:b/>
          <w:bCs/>
          <w:sz w:val="22"/>
          <w:szCs w:val="22"/>
        </w:rPr>
      </w:pPr>
    </w:p>
    <w:p w:rsidR="00C777D3" w:rsidRDefault="00175F89" w:rsidP="004C357C">
      <w:pPr>
        <w:spacing w:line="360" w:lineRule="auto"/>
        <w:ind w:left="-360" w:right="43"/>
        <w:jc w:val="both"/>
        <w:rPr>
          <w:sz w:val="22"/>
          <w:szCs w:val="22"/>
        </w:rPr>
      </w:pPr>
      <w:r>
        <w:rPr>
          <w:sz w:val="22"/>
          <w:szCs w:val="22"/>
        </w:rPr>
        <w:t xml:space="preserve">Şekil 2 </w:t>
      </w:r>
      <w:proofErr w:type="spellStart"/>
      <w:r>
        <w:rPr>
          <w:sz w:val="22"/>
          <w:szCs w:val="22"/>
        </w:rPr>
        <w:t>TÜİK’in</w:t>
      </w:r>
      <w:proofErr w:type="spellEnd"/>
      <w:r>
        <w:rPr>
          <w:sz w:val="22"/>
          <w:szCs w:val="22"/>
        </w:rPr>
        <w:t xml:space="preserve"> açıkladığı mevsim ve takvim etkisinden arındırılmış ihracat ve ithalat miktar endekslerini gösteriyor. </w:t>
      </w:r>
      <w:r w:rsidR="004D5E10">
        <w:rPr>
          <w:sz w:val="22"/>
          <w:szCs w:val="22"/>
        </w:rPr>
        <w:t>Ağustos</w:t>
      </w:r>
      <w:r>
        <w:rPr>
          <w:sz w:val="22"/>
          <w:szCs w:val="22"/>
        </w:rPr>
        <w:t xml:space="preserve"> ayında bir önceki aya göre ihracat</w:t>
      </w:r>
      <w:r w:rsidR="004D5E10">
        <w:rPr>
          <w:sz w:val="22"/>
          <w:szCs w:val="22"/>
        </w:rPr>
        <w:t xml:space="preserve"> miktar endeksi yüzde 15,0 azalırken,</w:t>
      </w:r>
      <w:r>
        <w:rPr>
          <w:sz w:val="22"/>
          <w:szCs w:val="22"/>
        </w:rPr>
        <w:t xml:space="preserve"> ithalat miktar endeks</w:t>
      </w:r>
      <w:r w:rsidR="00BC6E42">
        <w:rPr>
          <w:sz w:val="22"/>
          <w:szCs w:val="22"/>
        </w:rPr>
        <w:t>i</w:t>
      </w:r>
      <w:r>
        <w:rPr>
          <w:sz w:val="22"/>
          <w:szCs w:val="22"/>
        </w:rPr>
        <w:t xml:space="preserve"> yüzde </w:t>
      </w:r>
      <w:r w:rsidR="00BC6E42">
        <w:rPr>
          <w:sz w:val="22"/>
          <w:szCs w:val="22"/>
        </w:rPr>
        <w:t>2,3</w:t>
      </w:r>
      <w:r>
        <w:rPr>
          <w:sz w:val="22"/>
          <w:szCs w:val="22"/>
        </w:rPr>
        <w:t xml:space="preserve"> arttı. Aynı dönemde altın </w:t>
      </w:r>
      <w:r w:rsidR="00BC6E42">
        <w:rPr>
          <w:sz w:val="22"/>
          <w:szCs w:val="22"/>
        </w:rPr>
        <w:t>hariç reel ihracat ise yüzde 0,5</w:t>
      </w:r>
      <w:r>
        <w:rPr>
          <w:sz w:val="22"/>
          <w:szCs w:val="22"/>
        </w:rPr>
        <w:t xml:space="preserve"> azalırken, altın hariç reel ithalat yüzde </w:t>
      </w:r>
      <w:r w:rsidR="00BC6E42">
        <w:rPr>
          <w:sz w:val="22"/>
          <w:szCs w:val="22"/>
        </w:rPr>
        <w:t>0,3</w:t>
      </w:r>
      <w:r>
        <w:rPr>
          <w:sz w:val="22"/>
          <w:szCs w:val="22"/>
        </w:rPr>
        <w:t xml:space="preserve"> arttı. </w:t>
      </w:r>
      <w:r w:rsidR="00941B1A">
        <w:rPr>
          <w:sz w:val="22"/>
          <w:szCs w:val="22"/>
        </w:rPr>
        <w:lastRenderedPageBreak/>
        <w:t xml:space="preserve">Eldeki </w:t>
      </w:r>
      <w:r w:rsidR="00BC6E42">
        <w:rPr>
          <w:sz w:val="22"/>
          <w:szCs w:val="22"/>
        </w:rPr>
        <w:t xml:space="preserve">verilere göre net ihracatın 3. çeyrek büyümesine hemen </w:t>
      </w:r>
      <w:proofErr w:type="spellStart"/>
      <w:r w:rsidR="00BC6E42">
        <w:rPr>
          <w:sz w:val="22"/>
          <w:szCs w:val="22"/>
        </w:rPr>
        <w:t>hemen</w:t>
      </w:r>
      <w:proofErr w:type="spellEnd"/>
      <w:r w:rsidR="00BC6E42">
        <w:rPr>
          <w:sz w:val="22"/>
          <w:szCs w:val="22"/>
        </w:rPr>
        <w:t xml:space="preserve"> hiç katkı yapmayacağını öngörüyoruz.</w:t>
      </w:r>
      <w:r>
        <w:rPr>
          <w:sz w:val="22"/>
          <w:szCs w:val="22"/>
        </w:rPr>
        <w:t xml:space="preserve"> </w:t>
      </w:r>
    </w:p>
    <w:p w:rsidR="00175F89" w:rsidRDefault="00175F89" w:rsidP="004C357C">
      <w:pPr>
        <w:spacing w:line="360" w:lineRule="auto"/>
        <w:ind w:left="-360" w:right="43"/>
        <w:jc w:val="both"/>
        <w:rPr>
          <w:sz w:val="22"/>
          <w:szCs w:val="22"/>
        </w:rPr>
      </w:pPr>
    </w:p>
    <w:p w:rsidR="00C777D3" w:rsidRDefault="00C777D3" w:rsidP="00C777D3">
      <w:pPr>
        <w:spacing w:line="360" w:lineRule="auto"/>
        <w:ind w:left="-360" w:right="43"/>
        <w:jc w:val="center"/>
        <w:rPr>
          <w:b/>
          <w:bCs/>
          <w:sz w:val="22"/>
          <w:szCs w:val="22"/>
        </w:rPr>
      </w:pPr>
      <w:r>
        <w:rPr>
          <w:b/>
          <w:bCs/>
          <w:sz w:val="22"/>
          <w:szCs w:val="22"/>
        </w:rPr>
        <w:t>Cari açık</w:t>
      </w:r>
      <w:r w:rsidR="00566E5E">
        <w:rPr>
          <w:b/>
          <w:bCs/>
          <w:sz w:val="22"/>
          <w:szCs w:val="22"/>
        </w:rPr>
        <w:t xml:space="preserve"> </w:t>
      </w:r>
      <w:r w:rsidR="001F2A11">
        <w:rPr>
          <w:b/>
          <w:bCs/>
          <w:sz w:val="22"/>
          <w:szCs w:val="22"/>
        </w:rPr>
        <w:t>arttı</w:t>
      </w:r>
    </w:p>
    <w:p w:rsidR="00C777D3" w:rsidRDefault="00C777D3" w:rsidP="00C777D3">
      <w:pPr>
        <w:spacing w:line="360" w:lineRule="auto"/>
        <w:ind w:left="-360" w:right="43"/>
        <w:jc w:val="center"/>
        <w:rPr>
          <w:b/>
          <w:bCs/>
          <w:sz w:val="22"/>
          <w:szCs w:val="22"/>
        </w:rPr>
      </w:pPr>
    </w:p>
    <w:p w:rsidR="00C777D3" w:rsidRDefault="001F2A11" w:rsidP="00C777D3">
      <w:pPr>
        <w:spacing w:line="360" w:lineRule="auto"/>
        <w:ind w:left="-360" w:right="43"/>
        <w:jc w:val="both"/>
        <w:rPr>
          <w:sz w:val="22"/>
          <w:szCs w:val="22"/>
        </w:rPr>
      </w:pPr>
      <w:r>
        <w:rPr>
          <w:sz w:val="22"/>
          <w:szCs w:val="22"/>
        </w:rPr>
        <w:t xml:space="preserve">Ağustos </w:t>
      </w:r>
      <w:r w:rsidR="00C777D3">
        <w:rPr>
          <w:sz w:val="22"/>
          <w:szCs w:val="22"/>
        </w:rPr>
        <w:t xml:space="preserve">ayında cari açık </w:t>
      </w:r>
      <w:r w:rsidR="00EE66E0">
        <w:rPr>
          <w:sz w:val="22"/>
          <w:szCs w:val="22"/>
        </w:rPr>
        <w:t>2,</w:t>
      </w:r>
      <w:r>
        <w:rPr>
          <w:sz w:val="22"/>
          <w:szCs w:val="22"/>
        </w:rPr>
        <w:t>8</w:t>
      </w:r>
      <w:r w:rsidR="00C777D3">
        <w:rPr>
          <w:sz w:val="22"/>
          <w:szCs w:val="22"/>
        </w:rPr>
        <w:t xml:space="preserve"> milyar dolar olarak </w:t>
      </w:r>
      <w:r>
        <w:rPr>
          <w:sz w:val="22"/>
          <w:szCs w:val="22"/>
        </w:rPr>
        <w:t xml:space="preserve">beklentilerin üzerinde </w:t>
      </w:r>
      <w:r w:rsidR="00C777D3">
        <w:rPr>
          <w:sz w:val="22"/>
          <w:szCs w:val="22"/>
        </w:rPr>
        <w:t xml:space="preserve">gerçekleşti. Geçtiğimiz yılın aynı ayında cari açık </w:t>
      </w:r>
      <w:r>
        <w:rPr>
          <w:sz w:val="22"/>
          <w:szCs w:val="22"/>
        </w:rPr>
        <w:t>2</w:t>
      </w:r>
      <w:r w:rsidR="00C777D3">
        <w:rPr>
          <w:sz w:val="22"/>
          <w:szCs w:val="22"/>
        </w:rPr>
        <w:t>,</w:t>
      </w:r>
      <w:r>
        <w:rPr>
          <w:sz w:val="22"/>
          <w:szCs w:val="22"/>
        </w:rPr>
        <w:t>4</w:t>
      </w:r>
      <w:r w:rsidR="00C777D3">
        <w:rPr>
          <w:sz w:val="22"/>
          <w:szCs w:val="22"/>
        </w:rPr>
        <w:t xml:space="preserve"> milyar dolardı.</w:t>
      </w:r>
      <w:r>
        <w:rPr>
          <w:sz w:val="22"/>
          <w:szCs w:val="22"/>
        </w:rPr>
        <w:t xml:space="preserve"> </w:t>
      </w:r>
      <w:r w:rsidR="00C777D3">
        <w:rPr>
          <w:sz w:val="22"/>
          <w:szCs w:val="22"/>
        </w:rPr>
        <w:t>12 aylık toplam cari açık</w:t>
      </w:r>
      <w:r>
        <w:rPr>
          <w:sz w:val="22"/>
          <w:szCs w:val="22"/>
        </w:rPr>
        <w:t xml:space="preserve"> çok sınırlı bir miktar artarak</w:t>
      </w:r>
      <w:r w:rsidR="00C777D3">
        <w:rPr>
          <w:sz w:val="22"/>
          <w:szCs w:val="22"/>
        </w:rPr>
        <w:t xml:space="preserve"> </w:t>
      </w:r>
      <w:r>
        <w:rPr>
          <w:sz w:val="22"/>
          <w:szCs w:val="22"/>
        </w:rPr>
        <w:t>48</w:t>
      </w:r>
      <w:r w:rsidR="00C777D3">
        <w:rPr>
          <w:sz w:val="22"/>
          <w:szCs w:val="22"/>
        </w:rPr>
        <w:t>,</w:t>
      </w:r>
      <w:r>
        <w:rPr>
          <w:sz w:val="22"/>
          <w:szCs w:val="22"/>
        </w:rPr>
        <w:t>5</w:t>
      </w:r>
      <w:r w:rsidR="00C777D3">
        <w:rPr>
          <w:sz w:val="22"/>
          <w:szCs w:val="22"/>
        </w:rPr>
        <w:t xml:space="preserve"> milyar dolardan </w:t>
      </w:r>
      <w:r w:rsidR="00CD4B69">
        <w:rPr>
          <w:sz w:val="22"/>
          <w:szCs w:val="22"/>
        </w:rPr>
        <w:t>48</w:t>
      </w:r>
      <w:r w:rsidR="00C777D3">
        <w:rPr>
          <w:sz w:val="22"/>
          <w:szCs w:val="22"/>
        </w:rPr>
        <w:t>,</w:t>
      </w:r>
      <w:r>
        <w:rPr>
          <w:sz w:val="22"/>
          <w:szCs w:val="22"/>
        </w:rPr>
        <w:t>9</w:t>
      </w:r>
      <w:r w:rsidR="00C777D3">
        <w:rPr>
          <w:sz w:val="22"/>
          <w:szCs w:val="22"/>
        </w:rPr>
        <w:t xml:space="preserve"> milyar dolara </w:t>
      </w:r>
      <w:r>
        <w:rPr>
          <w:sz w:val="22"/>
          <w:szCs w:val="22"/>
        </w:rPr>
        <w:t>çıktı</w:t>
      </w:r>
      <w:r w:rsidR="00C777D3">
        <w:rPr>
          <w:sz w:val="22"/>
          <w:szCs w:val="22"/>
        </w:rPr>
        <w:t xml:space="preserve">. </w:t>
      </w:r>
      <w:r>
        <w:rPr>
          <w:sz w:val="22"/>
          <w:szCs w:val="22"/>
        </w:rPr>
        <w:t>Ancak Temmuz ayında altın etkisiyle gerçekleşen düşüş çeyreklik bazda cari açığın düşmesine neden oluyor.</w:t>
      </w:r>
      <w:r w:rsidR="00377FEF">
        <w:rPr>
          <w:sz w:val="22"/>
          <w:szCs w:val="22"/>
        </w:rPr>
        <w:t xml:space="preserve"> İ</w:t>
      </w:r>
      <w:r w:rsidR="00CD4B69">
        <w:rPr>
          <w:sz w:val="22"/>
          <w:szCs w:val="22"/>
        </w:rPr>
        <w:t>kinci</w:t>
      </w:r>
      <w:r w:rsidR="00C777D3">
        <w:rPr>
          <w:sz w:val="22"/>
          <w:szCs w:val="22"/>
        </w:rPr>
        <w:t xml:space="preserve"> çeyrek sonunda</w:t>
      </w:r>
      <w:r w:rsidR="00CD4B69">
        <w:rPr>
          <w:sz w:val="22"/>
          <w:szCs w:val="22"/>
        </w:rPr>
        <w:t xml:space="preserve"> 12 aylık toplam</w:t>
      </w:r>
      <w:r w:rsidR="00C777D3">
        <w:rPr>
          <w:sz w:val="22"/>
          <w:szCs w:val="22"/>
        </w:rPr>
        <w:t xml:space="preserve"> cari açı</w:t>
      </w:r>
      <w:r w:rsidR="00CD4B69">
        <w:rPr>
          <w:sz w:val="22"/>
          <w:szCs w:val="22"/>
        </w:rPr>
        <w:t xml:space="preserve">ğın </w:t>
      </w:r>
      <w:proofErr w:type="spellStart"/>
      <w:r w:rsidR="00CD4B69">
        <w:rPr>
          <w:sz w:val="22"/>
          <w:szCs w:val="22"/>
        </w:rPr>
        <w:t>GSYH'a</w:t>
      </w:r>
      <w:proofErr w:type="spellEnd"/>
      <w:r w:rsidR="00CD4B69">
        <w:rPr>
          <w:sz w:val="22"/>
          <w:szCs w:val="22"/>
        </w:rPr>
        <w:t xml:space="preserve"> oranı</w:t>
      </w:r>
      <w:r w:rsidR="00C777D3">
        <w:rPr>
          <w:sz w:val="22"/>
          <w:szCs w:val="22"/>
        </w:rPr>
        <w:t xml:space="preserve"> yüzde 7,</w:t>
      </w:r>
      <w:r w:rsidR="00FF4C60">
        <w:rPr>
          <w:sz w:val="22"/>
          <w:szCs w:val="22"/>
        </w:rPr>
        <w:t>4</w:t>
      </w:r>
      <w:r w:rsidR="00C777D3">
        <w:rPr>
          <w:sz w:val="22"/>
          <w:szCs w:val="22"/>
        </w:rPr>
        <w:t>'d</w:t>
      </w:r>
      <w:r w:rsidR="00CD4B69">
        <w:rPr>
          <w:sz w:val="22"/>
          <w:szCs w:val="22"/>
        </w:rPr>
        <w:t>e</w:t>
      </w:r>
      <w:r w:rsidR="00C777D3">
        <w:rPr>
          <w:sz w:val="22"/>
          <w:szCs w:val="22"/>
        </w:rPr>
        <w:t xml:space="preserve">n yüzde </w:t>
      </w:r>
      <w:r w:rsidR="00CD4B69">
        <w:rPr>
          <w:sz w:val="22"/>
          <w:szCs w:val="22"/>
        </w:rPr>
        <w:t>6</w:t>
      </w:r>
      <w:r w:rsidR="00C777D3">
        <w:rPr>
          <w:sz w:val="22"/>
          <w:szCs w:val="22"/>
        </w:rPr>
        <w:t>,5'e düş</w:t>
      </w:r>
      <w:r w:rsidR="00377FEF">
        <w:rPr>
          <w:sz w:val="22"/>
          <w:szCs w:val="22"/>
        </w:rPr>
        <w:t>müştü</w:t>
      </w:r>
      <w:r w:rsidR="00CD4B69">
        <w:rPr>
          <w:sz w:val="22"/>
          <w:szCs w:val="22"/>
        </w:rPr>
        <w:t>.</w:t>
      </w:r>
      <w:r w:rsidR="00C777D3">
        <w:rPr>
          <w:sz w:val="22"/>
          <w:szCs w:val="22"/>
        </w:rPr>
        <w:t xml:space="preserve"> </w:t>
      </w:r>
      <w:r w:rsidR="00CD4B69">
        <w:rPr>
          <w:sz w:val="22"/>
          <w:szCs w:val="22"/>
        </w:rPr>
        <w:t>Üçüncü</w:t>
      </w:r>
      <w:r w:rsidR="00C777D3">
        <w:rPr>
          <w:sz w:val="22"/>
          <w:szCs w:val="22"/>
        </w:rPr>
        <w:t xml:space="preserve"> çeyrek sonunda bu oranın yüzde 6,</w:t>
      </w:r>
      <w:r w:rsidR="00377FEF">
        <w:rPr>
          <w:sz w:val="22"/>
          <w:szCs w:val="22"/>
        </w:rPr>
        <w:t>2</w:t>
      </w:r>
      <w:r w:rsidR="00C777D3">
        <w:rPr>
          <w:sz w:val="22"/>
          <w:szCs w:val="22"/>
        </w:rPr>
        <w:t>'</w:t>
      </w:r>
      <w:r w:rsidR="00377FEF">
        <w:rPr>
          <w:sz w:val="22"/>
          <w:szCs w:val="22"/>
        </w:rPr>
        <w:t>y</w:t>
      </w:r>
      <w:r w:rsidR="00CD4B69">
        <w:rPr>
          <w:sz w:val="22"/>
          <w:szCs w:val="22"/>
        </w:rPr>
        <w:t>e</w:t>
      </w:r>
      <w:r w:rsidR="00C777D3">
        <w:rPr>
          <w:sz w:val="22"/>
          <w:szCs w:val="22"/>
        </w:rPr>
        <w:t xml:space="preserve"> düşmesini bekliyoruz. Altın hari</w:t>
      </w:r>
      <w:r w:rsidR="00FF4C60">
        <w:rPr>
          <w:sz w:val="22"/>
          <w:szCs w:val="22"/>
        </w:rPr>
        <w:t>ç cari açık oranının ise yüzde 5</w:t>
      </w:r>
      <w:r w:rsidR="00C777D3">
        <w:rPr>
          <w:sz w:val="22"/>
          <w:szCs w:val="22"/>
        </w:rPr>
        <w:t>,</w:t>
      </w:r>
      <w:r w:rsidR="00FF4C60">
        <w:rPr>
          <w:sz w:val="22"/>
          <w:szCs w:val="22"/>
        </w:rPr>
        <w:t>9</w:t>
      </w:r>
      <w:r w:rsidR="00C777D3">
        <w:rPr>
          <w:sz w:val="22"/>
          <w:szCs w:val="22"/>
        </w:rPr>
        <w:t>'</w:t>
      </w:r>
      <w:r w:rsidR="00FF4C60">
        <w:rPr>
          <w:sz w:val="22"/>
          <w:szCs w:val="22"/>
        </w:rPr>
        <w:t>d</w:t>
      </w:r>
      <w:r w:rsidR="00C777D3">
        <w:rPr>
          <w:sz w:val="22"/>
          <w:szCs w:val="22"/>
        </w:rPr>
        <w:t>en 5,</w:t>
      </w:r>
      <w:r w:rsidR="00377FEF">
        <w:rPr>
          <w:sz w:val="22"/>
          <w:szCs w:val="22"/>
        </w:rPr>
        <w:t>8</w:t>
      </w:r>
      <w:r w:rsidR="00C777D3">
        <w:rPr>
          <w:sz w:val="22"/>
          <w:szCs w:val="22"/>
        </w:rPr>
        <w:t>'</w:t>
      </w:r>
      <w:r w:rsidR="00FF4C60">
        <w:rPr>
          <w:sz w:val="22"/>
          <w:szCs w:val="22"/>
        </w:rPr>
        <w:t>e</w:t>
      </w:r>
      <w:r w:rsidR="00C777D3">
        <w:rPr>
          <w:sz w:val="22"/>
          <w:szCs w:val="22"/>
        </w:rPr>
        <w:t xml:space="preserve"> ineceğini tahmin ediyoruz.</w:t>
      </w:r>
    </w:p>
    <w:p w:rsidR="00C777D3" w:rsidRDefault="00C777D3" w:rsidP="004C357C">
      <w:pPr>
        <w:spacing w:line="360" w:lineRule="auto"/>
        <w:ind w:left="-360" w:right="43"/>
        <w:jc w:val="both"/>
        <w:rPr>
          <w:sz w:val="22"/>
          <w:szCs w:val="22"/>
        </w:rPr>
      </w:pPr>
    </w:p>
    <w:p w:rsidR="00702823" w:rsidRDefault="00702823" w:rsidP="00702823">
      <w:pPr>
        <w:spacing w:line="360" w:lineRule="auto"/>
        <w:ind w:left="-360" w:right="43"/>
        <w:jc w:val="center"/>
        <w:rPr>
          <w:b/>
          <w:bCs/>
          <w:sz w:val="22"/>
          <w:szCs w:val="22"/>
        </w:rPr>
      </w:pPr>
    </w:p>
    <w:p w:rsidR="00C777D3" w:rsidRDefault="00C777D3"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pPr>
    </w:p>
    <w:p w:rsidR="00EF12B8" w:rsidRDefault="00EF12B8" w:rsidP="00392A7C">
      <w:pPr>
        <w:spacing w:line="360" w:lineRule="auto"/>
        <w:ind w:right="42"/>
        <w:jc w:val="both"/>
        <w:rPr>
          <w:b/>
          <w:bCs/>
          <w:sz w:val="22"/>
          <w:szCs w:val="22"/>
        </w:rPr>
        <w:sectPr w:rsidR="00EF12B8" w:rsidSect="00EF12B8">
          <w:type w:val="continuous"/>
          <w:pgSz w:w="11906" w:h="16838"/>
          <w:pgMar w:top="1417" w:right="1417" w:bottom="1417" w:left="1417" w:header="708" w:footer="708" w:gutter="0"/>
          <w:cols w:num="2" w:space="708"/>
          <w:docGrid w:linePitch="360"/>
        </w:sectPr>
      </w:pPr>
    </w:p>
    <w:p w:rsidR="00EF12B8" w:rsidRDefault="00EF12B8" w:rsidP="00392A7C">
      <w:pPr>
        <w:spacing w:line="360" w:lineRule="auto"/>
        <w:ind w:right="42"/>
        <w:jc w:val="both"/>
        <w:rPr>
          <w:b/>
          <w:bCs/>
          <w:sz w:val="22"/>
          <w:szCs w:val="22"/>
        </w:rPr>
      </w:pPr>
    </w:p>
    <w:p w:rsidR="00175F89" w:rsidRPr="009B33E7" w:rsidRDefault="00175F89" w:rsidP="00175F89">
      <w:pPr>
        <w:spacing w:line="360" w:lineRule="auto"/>
        <w:ind w:right="42"/>
        <w:jc w:val="both"/>
        <w:rPr>
          <w:sz w:val="22"/>
          <w:szCs w:val="22"/>
        </w:rPr>
      </w:pPr>
      <w:r w:rsidRPr="008C6E50">
        <w:rPr>
          <w:b/>
          <w:bCs/>
          <w:sz w:val="22"/>
          <w:szCs w:val="22"/>
        </w:rPr>
        <w:lastRenderedPageBreak/>
        <w:t>Tablo</w:t>
      </w:r>
      <w:r>
        <w:rPr>
          <w:b/>
          <w:bCs/>
          <w:sz w:val="22"/>
          <w:szCs w:val="22"/>
        </w:rPr>
        <w:t xml:space="preserve"> 2</w:t>
      </w:r>
      <w:r w:rsidRPr="008C6E50">
        <w:rPr>
          <w:b/>
          <w:bCs/>
          <w:sz w:val="22"/>
          <w:szCs w:val="22"/>
        </w:rPr>
        <w:t>. Ekonomik göstergelerin aydan aya ve çeyrekten çeyreğe değişimleri (Reel ve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5"/>
        <w:gridCol w:w="1098"/>
        <w:gridCol w:w="1165"/>
        <w:gridCol w:w="1159"/>
        <w:gridCol w:w="1079"/>
        <w:gridCol w:w="958"/>
        <w:gridCol w:w="958"/>
      </w:tblGrid>
      <w:tr w:rsidR="0070339C" w:rsidTr="00575BDE">
        <w:trPr>
          <w:trHeight w:val="607"/>
        </w:trPr>
        <w:tc>
          <w:tcPr>
            <w:tcW w:w="3210" w:type="dxa"/>
            <w:vAlign w:val="center"/>
          </w:tcPr>
          <w:p w:rsidR="0070339C" w:rsidRPr="00261A05" w:rsidRDefault="0070339C" w:rsidP="00575BDE">
            <w:pPr>
              <w:ind w:right="42"/>
              <w:jc w:val="center"/>
              <w:rPr>
                <w:b/>
                <w:bCs/>
              </w:rPr>
            </w:pPr>
            <w:r w:rsidRPr="00261A05">
              <w:rPr>
                <w:b/>
                <w:bCs/>
                <w:sz w:val="22"/>
                <w:szCs w:val="22"/>
              </w:rPr>
              <w:t>Ekonomik Göstergeler</w:t>
            </w:r>
          </w:p>
        </w:tc>
        <w:tc>
          <w:tcPr>
            <w:tcW w:w="1035" w:type="dxa"/>
            <w:vAlign w:val="center"/>
          </w:tcPr>
          <w:p w:rsidR="0070339C" w:rsidRPr="00261A05" w:rsidRDefault="0070339C" w:rsidP="00C7664F">
            <w:pPr>
              <w:ind w:right="42"/>
              <w:jc w:val="center"/>
              <w:rPr>
                <w:b/>
                <w:bCs/>
              </w:rPr>
            </w:pPr>
            <w:r>
              <w:rPr>
                <w:b/>
                <w:bCs/>
              </w:rPr>
              <w:t>Haziran</w:t>
            </w:r>
          </w:p>
        </w:tc>
        <w:tc>
          <w:tcPr>
            <w:tcW w:w="1098" w:type="dxa"/>
            <w:vAlign w:val="center"/>
          </w:tcPr>
          <w:p w:rsidR="0070339C" w:rsidRPr="00261A05" w:rsidRDefault="0070339C" w:rsidP="00C7664F">
            <w:pPr>
              <w:ind w:right="42"/>
              <w:jc w:val="center"/>
              <w:rPr>
                <w:b/>
                <w:bCs/>
              </w:rPr>
            </w:pPr>
            <w:r>
              <w:rPr>
                <w:b/>
                <w:bCs/>
              </w:rPr>
              <w:t>Temmuz</w:t>
            </w:r>
          </w:p>
        </w:tc>
        <w:tc>
          <w:tcPr>
            <w:tcW w:w="1165" w:type="dxa"/>
            <w:vAlign w:val="center"/>
          </w:tcPr>
          <w:p w:rsidR="0070339C" w:rsidRPr="00261A05" w:rsidRDefault="0070339C" w:rsidP="00C7664F">
            <w:pPr>
              <w:ind w:right="42"/>
              <w:jc w:val="center"/>
              <w:rPr>
                <w:b/>
                <w:bCs/>
              </w:rPr>
            </w:pPr>
            <w:r>
              <w:rPr>
                <w:b/>
                <w:bCs/>
              </w:rPr>
              <w:t>Ağustos</w:t>
            </w:r>
          </w:p>
        </w:tc>
        <w:tc>
          <w:tcPr>
            <w:tcW w:w="1096" w:type="dxa"/>
            <w:tcBorders>
              <w:right w:val="double" w:sz="4" w:space="0" w:color="auto"/>
            </w:tcBorders>
            <w:vAlign w:val="center"/>
          </w:tcPr>
          <w:p w:rsidR="0070339C" w:rsidRPr="00261A05" w:rsidRDefault="0070339C" w:rsidP="00575BDE">
            <w:pPr>
              <w:ind w:right="42"/>
              <w:jc w:val="center"/>
              <w:rPr>
                <w:b/>
                <w:bCs/>
              </w:rPr>
            </w:pPr>
            <w:r>
              <w:rPr>
                <w:b/>
                <w:bCs/>
              </w:rPr>
              <w:t>Eylül</w:t>
            </w:r>
          </w:p>
        </w:tc>
        <w:tc>
          <w:tcPr>
            <w:tcW w:w="959" w:type="dxa"/>
            <w:tcBorders>
              <w:left w:val="double" w:sz="4" w:space="0" w:color="auto"/>
            </w:tcBorders>
            <w:vAlign w:val="center"/>
          </w:tcPr>
          <w:p w:rsidR="0070339C" w:rsidRPr="00261A05" w:rsidRDefault="0070339C" w:rsidP="00575BDE">
            <w:pPr>
              <w:ind w:right="42"/>
              <w:jc w:val="center"/>
              <w:rPr>
                <w:b/>
                <w:bCs/>
              </w:rPr>
            </w:pPr>
            <w:r>
              <w:rPr>
                <w:b/>
                <w:bCs/>
                <w:sz w:val="22"/>
                <w:szCs w:val="22"/>
              </w:rPr>
              <w:t>2014 2</w:t>
            </w:r>
            <w:r w:rsidRPr="00261A05">
              <w:rPr>
                <w:b/>
                <w:bCs/>
                <w:sz w:val="22"/>
                <w:szCs w:val="22"/>
              </w:rPr>
              <w:t>. Çeyrek</w:t>
            </w:r>
          </w:p>
        </w:tc>
        <w:tc>
          <w:tcPr>
            <w:tcW w:w="959" w:type="dxa"/>
            <w:vAlign w:val="center"/>
          </w:tcPr>
          <w:p w:rsidR="0070339C" w:rsidRPr="00261A05" w:rsidRDefault="0070339C" w:rsidP="00575BDE">
            <w:pPr>
              <w:ind w:right="42"/>
              <w:jc w:val="center"/>
              <w:rPr>
                <w:b/>
                <w:bCs/>
              </w:rPr>
            </w:pPr>
            <w:r>
              <w:rPr>
                <w:b/>
                <w:bCs/>
                <w:sz w:val="22"/>
                <w:szCs w:val="22"/>
              </w:rPr>
              <w:t>2014 3</w:t>
            </w:r>
            <w:r w:rsidRPr="00261A05">
              <w:rPr>
                <w:b/>
                <w:bCs/>
                <w:sz w:val="22"/>
                <w:szCs w:val="22"/>
              </w:rPr>
              <w:t>. Çeyrek</w:t>
            </w:r>
          </w:p>
        </w:tc>
      </w:tr>
      <w:tr w:rsidR="0070339C" w:rsidTr="00575BDE">
        <w:trPr>
          <w:trHeight w:val="370"/>
        </w:trPr>
        <w:tc>
          <w:tcPr>
            <w:tcW w:w="3210" w:type="dxa"/>
            <w:vAlign w:val="center"/>
          </w:tcPr>
          <w:p w:rsidR="0070339C" w:rsidRPr="00261A05" w:rsidRDefault="0070339C" w:rsidP="00575BDE">
            <w:pPr>
              <w:ind w:right="42"/>
              <w:jc w:val="center"/>
              <w:rPr>
                <w:b/>
                <w:bCs/>
              </w:rPr>
            </w:pPr>
            <w:r w:rsidRPr="00261A05">
              <w:rPr>
                <w:b/>
                <w:bCs/>
                <w:sz w:val="22"/>
                <w:szCs w:val="22"/>
              </w:rPr>
              <w:t>İhracat</w:t>
            </w:r>
            <w:r>
              <w:rPr>
                <w:b/>
                <w:bCs/>
                <w:sz w:val="22"/>
                <w:szCs w:val="22"/>
              </w:rPr>
              <w:t>*</w:t>
            </w:r>
          </w:p>
        </w:tc>
        <w:tc>
          <w:tcPr>
            <w:tcW w:w="1035" w:type="dxa"/>
            <w:vAlign w:val="center"/>
          </w:tcPr>
          <w:p w:rsidR="0070339C" w:rsidRPr="00261A05" w:rsidRDefault="00FC2784" w:rsidP="00575BDE">
            <w:pPr>
              <w:ind w:right="42"/>
              <w:jc w:val="center"/>
              <w:rPr>
                <w:b/>
                <w:bCs/>
              </w:rPr>
            </w:pPr>
            <w:r>
              <w:rPr>
                <w:b/>
                <w:bCs/>
              </w:rPr>
              <w:t>-0,7</w:t>
            </w:r>
          </w:p>
        </w:tc>
        <w:tc>
          <w:tcPr>
            <w:tcW w:w="1098" w:type="dxa"/>
            <w:vAlign w:val="center"/>
          </w:tcPr>
          <w:p w:rsidR="0070339C" w:rsidRPr="00261A05" w:rsidRDefault="00FC2784" w:rsidP="00575BDE">
            <w:pPr>
              <w:ind w:right="42"/>
              <w:jc w:val="center"/>
              <w:rPr>
                <w:b/>
                <w:bCs/>
              </w:rPr>
            </w:pPr>
            <w:r>
              <w:rPr>
                <w:b/>
                <w:bCs/>
              </w:rPr>
              <w:t>7,7</w:t>
            </w:r>
          </w:p>
        </w:tc>
        <w:tc>
          <w:tcPr>
            <w:tcW w:w="1165" w:type="dxa"/>
            <w:vAlign w:val="center"/>
          </w:tcPr>
          <w:p w:rsidR="0070339C" w:rsidRPr="00261A05" w:rsidRDefault="00FC2784" w:rsidP="00575BDE">
            <w:pPr>
              <w:ind w:right="42"/>
              <w:jc w:val="center"/>
              <w:rPr>
                <w:b/>
                <w:bCs/>
              </w:rPr>
            </w:pPr>
            <w:r>
              <w:rPr>
                <w:b/>
                <w:bCs/>
              </w:rPr>
              <w:t>-15,0</w:t>
            </w:r>
          </w:p>
        </w:tc>
        <w:tc>
          <w:tcPr>
            <w:tcW w:w="1096" w:type="dxa"/>
            <w:tcBorders>
              <w:right w:val="double" w:sz="4" w:space="0" w:color="auto"/>
            </w:tcBorders>
            <w:vAlign w:val="center"/>
          </w:tcPr>
          <w:p w:rsidR="0070339C" w:rsidRPr="00261A05" w:rsidRDefault="00FC2784" w:rsidP="00575BDE">
            <w:pPr>
              <w:ind w:right="42"/>
              <w:jc w:val="center"/>
              <w:rPr>
                <w:b/>
                <w:bCs/>
              </w:rPr>
            </w:pPr>
            <w:r>
              <w:rPr>
                <w:b/>
                <w:bCs/>
              </w:rPr>
              <w:t>**</w:t>
            </w:r>
          </w:p>
        </w:tc>
        <w:tc>
          <w:tcPr>
            <w:tcW w:w="959" w:type="dxa"/>
            <w:tcBorders>
              <w:left w:val="double" w:sz="4" w:space="0" w:color="auto"/>
            </w:tcBorders>
            <w:vAlign w:val="center"/>
          </w:tcPr>
          <w:p w:rsidR="0070339C" w:rsidRPr="00261A05" w:rsidRDefault="00FC2784" w:rsidP="00575BDE">
            <w:pPr>
              <w:ind w:right="42"/>
              <w:jc w:val="center"/>
              <w:rPr>
                <w:b/>
                <w:bCs/>
              </w:rPr>
            </w:pPr>
            <w:r>
              <w:rPr>
                <w:b/>
                <w:bCs/>
              </w:rPr>
              <w:t>-6,4</w:t>
            </w:r>
          </w:p>
        </w:tc>
        <w:tc>
          <w:tcPr>
            <w:tcW w:w="959" w:type="dxa"/>
            <w:vAlign w:val="center"/>
          </w:tcPr>
          <w:p w:rsidR="0070339C" w:rsidRPr="00261A05" w:rsidRDefault="00FC2784" w:rsidP="00575BDE">
            <w:pPr>
              <w:ind w:right="42"/>
              <w:jc w:val="center"/>
              <w:rPr>
                <w:b/>
                <w:bCs/>
              </w:rPr>
            </w:pPr>
            <w:r>
              <w:rPr>
                <w:b/>
                <w:bCs/>
              </w:rPr>
              <w:t>-0,9</w:t>
            </w:r>
          </w:p>
        </w:tc>
      </w:tr>
      <w:tr w:rsidR="0070339C" w:rsidTr="00575BDE">
        <w:trPr>
          <w:trHeight w:val="370"/>
        </w:trPr>
        <w:tc>
          <w:tcPr>
            <w:tcW w:w="3210" w:type="dxa"/>
            <w:tcBorders>
              <w:bottom w:val="nil"/>
            </w:tcBorders>
            <w:vAlign w:val="center"/>
          </w:tcPr>
          <w:p w:rsidR="0070339C" w:rsidRPr="00261A05" w:rsidRDefault="0070339C" w:rsidP="00575BDE">
            <w:pPr>
              <w:ind w:right="42"/>
              <w:jc w:val="center"/>
              <w:rPr>
                <w:b/>
                <w:bCs/>
              </w:rPr>
            </w:pPr>
            <w:r w:rsidRPr="00261A05">
              <w:rPr>
                <w:b/>
                <w:bCs/>
                <w:sz w:val="22"/>
                <w:szCs w:val="22"/>
              </w:rPr>
              <w:t>İthalat</w:t>
            </w:r>
            <w:r>
              <w:rPr>
                <w:b/>
                <w:bCs/>
                <w:sz w:val="22"/>
                <w:szCs w:val="22"/>
              </w:rPr>
              <w:t>*</w:t>
            </w:r>
          </w:p>
        </w:tc>
        <w:tc>
          <w:tcPr>
            <w:tcW w:w="1035" w:type="dxa"/>
            <w:tcBorders>
              <w:bottom w:val="nil"/>
            </w:tcBorders>
            <w:vAlign w:val="center"/>
          </w:tcPr>
          <w:p w:rsidR="0070339C" w:rsidRPr="00261A05" w:rsidRDefault="00FC2784" w:rsidP="00575BDE">
            <w:pPr>
              <w:ind w:right="42"/>
              <w:jc w:val="center"/>
              <w:rPr>
                <w:b/>
                <w:bCs/>
              </w:rPr>
            </w:pPr>
            <w:r>
              <w:rPr>
                <w:b/>
                <w:bCs/>
              </w:rPr>
              <w:t>-2,3</w:t>
            </w:r>
          </w:p>
        </w:tc>
        <w:tc>
          <w:tcPr>
            <w:tcW w:w="1098" w:type="dxa"/>
            <w:tcBorders>
              <w:bottom w:val="nil"/>
            </w:tcBorders>
            <w:vAlign w:val="center"/>
          </w:tcPr>
          <w:p w:rsidR="0070339C" w:rsidRPr="00261A05" w:rsidRDefault="00FC2784" w:rsidP="00575BDE">
            <w:pPr>
              <w:ind w:right="42"/>
              <w:jc w:val="center"/>
              <w:rPr>
                <w:b/>
                <w:bCs/>
              </w:rPr>
            </w:pPr>
            <w:r>
              <w:rPr>
                <w:b/>
                <w:bCs/>
              </w:rPr>
              <w:t>0,8</w:t>
            </w:r>
          </w:p>
        </w:tc>
        <w:tc>
          <w:tcPr>
            <w:tcW w:w="1165" w:type="dxa"/>
            <w:tcBorders>
              <w:bottom w:val="nil"/>
            </w:tcBorders>
            <w:vAlign w:val="center"/>
          </w:tcPr>
          <w:p w:rsidR="0070339C" w:rsidRPr="00261A05" w:rsidRDefault="00FC2784" w:rsidP="00575BDE">
            <w:pPr>
              <w:ind w:right="42"/>
              <w:jc w:val="center"/>
              <w:rPr>
                <w:b/>
                <w:bCs/>
              </w:rPr>
            </w:pPr>
            <w:r>
              <w:rPr>
                <w:b/>
                <w:bCs/>
              </w:rPr>
              <w:t>-2,3</w:t>
            </w:r>
          </w:p>
        </w:tc>
        <w:tc>
          <w:tcPr>
            <w:tcW w:w="1096" w:type="dxa"/>
            <w:tcBorders>
              <w:bottom w:val="nil"/>
              <w:right w:val="double" w:sz="4" w:space="0" w:color="auto"/>
            </w:tcBorders>
            <w:vAlign w:val="center"/>
          </w:tcPr>
          <w:p w:rsidR="0070339C" w:rsidRPr="00261A05" w:rsidRDefault="00FC2784" w:rsidP="00575BDE">
            <w:pPr>
              <w:ind w:right="42"/>
              <w:jc w:val="center"/>
              <w:rPr>
                <w:b/>
                <w:bCs/>
              </w:rPr>
            </w:pPr>
            <w:r>
              <w:rPr>
                <w:b/>
                <w:bCs/>
              </w:rPr>
              <w:t>**</w:t>
            </w:r>
          </w:p>
        </w:tc>
        <w:tc>
          <w:tcPr>
            <w:tcW w:w="959" w:type="dxa"/>
            <w:tcBorders>
              <w:left w:val="double" w:sz="4" w:space="0" w:color="auto"/>
              <w:bottom w:val="nil"/>
            </w:tcBorders>
            <w:vAlign w:val="center"/>
          </w:tcPr>
          <w:p w:rsidR="0070339C" w:rsidRPr="00261A05" w:rsidRDefault="00FC2784" w:rsidP="00575BDE">
            <w:pPr>
              <w:ind w:right="42"/>
              <w:jc w:val="center"/>
              <w:rPr>
                <w:b/>
                <w:bCs/>
              </w:rPr>
            </w:pPr>
            <w:r>
              <w:rPr>
                <w:b/>
                <w:bCs/>
              </w:rPr>
              <w:t>-1,0</w:t>
            </w:r>
          </w:p>
        </w:tc>
        <w:tc>
          <w:tcPr>
            <w:tcW w:w="959" w:type="dxa"/>
            <w:tcBorders>
              <w:bottom w:val="nil"/>
            </w:tcBorders>
            <w:vAlign w:val="center"/>
          </w:tcPr>
          <w:p w:rsidR="0070339C" w:rsidRPr="00261A05" w:rsidRDefault="00FC2784" w:rsidP="00575BDE">
            <w:pPr>
              <w:ind w:right="42"/>
              <w:jc w:val="center"/>
              <w:rPr>
                <w:b/>
                <w:bCs/>
              </w:rPr>
            </w:pPr>
            <w:r>
              <w:rPr>
                <w:b/>
                <w:bCs/>
              </w:rPr>
              <w:t>-0,8</w:t>
            </w: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pPr>
            <w:r w:rsidRPr="00261A05">
              <w:rPr>
                <w:sz w:val="22"/>
                <w:szCs w:val="22"/>
              </w:rPr>
              <w:t>Ara malı ithalatı</w:t>
            </w:r>
            <w:r>
              <w:rPr>
                <w:sz w:val="22"/>
                <w:szCs w:val="22"/>
              </w:rPr>
              <w:t>*</w:t>
            </w:r>
          </w:p>
        </w:tc>
        <w:tc>
          <w:tcPr>
            <w:tcW w:w="1035" w:type="dxa"/>
            <w:tcBorders>
              <w:top w:val="nil"/>
              <w:bottom w:val="nil"/>
            </w:tcBorders>
            <w:vAlign w:val="center"/>
          </w:tcPr>
          <w:p w:rsidR="0070339C" w:rsidRPr="00261A05" w:rsidRDefault="00FC2784" w:rsidP="00575BDE">
            <w:pPr>
              <w:ind w:right="42"/>
              <w:jc w:val="center"/>
            </w:pPr>
            <w:r>
              <w:t>0,6</w:t>
            </w:r>
          </w:p>
        </w:tc>
        <w:tc>
          <w:tcPr>
            <w:tcW w:w="1098" w:type="dxa"/>
            <w:tcBorders>
              <w:top w:val="nil"/>
              <w:bottom w:val="nil"/>
            </w:tcBorders>
            <w:vAlign w:val="center"/>
          </w:tcPr>
          <w:p w:rsidR="0070339C" w:rsidRPr="00261A05" w:rsidRDefault="00FC2784" w:rsidP="00575BDE">
            <w:pPr>
              <w:ind w:right="42"/>
              <w:jc w:val="center"/>
            </w:pPr>
            <w:r>
              <w:t>-5,0</w:t>
            </w:r>
          </w:p>
        </w:tc>
        <w:tc>
          <w:tcPr>
            <w:tcW w:w="1165" w:type="dxa"/>
            <w:tcBorders>
              <w:top w:val="nil"/>
              <w:bottom w:val="nil"/>
            </w:tcBorders>
            <w:vAlign w:val="center"/>
          </w:tcPr>
          <w:p w:rsidR="0070339C" w:rsidRPr="00261A05" w:rsidRDefault="00FC2784" w:rsidP="00575BDE">
            <w:pPr>
              <w:ind w:right="42"/>
              <w:jc w:val="center"/>
            </w:pPr>
            <w:r>
              <w:t>1,7</w:t>
            </w:r>
          </w:p>
        </w:tc>
        <w:tc>
          <w:tcPr>
            <w:tcW w:w="1096" w:type="dxa"/>
            <w:tcBorders>
              <w:top w:val="nil"/>
              <w:bottom w:val="nil"/>
              <w:right w:val="double" w:sz="4" w:space="0" w:color="auto"/>
            </w:tcBorders>
            <w:vAlign w:val="center"/>
          </w:tcPr>
          <w:p w:rsidR="0070339C" w:rsidRPr="00261A05" w:rsidRDefault="00FC2784" w:rsidP="00575BDE">
            <w:pPr>
              <w:ind w:right="42"/>
              <w:jc w:val="center"/>
            </w:pPr>
            <w:r>
              <w:t>**</w:t>
            </w:r>
          </w:p>
        </w:tc>
        <w:tc>
          <w:tcPr>
            <w:tcW w:w="959" w:type="dxa"/>
            <w:tcBorders>
              <w:top w:val="nil"/>
              <w:left w:val="double" w:sz="4" w:space="0" w:color="auto"/>
              <w:bottom w:val="nil"/>
            </w:tcBorders>
            <w:vAlign w:val="center"/>
          </w:tcPr>
          <w:p w:rsidR="0070339C" w:rsidRPr="00261A05" w:rsidRDefault="00FC2784" w:rsidP="00575BDE">
            <w:pPr>
              <w:ind w:right="42"/>
              <w:jc w:val="center"/>
            </w:pPr>
            <w:r>
              <w:t>2,2</w:t>
            </w:r>
          </w:p>
        </w:tc>
        <w:tc>
          <w:tcPr>
            <w:tcW w:w="959" w:type="dxa"/>
            <w:tcBorders>
              <w:top w:val="nil"/>
              <w:bottom w:val="nil"/>
            </w:tcBorders>
            <w:vAlign w:val="center"/>
          </w:tcPr>
          <w:p w:rsidR="0070339C" w:rsidRPr="00261A05" w:rsidRDefault="00FC2784" w:rsidP="00575BDE">
            <w:pPr>
              <w:ind w:right="42"/>
              <w:jc w:val="center"/>
            </w:pPr>
            <w:r>
              <w:t>-3,6</w:t>
            </w: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pPr>
            <w:r w:rsidRPr="00261A05">
              <w:rPr>
                <w:sz w:val="22"/>
                <w:szCs w:val="22"/>
              </w:rPr>
              <w:t>Tüketim malı ithalatı</w:t>
            </w:r>
            <w:r>
              <w:rPr>
                <w:sz w:val="22"/>
                <w:szCs w:val="22"/>
              </w:rPr>
              <w:t>*</w:t>
            </w:r>
          </w:p>
        </w:tc>
        <w:tc>
          <w:tcPr>
            <w:tcW w:w="1035" w:type="dxa"/>
            <w:tcBorders>
              <w:top w:val="nil"/>
              <w:bottom w:val="nil"/>
            </w:tcBorders>
            <w:vAlign w:val="center"/>
          </w:tcPr>
          <w:p w:rsidR="0070339C" w:rsidRPr="00611D03" w:rsidRDefault="00FC2784" w:rsidP="00575BDE">
            <w:pPr>
              <w:ind w:right="42"/>
              <w:jc w:val="center"/>
              <w:rPr>
                <w:bCs/>
              </w:rPr>
            </w:pPr>
            <w:r>
              <w:rPr>
                <w:bCs/>
              </w:rPr>
              <w:t>-3,3</w:t>
            </w:r>
          </w:p>
        </w:tc>
        <w:tc>
          <w:tcPr>
            <w:tcW w:w="1098" w:type="dxa"/>
            <w:tcBorders>
              <w:top w:val="nil"/>
              <w:bottom w:val="nil"/>
            </w:tcBorders>
            <w:vAlign w:val="center"/>
          </w:tcPr>
          <w:p w:rsidR="0070339C" w:rsidRPr="00611D03" w:rsidRDefault="00FC2784" w:rsidP="00575BDE">
            <w:pPr>
              <w:ind w:right="42"/>
              <w:jc w:val="center"/>
              <w:rPr>
                <w:bCs/>
              </w:rPr>
            </w:pPr>
            <w:r>
              <w:rPr>
                <w:bCs/>
              </w:rPr>
              <w:t>3,5</w:t>
            </w:r>
          </w:p>
        </w:tc>
        <w:tc>
          <w:tcPr>
            <w:tcW w:w="1165" w:type="dxa"/>
            <w:tcBorders>
              <w:top w:val="nil"/>
              <w:bottom w:val="nil"/>
            </w:tcBorders>
            <w:vAlign w:val="center"/>
          </w:tcPr>
          <w:p w:rsidR="0070339C" w:rsidRPr="00611D03" w:rsidRDefault="00FC2784" w:rsidP="00575BDE">
            <w:pPr>
              <w:ind w:right="42"/>
              <w:jc w:val="center"/>
              <w:rPr>
                <w:bCs/>
              </w:rPr>
            </w:pPr>
            <w:r>
              <w:rPr>
                <w:bCs/>
              </w:rPr>
              <w:t>3,7</w:t>
            </w:r>
          </w:p>
        </w:tc>
        <w:tc>
          <w:tcPr>
            <w:tcW w:w="1096" w:type="dxa"/>
            <w:tcBorders>
              <w:top w:val="nil"/>
              <w:bottom w:val="nil"/>
              <w:right w:val="double" w:sz="4" w:space="0" w:color="auto"/>
            </w:tcBorders>
            <w:vAlign w:val="center"/>
          </w:tcPr>
          <w:p w:rsidR="0070339C" w:rsidRPr="00611D03" w:rsidRDefault="00FC2784" w:rsidP="00575BDE">
            <w:pPr>
              <w:ind w:right="42"/>
              <w:jc w:val="center"/>
            </w:pPr>
            <w:r>
              <w:t>**</w:t>
            </w:r>
          </w:p>
        </w:tc>
        <w:tc>
          <w:tcPr>
            <w:tcW w:w="959" w:type="dxa"/>
            <w:tcBorders>
              <w:top w:val="nil"/>
              <w:left w:val="double" w:sz="4" w:space="0" w:color="auto"/>
              <w:bottom w:val="nil"/>
            </w:tcBorders>
            <w:vAlign w:val="center"/>
          </w:tcPr>
          <w:p w:rsidR="0070339C" w:rsidRPr="00261A05" w:rsidRDefault="00FC2784" w:rsidP="00575BDE">
            <w:pPr>
              <w:ind w:right="42"/>
              <w:jc w:val="center"/>
            </w:pPr>
            <w:r>
              <w:t>0,1</w:t>
            </w:r>
          </w:p>
        </w:tc>
        <w:tc>
          <w:tcPr>
            <w:tcW w:w="959" w:type="dxa"/>
            <w:tcBorders>
              <w:top w:val="nil"/>
              <w:bottom w:val="nil"/>
            </w:tcBorders>
            <w:vAlign w:val="center"/>
          </w:tcPr>
          <w:p w:rsidR="0070339C" w:rsidRPr="00261A05" w:rsidRDefault="00FC2784" w:rsidP="00575BDE">
            <w:pPr>
              <w:ind w:right="42"/>
              <w:jc w:val="center"/>
            </w:pPr>
            <w:r>
              <w:t>2,8</w:t>
            </w:r>
          </w:p>
        </w:tc>
      </w:tr>
      <w:tr w:rsidR="0070339C" w:rsidTr="00575BDE">
        <w:trPr>
          <w:trHeight w:val="370"/>
        </w:trPr>
        <w:tc>
          <w:tcPr>
            <w:tcW w:w="3210" w:type="dxa"/>
            <w:tcBorders>
              <w:top w:val="nil"/>
            </w:tcBorders>
            <w:vAlign w:val="center"/>
          </w:tcPr>
          <w:p w:rsidR="0070339C" w:rsidRPr="00261A05" w:rsidRDefault="0070339C" w:rsidP="00575BDE">
            <w:pPr>
              <w:ind w:right="42"/>
              <w:jc w:val="center"/>
            </w:pPr>
            <w:r w:rsidRPr="00261A05">
              <w:rPr>
                <w:sz w:val="22"/>
                <w:szCs w:val="22"/>
              </w:rPr>
              <w:t>Yatırım malı ithalatı</w:t>
            </w:r>
            <w:r>
              <w:rPr>
                <w:sz w:val="22"/>
                <w:szCs w:val="22"/>
              </w:rPr>
              <w:t>*</w:t>
            </w:r>
          </w:p>
        </w:tc>
        <w:tc>
          <w:tcPr>
            <w:tcW w:w="1035" w:type="dxa"/>
            <w:tcBorders>
              <w:top w:val="nil"/>
            </w:tcBorders>
            <w:vAlign w:val="center"/>
          </w:tcPr>
          <w:p w:rsidR="0070339C" w:rsidRPr="00261A05" w:rsidRDefault="00FC2784" w:rsidP="00575BDE">
            <w:pPr>
              <w:ind w:right="42"/>
              <w:jc w:val="center"/>
            </w:pPr>
            <w:r>
              <w:t>-9,7</w:t>
            </w:r>
          </w:p>
        </w:tc>
        <w:tc>
          <w:tcPr>
            <w:tcW w:w="1098" w:type="dxa"/>
            <w:tcBorders>
              <w:top w:val="nil"/>
            </w:tcBorders>
            <w:vAlign w:val="center"/>
          </w:tcPr>
          <w:p w:rsidR="0070339C" w:rsidRPr="00261A05" w:rsidRDefault="00FC2784" w:rsidP="00575BDE">
            <w:pPr>
              <w:ind w:right="42"/>
              <w:jc w:val="center"/>
            </w:pPr>
            <w:r>
              <w:t>9,6</w:t>
            </w:r>
          </w:p>
        </w:tc>
        <w:tc>
          <w:tcPr>
            <w:tcW w:w="1165" w:type="dxa"/>
            <w:tcBorders>
              <w:top w:val="nil"/>
            </w:tcBorders>
            <w:vAlign w:val="center"/>
          </w:tcPr>
          <w:p w:rsidR="0070339C" w:rsidRPr="00261A05" w:rsidRDefault="00FC2784" w:rsidP="00575BDE">
            <w:pPr>
              <w:ind w:right="42"/>
              <w:jc w:val="center"/>
            </w:pPr>
            <w:r>
              <w:t>-10,7</w:t>
            </w:r>
          </w:p>
        </w:tc>
        <w:tc>
          <w:tcPr>
            <w:tcW w:w="1096" w:type="dxa"/>
            <w:tcBorders>
              <w:top w:val="nil"/>
              <w:right w:val="double" w:sz="4" w:space="0" w:color="auto"/>
            </w:tcBorders>
            <w:vAlign w:val="center"/>
          </w:tcPr>
          <w:p w:rsidR="0070339C" w:rsidRPr="00261A05" w:rsidRDefault="00FC2784" w:rsidP="00575BDE">
            <w:pPr>
              <w:ind w:right="42"/>
              <w:jc w:val="center"/>
            </w:pPr>
            <w:r>
              <w:t>**</w:t>
            </w:r>
          </w:p>
        </w:tc>
        <w:tc>
          <w:tcPr>
            <w:tcW w:w="959" w:type="dxa"/>
            <w:tcBorders>
              <w:top w:val="nil"/>
              <w:left w:val="double" w:sz="4" w:space="0" w:color="auto"/>
            </w:tcBorders>
            <w:vAlign w:val="center"/>
          </w:tcPr>
          <w:p w:rsidR="0070339C" w:rsidRPr="00261A05" w:rsidRDefault="00FC2784" w:rsidP="00575BDE">
            <w:pPr>
              <w:ind w:right="42"/>
              <w:jc w:val="center"/>
            </w:pPr>
            <w:r>
              <w:t>-1,0</w:t>
            </w:r>
          </w:p>
        </w:tc>
        <w:tc>
          <w:tcPr>
            <w:tcW w:w="959" w:type="dxa"/>
            <w:tcBorders>
              <w:top w:val="nil"/>
            </w:tcBorders>
            <w:vAlign w:val="center"/>
          </w:tcPr>
          <w:p w:rsidR="0070339C" w:rsidRPr="00261A05" w:rsidRDefault="00FC2784" w:rsidP="00575BDE">
            <w:pPr>
              <w:ind w:right="42"/>
              <w:jc w:val="center"/>
            </w:pPr>
            <w:r>
              <w:t>-5,4</w:t>
            </w:r>
          </w:p>
        </w:tc>
      </w:tr>
      <w:tr w:rsidR="0070339C" w:rsidTr="00575BDE">
        <w:trPr>
          <w:trHeight w:val="370"/>
        </w:trPr>
        <w:tc>
          <w:tcPr>
            <w:tcW w:w="3210" w:type="dxa"/>
            <w:vAlign w:val="center"/>
          </w:tcPr>
          <w:p w:rsidR="0070339C" w:rsidRPr="00261A05" w:rsidRDefault="0070339C" w:rsidP="00575BDE">
            <w:pPr>
              <w:ind w:right="42"/>
              <w:jc w:val="center"/>
              <w:rPr>
                <w:b/>
                <w:bCs/>
              </w:rPr>
            </w:pPr>
            <w:r w:rsidRPr="00261A05">
              <w:rPr>
                <w:b/>
                <w:bCs/>
                <w:sz w:val="22"/>
                <w:szCs w:val="22"/>
              </w:rPr>
              <w:t>Altın hariç ihracat</w:t>
            </w:r>
            <w:r>
              <w:rPr>
                <w:b/>
                <w:bCs/>
                <w:sz w:val="22"/>
                <w:szCs w:val="22"/>
              </w:rPr>
              <w:t>***</w:t>
            </w:r>
          </w:p>
        </w:tc>
        <w:tc>
          <w:tcPr>
            <w:tcW w:w="1035" w:type="dxa"/>
            <w:vAlign w:val="center"/>
          </w:tcPr>
          <w:p w:rsidR="0070339C" w:rsidRPr="00261A05" w:rsidRDefault="0070339C" w:rsidP="00575BDE">
            <w:pPr>
              <w:ind w:right="42"/>
              <w:jc w:val="center"/>
              <w:rPr>
                <w:b/>
                <w:bCs/>
              </w:rPr>
            </w:pPr>
            <w:r>
              <w:rPr>
                <w:b/>
                <w:bCs/>
              </w:rPr>
              <w:t>0,5</w:t>
            </w:r>
          </w:p>
        </w:tc>
        <w:tc>
          <w:tcPr>
            <w:tcW w:w="1098" w:type="dxa"/>
            <w:vAlign w:val="center"/>
          </w:tcPr>
          <w:p w:rsidR="0070339C" w:rsidRPr="00261A05" w:rsidRDefault="0070339C" w:rsidP="00575BDE">
            <w:pPr>
              <w:ind w:right="42"/>
              <w:jc w:val="center"/>
              <w:rPr>
                <w:b/>
                <w:bCs/>
              </w:rPr>
            </w:pPr>
            <w:r>
              <w:rPr>
                <w:b/>
                <w:bCs/>
              </w:rPr>
              <w:t>-0,4</w:t>
            </w:r>
          </w:p>
        </w:tc>
        <w:tc>
          <w:tcPr>
            <w:tcW w:w="1165" w:type="dxa"/>
            <w:vAlign w:val="center"/>
          </w:tcPr>
          <w:p w:rsidR="0070339C" w:rsidRPr="00261A05" w:rsidRDefault="0070339C" w:rsidP="00575BDE">
            <w:pPr>
              <w:ind w:right="42"/>
              <w:jc w:val="center"/>
              <w:rPr>
                <w:b/>
                <w:bCs/>
              </w:rPr>
            </w:pPr>
            <w:r>
              <w:rPr>
                <w:b/>
                <w:bCs/>
              </w:rPr>
              <w:t>-0,5</w:t>
            </w:r>
          </w:p>
        </w:tc>
        <w:tc>
          <w:tcPr>
            <w:tcW w:w="1096" w:type="dxa"/>
            <w:tcBorders>
              <w:right w:val="double" w:sz="4" w:space="0" w:color="auto"/>
            </w:tcBorders>
            <w:vAlign w:val="center"/>
          </w:tcPr>
          <w:p w:rsidR="0070339C" w:rsidRPr="00261A05" w:rsidRDefault="0070339C" w:rsidP="00575BDE">
            <w:pPr>
              <w:ind w:right="42"/>
              <w:jc w:val="center"/>
            </w:pPr>
            <w:r>
              <w:t>**</w:t>
            </w:r>
          </w:p>
        </w:tc>
        <w:tc>
          <w:tcPr>
            <w:tcW w:w="959" w:type="dxa"/>
            <w:tcBorders>
              <w:left w:val="double" w:sz="4" w:space="0" w:color="auto"/>
            </w:tcBorders>
            <w:vAlign w:val="center"/>
          </w:tcPr>
          <w:p w:rsidR="0070339C" w:rsidRPr="00261A05" w:rsidRDefault="0070339C" w:rsidP="00575BDE">
            <w:pPr>
              <w:ind w:right="42"/>
              <w:jc w:val="center"/>
              <w:rPr>
                <w:b/>
                <w:bCs/>
              </w:rPr>
            </w:pPr>
            <w:r>
              <w:rPr>
                <w:b/>
                <w:bCs/>
              </w:rPr>
              <w:t>1,9</w:t>
            </w:r>
          </w:p>
        </w:tc>
        <w:tc>
          <w:tcPr>
            <w:tcW w:w="959" w:type="dxa"/>
            <w:vAlign w:val="center"/>
          </w:tcPr>
          <w:p w:rsidR="0070339C" w:rsidRPr="00261A05" w:rsidRDefault="0070339C" w:rsidP="00575BDE">
            <w:pPr>
              <w:ind w:right="42"/>
              <w:jc w:val="center"/>
              <w:rPr>
                <w:b/>
                <w:bCs/>
              </w:rPr>
            </w:pPr>
            <w:r>
              <w:rPr>
                <w:b/>
                <w:bCs/>
              </w:rPr>
              <w:t>-0,5</w:t>
            </w:r>
          </w:p>
        </w:tc>
      </w:tr>
      <w:tr w:rsidR="0070339C" w:rsidTr="00575BDE">
        <w:trPr>
          <w:trHeight w:val="370"/>
        </w:trPr>
        <w:tc>
          <w:tcPr>
            <w:tcW w:w="3210" w:type="dxa"/>
            <w:vAlign w:val="center"/>
          </w:tcPr>
          <w:p w:rsidR="0070339C" w:rsidRPr="00261A05" w:rsidRDefault="0070339C" w:rsidP="00575BDE">
            <w:pPr>
              <w:ind w:right="42"/>
              <w:jc w:val="center"/>
              <w:rPr>
                <w:b/>
                <w:bCs/>
              </w:rPr>
            </w:pPr>
            <w:r w:rsidRPr="00261A05">
              <w:rPr>
                <w:b/>
                <w:bCs/>
                <w:sz w:val="22"/>
                <w:szCs w:val="22"/>
              </w:rPr>
              <w:t>Altın hariç ithalat</w:t>
            </w:r>
            <w:r>
              <w:rPr>
                <w:b/>
                <w:bCs/>
                <w:sz w:val="22"/>
                <w:szCs w:val="22"/>
              </w:rPr>
              <w:t>***</w:t>
            </w:r>
          </w:p>
        </w:tc>
        <w:tc>
          <w:tcPr>
            <w:tcW w:w="1035" w:type="dxa"/>
            <w:vAlign w:val="center"/>
          </w:tcPr>
          <w:p w:rsidR="0070339C" w:rsidRPr="00261A05" w:rsidRDefault="0070339C" w:rsidP="00575BDE">
            <w:pPr>
              <w:ind w:right="42"/>
              <w:jc w:val="center"/>
              <w:rPr>
                <w:b/>
                <w:bCs/>
              </w:rPr>
            </w:pPr>
            <w:r>
              <w:rPr>
                <w:b/>
                <w:bCs/>
              </w:rPr>
              <w:t>-1,1</w:t>
            </w:r>
          </w:p>
        </w:tc>
        <w:tc>
          <w:tcPr>
            <w:tcW w:w="1098" w:type="dxa"/>
            <w:vAlign w:val="center"/>
          </w:tcPr>
          <w:p w:rsidR="0070339C" w:rsidRPr="00261A05" w:rsidRDefault="0070339C" w:rsidP="00575BDE">
            <w:pPr>
              <w:ind w:right="42"/>
              <w:jc w:val="center"/>
              <w:rPr>
                <w:b/>
                <w:bCs/>
              </w:rPr>
            </w:pPr>
            <w:r>
              <w:rPr>
                <w:b/>
                <w:bCs/>
              </w:rPr>
              <w:t>2,1</w:t>
            </w:r>
          </w:p>
        </w:tc>
        <w:tc>
          <w:tcPr>
            <w:tcW w:w="1165" w:type="dxa"/>
            <w:vAlign w:val="center"/>
          </w:tcPr>
          <w:p w:rsidR="0070339C" w:rsidRPr="00261A05" w:rsidRDefault="0070339C" w:rsidP="00575BDE">
            <w:pPr>
              <w:ind w:right="42"/>
              <w:jc w:val="center"/>
              <w:rPr>
                <w:b/>
                <w:bCs/>
              </w:rPr>
            </w:pPr>
            <w:r>
              <w:rPr>
                <w:b/>
                <w:bCs/>
              </w:rPr>
              <w:t>0,3</w:t>
            </w:r>
          </w:p>
        </w:tc>
        <w:tc>
          <w:tcPr>
            <w:tcW w:w="1096" w:type="dxa"/>
            <w:tcBorders>
              <w:right w:val="double" w:sz="4" w:space="0" w:color="auto"/>
            </w:tcBorders>
            <w:vAlign w:val="center"/>
          </w:tcPr>
          <w:p w:rsidR="0070339C" w:rsidRPr="00261A05" w:rsidRDefault="0070339C" w:rsidP="00575BDE">
            <w:pPr>
              <w:ind w:right="42"/>
              <w:jc w:val="center"/>
            </w:pPr>
            <w:r>
              <w:t>**</w:t>
            </w:r>
          </w:p>
        </w:tc>
        <w:tc>
          <w:tcPr>
            <w:tcW w:w="959" w:type="dxa"/>
            <w:tcBorders>
              <w:left w:val="double" w:sz="4" w:space="0" w:color="auto"/>
            </w:tcBorders>
            <w:vAlign w:val="center"/>
          </w:tcPr>
          <w:p w:rsidR="0070339C" w:rsidRPr="00261A05" w:rsidRDefault="0070339C" w:rsidP="00575BDE">
            <w:pPr>
              <w:ind w:right="42"/>
              <w:jc w:val="center"/>
              <w:rPr>
                <w:b/>
                <w:bCs/>
              </w:rPr>
            </w:pPr>
            <w:r>
              <w:rPr>
                <w:b/>
                <w:bCs/>
              </w:rPr>
              <w:t>1,1</w:t>
            </w:r>
          </w:p>
        </w:tc>
        <w:tc>
          <w:tcPr>
            <w:tcW w:w="959" w:type="dxa"/>
            <w:vAlign w:val="center"/>
          </w:tcPr>
          <w:p w:rsidR="0070339C" w:rsidRPr="00261A05" w:rsidRDefault="0070339C" w:rsidP="00575BDE">
            <w:pPr>
              <w:ind w:right="42"/>
              <w:jc w:val="center"/>
              <w:rPr>
                <w:b/>
                <w:bCs/>
              </w:rPr>
            </w:pPr>
            <w:r>
              <w:rPr>
                <w:b/>
                <w:bCs/>
              </w:rPr>
              <w:t>0,1</w:t>
            </w:r>
          </w:p>
        </w:tc>
      </w:tr>
      <w:tr w:rsidR="0070339C" w:rsidTr="00575BDE">
        <w:trPr>
          <w:trHeight w:val="370"/>
        </w:trPr>
        <w:tc>
          <w:tcPr>
            <w:tcW w:w="3210" w:type="dxa"/>
            <w:tcBorders>
              <w:bottom w:val="nil"/>
            </w:tcBorders>
            <w:vAlign w:val="center"/>
          </w:tcPr>
          <w:p w:rsidR="0070339C" w:rsidRPr="00261A05" w:rsidRDefault="0070339C" w:rsidP="00575BDE">
            <w:pPr>
              <w:ind w:right="42"/>
              <w:jc w:val="center"/>
              <w:rPr>
                <w:b/>
                <w:bCs/>
              </w:rPr>
            </w:pPr>
            <w:r w:rsidRPr="00261A05">
              <w:rPr>
                <w:b/>
                <w:bCs/>
                <w:sz w:val="22"/>
                <w:szCs w:val="22"/>
              </w:rPr>
              <w:t>Sanayi üretim endeksi (SÜE)</w:t>
            </w:r>
            <w:r>
              <w:rPr>
                <w:b/>
                <w:bCs/>
                <w:sz w:val="22"/>
                <w:szCs w:val="22"/>
              </w:rPr>
              <w:t>*</w:t>
            </w:r>
          </w:p>
        </w:tc>
        <w:tc>
          <w:tcPr>
            <w:tcW w:w="1035" w:type="dxa"/>
            <w:tcBorders>
              <w:bottom w:val="nil"/>
            </w:tcBorders>
            <w:vAlign w:val="center"/>
          </w:tcPr>
          <w:p w:rsidR="0070339C" w:rsidRPr="00261A05" w:rsidRDefault="0070339C" w:rsidP="00575BDE">
            <w:pPr>
              <w:ind w:right="42"/>
              <w:jc w:val="center"/>
              <w:rPr>
                <w:b/>
                <w:bCs/>
              </w:rPr>
            </w:pPr>
            <w:r>
              <w:rPr>
                <w:b/>
                <w:bCs/>
              </w:rPr>
              <w:t>0,4</w:t>
            </w:r>
          </w:p>
        </w:tc>
        <w:tc>
          <w:tcPr>
            <w:tcW w:w="1098" w:type="dxa"/>
            <w:tcBorders>
              <w:bottom w:val="nil"/>
            </w:tcBorders>
            <w:vAlign w:val="center"/>
          </w:tcPr>
          <w:p w:rsidR="0070339C" w:rsidRPr="00261A05" w:rsidRDefault="0070339C" w:rsidP="00575BDE">
            <w:pPr>
              <w:ind w:right="42"/>
              <w:jc w:val="center"/>
              <w:rPr>
                <w:b/>
                <w:bCs/>
              </w:rPr>
            </w:pPr>
            <w:r>
              <w:rPr>
                <w:b/>
                <w:bCs/>
              </w:rPr>
              <w:t>1,9</w:t>
            </w:r>
          </w:p>
        </w:tc>
        <w:tc>
          <w:tcPr>
            <w:tcW w:w="1165" w:type="dxa"/>
            <w:tcBorders>
              <w:bottom w:val="nil"/>
            </w:tcBorders>
            <w:vAlign w:val="center"/>
          </w:tcPr>
          <w:p w:rsidR="0070339C" w:rsidRPr="00261A05" w:rsidRDefault="0070339C" w:rsidP="00575BDE">
            <w:pPr>
              <w:ind w:right="42"/>
              <w:jc w:val="center"/>
              <w:rPr>
                <w:b/>
                <w:bCs/>
              </w:rPr>
            </w:pPr>
            <w:r>
              <w:rPr>
                <w:b/>
                <w:bCs/>
              </w:rPr>
              <w:t>-1,4</w:t>
            </w:r>
          </w:p>
        </w:tc>
        <w:tc>
          <w:tcPr>
            <w:tcW w:w="1096" w:type="dxa"/>
            <w:tcBorders>
              <w:bottom w:val="nil"/>
              <w:right w:val="double" w:sz="4" w:space="0" w:color="auto"/>
            </w:tcBorders>
            <w:vAlign w:val="center"/>
          </w:tcPr>
          <w:p w:rsidR="0070339C" w:rsidRPr="00261A05" w:rsidRDefault="0070339C" w:rsidP="00575BDE">
            <w:pPr>
              <w:ind w:right="42"/>
              <w:jc w:val="center"/>
            </w:pPr>
            <w:r>
              <w:t>**</w:t>
            </w:r>
          </w:p>
        </w:tc>
        <w:tc>
          <w:tcPr>
            <w:tcW w:w="959" w:type="dxa"/>
            <w:tcBorders>
              <w:left w:val="double" w:sz="4" w:space="0" w:color="auto"/>
              <w:bottom w:val="nil"/>
            </w:tcBorders>
            <w:vAlign w:val="center"/>
          </w:tcPr>
          <w:p w:rsidR="0070339C" w:rsidRPr="00261A05" w:rsidRDefault="0070339C" w:rsidP="00575BDE">
            <w:pPr>
              <w:ind w:right="42"/>
              <w:jc w:val="center"/>
              <w:rPr>
                <w:b/>
                <w:bCs/>
              </w:rPr>
            </w:pPr>
            <w:r>
              <w:rPr>
                <w:b/>
                <w:bCs/>
              </w:rPr>
              <w:t>0,1</w:t>
            </w:r>
          </w:p>
        </w:tc>
        <w:tc>
          <w:tcPr>
            <w:tcW w:w="959" w:type="dxa"/>
            <w:tcBorders>
              <w:bottom w:val="nil"/>
            </w:tcBorders>
            <w:vAlign w:val="center"/>
          </w:tcPr>
          <w:p w:rsidR="0070339C" w:rsidRPr="00261A05" w:rsidRDefault="0070339C" w:rsidP="00575BDE">
            <w:pPr>
              <w:ind w:right="42"/>
              <w:jc w:val="center"/>
              <w:rPr>
                <w:b/>
                <w:bCs/>
              </w:rPr>
            </w:pPr>
            <w:r>
              <w:rPr>
                <w:b/>
                <w:bCs/>
              </w:rPr>
              <w:t>1,1</w:t>
            </w: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pPr>
            <w:r w:rsidRPr="00261A05">
              <w:rPr>
                <w:sz w:val="22"/>
                <w:szCs w:val="22"/>
              </w:rPr>
              <w:t>Dayanıksız tüketim malı imalatı</w:t>
            </w:r>
            <w:r>
              <w:rPr>
                <w:sz w:val="22"/>
                <w:szCs w:val="22"/>
              </w:rPr>
              <w:t>*</w:t>
            </w:r>
          </w:p>
        </w:tc>
        <w:tc>
          <w:tcPr>
            <w:tcW w:w="1035" w:type="dxa"/>
            <w:tcBorders>
              <w:top w:val="nil"/>
              <w:bottom w:val="nil"/>
            </w:tcBorders>
            <w:vAlign w:val="center"/>
          </w:tcPr>
          <w:p w:rsidR="0070339C" w:rsidRPr="00261A05" w:rsidRDefault="0070339C" w:rsidP="00575BDE">
            <w:pPr>
              <w:ind w:right="42"/>
              <w:jc w:val="center"/>
            </w:pPr>
            <w:r>
              <w:t>-0,1</w:t>
            </w:r>
          </w:p>
        </w:tc>
        <w:tc>
          <w:tcPr>
            <w:tcW w:w="1098" w:type="dxa"/>
            <w:tcBorders>
              <w:top w:val="nil"/>
              <w:bottom w:val="nil"/>
            </w:tcBorders>
            <w:vAlign w:val="center"/>
          </w:tcPr>
          <w:p w:rsidR="0070339C" w:rsidRPr="00261A05" w:rsidRDefault="0070339C" w:rsidP="00575BDE">
            <w:pPr>
              <w:ind w:right="42"/>
              <w:jc w:val="center"/>
            </w:pPr>
            <w:r>
              <w:t>1,3</w:t>
            </w:r>
          </w:p>
        </w:tc>
        <w:tc>
          <w:tcPr>
            <w:tcW w:w="1165" w:type="dxa"/>
            <w:tcBorders>
              <w:top w:val="nil"/>
              <w:bottom w:val="nil"/>
            </w:tcBorders>
            <w:vAlign w:val="center"/>
          </w:tcPr>
          <w:p w:rsidR="0070339C" w:rsidRPr="00261A05" w:rsidRDefault="0070339C" w:rsidP="00575BDE">
            <w:pPr>
              <w:ind w:right="42"/>
              <w:jc w:val="center"/>
            </w:pPr>
            <w:r>
              <w:t>-1,0</w:t>
            </w:r>
          </w:p>
        </w:tc>
        <w:tc>
          <w:tcPr>
            <w:tcW w:w="1096" w:type="dxa"/>
            <w:tcBorders>
              <w:top w:val="nil"/>
              <w:bottom w:val="nil"/>
              <w:right w:val="double" w:sz="4" w:space="0" w:color="auto"/>
            </w:tcBorders>
            <w:vAlign w:val="center"/>
          </w:tcPr>
          <w:p w:rsidR="0070339C" w:rsidRPr="00261A05" w:rsidRDefault="0070339C" w:rsidP="00575BDE">
            <w:pPr>
              <w:ind w:right="42"/>
              <w:jc w:val="center"/>
            </w:pPr>
            <w:r>
              <w:t>**</w:t>
            </w:r>
          </w:p>
        </w:tc>
        <w:tc>
          <w:tcPr>
            <w:tcW w:w="959" w:type="dxa"/>
            <w:tcBorders>
              <w:top w:val="nil"/>
              <w:left w:val="double" w:sz="4" w:space="0" w:color="auto"/>
              <w:bottom w:val="nil"/>
            </w:tcBorders>
            <w:vAlign w:val="center"/>
          </w:tcPr>
          <w:p w:rsidR="0070339C" w:rsidRPr="00261A05" w:rsidRDefault="0070339C" w:rsidP="00575BDE">
            <w:pPr>
              <w:ind w:right="42"/>
              <w:jc w:val="center"/>
            </w:pPr>
            <w:r>
              <w:t>0,5</w:t>
            </w:r>
          </w:p>
        </w:tc>
        <w:tc>
          <w:tcPr>
            <w:tcW w:w="959" w:type="dxa"/>
            <w:tcBorders>
              <w:top w:val="nil"/>
              <w:bottom w:val="nil"/>
            </w:tcBorders>
            <w:vAlign w:val="center"/>
          </w:tcPr>
          <w:p w:rsidR="0070339C" w:rsidRPr="00261A05" w:rsidRDefault="0070339C" w:rsidP="00575BDE">
            <w:pPr>
              <w:ind w:right="42"/>
              <w:jc w:val="center"/>
            </w:pPr>
            <w:r>
              <w:t>0,8</w:t>
            </w: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rPr>
                <w:b/>
                <w:bCs/>
              </w:rPr>
            </w:pPr>
            <w:r w:rsidRPr="00261A05">
              <w:rPr>
                <w:sz w:val="22"/>
                <w:szCs w:val="22"/>
              </w:rPr>
              <w:t>Dayanıklı tüketim malı imalatı</w:t>
            </w:r>
            <w:r>
              <w:rPr>
                <w:sz w:val="22"/>
                <w:szCs w:val="22"/>
              </w:rPr>
              <w:t>*</w:t>
            </w:r>
          </w:p>
        </w:tc>
        <w:tc>
          <w:tcPr>
            <w:tcW w:w="1035" w:type="dxa"/>
            <w:tcBorders>
              <w:top w:val="nil"/>
              <w:bottom w:val="nil"/>
            </w:tcBorders>
            <w:vAlign w:val="center"/>
          </w:tcPr>
          <w:p w:rsidR="0070339C" w:rsidRPr="00261A05" w:rsidRDefault="0070339C" w:rsidP="00575BDE">
            <w:pPr>
              <w:ind w:right="42"/>
              <w:jc w:val="center"/>
            </w:pPr>
            <w:r>
              <w:t>1,6</w:t>
            </w:r>
          </w:p>
        </w:tc>
        <w:tc>
          <w:tcPr>
            <w:tcW w:w="1098" w:type="dxa"/>
            <w:tcBorders>
              <w:top w:val="nil"/>
              <w:bottom w:val="nil"/>
            </w:tcBorders>
            <w:vAlign w:val="center"/>
          </w:tcPr>
          <w:p w:rsidR="0070339C" w:rsidRPr="00261A05" w:rsidRDefault="0070339C" w:rsidP="00575BDE">
            <w:pPr>
              <w:ind w:right="42"/>
              <w:jc w:val="center"/>
            </w:pPr>
            <w:r>
              <w:t>3,5</w:t>
            </w:r>
          </w:p>
        </w:tc>
        <w:tc>
          <w:tcPr>
            <w:tcW w:w="1165" w:type="dxa"/>
            <w:tcBorders>
              <w:top w:val="nil"/>
              <w:bottom w:val="nil"/>
            </w:tcBorders>
            <w:vAlign w:val="center"/>
          </w:tcPr>
          <w:p w:rsidR="0070339C" w:rsidRPr="00261A05" w:rsidRDefault="0070339C" w:rsidP="00575BDE">
            <w:pPr>
              <w:ind w:right="42"/>
              <w:jc w:val="center"/>
            </w:pPr>
            <w:r>
              <w:t>-4,7</w:t>
            </w:r>
          </w:p>
        </w:tc>
        <w:tc>
          <w:tcPr>
            <w:tcW w:w="1096" w:type="dxa"/>
            <w:tcBorders>
              <w:top w:val="nil"/>
              <w:bottom w:val="nil"/>
              <w:right w:val="double" w:sz="4" w:space="0" w:color="auto"/>
            </w:tcBorders>
            <w:vAlign w:val="center"/>
          </w:tcPr>
          <w:p w:rsidR="0070339C" w:rsidRPr="00261A05" w:rsidRDefault="0070339C" w:rsidP="00575BDE">
            <w:pPr>
              <w:ind w:right="42"/>
              <w:jc w:val="center"/>
            </w:pPr>
            <w:r>
              <w:t>**</w:t>
            </w:r>
          </w:p>
        </w:tc>
        <w:tc>
          <w:tcPr>
            <w:tcW w:w="959" w:type="dxa"/>
            <w:tcBorders>
              <w:top w:val="nil"/>
              <w:left w:val="double" w:sz="4" w:space="0" w:color="auto"/>
              <w:bottom w:val="nil"/>
            </w:tcBorders>
            <w:vAlign w:val="center"/>
          </w:tcPr>
          <w:p w:rsidR="0070339C" w:rsidRPr="00261A05" w:rsidRDefault="0070339C" w:rsidP="00575BDE">
            <w:pPr>
              <w:ind w:right="42"/>
              <w:jc w:val="center"/>
            </w:pPr>
            <w:r>
              <w:t>2,5</w:t>
            </w:r>
          </w:p>
        </w:tc>
        <w:tc>
          <w:tcPr>
            <w:tcW w:w="959" w:type="dxa"/>
            <w:tcBorders>
              <w:top w:val="nil"/>
              <w:bottom w:val="nil"/>
            </w:tcBorders>
            <w:vAlign w:val="center"/>
          </w:tcPr>
          <w:p w:rsidR="0070339C" w:rsidRPr="00261A05" w:rsidRDefault="0070339C" w:rsidP="00575BDE">
            <w:pPr>
              <w:ind w:right="42"/>
              <w:jc w:val="center"/>
            </w:pPr>
            <w:r>
              <w:t>2,0</w:t>
            </w: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pPr>
            <w:r w:rsidRPr="00261A05">
              <w:rPr>
                <w:sz w:val="22"/>
                <w:szCs w:val="22"/>
              </w:rPr>
              <w:t>Ara malı imalatı</w:t>
            </w:r>
            <w:r>
              <w:rPr>
                <w:sz w:val="22"/>
                <w:szCs w:val="22"/>
              </w:rPr>
              <w:t>*</w:t>
            </w:r>
          </w:p>
        </w:tc>
        <w:tc>
          <w:tcPr>
            <w:tcW w:w="1035" w:type="dxa"/>
            <w:tcBorders>
              <w:top w:val="nil"/>
              <w:bottom w:val="nil"/>
            </w:tcBorders>
            <w:vAlign w:val="center"/>
          </w:tcPr>
          <w:p w:rsidR="0070339C" w:rsidRPr="00261A05" w:rsidRDefault="0070339C" w:rsidP="00575BDE">
            <w:pPr>
              <w:ind w:right="42"/>
              <w:jc w:val="center"/>
            </w:pPr>
            <w:r>
              <w:t>-3,0</w:t>
            </w:r>
          </w:p>
        </w:tc>
        <w:tc>
          <w:tcPr>
            <w:tcW w:w="1098" w:type="dxa"/>
            <w:tcBorders>
              <w:top w:val="nil"/>
              <w:bottom w:val="nil"/>
            </w:tcBorders>
            <w:vAlign w:val="center"/>
          </w:tcPr>
          <w:p w:rsidR="0070339C" w:rsidRPr="00261A05" w:rsidRDefault="0070339C" w:rsidP="00575BDE">
            <w:pPr>
              <w:ind w:right="42"/>
              <w:jc w:val="center"/>
            </w:pPr>
            <w:r>
              <w:t>0,1</w:t>
            </w:r>
          </w:p>
        </w:tc>
        <w:tc>
          <w:tcPr>
            <w:tcW w:w="1165" w:type="dxa"/>
            <w:tcBorders>
              <w:top w:val="nil"/>
              <w:bottom w:val="nil"/>
            </w:tcBorders>
            <w:vAlign w:val="center"/>
          </w:tcPr>
          <w:p w:rsidR="0070339C" w:rsidRPr="00261A05" w:rsidRDefault="0070339C" w:rsidP="00575BDE">
            <w:pPr>
              <w:ind w:right="42"/>
              <w:jc w:val="center"/>
            </w:pPr>
            <w:r>
              <w:t>-0,5</w:t>
            </w:r>
          </w:p>
        </w:tc>
        <w:tc>
          <w:tcPr>
            <w:tcW w:w="1096" w:type="dxa"/>
            <w:tcBorders>
              <w:top w:val="nil"/>
              <w:bottom w:val="nil"/>
              <w:right w:val="double" w:sz="4" w:space="0" w:color="auto"/>
            </w:tcBorders>
            <w:vAlign w:val="center"/>
          </w:tcPr>
          <w:p w:rsidR="0070339C" w:rsidRPr="00261A05" w:rsidRDefault="0070339C" w:rsidP="00575BDE">
            <w:pPr>
              <w:ind w:right="42"/>
              <w:jc w:val="center"/>
            </w:pPr>
            <w:r>
              <w:t>**</w:t>
            </w:r>
          </w:p>
        </w:tc>
        <w:tc>
          <w:tcPr>
            <w:tcW w:w="959" w:type="dxa"/>
            <w:tcBorders>
              <w:top w:val="nil"/>
              <w:left w:val="double" w:sz="4" w:space="0" w:color="auto"/>
              <w:bottom w:val="nil"/>
            </w:tcBorders>
            <w:vAlign w:val="center"/>
          </w:tcPr>
          <w:p w:rsidR="0070339C" w:rsidRPr="00261A05" w:rsidRDefault="0070339C" w:rsidP="00575BDE">
            <w:pPr>
              <w:ind w:right="42"/>
              <w:jc w:val="center"/>
            </w:pPr>
            <w:r>
              <w:t>-1,1</w:t>
            </w:r>
          </w:p>
        </w:tc>
        <w:tc>
          <w:tcPr>
            <w:tcW w:w="959" w:type="dxa"/>
            <w:tcBorders>
              <w:top w:val="nil"/>
              <w:bottom w:val="nil"/>
            </w:tcBorders>
            <w:vAlign w:val="center"/>
          </w:tcPr>
          <w:p w:rsidR="0070339C" w:rsidRPr="00261A05" w:rsidRDefault="0070339C" w:rsidP="00575BDE">
            <w:pPr>
              <w:ind w:right="42"/>
              <w:jc w:val="center"/>
            </w:pPr>
            <w:r>
              <w:t>-2,2</w:t>
            </w:r>
          </w:p>
        </w:tc>
      </w:tr>
      <w:tr w:rsidR="0070339C" w:rsidTr="00575BDE">
        <w:trPr>
          <w:trHeight w:val="370"/>
        </w:trPr>
        <w:tc>
          <w:tcPr>
            <w:tcW w:w="3210" w:type="dxa"/>
            <w:tcBorders>
              <w:top w:val="nil"/>
            </w:tcBorders>
            <w:vAlign w:val="center"/>
          </w:tcPr>
          <w:p w:rsidR="0070339C" w:rsidRPr="00261A05" w:rsidRDefault="0070339C" w:rsidP="00575BDE">
            <w:pPr>
              <w:ind w:right="42"/>
              <w:jc w:val="center"/>
            </w:pPr>
            <w:r w:rsidRPr="00261A05">
              <w:rPr>
                <w:sz w:val="22"/>
                <w:szCs w:val="22"/>
              </w:rPr>
              <w:t>Yatırım malı imalatı</w:t>
            </w:r>
            <w:r>
              <w:rPr>
                <w:sz w:val="22"/>
                <w:szCs w:val="22"/>
              </w:rPr>
              <w:t>*</w:t>
            </w:r>
          </w:p>
        </w:tc>
        <w:tc>
          <w:tcPr>
            <w:tcW w:w="1035" w:type="dxa"/>
            <w:tcBorders>
              <w:top w:val="nil"/>
            </w:tcBorders>
            <w:vAlign w:val="center"/>
          </w:tcPr>
          <w:p w:rsidR="0070339C" w:rsidRPr="00261A05" w:rsidRDefault="0070339C" w:rsidP="00575BDE">
            <w:pPr>
              <w:ind w:right="42"/>
              <w:jc w:val="center"/>
            </w:pPr>
            <w:r>
              <w:t>9,5</w:t>
            </w:r>
          </w:p>
        </w:tc>
        <w:tc>
          <w:tcPr>
            <w:tcW w:w="1098" w:type="dxa"/>
            <w:tcBorders>
              <w:top w:val="nil"/>
            </w:tcBorders>
            <w:vAlign w:val="center"/>
          </w:tcPr>
          <w:p w:rsidR="0070339C" w:rsidRPr="00261A05" w:rsidRDefault="0070339C" w:rsidP="00575BDE">
            <w:pPr>
              <w:ind w:right="42"/>
              <w:jc w:val="center"/>
            </w:pPr>
            <w:r>
              <w:t>6,0</w:t>
            </w:r>
          </w:p>
        </w:tc>
        <w:tc>
          <w:tcPr>
            <w:tcW w:w="1165" w:type="dxa"/>
            <w:tcBorders>
              <w:top w:val="nil"/>
            </w:tcBorders>
            <w:vAlign w:val="center"/>
          </w:tcPr>
          <w:p w:rsidR="0070339C" w:rsidRPr="00261A05" w:rsidRDefault="0070339C" w:rsidP="00575BDE">
            <w:pPr>
              <w:ind w:right="42"/>
              <w:jc w:val="center"/>
            </w:pPr>
            <w:r>
              <w:t>-3,0</w:t>
            </w:r>
          </w:p>
        </w:tc>
        <w:tc>
          <w:tcPr>
            <w:tcW w:w="1096" w:type="dxa"/>
            <w:tcBorders>
              <w:top w:val="nil"/>
              <w:right w:val="double" w:sz="4" w:space="0" w:color="auto"/>
            </w:tcBorders>
            <w:vAlign w:val="center"/>
          </w:tcPr>
          <w:p w:rsidR="0070339C" w:rsidRPr="00261A05" w:rsidRDefault="0070339C" w:rsidP="00575BDE">
            <w:pPr>
              <w:ind w:right="42"/>
              <w:jc w:val="center"/>
            </w:pPr>
            <w:r>
              <w:t>**</w:t>
            </w:r>
          </w:p>
        </w:tc>
        <w:tc>
          <w:tcPr>
            <w:tcW w:w="959" w:type="dxa"/>
            <w:tcBorders>
              <w:top w:val="nil"/>
              <w:left w:val="double" w:sz="4" w:space="0" w:color="auto"/>
            </w:tcBorders>
            <w:vAlign w:val="center"/>
          </w:tcPr>
          <w:p w:rsidR="0070339C" w:rsidRPr="00261A05" w:rsidRDefault="0070339C" w:rsidP="00575BDE">
            <w:pPr>
              <w:ind w:right="42"/>
              <w:jc w:val="center"/>
            </w:pPr>
            <w:r>
              <w:t>0,1</w:t>
            </w:r>
          </w:p>
        </w:tc>
        <w:tc>
          <w:tcPr>
            <w:tcW w:w="959" w:type="dxa"/>
            <w:tcBorders>
              <w:top w:val="nil"/>
            </w:tcBorders>
            <w:vAlign w:val="center"/>
          </w:tcPr>
          <w:p w:rsidR="0070339C" w:rsidRPr="00261A05" w:rsidRDefault="0070339C" w:rsidP="00575BDE">
            <w:pPr>
              <w:ind w:right="42"/>
              <w:jc w:val="center"/>
            </w:pPr>
            <w:r>
              <w:t>9,1</w:t>
            </w:r>
          </w:p>
        </w:tc>
      </w:tr>
      <w:tr w:rsidR="0070339C" w:rsidTr="00575BDE">
        <w:trPr>
          <w:trHeight w:val="370"/>
        </w:trPr>
        <w:tc>
          <w:tcPr>
            <w:tcW w:w="3210" w:type="dxa"/>
            <w:tcBorders>
              <w:bottom w:val="nil"/>
            </w:tcBorders>
            <w:vAlign w:val="center"/>
          </w:tcPr>
          <w:p w:rsidR="0070339C" w:rsidRPr="00261A05" w:rsidRDefault="0070339C" w:rsidP="00575BDE">
            <w:pPr>
              <w:ind w:right="42"/>
              <w:jc w:val="center"/>
              <w:rPr>
                <w:b/>
                <w:bCs/>
              </w:rPr>
            </w:pPr>
            <w:r w:rsidRPr="00261A05">
              <w:rPr>
                <w:b/>
                <w:bCs/>
                <w:sz w:val="22"/>
                <w:szCs w:val="22"/>
              </w:rPr>
              <w:t>Kapasite kullanım oranı (KKO)</w:t>
            </w:r>
            <w:r>
              <w:rPr>
                <w:b/>
                <w:bCs/>
                <w:sz w:val="22"/>
                <w:szCs w:val="22"/>
              </w:rPr>
              <w:t>*</w:t>
            </w:r>
            <w:r w:rsidRPr="00A86A49">
              <w:rPr>
                <w:b/>
                <w:bCs/>
                <w:sz w:val="22"/>
                <w:szCs w:val="22"/>
                <w:vertAlign w:val="superscript"/>
              </w:rPr>
              <w:t>, ‡</w:t>
            </w:r>
          </w:p>
        </w:tc>
        <w:tc>
          <w:tcPr>
            <w:tcW w:w="1035" w:type="dxa"/>
            <w:tcBorders>
              <w:bottom w:val="nil"/>
            </w:tcBorders>
            <w:vAlign w:val="center"/>
          </w:tcPr>
          <w:p w:rsidR="0070339C" w:rsidRPr="00261A05" w:rsidRDefault="0070339C" w:rsidP="00575BDE">
            <w:pPr>
              <w:ind w:right="42"/>
              <w:jc w:val="center"/>
              <w:rPr>
                <w:b/>
                <w:bCs/>
              </w:rPr>
            </w:pPr>
            <w:r>
              <w:rPr>
                <w:b/>
                <w:bCs/>
              </w:rPr>
              <w:t>0,5</w:t>
            </w:r>
          </w:p>
        </w:tc>
        <w:tc>
          <w:tcPr>
            <w:tcW w:w="1098" w:type="dxa"/>
            <w:tcBorders>
              <w:bottom w:val="nil"/>
            </w:tcBorders>
            <w:vAlign w:val="center"/>
          </w:tcPr>
          <w:p w:rsidR="0070339C" w:rsidRPr="00261A05" w:rsidRDefault="0070339C" w:rsidP="00575BDE">
            <w:pPr>
              <w:ind w:right="42"/>
              <w:jc w:val="center"/>
              <w:rPr>
                <w:b/>
                <w:bCs/>
              </w:rPr>
            </w:pPr>
            <w:r>
              <w:rPr>
                <w:b/>
                <w:bCs/>
              </w:rPr>
              <w:t>-0,5</w:t>
            </w:r>
          </w:p>
        </w:tc>
        <w:tc>
          <w:tcPr>
            <w:tcW w:w="1165" w:type="dxa"/>
            <w:tcBorders>
              <w:bottom w:val="nil"/>
            </w:tcBorders>
            <w:vAlign w:val="center"/>
          </w:tcPr>
          <w:p w:rsidR="0070339C" w:rsidRPr="00261A05" w:rsidRDefault="0070339C" w:rsidP="00575BDE">
            <w:pPr>
              <w:ind w:right="42"/>
              <w:jc w:val="center"/>
              <w:rPr>
                <w:b/>
                <w:bCs/>
              </w:rPr>
            </w:pPr>
            <w:r>
              <w:rPr>
                <w:b/>
                <w:bCs/>
              </w:rPr>
              <w:t>-0,1</w:t>
            </w:r>
          </w:p>
        </w:tc>
        <w:tc>
          <w:tcPr>
            <w:tcW w:w="1096" w:type="dxa"/>
            <w:tcBorders>
              <w:bottom w:val="nil"/>
              <w:right w:val="double" w:sz="4" w:space="0" w:color="auto"/>
            </w:tcBorders>
            <w:vAlign w:val="center"/>
          </w:tcPr>
          <w:p w:rsidR="0070339C" w:rsidRPr="00261A05" w:rsidRDefault="0070339C" w:rsidP="00575BDE">
            <w:pPr>
              <w:ind w:right="42"/>
              <w:jc w:val="center"/>
              <w:rPr>
                <w:b/>
                <w:bCs/>
              </w:rPr>
            </w:pPr>
            <w:r>
              <w:rPr>
                <w:b/>
                <w:bCs/>
              </w:rPr>
              <w:t>0,0</w:t>
            </w:r>
          </w:p>
        </w:tc>
        <w:tc>
          <w:tcPr>
            <w:tcW w:w="959" w:type="dxa"/>
            <w:tcBorders>
              <w:left w:val="double" w:sz="4" w:space="0" w:color="auto"/>
              <w:bottom w:val="nil"/>
            </w:tcBorders>
            <w:vAlign w:val="center"/>
          </w:tcPr>
          <w:p w:rsidR="0070339C" w:rsidRPr="00261A05" w:rsidRDefault="0070339C" w:rsidP="00575BDE">
            <w:pPr>
              <w:ind w:right="42"/>
              <w:jc w:val="center"/>
              <w:rPr>
                <w:b/>
                <w:bCs/>
              </w:rPr>
            </w:pPr>
            <w:r>
              <w:rPr>
                <w:b/>
                <w:bCs/>
              </w:rPr>
              <w:t>-0,2</w:t>
            </w:r>
          </w:p>
        </w:tc>
        <w:tc>
          <w:tcPr>
            <w:tcW w:w="959" w:type="dxa"/>
            <w:tcBorders>
              <w:bottom w:val="nil"/>
            </w:tcBorders>
            <w:vAlign w:val="center"/>
          </w:tcPr>
          <w:p w:rsidR="0070339C" w:rsidRPr="00261A05" w:rsidRDefault="0070339C" w:rsidP="00575BDE">
            <w:pPr>
              <w:ind w:right="42"/>
              <w:jc w:val="center"/>
              <w:rPr>
                <w:b/>
                <w:bCs/>
              </w:rPr>
            </w:pPr>
            <w:r>
              <w:rPr>
                <w:b/>
                <w:bCs/>
              </w:rPr>
              <w:t>-0,4</w:t>
            </w: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pPr>
            <w:r w:rsidRPr="00261A05">
              <w:rPr>
                <w:sz w:val="22"/>
                <w:szCs w:val="22"/>
              </w:rPr>
              <w:t>Dayanıksız tüketim malı imalatı</w:t>
            </w:r>
            <w:r w:rsidRPr="00A86A49">
              <w:rPr>
                <w:b/>
                <w:bCs/>
                <w:sz w:val="22"/>
                <w:szCs w:val="22"/>
                <w:vertAlign w:val="superscript"/>
              </w:rPr>
              <w:t>‡</w:t>
            </w:r>
          </w:p>
        </w:tc>
        <w:tc>
          <w:tcPr>
            <w:tcW w:w="1035" w:type="dxa"/>
            <w:tcBorders>
              <w:top w:val="nil"/>
              <w:bottom w:val="nil"/>
            </w:tcBorders>
            <w:vAlign w:val="center"/>
          </w:tcPr>
          <w:p w:rsidR="0070339C" w:rsidRPr="00261A05" w:rsidRDefault="0070339C" w:rsidP="00575BDE">
            <w:pPr>
              <w:ind w:right="42"/>
              <w:jc w:val="center"/>
            </w:pPr>
            <w:r>
              <w:t>-0,4</w:t>
            </w:r>
          </w:p>
        </w:tc>
        <w:tc>
          <w:tcPr>
            <w:tcW w:w="1098" w:type="dxa"/>
            <w:tcBorders>
              <w:top w:val="nil"/>
              <w:bottom w:val="nil"/>
            </w:tcBorders>
            <w:vAlign w:val="center"/>
          </w:tcPr>
          <w:p w:rsidR="0070339C" w:rsidRPr="00261A05" w:rsidRDefault="0070339C" w:rsidP="00575BDE">
            <w:pPr>
              <w:ind w:right="42"/>
              <w:jc w:val="center"/>
            </w:pPr>
            <w:r>
              <w:t>0,0</w:t>
            </w:r>
          </w:p>
        </w:tc>
        <w:tc>
          <w:tcPr>
            <w:tcW w:w="1165" w:type="dxa"/>
            <w:tcBorders>
              <w:top w:val="nil"/>
              <w:bottom w:val="nil"/>
            </w:tcBorders>
            <w:vAlign w:val="center"/>
          </w:tcPr>
          <w:p w:rsidR="0070339C" w:rsidRPr="00261A05" w:rsidRDefault="0070339C" w:rsidP="00575BDE">
            <w:pPr>
              <w:ind w:right="42"/>
              <w:jc w:val="center"/>
            </w:pPr>
            <w:r>
              <w:t>-0,7</w:t>
            </w:r>
          </w:p>
        </w:tc>
        <w:tc>
          <w:tcPr>
            <w:tcW w:w="1096" w:type="dxa"/>
            <w:tcBorders>
              <w:top w:val="nil"/>
              <w:bottom w:val="nil"/>
              <w:right w:val="double" w:sz="4" w:space="0" w:color="auto"/>
            </w:tcBorders>
            <w:vAlign w:val="center"/>
          </w:tcPr>
          <w:p w:rsidR="0070339C" w:rsidRPr="00261A05" w:rsidRDefault="0070339C" w:rsidP="00575BDE">
            <w:pPr>
              <w:ind w:right="42"/>
              <w:jc w:val="center"/>
            </w:pPr>
            <w:r>
              <w:t>0,0</w:t>
            </w:r>
          </w:p>
        </w:tc>
        <w:tc>
          <w:tcPr>
            <w:tcW w:w="959" w:type="dxa"/>
            <w:tcBorders>
              <w:top w:val="nil"/>
              <w:left w:val="double" w:sz="4" w:space="0" w:color="auto"/>
              <w:bottom w:val="nil"/>
            </w:tcBorders>
            <w:vAlign w:val="center"/>
          </w:tcPr>
          <w:p w:rsidR="0070339C" w:rsidRPr="00261A05" w:rsidRDefault="0070339C" w:rsidP="00575BDE">
            <w:pPr>
              <w:ind w:right="42"/>
              <w:jc w:val="center"/>
            </w:pPr>
            <w:r>
              <w:t>0,2</w:t>
            </w:r>
          </w:p>
        </w:tc>
        <w:tc>
          <w:tcPr>
            <w:tcW w:w="959" w:type="dxa"/>
            <w:tcBorders>
              <w:top w:val="nil"/>
              <w:bottom w:val="nil"/>
            </w:tcBorders>
            <w:vAlign w:val="center"/>
          </w:tcPr>
          <w:p w:rsidR="0070339C" w:rsidRPr="00261A05" w:rsidRDefault="0070339C" w:rsidP="00575BDE">
            <w:pPr>
              <w:ind w:right="42"/>
              <w:jc w:val="center"/>
            </w:pPr>
            <w:r>
              <w:t>-0,6</w:t>
            </w: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rPr>
                <w:b/>
                <w:bCs/>
              </w:rPr>
            </w:pPr>
            <w:r w:rsidRPr="00261A05">
              <w:rPr>
                <w:sz w:val="22"/>
                <w:szCs w:val="22"/>
              </w:rPr>
              <w:t>Dayanıklı tüketim malı imalatı</w:t>
            </w:r>
            <w:r w:rsidRPr="00A86A49">
              <w:rPr>
                <w:b/>
                <w:bCs/>
                <w:sz w:val="22"/>
                <w:szCs w:val="22"/>
                <w:vertAlign w:val="superscript"/>
              </w:rPr>
              <w:t>‡</w:t>
            </w:r>
          </w:p>
        </w:tc>
        <w:tc>
          <w:tcPr>
            <w:tcW w:w="1035" w:type="dxa"/>
            <w:tcBorders>
              <w:top w:val="nil"/>
              <w:bottom w:val="nil"/>
            </w:tcBorders>
            <w:vAlign w:val="center"/>
          </w:tcPr>
          <w:p w:rsidR="0070339C" w:rsidRPr="00261A05" w:rsidRDefault="0070339C" w:rsidP="00575BDE">
            <w:pPr>
              <w:ind w:right="42"/>
              <w:jc w:val="center"/>
            </w:pPr>
            <w:r>
              <w:t>1,5</w:t>
            </w:r>
          </w:p>
        </w:tc>
        <w:tc>
          <w:tcPr>
            <w:tcW w:w="1098" w:type="dxa"/>
            <w:tcBorders>
              <w:top w:val="nil"/>
              <w:bottom w:val="nil"/>
            </w:tcBorders>
            <w:vAlign w:val="center"/>
          </w:tcPr>
          <w:p w:rsidR="0070339C" w:rsidRPr="00261A05" w:rsidRDefault="0070339C" w:rsidP="00575BDE">
            <w:pPr>
              <w:ind w:right="42"/>
              <w:jc w:val="center"/>
            </w:pPr>
            <w:r>
              <w:t>-2,2</w:t>
            </w:r>
          </w:p>
        </w:tc>
        <w:tc>
          <w:tcPr>
            <w:tcW w:w="1165" w:type="dxa"/>
            <w:tcBorders>
              <w:top w:val="nil"/>
              <w:bottom w:val="nil"/>
            </w:tcBorders>
            <w:vAlign w:val="center"/>
          </w:tcPr>
          <w:p w:rsidR="0070339C" w:rsidRPr="00261A05" w:rsidRDefault="0070339C" w:rsidP="00575BDE">
            <w:pPr>
              <w:ind w:right="42"/>
              <w:jc w:val="center"/>
            </w:pPr>
            <w:r>
              <w:t>-0,1</w:t>
            </w:r>
          </w:p>
        </w:tc>
        <w:tc>
          <w:tcPr>
            <w:tcW w:w="1096" w:type="dxa"/>
            <w:tcBorders>
              <w:top w:val="nil"/>
              <w:bottom w:val="nil"/>
              <w:right w:val="double" w:sz="4" w:space="0" w:color="auto"/>
            </w:tcBorders>
            <w:vAlign w:val="center"/>
          </w:tcPr>
          <w:p w:rsidR="0070339C" w:rsidRPr="00261A05" w:rsidRDefault="0070339C" w:rsidP="00575BDE">
            <w:pPr>
              <w:ind w:right="42"/>
              <w:jc w:val="center"/>
            </w:pPr>
            <w:r>
              <w:t>-0,3</w:t>
            </w:r>
          </w:p>
        </w:tc>
        <w:tc>
          <w:tcPr>
            <w:tcW w:w="959" w:type="dxa"/>
            <w:tcBorders>
              <w:top w:val="nil"/>
              <w:left w:val="double" w:sz="4" w:space="0" w:color="auto"/>
              <w:bottom w:val="nil"/>
            </w:tcBorders>
            <w:vAlign w:val="center"/>
          </w:tcPr>
          <w:p w:rsidR="0070339C" w:rsidRPr="00261A05" w:rsidRDefault="0070339C" w:rsidP="00575BDE">
            <w:pPr>
              <w:ind w:right="42"/>
              <w:jc w:val="center"/>
            </w:pPr>
            <w:r>
              <w:t>2,8</w:t>
            </w:r>
          </w:p>
        </w:tc>
        <w:tc>
          <w:tcPr>
            <w:tcW w:w="959" w:type="dxa"/>
            <w:tcBorders>
              <w:top w:val="nil"/>
              <w:bottom w:val="nil"/>
            </w:tcBorders>
            <w:vAlign w:val="center"/>
          </w:tcPr>
          <w:p w:rsidR="0070339C" w:rsidRPr="00261A05" w:rsidRDefault="0070339C" w:rsidP="00575BDE">
            <w:pPr>
              <w:ind w:right="42"/>
              <w:jc w:val="center"/>
            </w:pPr>
            <w:r>
              <w:t>-1,9</w:t>
            </w: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pPr>
            <w:r w:rsidRPr="00261A05">
              <w:rPr>
                <w:sz w:val="22"/>
                <w:szCs w:val="22"/>
              </w:rPr>
              <w:t>Ara malı imalatı</w:t>
            </w:r>
            <w:r w:rsidRPr="00A86A49">
              <w:rPr>
                <w:b/>
                <w:bCs/>
                <w:sz w:val="22"/>
                <w:szCs w:val="22"/>
                <w:vertAlign w:val="superscript"/>
              </w:rPr>
              <w:t>‡</w:t>
            </w:r>
          </w:p>
        </w:tc>
        <w:tc>
          <w:tcPr>
            <w:tcW w:w="1035" w:type="dxa"/>
            <w:tcBorders>
              <w:top w:val="nil"/>
              <w:bottom w:val="nil"/>
            </w:tcBorders>
            <w:vAlign w:val="center"/>
          </w:tcPr>
          <w:p w:rsidR="0070339C" w:rsidRPr="00261A05" w:rsidRDefault="0070339C" w:rsidP="00575BDE">
            <w:pPr>
              <w:ind w:right="42"/>
              <w:jc w:val="center"/>
            </w:pPr>
            <w:r>
              <w:t>0,4</w:t>
            </w:r>
          </w:p>
        </w:tc>
        <w:tc>
          <w:tcPr>
            <w:tcW w:w="1098" w:type="dxa"/>
            <w:tcBorders>
              <w:top w:val="nil"/>
              <w:bottom w:val="nil"/>
            </w:tcBorders>
            <w:vAlign w:val="center"/>
          </w:tcPr>
          <w:p w:rsidR="0070339C" w:rsidRPr="00261A05" w:rsidRDefault="0070339C" w:rsidP="00575BDE">
            <w:pPr>
              <w:ind w:right="42"/>
              <w:jc w:val="center"/>
            </w:pPr>
            <w:r>
              <w:t>-0,6</w:t>
            </w:r>
          </w:p>
        </w:tc>
        <w:tc>
          <w:tcPr>
            <w:tcW w:w="1165" w:type="dxa"/>
            <w:tcBorders>
              <w:top w:val="nil"/>
              <w:bottom w:val="nil"/>
            </w:tcBorders>
            <w:vAlign w:val="center"/>
          </w:tcPr>
          <w:p w:rsidR="0070339C" w:rsidRPr="00261A05" w:rsidRDefault="0070339C" w:rsidP="00575BDE">
            <w:pPr>
              <w:ind w:right="42"/>
              <w:jc w:val="center"/>
            </w:pPr>
            <w:r>
              <w:t>0,1</w:t>
            </w:r>
          </w:p>
        </w:tc>
        <w:tc>
          <w:tcPr>
            <w:tcW w:w="1096" w:type="dxa"/>
            <w:tcBorders>
              <w:top w:val="nil"/>
              <w:bottom w:val="nil"/>
              <w:right w:val="double" w:sz="4" w:space="0" w:color="auto"/>
            </w:tcBorders>
            <w:vAlign w:val="center"/>
          </w:tcPr>
          <w:p w:rsidR="0070339C" w:rsidRPr="00261A05" w:rsidRDefault="0070339C" w:rsidP="00575BDE">
            <w:pPr>
              <w:ind w:right="42"/>
              <w:jc w:val="center"/>
            </w:pPr>
            <w:r>
              <w:t>-0,5</w:t>
            </w:r>
          </w:p>
        </w:tc>
        <w:tc>
          <w:tcPr>
            <w:tcW w:w="959" w:type="dxa"/>
            <w:tcBorders>
              <w:top w:val="nil"/>
              <w:left w:val="double" w:sz="4" w:space="0" w:color="auto"/>
              <w:bottom w:val="nil"/>
            </w:tcBorders>
            <w:vAlign w:val="center"/>
          </w:tcPr>
          <w:p w:rsidR="0070339C" w:rsidRPr="00261A05" w:rsidRDefault="0070339C" w:rsidP="00575BDE">
            <w:pPr>
              <w:ind w:right="42"/>
              <w:jc w:val="center"/>
            </w:pPr>
            <w:r>
              <w:t>-1,1</w:t>
            </w:r>
          </w:p>
        </w:tc>
        <w:tc>
          <w:tcPr>
            <w:tcW w:w="959" w:type="dxa"/>
            <w:tcBorders>
              <w:top w:val="nil"/>
              <w:bottom w:val="nil"/>
            </w:tcBorders>
            <w:vAlign w:val="center"/>
          </w:tcPr>
          <w:p w:rsidR="0070339C" w:rsidRPr="00261A05" w:rsidRDefault="0070339C" w:rsidP="00575BDE">
            <w:pPr>
              <w:ind w:right="42"/>
              <w:jc w:val="center"/>
            </w:pPr>
            <w:r>
              <w:t>-0,4</w:t>
            </w:r>
          </w:p>
        </w:tc>
      </w:tr>
      <w:tr w:rsidR="0070339C" w:rsidTr="00575BDE">
        <w:trPr>
          <w:trHeight w:val="370"/>
        </w:trPr>
        <w:tc>
          <w:tcPr>
            <w:tcW w:w="3210" w:type="dxa"/>
            <w:tcBorders>
              <w:top w:val="nil"/>
            </w:tcBorders>
            <w:vAlign w:val="center"/>
          </w:tcPr>
          <w:p w:rsidR="0070339C" w:rsidRPr="00261A05" w:rsidRDefault="0070339C" w:rsidP="00575BDE">
            <w:pPr>
              <w:ind w:right="42"/>
              <w:jc w:val="center"/>
            </w:pPr>
            <w:r w:rsidRPr="00261A05">
              <w:rPr>
                <w:sz w:val="22"/>
                <w:szCs w:val="22"/>
              </w:rPr>
              <w:t>Yatırım malı imalatı</w:t>
            </w:r>
            <w:r w:rsidRPr="00A86A49">
              <w:rPr>
                <w:b/>
                <w:bCs/>
                <w:sz w:val="22"/>
                <w:szCs w:val="22"/>
                <w:vertAlign w:val="superscript"/>
              </w:rPr>
              <w:t>‡</w:t>
            </w:r>
          </w:p>
        </w:tc>
        <w:tc>
          <w:tcPr>
            <w:tcW w:w="1035" w:type="dxa"/>
            <w:tcBorders>
              <w:top w:val="nil"/>
            </w:tcBorders>
            <w:vAlign w:val="center"/>
          </w:tcPr>
          <w:p w:rsidR="0070339C" w:rsidRPr="00261A05" w:rsidRDefault="0070339C" w:rsidP="00575BDE">
            <w:pPr>
              <w:ind w:right="42"/>
              <w:jc w:val="center"/>
            </w:pPr>
            <w:r>
              <w:t>0,5</w:t>
            </w:r>
          </w:p>
        </w:tc>
        <w:tc>
          <w:tcPr>
            <w:tcW w:w="1098" w:type="dxa"/>
            <w:tcBorders>
              <w:top w:val="nil"/>
            </w:tcBorders>
            <w:vAlign w:val="center"/>
          </w:tcPr>
          <w:p w:rsidR="0070339C" w:rsidRPr="00261A05" w:rsidRDefault="0070339C" w:rsidP="00575BDE">
            <w:pPr>
              <w:ind w:right="42"/>
              <w:jc w:val="center"/>
            </w:pPr>
            <w:r>
              <w:t>-0,4</w:t>
            </w:r>
          </w:p>
        </w:tc>
        <w:tc>
          <w:tcPr>
            <w:tcW w:w="1165" w:type="dxa"/>
            <w:tcBorders>
              <w:top w:val="nil"/>
            </w:tcBorders>
            <w:vAlign w:val="center"/>
          </w:tcPr>
          <w:p w:rsidR="0070339C" w:rsidRPr="00261A05" w:rsidRDefault="0070339C" w:rsidP="00575BDE">
            <w:pPr>
              <w:ind w:right="42"/>
              <w:jc w:val="center"/>
            </w:pPr>
            <w:r>
              <w:t>1,3</w:t>
            </w:r>
          </w:p>
        </w:tc>
        <w:tc>
          <w:tcPr>
            <w:tcW w:w="1096" w:type="dxa"/>
            <w:tcBorders>
              <w:top w:val="nil"/>
              <w:right w:val="double" w:sz="4" w:space="0" w:color="auto"/>
            </w:tcBorders>
            <w:vAlign w:val="center"/>
          </w:tcPr>
          <w:p w:rsidR="0070339C" w:rsidRPr="00261A05" w:rsidRDefault="0070339C" w:rsidP="00575BDE">
            <w:pPr>
              <w:ind w:right="42"/>
              <w:jc w:val="center"/>
            </w:pPr>
            <w:r>
              <w:t>-0,7</w:t>
            </w:r>
          </w:p>
        </w:tc>
        <w:tc>
          <w:tcPr>
            <w:tcW w:w="959" w:type="dxa"/>
            <w:tcBorders>
              <w:top w:val="nil"/>
              <w:left w:val="double" w:sz="4" w:space="0" w:color="auto"/>
            </w:tcBorders>
            <w:vAlign w:val="center"/>
          </w:tcPr>
          <w:p w:rsidR="0070339C" w:rsidRPr="00261A05" w:rsidRDefault="0070339C" w:rsidP="00575BDE">
            <w:pPr>
              <w:ind w:right="42"/>
              <w:jc w:val="center"/>
            </w:pPr>
            <w:r>
              <w:t>-1,1</w:t>
            </w:r>
          </w:p>
        </w:tc>
        <w:tc>
          <w:tcPr>
            <w:tcW w:w="959" w:type="dxa"/>
            <w:tcBorders>
              <w:top w:val="nil"/>
            </w:tcBorders>
            <w:vAlign w:val="center"/>
          </w:tcPr>
          <w:p w:rsidR="0070339C" w:rsidRPr="00261A05" w:rsidRDefault="0070339C" w:rsidP="00575BDE">
            <w:pPr>
              <w:ind w:right="42"/>
              <w:jc w:val="center"/>
            </w:pPr>
            <w:r>
              <w:t>-0,1</w:t>
            </w:r>
          </w:p>
        </w:tc>
      </w:tr>
      <w:tr w:rsidR="0070339C" w:rsidTr="00575BDE">
        <w:trPr>
          <w:trHeight w:val="370"/>
        </w:trPr>
        <w:tc>
          <w:tcPr>
            <w:tcW w:w="3210" w:type="dxa"/>
            <w:tcBorders>
              <w:bottom w:val="nil"/>
            </w:tcBorders>
            <w:vAlign w:val="center"/>
          </w:tcPr>
          <w:p w:rsidR="0070339C" w:rsidRPr="00261A05" w:rsidRDefault="0070339C" w:rsidP="00575BDE">
            <w:pPr>
              <w:ind w:right="42"/>
              <w:jc w:val="center"/>
              <w:rPr>
                <w:b/>
                <w:bCs/>
              </w:rPr>
            </w:pPr>
            <w:r w:rsidRPr="00261A05">
              <w:rPr>
                <w:b/>
                <w:bCs/>
                <w:sz w:val="22"/>
                <w:szCs w:val="22"/>
              </w:rPr>
              <w:t>Beklenti göstergeleri</w:t>
            </w:r>
          </w:p>
        </w:tc>
        <w:tc>
          <w:tcPr>
            <w:tcW w:w="1035" w:type="dxa"/>
            <w:tcBorders>
              <w:bottom w:val="nil"/>
            </w:tcBorders>
            <w:vAlign w:val="center"/>
          </w:tcPr>
          <w:p w:rsidR="0070339C" w:rsidRPr="00261A05" w:rsidRDefault="0070339C" w:rsidP="00575BDE">
            <w:pPr>
              <w:ind w:right="42"/>
              <w:jc w:val="center"/>
              <w:rPr>
                <w:b/>
                <w:bCs/>
              </w:rPr>
            </w:pPr>
          </w:p>
        </w:tc>
        <w:tc>
          <w:tcPr>
            <w:tcW w:w="1098" w:type="dxa"/>
            <w:tcBorders>
              <w:bottom w:val="nil"/>
            </w:tcBorders>
            <w:vAlign w:val="center"/>
          </w:tcPr>
          <w:p w:rsidR="0070339C" w:rsidRPr="00261A05" w:rsidRDefault="0070339C" w:rsidP="00575BDE">
            <w:pPr>
              <w:ind w:right="42"/>
              <w:jc w:val="center"/>
              <w:rPr>
                <w:b/>
                <w:bCs/>
              </w:rPr>
            </w:pPr>
          </w:p>
        </w:tc>
        <w:tc>
          <w:tcPr>
            <w:tcW w:w="1165" w:type="dxa"/>
            <w:tcBorders>
              <w:bottom w:val="nil"/>
            </w:tcBorders>
            <w:vAlign w:val="center"/>
          </w:tcPr>
          <w:p w:rsidR="0070339C" w:rsidRPr="00261A05" w:rsidRDefault="0070339C" w:rsidP="00575BDE">
            <w:pPr>
              <w:ind w:right="42"/>
              <w:jc w:val="center"/>
              <w:rPr>
                <w:b/>
                <w:bCs/>
              </w:rPr>
            </w:pPr>
          </w:p>
        </w:tc>
        <w:tc>
          <w:tcPr>
            <w:tcW w:w="1096" w:type="dxa"/>
            <w:tcBorders>
              <w:bottom w:val="nil"/>
              <w:right w:val="double" w:sz="4" w:space="0" w:color="auto"/>
            </w:tcBorders>
            <w:vAlign w:val="center"/>
          </w:tcPr>
          <w:p w:rsidR="0070339C" w:rsidRPr="00261A05" w:rsidRDefault="0070339C" w:rsidP="00575BDE">
            <w:pPr>
              <w:ind w:right="42"/>
              <w:jc w:val="center"/>
              <w:rPr>
                <w:b/>
                <w:bCs/>
              </w:rPr>
            </w:pPr>
          </w:p>
        </w:tc>
        <w:tc>
          <w:tcPr>
            <w:tcW w:w="959" w:type="dxa"/>
            <w:tcBorders>
              <w:left w:val="double" w:sz="4" w:space="0" w:color="auto"/>
              <w:bottom w:val="nil"/>
            </w:tcBorders>
            <w:vAlign w:val="center"/>
          </w:tcPr>
          <w:p w:rsidR="0070339C" w:rsidRPr="00261A05" w:rsidRDefault="0070339C" w:rsidP="00575BDE">
            <w:pPr>
              <w:ind w:right="42"/>
              <w:jc w:val="center"/>
              <w:rPr>
                <w:b/>
                <w:bCs/>
              </w:rPr>
            </w:pPr>
          </w:p>
        </w:tc>
        <w:tc>
          <w:tcPr>
            <w:tcW w:w="959" w:type="dxa"/>
            <w:tcBorders>
              <w:bottom w:val="nil"/>
            </w:tcBorders>
            <w:vAlign w:val="center"/>
          </w:tcPr>
          <w:p w:rsidR="0070339C" w:rsidRPr="00261A05" w:rsidRDefault="0070339C" w:rsidP="00575BDE">
            <w:pPr>
              <w:ind w:right="42"/>
              <w:jc w:val="center"/>
              <w:rPr>
                <w:b/>
                <w:bCs/>
              </w:rPr>
            </w:pP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pPr>
            <w:r w:rsidRPr="00261A05">
              <w:rPr>
                <w:sz w:val="22"/>
                <w:szCs w:val="22"/>
              </w:rPr>
              <w:t>Tüketici güven endeksi (TÜİK)</w:t>
            </w:r>
          </w:p>
        </w:tc>
        <w:tc>
          <w:tcPr>
            <w:tcW w:w="1035" w:type="dxa"/>
            <w:tcBorders>
              <w:top w:val="nil"/>
              <w:bottom w:val="nil"/>
            </w:tcBorders>
            <w:vAlign w:val="center"/>
          </w:tcPr>
          <w:p w:rsidR="0070339C" w:rsidRPr="00261A05" w:rsidRDefault="0070339C" w:rsidP="00575BDE">
            <w:pPr>
              <w:ind w:right="42"/>
              <w:jc w:val="center"/>
            </w:pPr>
            <w:r>
              <w:t>-2,3</w:t>
            </w:r>
          </w:p>
        </w:tc>
        <w:tc>
          <w:tcPr>
            <w:tcW w:w="1098" w:type="dxa"/>
            <w:tcBorders>
              <w:top w:val="nil"/>
              <w:bottom w:val="nil"/>
            </w:tcBorders>
            <w:vAlign w:val="center"/>
          </w:tcPr>
          <w:p w:rsidR="0070339C" w:rsidRPr="00261A05" w:rsidRDefault="0070339C" w:rsidP="00575BDE">
            <w:pPr>
              <w:ind w:right="42"/>
              <w:jc w:val="center"/>
            </w:pPr>
            <w:r>
              <w:t>0,0</w:t>
            </w:r>
          </w:p>
        </w:tc>
        <w:tc>
          <w:tcPr>
            <w:tcW w:w="1165" w:type="dxa"/>
            <w:tcBorders>
              <w:top w:val="nil"/>
              <w:bottom w:val="nil"/>
            </w:tcBorders>
            <w:vAlign w:val="center"/>
          </w:tcPr>
          <w:p w:rsidR="0070339C" w:rsidRPr="00261A05" w:rsidRDefault="0070339C" w:rsidP="00575BDE">
            <w:pPr>
              <w:ind w:right="42"/>
              <w:jc w:val="center"/>
            </w:pPr>
            <w:r>
              <w:t>0,5</w:t>
            </w:r>
          </w:p>
        </w:tc>
        <w:tc>
          <w:tcPr>
            <w:tcW w:w="1096" w:type="dxa"/>
            <w:tcBorders>
              <w:top w:val="nil"/>
              <w:bottom w:val="nil"/>
              <w:right w:val="double" w:sz="4" w:space="0" w:color="auto"/>
            </w:tcBorders>
            <w:vAlign w:val="center"/>
          </w:tcPr>
          <w:p w:rsidR="0070339C" w:rsidRPr="00261A05" w:rsidRDefault="0070339C" w:rsidP="00575BDE">
            <w:pPr>
              <w:ind w:right="42"/>
              <w:jc w:val="center"/>
            </w:pPr>
            <w:r>
              <w:t>0,8</w:t>
            </w:r>
          </w:p>
        </w:tc>
        <w:tc>
          <w:tcPr>
            <w:tcW w:w="959" w:type="dxa"/>
            <w:tcBorders>
              <w:top w:val="nil"/>
              <w:left w:val="double" w:sz="4" w:space="0" w:color="auto"/>
              <w:bottom w:val="nil"/>
            </w:tcBorders>
            <w:vAlign w:val="center"/>
          </w:tcPr>
          <w:p w:rsidR="0070339C" w:rsidRPr="00261A05" w:rsidRDefault="0070339C" w:rsidP="00575BDE">
            <w:pPr>
              <w:ind w:right="42"/>
              <w:jc w:val="center"/>
            </w:pPr>
            <w:r>
              <w:t>5,8</w:t>
            </w:r>
          </w:p>
        </w:tc>
        <w:tc>
          <w:tcPr>
            <w:tcW w:w="959" w:type="dxa"/>
            <w:tcBorders>
              <w:top w:val="nil"/>
              <w:bottom w:val="nil"/>
            </w:tcBorders>
            <w:vAlign w:val="center"/>
          </w:tcPr>
          <w:p w:rsidR="0070339C" w:rsidRPr="00261A05" w:rsidRDefault="0070339C" w:rsidP="00575BDE">
            <w:pPr>
              <w:ind w:right="42"/>
              <w:jc w:val="center"/>
            </w:pPr>
            <w:r>
              <w:t>-2,1</w:t>
            </w:r>
          </w:p>
        </w:tc>
      </w:tr>
      <w:tr w:rsidR="0070339C" w:rsidTr="00575BDE">
        <w:trPr>
          <w:trHeight w:val="370"/>
        </w:trPr>
        <w:tc>
          <w:tcPr>
            <w:tcW w:w="3210" w:type="dxa"/>
            <w:tcBorders>
              <w:top w:val="nil"/>
            </w:tcBorders>
            <w:vAlign w:val="center"/>
          </w:tcPr>
          <w:p w:rsidR="0070339C" w:rsidRPr="00261A05" w:rsidRDefault="0070339C" w:rsidP="00575BDE">
            <w:pPr>
              <w:ind w:right="42"/>
              <w:jc w:val="center"/>
            </w:pPr>
            <w:r w:rsidRPr="00261A05">
              <w:rPr>
                <w:sz w:val="22"/>
                <w:szCs w:val="22"/>
              </w:rPr>
              <w:t>Reel kesim güven endeksi</w:t>
            </w:r>
            <w:r w:rsidRPr="00944BB8">
              <w:rPr>
                <w:sz w:val="22"/>
                <w:szCs w:val="22"/>
                <w:vertAlign w:val="superscript"/>
              </w:rPr>
              <w:t>†</w:t>
            </w:r>
          </w:p>
        </w:tc>
        <w:tc>
          <w:tcPr>
            <w:tcW w:w="1035" w:type="dxa"/>
            <w:tcBorders>
              <w:top w:val="nil"/>
            </w:tcBorders>
            <w:vAlign w:val="center"/>
          </w:tcPr>
          <w:p w:rsidR="0070339C" w:rsidRPr="00261A05" w:rsidRDefault="0070339C" w:rsidP="00575BDE">
            <w:pPr>
              <w:ind w:right="42"/>
              <w:jc w:val="center"/>
            </w:pPr>
            <w:r>
              <w:t>-0,6</w:t>
            </w:r>
          </w:p>
        </w:tc>
        <w:tc>
          <w:tcPr>
            <w:tcW w:w="1098" w:type="dxa"/>
            <w:tcBorders>
              <w:top w:val="nil"/>
            </w:tcBorders>
            <w:vAlign w:val="center"/>
          </w:tcPr>
          <w:p w:rsidR="0070339C" w:rsidRPr="00261A05" w:rsidRDefault="0070339C" w:rsidP="00575BDE">
            <w:pPr>
              <w:ind w:right="42"/>
              <w:jc w:val="center"/>
            </w:pPr>
            <w:r>
              <w:t>-0,7</w:t>
            </w:r>
          </w:p>
        </w:tc>
        <w:tc>
          <w:tcPr>
            <w:tcW w:w="1165" w:type="dxa"/>
            <w:tcBorders>
              <w:top w:val="nil"/>
            </w:tcBorders>
            <w:vAlign w:val="center"/>
          </w:tcPr>
          <w:p w:rsidR="0070339C" w:rsidRPr="00261A05" w:rsidRDefault="0070339C" w:rsidP="00575BDE">
            <w:pPr>
              <w:ind w:right="42"/>
              <w:jc w:val="center"/>
            </w:pPr>
            <w:r>
              <w:t>-0,3</w:t>
            </w:r>
          </w:p>
        </w:tc>
        <w:tc>
          <w:tcPr>
            <w:tcW w:w="1096" w:type="dxa"/>
            <w:tcBorders>
              <w:top w:val="nil"/>
              <w:right w:val="double" w:sz="4" w:space="0" w:color="auto"/>
            </w:tcBorders>
            <w:vAlign w:val="center"/>
          </w:tcPr>
          <w:p w:rsidR="0070339C" w:rsidRPr="00261A05" w:rsidRDefault="0070339C" w:rsidP="00575BDE">
            <w:pPr>
              <w:ind w:right="42"/>
              <w:jc w:val="center"/>
            </w:pPr>
            <w:r>
              <w:t>1,3</w:t>
            </w:r>
          </w:p>
        </w:tc>
        <w:tc>
          <w:tcPr>
            <w:tcW w:w="959" w:type="dxa"/>
            <w:tcBorders>
              <w:top w:val="nil"/>
              <w:left w:val="double" w:sz="4" w:space="0" w:color="auto"/>
            </w:tcBorders>
            <w:vAlign w:val="center"/>
          </w:tcPr>
          <w:p w:rsidR="0070339C" w:rsidRPr="00261A05" w:rsidRDefault="0070339C" w:rsidP="00575BDE">
            <w:pPr>
              <w:ind w:right="42"/>
              <w:jc w:val="center"/>
            </w:pPr>
            <w:r>
              <w:t>2,3</w:t>
            </w:r>
          </w:p>
        </w:tc>
        <w:tc>
          <w:tcPr>
            <w:tcW w:w="959" w:type="dxa"/>
            <w:tcBorders>
              <w:top w:val="nil"/>
            </w:tcBorders>
            <w:vAlign w:val="center"/>
          </w:tcPr>
          <w:p w:rsidR="0070339C" w:rsidRPr="00261A05" w:rsidRDefault="0070339C" w:rsidP="00575BDE">
            <w:pPr>
              <w:ind w:right="42"/>
              <w:jc w:val="center"/>
            </w:pPr>
            <w:r>
              <w:t>-0,6</w:t>
            </w:r>
          </w:p>
        </w:tc>
      </w:tr>
      <w:tr w:rsidR="0070339C" w:rsidTr="00575BDE">
        <w:trPr>
          <w:trHeight w:val="370"/>
        </w:trPr>
        <w:tc>
          <w:tcPr>
            <w:tcW w:w="3210" w:type="dxa"/>
            <w:tcBorders>
              <w:bottom w:val="nil"/>
            </w:tcBorders>
            <w:vAlign w:val="center"/>
          </w:tcPr>
          <w:p w:rsidR="0070339C" w:rsidRPr="00261A05" w:rsidRDefault="0070339C" w:rsidP="00575BDE">
            <w:pPr>
              <w:ind w:right="42"/>
              <w:jc w:val="center"/>
              <w:rPr>
                <w:b/>
                <w:bCs/>
              </w:rPr>
            </w:pPr>
            <w:r w:rsidRPr="00261A05">
              <w:rPr>
                <w:b/>
                <w:bCs/>
                <w:sz w:val="22"/>
                <w:szCs w:val="22"/>
              </w:rPr>
              <w:t>Finansal göstergeler</w:t>
            </w:r>
          </w:p>
        </w:tc>
        <w:tc>
          <w:tcPr>
            <w:tcW w:w="1035" w:type="dxa"/>
            <w:tcBorders>
              <w:bottom w:val="nil"/>
            </w:tcBorders>
            <w:vAlign w:val="center"/>
          </w:tcPr>
          <w:p w:rsidR="0070339C" w:rsidRPr="00261A05" w:rsidRDefault="0070339C" w:rsidP="00575BDE">
            <w:pPr>
              <w:ind w:right="42"/>
              <w:jc w:val="center"/>
              <w:rPr>
                <w:b/>
                <w:bCs/>
              </w:rPr>
            </w:pPr>
          </w:p>
        </w:tc>
        <w:tc>
          <w:tcPr>
            <w:tcW w:w="1098" w:type="dxa"/>
            <w:tcBorders>
              <w:bottom w:val="nil"/>
            </w:tcBorders>
            <w:vAlign w:val="center"/>
          </w:tcPr>
          <w:p w:rsidR="0070339C" w:rsidRPr="00261A05" w:rsidRDefault="0070339C" w:rsidP="00575BDE">
            <w:pPr>
              <w:ind w:right="42"/>
              <w:jc w:val="center"/>
              <w:rPr>
                <w:b/>
                <w:bCs/>
              </w:rPr>
            </w:pPr>
          </w:p>
        </w:tc>
        <w:tc>
          <w:tcPr>
            <w:tcW w:w="1165" w:type="dxa"/>
            <w:tcBorders>
              <w:bottom w:val="nil"/>
            </w:tcBorders>
            <w:vAlign w:val="center"/>
          </w:tcPr>
          <w:p w:rsidR="0070339C" w:rsidRPr="00261A05" w:rsidRDefault="0070339C" w:rsidP="00575BDE">
            <w:pPr>
              <w:ind w:right="42"/>
              <w:jc w:val="center"/>
              <w:rPr>
                <w:b/>
                <w:bCs/>
              </w:rPr>
            </w:pPr>
          </w:p>
        </w:tc>
        <w:tc>
          <w:tcPr>
            <w:tcW w:w="1096" w:type="dxa"/>
            <w:tcBorders>
              <w:bottom w:val="nil"/>
              <w:right w:val="double" w:sz="4" w:space="0" w:color="auto"/>
            </w:tcBorders>
            <w:vAlign w:val="center"/>
          </w:tcPr>
          <w:p w:rsidR="0070339C" w:rsidRPr="00261A05" w:rsidRDefault="0070339C" w:rsidP="00575BDE">
            <w:pPr>
              <w:ind w:right="42"/>
              <w:jc w:val="center"/>
              <w:rPr>
                <w:b/>
                <w:bCs/>
              </w:rPr>
            </w:pPr>
          </w:p>
        </w:tc>
        <w:tc>
          <w:tcPr>
            <w:tcW w:w="959" w:type="dxa"/>
            <w:tcBorders>
              <w:left w:val="double" w:sz="4" w:space="0" w:color="auto"/>
              <w:bottom w:val="nil"/>
            </w:tcBorders>
            <w:vAlign w:val="center"/>
          </w:tcPr>
          <w:p w:rsidR="0070339C" w:rsidRPr="00261A05" w:rsidRDefault="0070339C" w:rsidP="00575BDE">
            <w:pPr>
              <w:ind w:right="42"/>
              <w:jc w:val="center"/>
              <w:rPr>
                <w:b/>
                <w:bCs/>
              </w:rPr>
            </w:pPr>
          </w:p>
        </w:tc>
        <w:tc>
          <w:tcPr>
            <w:tcW w:w="959" w:type="dxa"/>
            <w:tcBorders>
              <w:bottom w:val="nil"/>
            </w:tcBorders>
            <w:vAlign w:val="center"/>
          </w:tcPr>
          <w:p w:rsidR="0070339C" w:rsidRPr="00261A05" w:rsidRDefault="0070339C" w:rsidP="00575BDE">
            <w:pPr>
              <w:ind w:right="42"/>
              <w:jc w:val="center"/>
              <w:rPr>
                <w:b/>
                <w:bCs/>
              </w:rPr>
            </w:pPr>
          </w:p>
        </w:tc>
      </w:tr>
      <w:tr w:rsidR="0070339C" w:rsidTr="00575BDE">
        <w:trPr>
          <w:trHeight w:val="370"/>
        </w:trPr>
        <w:tc>
          <w:tcPr>
            <w:tcW w:w="3210" w:type="dxa"/>
            <w:tcBorders>
              <w:top w:val="nil"/>
            </w:tcBorders>
            <w:vAlign w:val="center"/>
          </w:tcPr>
          <w:p w:rsidR="0070339C" w:rsidRPr="00261A05" w:rsidRDefault="0070339C" w:rsidP="00575BDE">
            <w:pPr>
              <w:ind w:right="42"/>
              <w:jc w:val="center"/>
            </w:pPr>
            <w:r>
              <w:rPr>
                <w:sz w:val="22"/>
                <w:szCs w:val="22"/>
              </w:rPr>
              <w:t>BİST</w:t>
            </w:r>
            <w:r w:rsidRPr="00261A05">
              <w:rPr>
                <w:sz w:val="22"/>
                <w:szCs w:val="22"/>
              </w:rPr>
              <w:t xml:space="preserve"> 100</w:t>
            </w:r>
          </w:p>
        </w:tc>
        <w:tc>
          <w:tcPr>
            <w:tcW w:w="1035" w:type="dxa"/>
            <w:tcBorders>
              <w:top w:val="nil"/>
            </w:tcBorders>
            <w:vAlign w:val="center"/>
          </w:tcPr>
          <w:p w:rsidR="0070339C" w:rsidRPr="00261A05" w:rsidRDefault="0070339C" w:rsidP="00575BDE">
            <w:pPr>
              <w:ind w:right="42"/>
              <w:jc w:val="center"/>
            </w:pPr>
            <w:r>
              <w:t>7,0</w:t>
            </w:r>
          </w:p>
        </w:tc>
        <w:tc>
          <w:tcPr>
            <w:tcW w:w="1098" w:type="dxa"/>
            <w:tcBorders>
              <w:top w:val="nil"/>
            </w:tcBorders>
            <w:vAlign w:val="center"/>
          </w:tcPr>
          <w:p w:rsidR="0070339C" w:rsidRPr="00261A05" w:rsidRDefault="0070339C" w:rsidP="00575BDE">
            <w:pPr>
              <w:ind w:right="42"/>
              <w:jc w:val="center"/>
            </w:pPr>
            <w:r>
              <w:t>-0,5</w:t>
            </w:r>
          </w:p>
        </w:tc>
        <w:tc>
          <w:tcPr>
            <w:tcW w:w="1165" w:type="dxa"/>
            <w:tcBorders>
              <w:top w:val="nil"/>
            </w:tcBorders>
            <w:vAlign w:val="center"/>
          </w:tcPr>
          <w:p w:rsidR="0070339C" w:rsidRPr="00261A05" w:rsidRDefault="0070339C" w:rsidP="00575BDE">
            <w:pPr>
              <w:ind w:right="42"/>
              <w:jc w:val="center"/>
            </w:pPr>
            <w:r>
              <w:t>0,1</w:t>
            </w:r>
          </w:p>
        </w:tc>
        <w:tc>
          <w:tcPr>
            <w:tcW w:w="1096" w:type="dxa"/>
            <w:tcBorders>
              <w:top w:val="nil"/>
              <w:right w:val="double" w:sz="4" w:space="0" w:color="auto"/>
            </w:tcBorders>
            <w:vAlign w:val="center"/>
          </w:tcPr>
          <w:p w:rsidR="0070339C" w:rsidRPr="00261A05" w:rsidRDefault="0070339C" w:rsidP="00575BDE">
            <w:pPr>
              <w:ind w:right="42"/>
              <w:jc w:val="center"/>
            </w:pPr>
            <w:r>
              <w:t>-2,1</w:t>
            </w:r>
          </w:p>
        </w:tc>
        <w:tc>
          <w:tcPr>
            <w:tcW w:w="959" w:type="dxa"/>
            <w:tcBorders>
              <w:top w:val="nil"/>
              <w:left w:val="double" w:sz="4" w:space="0" w:color="auto"/>
            </w:tcBorders>
            <w:vAlign w:val="center"/>
          </w:tcPr>
          <w:p w:rsidR="0070339C" w:rsidRPr="00261A05" w:rsidRDefault="0070339C" w:rsidP="00575BDE">
            <w:pPr>
              <w:ind w:right="42"/>
              <w:jc w:val="center"/>
            </w:pPr>
            <w:r>
              <w:t>11,5</w:t>
            </w:r>
          </w:p>
        </w:tc>
        <w:tc>
          <w:tcPr>
            <w:tcW w:w="959" w:type="dxa"/>
            <w:tcBorders>
              <w:top w:val="nil"/>
            </w:tcBorders>
            <w:vAlign w:val="center"/>
          </w:tcPr>
          <w:p w:rsidR="0070339C" w:rsidRPr="00261A05" w:rsidRDefault="0070339C" w:rsidP="00575BDE">
            <w:pPr>
              <w:ind w:right="42"/>
              <w:jc w:val="center"/>
            </w:pPr>
            <w:r>
              <w:t>4,9</w:t>
            </w:r>
          </w:p>
        </w:tc>
      </w:tr>
      <w:tr w:rsidR="0070339C" w:rsidTr="00575BDE">
        <w:trPr>
          <w:trHeight w:val="370"/>
        </w:trPr>
        <w:tc>
          <w:tcPr>
            <w:tcW w:w="3210" w:type="dxa"/>
            <w:tcBorders>
              <w:bottom w:val="nil"/>
            </w:tcBorders>
            <w:vAlign w:val="center"/>
          </w:tcPr>
          <w:p w:rsidR="0070339C" w:rsidRPr="00261A05" w:rsidRDefault="0070339C" w:rsidP="00575BDE">
            <w:pPr>
              <w:ind w:right="42"/>
              <w:jc w:val="center"/>
              <w:rPr>
                <w:b/>
                <w:bCs/>
              </w:rPr>
            </w:pPr>
            <w:r w:rsidRPr="00261A05">
              <w:rPr>
                <w:b/>
                <w:bCs/>
                <w:sz w:val="22"/>
                <w:szCs w:val="22"/>
              </w:rPr>
              <w:t>Diğerleri</w:t>
            </w:r>
          </w:p>
        </w:tc>
        <w:tc>
          <w:tcPr>
            <w:tcW w:w="1035" w:type="dxa"/>
            <w:tcBorders>
              <w:bottom w:val="nil"/>
            </w:tcBorders>
            <w:vAlign w:val="center"/>
          </w:tcPr>
          <w:p w:rsidR="0070339C" w:rsidRPr="00261A05" w:rsidRDefault="0070339C" w:rsidP="00575BDE">
            <w:pPr>
              <w:ind w:right="42"/>
              <w:jc w:val="center"/>
            </w:pPr>
          </w:p>
        </w:tc>
        <w:tc>
          <w:tcPr>
            <w:tcW w:w="1098" w:type="dxa"/>
            <w:tcBorders>
              <w:bottom w:val="nil"/>
            </w:tcBorders>
            <w:vAlign w:val="center"/>
          </w:tcPr>
          <w:p w:rsidR="0070339C" w:rsidRPr="00261A05" w:rsidRDefault="0070339C" w:rsidP="00575BDE">
            <w:pPr>
              <w:ind w:right="42"/>
              <w:jc w:val="center"/>
            </w:pPr>
          </w:p>
        </w:tc>
        <w:tc>
          <w:tcPr>
            <w:tcW w:w="1165" w:type="dxa"/>
            <w:tcBorders>
              <w:bottom w:val="nil"/>
            </w:tcBorders>
            <w:vAlign w:val="center"/>
          </w:tcPr>
          <w:p w:rsidR="0070339C" w:rsidRPr="00261A05" w:rsidRDefault="0070339C" w:rsidP="00575BDE">
            <w:pPr>
              <w:ind w:right="42"/>
              <w:jc w:val="center"/>
            </w:pPr>
          </w:p>
        </w:tc>
        <w:tc>
          <w:tcPr>
            <w:tcW w:w="1096" w:type="dxa"/>
            <w:tcBorders>
              <w:bottom w:val="nil"/>
              <w:right w:val="double" w:sz="4" w:space="0" w:color="auto"/>
            </w:tcBorders>
            <w:vAlign w:val="center"/>
          </w:tcPr>
          <w:p w:rsidR="0070339C" w:rsidRPr="00261A05" w:rsidRDefault="0070339C" w:rsidP="00575BDE">
            <w:pPr>
              <w:ind w:right="42"/>
              <w:jc w:val="center"/>
            </w:pPr>
          </w:p>
        </w:tc>
        <w:tc>
          <w:tcPr>
            <w:tcW w:w="959" w:type="dxa"/>
            <w:tcBorders>
              <w:left w:val="double" w:sz="4" w:space="0" w:color="auto"/>
              <w:bottom w:val="nil"/>
            </w:tcBorders>
            <w:vAlign w:val="center"/>
          </w:tcPr>
          <w:p w:rsidR="0070339C" w:rsidRPr="00261A05" w:rsidRDefault="0070339C" w:rsidP="00575BDE">
            <w:pPr>
              <w:ind w:right="42"/>
              <w:jc w:val="center"/>
            </w:pPr>
          </w:p>
        </w:tc>
        <w:tc>
          <w:tcPr>
            <w:tcW w:w="959" w:type="dxa"/>
            <w:tcBorders>
              <w:bottom w:val="nil"/>
            </w:tcBorders>
            <w:vAlign w:val="center"/>
          </w:tcPr>
          <w:p w:rsidR="0070339C" w:rsidRPr="00261A05" w:rsidRDefault="0070339C" w:rsidP="00575BDE">
            <w:pPr>
              <w:ind w:right="42"/>
              <w:jc w:val="center"/>
            </w:pPr>
          </w:p>
        </w:tc>
      </w:tr>
      <w:tr w:rsidR="0070339C" w:rsidTr="00575BDE">
        <w:trPr>
          <w:trHeight w:val="370"/>
        </w:trPr>
        <w:tc>
          <w:tcPr>
            <w:tcW w:w="3210" w:type="dxa"/>
            <w:tcBorders>
              <w:bottom w:val="nil"/>
            </w:tcBorders>
            <w:vAlign w:val="center"/>
          </w:tcPr>
          <w:p w:rsidR="0070339C" w:rsidRPr="00261A05" w:rsidRDefault="0070339C" w:rsidP="00B2158D">
            <w:pPr>
              <w:ind w:right="42"/>
              <w:jc w:val="center"/>
              <w:rPr>
                <w:sz w:val="22"/>
                <w:szCs w:val="22"/>
              </w:rPr>
            </w:pPr>
            <w:r>
              <w:rPr>
                <w:sz w:val="22"/>
                <w:szCs w:val="22"/>
              </w:rPr>
              <w:t>Hükümet Harcamaları</w:t>
            </w:r>
            <w:bookmarkStart w:id="1" w:name="OLE_LINK1"/>
            <w:bookmarkStart w:id="2" w:name="OLE_LINK2"/>
            <w:bookmarkStart w:id="3" w:name="OLE_LINK3"/>
            <w:r>
              <w:rPr>
                <w:rFonts w:ascii="Calibri" w:hAnsi="Calibri"/>
                <w:sz w:val="22"/>
                <w:szCs w:val="22"/>
              </w:rPr>
              <w:t>⁰</w:t>
            </w:r>
            <w:bookmarkEnd w:id="1"/>
            <w:bookmarkEnd w:id="2"/>
            <w:bookmarkEnd w:id="3"/>
          </w:p>
        </w:tc>
        <w:tc>
          <w:tcPr>
            <w:tcW w:w="1035" w:type="dxa"/>
            <w:tcBorders>
              <w:bottom w:val="nil"/>
            </w:tcBorders>
            <w:vAlign w:val="center"/>
          </w:tcPr>
          <w:p w:rsidR="0070339C" w:rsidRDefault="00622914" w:rsidP="00B2158D">
            <w:pPr>
              <w:ind w:right="42"/>
              <w:jc w:val="center"/>
            </w:pPr>
            <w:r>
              <w:t>1,1</w:t>
            </w:r>
          </w:p>
        </w:tc>
        <w:tc>
          <w:tcPr>
            <w:tcW w:w="1098" w:type="dxa"/>
            <w:tcBorders>
              <w:bottom w:val="nil"/>
            </w:tcBorders>
            <w:vAlign w:val="center"/>
          </w:tcPr>
          <w:p w:rsidR="0070339C" w:rsidRDefault="00622914" w:rsidP="00B2158D">
            <w:pPr>
              <w:ind w:right="42"/>
              <w:jc w:val="center"/>
            </w:pPr>
            <w:r>
              <w:t>2,4</w:t>
            </w:r>
          </w:p>
        </w:tc>
        <w:tc>
          <w:tcPr>
            <w:tcW w:w="1165" w:type="dxa"/>
            <w:tcBorders>
              <w:bottom w:val="nil"/>
            </w:tcBorders>
            <w:vAlign w:val="center"/>
          </w:tcPr>
          <w:p w:rsidR="0070339C" w:rsidRDefault="00622914" w:rsidP="00B2158D">
            <w:pPr>
              <w:ind w:right="42"/>
              <w:jc w:val="center"/>
            </w:pPr>
            <w:r>
              <w:t>-3,0</w:t>
            </w:r>
          </w:p>
        </w:tc>
        <w:tc>
          <w:tcPr>
            <w:tcW w:w="1096" w:type="dxa"/>
            <w:tcBorders>
              <w:bottom w:val="nil"/>
              <w:right w:val="double" w:sz="4" w:space="0" w:color="auto"/>
            </w:tcBorders>
            <w:vAlign w:val="center"/>
          </w:tcPr>
          <w:p w:rsidR="0070339C" w:rsidRDefault="00622914" w:rsidP="00B2158D">
            <w:pPr>
              <w:ind w:right="42"/>
              <w:jc w:val="center"/>
            </w:pPr>
            <w:r>
              <w:t>3,4</w:t>
            </w:r>
          </w:p>
        </w:tc>
        <w:tc>
          <w:tcPr>
            <w:tcW w:w="959" w:type="dxa"/>
            <w:tcBorders>
              <w:left w:val="double" w:sz="4" w:space="0" w:color="auto"/>
              <w:bottom w:val="nil"/>
            </w:tcBorders>
            <w:vAlign w:val="center"/>
          </w:tcPr>
          <w:p w:rsidR="0070339C" w:rsidRDefault="00622914" w:rsidP="00B2158D">
            <w:pPr>
              <w:ind w:right="42"/>
              <w:jc w:val="center"/>
            </w:pPr>
            <w:r>
              <w:t>-1,8</w:t>
            </w:r>
          </w:p>
        </w:tc>
        <w:tc>
          <w:tcPr>
            <w:tcW w:w="959" w:type="dxa"/>
            <w:tcBorders>
              <w:bottom w:val="nil"/>
            </w:tcBorders>
            <w:vAlign w:val="center"/>
          </w:tcPr>
          <w:p w:rsidR="0070339C" w:rsidRDefault="00622914" w:rsidP="00B2158D">
            <w:pPr>
              <w:ind w:right="42"/>
              <w:jc w:val="center"/>
            </w:pPr>
            <w:r>
              <w:t>2,0</w:t>
            </w: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pPr>
            <w:r w:rsidRPr="00261A05">
              <w:rPr>
                <w:sz w:val="22"/>
                <w:szCs w:val="22"/>
              </w:rPr>
              <w:t>Özel tüketim vergisi (ÖTV)</w:t>
            </w:r>
          </w:p>
        </w:tc>
        <w:tc>
          <w:tcPr>
            <w:tcW w:w="1035" w:type="dxa"/>
            <w:tcBorders>
              <w:top w:val="nil"/>
              <w:bottom w:val="nil"/>
            </w:tcBorders>
            <w:vAlign w:val="center"/>
          </w:tcPr>
          <w:p w:rsidR="0070339C" w:rsidRPr="00261A05" w:rsidRDefault="00622914" w:rsidP="00575BDE">
            <w:pPr>
              <w:ind w:right="42"/>
              <w:jc w:val="center"/>
            </w:pPr>
            <w:r>
              <w:t>-0,6</w:t>
            </w:r>
          </w:p>
        </w:tc>
        <w:tc>
          <w:tcPr>
            <w:tcW w:w="1098" w:type="dxa"/>
            <w:tcBorders>
              <w:top w:val="nil"/>
              <w:bottom w:val="nil"/>
            </w:tcBorders>
            <w:vAlign w:val="center"/>
          </w:tcPr>
          <w:p w:rsidR="0070339C" w:rsidRPr="00261A05" w:rsidRDefault="00622914" w:rsidP="00575BDE">
            <w:pPr>
              <w:ind w:right="42"/>
              <w:jc w:val="center"/>
            </w:pPr>
            <w:r>
              <w:t>8,3</w:t>
            </w:r>
          </w:p>
        </w:tc>
        <w:tc>
          <w:tcPr>
            <w:tcW w:w="1165" w:type="dxa"/>
            <w:tcBorders>
              <w:top w:val="nil"/>
              <w:bottom w:val="nil"/>
            </w:tcBorders>
            <w:vAlign w:val="center"/>
          </w:tcPr>
          <w:p w:rsidR="0070339C" w:rsidRPr="00261A05" w:rsidRDefault="00622914" w:rsidP="00575BDE">
            <w:pPr>
              <w:ind w:right="42"/>
              <w:jc w:val="center"/>
            </w:pPr>
            <w:r>
              <w:t>-6,4</w:t>
            </w:r>
          </w:p>
        </w:tc>
        <w:tc>
          <w:tcPr>
            <w:tcW w:w="1096" w:type="dxa"/>
            <w:tcBorders>
              <w:top w:val="nil"/>
              <w:bottom w:val="nil"/>
              <w:right w:val="double" w:sz="4" w:space="0" w:color="auto"/>
            </w:tcBorders>
            <w:vAlign w:val="center"/>
          </w:tcPr>
          <w:p w:rsidR="0070339C" w:rsidRPr="00261A05" w:rsidRDefault="00622914" w:rsidP="00575BDE">
            <w:pPr>
              <w:ind w:right="42"/>
              <w:jc w:val="center"/>
            </w:pPr>
            <w:r>
              <w:t>4,6</w:t>
            </w:r>
          </w:p>
        </w:tc>
        <w:tc>
          <w:tcPr>
            <w:tcW w:w="959" w:type="dxa"/>
            <w:tcBorders>
              <w:top w:val="nil"/>
              <w:left w:val="double" w:sz="4" w:space="0" w:color="auto"/>
              <w:bottom w:val="nil"/>
            </w:tcBorders>
            <w:vAlign w:val="center"/>
          </w:tcPr>
          <w:p w:rsidR="0070339C" w:rsidRPr="00261A05" w:rsidRDefault="00622914" w:rsidP="00575BDE">
            <w:pPr>
              <w:ind w:right="42"/>
              <w:jc w:val="center"/>
            </w:pPr>
            <w:r>
              <w:t>-1,3</w:t>
            </w:r>
          </w:p>
        </w:tc>
        <w:tc>
          <w:tcPr>
            <w:tcW w:w="959" w:type="dxa"/>
            <w:tcBorders>
              <w:top w:val="nil"/>
              <w:bottom w:val="nil"/>
            </w:tcBorders>
            <w:vAlign w:val="center"/>
          </w:tcPr>
          <w:p w:rsidR="0070339C" w:rsidRPr="00261A05" w:rsidRDefault="00622914" w:rsidP="00575BDE">
            <w:pPr>
              <w:ind w:right="42"/>
              <w:jc w:val="center"/>
            </w:pPr>
            <w:r>
              <w:t>3,7</w:t>
            </w:r>
          </w:p>
        </w:tc>
      </w:tr>
      <w:tr w:rsidR="0070339C" w:rsidTr="00575BDE">
        <w:trPr>
          <w:trHeight w:val="370"/>
        </w:trPr>
        <w:tc>
          <w:tcPr>
            <w:tcW w:w="3210" w:type="dxa"/>
            <w:tcBorders>
              <w:top w:val="nil"/>
              <w:bottom w:val="nil"/>
            </w:tcBorders>
            <w:vAlign w:val="center"/>
          </w:tcPr>
          <w:p w:rsidR="0070339C" w:rsidRPr="00261A05" w:rsidRDefault="0070339C" w:rsidP="00575BDE">
            <w:pPr>
              <w:ind w:right="42"/>
              <w:jc w:val="center"/>
            </w:pPr>
            <w:r w:rsidRPr="00261A05">
              <w:rPr>
                <w:sz w:val="22"/>
                <w:szCs w:val="22"/>
              </w:rPr>
              <w:t>Binek otomobil üretimi</w:t>
            </w:r>
          </w:p>
        </w:tc>
        <w:tc>
          <w:tcPr>
            <w:tcW w:w="1035" w:type="dxa"/>
            <w:tcBorders>
              <w:top w:val="nil"/>
              <w:bottom w:val="nil"/>
            </w:tcBorders>
            <w:vAlign w:val="center"/>
          </w:tcPr>
          <w:p w:rsidR="0070339C" w:rsidRPr="00261A05" w:rsidRDefault="00622914" w:rsidP="00575BDE">
            <w:pPr>
              <w:ind w:right="42"/>
              <w:jc w:val="center"/>
            </w:pPr>
            <w:r>
              <w:t>5,8</w:t>
            </w:r>
          </w:p>
        </w:tc>
        <w:tc>
          <w:tcPr>
            <w:tcW w:w="1098" w:type="dxa"/>
            <w:tcBorders>
              <w:top w:val="nil"/>
              <w:bottom w:val="nil"/>
            </w:tcBorders>
            <w:vAlign w:val="center"/>
          </w:tcPr>
          <w:p w:rsidR="0070339C" w:rsidRPr="00261A05" w:rsidRDefault="00622914" w:rsidP="00575BDE">
            <w:pPr>
              <w:ind w:right="42"/>
              <w:jc w:val="center"/>
            </w:pPr>
            <w:r>
              <w:t>-3,7</w:t>
            </w:r>
          </w:p>
        </w:tc>
        <w:tc>
          <w:tcPr>
            <w:tcW w:w="1165" w:type="dxa"/>
            <w:tcBorders>
              <w:top w:val="nil"/>
              <w:bottom w:val="nil"/>
            </w:tcBorders>
            <w:vAlign w:val="center"/>
          </w:tcPr>
          <w:p w:rsidR="0070339C" w:rsidRPr="00261A05" w:rsidRDefault="00622914" w:rsidP="00575BDE">
            <w:pPr>
              <w:ind w:right="42"/>
              <w:jc w:val="center"/>
            </w:pPr>
            <w:r>
              <w:t>0,4</w:t>
            </w:r>
          </w:p>
        </w:tc>
        <w:tc>
          <w:tcPr>
            <w:tcW w:w="1096" w:type="dxa"/>
            <w:tcBorders>
              <w:top w:val="nil"/>
              <w:bottom w:val="nil"/>
              <w:right w:val="double" w:sz="4" w:space="0" w:color="auto"/>
            </w:tcBorders>
            <w:vAlign w:val="center"/>
          </w:tcPr>
          <w:p w:rsidR="0070339C" w:rsidRPr="00261A05" w:rsidRDefault="00622914" w:rsidP="00575BDE">
            <w:pPr>
              <w:ind w:right="42"/>
              <w:jc w:val="center"/>
            </w:pPr>
            <w:r>
              <w:t>5,8</w:t>
            </w:r>
          </w:p>
        </w:tc>
        <w:tc>
          <w:tcPr>
            <w:tcW w:w="959" w:type="dxa"/>
            <w:tcBorders>
              <w:top w:val="nil"/>
              <w:left w:val="double" w:sz="4" w:space="0" w:color="auto"/>
              <w:bottom w:val="nil"/>
            </w:tcBorders>
            <w:vAlign w:val="center"/>
          </w:tcPr>
          <w:p w:rsidR="0070339C" w:rsidRPr="00261A05" w:rsidRDefault="00622914" w:rsidP="00575BDE">
            <w:pPr>
              <w:ind w:right="42"/>
              <w:jc w:val="center"/>
            </w:pPr>
            <w:r>
              <w:t>8,2</w:t>
            </w:r>
          </w:p>
        </w:tc>
        <w:tc>
          <w:tcPr>
            <w:tcW w:w="959" w:type="dxa"/>
            <w:tcBorders>
              <w:top w:val="nil"/>
              <w:bottom w:val="nil"/>
            </w:tcBorders>
            <w:vAlign w:val="center"/>
          </w:tcPr>
          <w:p w:rsidR="0070339C" w:rsidRPr="00261A05" w:rsidRDefault="00622914" w:rsidP="00575BDE">
            <w:pPr>
              <w:ind w:right="42"/>
              <w:jc w:val="center"/>
            </w:pPr>
            <w:r>
              <w:t>0,9</w:t>
            </w:r>
          </w:p>
        </w:tc>
      </w:tr>
      <w:tr w:rsidR="0070339C" w:rsidTr="0044148C">
        <w:trPr>
          <w:trHeight w:val="370"/>
        </w:trPr>
        <w:tc>
          <w:tcPr>
            <w:tcW w:w="3210" w:type="dxa"/>
            <w:tcBorders>
              <w:top w:val="nil"/>
            </w:tcBorders>
            <w:vAlign w:val="center"/>
          </w:tcPr>
          <w:p w:rsidR="0070339C" w:rsidRPr="00261A05" w:rsidRDefault="0070339C" w:rsidP="00575BDE">
            <w:pPr>
              <w:ind w:right="42"/>
              <w:jc w:val="center"/>
            </w:pPr>
            <w:r w:rsidRPr="00261A05">
              <w:rPr>
                <w:sz w:val="22"/>
                <w:szCs w:val="22"/>
              </w:rPr>
              <w:t>Binek olmayan otomobil üretimi</w:t>
            </w:r>
          </w:p>
        </w:tc>
        <w:tc>
          <w:tcPr>
            <w:tcW w:w="1035" w:type="dxa"/>
            <w:tcBorders>
              <w:top w:val="nil"/>
            </w:tcBorders>
            <w:vAlign w:val="center"/>
          </w:tcPr>
          <w:p w:rsidR="0070339C" w:rsidRPr="00261A05" w:rsidRDefault="00622914" w:rsidP="00575BDE">
            <w:pPr>
              <w:ind w:right="42"/>
              <w:jc w:val="center"/>
            </w:pPr>
            <w:r>
              <w:t>1,5</w:t>
            </w:r>
          </w:p>
        </w:tc>
        <w:tc>
          <w:tcPr>
            <w:tcW w:w="1098" w:type="dxa"/>
            <w:tcBorders>
              <w:top w:val="nil"/>
            </w:tcBorders>
            <w:vAlign w:val="center"/>
          </w:tcPr>
          <w:p w:rsidR="0070339C" w:rsidRPr="00261A05" w:rsidRDefault="00622914" w:rsidP="00575BDE">
            <w:pPr>
              <w:ind w:right="42"/>
              <w:jc w:val="center"/>
            </w:pPr>
            <w:r>
              <w:t>-4,7</w:t>
            </w:r>
          </w:p>
        </w:tc>
        <w:tc>
          <w:tcPr>
            <w:tcW w:w="1165" w:type="dxa"/>
            <w:tcBorders>
              <w:top w:val="nil"/>
            </w:tcBorders>
            <w:vAlign w:val="center"/>
          </w:tcPr>
          <w:p w:rsidR="0070339C" w:rsidRPr="00261A05" w:rsidRDefault="00622914" w:rsidP="00575BDE">
            <w:pPr>
              <w:ind w:right="42"/>
              <w:jc w:val="center"/>
            </w:pPr>
            <w:r>
              <w:t>8,5</w:t>
            </w:r>
          </w:p>
        </w:tc>
        <w:tc>
          <w:tcPr>
            <w:tcW w:w="1096" w:type="dxa"/>
            <w:tcBorders>
              <w:top w:val="nil"/>
              <w:right w:val="double" w:sz="4" w:space="0" w:color="auto"/>
            </w:tcBorders>
            <w:vAlign w:val="center"/>
          </w:tcPr>
          <w:p w:rsidR="0070339C" w:rsidRPr="00261A05" w:rsidRDefault="00622914" w:rsidP="00575BDE">
            <w:pPr>
              <w:ind w:right="42"/>
              <w:jc w:val="center"/>
            </w:pPr>
            <w:r>
              <w:t>-0,8</w:t>
            </w:r>
          </w:p>
        </w:tc>
        <w:tc>
          <w:tcPr>
            <w:tcW w:w="959" w:type="dxa"/>
            <w:tcBorders>
              <w:top w:val="nil"/>
              <w:left w:val="double" w:sz="4" w:space="0" w:color="auto"/>
            </w:tcBorders>
            <w:vAlign w:val="center"/>
          </w:tcPr>
          <w:p w:rsidR="0070339C" w:rsidRPr="00261A05" w:rsidRDefault="00622914" w:rsidP="00575BDE">
            <w:pPr>
              <w:ind w:right="42"/>
              <w:jc w:val="center"/>
            </w:pPr>
            <w:r>
              <w:t>4,8</w:t>
            </w:r>
          </w:p>
        </w:tc>
        <w:tc>
          <w:tcPr>
            <w:tcW w:w="959" w:type="dxa"/>
            <w:tcBorders>
              <w:top w:val="nil"/>
            </w:tcBorders>
            <w:vAlign w:val="center"/>
          </w:tcPr>
          <w:p w:rsidR="0070339C" w:rsidRPr="00261A05" w:rsidRDefault="00622914" w:rsidP="00575BDE">
            <w:pPr>
              <w:ind w:right="42"/>
              <w:jc w:val="center"/>
            </w:pPr>
            <w:r>
              <w:t>1,1</w:t>
            </w:r>
          </w:p>
        </w:tc>
      </w:tr>
    </w:tbl>
    <w:p w:rsidR="00175F89" w:rsidRPr="00BB6BD3" w:rsidRDefault="00175F89" w:rsidP="00175F89">
      <w:pPr>
        <w:ind w:left="-720" w:right="43" w:firstLine="360"/>
        <w:jc w:val="both"/>
        <w:rPr>
          <w:sz w:val="16"/>
          <w:szCs w:val="16"/>
        </w:rPr>
      </w:pPr>
      <w:r w:rsidRPr="00BB6BD3">
        <w:rPr>
          <w:sz w:val="16"/>
          <w:szCs w:val="16"/>
        </w:rPr>
        <w:t>Kaynak: TÜİK, TCMB, BIST, TDM, BETAM.</w:t>
      </w:r>
    </w:p>
    <w:p w:rsidR="00175F89" w:rsidRDefault="00175F89" w:rsidP="00175F89">
      <w:pPr>
        <w:ind w:left="-720" w:right="43" w:firstLine="360"/>
        <w:jc w:val="both"/>
        <w:rPr>
          <w:sz w:val="16"/>
          <w:szCs w:val="16"/>
        </w:rPr>
      </w:pPr>
      <w:r w:rsidRPr="00AC6111">
        <w:rPr>
          <w:sz w:val="16"/>
          <w:szCs w:val="16"/>
          <w:vertAlign w:val="superscript"/>
        </w:rPr>
        <w:t xml:space="preserve">† </w:t>
      </w:r>
      <w:r w:rsidRPr="00AC6111">
        <w:rPr>
          <w:sz w:val="16"/>
          <w:szCs w:val="16"/>
        </w:rPr>
        <w:t>TCMB tarafından mevsimsellikten arındırılmıştır.</w:t>
      </w:r>
    </w:p>
    <w:p w:rsidR="00175F89" w:rsidRPr="00AC6111" w:rsidRDefault="00175F89" w:rsidP="00175F89">
      <w:pPr>
        <w:ind w:left="-360" w:right="43"/>
        <w:rPr>
          <w:sz w:val="16"/>
          <w:szCs w:val="16"/>
        </w:rPr>
      </w:pPr>
      <w:r w:rsidRPr="00AC6111">
        <w:rPr>
          <w:sz w:val="16"/>
          <w:szCs w:val="16"/>
          <w:vertAlign w:val="superscript"/>
        </w:rPr>
        <w:t>‡</w:t>
      </w:r>
      <w:r w:rsidRPr="00AC6111">
        <w:rPr>
          <w:sz w:val="16"/>
          <w:szCs w:val="16"/>
        </w:rPr>
        <w:t xml:space="preserve"> </w:t>
      </w:r>
      <w:r>
        <w:rPr>
          <w:sz w:val="16"/>
          <w:szCs w:val="16"/>
        </w:rPr>
        <w:t>KKO ve alt kollarında diğer endekslerin aksine yüzde puan değişimleri veriliyor.</w:t>
      </w:r>
    </w:p>
    <w:p w:rsidR="00175F89" w:rsidRPr="00AC6111" w:rsidRDefault="00175F89" w:rsidP="00175F89">
      <w:pPr>
        <w:ind w:left="-720" w:right="43" w:firstLine="360"/>
        <w:jc w:val="both"/>
        <w:rPr>
          <w:sz w:val="16"/>
          <w:szCs w:val="16"/>
        </w:rPr>
      </w:pPr>
      <w:r w:rsidRPr="00AC6111">
        <w:rPr>
          <w:sz w:val="16"/>
          <w:szCs w:val="16"/>
        </w:rPr>
        <w:t xml:space="preserve">*TÜİK tarafından mevsimsellikten arındırılmıştır. Diğer tüm veriler Betam tarafından mevsimsellikten arındırılmıştır. </w:t>
      </w:r>
    </w:p>
    <w:p w:rsidR="00175F89" w:rsidRPr="00AC6111" w:rsidRDefault="00175F89" w:rsidP="00175F89">
      <w:pPr>
        <w:ind w:left="-720" w:right="43" w:firstLine="360"/>
        <w:jc w:val="both"/>
        <w:rPr>
          <w:sz w:val="16"/>
          <w:szCs w:val="16"/>
        </w:rPr>
      </w:pPr>
      <w:r w:rsidRPr="00AC6111">
        <w:rPr>
          <w:sz w:val="16"/>
          <w:szCs w:val="16"/>
        </w:rPr>
        <w:t>**Bu aya dair veri henüz açıklanmamıştır.</w:t>
      </w:r>
    </w:p>
    <w:p w:rsidR="00175F89" w:rsidRPr="00AC6111" w:rsidRDefault="00175F89" w:rsidP="00175F89">
      <w:pPr>
        <w:ind w:left="-360" w:right="43"/>
        <w:rPr>
          <w:sz w:val="16"/>
          <w:szCs w:val="16"/>
        </w:rPr>
      </w:pPr>
      <w:r w:rsidRPr="00AC6111">
        <w:rPr>
          <w:sz w:val="16"/>
          <w:szCs w:val="16"/>
        </w:rPr>
        <w:t>*** Betam</w:t>
      </w:r>
      <w:r>
        <w:rPr>
          <w:sz w:val="16"/>
          <w:szCs w:val="16"/>
        </w:rPr>
        <w:t xml:space="preserve"> </w:t>
      </w:r>
      <w:r w:rsidRPr="00AC6111">
        <w:rPr>
          <w:sz w:val="16"/>
          <w:szCs w:val="16"/>
        </w:rPr>
        <w:t xml:space="preserve"> hesaplamaları: Altın hariç ithalatı bulmak için nominal ithalattan parasal olmayan altın ithalatını çıkarıp ithalat birim değer endeksine bölüyoruz. Altın hariç ihracatı bulmak için nominal mal ve hizmet ihracatından parasal olmayan altın  ihracatını çıkarıp ihracat birim değer endeksine bölüyoruz. Betam tarafından mevsimsellikten arındırılmıştır.</w:t>
      </w:r>
    </w:p>
    <w:p w:rsidR="00175F89" w:rsidRPr="009B3E51" w:rsidRDefault="00175F89" w:rsidP="00175F89">
      <w:pPr>
        <w:ind w:left="-360" w:right="43"/>
        <w:rPr>
          <w:sz w:val="16"/>
          <w:szCs w:val="16"/>
        </w:rPr>
      </w:pPr>
      <w:r w:rsidRPr="009B3E51">
        <w:rPr>
          <w:rFonts w:ascii="Calibri" w:hAnsi="Calibri"/>
          <w:sz w:val="16"/>
          <w:szCs w:val="16"/>
        </w:rPr>
        <w:t>⁰</w:t>
      </w:r>
      <w:r w:rsidRPr="009B3E51">
        <w:rPr>
          <w:sz w:val="16"/>
          <w:szCs w:val="16"/>
        </w:rPr>
        <w:t xml:space="preserve"> Cari transferler hariç hükümet harcamalarının toplamı</w:t>
      </w:r>
      <w:r w:rsidR="00E26F04">
        <w:rPr>
          <w:sz w:val="16"/>
          <w:szCs w:val="16"/>
        </w:rPr>
        <w:t>, enflasyondan arındırılmış.</w:t>
      </w:r>
    </w:p>
    <w:p w:rsidR="00175F89" w:rsidRDefault="00175F89" w:rsidP="00175F89">
      <w:pPr>
        <w:spacing w:line="360" w:lineRule="auto"/>
        <w:ind w:right="42"/>
        <w:jc w:val="both"/>
        <w:rPr>
          <w:sz w:val="22"/>
          <w:szCs w:val="22"/>
        </w:rPr>
      </w:pPr>
    </w:p>
    <w:p w:rsidR="00175F89" w:rsidRDefault="00175F89" w:rsidP="00175F89">
      <w:pPr>
        <w:spacing w:line="360" w:lineRule="auto"/>
        <w:ind w:right="42"/>
        <w:jc w:val="both"/>
        <w:rPr>
          <w:sz w:val="22"/>
          <w:szCs w:val="22"/>
        </w:rPr>
        <w:sectPr w:rsidR="00175F89" w:rsidSect="008651A8">
          <w:type w:val="continuous"/>
          <w:pgSz w:w="11906" w:h="16838"/>
          <w:pgMar w:top="1417" w:right="1417" w:bottom="1417" w:left="1417" w:header="708" w:footer="708" w:gutter="0"/>
          <w:cols w:space="708"/>
          <w:docGrid w:linePitch="360"/>
        </w:sectPr>
      </w:pPr>
    </w:p>
    <w:p w:rsidR="00175F89" w:rsidRDefault="00175F89" w:rsidP="00175F89">
      <w:pPr>
        <w:ind w:left="-360" w:right="42"/>
        <w:jc w:val="both"/>
        <w:rPr>
          <w:b/>
          <w:bCs/>
          <w:sz w:val="22"/>
          <w:szCs w:val="22"/>
        </w:rPr>
      </w:pPr>
    </w:p>
    <w:p w:rsidR="00E63BBC" w:rsidRDefault="00E63BBC" w:rsidP="00175F89">
      <w:pPr>
        <w:ind w:left="-360" w:right="42"/>
        <w:jc w:val="both"/>
        <w:rPr>
          <w:b/>
          <w:bCs/>
          <w:sz w:val="22"/>
          <w:szCs w:val="22"/>
        </w:rPr>
      </w:pPr>
    </w:p>
    <w:p w:rsidR="00175F89" w:rsidRDefault="00175F89" w:rsidP="00175F89">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proofErr w:type="spellStart"/>
      <w:r>
        <w:rPr>
          <w:b/>
          <w:bCs/>
          <w:sz w:val="22"/>
          <w:szCs w:val="22"/>
        </w:rPr>
        <w:t>mea</w:t>
      </w:r>
      <w:proofErr w:type="spellEnd"/>
      <w:r w:rsidRPr="008C6E50">
        <w:rPr>
          <w:b/>
          <w:bCs/>
          <w:sz w:val="22"/>
          <w:szCs w:val="22"/>
        </w:rPr>
        <w:t>)</w:t>
      </w:r>
    </w:p>
    <w:p w:rsidR="00175F89" w:rsidRPr="007067F4" w:rsidRDefault="00175F89" w:rsidP="00175F89">
      <w:pPr>
        <w:ind w:left="-360" w:right="42"/>
        <w:jc w:val="both"/>
        <w:rPr>
          <w:b/>
          <w:bCs/>
          <w:sz w:val="8"/>
          <w:szCs w:val="8"/>
        </w:rPr>
      </w:pPr>
    </w:p>
    <w:p w:rsidR="00175F89" w:rsidRPr="00CE2137" w:rsidRDefault="00BB6E0A" w:rsidP="00175F89">
      <w:pPr>
        <w:ind w:left="-360" w:right="42"/>
        <w:jc w:val="both"/>
      </w:pPr>
      <w:r w:rsidRPr="00BB6E0A">
        <w:rPr>
          <w:noProof/>
        </w:rPr>
        <w:drawing>
          <wp:inline distT="0" distB="0" distL="0" distR="0">
            <wp:extent cx="2655570" cy="224524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55570" cy="2245248"/>
                    </a:xfrm>
                    <a:prstGeom prst="rect">
                      <a:avLst/>
                    </a:prstGeom>
                    <a:noFill/>
                    <a:ln w="9525">
                      <a:noFill/>
                      <a:miter lim="800000"/>
                      <a:headEnd/>
                      <a:tailEnd/>
                    </a:ln>
                  </pic:spPr>
                </pic:pic>
              </a:graphicData>
            </a:graphic>
          </wp:inline>
        </w:drawing>
      </w:r>
    </w:p>
    <w:p w:rsidR="00175F89" w:rsidRDefault="00175F89" w:rsidP="00175F89">
      <w:pPr>
        <w:ind w:left="-360" w:right="42"/>
        <w:jc w:val="both"/>
        <w:rPr>
          <w:sz w:val="18"/>
          <w:szCs w:val="18"/>
        </w:rPr>
      </w:pPr>
      <w:r>
        <w:rPr>
          <w:sz w:val="18"/>
          <w:szCs w:val="18"/>
        </w:rPr>
        <w:t xml:space="preserve">Kaynak : TÜİK </w:t>
      </w:r>
      <w:r w:rsidRPr="008C6E50">
        <w:rPr>
          <w:sz w:val="18"/>
          <w:szCs w:val="18"/>
        </w:rPr>
        <w:t xml:space="preserve">(sol taraf KKO ekseni, sağ taraf SÜE </w:t>
      </w:r>
    </w:p>
    <w:p w:rsidR="00175F89" w:rsidRPr="008C6E50" w:rsidRDefault="00175F89" w:rsidP="00175F89">
      <w:pPr>
        <w:ind w:left="-360" w:right="42"/>
        <w:jc w:val="both"/>
        <w:rPr>
          <w:sz w:val="18"/>
          <w:szCs w:val="18"/>
        </w:rPr>
      </w:pPr>
      <w:r w:rsidRPr="008C6E50">
        <w:rPr>
          <w:sz w:val="18"/>
          <w:szCs w:val="18"/>
        </w:rPr>
        <w:t>ekseni)</w:t>
      </w:r>
      <w:r>
        <w:rPr>
          <w:sz w:val="18"/>
          <w:szCs w:val="18"/>
        </w:rPr>
        <w:t>.</w:t>
      </w:r>
    </w:p>
    <w:p w:rsidR="00175F89" w:rsidRDefault="00175F89" w:rsidP="00175F89">
      <w:pPr>
        <w:ind w:left="-360" w:right="42"/>
        <w:jc w:val="both"/>
        <w:rPr>
          <w:b/>
          <w:bCs/>
          <w:sz w:val="10"/>
          <w:szCs w:val="10"/>
        </w:rPr>
      </w:pPr>
    </w:p>
    <w:p w:rsidR="00175F89" w:rsidRDefault="00175F89" w:rsidP="00175F89">
      <w:pPr>
        <w:ind w:left="-360" w:right="42"/>
        <w:jc w:val="both"/>
        <w:rPr>
          <w:b/>
          <w:bCs/>
          <w:sz w:val="22"/>
          <w:szCs w:val="22"/>
        </w:rPr>
      </w:pPr>
      <w:r>
        <w:rPr>
          <w:b/>
          <w:bCs/>
          <w:sz w:val="22"/>
          <w:szCs w:val="22"/>
        </w:rPr>
        <w:br/>
        <w:t>Şekil 3</w:t>
      </w:r>
      <w:r w:rsidRPr="008C6E50">
        <w:rPr>
          <w:b/>
          <w:bCs/>
          <w:sz w:val="22"/>
          <w:szCs w:val="22"/>
        </w:rPr>
        <w:t xml:space="preserve">: </w:t>
      </w:r>
      <w:r>
        <w:rPr>
          <w:b/>
          <w:bCs/>
          <w:sz w:val="22"/>
          <w:szCs w:val="22"/>
        </w:rPr>
        <w:t xml:space="preserve">Altın dahil cari açığın </w:t>
      </w:r>
      <w:proofErr w:type="spellStart"/>
      <w:r>
        <w:rPr>
          <w:b/>
          <w:bCs/>
          <w:sz w:val="22"/>
          <w:szCs w:val="22"/>
        </w:rPr>
        <w:t>GSYH'a</w:t>
      </w:r>
      <w:proofErr w:type="spellEnd"/>
      <w:r>
        <w:rPr>
          <w:b/>
          <w:bCs/>
          <w:sz w:val="22"/>
          <w:szCs w:val="22"/>
        </w:rPr>
        <w:t xml:space="preserve"> oranı, 12 aylık</w:t>
      </w:r>
    </w:p>
    <w:p w:rsidR="00175F89" w:rsidRPr="007067F4" w:rsidRDefault="00175F89" w:rsidP="00175F89">
      <w:pPr>
        <w:ind w:left="-360" w:right="42"/>
        <w:jc w:val="both"/>
        <w:rPr>
          <w:b/>
          <w:bCs/>
          <w:sz w:val="8"/>
          <w:szCs w:val="8"/>
        </w:rPr>
      </w:pPr>
    </w:p>
    <w:p w:rsidR="00175F89" w:rsidRPr="00CE2137" w:rsidRDefault="00BB1611" w:rsidP="00175F89">
      <w:pPr>
        <w:ind w:left="-360" w:right="42"/>
        <w:jc w:val="both"/>
      </w:pPr>
      <w:r w:rsidRPr="00BB1611">
        <w:drawing>
          <wp:inline distT="0" distB="0" distL="0" distR="0">
            <wp:extent cx="2655570" cy="222718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655570" cy="2227184"/>
                    </a:xfrm>
                    <a:prstGeom prst="rect">
                      <a:avLst/>
                    </a:prstGeom>
                    <a:noFill/>
                    <a:ln w="9525">
                      <a:noFill/>
                      <a:miter lim="800000"/>
                      <a:headEnd/>
                      <a:tailEnd/>
                    </a:ln>
                  </pic:spPr>
                </pic:pic>
              </a:graphicData>
            </a:graphic>
          </wp:inline>
        </w:drawing>
      </w:r>
    </w:p>
    <w:p w:rsidR="00175F89" w:rsidRPr="00F85C3F" w:rsidRDefault="00175F89" w:rsidP="00175F89">
      <w:pPr>
        <w:ind w:left="-360" w:right="42"/>
        <w:jc w:val="both"/>
        <w:rPr>
          <w:sz w:val="16"/>
          <w:szCs w:val="16"/>
        </w:rPr>
      </w:pPr>
      <w:r w:rsidRPr="00F85C3F">
        <w:rPr>
          <w:sz w:val="16"/>
          <w:szCs w:val="16"/>
        </w:rPr>
        <w:t>Kaynak : TCMB,TÜİK, Betam.</w:t>
      </w:r>
    </w:p>
    <w:p w:rsidR="00175F89" w:rsidRDefault="00175F89" w:rsidP="00175F89">
      <w:pPr>
        <w:ind w:left="-360" w:right="42"/>
        <w:jc w:val="both"/>
        <w:rPr>
          <w:b/>
          <w:bCs/>
          <w:sz w:val="22"/>
          <w:szCs w:val="22"/>
        </w:rPr>
      </w:pPr>
      <w:r>
        <w:rPr>
          <w:b/>
          <w:bCs/>
          <w:sz w:val="22"/>
          <w:szCs w:val="22"/>
        </w:rPr>
        <w:br/>
      </w:r>
      <w:r>
        <w:rPr>
          <w:b/>
          <w:bCs/>
          <w:sz w:val="22"/>
          <w:szCs w:val="22"/>
        </w:rPr>
        <w:br/>
      </w:r>
      <w:r>
        <w:rPr>
          <w:b/>
          <w:bCs/>
          <w:sz w:val="22"/>
          <w:szCs w:val="22"/>
        </w:rPr>
        <w:br/>
      </w:r>
      <w:r w:rsidRPr="008C6E50">
        <w:rPr>
          <w:b/>
          <w:bCs/>
          <w:sz w:val="22"/>
          <w:szCs w:val="22"/>
        </w:rPr>
        <w:lastRenderedPageBreak/>
        <w:t>Şekil 2: İhracat ve ithalat miktar endeksleri (</w:t>
      </w:r>
      <w:proofErr w:type="spellStart"/>
      <w:r>
        <w:rPr>
          <w:b/>
          <w:bCs/>
          <w:sz w:val="22"/>
          <w:szCs w:val="22"/>
        </w:rPr>
        <w:t>mea</w:t>
      </w:r>
      <w:proofErr w:type="spellEnd"/>
      <w:r w:rsidRPr="008C6E50">
        <w:rPr>
          <w:b/>
          <w:bCs/>
          <w:sz w:val="22"/>
          <w:szCs w:val="22"/>
        </w:rPr>
        <w:t>)</w:t>
      </w:r>
    </w:p>
    <w:p w:rsidR="00175F89" w:rsidRPr="007067F4" w:rsidRDefault="00175F89" w:rsidP="00175F89">
      <w:pPr>
        <w:spacing w:line="360" w:lineRule="auto"/>
        <w:ind w:left="-360" w:right="42"/>
        <w:jc w:val="both"/>
        <w:rPr>
          <w:sz w:val="4"/>
          <w:szCs w:val="4"/>
        </w:rPr>
      </w:pPr>
    </w:p>
    <w:p w:rsidR="00175F89" w:rsidRPr="00CE2137" w:rsidRDefault="00BB6E0A" w:rsidP="00175F89">
      <w:pPr>
        <w:ind w:left="-360" w:right="42"/>
        <w:jc w:val="both"/>
      </w:pPr>
      <w:r w:rsidRPr="00BB6E0A">
        <w:rPr>
          <w:noProof/>
        </w:rPr>
        <w:drawing>
          <wp:inline distT="0" distB="0" distL="0" distR="0">
            <wp:extent cx="2655570" cy="230665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655570" cy="2306651"/>
                    </a:xfrm>
                    <a:prstGeom prst="rect">
                      <a:avLst/>
                    </a:prstGeom>
                    <a:noFill/>
                    <a:ln w="9525">
                      <a:noFill/>
                      <a:miter lim="800000"/>
                      <a:headEnd/>
                      <a:tailEnd/>
                    </a:ln>
                  </pic:spPr>
                </pic:pic>
              </a:graphicData>
            </a:graphic>
          </wp:inline>
        </w:drawing>
      </w:r>
    </w:p>
    <w:p w:rsidR="00175F89" w:rsidRDefault="00175F89" w:rsidP="00175F89">
      <w:pPr>
        <w:ind w:left="-360" w:right="42"/>
        <w:jc w:val="both"/>
        <w:rPr>
          <w:sz w:val="18"/>
          <w:szCs w:val="18"/>
        </w:rPr>
      </w:pPr>
      <w:r>
        <w:rPr>
          <w:sz w:val="18"/>
          <w:szCs w:val="18"/>
        </w:rPr>
        <w:t>Kaynak : TÜİK.</w:t>
      </w:r>
    </w:p>
    <w:p w:rsidR="00175F89" w:rsidRDefault="00175F89" w:rsidP="00175F89">
      <w:pPr>
        <w:ind w:left="-360" w:right="42"/>
        <w:jc w:val="both"/>
        <w:rPr>
          <w:b/>
          <w:bCs/>
          <w:sz w:val="18"/>
          <w:szCs w:val="18"/>
        </w:rPr>
      </w:pPr>
    </w:p>
    <w:p w:rsidR="00175F89" w:rsidRDefault="00175F89" w:rsidP="00175F89">
      <w:pPr>
        <w:ind w:left="-360" w:right="42"/>
        <w:jc w:val="both"/>
        <w:rPr>
          <w:b/>
          <w:bCs/>
          <w:sz w:val="22"/>
          <w:szCs w:val="22"/>
        </w:rPr>
      </w:pPr>
      <w:r>
        <w:rPr>
          <w:b/>
          <w:bCs/>
          <w:sz w:val="22"/>
          <w:szCs w:val="22"/>
        </w:rPr>
        <w:br/>
        <w:t>Şekil 4</w:t>
      </w:r>
      <w:r w:rsidRPr="008C6E50">
        <w:rPr>
          <w:b/>
          <w:bCs/>
          <w:sz w:val="22"/>
          <w:szCs w:val="22"/>
        </w:rPr>
        <w:t xml:space="preserve">: </w:t>
      </w:r>
      <w:r>
        <w:rPr>
          <w:b/>
          <w:bCs/>
          <w:sz w:val="22"/>
          <w:szCs w:val="22"/>
        </w:rPr>
        <w:t xml:space="preserve">Altın hariç cari açığın </w:t>
      </w:r>
      <w:proofErr w:type="spellStart"/>
      <w:r>
        <w:rPr>
          <w:b/>
          <w:bCs/>
          <w:sz w:val="22"/>
          <w:szCs w:val="22"/>
        </w:rPr>
        <w:t>GSYH'a</w:t>
      </w:r>
      <w:proofErr w:type="spellEnd"/>
      <w:r>
        <w:rPr>
          <w:b/>
          <w:bCs/>
          <w:sz w:val="22"/>
          <w:szCs w:val="22"/>
        </w:rPr>
        <w:t xml:space="preserve"> oranı, 12 aylık</w:t>
      </w:r>
    </w:p>
    <w:p w:rsidR="00175F89" w:rsidRPr="007067F4" w:rsidRDefault="00175F89" w:rsidP="00175F89">
      <w:pPr>
        <w:spacing w:line="360" w:lineRule="auto"/>
        <w:ind w:left="-360" w:right="42"/>
        <w:jc w:val="both"/>
        <w:rPr>
          <w:sz w:val="4"/>
          <w:szCs w:val="4"/>
        </w:rPr>
      </w:pPr>
    </w:p>
    <w:p w:rsidR="00175F89" w:rsidRPr="00CE2137" w:rsidRDefault="000039F2" w:rsidP="00175F89">
      <w:pPr>
        <w:ind w:left="-360" w:right="42"/>
        <w:jc w:val="both"/>
      </w:pPr>
      <w:r w:rsidRPr="000039F2">
        <w:drawing>
          <wp:inline distT="0" distB="0" distL="0" distR="0">
            <wp:extent cx="2655570" cy="2250528"/>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655570" cy="2250528"/>
                    </a:xfrm>
                    <a:prstGeom prst="rect">
                      <a:avLst/>
                    </a:prstGeom>
                    <a:noFill/>
                    <a:ln w="9525">
                      <a:noFill/>
                      <a:miter lim="800000"/>
                      <a:headEnd/>
                      <a:tailEnd/>
                    </a:ln>
                  </pic:spPr>
                </pic:pic>
              </a:graphicData>
            </a:graphic>
          </wp:inline>
        </w:drawing>
      </w:r>
    </w:p>
    <w:p w:rsidR="00175F89" w:rsidRPr="00F85C3F" w:rsidRDefault="00175F89" w:rsidP="00175F89">
      <w:pPr>
        <w:ind w:left="-360" w:right="42"/>
        <w:jc w:val="both"/>
        <w:rPr>
          <w:sz w:val="16"/>
          <w:szCs w:val="16"/>
        </w:rPr>
      </w:pPr>
      <w:r w:rsidRPr="00F85C3F">
        <w:rPr>
          <w:sz w:val="16"/>
          <w:szCs w:val="16"/>
        </w:rPr>
        <w:t>Kaynak : TCMB, TÜİK, Betam.</w:t>
      </w:r>
    </w:p>
    <w:p w:rsidR="00175F89" w:rsidRDefault="00175F89" w:rsidP="00175F89">
      <w:pPr>
        <w:spacing w:line="360" w:lineRule="auto"/>
        <w:ind w:right="42"/>
        <w:jc w:val="both"/>
        <w:rPr>
          <w:sz w:val="22"/>
          <w:szCs w:val="22"/>
        </w:rPr>
        <w:sectPr w:rsidR="00175F89" w:rsidSect="007067F4">
          <w:type w:val="continuous"/>
          <w:pgSz w:w="11906" w:h="16838"/>
          <w:pgMar w:top="1417" w:right="1417" w:bottom="1417" w:left="1417" w:header="708" w:footer="708" w:gutter="0"/>
          <w:cols w:num="2" w:space="708" w:equalWidth="0">
            <w:col w:w="4182" w:space="708"/>
            <w:col w:w="4182"/>
          </w:cols>
          <w:docGrid w:linePitch="360"/>
        </w:sectPr>
      </w:pPr>
    </w:p>
    <w:p w:rsidR="00175F89" w:rsidRDefault="00175F89" w:rsidP="00175F89">
      <w:pPr>
        <w:spacing w:line="360" w:lineRule="auto"/>
        <w:ind w:left="-360" w:right="42"/>
        <w:jc w:val="both"/>
        <w:rPr>
          <w:b/>
          <w:bCs/>
          <w:sz w:val="22"/>
          <w:szCs w:val="22"/>
        </w:rPr>
      </w:pPr>
    </w:p>
    <w:p w:rsidR="00175F89" w:rsidRPr="00143024" w:rsidRDefault="00175F89" w:rsidP="00175F89">
      <w:pPr>
        <w:ind w:left="-360" w:right="42"/>
      </w:pPr>
      <w:r>
        <w:rPr>
          <w:sz w:val="18"/>
          <w:szCs w:val="18"/>
        </w:rPr>
        <w:tab/>
      </w:r>
      <w:r>
        <w:rPr>
          <w:sz w:val="18"/>
          <w:szCs w:val="18"/>
        </w:rPr>
        <w:tab/>
      </w:r>
      <w:r>
        <w:rPr>
          <w:sz w:val="18"/>
          <w:szCs w:val="18"/>
        </w:rPr>
        <w:tab/>
      </w:r>
    </w:p>
    <w:p w:rsidR="00175F89" w:rsidRDefault="00175F89" w:rsidP="00175F89">
      <w:pPr>
        <w:ind w:left="-360" w:right="42"/>
      </w:pPr>
    </w:p>
    <w:p w:rsidR="00175F89" w:rsidRDefault="00175F89" w:rsidP="00175F89">
      <w:pPr>
        <w:spacing w:line="360" w:lineRule="auto"/>
        <w:ind w:left="-360" w:right="42"/>
        <w:jc w:val="both"/>
        <w:rPr>
          <w:b/>
          <w:bCs/>
          <w:sz w:val="22"/>
          <w:szCs w:val="22"/>
        </w:rPr>
      </w:pPr>
    </w:p>
    <w:p w:rsidR="00175F89" w:rsidRDefault="00175F89" w:rsidP="00175F89">
      <w:pPr>
        <w:spacing w:line="360" w:lineRule="auto"/>
        <w:ind w:left="-360" w:right="42"/>
        <w:jc w:val="both"/>
        <w:rPr>
          <w:b/>
          <w:bCs/>
          <w:sz w:val="22"/>
          <w:szCs w:val="22"/>
        </w:rPr>
      </w:pPr>
    </w:p>
    <w:p w:rsidR="00175F89" w:rsidRDefault="00175F89" w:rsidP="00175F89">
      <w:pPr>
        <w:spacing w:line="360" w:lineRule="auto"/>
        <w:ind w:left="-360" w:right="42"/>
        <w:jc w:val="both"/>
        <w:rPr>
          <w:b/>
          <w:bCs/>
          <w:sz w:val="22"/>
          <w:szCs w:val="22"/>
        </w:rPr>
      </w:pPr>
    </w:p>
    <w:p w:rsidR="00175F89" w:rsidRDefault="00175F89" w:rsidP="00175F89">
      <w:pPr>
        <w:spacing w:line="360" w:lineRule="auto"/>
        <w:ind w:left="-360" w:right="42"/>
        <w:jc w:val="both"/>
        <w:rPr>
          <w:b/>
          <w:bCs/>
          <w:sz w:val="22"/>
          <w:szCs w:val="22"/>
        </w:rPr>
      </w:pPr>
    </w:p>
    <w:p w:rsidR="00175F89" w:rsidRDefault="00175F89" w:rsidP="00175F89">
      <w:pPr>
        <w:spacing w:line="360" w:lineRule="auto"/>
        <w:ind w:left="-360" w:right="42"/>
        <w:jc w:val="both"/>
        <w:rPr>
          <w:b/>
          <w:bCs/>
          <w:sz w:val="22"/>
          <w:szCs w:val="22"/>
        </w:rPr>
      </w:pPr>
    </w:p>
    <w:p w:rsidR="00175F89" w:rsidRDefault="00175F89" w:rsidP="00175F89">
      <w:pPr>
        <w:spacing w:line="360" w:lineRule="auto"/>
        <w:ind w:right="42"/>
        <w:jc w:val="both"/>
        <w:rPr>
          <w:b/>
          <w:bCs/>
          <w:sz w:val="22"/>
          <w:szCs w:val="22"/>
        </w:rPr>
      </w:pPr>
    </w:p>
    <w:p w:rsidR="00175F89" w:rsidRDefault="00175F89" w:rsidP="00175F89">
      <w:pPr>
        <w:spacing w:line="360" w:lineRule="auto"/>
        <w:ind w:right="42"/>
        <w:jc w:val="both"/>
        <w:rPr>
          <w:b/>
          <w:bCs/>
          <w:sz w:val="22"/>
          <w:szCs w:val="22"/>
        </w:rPr>
      </w:pPr>
    </w:p>
    <w:p w:rsidR="00175F89" w:rsidRDefault="00175F89" w:rsidP="00175F89">
      <w:pPr>
        <w:spacing w:line="360" w:lineRule="auto"/>
        <w:ind w:right="42"/>
        <w:jc w:val="both"/>
        <w:rPr>
          <w:b/>
          <w:bCs/>
          <w:sz w:val="22"/>
          <w:szCs w:val="22"/>
        </w:rPr>
      </w:pPr>
    </w:p>
    <w:p w:rsidR="00175F89" w:rsidRPr="00EC248D" w:rsidRDefault="00175F89" w:rsidP="00175F89">
      <w:pPr>
        <w:spacing w:line="360" w:lineRule="auto"/>
        <w:ind w:left="-360" w:right="42"/>
        <w:jc w:val="both"/>
        <w:rPr>
          <w:b/>
          <w:bCs/>
          <w:sz w:val="22"/>
          <w:szCs w:val="22"/>
        </w:rPr>
      </w:pPr>
      <w:r>
        <w:rPr>
          <w:b/>
          <w:bCs/>
          <w:sz w:val="22"/>
          <w:szCs w:val="22"/>
        </w:rPr>
        <w:lastRenderedPageBreak/>
        <w:t>Şekil 5: B</w:t>
      </w:r>
      <w:r w:rsidRPr="00EC248D">
        <w:rPr>
          <w:b/>
          <w:bCs/>
          <w:sz w:val="22"/>
          <w:szCs w:val="22"/>
        </w:rPr>
        <w:t>ankalarca TL üzerinden açılan kredilere uygulanan ort</w:t>
      </w:r>
      <w:r>
        <w:rPr>
          <w:b/>
          <w:bCs/>
          <w:sz w:val="22"/>
          <w:szCs w:val="22"/>
        </w:rPr>
        <w:t>a</w:t>
      </w:r>
      <w:r w:rsidRPr="00EC248D">
        <w:rPr>
          <w:b/>
          <w:bCs/>
          <w:sz w:val="22"/>
          <w:szCs w:val="22"/>
        </w:rPr>
        <w:t>lama faiz oranları</w:t>
      </w:r>
    </w:p>
    <w:p w:rsidR="00175F89" w:rsidRDefault="00BB6E0A" w:rsidP="00175F89">
      <w:pPr>
        <w:ind w:left="-360" w:right="42"/>
        <w:rPr>
          <w:noProof/>
          <w:sz w:val="20"/>
          <w:szCs w:val="20"/>
        </w:rPr>
      </w:pPr>
      <w:r w:rsidRPr="00BB6E0A">
        <w:rPr>
          <w:noProof/>
          <w:szCs w:val="20"/>
        </w:rPr>
        <w:drawing>
          <wp:inline distT="0" distB="0" distL="0" distR="0">
            <wp:extent cx="5760720" cy="2976254"/>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760720" cy="2976254"/>
                    </a:xfrm>
                    <a:prstGeom prst="rect">
                      <a:avLst/>
                    </a:prstGeom>
                    <a:noFill/>
                    <a:ln w="9525">
                      <a:noFill/>
                      <a:miter lim="800000"/>
                      <a:headEnd/>
                      <a:tailEnd/>
                    </a:ln>
                  </pic:spPr>
                </pic:pic>
              </a:graphicData>
            </a:graphic>
          </wp:inline>
        </w:drawing>
      </w:r>
    </w:p>
    <w:p w:rsidR="00175F89" w:rsidRPr="00F85C3F" w:rsidRDefault="00175F89" w:rsidP="00175F89">
      <w:pPr>
        <w:ind w:left="-360" w:right="42"/>
        <w:rPr>
          <w:sz w:val="16"/>
          <w:szCs w:val="16"/>
        </w:rPr>
      </w:pPr>
      <w:r w:rsidRPr="00F85C3F">
        <w:rPr>
          <w:sz w:val="16"/>
          <w:szCs w:val="16"/>
        </w:rPr>
        <w:t>Kaynak : TCMB.</w:t>
      </w:r>
    </w:p>
    <w:p w:rsidR="00175F89" w:rsidRDefault="00175F89" w:rsidP="00175F89">
      <w:pPr>
        <w:spacing w:line="360" w:lineRule="auto"/>
        <w:ind w:left="-360" w:right="42"/>
        <w:jc w:val="both"/>
        <w:rPr>
          <w:b/>
          <w:bCs/>
          <w:sz w:val="22"/>
          <w:szCs w:val="22"/>
        </w:rPr>
      </w:pPr>
    </w:p>
    <w:p w:rsidR="00175F89" w:rsidRDefault="00175F89" w:rsidP="00175F89">
      <w:pPr>
        <w:spacing w:line="360" w:lineRule="auto"/>
        <w:ind w:left="-360" w:right="42"/>
        <w:jc w:val="both"/>
        <w:rPr>
          <w:b/>
          <w:bCs/>
          <w:sz w:val="22"/>
          <w:szCs w:val="22"/>
        </w:rPr>
      </w:pPr>
      <w:r>
        <w:rPr>
          <w:b/>
          <w:bCs/>
          <w:sz w:val="22"/>
          <w:szCs w:val="22"/>
        </w:rPr>
        <w:t xml:space="preserve">Şekil 6. </w:t>
      </w:r>
      <w:r w:rsidRPr="008C6E09">
        <w:rPr>
          <w:b/>
          <w:bCs/>
          <w:sz w:val="22"/>
          <w:szCs w:val="22"/>
        </w:rPr>
        <w:t>Toplam Krediler</w:t>
      </w:r>
      <w:r>
        <w:rPr>
          <w:b/>
          <w:bCs/>
          <w:sz w:val="22"/>
          <w:szCs w:val="22"/>
        </w:rPr>
        <w:t xml:space="preserve"> artış oranı (%)</w:t>
      </w:r>
      <w:r w:rsidRPr="008C6E09">
        <w:rPr>
          <w:b/>
          <w:bCs/>
          <w:sz w:val="22"/>
          <w:szCs w:val="22"/>
        </w:rPr>
        <w:t xml:space="preserve"> (13-haftalık ortalama, </w:t>
      </w:r>
      <w:proofErr w:type="spellStart"/>
      <w:r w:rsidRPr="008C6E09">
        <w:rPr>
          <w:b/>
          <w:bCs/>
          <w:sz w:val="22"/>
          <w:szCs w:val="22"/>
        </w:rPr>
        <w:t>yıllıklandırılmış</w:t>
      </w:r>
      <w:proofErr w:type="spellEnd"/>
      <w:r w:rsidRPr="008C6E09">
        <w:rPr>
          <w:b/>
          <w:bCs/>
          <w:sz w:val="22"/>
          <w:szCs w:val="22"/>
        </w:rPr>
        <w:t>, kur etkisinden arındırılmış)</w:t>
      </w:r>
    </w:p>
    <w:p w:rsidR="00175F89" w:rsidRDefault="002F64AE" w:rsidP="00175F89">
      <w:pPr>
        <w:ind w:left="-357" w:right="40"/>
        <w:jc w:val="both"/>
        <w:rPr>
          <w:b/>
          <w:bCs/>
          <w:sz w:val="22"/>
          <w:szCs w:val="22"/>
        </w:rPr>
      </w:pPr>
      <w:r w:rsidRPr="002F64AE">
        <w:rPr>
          <w:noProof/>
          <w:szCs w:val="22"/>
        </w:rPr>
        <w:drawing>
          <wp:inline distT="0" distB="0" distL="0" distR="0">
            <wp:extent cx="5760720" cy="3226465"/>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760720" cy="3226465"/>
                    </a:xfrm>
                    <a:prstGeom prst="rect">
                      <a:avLst/>
                    </a:prstGeom>
                    <a:noFill/>
                    <a:ln w="9525">
                      <a:noFill/>
                      <a:miter lim="800000"/>
                      <a:headEnd/>
                      <a:tailEnd/>
                    </a:ln>
                  </pic:spPr>
                </pic:pic>
              </a:graphicData>
            </a:graphic>
          </wp:inline>
        </w:drawing>
      </w:r>
    </w:p>
    <w:p w:rsidR="00175F89" w:rsidRPr="00F85C3F" w:rsidRDefault="00175F89" w:rsidP="00175F89">
      <w:pPr>
        <w:ind w:left="-357" w:right="40"/>
        <w:rPr>
          <w:sz w:val="16"/>
          <w:szCs w:val="16"/>
        </w:rPr>
      </w:pPr>
      <w:r w:rsidRPr="00F85C3F">
        <w:rPr>
          <w:sz w:val="16"/>
          <w:szCs w:val="16"/>
        </w:rPr>
        <w:t>Kaynak : T</w:t>
      </w:r>
      <w:r>
        <w:rPr>
          <w:sz w:val="16"/>
          <w:szCs w:val="16"/>
        </w:rPr>
        <w:t>DM</w:t>
      </w:r>
      <w:r w:rsidRPr="00F85C3F">
        <w:rPr>
          <w:sz w:val="16"/>
          <w:szCs w:val="16"/>
        </w:rPr>
        <w:t>.</w:t>
      </w:r>
    </w:p>
    <w:p w:rsidR="00175F89" w:rsidRDefault="00175F89" w:rsidP="00175F89">
      <w:pPr>
        <w:spacing w:line="360" w:lineRule="auto"/>
        <w:ind w:left="-360" w:right="42"/>
        <w:jc w:val="both"/>
        <w:rPr>
          <w:b/>
          <w:bCs/>
          <w:sz w:val="22"/>
          <w:szCs w:val="22"/>
        </w:rPr>
      </w:pPr>
    </w:p>
    <w:p w:rsidR="00175F89" w:rsidRDefault="00175F89" w:rsidP="00175F89">
      <w:pPr>
        <w:spacing w:line="360" w:lineRule="auto"/>
        <w:ind w:left="-360" w:right="42"/>
        <w:jc w:val="both"/>
        <w:rPr>
          <w:b/>
          <w:bCs/>
          <w:sz w:val="22"/>
          <w:szCs w:val="22"/>
        </w:rPr>
      </w:pPr>
    </w:p>
    <w:p w:rsidR="008C6E09" w:rsidRDefault="008C6E09" w:rsidP="00175F89">
      <w:pPr>
        <w:spacing w:line="360" w:lineRule="auto"/>
        <w:ind w:right="42"/>
        <w:jc w:val="both"/>
        <w:rPr>
          <w:b/>
          <w:bCs/>
          <w:sz w:val="22"/>
          <w:szCs w:val="22"/>
        </w:rPr>
      </w:pPr>
    </w:p>
    <w:sectPr w:rsidR="008C6E09" w:rsidSect="00E9738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45" w:rsidRDefault="006E0D45">
      <w:r>
        <w:separator/>
      </w:r>
    </w:p>
  </w:endnote>
  <w:endnote w:type="continuationSeparator" w:id="0">
    <w:p w:rsidR="006E0D45" w:rsidRDefault="006E0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1E" w:rsidRDefault="006E668E" w:rsidP="00D830C4">
    <w:pPr>
      <w:pStyle w:val="Footer"/>
      <w:framePr w:wrap="auto" w:vAnchor="text" w:hAnchor="margin" w:xAlign="right" w:y="1"/>
      <w:rPr>
        <w:rStyle w:val="PageNumber"/>
      </w:rPr>
    </w:pPr>
    <w:r>
      <w:rPr>
        <w:rStyle w:val="PageNumber"/>
      </w:rPr>
      <w:fldChar w:fldCharType="begin"/>
    </w:r>
    <w:r w:rsidR="00A1421E">
      <w:rPr>
        <w:rStyle w:val="PageNumber"/>
      </w:rPr>
      <w:instrText xml:space="preserve">PAGE  </w:instrText>
    </w:r>
    <w:r>
      <w:rPr>
        <w:rStyle w:val="PageNumber"/>
      </w:rPr>
      <w:fldChar w:fldCharType="separate"/>
    </w:r>
    <w:r w:rsidR="000039F2">
      <w:rPr>
        <w:rStyle w:val="PageNumber"/>
        <w:noProof/>
      </w:rPr>
      <w:t>6</w:t>
    </w:r>
    <w:r>
      <w:rPr>
        <w:rStyle w:val="PageNumber"/>
      </w:rPr>
      <w:fldChar w:fldCharType="end"/>
    </w:r>
  </w:p>
  <w:p w:rsidR="00A1421E" w:rsidRPr="007B51E3" w:rsidRDefault="00A1421E" w:rsidP="007B51E3">
    <w:pPr>
      <w:pStyle w:val="Footer"/>
      <w:ind w:right="360"/>
      <w:jc w:val="center"/>
      <w:rPr>
        <w:b/>
        <w:bCs/>
        <w:i/>
        <w:iCs/>
      </w:rPr>
    </w:pPr>
    <w:r w:rsidRPr="007B51E3">
      <w:rPr>
        <w:b/>
        <w:bCs/>
        <w:i/>
        <w:iCs/>
      </w:rPr>
      <w:t>www.betam.</w:t>
    </w:r>
    <w:proofErr w:type="spellStart"/>
    <w:r w:rsidRPr="007B51E3">
      <w:rPr>
        <w:b/>
        <w:bCs/>
        <w:i/>
        <w:iCs/>
      </w:rPr>
      <w:t>bahcesehir</w:t>
    </w:r>
    <w:proofErr w:type="spellEnd"/>
    <w:r w:rsidRPr="007B51E3">
      <w:rPr>
        <w:b/>
        <w:bCs/>
        <w:i/>
        <w:iCs/>
      </w:rPr>
      <w:t>.edu.tr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45" w:rsidRDefault="006E0D45">
      <w:r>
        <w:separator/>
      </w:r>
    </w:p>
  </w:footnote>
  <w:footnote w:type="continuationSeparator" w:id="0">
    <w:p w:rsidR="006E0D45" w:rsidRDefault="006E0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57ECC"/>
    <w:rsid w:val="0000014A"/>
    <w:rsid w:val="000015B4"/>
    <w:rsid w:val="00001CF9"/>
    <w:rsid w:val="0000230B"/>
    <w:rsid w:val="000039F2"/>
    <w:rsid w:val="00004860"/>
    <w:rsid w:val="00004B78"/>
    <w:rsid w:val="0000507C"/>
    <w:rsid w:val="0000704D"/>
    <w:rsid w:val="0001121A"/>
    <w:rsid w:val="000117B7"/>
    <w:rsid w:val="000144EB"/>
    <w:rsid w:val="000150D2"/>
    <w:rsid w:val="00017809"/>
    <w:rsid w:val="000205A1"/>
    <w:rsid w:val="000208EA"/>
    <w:rsid w:val="000212AC"/>
    <w:rsid w:val="000217AE"/>
    <w:rsid w:val="000224B9"/>
    <w:rsid w:val="000233A7"/>
    <w:rsid w:val="00024559"/>
    <w:rsid w:val="000262EC"/>
    <w:rsid w:val="00026F21"/>
    <w:rsid w:val="00027FC3"/>
    <w:rsid w:val="000311C6"/>
    <w:rsid w:val="00031D72"/>
    <w:rsid w:val="0003248D"/>
    <w:rsid w:val="00033700"/>
    <w:rsid w:val="00034090"/>
    <w:rsid w:val="0003546D"/>
    <w:rsid w:val="000449FC"/>
    <w:rsid w:val="00045C5A"/>
    <w:rsid w:val="00047B99"/>
    <w:rsid w:val="00047E9F"/>
    <w:rsid w:val="0005037D"/>
    <w:rsid w:val="00050453"/>
    <w:rsid w:val="000507D6"/>
    <w:rsid w:val="00052AD4"/>
    <w:rsid w:val="00052D7A"/>
    <w:rsid w:val="00054BD3"/>
    <w:rsid w:val="00056118"/>
    <w:rsid w:val="00056B3E"/>
    <w:rsid w:val="00060119"/>
    <w:rsid w:val="00061256"/>
    <w:rsid w:val="00061732"/>
    <w:rsid w:val="00063005"/>
    <w:rsid w:val="00064636"/>
    <w:rsid w:val="0006518B"/>
    <w:rsid w:val="00065B3C"/>
    <w:rsid w:val="000678F9"/>
    <w:rsid w:val="000716BA"/>
    <w:rsid w:val="000716CA"/>
    <w:rsid w:val="0007202B"/>
    <w:rsid w:val="00072407"/>
    <w:rsid w:val="00074648"/>
    <w:rsid w:val="000750E3"/>
    <w:rsid w:val="00077A9D"/>
    <w:rsid w:val="00077FF4"/>
    <w:rsid w:val="00081E3F"/>
    <w:rsid w:val="00082FE4"/>
    <w:rsid w:val="000833C7"/>
    <w:rsid w:val="0008631D"/>
    <w:rsid w:val="000875E6"/>
    <w:rsid w:val="00090498"/>
    <w:rsid w:val="0009059A"/>
    <w:rsid w:val="000925B3"/>
    <w:rsid w:val="00096B4E"/>
    <w:rsid w:val="00097E2B"/>
    <w:rsid w:val="000A0D4D"/>
    <w:rsid w:val="000A292B"/>
    <w:rsid w:val="000A399E"/>
    <w:rsid w:val="000A5675"/>
    <w:rsid w:val="000A687F"/>
    <w:rsid w:val="000A6907"/>
    <w:rsid w:val="000A701D"/>
    <w:rsid w:val="000A79A0"/>
    <w:rsid w:val="000B0589"/>
    <w:rsid w:val="000B16FB"/>
    <w:rsid w:val="000B2409"/>
    <w:rsid w:val="000B2AF0"/>
    <w:rsid w:val="000B2B47"/>
    <w:rsid w:val="000B2BF9"/>
    <w:rsid w:val="000B2E92"/>
    <w:rsid w:val="000B325E"/>
    <w:rsid w:val="000B3995"/>
    <w:rsid w:val="000B3C1E"/>
    <w:rsid w:val="000B41F3"/>
    <w:rsid w:val="000B42EA"/>
    <w:rsid w:val="000B469F"/>
    <w:rsid w:val="000B50AD"/>
    <w:rsid w:val="000B50DE"/>
    <w:rsid w:val="000B6120"/>
    <w:rsid w:val="000B6127"/>
    <w:rsid w:val="000B7B77"/>
    <w:rsid w:val="000B7E94"/>
    <w:rsid w:val="000C2F1B"/>
    <w:rsid w:val="000C5B7E"/>
    <w:rsid w:val="000C667B"/>
    <w:rsid w:val="000C7B42"/>
    <w:rsid w:val="000D0C5A"/>
    <w:rsid w:val="000D17A2"/>
    <w:rsid w:val="000D1F14"/>
    <w:rsid w:val="000D49FD"/>
    <w:rsid w:val="000D56EB"/>
    <w:rsid w:val="000D5927"/>
    <w:rsid w:val="000E01ED"/>
    <w:rsid w:val="000E10A3"/>
    <w:rsid w:val="000E1F75"/>
    <w:rsid w:val="000E4E83"/>
    <w:rsid w:val="000E5365"/>
    <w:rsid w:val="000E631E"/>
    <w:rsid w:val="000E6807"/>
    <w:rsid w:val="000E74B5"/>
    <w:rsid w:val="000E7CBB"/>
    <w:rsid w:val="000F0C2B"/>
    <w:rsid w:val="000F2DB4"/>
    <w:rsid w:val="000F360E"/>
    <w:rsid w:val="000F396D"/>
    <w:rsid w:val="000F4941"/>
    <w:rsid w:val="000F5457"/>
    <w:rsid w:val="000F71D2"/>
    <w:rsid w:val="001007B5"/>
    <w:rsid w:val="001009B7"/>
    <w:rsid w:val="001044D1"/>
    <w:rsid w:val="00106470"/>
    <w:rsid w:val="001075D1"/>
    <w:rsid w:val="00107FF7"/>
    <w:rsid w:val="001105B2"/>
    <w:rsid w:val="001117C6"/>
    <w:rsid w:val="0011236C"/>
    <w:rsid w:val="0011279B"/>
    <w:rsid w:val="00113C74"/>
    <w:rsid w:val="00114BC7"/>
    <w:rsid w:val="00117A11"/>
    <w:rsid w:val="00121017"/>
    <w:rsid w:val="00121ABE"/>
    <w:rsid w:val="0012262F"/>
    <w:rsid w:val="00123E71"/>
    <w:rsid w:val="0012410A"/>
    <w:rsid w:val="001251CC"/>
    <w:rsid w:val="00125FC6"/>
    <w:rsid w:val="001260D7"/>
    <w:rsid w:val="001261A8"/>
    <w:rsid w:val="001267DF"/>
    <w:rsid w:val="00130959"/>
    <w:rsid w:val="0013240F"/>
    <w:rsid w:val="00132E7B"/>
    <w:rsid w:val="001331CB"/>
    <w:rsid w:val="0013381D"/>
    <w:rsid w:val="00135B82"/>
    <w:rsid w:val="00135B92"/>
    <w:rsid w:val="001360D1"/>
    <w:rsid w:val="00136362"/>
    <w:rsid w:val="00136A69"/>
    <w:rsid w:val="001408D6"/>
    <w:rsid w:val="00140E1E"/>
    <w:rsid w:val="00141B1A"/>
    <w:rsid w:val="00141B88"/>
    <w:rsid w:val="00141B93"/>
    <w:rsid w:val="00143024"/>
    <w:rsid w:val="00143828"/>
    <w:rsid w:val="00143A92"/>
    <w:rsid w:val="00144285"/>
    <w:rsid w:val="001466BE"/>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5F89"/>
    <w:rsid w:val="00176E56"/>
    <w:rsid w:val="00177FE3"/>
    <w:rsid w:val="0018034E"/>
    <w:rsid w:val="00180C8C"/>
    <w:rsid w:val="00181B5A"/>
    <w:rsid w:val="00182F2B"/>
    <w:rsid w:val="00183507"/>
    <w:rsid w:val="001837A6"/>
    <w:rsid w:val="00183896"/>
    <w:rsid w:val="00186DB6"/>
    <w:rsid w:val="00190F20"/>
    <w:rsid w:val="0019159E"/>
    <w:rsid w:val="001938A7"/>
    <w:rsid w:val="0019538C"/>
    <w:rsid w:val="00197ACB"/>
    <w:rsid w:val="001A054B"/>
    <w:rsid w:val="001A2051"/>
    <w:rsid w:val="001A2B3D"/>
    <w:rsid w:val="001A3025"/>
    <w:rsid w:val="001A319A"/>
    <w:rsid w:val="001A4381"/>
    <w:rsid w:val="001A45BC"/>
    <w:rsid w:val="001A528A"/>
    <w:rsid w:val="001A5534"/>
    <w:rsid w:val="001A6188"/>
    <w:rsid w:val="001A6206"/>
    <w:rsid w:val="001A772F"/>
    <w:rsid w:val="001B0683"/>
    <w:rsid w:val="001B0EF9"/>
    <w:rsid w:val="001B1651"/>
    <w:rsid w:val="001B1CE5"/>
    <w:rsid w:val="001B2F96"/>
    <w:rsid w:val="001B30E0"/>
    <w:rsid w:val="001B34B5"/>
    <w:rsid w:val="001B3B49"/>
    <w:rsid w:val="001B3C7B"/>
    <w:rsid w:val="001B6AFA"/>
    <w:rsid w:val="001C184E"/>
    <w:rsid w:val="001C62D3"/>
    <w:rsid w:val="001C6BAB"/>
    <w:rsid w:val="001C7334"/>
    <w:rsid w:val="001C7C05"/>
    <w:rsid w:val="001D09B1"/>
    <w:rsid w:val="001D129A"/>
    <w:rsid w:val="001D1F1B"/>
    <w:rsid w:val="001D2615"/>
    <w:rsid w:val="001D3F5A"/>
    <w:rsid w:val="001D436C"/>
    <w:rsid w:val="001E0274"/>
    <w:rsid w:val="001E115E"/>
    <w:rsid w:val="001E27F8"/>
    <w:rsid w:val="001E2EE8"/>
    <w:rsid w:val="001E30C3"/>
    <w:rsid w:val="001E3C27"/>
    <w:rsid w:val="001E4BF5"/>
    <w:rsid w:val="001E5387"/>
    <w:rsid w:val="001E739D"/>
    <w:rsid w:val="001E75C8"/>
    <w:rsid w:val="001E7720"/>
    <w:rsid w:val="001E7744"/>
    <w:rsid w:val="001F2761"/>
    <w:rsid w:val="001F2A11"/>
    <w:rsid w:val="001F4CFB"/>
    <w:rsid w:val="001F6F00"/>
    <w:rsid w:val="001F7144"/>
    <w:rsid w:val="001F71A5"/>
    <w:rsid w:val="001F7216"/>
    <w:rsid w:val="001F775A"/>
    <w:rsid w:val="0020167B"/>
    <w:rsid w:val="00204364"/>
    <w:rsid w:val="00206291"/>
    <w:rsid w:val="00207185"/>
    <w:rsid w:val="00207313"/>
    <w:rsid w:val="0020739E"/>
    <w:rsid w:val="00207C8A"/>
    <w:rsid w:val="00207CC3"/>
    <w:rsid w:val="0021387C"/>
    <w:rsid w:val="0021684B"/>
    <w:rsid w:val="002168E5"/>
    <w:rsid w:val="002173B9"/>
    <w:rsid w:val="0021766E"/>
    <w:rsid w:val="002176C5"/>
    <w:rsid w:val="00217D35"/>
    <w:rsid w:val="00220B5E"/>
    <w:rsid w:val="00221184"/>
    <w:rsid w:val="00223A5B"/>
    <w:rsid w:val="002242A1"/>
    <w:rsid w:val="00224908"/>
    <w:rsid w:val="00225204"/>
    <w:rsid w:val="00226D50"/>
    <w:rsid w:val="002272CB"/>
    <w:rsid w:val="00231E92"/>
    <w:rsid w:val="00232243"/>
    <w:rsid w:val="0023312F"/>
    <w:rsid w:val="00233D56"/>
    <w:rsid w:val="00237255"/>
    <w:rsid w:val="0024030B"/>
    <w:rsid w:val="00241A67"/>
    <w:rsid w:val="00243212"/>
    <w:rsid w:val="00245B1F"/>
    <w:rsid w:val="00251885"/>
    <w:rsid w:val="00251DE2"/>
    <w:rsid w:val="00251E82"/>
    <w:rsid w:val="00252FAF"/>
    <w:rsid w:val="00253D39"/>
    <w:rsid w:val="00254A99"/>
    <w:rsid w:val="002569EA"/>
    <w:rsid w:val="002576F7"/>
    <w:rsid w:val="0026114C"/>
    <w:rsid w:val="002614C1"/>
    <w:rsid w:val="00261A05"/>
    <w:rsid w:val="00261B02"/>
    <w:rsid w:val="00262020"/>
    <w:rsid w:val="00264335"/>
    <w:rsid w:val="002654A6"/>
    <w:rsid w:val="00265BC9"/>
    <w:rsid w:val="002670FE"/>
    <w:rsid w:val="00267EB4"/>
    <w:rsid w:val="00273CB4"/>
    <w:rsid w:val="00273E62"/>
    <w:rsid w:val="00277E58"/>
    <w:rsid w:val="002802F2"/>
    <w:rsid w:val="002816C6"/>
    <w:rsid w:val="00281D8F"/>
    <w:rsid w:val="002820F1"/>
    <w:rsid w:val="00284A28"/>
    <w:rsid w:val="00285656"/>
    <w:rsid w:val="002871E8"/>
    <w:rsid w:val="00291C79"/>
    <w:rsid w:val="0029480C"/>
    <w:rsid w:val="00295AFF"/>
    <w:rsid w:val="00297710"/>
    <w:rsid w:val="00297712"/>
    <w:rsid w:val="002A05DB"/>
    <w:rsid w:val="002A1FA0"/>
    <w:rsid w:val="002A3EDD"/>
    <w:rsid w:val="002A49A3"/>
    <w:rsid w:val="002A4AF7"/>
    <w:rsid w:val="002A5D22"/>
    <w:rsid w:val="002A66ED"/>
    <w:rsid w:val="002B3129"/>
    <w:rsid w:val="002B3644"/>
    <w:rsid w:val="002B58B1"/>
    <w:rsid w:val="002B626B"/>
    <w:rsid w:val="002C236E"/>
    <w:rsid w:val="002C25CE"/>
    <w:rsid w:val="002C2DA3"/>
    <w:rsid w:val="002C4200"/>
    <w:rsid w:val="002C49EC"/>
    <w:rsid w:val="002C5F2D"/>
    <w:rsid w:val="002C7D04"/>
    <w:rsid w:val="002D1908"/>
    <w:rsid w:val="002D2F1A"/>
    <w:rsid w:val="002D3C8B"/>
    <w:rsid w:val="002D4158"/>
    <w:rsid w:val="002D44DC"/>
    <w:rsid w:val="002D584B"/>
    <w:rsid w:val="002E02BA"/>
    <w:rsid w:val="002E0E16"/>
    <w:rsid w:val="002E1EA4"/>
    <w:rsid w:val="002E205D"/>
    <w:rsid w:val="002E26DA"/>
    <w:rsid w:val="002E31DD"/>
    <w:rsid w:val="002E41FC"/>
    <w:rsid w:val="002E5D5E"/>
    <w:rsid w:val="002E6E82"/>
    <w:rsid w:val="002E6F28"/>
    <w:rsid w:val="002E6F87"/>
    <w:rsid w:val="002E7357"/>
    <w:rsid w:val="002E7860"/>
    <w:rsid w:val="002F150B"/>
    <w:rsid w:val="002F21C6"/>
    <w:rsid w:val="002F3718"/>
    <w:rsid w:val="002F3940"/>
    <w:rsid w:val="002F4648"/>
    <w:rsid w:val="002F467E"/>
    <w:rsid w:val="002F5134"/>
    <w:rsid w:val="002F5C24"/>
    <w:rsid w:val="002F5E1E"/>
    <w:rsid w:val="002F61A9"/>
    <w:rsid w:val="002F64AE"/>
    <w:rsid w:val="003001AF"/>
    <w:rsid w:val="0030120F"/>
    <w:rsid w:val="00303A3C"/>
    <w:rsid w:val="003044A5"/>
    <w:rsid w:val="0030512F"/>
    <w:rsid w:val="003051E6"/>
    <w:rsid w:val="00306265"/>
    <w:rsid w:val="00306F51"/>
    <w:rsid w:val="0031043B"/>
    <w:rsid w:val="003118F7"/>
    <w:rsid w:val="00312DB8"/>
    <w:rsid w:val="00312EB0"/>
    <w:rsid w:val="003134C3"/>
    <w:rsid w:val="003142BA"/>
    <w:rsid w:val="003143D4"/>
    <w:rsid w:val="003146E6"/>
    <w:rsid w:val="0031673E"/>
    <w:rsid w:val="0031682C"/>
    <w:rsid w:val="00316CE9"/>
    <w:rsid w:val="00316DB4"/>
    <w:rsid w:val="003208B4"/>
    <w:rsid w:val="00320F7D"/>
    <w:rsid w:val="003223B0"/>
    <w:rsid w:val="00323169"/>
    <w:rsid w:val="003234F0"/>
    <w:rsid w:val="00323CA6"/>
    <w:rsid w:val="00324A91"/>
    <w:rsid w:val="00324C15"/>
    <w:rsid w:val="003269F7"/>
    <w:rsid w:val="003270D6"/>
    <w:rsid w:val="0033129D"/>
    <w:rsid w:val="00332DBD"/>
    <w:rsid w:val="003333BF"/>
    <w:rsid w:val="00333B98"/>
    <w:rsid w:val="00333C8E"/>
    <w:rsid w:val="00337AE5"/>
    <w:rsid w:val="0034012E"/>
    <w:rsid w:val="0034025B"/>
    <w:rsid w:val="00341195"/>
    <w:rsid w:val="0034138A"/>
    <w:rsid w:val="0034251A"/>
    <w:rsid w:val="00342E6B"/>
    <w:rsid w:val="00344555"/>
    <w:rsid w:val="00344F97"/>
    <w:rsid w:val="0034543C"/>
    <w:rsid w:val="003466B0"/>
    <w:rsid w:val="00347FA0"/>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40DE"/>
    <w:rsid w:val="00365B7D"/>
    <w:rsid w:val="00366A30"/>
    <w:rsid w:val="00375126"/>
    <w:rsid w:val="00375CC6"/>
    <w:rsid w:val="00376AC1"/>
    <w:rsid w:val="00376F93"/>
    <w:rsid w:val="00377FEF"/>
    <w:rsid w:val="00382F97"/>
    <w:rsid w:val="0038488E"/>
    <w:rsid w:val="00385F45"/>
    <w:rsid w:val="00390136"/>
    <w:rsid w:val="00392A7C"/>
    <w:rsid w:val="00394F60"/>
    <w:rsid w:val="00395F95"/>
    <w:rsid w:val="00396CE9"/>
    <w:rsid w:val="00397518"/>
    <w:rsid w:val="003A2B60"/>
    <w:rsid w:val="003A2C52"/>
    <w:rsid w:val="003A31B2"/>
    <w:rsid w:val="003A3575"/>
    <w:rsid w:val="003A3A61"/>
    <w:rsid w:val="003A4593"/>
    <w:rsid w:val="003A5C17"/>
    <w:rsid w:val="003A6089"/>
    <w:rsid w:val="003A6471"/>
    <w:rsid w:val="003A78A3"/>
    <w:rsid w:val="003B00C3"/>
    <w:rsid w:val="003B0F7E"/>
    <w:rsid w:val="003B199A"/>
    <w:rsid w:val="003B1BE8"/>
    <w:rsid w:val="003B2FC4"/>
    <w:rsid w:val="003B472B"/>
    <w:rsid w:val="003B4A44"/>
    <w:rsid w:val="003B5209"/>
    <w:rsid w:val="003B65FB"/>
    <w:rsid w:val="003B757A"/>
    <w:rsid w:val="003C280B"/>
    <w:rsid w:val="003C2B2A"/>
    <w:rsid w:val="003C2BAF"/>
    <w:rsid w:val="003C3188"/>
    <w:rsid w:val="003C640D"/>
    <w:rsid w:val="003C6C41"/>
    <w:rsid w:val="003C7051"/>
    <w:rsid w:val="003C7C35"/>
    <w:rsid w:val="003D0AB6"/>
    <w:rsid w:val="003D0E64"/>
    <w:rsid w:val="003D1BAD"/>
    <w:rsid w:val="003D2405"/>
    <w:rsid w:val="003D472B"/>
    <w:rsid w:val="003D7D0B"/>
    <w:rsid w:val="003D7E7F"/>
    <w:rsid w:val="003E40B5"/>
    <w:rsid w:val="003E4DF6"/>
    <w:rsid w:val="003E5EC3"/>
    <w:rsid w:val="003F1E42"/>
    <w:rsid w:val="003F47E3"/>
    <w:rsid w:val="003F503B"/>
    <w:rsid w:val="003F60C0"/>
    <w:rsid w:val="003F6C96"/>
    <w:rsid w:val="003F7185"/>
    <w:rsid w:val="003F7D4B"/>
    <w:rsid w:val="0040061A"/>
    <w:rsid w:val="00402158"/>
    <w:rsid w:val="00402270"/>
    <w:rsid w:val="004074ED"/>
    <w:rsid w:val="00412C49"/>
    <w:rsid w:val="00413AFE"/>
    <w:rsid w:val="00414443"/>
    <w:rsid w:val="00415FC4"/>
    <w:rsid w:val="00417092"/>
    <w:rsid w:val="00417568"/>
    <w:rsid w:val="00421D0B"/>
    <w:rsid w:val="00422927"/>
    <w:rsid w:val="004229DE"/>
    <w:rsid w:val="004239AE"/>
    <w:rsid w:val="00423E8F"/>
    <w:rsid w:val="004251B6"/>
    <w:rsid w:val="004259B8"/>
    <w:rsid w:val="00425C5D"/>
    <w:rsid w:val="004269DA"/>
    <w:rsid w:val="00432F82"/>
    <w:rsid w:val="00434618"/>
    <w:rsid w:val="00434B76"/>
    <w:rsid w:val="00435527"/>
    <w:rsid w:val="00435FF5"/>
    <w:rsid w:val="0043681C"/>
    <w:rsid w:val="00437273"/>
    <w:rsid w:val="00440820"/>
    <w:rsid w:val="004441AD"/>
    <w:rsid w:val="00444DA6"/>
    <w:rsid w:val="00445C19"/>
    <w:rsid w:val="004466EA"/>
    <w:rsid w:val="00446A31"/>
    <w:rsid w:val="00446D37"/>
    <w:rsid w:val="004475A9"/>
    <w:rsid w:val="0044794F"/>
    <w:rsid w:val="00447CD2"/>
    <w:rsid w:val="00450447"/>
    <w:rsid w:val="00450723"/>
    <w:rsid w:val="00453D77"/>
    <w:rsid w:val="00454313"/>
    <w:rsid w:val="00454965"/>
    <w:rsid w:val="00461612"/>
    <w:rsid w:val="0046178B"/>
    <w:rsid w:val="00462314"/>
    <w:rsid w:val="00462E07"/>
    <w:rsid w:val="0046331C"/>
    <w:rsid w:val="00463512"/>
    <w:rsid w:val="0046362C"/>
    <w:rsid w:val="00463BBF"/>
    <w:rsid w:val="00466C2F"/>
    <w:rsid w:val="004701D0"/>
    <w:rsid w:val="00470E4D"/>
    <w:rsid w:val="00474C08"/>
    <w:rsid w:val="00474D75"/>
    <w:rsid w:val="004764CC"/>
    <w:rsid w:val="004764EE"/>
    <w:rsid w:val="00476D76"/>
    <w:rsid w:val="004771EB"/>
    <w:rsid w:val="004814D5"/>
    <w:rsid w:val="004814F0"/>
    <w:rsid w:val="00482771"/>
    <w:rsid w:val="00483180"/>
    <w:rsid w:val="00483C58"/>
    <w:rsid w:val="00484222"/>
    <w:rsid w:val="00485F46"/>
    <w:rsid w:val="00494345"/>
    <w:rsid w:val="00495192"/>
    <w:rsid w:val="004A0D43"/>
    <w:rsid w:val="004A1818"/>
    <w:rsid w:val="004A4E4F"/>
    <w:rsid w:val="004A56E7"/>
    <w:rsid w:val="004A7750"/>
    <w:rsid w:val="004A7FE6"/>
    <w:rsid w:val="004B02B9"/>
    <w:rsid w:val="004B0B90"/>
    <w:rsid w:val="004B2F0D"/>
    <w:rsid w:val="004B30FB"/>
    <w:rsid w:val="004B3F80"/>
    <w:rsid w:val="004B40EE"/>
    <w:rsid w:val="004B45F4"/>
    <w:rsid w:val="004B4A27"/>
    <w:rsid w:val="004C0A8D"/>
    <w:rsid w:val="004C2024"/>
    <w:rsid w:val="004C25F6"/>
    <w:rsid w:val="004C357C"/>
    <w:rsid w:val="004C62C6"/>
    <w:rsid w:val="004D100D"/>
    <w:rsid w:val="004D2626"/>
    <w:rsid w:val="004D3901"/>
    <w:rsid w:val="004D3F5D"/>
    <w:rsid w:val="004D5E10"/>
    <w:rsid w:val="004D67C5"/>
    <w:rsid w:val="004D6E34"/>
    <w:rsid w:val="004D7E65"/>
    <w:rsid w:val="004E00D0"/>
    <w:rsid w:val="004E07DC"/>
    <w:rsid w:val="004E0851"/>
    <w:rsid w:val="004E0939"/>
    <w:rsid w:val="004E1AB5"/>
    <w:rsid w:val="004E1AE2"/>
    <w:rsid w:val="004E5446"/>
    <w:rsid w:val="004F059F"/>
    <w:rsid w:val="004F1352"/>
    <w:rsid w:val="004F2868"/>
    <w:rsid w:val="004F55F8"/>
    <w:rsid w:val="004F6ACE"/>
    <w:rsid w:val="004F7447"/>
    <w:rsid w:val="004F76D9"/>
    <w:rsid w:val="004F7E37"/>
    <w:rsid w:val="00501F2F"/>
    <w:rsid w:val="00505141"/>
    <w:rsid w:val="005066A2"/>
    <w:rsid w:val="00506CD9"/>
    <w:rsid w:val="00511EF3"/>
    <w:rsid w:val="00512AE9"/>
    <w:rsid w:val="00513472"/>
    <w:rsid w:val="00513FBF"/>
    <w:rsid w:val="00516576"/>
    <w:rsid w:val="0051750C"/>
    <w:rsid w:val="00522063"/>
    <w:rsid w:val="00522ED0"/>
    <w:rsid w:val="00523826"/>
    <w:rsid w:val="00523C58"/>
    <w:rsid w:val="005253A2"/>
    <w:rsid w:val="0052557E"/>
    <w:rsid w:val="00526CC9"/>
    <w:rsid w:val="0052770E"/>
    <w:rsid w:val="00530C05"/>
    <w:rsid w:val="005310F8"/>
    <w:rsid w:val="0053163F"/>
    <w:rsid w:val="005347F8"/>
    <w:rsid w:val="00534CA7"/>
    <w:rsid w:val="00535BAD"/>
    <w:rsid w:val="00535C26"/>
    <w:rsid w:val="00536008"/>
    <w:rsid w:val="00536B3B"/>
    <w:rsid w:val="00537DBB"/>
    <w:rsid w:val="005429D2"/>
    <w:rsid w:val="005435C8"/>
    <w:rsid w:val="00543E56"/>
    <w:rsid w:val="00544A5C"/>
    <w:rsid w:val="005470EC"/>
    <w:rsid w:val="00550399"/>
    <w:rsid w:val="00552380"/>
    <w:rsid w:val="00556328"/>
    <w:rsid w:val="00556D13"/>
    <w:rsid w:val="00563399"/>
    <w:rsid w:val="0056591F"/>
    <w:rsid w:val="00566E5E"/>
    <w:rsid w:val="00571282"/>
    <w:rsid w:val="00571E9F"/>
    <w:rsid w:val="00573C3B"/>
    <w:rsid w:val="00574E1B"/>
    <w:rsid w:val="00583974"/>
    <w:rsid w:val="0058722C"/>
    <w:rsid w:val="0058799A"/>
    <w:rsid w:val="00587F62"/>
    <w:rsid w:val="00590149"/>
    <w:rsid w:val="00592FD2"/>
    <w:rsid w:val="00593B80"/>
    <w:rsid w:val="00596A1C"/>
    <w:rsid w:val="00596FDB"/>
    <w:rsid w:val="005A06D3"/>
    <w:rsid w:val="005A0AF8"/>
    <w:rsid w:val="005A0E6F"/>
    <w:rsid w:val="005A1E77"/>
    <w:rsid w:val="005A2B2E"/>
    <w:rsid w:val="005A3E49"/>
    <w:rsid w:val="005A4714"/>
    <w:rsid w:val="005A47EC"/>
    <w:rsid w:val="005B551F"/>
    <w:rsid w:val="005B5D93"/>
    <w:rsid w:val="005B66C8"/>
    <w:rsid w:val="005C0A9A"/>
    <w:rsid w:val="005C11DE"/>
    <w:rsid w:val="005C28BC"/>
    <w:rsid w:val="005C4EA4"/>
    <w:rsid w:val="005D0287"/>
    <w:rsid w:val="005D092B"/>
    <w:rsid w:val="005D0AD6"/>
    <w:rsid w:val="005D39F3"/>
    <w:rsid w:val="005D7E62"/>
    <w:rsid w:val="005E0596"/>
    <w:rsid w:val="005E0731"/>
    <w:rsid w:val="005E13DF"/>
    <w:rsid w:val="005E1D9A"/>
    <w:rsid w:val="005E2983"/>
    <w:rsid w:val="005E3EE4"/>
    <w:rsid w:val="005E6479"/>
    <w:rsid w:val="005F03CC"/>
    <w:rsid w:val="005F2063"/>
    <w:rsid w:val="005F2279"/>
    <w:rsid w:val="005F2A5B"/>
    <w:rsid w:val="005F31BE"/>
    <w:rsid w:val="005F36AB"/>
    <w:rsid w:val="005F442A"/>
    <w:rsid w:val="005F700B"/>
    <w:rsid w:val="006007C7"/>
    <w:rsid w:val="00600B5F"/>
    <w:rsid w:val="00600FFC"/>
    <w:rsid w:val="006015A3"/>
    <w:rsid w:val="00601C31"/>
    <w:rsid w:val="00602BC6"/>
    <w:rsid w:val="00602EB0"/>
    <w:rsid w:val="00603311"/>
    <w:rsid w:val="00603C6D"/>
    <w:rsid w:val="006040ED"/>
    <w:rsid w:val="00604415"/>
    <w:rsid w:val="006079B9"/>
    <w:rsid w:val="00613A11"/>
    <w:rsid w:val="00613B72"/>
    <w:rsid w:val="0061706E"/>
    <w:rsid w:val="00622914"/>
    <w:rsid w:val="0062291A"/>
    <w:rsid w:val="00622AA8"/>
    <w:rsid w:val="00622D91"/>
    <w:rsid w:val="006237CF"/>
    <w:rsid w:val="00623B31"/>
    <w:rsid w:val="00623C7E"/>
    <w:rsid w:val="0062575D"/>
    <w:rsid w:val="0063164E"/>
    <w:rsid w:val="0063286C"/>
    <w:rsid w:val="006335A2"/>
    <w:rsid w:val="00635FF5"/>
    <w:rsid w:val="00636375"/>
    <w:rsid w:val="0064166F"/>
    <w:rsid w:val="00643C4C"/>
    <w:rsid w:val="00644764"/>
    <w:rsid w:val="0064549C"/>
    <w:rsid w:val="0064601A"/>
    <w:rsid w:val="00647676"/>
    <w:rsid w:val="00647DB4"/>
    <w:rsid w:val="006502E3"/>
    <w:rsid w:val="006522C9"/>
    <w:rsid w:val="00653E7B"/>
    <w:rsid w:val="00655823"/>
    <w:rsid w:val="00660F48"/>
    <w:rsid w:val="00665640"/>
    <w:rsid w:val="0066619C"/>
    <w:rsid w:val="006702D1"/>
    <w:rsid w:val="006704F7"/>
    <w:rsid w:val="006707E3"/>
    <w:rsid w:val="00670A74"/>
    <w:rsid w:val="006713C0"/>
    <w:rsid w:val="006717CE"/>
    <w:rsid w:val="00674304"/>
    <w:rsid w:val="00674779"/>
    <w:rsid w:val="00676D51"/>
    <w:rsid w:val="00676EAB"/>
    <w:rsid w:val="0067747F"/>
    <w:rsid w:val="00680C1A"/>
    <w:rsid w:val="006811DC"/>
    <w:rsid w:val="006836A7"/>
    <w:rsid w:val="00683A24"/>
    <w:rsid w:val="006868AD"/>
    <w:rsid w:val="00691D96"/>
    <w:rsid w:val="00692D34"/>
    <w:rsid w:val="00693B96"/>
    <w:rsid w:val="00695F24"/>
    <w:rsid w:val="00696507"/>
    <w:rsid w:val="0069688D"/>
    <w:rsid w:val="0069776E"/>
    <w:rsid w:val="006A2CBF"/>
    <w:rsid w:val="006A507F"/>
    <w:rsid w:val="006A53AA"/>
    <w:rsid w:val="006A7193"/>
    <w:rsid w:val="006B08B4"/>
    <w:rsid w:val="006B12C5"/>
    <w:rsid w:val="006B1F6D"/>
    <w:rsid w:val="006B2978"/>
    <w:rsid w:val="006B30D5"/>
    <w:rsid w:val="006B4323"/>
    <w:rsid w:val="006B6367"/>
    <w:rsid w:val="006B7A8F"/>
    <w:rsid w:val="006C034B"/>
    <w:rsid w:val="006C2AB7"/>
    <w:rsid w:val="006C372B"/>
    <w:rsid w:val="006C38D6"/>
    <w:rsid w:val="006C4184"/>
    <w:rsid w:val="006C6C6F"/>
    <w:rsid w:val="006C74FB"/>
    <w:rsid w:val="006D416F"/>
    <w:rsid w:val="006D453A"/>
    <w:rsid w:val="006E0C79"/>
    <w:rsid w:val="006E0D45"/>
    <w:rsid w:val="006E3384"/>
    <w:rsid w:val="006E4051"/>
    <w:rsid w:val="006E480B"/>
    <w:rsid w:val="006E5E68"/>
    <w:rsid w:val="006E668E"/>
    <w:rsid w:val="006E68A1"/>
    <w:rsid w:val="006F0B18"/>
    <w:rsid w:val="006F1A82"/>
    <w:rsid w:val="006F2049"/>
    <w:rsid w:val="006F278A"/>
    <w:rsid w:val="006F33D4"/>
    <w:rsid w:val="006F3608"/>
    <w:rsid w:val="006F39D1"/>
    <w:rsid w:val="006F3ECA"/>
    <w:rsid w:val="006F49FC"/>
    <w:rsid w:val="006F7FE6"/>
    <w:rsid w:val="00701A0C"/>
    <w:rsid w:val="00702823"/>
    <w:rsid w:val="00702DFC"/>
    <w:rsid w:val="0070339C"/>
    <w:rsid w:val="007037E4"/>
    <w:rsid w:val="0070556E"/>
    <w:rsid w:val="00705CE7"/>
    <w:rsid w:val="007067CB"/>
    <w:rsid w:val="007067F4"/>
    <w:rsid w:val="0070704B"/>
    <w:rsid w:val="007103A2"/>
    <w:rsid w:val="00710B36"/>
    <w:rsid w:val="00712041"/>
    <w:rsid w:val="00713CBF"/>
    <w:rsid w:val="007168F4"/>
    <w:rsid w:val="007169B6"/>
    <w:rsid w:val="00717C4C"/>
    <w:rsid w:val="00721276"/>
    <w:rsid w:val="007220A0"/>
    <w:rsid w:val="00724574"/>
    <w:rsid w:val="00725236"/>
    <w:rsid w:val="0072768C"/>
    <w:rsid w:val="00731730"/>
    <w:rsid w:val="00732049"/>
    <w:rsid w:val="007323C8"/>
    <w:rsid w:val="00732BA5"/>
    <w:rsid w:val="007343EE"/>
    <w:rsid w:val="0073536D"/>
    <w:rsid w:val="007357A6"/>
    <w:rsid w:val="00742130"/>
    <w:rsid w:val="0074346F"/>
    <w:rsid w:val="007440DB"/>
    <w:rsid w:val="00745E22"/>
    <w:rsid w:val="0074648A"/>
    <w:rsid w:val="00747A9B"/>
    <w:rsid w:val="007501A9"/>
    <w:rsid w:val="0075074A"/>
    <w:rsid w:val="007522D9"/>
    <w:rsid w:val="00752330"/>
    <w:rsid w:val="00753469"/>
    <w:rsid w:val="0075405B"/>
    <w:rsid w:val="00755623"/>
    <w:rsid w:val="00755D28"/>
    <w:rsid w:val="0075696F"/>
    <w:rsid w:val="00760A4B"/>
    <w:rsid w:val="0076118C"/>
    <w:rsid w:val="00761767"/>
    <w:rsid w:val="007633AA"/>
    <w:rsid w:val="007652AE"/>
    <w:rsid w:val="00767D6E"/>
    <w:rsid w:val="00770580"/>
    <w:rsid w:val="00770D1C"/>
    <w:rsid w:val="00771BFD"/>
    <w:rsid w:val="007750EF"/>
    <w:rsid w:val="00776484"/>
    <w:rsid w:val="00777955"/>
    <w:rsid w:val="007806C4"/>
    <w:rsid w:val="00781E83"/>
    <w:rsid w:val="00781ECE"/>
    <w:rsid w:val="00783C9A"/>
    <w:rsid w:val="00783CDF"/>
    <w:rsid w:val="00784067"/>
    <w:rsid w:val="00785375"/>
    <w:rsid w:val="00786067"/>
    <w:rsid w:val="007906E2"/>
    <w:rsid w:val="00790FFD"/>
    <w:rsid w:val="0079170E"/>
    <w:rsid w:val="007956C2"/>
    <w:rsid w:val="007975D4"/>
    <w:rsid w:val="00797B31"/>
    <w:rsid w:val="007A1E73"/>
    <w:rsid w:val="007A311A"/>
    <w:rsid w:val="007A35F3"/>
    <w:rsid w:val="007A36DD"/>
    <w:rsid w:val="007A6307"/>
    <w:rsid w:val="007A69DC"/>
    <w:rsid w:val="007B14EF"/>
    <w:rsid w:val="007B19BC"/>
    <w:rsid w:val="007B1EEE"/>
    <w:rsid w:val="007B4C7C"/>
    <w:rsid w:val="007B51E3"/>
    <w:rsid w:val="007B579E"/>
    <w:rsid w:val="007B6D85"/>
    <w:rsid w:val="007B7BF7"/>
    <w:rsid w:val="007C31F8"/>
    <w:rsid w:val="007C3C2B"/>
    <w:rsid w:val="007C3C78"/>
    <w:rsid w:val="007C3F82"/>
    <w:rsid w:val="007C5E78"/>
    <w:rsid w:val="007D02A6"/>
    <w:rsid w:val="007D0625"/>
    <w:rsid w:val="007D14BA"/>
    <w:rsid w:val="007D185F"/>
    <w:rsid w:val="007D3176"/>
    <w:rsid w:val="007D3E0C"/>
    <w:rsid w:val="007D5551"/>
    <w:rsid w:val="007D5CAE"/>
    <w:rsid w:val="007D604E"/>
    <w:rsid w:val="007D745B"/>
    <w:rsid w:val="007E10C4"/>
    <w:rsid w:val="007E13CA"/>
    <w:rsid w:val="007E182F"/>
    <w:rsid w:val="007E1D25"/>
    <w:rsid w:val="007E276E"/>
    <w:rsid w:val="007E395D"/>
    <w:rsid w:val="007E5E9A"/>
    <w:rsid w:val="007E6A0D"/>
    <w:rsid w:val="007F017D"/>
    <w:rsid w:val="007F1E8F"/>
    <w:rsid w:val="007F4136"/>
    <w:rsid w:val="007F4F91"/>
    <w:rsid w:val="007F50E5"/>
    <w:rsid w:val="007F525C"/>
    <w:rsid w:val="007F681A"/>
    <w:rsid w:val="00801F91"/>
    <w:rsid w:val="00804CB9"/>
    <w:rsid w:val="00805A82"/>
    <w:rsid w:val="00807D3E"/>
    <w:rsid w:val="00814196"/>
    <w:rsid w:val="00814DA3"/>
    <w:rsid w:val="00815549"/>
    <w:rsid w:val="008161FE"/>
    <w:rsid w:val="00816C3F"/>
    <w:rsid w:val="00817438"/>
    <w:rsid w:val="00820F9B"/>
    <w:rsid w:val="00821B78"/>
    <w:rsid w:val="00822C11"/>
    <w:rsid w:val="00823931"/>
    <w:rsid w:val="00825F84"/>
    <w:rsid w:val="0082670B"/>
    <w:rsid w:val="00826C7D"/>
    <w:rsid w:val="00826E1D"/>
    <w:rsid w:val="00827412"/>
    <w:rsid w:val="008275B7"/>
    <w:rsid w:val="00830339"/>
    <w:rsid w:val="008322F7"/>
    <w:rsid w:val="008332DD"/>
    <w:rsid w:val="00833B68"/>
    <w:rsid w:val="00833EB5"/>
    <w:rsid w:val="00835E44"/>
    <w:rsid w:val="008372B3"/>
    <w:rsid w:val="00837A59"/>
    <w:rsid w:val="008400B9"/>
    <w:rsid w:val="00842957"/>
    <w:rsid w:val="0084320B"/>
    <w:rsid w:val="008432FC"/>
    <w:rsid w:val="00843330"/>
    <w:rsid w:val="00844517"/>
    <w:rsid w:val="008446FE"/>
    <w:rsid w:val="00844C0C"/>
    <w:rsid w:val="00850769"/>
    <w:rsid w:val="0085533A"/>
    <w:rsid w:val="00856509"/>
    <w:rsid w:val="00860D72"/>
    <w:rsid w:val="00860E25"/>
    <w:rsid w:val="00860E50"/>
    <w:rsid w:val="00862B92"/>
    <w:rsid w:val="00864323"/>
    <w:rsid w:val="008646F5"/>
    <w:rsid w:val="008651A8"/>
    <w:rsid w:val="00870A39"/>
    <w:rsid w:val="00872D6D"/>
    <w:rsid w:val="00875856"/>
    <w:rsid w:val="0088522E"/>
    <w:rsid w:val="00885634"/>
    <w:rsid w:val="00885D0C"/>
    <w:rsid w:val="00885D19"/>
    <w:rsid w:val="008868EE"/>
    <w:rsid w:val="0089029A"/>
    <w:rsid w:val="00890713"/>
    <w:rsid w:val="00892423"/>
    <w:rsid w:val="00893282"/>
    <w:rsid w:val="008937F7"/>
    <w:rsid w:val="00893BD5"/>
    <w:rsid w:val="00893EE3"/>
    <w:rsid w:val="00895278"/>
    <w:rsid w:val="00895DD8"/>
    <w:rsid w:val="008977F0"/>
    <w:rsid w:val="008A0F64"/>
    <w:rsid w:val="008A25ED"/>
    <w:rsid w:val="008A34AA"/>
    <w:rsid w:val="008A38AB"/>
    <w:rsid w:val="008A74B0"/>
    <w:rsid w:val="008B0C8D"/>
    <w:rsid w:val="008B1D17"/>
    <w:rsid w:val="008B20AA"/>
    <w:rsid w:val="008B372B"/>
    <w:rsid w:val="008B39CE"/>
    <w:rsid w:val="008B7181"/>
    <w:rsid w:val="008B7A03"/>
    <w:rsid w:val="008C0DBE"/>
    <w:rsid w:val="008C17F4"/>
    <w:rsid w:val="008C1D9F"/>
    <w:rsid w:val="008C2C95"/>
    <w:rsid w:val="008C2D0B"/>
    <w:rsid w:val="008C2D77"/>
    <w:rsid w:val="008C508A"/>
    <w:rsid w:val="008C6252"/>
    <w:rsid w:val="008C6E09"/>
    <w:rsid w:val="008C6E50"/>
    <w:rsid w:val="008D2012"/>
    <w:rsid w:val="008D28DD"/>
    <w:rsid w:val="008D3976"/>
    <w:rsid w:val="008E2216"/>
    <w:rsid w:val="008E252E"/>
    <w:rsid w:val="008E31DD"/>
    <w:rsid w:val="008E339A"/>
    <w:rsid w:val="008E4779"/>
    <w:rsid w:val="008E4B91"/>
    <w:rsid w:val="008E4DDE"/>
    <w:rsid w:val="008E63CB"/>
    <w:rsid w:val="008E7B64"/>
    <w:rsid w:val="008E7C39"/>
    <w:rsid w:val="008F208D"/>
    <w:rsid w:val="008F4166"/>
    <w:rsid w:val="008F485A"/>
    <w:rsid w:val="008F6889"/>
    <w:rsid w:val="008F79EF"/>
    <w:rsid w:val="00900BD4"/>
    <w:rsid w:val="009010CB"/>
    <w:rsid w:val="00901189"/>
    <w:rsid w:val="009014BB"/>
    <w:rsid w:val="00901532"/>
    <w:rsid w:val="00902C59"/>
    <w:rsid w:val="00903097"/>
    <w:rsid w:val="00905111"/>
    <w:rsid w:val="00906149"/>
    <w:rsid w:val="00906F88"/>
    <w:rsid w:val="00910940"/>
    <w:rsid w:val="009125B5"/>
    <w:rsid w:val="00914DE2"/>
    <w:rsid w:val="009158BC"/>
    <w:rsid w:val="009165ED"/>
    <w:rsid w:val="00916619"/>
    <w:rsid w:val="00917893"/>
    <w:rsid w:val="009224F5"/>
    <w:rsid w:val="00922C21"/>
    <w:rsid w:val="00923AE7"/>
    <w:rsid w:val="00923BA4"/>
    <w:rsid w:val="00924D1B"/>
    <w:rsid w:val="0092546B"/>
    <w:rsid w:val="00932513"/>
    <w:rsid w:val="00932EF7"/>
    <w:rsid w:val="00934BE6"/>
    <w:rsid w:val="00934EC4"/>
    <w:rsid w:val="00935355"/>
    <w:rsid w:val="0093560C"/>
    <w:rsid w:val="00936426"/>
    <w:rsid w:val="00936733"/>
    <w:rsid w:val="00937243"/>
    <w:rsid w:val="00941B1A"/>
    <w:rsid w:val="009438A8"/>
    <w:rsid w:val="00944BB8"/>
    <w:rsid w:val="009455CC"/>
    <w:rsid w:val="00946534"/>
    <w:rsid w:val="00947D91"/>
    <w:rsid w:val="00947DB1"/>
    <w:rsid w:val="00952B02"/>
    <w:rsid w:val="00953B15"/>
    <w:rsid w:val="00953CFA"/>
    <w:rsid w:val="00953ED7"/>
    <w:rsid w:val="009543EE"/>
    <w:rsid w:val="00961502"/>
    <w:rsid w:val="00963350"/>
    <w:rsid w:val="00963AB5"/>
    <w:rsid w:val="00964774"/>
    <w:rsid w:val="00964F65"/>
    <w:rsid w:val="00965891"/>
    <w:rsid w:val="00965C0E"/>
    <w:rsid w:val="00966E7C"/>
    <w:rsid w:val="00970392"/>
    <w:rsid w:val="00970E4E"/>
    <w:rsid w:val="00971D26"/>
    <w:rsid w:val="009725C8"/>
    <w:rsid w:val="00973503"/>
    <w:rsid w:val="0097445D"/>
    <w:rsid w:val="00974C42"/>
    <w:rsid w:val="0097517E"/>
    <w:rsid w:val="00977548"/>
    <w:rsid w:val="0097770C"/>
    <w:rsid w:val="009805A1"/>
    <w:rsid w:val="00982D1E"/>
    <w:rsid w:val="00983748"/>
    <w:rsid w:val="00984330"/>
    <w:rsid w:val="00984BB2"/>
    <w:rsid w:val="00985758"/>
    <w:rsid w:val="00985C16"/>
    <w:rsid w:val="00985C5E"/>
    <w:rsid w:val="00987648"/>
    <w:rsid w:val="00990455"/>
    <w:rsid w:val="00990947"/>
    <w:rsid w:val="00991D31"/>
    <w:rsid w:val="00993CD6"/>
    <w:rsid w:val="009946C1"/>
    <w:rsid w:val="00995F40"/>
    <w:rsid w:val="00995FA5"/>
    <w:rsid w:val="00996D4F"/>
    <w:rsid w:val="009A0E6E"/>
    <w:rsid w:val="009A1DF2"/>
    <w:rsid w:val="009A6149"/>
    <w:rsid w:val="009A67E1"/>
    <w:rsid w:val="009A6E22"/>
    <w:rsid w:val="009B0086"/>
    <w:rsid w:val="009B1351"/>
    <w:rsid w:val="009B23C3"/>
    <w:rsid w:val="009B2429"/>
    <w:rsid w:val="009B2569"/>
    <w:rsid w:val="009B3130"/>
    <w:rsid w:val="009B33E7"/>
    <w:rsid w:val="009B3FDD"/>
    <w:rsid w:val="009B43D6"/>
    <w:rsid w:val="009B51E4"/>
    <w:rsid w:val="009B5AF5"/>
    <w:rsid w:val="009B6436"/>
    <w:rsid w:val="009B6C3A"/>
    <w:rsid w:val="009B726B"/>
    <w:rsid w:val="009C1700"/>
    <w:rsid w:val="009C1E63"/>
    <w:rsid w:val="009C2076"/>
    <w:rsid w:val="009C3D1C"/>
    <w:rsid w:val="009C5A53"/>
    <w:rsid w:val="009C5B58"/>
    <w:rsid w:val="009D1323"/>
    <w:rsid w:val="009D24A5"/>
    <w:rsid w:val="009D2B42"/>
    <w:rsid w:val="009D30C5"/>
    <w:rsid w:val="009D3B55"/>
    <w:rsid w:val="009D42E8"/>
    <w:rsid w:val="009D54DD"/>
    <w:rsid w:val="009D5C29"/>
    <w:rsid w:val="009D7D1D"/>
    <w:rsid w:val="009E001E"/>
    <w:rsid w:val="009E04AB"/>
    <w:rsid w:val="009E2A57"/>
    <w:rsid w:val="009E4B4A"/>
    <w:rsid w:val="009F0111"/>
    <w:rsid w:val="009F10CC"/>
    <w:rsid w:val="009F1D45"/>
    <w:rsid w:val="009F3AF4"/>
    <w:rsid w:val="009F44C0"/>
    <w:rsid w:val="009F4848"/>
    <w:rsid w:val="009F48FB"/>
    <w:rsid w:val="009F6003"/>
    <w:rsid w:val="009F67E4"/>
    <w:rsid w:val="00A005E9"/>
    <w:rsid w:val="00A007F2"/>
    <w:rsid w:val="00A0089E"/>
    <w:rsid w:val="00A0243A"/>
    <w:rsid w:val="00A05AB1"/>
    <w:rsid w:val="00A05DEF"/>
    <w:rsid w:val="00A06C55"/>
    <w:rsid w:val="00A0768E"/>
    <w:rsid w:val="00A11474"/>
    <w:rsid w:val="00A127F7"/>
    <w:rsid w:val="00A13371"/>
    <w:rsid w:val="00A1421E"/>
    <w:rsid w:val="00A15634"/>
    <w:rsid w:val="00A158E0"/>
    <w:rsid w:val="00A15C76"/>
    <w:rsid w:val="00A17B41"/>
    <w:rsid w:val="00A208D0"/>
    <w:rsid w:val="00A21872"/>
    <w:rsid w:val="00A22568"/>
    <w:rsid w:val="00A23750"/>
    <w:rsid w:val="00A24179"/>
    <w:rsid w:val="00A2418D"/>
    <w:rsid w:val="00A24957"/>
    <w:rsid w:val="00A26C29"/>
    <w:rsid w:val="00A302B8"/>
    <w:rsid w:val="00A30CBA"/>
    <w:rsid w:val="00A31CEE"/>
    <w:rsid w:val="00A3472C"/>
    <w:rsid w:val="00A35FDD"/>
    <w:rsid w:val="00A36846"/>
    <w:rsid w:val="00A4176C"/>
    <w:rsid w:val="00A42300"/>
    <w:rsid w:val="00A42E31"/>
    <w:rsid w:val="00A43507"/>
    <w:rsid w:val="00A440D7"/>
    <w:rsid w:val="00A44366"/>
    <w:rsid w:val="00A4540A"/>
    <w:rsid w:val="00A47817"/>
    <w:rsid w:val="00A50B48"/>
    <w:rsid w:val="00A50F18"/>
    <w:rsid w:val="00A52995"/>
    <w:rsid w:val="00A5424F"/>
    <w:rsid w:val="00A54A86"/>
    <w:rsid w:val="00A551E2"/>
    <w:rsid w:val="00A56A82"/>
    <w:rsid w:val="00A56BE6"/>
    <w:rsid w:val="00A56C6E"/>
    <w:rsid w:val="00A60D5C"/>
    <w:rsid w:val="00A61240"/>
    <w:rsid w:val="00A61A84"/>
    <w:rsid w:val="00A646B7"/>
    <w:rsid w:val="00A648F9"/>
    <w:rsid w:val="00A656AC"/>
    <w:rsid w:val="00A66174"/>
    <w:rsid w:val="00A662DE"/>
    <w:rsid w:val="00A67A86"/>
    <w:rsid w:val="00A67D34"/>
    <w:rsid w:val="00A71B18"/>
    <w:rsid w:val="00A722FD"/>
    <w:rsid w:val="00A7254E"/>
    <w:rsid w:val="00A737F4"/>
    <w:rsid w:val="00A73A04"/>
    <w:rsid w:val="00A73F6B"/>
    <w:rsid w:val="00A759A9"/>
    <w:rsid w:val="00A75A46"/>
    <w:rsid w:val="00A76C85"/>
    <w:rsid w:val="00A81D43"/>
    <w:rsid w:val="00A82A89"/>
    <w:rsid w:val="00A84CEC"/>
    <w:rsid w:val="00A84F85"/>
    <w:rsid w:val="00A85028"/>
    <w:rsid w:val="00A86049"/>
    <w:rsid w:val="00A868E2"/>
    <w:rsid w:val="00A86A49"/>
    <w:rsid w:val="00A9082F"/>
    <w:rsid w:val="00A92ABA"/>
    <w:rsid w:val="00A946B4"/>
    <w:rsid w:val="00A94A4A"/>
    <w:rsid w:val="00A95141"/>
    <w:rsid w:val="00A9533A"/>
    <w:rsid w:val="00A95966"/>
    <w:rsid w:val="00A9596F"/>
    <w:rsid w:val="00A95AFE"/>
    <w:rsid w:val="00AA07CE"/>
    <w:rsid w:val="00AA1D15"/>
    <w:rsid w:val="00AA2CBB"/>
    <w:rsid w:val="00AA4C29"/>
    <w:rsid w:val="00AA6805"/>
    <w:rsid w:val="00AA733B"/>
    <w:rsid w:val="00AA7B19"/>
    <w:rsid w:val="00AB039C"/>
    <w:rsid w:val="00AB1830"/>
    <w:rsid w:val="00AB257C"/>
    <w:rsid w:val="00AB3495"/>
    <w:rsid w:val="00AB5986"/>
    <w:rsid w:val="00AB5C72"/>
    <w:rsid w:val="00AB621E"/>
    <w:rsid w:val="00AC042A"/>
    <w:rsid w:val="00AC1F06"/>
    <w:rsid w:val="00AC35DA"/>
    <w:rsid w:val="00AC3E17"/>
    <w:rsid w:val="00AC5A27"/>
    <w:rsid w:val="00AC6111"/>
    <w:rsid w:val="00AC6123"/>
    <w:rsid w:val="00AD16EF"/>
    <w:rsid w:val="00AD17F9"/>
    <w:rsid w:val="00AD261F"/>
    <w:rsid w:val="00AD31C3"/>
    <w:rsid w:val="00AD323C"/>
    <w:rsid w:val="00AD3B9A"/>
    <w:rsid w:val="00AD488E"/>
    <w:rsid w:val="00AD6CCB"/>
    <w:rsid w:val="00AE07AD"/>
    <w:rsid w:val="00AE1B12"/>
    <w:rsid w:val="00AE3819"/>
    <w:rsid w:val="00AF0A2F"/>
    <w:rsid w:val="00AF2D7A"/>
    <w:rsid w:val="00AF34E9"/>
    <w:rsid w:val="00AF418F"/>
    <w:rsid w:val="00AF501D"/>
    <w:rsid w:val="00AF5731"/>
    <w:rsid w:val="00AF60F6"/>
    <w:rsid w:val="00B01D63"/>
    <w:rsid w:val="00B0213C"/>
    <w:rsid w:val="00B03004"/>
    <w:rsid w:val="00B035ED"/>
    <w:rsid w:val="00B075E0"/>
    <w:rsid w:val="00B112C4"/>
    <w:rsid w:val="00B14A7B"/>
    <w:rsid w:val="00B14F53"/>
    <w:rsid w:val="00B15E16"/>
    <w:rsid w:val="00B169C6"/>
    <w:rsid w:val="00B16F1E"/>
    <w:rsid w:val="00B1799D"/>
    <w:rsid w:val="00B17F4D"/>
    <w:rsid w:val="00B20A56"/>
    <w:rsid w:val="00B20E32"/>
    <w:rsid w:val="00B22E31"/>
    <w:rsid w:val="00B25C94"/>
    <w:rsid w:val="00B260EF"/>
    <w:rsid w:val="00B26538"/>
    <w:rsid w:val="00B27614"/>
    <w:rsid w:val="00B32405"/>
    <w:rsid w:val="00B33409"/>
    <w:rsid w:val="00B35D10"/>
    <w:rsid w:val="00B3606E"/>
    <w:rsid w:val="00B377EE"/>
    <w:rsid w:val="00B37C34"/>
    <w:rsid w:val="00B41700"/>
    <w:rsid w:val="00B503A1"/>
    <w:rsid w:val="00B54539"/>
    <w:rsid w:val="00B546A7"/>
    <w:rsid w:val="00B62F2D"/>
    <w:rsid w:val="00B63DCD"/>
    <w:rsid w:val="00B64754"/>
    <w:rsid w:val="00B64FED"/>
    <w:rsid w:val="00B65E49"/>
    <w:rsid w:val="00B66C47"/>
    <w:rsid w:val="00B678AE"/>
    <w:rsid w:val="00B734A4"/>
    <w:rsid w:val="00B7373D"/>
    <w:rsid w:val="00B73B5E"/>
    <w:rsid w:val="00B7481B"/>
    <w:rsid w:val="00B7575B"/>
    <w:rsid w:val="00B75E88"/>
    <w:rsid w:val="00B76583"/>
    <w:rsid w:val="00B76B6D"/>
    <w:rsid w:val="00B81723"/>
    <w:rsid w:val="00B818D8"/>
    <w:rsid w:val="00B82283"/>
    <w:rsid w:val="00B8309A"/>
    <w:rsid w:val="00B8531E"/>
    <w:rsid w:val="00B85CE5"/>
    <w:rsid w:val="00B86123"/>
    <w:rsid w:val="00B877AE"/>
    <w:rsid w:val="00B90BA8"/>
    <w:rsid w:val="00B91688"/>
    <w:rsid w:val="00B9260B"/>
    <w:rsid w:val="00B92E98"/>
    <w:rsid w:val="00B95352"/>
    <w:rsid w:val="00B95B43"/>
    <w:rsid w:val="00B95B92"/>
    <w:rsid w:val="00B96EF2"/>
    <w:rsid w:val="00B97008"/>
    <w:rsid w:val="00BA025C"/>
    <w:rsid w:val="00BA05C3"/>
    <w:rsid w:val="00BA1AB3"/>
    <w:rsid w:val="00BA3190"/>
    <w:rsid w:val="00BA5D76"/>
    <w:rsid w:val="00BA7AE8"/>
    <w:rsid w:val="00BB0F72"/>
    <w:rsid w:val="00BB1611"/>
    <w:rsid w:val="00BB1893"/>
    <w:rsid w:val="00BB6BD3"/>
    <w:rsid w:val="00BB6E0A"/>
    <w:rsid w:val="00BB7F10"/>
    <w:rsid w:val="00BC30A4"/>
    <w:rsid w:val="00BC6253"/>
    <w:rsid w:val="00BC6E42"/>
    <w:rsid w:val="00BC7D90"/>
    <w:rsid w:val="00BD003A"/>
    <w:rsid w:val="00BD0A78"/>
    <w:rsid w:val="00BD2DA9"/>
    <w:rsid w:val="00BD2F15"/>
    <w:rsid w:val="00BD317C"/>
    <w:rsid w:val="00BD4012"/>
    <w:rsid w:val="00BD4C7C"/>
    <w:rsid w:val="00BD56EA"/>
    <w:rsid w:val="00BD571A"/>
    <w:rsid w:val="00BD5CBD"/>
    <w:rsid w:val="00BD63F8"/>
    <w:rsid w:val="00BD6CAF"/>
    <w:rsid w:val="00BD7E31"/>
    <w:rsid w:val="00BE153E"/>
    <w:rsid w:val="00BE15F2"/>
    <w:rsid w:val="00BE261A"/>
    <w:rsid w:val="00BE505A"/>
    <w:rsid w:val="00BF1AF8"/>
    <w:rsid w:val="00BF1B17"/>
    <w:rsid w:val="00BF236B"/>
    <w:rsid w:val="00BF2EC3"/>
    <w:rsid w:val="00BF34E0"/>
    <w:rsid w:val="00BF3950"/>
    <w:rsid w:val="00BF446B"/>
    <w:rsid w:val="00BF4FCC"/>
    <w:rsid w:val="00BF79CD"/>
    <w:rsid w:val="00C00466"/>
    <w:rsid w:val="00C01643"/>
    <w:rsid w:val="00C038A5"/>
    <w:rsid w:val="00C04333"/>
    <w:rsid w:val="00C05A89"/>
    <w:rsid w:val="00C144C8"/>
    <w:rsid w:val="00C15A9A"/>
    <w:rsid w:val="00C15AAA"/>
    <w:rsid w:val="00C168DB"/>
    <w:rsid w:val="00C16CFB"/>
    <w:rsid w:val="00C22309"/>
    <w:rsid w:val="00C2241D"/>
    <w:rsid w:val="00C229E0"/>
    <w:rsid w:val="00C23BB2"/>
    <w:rsid w:val="00C2696C"/>
    <w:rsid w:val="00C27D3C"/>
    <w:rsid w:val="00C33A1C"/>
    <w:rsid w:val="00C34369"/>
    <w:rsid w:val="00C37220"/>
    <w:rsid w:val="00C378F1"/>
    <w:rsid w:val="00C37AB3"/>
    <w:rsid w:val="00C41CA4"/>
    <w:rsid w:val="00C43F2E"/>
    <w:rsid w:val="00C45538"/>
    <w:rsid w:val="00C45FC0"/>
    <w:rsid w:val="00C462AC"/>
    <w:rsid w:val="00C466DC"/>
    <w:rsid w:val="00C51B5D"/>
    <w:rsid w:val="00C51DE5"/>
    <w:rsid w:val="00C523A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3E6D"/>
    <w:rsid w:val="00C74078"/>
    <w:rsid w:val="00C758B5"/>
    <w:rsid w:val="00C75E2D"/>
    <w:rsid w:val="00C7614F"/>
    <w:rsid w:val="00C76273"/>
    <w:rsid w:val="00C76560"/>
    <w:rsid w:val="00C7686A"/>
    <w:rsid w:val="00C76DE9"/>
    <w:rsid w:val="00C7749D"/>
    <w:rsid w:val="00C777D3"/>
    <w:rsid w:val="00C82CE3"/>
    <w:rsid w:val="00C855E6"/>
    <w:rsid w:val="00C86DB6"/>
    <w:rsid w:val="00C86E29"/>
    <w:rsid w:val="00C87E34"/>
    <w:rsid w:val="00C9025C"/>
    <w:rsid w:val="00C91E59"/>
    <w:rsid w:val="00C92E01"/>
    <w:rsid w:val="00C94AB2"/>
    <w:rsid w:val="00C94C99"/>
    <w:rsid w:val="00C9606B"/>
    <w:rsid w:val="00C97E2D"/>
    <w:rsid w:val="00CA1407"/>
    <w:rsid w:val="00CA18D6"/>
    <w:rsid w:val="00CA325A"/>
    <w:rsid w:val="00CA5759"/>
    <w:rsid w:val="00CA67D4"/>
    <w:rsid w:val="00CA6A16"/>
    <w:rsid w:val="00CA6DDE"/>
    <w:rsid w:val="00CA77DF"/>
    <w:rsid w:val="00CA7888"/>
    <w:rsid w:val="00CB0283"/>
    <w:rsid w:val="00CB0B83"/>
    <w:rsid w:val="00CB1C91"/>
    <w:rsid w:val="00CB3A7D"/>
    <w:rsid w:val="00CB3B5A"/>
    <w:rsid w:val="00CB4CD5"/>
    <w:rsid w:val="00CB6117"/>
    <w:rsid w:val="00CB630B"/>
    <w:rsid w:val="00CB6878"/>
    <w:rsid w:val="00CC26C6"/>
    <w:rsid w:val="00CC28F3"/>
    <w:rsid w:val="00CC41EB"/>
    <w:rsid w:val="00CC6F25"/>
    <w:rsid w:val="00CC706E"/>
    <w:rsid w:val="00CD11E2"/>
    <w:rsid w:val="00CD3014"/>
    <w:rsid w:val="00CD3056"/>
    <w:rsid w:val="00CD4B69"/>
    <w:rsid w:val="00CD5C49"/>
    <w:rsid w:val="00CD7FBD"/>
    <w:rsid w:val="00CE14FE"/>
    <w:rsid w:val="00CE2137"/>
    <w:rsid w:val="00CE24B5"/>
    <w:rsid w:val="00CE3AF5"/>
    <w:rsid w:val="00CE4C78"/>
    <w:rsid w:val="00CE4EFC"/>
    <w:rsid w:val="00CF0733"/>
    <w:rsid w:val="00CF5055"/>
    <w:rsid w:val="00CF715C"/>
    <w:rsid w:val="00CF7322"/>
    <w:rsid w:val="00D0010E"/>
    <w:rsid w:val="00D00687"/>
    <w:rsid w:val="00D00F45"/>
    <w:rsid w:val="00D00FC4"/>
    <w:rsid w:val="00D02DFE"/>
    <w:rsid w:val="00D03C8E"/>
    <w:rsid w:val="00D04A8E"/>
    <w:rsid w:val="00D063F6"/>
    <w:rsid w:val="00D06D5A"/>
    <w:rsid w:val="00D0799D"/>
    <w:rsid w:val="00D1089B"/>
    <w:rsid w:val="00D10B1E"/>
    <w:rsid w:val="00D126AA"/>
    <w:rsid w:val="00D13D16"/>
    <w:rsid w:val="00D15819"/>
    <w:rsid w:val="00D15B3C"/>
    <w:rsid w:val="00D16600"/>
    <w:rsid w:val="00D177CB"/>
    <w:rsid w:val="00D26305"/>
    <w:rsid w:val="00D26E74"/>
    <w:rsid w:val="00D312D4"/>
    <w:rsid w:val="00D32E5E"/>
    <w:rsid w:val="00D33A36"/>
    <w:rsid w:val="00D34DC0"/>
    <w:rsid w:val="00D402FC"/>
    <w:rsid w:val="00D406B0"/>
    <w:rsid w:val="00D4227C"/>
    <w:rsid w:val="00D42BF0"/>
    <w:rsid w:val="00D42C68"/>
    <w:rsid w:val="00D434D2"/>
    <w:rsid w:val="00D43E2F"/>
    <w:rsid w:val="00D45A12"/>
    <w:rsid w:val="00D50A3D"/>
    <w:rsid w:val="00D50D1D"/>
    <w:rsid w:val="00D513DF"/>
    <w:rsid w:val="00D5298B"/>
    <w:rsid w:val="00D535DB"/>
    <w:rsid w:val="00D5377E"/>
    <w:rsid w:val="00D544E8"/>
    <w:rsid w:val="00D55853"/>
    <w:rsid w:val="00D559B4"/>
    <w:rsid w:val="00D56E97"/>
    <w:rsid w:val="00D570F9"/>
    <w:rsid w:val="00D5795D"/>
    <w:rsid w:val="00D63119"/>
    <w:rsid w:val="00D63675"/>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872D9"/>
    <w:rsid w:val="00D9000A"/>
    <w:rsid w:val="00D91A6A"/>
    <w:rsid w:val="00D93383"/>
    <w:rsid w:val="00D9393A"/>
    <w:rsid w:val="00D968CA"/>
    <w:rsid w:val="00D96D85"/>
    <w:rsid w:val="00D9715E"/>
    <w:rsid w:val="00D97A66"/>
    <w:rsid w:val="00DA1DAD"/>
    <w:rsid w:val="00DA282E"/>
    <w:rsid w:val="00DA32F2"/>
    <w:rsid w:val="00DA4490"/>
    <w:rsid w:val="00DA46BF"/>
    <w:rsid w:val="00DA4775"/>
    <w:rsid w:val="00DA726A"/>
    <w:rsid w:val="00DA764E"/>
    <w:rsid w:val="00DB00CB"/>
    <w:rsid w:val="00DB0471"/>
    <w:rsid w:val="00DB1E70"/>
    <w:rsid w:val="00DB3357"/>
    <w:rsid w:val="00DB4284"/>
    <w:rsid w:val="00DB7229"/>
    <w:rsid w:val="00DC014C"/>
    <w:rsid w:val="00DC0405"/>
    <w:rsid w:val="00DC091F"/>
    <w:rsid w:val="00DC1D93"/>
    <w:rsid w:val="00DC2094"/>
    <w:rsid w:val="00DC3ED6"/>
    <w:rsid w:val="00DC549D"/>
    <w:rsid w:val="00DC56E7"/>
    <w:rsid w:val="00DC717C"/>
    <w:rsid w:val="00DC77CA"/>
    <w:rsid w:val="00DD0735"/>
    <w:rsid w:val="00DD2B14"/>
    <w:rsid w:val="00DD2EEC"/>
    <w:rsid w:val="00DD473D"/>
    <w:rsid w:val="00DD531F"/>
    <w:rsid w:val="00DD653A"/>
    <w:rsid w:val="00DD6811"/>
    <w:rsid w:val="00DD7BD2"/>
    <w:rsid w:val="00DD7BEF"/>
    <w:rsid w:val="00DE24A1"/>
    <w:rsid w:val="00DE3816"/>
    <w:rsid w:val="00DE4389"/>
    <w:rsid w:val="00DF296A"/>
    <w:rsid w:val="00DF327C"/>
    <w:rsid w:val="00DF3B71"/>
    <w:rsid w:val="00DF47BE"/>
    <w:rsid w:val="00DF4B59"/>
    <w:rsid w:val="00DF5714"/>
    <w:rsid w:val="00DF681E"/>
    <w:rsid w:val="00DF6836"/>
    <w:rsid w:val="00E00A15"/>
    <w:rsid w:val="00E00A2B"/>
    <w:rsid w:val="00E00D87"/>
    <w:rsid w:val="00E013F1"/>
    <w:rsid w:val="00E027F3"/>
    <w:rsid w:val="00E0294F"/>
    <w:rsid w:val="00E032DD"/>
    <w:rsid w:val="00E03533"/>
    <w:rsid w:val="00E0362D"/>
    <w:rsid w:val="00E036AA"/>
    <w:rsid w:val="00E05674"/>
    <w:rsid w:val="00E075E7"/>
    <w:rsid w:val="00E10712"/>
    <w:rsid w:val="00E13763"/>
    <w:rsid w:val="00E17EC8"/>
    <w:rsid w:val="00E21102"/>
    <w:rsid w:val="00E214B8"/>
    <w:rsid w:val="00E23E58"/>
    <w:rsid w:val="00E24026"/>
    <w:rsid w:val="00E24C8A"/>
    <w:rsid w:val="00E264F9"/>
    <w:rsid w:val="00E26F04"/>
    <w:rsid w:val="00E27548"/>
    <w:rsid w:val="00E27C39"/>
    <w:rsid w:val="00E33043"/>
    <w:rsid w:val="00E36B04"/>
    <w:rsid w:val="00E37886"/>
    <w:rsid w:val="00E37BD2"/>
    <w:rsid w:val="00E47905"/>
    <w:rsid w:val="00E4792B"/>
    <w:rsid w:val="00E52E9E"/>
    <w:rsid w:val="00E5304A"/>
    <w:rsid w:val="00E53644"/>
    <w:rsid w:val="00E5462B"/>
    <w:rsid w:val="00E55275"/>
    <w:rsid w:val="00E567CB"/>
    <w:rsid w:val="00E57110"/>
    <w:rsid w:val="00E577D3"/>
    <w:rsid w:val="00E57928"/>
    <w:rsid w:val="00E60FC8"/>
    <w:rsid w:val="00E63BBC"/>
    <w:rsid w:val="00E6437E"/>
    <w:rsid w:val="00E65102"/>
    <w:rsid w:val="00E651A3"/>
    <w:rsid w:val="00E651DE"/>
    <w:rsid w:val="00E666C1"/>
    <w:rsid w:val="00E66C6F"/>
    <w:rsid w:val="00E702BA"/>
    <w:rsid w:val="00E70A5E"/>
    <w:rsid w:val="00E72307"/>
    <w:rsid w:val="00E72EB0"/>
    <w:rsid w:val="00E74B0A"/>
    <w:rsid w:val="00E75BCB"/>
    <w:rsid w:val="00E76174"/>
    <w:rsid w:val="00E7627C"/>
    <w:rsid w:val="00E764C2"/>
    <w:rsid w:val="00E80144"/>
    <w:rsid w:val="00E80584"/>
    <w:rsid w:val="00E810FC"/>
    <w:rsid w:val="00E817A2"/>
    <w:rsid w:val="00E82487"/>
    <w:rsid w:val="00E82B03"/>
    <w:rsid w:val="00E84728"/>
    <w:rsid w:val="00E84CB8"/>
    <w:rsid w:val="00E84EE0"/>
    <w:rsid w:val="00E8549C"/>
    <w:rsid w:val="00E8610D"/>
    <w:rsid w:val="00E8692E"/>
    <w:rsid w:val="00E90C78"/>
    <w:rsid w:val="00E9147A"/>
    <w:rsid w:val="00E91C99"/>
    <w:rsid w:val="00E91E27"/>
    <w:rsid w:val="00E9281F"/>
    <w:rsid w:val="00E9440E"/>
    <w:rsid w:val="00E94945"/>
    <w:rsid w:val="00E94A60"/>
    <w:rsid w:val="00E95868"/>
    <w:rsid w:val="00E96583"/>
    <w:rsid w:val="00E97382"/>
    <w:rsid w:val="00E974A7"/>
    <w:rsid w:val="00E97567"/>
    <w:rsid w:val="00EA22D5"/>
    <w:rsid w:val="00EA33CB"/>
    <w:rsid w:val="00EA5D05"/>
    <w:rsid w:val="00EA5EA9"/>
    <w:rsid w:val="00EA6751"/>
    <w:rsid w:val="00EB084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17DF"/>
    <w:rsid w:val="00ED2B78"/>
    <w:rsid w:val="00ED61D8"/>
    <w:rsid w:val="00ED645C"/>
    <w:rsid w:val="00ED64F0"/>
    <w:rsid w:val="00ED678E"/>
    <w:rsid w:val="00ED72CE"/>
    <w:rsid w:val="00ED7A5F"/>
    <w:rsid w:val="00EE1CD9"/>
    <w:rsid w:val="00EE22FB"/>
    <w:rsid w:val="00EE435F"/>
    <w:rsid w:val="00EE66E0"/>
    <w:rsid w:val="00EE777A"/>
    <w:rsid w:val="00EE7B54"/>
    <w:rsid w:val="00EF1239"/>
    <w:rsid w:val="00EF12B8"/>
    <w:rsid w:val="00EF1FB2"/>
    <w:rsid w:val="00EF5035"/>
    <w:rsid w:val="00F00700"/>
    <w:rsid w:val="00F0204D"/>
    <w:rsid w:val="00F03E8D"/>
    <w:rsid w:val="00F049A0"/>
    <w:rsid w:val="00F0528A"/>
    <w:rsid w:val="00F062AF"/>
    <w:rsid w:val="00F06960"/>
    <w:rsid w:val="00F0713D"/>
    <w:rsid w:val="00F101F2"/>
    <w:rsid w:val="00F104FE"/>
    <w:rsid w:val="00F10B30"/>
    <w:rsid w:val="00F12CB3"/>
    <w:rsid w:val="00F12FF6"/>
    <w:rsid w:val="00F14C9B"/>
    <w:rsid w:val="00F2299B"/>
    <w:rsid w:val="00F25C9C"/>
    <w:rsid w:val="00F312EE"/>
    <w:rsid w:val="00F34312"/>
    <w:rsid w:val="00F34491"/>
    <w:rsid w:val="00F3464A"/>
    <w:rsid w:val="00F37B3A"/>
    <w:rsid w:val="00F437F0"/>
    <w:rsid w:val="00F44D42"/>
    <w:rsid w:val="00F472CC"/>
    <w:rsid w:val="00F5015C"/>
    <w:rsid w:val="00F5252A"/>
    <w:rsid w:val="00F545F3"/>
    <w:rsid w:val="00F55025"/>
    <w:rsid w:val="00F55229"/>
    <w:rsid w:val="00F5651F"/>
    <w:rsid w:val="00F56F34"/>
    <w:rsid w:val="00F57028"/>
    <w:rsid w:val="00F5769D"/>
    <w:rsid w:val="00F61806"/>
    <w:rsid w:val="00F632BB"/>
    <w:rsid w:val="00F65107"/>
    <w:rsid w:val="00F651A0"/>
    <w:rsid w:val="00F6557A"/>
    <w:rsid w:val="00F6592D"/>
    <w:rsid w:val="00F72547"/>
    <w:rsid w:val="00F742C9"/>
    <w:rsid w:val="00F75BFF"/>
    <w:rsid w:val="00F8193B"/>
    <w:rsid w:val="00F83188"/>
    <w:rsid w:val="00F837BB"/>
    <w:rsid w:val="00F83E3C"/>
    <w:rsid w:val="00F853BF"/>
    <w:rsid w:val="00F8597D"/>
    <w:rsid w:val="00F85C3F"/>
    <w:rsid w:val="00F86020"/>
    <w:rsid w:val="00F871A3"/>
    <w:rsid w:val="00F92104"/>
    <w:rsid w:val="00F93DEC"/>
    <w:rsid w:val="00F97DA6"/>
    <w:rsid w:val="00FA01C6"/>
    <w:rsid w:val="00FA1735"/>
    <w:rsid w:val="00FA449A"/>
    <w:rsid w:val="00FA6BA4"/>
    <w:rsid w:val="00FA7063"/>
    <w:rsid w:val="00FA7135"/>
    <w:rsid w:val="00FA79B3"/>
    <w:rsid w:val="00FB4B87"/>
    <w:rsid w:val="00FB544A"/>
    <w:rsid w:val="00FC0700"/>
    <w:rsid w:val="00FC0B9A"/>
    <w:rsid w:val="00FC2784"/>
    <w:rsid w:val="00FC2F6E"/>
    <w:rsid w:val="00FC2FA5"/>
    <w:rsid w:val="00FC36DC"/>
    <w:rsid w:val="00FC4DB4"/>
    <w:rsid w:val="00FC611D"/>
    <w:rsid w:val="00FC7134"/>
    <w:rsid w:val="00FC7EAB"/>
    <w:rsid w:val="00FD02FB"/>
    <w:rsid w:val="00FD213A"/>
    <w:rsid w:val="00FD30C8"/>
    <w:rsid w:val="00FD37B4"/>
    <w:rsid w:val="00FD3AB3"/>
    <w:rsid w:val="00FD3BC9"/>
    <w:rsid w:val="00FD5861"/>
    <w:rsid w:val="00FD5A33"/>
    <w:rsid w:val="00FD5F80"/>
    <w:rsid w:val="00FD6745"/>
    <w:rsid w:val="00FD6CC6"/>
    <w:rsid w:val="00FE0BEA"/>
    <w:rsid w:val="00FE0DA3"/>
    <w:rsid w:val="00FE1C93"/>
    <w:rsid w:val="00FF03AD"/>
    <w:rsid w:val="00FF3905"/>
    <w:rsid w:val="00FF4C60"/>
    <w:rsid w:val="00FF5608"/>
    <w:rsid w:val="00FF5CBB"/>
    <w:rsid w:val="00FF60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r="http://schemas.openxmlformats.org/officeDocument/2006/relationships" xmlns:w="http://schemas.openxmlformats.org/wordprocessingml/2006/main">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is.soybilgen@bahcesehir.edu.tr"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zumrut.imamoglu@bahcesehir.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4E028-F7D9-40D8-A809-E7273BDB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baris.soybilgen</cp:lastModifiedBy>
  <cp:revision>3</cp:revision>
  <cp:lastPrinted>2014-10-23T08:11:00Z</cp:lastPrinted>
  <dcterms:created xsi:type="dcterms:W3CDTF">2014-10-24T09:12:00Z</dcterms:created>
  <dcterms:modified xsi:type="dcterms:W3CDTF">2014-10-24T09:21:00Z</dcterms:modified>
</cp:coreProperties>
</file>