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4B" w:rsidRPr="00997EBC" w:rsidRDefault="00F809DC">
      <w:r>
        <w:pict>
          <v:shapetype id="_x0000_t202" coordsize="21600,21600" o:spt="202" path="m,l,21600r21600,l21600,xe">
            <v:stroke joinstyle="miter"/>
            <v:path gradientshapeok="t" o:connecttype="rect"/>
          </v:shapetype>
          <v:shape id="Text Box 7" o:spid="_x0000_s1026" type="#_x0000_t202" style="position:absolute;margin-left:408.35pt;margin-top:8.65pt;width:130.7pt;height:41.9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" stroked="f">
            <v:fill opacity="0"/>
            <v:textbox style="mso-next-textbox:#Text Box 7" inset="0,0,0,0">
              <w:txbxContent>
                <w:p w:rsidR="000D414B" w:rsidRDefault="000D414B" w:rsidP="000D414B">
                  <w:pPr>
                    <w:pStyle w:val="Heading3"/>
                    <w:rPr>
                      <w:color w:val="FFFFFF"/>
                      <w:sz w:val="22"/>
                      <w:szCs w:val="22"/>
                      <w:lang w:val="tr-TR"/>
                    </w:rPr>
                  </w:pPr>
                  <w:r>
                    <w:rPr>
                      <w:color w:val="FFFFFF"/>
                      <w:sz w:val="22"/>
                      <w:szCs w:val="22"/>
                    </w:rPr>
                    <w:t xml:space="preserve">    </w:t>
                  </w:r>
                  <w:r w:rsidR="000C0BB0">
                    <w:rPr>
                      <w:color w:val="FFFFFF"/>
                      <w:sz w:val="22"/>
                      <w:szCs w:val="22"/>
                    </w:rPr>
                    <w:t xml:space="preserve">09 </w:t>
                  </w:r>
                  <w:proofErr w:type="spellStart"/>
                  <w:r w:rsidR="00997EBC">
                    <w:rPr>
                      <w:color w:val="FFFFFF"/>
                      <w:sz w:val="22"/>
                      <w:szCs w:val="22"/>
                    </w:rPr>
                    <w:t>Eylül</w:t>
                  </w:r>
                  <w:proofErr w:type="spellEnd"/>
                  <w:r w:rsidR="00997EBC">
                    <w:rPr>
                      <w:color w:val="FFFFFF"/>
                      <w:sz w:val="22"/>
                      <w:szCs w:val="22"/>
                    </w:rPr>
                    <w:t xml:space="preserve"> </w:t>
                  </w:r>
                  <w:r>
                    <w:rPr>
                      <w:color w:val="FFFFFF"/>
                      <w:sz w:val="22"/>
                      <w:szCs w:val="22"/>
                      <w:lang w:val="tr-TR"/>
                    </w:rPr>
                    <w:t>2014</w:t>
                  </w:r>
                </w:p>
                <w:p w:rsidR="000D414B" w:rsidRDefault="000D414B" w:rsidP="000D414B"/>
              </w:txbxContent>
            </v:textbox>
          </v:shape>
        </w:pict>
      </w:r>
      <w:r>
        <w:pict>
          <v:shape id="Text Box 6" o:spid="_x0000_s1027" type="#_x0000_t202" style="position:absolute;margin-left:118.25pt;margin-top:-43.45pt;width:336.65pt;height:44.8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" stroked="f">
            <v:fill opacity="0"/>
            <v:textbox style="mso-next-textbox:#Text Box 6" inset="0,0,0,0">
              <w:txbxContent>
                <w:p w:rsidR="000D414B" w:rsidRPr="00526178" w:rsidRDefault="000D414B" w:rsidP="000D414B">
                  <w:pPr>
                    <w:pStyle w:val="Heading1"/>
                    <w:numPr>
                      <w:ilvl w:val="0"/>
                      <w:numId w:val="1"/>
                    </w:numPr>
                    <w:rPr>
                      <w:rFonts w:ascii="Times New Roman" w:hAnsi="Times New Roman" w:cs="Times New Roman"/>
                      <w:sz w:val="52"/>
                      <w:szCs w:val="52"/>
                    </w:rPr>
                  </w:pPr>
                  <w:r w:rsidRPr="00526178">
                    <w:rPr>
                      <w:rFonts w:ascii="Times New Roman" w:hAnsi="Times New Roman" w:cs="Times New Roman"/>
                      <w:sz w:val="52"/>
                      <w:szCs w:val="52"/>
                    </w:rPr>
                    <w:t>Ara</w:t>
                  </w:r>
                  <w:r>
                    <w:rPr>
                      <w:rFonts w:ascii="Times New Roman" w:hAnsi="Times New Roman" w:cs="Times New Roman"/>
                      <w:sz w:val="52"/>
                      <w:szCs w:val="52"/>
                    </w:rPr>
                    <w:t>ştırma</w:t>
                  </w:r>
                  <w:r w:rsidRPr="00526178">
                    <w:rPr>
                      <w:rFonts w:ascii="Times New Roman" w:hAnsi="Times New Roman" w:cs="Times New Roman"/>
                      <w:sz w:val="52"/>
                      <w:szCs w:val="52"/>
                    </w:rPr>
                    <w:t xml:space="preserve"> </w:t>
                  </w:r>
                  <w:r w:rsidRPr="00526178">
                    <w:rPr>
                      <w:rFonts w:ascii="Times New Roman" w:hAnsi="Times New Roman" w:cs="Times New Roman"/>
                      <w:sz w:val="52"/>
                      <w:szCs w:val="52"/>
                    </w:rPr>
                    <w:t xml:space="preserve">Notu </w:t>
                  </w:r>
                  <w:r w:rsidR="000C0BB0">
                    <w:rPr>
                      <w:rFonts w:ascii="Times New Roman" w:hAnsi="Times New Roman" w:cs="Times New Roman"/>
                      <w:sz w:val="52"/>
                      <w:szCs w:val="52"/>
                    </w:rPr>
                    <w:t>14/173</w:t>
                  </w:r>
                </w:p>
                <w:p w:rsidR="000D414B" w:rsidRPr="00526178" w:rsidRDefault="000D414B" w:rsidP="000D414B">
                  <w:pPr>
                    <w:pStyle w:val="Heading2"/>
                    <w:numPr>
                      <w:ilvl w:val="1"/>
                      <w:numId w:val="1"/>
                    </w:numPr>
                    <w:rPr>
                      <w:b w:val="0"/>
                      <w:bCs w:val="0"/>
                      <w:i w:val="0"/>
                      <w:iCs w:val="0"/>
                    </w:rPr>
                  </w:pPr>
                </w:p>
              </w:txbxContent>
            </v:textbox>
          </v:shape>
        </w:pict>
      </w:r>
      <w:r w:rsidR="000D414B" w:rsidRPr="00997EBC">
        <w:rPr>
          <w:noProof/>
        </w:rPr>
        <w:drawing>
          <wp:anchor distT="0" distB="0" distL="114300" distR="114300" simplePos="0" relativeHeight="251659264" behindDoc="1" locked="0" layoutInCell="1" allowOverlap="1" wp14:anchorId="2E827921" wp14:editId="5E6DC10D">
            <wp:simplePos x="0" y="0"/>
            <wp:positionH relativeFrom="column">
              <wp:posOffset>-880745</wp:posOffset>
            </wp:positionH>
            <wp:positionV relativeFrom="paragraph">
              <wp:posOffset>-860038</wp:posOffset>
            </wp:positionV>
            <wp:extent cx="7307608" cy="1327867"/>
            <wp:effectExtent l="19050" t="0" r="4445" b="0"/>
            <wp:wrapNone/>
            <wp:docPr id="8"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cstate="print"/>
                    <a:srcRect/>
                    <a:stretch>
                      <a:fillRect/>
                    </a:stretch>
                  </pic:blipFill>
                  <pic:spPr bwMode="auto">
                    <a:xfrm>
                      <a:off x="0" y="0"/>
                      <a:ext cx="7307608" cy="1327867"/>
                    </a:xfrm>
                    <a:prstGeom prst="rect">
                      <a:avLst/>
                    </a:prstGeom>
                    <a:noFill/>
                    <a:ln w="9525">
                      <a:noFill/>
                      <a:miter lim="800000"/>
                      <a:headEnd/>
                      <a:tailEnd/>
                    </a:ln>
                  </pic:spPr>
                </pic:pic>
              </a:graphicData>
            </a:graphic>
          </wp:anchor>
        </w:drawing>
      </w:r>
    </w:p>
    <w:p w:rsidR="00997EBC" w:rsidRDefault="00997EBC" w:rsidP="00EA61B8">
      <w:pPr>
        <w:rPr>
          <w:b/>
          <w:sz w:val="28"/>
          <w:szCs w:val="28"/>
        </w:rPr>
      </w:pPr>
    </w:p>
    <w:p w:rsidR="000D414B" w:rsidRPr="00997EBC" w:rsidRDefault="00997EBC" w:rsidP="00551415">
      <w:pPr>
        <w:jc w:val="center"/>
        <w:rPr>
          <w:b/>
          <w:sz w:val="32"/>
          <w:szCs w:val="32"/>
        </w:rPr>
      </w:pPr>
      <w:r w:rsidRPr="00997EBC">
        <w:rPr>
          <w:b/>
          <w:sz w:val="32"/>
          <w:szCs w:val="32"/>
        </w:rPr>
        <w:t>E</w:t>
      </w:r>
      <w:r w:rsidR="00551415" w:rsidRPr="00997EBC">
        <w:rPr>
          <w:b/>
          <w:sz w:val="32"/>
          <w:szCs w:val="32"/>
        </w:rPr>
        <w:t>KONOMİK KONJONKTÜR VE KAYIT DIŞI İSTİHDAMIN GELİŞİMİ</w:t>
      </w:r>
    </w:p>
    <w:p w:rsidR="00997EBC" w:rsidRDefault="000D414B" w:rsidP="00EA61B8">
      <w:pPr>
        <w:jc w:val="center"/>
        <w:rPr>
          <w:rFonts w:ascii="Arial" w:hAnsi="Arial" w:cs="Arial"/>
          <w:b/>
        </w:rPr>
      </w:pPr>
      <w:r w:rsidRPr="00997EBC">
        <w:rPr>
          <w:rFonts w:ascii="Arial" w:hAnsi="Arial" w:cs="Arial"/>
          <w:b/>
        </w:rPr>
        <w:t>Seyfettin Gürsel</w:t>
      </w:r>
      <w:r w:rsidRPr="00997EBC">
        <w:rPr>
          <w:rStyle w:val="FootnoteReference"/>
          <w:rFonts w:ascii="Arial" w:hAnsi="Arial" w:cs="Arial"/>
          <w:b/>
        </w:rPr>
        <w:footnoteReference w:customMarkFollows="1" w:id="1"/>
        <w:sym w:font="Symbol" w:char="F02A"/>
      </w:r>
      <w:r w:rsidRPr="00997EBC">
        <w:rPr>
          <w:rFonts w:ascii="Arial" w:hAnsi="Arial" w:cs="Arial"/>
          <w:b/>
        </w:rPr>
        <w:t>, Mine Durmaz</w:t>
      </w:r>
      <w:r w:rsidRPr="00997EBC">
        <w:rPr>
          <w:rStyle w:val="FootnoteReference"/>
          <w:rFonts w:ascii="Arial" w:hAnsi="Arial" w:cs="Arial"/>
          <w:b/>
        </w:rPr>
        <w:footnoteReference w:customMarkFollows="1" w:id="2"/>
        <w:t>**</w:t>
      </w:r>
    </w:p>
    <w:p w:rsidR="00EA61B8" w:rsidRPr="00997EBC" w:rsidRDefault="00EA61B8" w:rsidP="00EA61B8">
      <w:pPr>
        <w:jc w:val="center"/>
        <w:rPr>
          <w:rFonts w:ascii="Arial" w:hAnsi="Arial" w:cs="Arial"/>
          <w:b/>
        </w:rPr>
      </w:pPr>
    </w:p>
    <w:p w:rsidR="000D414B" w:rsidRPr="00EA61B8" w:rsidRDefault="000D414B" w:rsidP="00EA61B8">
      <w:pPr>
        <w:jc w:val="center"/>
        <w:rPr>
          <w:rFonts w:ascii="Arial" w:hAnsi="Arial" w:cs="Arial"/>
          <w:b/>
          <w:sz w:val="24"/>
          <w:szCs w:val="24"/>
        </w:rPr>
      </w:pPr>
      <w:r w:rsidRPr="00997EBC">
        <w:rPr>
          <w:rFonts w:ascii="Arial" w:hAnsi="Arial" w:cs="Arial"/>
          <w:b/>
          <w:sz w:val="24"/>
          <w:szCs w:val="24"/>
        </w:rPr>
        <w:t>Yönetici Özeti</w:t>
      </w:r>
    </w:p>
    <w:p w:rsidR="00997EBC" w:rsidRPr="00DD68C0" w:rsidRDefault="0081649E" w:rsidP="00997EBC">
      <w:pPr>
        <w:jc w:val="both"/>
      </w:pPr>
      <w:r>
        <w:t>Kayıt dışı istihdamı incelediğimiz bu üçüncü ve son araştırma notunda ücretli kayıt dışı istihdamın zaman içindeki seyrini inceliyoruz. Bundan önceki</w:t>
      </w:r>
      <w:r w:rsidR="00DD68C0">
        <w:t xml:space="preserve"> iki araştırma notunda kayıt dı</w:t>
      </w:r>
      <w:r>
        <w:t xml:space="preserve">şı istihdamın yapısal belirleyicileri ve bölgesel dağılımı üzerinde durmuştuk. </w:t>
      </w:r>
      <w:r w:rsidR="00DD68C0">
        <w:t>Sanayi ve hizmet istihdamı göreli olarak artıkça, istihdamın eğitim düzeyi yükseldikçe ve firma ölçekleri büyüdükçe kayıt dışı istihdamın gerilemekte olduğunu biliyoruz. Bununla birlikte</w:t>
      </w:r>
      <w:r w:rsidR="00D43457">
        <w:t>,</w:t>
      </w:r>
      <w:r w:rsidR="00DD68C0">
        <w:t xml:space="preserve"> ekonomik büyüme </w:t>
      </w:r>
      <w:r w:rsidR="00D43457">
        <w:t>ve</w:t>
      </w:r>
      <w:r w:rsidR="00DD68C0">
        <w:t xml:space="preserve"> istihdam artış temposunun</w:t>
      </w:r>
      <w:r w:rsidR="00D43457">
        <w:t>,</w:t>
      </w:r>
      <w:r w:rsidR="00DD68C0">
        <w:t xml:space="preserve"> kayıt dışılıkta gözlemlenen genel düşüşte d</w:t>
      </w:r>
      <w:r w:rsidR="008D4274">
        <w:t xml:space="preserve">algalı bir evrime neden olduğu </w:t>
      </w:r>
      <w:r w:rsidR="00DD68C0">
        <w:t xml:space="preserve">da </w:t>
      </w:r>
      <w:r w:rsidR="00D43457">
        <w:t>anlaşılıyor</w:t>
      </w:r>
      <w:r w:rsidR="00DD68C0">
        <w:t xml:space="preserve">. Yüksek büyüme ve yüksek istihdam kayıt </w:t>
      </w:r>
      <w:r w:rsidR="008D4274">
        <w:t>dışılıktaki</w:t>
      </w:r>
      <w:r w:rsidR="00DD68C0">
        <w:t xml:space="preserve"> gerilemeyi hızlandırırken, düşük büyüme ve düşük istihdam kayıt dışılıktaki iyileşmeyi durdurabiliyor. Son dönemde düşük büyümeye rağmen ücretli kayıt </w:t>
      </w:r>
      <w:r w:rsidR="008D4274">
        <w:t>dışılığın</w:t>
      </w:r>
      <w:r w:rsidR="00DD68C0">
        <w:t xml:space="preserve"> azalmaya devam etmesi</w:t>
      </w:r>
      <w:r w:rsidR="00D43457">
        <w:t>,</w:t>
      </w:r>
      <w:r w:rsidR="00DD68C0">
        <w:t xml:space="preserve"> </w:t>
      </w:r>
      <w:r w:rsidR="00D43457">
        <w:t>aynı</w:t>
      </w:r>
      <w:r w:rsidR="00DD68C0">
        <w:t xml:space="preserve"> dönemde </w:t>
      </w:r>
      <w:r w:rsidR="00D43457">
        <w:t xml:space="preserve">düşük büyümeye rağmen gözlemlenen </w:t>
      </w:r>
      <w:r w:rsidR="00DD68C0">
        <w:t xml:space="preserve">yüksek istihdam </w:t>
      </w:r>
      <w:r w:rsidR="00D43457">
        <w:t xml:space="preserve">artışına </w:t>
      </w:r>
      <w:r w:rsidR="00DD68C0">
        <w:t xml:space="preserve">bağlanabilir. Ancak son 6 ayda </w:t>
      </w:r>
      <w:r w:rsidR="00054732">
        <w:t>düşük büyüme ile birlikte istih</w:t>
      </w:r>
      <w:r w:rsidR="00DD68C0">
        <w:t>dam artışının da yavaşlaması</w:t>
      </w:r>
      <w:r w:rsidR="00054732">
        <w:t>nın</w:t>
      </w:r>
      <w:r w:rsidR="00DD68C0">
        <w:t>, kayıt dışılığın yönünü belirsizleştirdiği gözlemlenmektedir.</w:t>
      </w:r>
    </w:p>
    <w:p w:rsidR="008D2762" w:rsidRPr="00997EBC" w:rsidRDefault="00551415" w:rsidP="00997EBC">
      <w:pPr>
        <w:jc w:val="both"/>
        <w:rPr>
          <w:b/>
          <w:sz w:val="24"/>
          <w:szCs w:val="24"/>
        </w:rPr>
      </w:pPr>
      <w:r w:rsidRPr="00997EBC">
        <w:rPr>
          <w:b/>
          <w:sz w:val="24"/>
          <w:szCs w:val="24"/>
        </w:rPr>
        <w:t>K</w:t>
      </w:r>
      <w:r w:rsidR="008D2762" w:rsidRPr="00997EBC">
        <w:rPr>
          <w:b/>
          <w:sz w:val="24"/>
          <w:szCs w:val="24"/>
        </w:rPr>
        <w:t>ayıt dışılığın dönemsel gelişimi</w:t>
      </w:r>
      <w:r w:rsidR="00E27F6B" w:rsidRPr="00997EBC">
        <w:rPr>
          <w:b/>
          <w:sz w:val="24"/>
          <w:szCs w:val="24"/>
        </w:rPr>
        <w:t>:</w:t>
      </w:r>
      <w:r w:rsidR="00997EBC">
        <w:rPr>
          <w:b/>
          <w:sz w:val="24"/>
          <w:szCs w:val="24"/>
        </w:rPr>
        <w:t xml:space="preserve"> </w:t>
      </w:r>
      <w:r w:rsidR="00E27F6B" w:rsidRPr="00997EBC">
        <w:rPr>
          <w:b/>
          <w:sz w:val="24"/>
          <w:szCs w:val="24"/>
        </w:rPr>
        <w:t>2005 (1) - 2014 (2)</w:t>
      </w:r>
    </w:p>
    <w:p w:rsidR="00E27F6B" w:rsidRPr="00997EBC" w:rsidRDefault="00E27F6B" w:rsidP="00997EBC">
      <w:pPr>
        <w:jc w:val="both"/>
      </w:pPr>
      <w:r w:rsidRPr="00997EBC">
        <w:t>Kayıt dışı istihdam (SGK kaydı olmayan</w:t>
      </w:r>
      <w:r w:rsidR="00376FA4" w:rsidRPr="00997EBC">
        <w:t xml:space="preserve"> istihdam)</w:t>
      </w:r>
      <w:r w:rsidRPr="00997EBC">
        <w:t xml:space="preserve"> üzerine yayınladığımız bundan önceki iki araştırma notunda</w:t>
      </w:r>
      <w:r w:rsidR="00653ADC">
        <w:rPr>
          <w:rStyle w:val="FootnoteReference"/>
        </w:rPr>
        <w:footnoteReference w:id="3"/>
      </w:r>
      <w:r w:rsidR="009C4283">
        <w:t xml:space="preserve"> 20</w:t>
      </w:r>
      <w:r w:rsidRPr="00997EBC">
        <w:t>05 ile 2013 arasında kayıt dışı istihdamda gözlemlenen azalmanın çeşitli yapısal boyu</w:t>
      </w:r>
      <w:r w:rsidR="00997EBC">
        <w:t>t</w:t>
      </w:r>
      <w:r w:rsidRPr="00997EBC">
        <w:t>larını incele</w:t>
      </w:r>
      <w:r w:rsidR="00376FA4" w:rsidRPr="00997EBC">
        <w:t>dik</w:t>
      </w:r>
      <w:r w:rsidRPr="00997EBC">
        <w:t>. Özetle hatırlatmak gerekirse, kayıt dışı istihdamın toplam istihdam içindeki payında son sekiz yılda dik</w:t>
      </w:r>
      <w:r w:rsidR="00997EBC" w:rsidRPr="00997EBC">
        <w:t>k</w:t>
      </w:r>
      <w:r w:rsidRPr="00997EBC">
        <w:t>at</w:t>
      </w:r>
      <w:r w:rsidR="00997EBC" w:rsidRPr="00997EBC">
        <w:t>e</w:t>
      </w:r>
      <w:r w:rsidRPr="00997EBC">
        <w:t xml:space="preserve"> değer bir düşüş gerçekleşti. Bu iyileşmede ücretli istihdamın büyük çapta artması, aynı zamanda da yaratılan işlerin büyük </w:t>
      </w:r>
      <w:r w:rsidR="00997EBC" w:rsidRPr="00997EBC">
        <w:t>çoğunluluğunun</w:t>
      </w:r>
      <w:r w:rsidRPr="00997EBC">
        <w:t xml:space="preserve"> kayıtlı işler olması </w:t>
      </w:r>
      <w:r w:rsidR="00376FA4" w:rsidRPr="00997EBC">
        <w:t>önemli rol oynadı. Bir yandan</w:t>
      </w:r>
      <w:r w:rsidR="007C1678">
        <w:t>,</w:t>
      </w:r>
      <w:r w:rsidR="00376FA4" w:rsidRPr="00997EBC">
        <w:t xml:space="preserve"> sigorta primi teşviklerin ve sıkılaştırılan denetimlerin, diğer yandan </w:t>
      </w:r>
      <w:r w:rsidR="00997EBC" w:rsidRPr="00997EBC">
        <w:t>ortalama</w:t>
      </w:r>
      <w:r w:rsidR="00376FA4" w:rsidRPr="00997EBC">
        <w:t xml:space="preserve"> firma ölçeğinin büyümesi ve eğitim düzeyinin artması gibi yapısal faktörle</w:t>
      </w:r>
      <w:r w:rsidR="00997EBC">
        <w:t xml:space="preserve">rin kayıt dışı istihdamın azaltılmasında </w:t>
      </w:r>
      <w:r w:rsidR="00376FA4" w:rsidRPr="00997EBC">
        <w:t xml:space="preserve"> etkili oldukları anlaşılıyor.</w:t>
      </w:r>
    </w:p>
    <w:p w:rsidR="006828CC" w:rsidRDefault="00376FA4" w:rsidP="00E4189B">
      <w:pPr>
        <w:jc w:val="both"/>
      </w:pPr>
      <w:r w:rsidRPr="00E4189B">
        <w:t xml:space="preserve">Bu araştırma notunda ekonomik konjonktürün kayıt dışı istihdamın gelişiminde etkili olup olmadığını irdelemek istiyoruz. </w:t>
      </w:r>
      <w:r w:rsidR="008D4274">
        <w:t>TÜ</w:t>
      </w:r>
      <w:r w:rsidR="008D2762" w:rsidRPr="00E4189B">
        <w:t>İK Hanehalkı İşgücü aylık istatistiklerini kullanarak 2005</w:t>
      </w:r>
      <w:r w:rsidRPr="00E4189B">
        <w:t xml:space="preserve"> (1) – 2014 (2)</w:t>
      </w:r>
      <w:r w:rsidR="008D2762" w:rsidRPr="00E4189B">
        <w:t xml:space="preserve"> </w:t>
      </w:r>
      <w:r w:rsidR="009C4283">
        <w:t>döneminde</w:t>
      </w:r>
      <w:r w:rsidR="008D2762" w:rsidRPr="00E4189B">
        <w:t xml:space="preserve"> </w:t>
      </w:r>
      <w:r w:rsidRPr="00E4189B">
        <w:t>toplam</w:t>
      </w:r>
      <w:r w:rsidR="008D4274">
        <w:t xml:space="preserve"> istihdamda ve ücretli, maaşlı veya </w:t>
      </w:r>
      <w:r w:rsidRPr="00E4189B">
        <w:t>yevmiyeli (bundan böyle ücretli istihdam) istihdamda mevsim etkilerinden arındırılmış kayıt dış</w:t>
      </w:r>
      <w:r w:rsidR="00401C5B">
        <w:t>ı</w:t>
      </w:r>
      <w:r w:rsidRPr="00E4189B">
        <w:t xml:space="preserve">lık oranlarının seyrini incelediğimizde (Şekil 1) </w:t>
      </w:r>
      <w:r w:rsidR="008D2762" w:rsidRPr="00E4189B">
        <w:lastRenderedPageBreak/>
        <w:t xml:space="preserve">kayıt dışılıktaki azalmanın yeknesak olmadığını gözlemliyoruz. </w:t>
      </w:r>
      <w:r w:rsidR="00D73894" w:rsidRPr="00E4189B">
        <w:t>Daha önceki  notlarımızda yüksek kayıt dışılık oranlarına sahip kendi hesabına çalışanların ve ücretsiz aile işçilerin</w:t>
      </w:r>
      <w:r w:rsidR="009C4283">
        <w:t>in</w:t>
      </w:r>
      <w:r w:rsidR="00D73894" w:rsidRPr="00E4189B">
        <w:t xml:space="preserve"> kayıt dışılık oranlarında önemli bir düşüş gerçekleşmediğini belirtmiştik </w:t>
      </w:r>
      <w:r w:rsidR="007C1678" w:rsidRPr="00E4189B">
        <w:t>(20</w:t>
      </w:r>
      <w:r w:rsidR="00E4189B" w:rsidRPr="00E4189B">
        <w:t>13</w:t>
      </w:r>
      <w:r w:rsidR="007C1678" w:rsidRPr="00E4189B">
        <w:t xml:space="preserve"> yılında</w:t>
      </w:r>
      <w:r w:rsidR="00E4189B" w:rsidRPr="00E4189B">
        <w:t xml:space="preserve"> sırasıyla</w:t>
      </w:r>
      <w:r w:rsidR="007C1678" w:rsidRPr="00E4189B">
        <w:t xml:space="preserve"> </w:t>
      </w:r>
      <w:r w:rsidR="00E22939" w:rsidRPr="00E4189B">
        <w:t>yüzde 6</w:t>
      </w:r>
      <w:r w:rsidR="00E4189B" w:rsidRPr="00E4189B">
        <w:t xml:space="preserve">2,5 ve yüzde 91,9). </w:t>
      </w:r>
      <w:r w:rsidR="00D73894" w:rsidRPr="00E4189B">
        <w:t xml:space="preserve">Bu </w:t>
      </w:r>
      <w:r w:rsidR="00D73894" w:rsidRPr="00976205">
        <w:t>bakımdan</w:t>
      </w:r>
      <w:r w:rsidR="00E4189B" w:rsidRPr="00976205">
        <w:t>,</w:t>
      </w:r>
      <w:r w:rsidR="00D73894" w:rsidRPr="00976205">
        <w:t xml:space="preserve"> toplam kayıt dışılık ile ücretli kayıt dışılık oranlarının seyrinin </w:t>
      </w:r>
      <w:r w:rsidR="000568EA" w:rsidRPr="00976205">
        <w:t>bazı alt</w:t>
      </w:r>
      <w:r w:rsidR="00D73894" w:rsidRPr="00976205">
        <w:t xml:space="preserve"> dönem</w:t>
      </w:r>
      <w:r w:rsidR="000568EA" w:rsidRPr="00976205">
        <w:t>ler</w:t>
      </w:r>
      <w:r w:rsidR="00D73894" w:rsidRPr="00976205">
        <w:t>de farklılaşması doğaldır. Tarım istihdamının hızla azaldığı 2005-2007 döneminde toplam kayıt dışılık azalırken ücretli kayıt dışılığın yatay seyretmesi, buna karşılık tarım istihdamının belirgin şekilde artmaya başladığı 2008 ve sonrasında ücretli kayı</w:t>
      </w:r>
      <w:r w:rsidR="00E4189B" w:rsidRPr="00976205">
        <w:t>t</w:t>
      </w:r>
      <w:r w:rsidR="00D73894" w:rsidRPr="00976205">
        <w:t xml:space="preserve"> dışılık azalırken</w:t>
      </w:r>
      <w:r w:rsidR="00E4189B" w:rsidRPr="00976205">
        <w:t>,</w:t>
      </w:r>
      <w:r w:rsidR="00D73894" w:rsidRPr="00976205">
        <w:t xml:space="preserve"> toplam kayıt dışılığın yatay seyretmesi beklenen bir </w:t>
      </w:r>
      <w:r w:rsidR="00720508" w:rsidRPr="00976205">
        <w:t>olgudur</w:t>
      </w:r>
      <w:r w:rsidR="00D73894" w:rsidRPr="00976205">
        <w:t xml:space="preserve"> (Şekil 1).</w:t>
      </w:r>
    </w:p>
    <w:p w:rsidR="006828CC" w:rsidRDefault="006828CC" w:rsidP="006828CC">
      <w:pPr>
        <w:pStyle w:val="Caption"/>
        <w:keepNext/>
        <w:jc w:val="both"/>
      </w:pPr>
      <w:r w:rsidRPr="006828CC">
        <w:rPr>
          <w:color w:val="auto"/>
          <w:sz w:val="22"/>
          <w:szCs w:val="22"/>
        </w:rPr>
        <w:t xml:space="preserve">Şekil </w:t>
      </w:r>
      <w:r w:rsidR="004C2BEC" w:rsidRPr="006828CC">
        <w:rPr>
          <w:color w:val="auto"/>
          <w:sz w:val="22"/>
          <w:szCs w:val="22"/>
        </w:rPr>
        <w:fldChar w:fldCharType="begin"/>
      </w:r>
      <w:r w:rsidRPr="006828CC">
        <w:rPr>
          <w:color w:val="auto"/>
          <w:sz w:val="22"/>
          <w:szCs w:val="22"/>
        </w:rPr>
        <w:instrText xml:space="preserve"> SEQ Şekil \* ARABIC </w:instrText>
      </w:r>
      <w:r w:rsidR="004C2BEC" w:rsidRPr="006828CC">
        <w:rPr>
          <w:color w:val="auto"/>
          <w:sz w:val="22"/>
          <w:szCs w:val="22"/>
        </w:rPr>
        <w:fldChar w:fldCharType="separate"/>
      </w:r>
      <w:r w:rsidRPr="006828CC">
        <w:rPr>
          <w:color w:val="auto"/>
          <w:sz w:val="22"/>
          <w:szCs w:val="22"/>
        </w:rPr>
        <w:t>1</w:t>
      </w:r>
      <w:r w:rsidR="004C2BEC" w:rsidRPr="006828CC">
        <w:rPr>
          <w:color w:val="auto"/>
          <w:sz w:val="22"/>
          <w:szCs w:val="22"/>
        </w:rPr>
        <w:fldChar w:fldCharType="end"/>
      </w:r>
      <w:r w:rsidRPr="006828CC">
        <w:rPr>
          <w:color w:val="auto"/>
          <w:sz w:val="22"/>
          <w:szCs w:val="22"/>
        </w:rPr>
        <w:t xml:space="preserve"> : </w:t>
      </w:r>
      <w:r w:rsidRPr="00997EBC">
        <w:rPr>
          <w:color w:val="auto"/>
          <w:sz w:val="22"/>
          <w:szCs w:val="22"/>
        </w:rPr>
        <w:t>2005-2013 döneminde kayıt dışılık oranları (aylık, mevsim etkisinden arındırılmış)</w:t>
      </w:r>
    </w:p>
    <w:p w:rsidR="006828CC" w:rsidRDefault="001811D6" w:rsidP="006828CC">
      <w:pPr>
        <w:keepNext/>
        <w:jc w:val="both"/>
      </w:pPr>
      <w:r w:rsidRPr="001811D6">
        <w:rPr>
          <w:noProof/>
        </w:rPr>
        <w:drawing>
          <wp:inline distT="0" distB="0" distL="0" distR="0">
            <wp:extent cx="6343650" cy="43243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61D0F" w:rsidRDefault="006828CC" w:rsidP="0025587F">
      <w:pPr>
        <w:pStyle w:val="Caption"/>
        <w:rPr>
          <w:b w:val="0"/>
          <w:color w:val="auto"/>
        </w:rPr>
      </w:pPr>
      <w:r w:rsidRPr="006828CC">
        <w:rPr>
          <w:b w:val="0"/>
          <w:color w:val="auto"/>
        </w:rPr>
        <w:t xml:space="preserve">Kaynak: </w:t>
      </w:r>
      <w:r w:rsidR="008D4274">
        <w:rPr>
          <w:b w:val="0"/>
          <w:color w:val="auto"/>
        </w:rPr>
        <w:t>TÜ</w:t>
      </w:r>
      <w:r w:rsidRPr="00997EBC">
        <w:rPr>
          <w:b w:val="0"/>
          <w:color w:val="auto"/>
        </w:rPr>
        <w:t>İK Hanehalkı İşgücü İstatistikleri; BETAM</w:t>
      </w:r>
    </w:p>
    <w:p w:rsidR="0025587F" w:rsidRPr="00E4189B" w:rsidRDefault="0025587F" w:rsidP="0025587F">
      <w:pPr>
        <w:jc w:val="both"/>
      </w:pPr>
      <w:r w:rsidRPr="00E4189B">
        <w:t>Bu nedenle, ekonomik konjonktürün kayıt dışılık üzerindeki muhtemel etkilerini araştırmak için ücretli kayıt dışılığı esas almanın daha doğru olacağını düşünüyoruz.  2005 (1) – 2014 (2) döneminde ücretli kayıt dış</w:t>
      </w:r>
      <w:r w:rsidR="00401C5B">
        <w:t>ı</w:t>
      </w:r>
      <w:r w:rsidRPr="00E4189B">
        <w:t xml:space="preserve">lık oranının evrimi beş farklı alt döneme ayırabilir. Bu dönemler sırasıyla kayıt dışılıkta bir azalmanın olmadığı Ocak 2005-Ağustos 2006 dönemi, kayıt dışılığın azalmaya başladığı Eylül 2006- Temmuz 2008 dönemi, küresel krizin etkisiyle Türkiye ekonomisinin resesyona girmesiyle başlayan ve Nisan 2011’e kadar devam eden kayıt dışılıktaki iyileşmenin duraksadığı dönem, Mayıs 2011’den Kasım 2014’e kadar ücretli kayıt dışılıkta hızlı bir düşüşün gerçekleştiği dönem. Aralık 2013’ten Mayıs 2014’e son ve beşince alt döneminde kayıt dışılıkta yeni bir eğilimin temayüz edip etmediği tartışılabilir. Kasım 2013’de yüzde 18,4 ile tarihi dip noktasına ulaşan ücretli kayıt dışılık oranı artarak Ocak 2014’te yüzde 18,8’e yükselmiş ardından büyük bir sıçrama yaparak Şubat 2014’te yüzde 20,8’e </w:t>
      </w:r>
      <w:r w:rsidRPr="00E4189B">
        <w:lastRenderedPageBreak/>
        <w:t xml:space="preserve">yükselmiştir. Mart 2014’ten itibaren ılımlı bir düşüş eğilimi görülmektedir. Mayıs 2014’te ücretli kayıt dışılık oranı yüzde 19,7’ye gerilemiştir. </w:t>
      </w:r>
    </w:p>
    <w:p w:rsidR="0025587F" w:rsidRPr="0025587F" w:rsidRDefault="00EA61B8" w:rsidP="0025587F">
      <w:pPr>
        <w:jc w:val="both"/>
      </w:pPr>
      <w:r>
        <w:t>TÜİK’</w:t>
      </w:r>
      <w:r w:rsidR="0025587F" w:rsidRPr="006828CC">
        <w:t>in Şubat 2014’ten itibaren yayınladığı HİA verileri istihdam ve işsizliğin tanımında bazı değişiklikler yapmıştır</w:t>
      </w:r>
      <w:r w:rsidR="008D4274">
        <w:t>.</w:t>
      </w:r>
      <w:r w:rsidR="0025587F" w:rsidRPr="006828CC">
        <w:t xml:space="preserve"> Bu değişikliklerin zaman serilerinde bir miktar yukarı yönlü kayma yarattığı gözlemlenmektedir (bkz Betam İşgücü </w:t>
      </w:r>
      <w:r w:rsidR="00401C5B">
        <w:t>Piyasası Görünümü: Mayıs 2014).</w:t>
      </w:r>
      <w:r w:rsidR="0025587F" w:rsidRPr="006828CC">
        <w:rPr>
          <w:rStyle w:val="FootnoteReference"/>
        </w:rPr>
        <w:footnoteReference w:id="4"/>
      </w:r>
      <w:r w:rsidR="0025587F" w:rsidRPr="006828CC">
        <w:t xml:space="preserve"> Kayıt dış</w:t>
      </w:r>
      <w:r w:rsidR="008D4274">
        <w:t xml:space="preserve">ılık oranında Ocak’tan Şubat’a </w:t>
      </w:r>
      <w:r w:rsidR="0025587F" w:rsidRPr="006828CC">
        <w:t>yüzde</w:t>
      </w:r>
      <w:r w:rsidR="008D4274">
        <w:t xml:space="preserve"> 2</w:t>
      </w:r>
      <w:r w:rsidR="0025587F" w:rsidRPr="006828CC">
        <w:t xml:space="preserve"> puanlık sıçramanın bu değ</w:t>
      </w:r>
      <w:r w:rsidR="0025587F">
        <w:t>işikliği</w:t>
      </w:r>
      <w:r w:rsidR="0025587F" w:rsidRPr="006828CC">
        <w:t xml:space="preserve">n sonucu olarak ortaya çıkmış olması muhtemeldir. </w:t>
      </w:r>
      <w:r w:rsidR="0025587F">
        <w:t>Son üç</w:t>
      </w:r>
      <w:r w:rsidR="0025587F" w:rsidRPr="006828CC">
        <w:t xml:space="preserve"> y</w:t>
      </w:r>
      <w:r w:rsidR="0025587F">
        <w:t>ıl</w:t>
      </w:r>
      <w:r w:rsidR="0025587F" w:rsidRPr="006828CC">
        <w:t xml:space="preserve">dır gözlemlenen düşüşün </w:t>
      </w:r>
      <w:r w:rsidR="0025587F">
        <w:t>devam edip etmediğini</w:t>
      </w:r>
      <w:r w:rsidR="0025587F" w:rsidRPr="006828CC">
        <w:t xml:space="preserve"> anlamak için bir süre beklemek gerekecektir.</w:t>
      </w:r>
    </w:p>
    <w:p w:rsidR="00653ADC" w:rsidRPr="00997EBC" w:rsidRDefault="0077018D" w:rsidP="00653ADC">
      <w:pPr>
        <w:rPr>
          <w:b/>
          <w:sz w:val="24"/>
          <w:szCs w:val="24"/>
        </w:rPr>
      </w:pPr>
      <w:r>
        <w:rPr>
          <w:b/>
          <w:sz w:val="24"/>
          <w:szCs w:val="24"/>
        </w:rPr>
        <w:t>Ekonomik konjonktür</w:t>
      </w:r>
      <w:r w:rsidR="008D4274">
        <w:rPr>
          <w:b/>
          <w:sz w:val="24"/>
          <w:szCs w:val="24"/>
        </w:rPr>
        <w:t>-k</w:t>
      </w:r>
      <w:r w:rsidR="00653ADC" w:rsidRPr="00997EBC">
        <w:rPr>
          <w:b/>
          <w:sz w:val="24"/>
          <w:szCs w:val="24"/>
        </w:rPr>
        <w:t>ayıt dışılık ilişkisi</w:t>
      </w:r>
    </w:p>
    <w:p w:rsidR="00EA0309" w:rsidRDefault="00EA0309" w:rsidP="008D4274">
      <w:pPr>
        <w:jc w:val="both"/>
      </w:pPr>
      <w:r>
        <w:t>GSYH artış temposunun ücretli kayıt dışılık oranlarının seyrini etkileyip etkilemediği sorgulanabilir. Ancak GSYH artış temposunun yanı sıra ücretli istihdamın artış temposunun da kayıt dışılık üzerinde</w:t>
      </w:r>
      <w:r w:rsidR="008D4274">
        <w:t xml:space="preserve"> </w:t>
      </w:r>
      <w:r>
        <w:t>etkili olab</w:t>
      </w:r>
      <w:r w:rsidR="008D4274">
        <w:t>i</w:t>
      </w:r>
      <w:r>
        <w:t>l</w:t>
      </w:r>
      <w:r w:rsidR="008D4274">
        <w:t>e</w:t>
      </w:r>
      <w:r>
        <w:t>ceğini dikkate almak durum</w:t>
      </w:r>
      <w:r w:rsidR="008D4274">
        <w:t>u</w:t>
      </w:r>
      <w:r>
        <w:t>ndayız. Önceki araştırma notlarından görüldüğü gibi artan istihdamın önemli ölçüde kayıtlı olması kayıt dı</w:t>
      </w:r>
      <w:r w:rsidR="008D4274">
        <w:t>şı</w:t>
      </w:r>
      <w:r>
        <w:t xml:space="preserve">lık düzeyinin seyrini etkilemektedir. Şekil 2’de ücretli kayıt </w:t>
      </w:r>
      <w:r w:rsidR="008D4274">
        <w:t>dışılık</w:t>
      </w:r>
      <w:r>
        <w:t xml:space="preserve"> oranlarının seyri ile alt dönemler itibariyle ortalama GSYH ile ücretli istihdam artışları gösteriliyor. </w:t>
      </w:r>
    </w:p>
    <w:p w:rsidR="00DF4075" w:rsidRDefault="00EA0309" w:rsidP="008D4274">
      <w:pPr>
        <w:jc w:val="both"/>
      </w:pPr>
      <w:r>
        <w:t xml:space="preserve">Kayıt dışılık oranın azalmaya başladığı ilk dönemde GSYH yılda ortalama yüzde 5,8 artıyor. Bu dönemde ücretli istihdam artışı da oldukça yüksek bir tempoda (yüzde 4,8) seyrediyor. </w:t>
      </w:r>
      <w:r w:rsidR="00ED61F3">
        <w:t>Bu noktada b</w:t>
      </w:r>
      <w:r>
        <w:t xml:space="preserve">ir parantez açarak bu dönemde </w:t>
      </w:r>
      <w:r w:rsidR="00ED61F3">
        <w:t>adeta ekonomik motto haline gelen “istihdamsız büyüme”  iddialarının ne kadar temelsiz olduğunu bir kez daha hatırlatalım. Kayıt dışılığın duraksadığı ikinc</w:t>
      </w:r>
      <w:r w:rsidR="008D4274">
        <w:t>i alt dönem küresel krizin etkis</w:t>
      </w:r>
      <w:r w:rsidR="00ED61F3">
        <w:t>iyle GSYH’nın düştüğü ardından hızla toparland</w:t>
      </w:r>
      <w:r w:rsidR="00B22719">
        <w:t xml:space="preserve">ığı dönemi kapsıyor. Bu dönemde, </w:t>
      </w:r>
      <w:r w:rsidR="00ED61F3">
        <w:t>ortalama GSYH artışı yüzde 2,8’e, ücretli istihdam artışı da yüzde 3,8’e geril</w:t>
      </w:r>
      <w:r w:rsidR="00D0661C">
        <w:t>emiştir</w:t>
      </w:r>
      <w:r w:rsidR="00ED61F3">
        <w:t xml:space="preserve">. </w:t>
      </w:r>
      <w:r w:rsidR="00D0661C">
        <w:t>Bununla birlikte</w:t>
      </w:r>
      <w:r w:rsidR="00ED61F3">
        <w:t xml:space="preserve"> ücretli istihdam artışının GSYH artışının üzerine çıkması</w:t>
      </w:r>
      <w:r w:rsidR="00D0661C">
        <w:t>nın</w:t>
      </w:r>
      <w:r w:rsidR="00ED61F3">
        <w:t xml:space="preserve"> esas olarak iki nedenden kaynaklandığını biliyoruz: Birinci neden, firmaların bu dönemde üretimlerini kıssalar da krizin uzun sürmeyeceği düşüncesiyle</w:t>
      </w:r>
      <w:r w:rsidR="00D0661C">
        <w:t>, aynı zamanda da</w:t>
      </w:r>
      <w:r w:rsidR="00ED61F3">
        <w:t xml:space="preserve"> işten çıkarma maliyetlerini hesaba katarak istihdamlarını önemli ölçüde korumayı tercih etmeleridir</w:t>
      </w:r>
      <w:r w:rsidR="00ED61F3" w:rsidRPr="003256CB">
        <w:t xml:space="preserve">. Bu dönemde hükümetin </w:t>
      </w:r>
      <w:r w:rsidR="00B22719" w:rsidRPr="003256CB">
        <w:t>istihdamı</w:t>
      </w:r>
      <w:r w:rsidR="00ED61F3" w:rsidRPr="003256CB">
        <w:t xml:space="preserve"> korumaya yönelik teşvik politikası da kısmen etkili olmuştur. İkinci neden ise</w:t>
      </w:r>
      <w:r w:rsidR="00D0661C" w:rsidRPr="003256CB">
        <w:t xml:space="preserve">, </w:t>
      </w:r>
      <w:r w:rsidR="00ED61F3" w:rsidRPr="003256CB">
        <w:t xml:space="preserve"> krizlerde görülen “ek çalışan etkisiyle” </w:t>
      </w:r>
      <w:r w:rsidR="00D0661C" w:rsidRPr="003256CB">
        <w:t xml:space="preserve">ücretli kadın </w:t>
      </w:r>
      <w:r w:rsidR="00B22719" w:rsidRPr="003256CB">
        <w:t>istihdamında</w:t>
      </w:r>
      <w:r w:rsidR="00D0661C" w:rsidRPr="003256CB">
        <w:t xml:space="preserve"> meydana gelen artıştır </w:t>
      </w:r>
      <w:r w:rsidR="003256CB" w:rsidRPr="003256CB">
        <w:t xml:space="preserve">(bkz Betam Araştırma Notu </w:t>
      </w:r>
      <w:r w:rsidR="00FE1DE8">
        <w:t xml:space="preserve"> 14/</w:t>
      </w:r>
      <w:r w:rsidR="003256CB" w:rsidRPr="003256CB">
        <w:t>160)</w:t>
      </w:r>
      <w:r w:rsidR="003256CB">
        <w:t>.</w:t>
      </w:r>
      <w:r w:rsidR="003256CB">
        <w:rPr>
          <w:rStyle w:val="FootnoteReference"/>
        </w:rPr>
        <w:footnoteReference w:id="5"/>
      </w:r>
      <w:r w:rsidR="00ED61F3">
        <w:t xml:space="preserve"> </w:t>
      </w:r>
    </w:p>
    <w:p w:rsidR="000F4891" w:rsidRDefault="00D0661C" w:rsidP="00E02588">
      <w:pPr>
        <w:jc w:val="both"/>
      </w:pPr>
      <w:r>
        <w:t xml:space="preserve">Üçüncü ve son alt dönem GSYH artışının hızla düştüğü buna karşılık ücretli istihdam artışlarının </w:t>
      </w:r>
      <w:r w:rsidR="00F85588">
        <w:t xml:space="preserve">özellikle hizmet sektöründe </w:t>
      </w:r>
      <w:r>
        <w:t xml:space="preserve">çok yüksek olduğu </w:t>
      </w:r>
      <w:r w:rsidR="00585E3B">
        <w:t>bir dönemdir.</w:t>
      </w:r>
      <w:r w:rsidR="00F85588">
        <w:t xml:space="preserve"> 2011’in son çeyreğinden itibaren büyüme düşm</w:t>
      </w:r>
      <w:r w:rsidR="00B22719">
        <w:t>e</w:t>
      </w:r>
      <w:r w:rsidR="00F85588">
        <w:t>ye başlamış ve son üç yılda ortalama yüzde 3,9 olmuştur. Buna karşılık ücretli istihdam artışı rekor düzeyde artarak yüzde 5,5’e yükselmiştir.</w:t>
      </w:r>
      <w:r w:rsidR="00B22719">
        <w:rPr>
          <w:rStyle w:val="FootnoteReference"/>
        </w:rPr>
        <w:footnoteReference w:id="6"/>
      </w:r>
      <w:r w:rsidR="00F85588">
        <w:t xml:space="preserve"> Düşük büyüme temposuna rağmen kayıt dış</w:t>
      </w:r>
      <w:r w:rsidR="00401C5B">
        <w:t>ı</w:t>
      </w:r>
      <w:r w:rsidR="00F85588">
        <w:t>lık oranlarının bu dönemde hı</w:t>
      </w:r>
      <w:r w:rsidR="00E02588">
        <w:t>zla azalmasında, yapısal faktör</w:t>
      </w:r>
      <w:r w:rsidR="00F85588">
        <w:t>l</w:t>
      </w:r>
      <w:r w:rsidR="00E02588">
        <w:t>erdeki iyileşmelerin yanı sıra ola</w:t>
      </w:r>
      <w:r w:rsidR="00F85588">
        <w:t xml:space="preserve">ğanüstü yüksek </w:t>
      </w:r>
      <w:r w:rsidR="00437AFD">
        <w:t xml:space="preserve">kayıtlı </w:t>
      </w:r>
      <w:r w:rsidR="00F85588">
        <w:t xml:space="preserve">istihdam artışlarının </w:t>
      </w:r>
      <w:r w:rsidR="0025587F">
        <w:t>payı olduğu tahmin edilebilir.</w:t>
      </w:r>
    </w:p>
    <w:p w:rsidR="00C46D97" w:rsidRPr="00C46D97" w:rsidRDefault="008D2762" w:rsidP="00C46D97">
      <w:pPr>
        <w:pStyle w:val="Caption"/>
        <w:keepNext/>
      </w:pPr>
      <w:r w:rsidRPr="00997EBC">
        <w:rPr>
          <w:color w:val="auto"/>
          <w:sz w:val="22"/>
          <w:szCs w:val="22"/>
        </w:rPr>
        <w:lastRenderedPageBreak/>
        <w:t xml:space="preserve">Şekil </w:t>
      </w:r>
      <w:r w:rsidR="002160BD" w:rsidRPr="00997EBC">
        <w:rPr>
          <w:color w:val="auto"/>
          <w:sz w:val="22"/>
          <w:szCs w:val="22"/>
        </w:rPr>
        <w:t>2</w:t>
      </w:r>
      <w:r w:rsidRPr="00997EBC">
        <w:rPr>
          <w:color w:val="auto"/>
          <w:sz w:val="22"/>
          <w:szCs w:val="22"/>
        </w:rPr>
        <w:t>: 2005 ve 2013 Büyüme</w:t>
      </w:r>
      <w:r w:rsidR="00E04AB4">
        <w:rPr>
          <w:color w:val="auto"/>
          <w:sz w:val="22"/>
          <w:szCs w:val="22"/>
        </w:rPr>
        <w:t>, ücretli istihdam</w:t>
      </w:r>
      <w:r w:rsidR="009A0DD4">
        <w:rPr>
          <w:color w:val="auto"/>
          <w:sz w:val="22"/>
          <w:szCs w:val="22"/>
        </w:rPr>
        <w:t xml:space="preserve"> artışı</w:t>
      </w:r>
      <w:r w:rsidR="00E04AB4">
        <w:rPr>
          <w:color w:val="auto"/>
          <w:sz w:val="22"/>
          <w:szCs w:val="22"/>
        </w:rPr>
        <w:t xml:space="preserve"> </w:t>
      </w:r>
      <w:r w:rsidRPr="00997EBC">
        <w:rPr>
          <w:color w:val="auto"/>
          <w:sz w:val="22"/>
          <w:szCs w:val="22"/>
        </w:rPr>
        <w:t xml:space="preserve"> ve kayıt dışılık oranları (</w:t>
      </w:r>
      <w:r w:rsidRPr="00FE1DE8">
        <w:rPr>
          <w:color w:val="auto"/>
          <w:sz w:val="22"/>
          <w:szCs w:val="22"/>
        </w:rPr>
        <w:t>me</w:t>
      </w:r>
      <w:r w:rsidR="00C46D97" w:rsidRPr="00FE1DE8">
        <w:rPr>
          <w:color w:val="auto"/>
          <w:sz w:val="22"/>
          <w:szCs w:val="22"/>
        </w:rPr>
        <w:t>vsimsellikten arındırılmış</w:t>
      </w:r>
      <w:r w:rsidRPr="00FE1DE8">
        <w:rPr>
          <w:color w:val="auto"/>
          <w:sz w:val="22"/>
          <w:szCs w:val="22"/>
        </w:rPr>
        <w:t>)</w:t>
      </w:r>
      <w:r w:rsidR="000F4891" w:rsidRPr="00FE1DE8">
        <w:rPr>
          <w:rStyle w:val="FootnoteReference"/>
          <w:color w:val="auto"/>
          <w:sz w:val="22"/>
          <w:szCs w:val="22"/>
        </w:rPr>
        <w:footnoteReference w:id="7"/>
      </w:r>
    </w:p>
    <w:p w:rsidR="00C46D97" w:rsidRPr="00C46D97" w:rsidRDefault="00EA61B8" w:rsidP="00EA61B8">
      <w:pPr>
        <w:spacing w:after="0" w:line="240" w:lineRule="auto"/>
        <w:ind w:left="-993"/>
      </w:pPr>
      <w:r>
        <w:rPr>
          <w:noProof/>
        </w:rPr>
        <w:drawing>
          <wp:inline distT="0" distB="0" distL="0" distR="0" wp14:anchorId="4BD15120" wp14:editId="38221A8F">
            <wp:extent cx="7048500" cy="4257675"/>
            <wp:effectExtent l="0" t="0" r="0" b="0"/>
            <wp:docPr id="5" name="Picture 4" descr="büyüme şek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üyüme şekil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48500" cy="4257675"/>
                    </a:xfrm>
                    <a:prstGeom prst="rect">
                      <a:avLst/>
                    </a:prstGeom>
                  </pic:spPr>
                </pic:pic>
              </a:graphicData>
            </a:graphic>
          </wp:inline>
        </w:drawing>
      </w:r>
    </w:p>
    <w:p w:rsidR="00EA61B8" w:rsidRPr="00E6560B" w:rsidRDefault="00EA61B8" w:rsidP="00EA61B8">
      <w:pPr>
        <w:pStyle w:val="Caption"/>
        <w:rPr>
          <w:noProof/>
        </w:rPr>
      </w:pPr>
      <w:r w:rsidRPr="00997EBC">
        <w:rPr>
          <w:b w:val="0"/>
          <w:color w:val="auto"/>
        </w:rPr>
        <w:t>Kaynak: TUİK Hanehalkı İşgücü İstatistikleri; BETA</w:t>
      </w:r>
      <w:r>
        <w:rPr>
          <w:b w:val="0"/>
          <w:color w:val="auto"/>
        </w:rPr>
        <w:t>M</w:t>
      </w:r>
    </w:p>
    <w:p w:rsidR="0025587F" w:rsidRDefault="006528E2" w:rsidP="00EA61B8">
      <w:pPr>
        <w:jc w:val="both"/>
      </w:pPr>
      <w:r>
        <w:t xml:space="preserve">Özetleyecek olursak, </w:t>
      </w:r>
      <w:r w:rsidR="00AB1BA8">
        <w:t xml:space="preserve">ekonomik konjonktürün başlıca göstergeleri olarak </w:t>
      </w:r>
      <w:r>
        <w:t xml:space="preserve">GSYH </w:t>
      </w:r>
      <w:r w:rsidR="00AB1BA8">
        <w:t>ile istihdam artış tempoları</w:t>
      </w:r>
      <w:r>
        <w:t xml:space="preserve"> </w:t>
      </w:r>
      <w:r w:rsidR="00AB1BA8">
        <w:t xml:space="preserve">birlikte dikkate alındığında, </w:t>
      </w:r>
      <w:r w:rsidR="001C4093">
        <w:t xml:space="preserve">bu değişkenlerin </w:t>
      </w:r>
      <w:r w:rsidR="00AB1BA8">
        <w:t xml:space="preserve">yapısal </w:t>
      </w:r>
      <w:r w:rsidR="001C4093">
        <w:t>değişkenlerin</w:t>
      </w:r>
      <w:r w:rsidR="00AB1BA8">
        <w:t xml:space="preserve"> yanı sıra ücretli kayıt </w:t>
      </w:r>
      <w:r w:rsidR="00C46D97">
        <w:t>dışılığın</w:t>
      </w:r>
      <w:r w:rsidR="00AB1BA8">
        <w:t xml:space="preserve"> gelişimi üzerinde etkili oldukları anlaşılmaktadır. Bu etkinin boyutunu belirlemek için kuşkusuz daha derinlemesine analizlere ihtiyaç vardır. Bununla birlikte</w:t>
      </w:r>
      <w:r w:rsidR="00E01888">
        <w:t xml:space="preserve">, </w:t>
      </w:r>
      <w:r w:rsidR="00AB1BA8">
        <w:t>son 6 ayda düşük büyümenin yanı sıra istihdam artışının da yavaşlamaya başlaması</w:t>
      </w:r>
      <w:r w:rsidR="00E01888">
        <w:t xml:space="preserve"> dikkate alındığında, bu etkinin</w:t>
      </w:r>
      <w:r w:rsidR="00AB1BA8">
        <w:t xml:space="preserve"> ücretli kayıt dışılığın gerilemesini yavaşlat</w:t>
      </w:r>
      <w:r w:rsidR="00E01888">
        <w:t>ması</w:t>
      </w:r>
      <w:r w:rsidR="00AB1BA8">
        <w:t>, hatta durdur</w:t>
      </w:r>
      <w:r w:rsidR="00E01888">
        <w:t>ması muhtemeldir</w:t>
      </w:r>
      <w:r w:rsidR="00AB1BA8">
        <w:t>. Nitekim son iki çeyrekte ücretli kayıt dışılık oranının yönü belirsizleşmiştir. Özellikle kadın erkek ayırımı dikkate alındığında ücretli kadın kayıt dışılık oranında belirgin bir artış gözlemlenmektedi</w:t>
      </w:r>
      <w:r w:rsidR="0025587F">
        <w:t>r.</w:t>
      </w:r>
    </w:p>
    <w:p w:rsidR="0025587F" w:rsidRDefault="0025587F" w:rsidP="0025587F">
      <w:pPr>
        <w:pStyle w:val="Caption"/>
        <w:keepNext/>
        <w:rPr>
          <w:color w:val="auto"/>
          <w:sz w:val="24"/>
          <w:szCs w:val="24"/>
        </w:rPr>
      </w:pPr>
      <w:r>
        <w:rPr>
          <w:color w:val="auto"/>
          <w:sz w:val="24"/>
          <w:szCs w:val="24"/>
        </w:rPr>
        <w:t>Ücretli kadınlarda kayıt dışılık artıyor</w:t>
      </w:r>
    </w:p>
    <w:p w:rsidR="0025587F" w:rsidRDefault="0025587F" w:rsidP="00C46D97">
      <w:pPr>
        <w:jc w:val="both"/>
      </w:pPr>
      <w:r>
        <w:t xml:space="preserve">Ücretli kayıt dışılık oranları cinsiyet ayrımında incelendiğinde erkek ve kadın kayıt dışılık oranlarının incelenen dönemde birlikte azalmış olmalarına karşın oldukça farklı bir seyir izledikleri görülmektedir (Şekil 3).  İlk dönemde ücretli erkek kayıt dışılık oranının üzerinde olan kadın kayıt dışılık oranı daha hızlı azalarak kriz öncesinde erkek kayıt dışılık düzeyini yakalamıştır. Bu gelişmede ücretli kadın istihdamının eğitim düzeyinin daha yüksek olmasının payı vardır. Krizde her iki kayıt dışılık oranı da yatay seyretmiş ancak hemen sonrasında kadın kayıt dışılık oranı erkek oranının üzerine çıkmıştır. </w:t>
      </w:r>
      <w:r>
        <w:lastRenderedPageBreak/>
        <w:t xml:space="preserve">Makas son iki yılda belirgin ölçüde azalmaya başlamıştır. Dahası son 6 ayda ücretli kadın kayıt dışılık oranının yükselme eğilimine girdiği gözlemlenmektedir. </w:t>
      </w:r>
    </w:p>
    <w:p w:rsidR="00653ADC" w:rsidRPr="00997EBC" w:rsidRDefault="003256CB" w:rsidP="00706E1B">
      <w:pPr>
        <w:ind w:left="-709"/>
      </w:pPr>
      <w:r>
        <w:rPr>
          <w:b/>
        </w:rPr>
        <w:tab/>
      </w:r>
      <w:r>
        <w:rPr>
          <w:b/>
        </w:rPr>
        <w:tab/>
      </w:r>
      <w:r w:rsidR="00653ADC" w:rsidRPr="00706E1B">
        <w:rPr>
          <w:b/>
        </w:rPr>
        <w:t>Şekil 3: 2005-2013 Ücretli,maaşlı veya yevmiyeli kadın</w:t>
      </w:r>
      <w:r w:rsidR="00C46D97">
        <w:rPr>
          <w:b/>
        </w:rPr>
        <w:t xml:space="preserve"> ve erkeklerde kayıt dışılık (aylık, mevsim </w:t>
      </w:r>
      <w:r>
        <w:rPr>
          <w:b/>
        </w:rPr>
        <w:tab/>
      </w:r>
      <w:r>
        <w:rPr>
          <w:b/>
        </w:rPr>
        <w:tab/>
      </w:r>
      <w:r w:rsidR="00C46D97">
        <w:rPr>
          <w:b/>
        </w:rPr>
        <w:t>etkisinden arındırılmış</w:t>
      </w:r>
      <w:r w:rsidR="00706E1B">
        <w:rPr>
          <w:b/>
        </w:rPr>
        <w:t>)</w:t>
      </w:r>
      <w:r w:rsidR="00653ADC" w:rsidRPr="00997EBC">
        <w:rPr>
          <w:noProof/>
        </w:rPr>
        <w:drawing>
          <wp:inline distT="0" distB="0" distL="0" distR="0">
            <wp:extent cx="5981700" cy="3905250"/>
            <wp:effectExtent l="0" t="0" r="0" b="0"/>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53ADC" w:rsidRPr="00997EBC" w:rsidRDefault="00653ADC" w:rsidP="00C61D0F">
      <w:pPr>
        <w:pStyle w:val="Caption"/>
        <w:rPr>
          <w:b w:val="0"/>
          <w:color w:val="auto"/>
        </w:rPr>
      </w:pPr>
      <w:r w:rsidRPr="00997EBC">
        <w:rPr>
          <w:b w:val="0"/>
          <w:color w:val="auto"/>
        </w:rPr>
        <w:t>Kaynak: TUİK Hanehalkı İşgücü İstatistikleri; BETAM</w:t>
      </w:r>
    </w:p>
    <w:p w:rsidR="000D414B" w:rsidRPr="00997EBC" w:rsidRDefault="00706E1B" w:rsidP="00EA61B8">
      <w:pPr>
        <w:jc w:val="both"/>
      </w:pPr>
      <w:r>
        <w:t>Bu farklılaşmanın nedenlerini daha ayrıntılı analizi hak ediyor. Anc</w:t>
      </w:r>
      <w:r w:rsidR="00EA61B8">
        <w:t xml:space="preserve">ak bu işe girişmeden önce kayıt </w:t>
      </w:r>
      <w:r>
        <w:t>dışılık oranlarının yönünün belirginleşmesi gerekiyor. Bunun için de biraz zamana ihtiyaç var. Şimdilik son dönemde kadın istihdamında görülen büyük artışın önemli ölçüde düşük eğitimli (lise altı) kadın istihdamından kaynaklandığını hatırlatalım</w:t>
      </w:r>
      <w:r w:rsidR="003256CB">
        <w:t xml:space="preserve"> </w:t>
      </w:r>
      <w:r w:rsidR="003256CB" w:rsidRPr="003256CB">
        <w:t xml:space="preserve">(bkz Betam Araştırma Notu </w:t>
      </w:r>
      <w:r w:rsidR="00FE1DE8">
        <w:t>14/</w:t>
      </w:r>
      <w:r w:rsidR="003256CB" w:rsidRPr="003256CB">
        <w:t>160</w:t>
      </w:r>
      <w:r>
        <w:t>.</w:t>
      </w:r>
      <w:r w:rsidR="003256CB">
        <w:t>)</w:t>
      </w:r>
      <w:bookmarkStart w:id="0" w:name="_GoBack"/>
      <w:bookmarkEnd w:id="0"/>
      <w:r w:rsidR="003256CB">
        <w:rPr>
          <w:rStyle w:val="FootnoteReference"/>
        </w:rPr>
        <w:footnoteReference w:id="8"/>
      </w:r>
      <w:r>
        <w:t xml:space="preserve"> Bu istisnai gelişme</w:t>
      </w:r>
      <w:r w:rsidR="009A0DD4">
        <w:t>nin</w:t>
      </w:r>
      <w:r>
        <w:t xml:space="preserve"> kadın kayıt dışılık oranında görülen artışta  pay sahibi olduğu kuşkusuzdur. </w:t>
      </w:r>
    </w:p>
    <w:p w:rsidR="00275D6B" w:rsidRPr="00997EBC" w:rsidRDefault="00F809DC"/>
    <w:sectPr w:rsidR="00275D6B" w:rsidRPr="00997EBC" w:rsidSect="000D414B">
      <w:footerReference w:type="defaul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9DC" w:rsidRDefault="00F809DC" w:rsidP="000D414B">
      <w:pPr>
        <w:spacing w:after="0" w:line="240" w:lineRule="auto"/>
      </w:pPr>
      <w:r>
        <w:separator/>
      </w:r>
    </w:p>
  </w:endnote>
  <w:endnote w:type="continuationSeparator" w:id="0">
    <w:p w:rsidR="00F809DC" w:rsidRDefault="00F809DC" w:rsidP="000D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0837"/>
      <w:docPartObj>
        <w:docPartGallery w:val="Page Numbers (Bottom of Page)"/>
        <w:docPartUnique/>
      </w:docPartObj>
    </w:sdtPr>
    <w:sdtEndPr/>
    <w:sdtContent>
      <w:p w:rsidR="00997EBC" w:rsidRDefault="004C2BEC">
        <w:pPr>
          <w:pStyle w:val="Footer"/>
          <w:jc w:val="right"/>
        </w:pPr>
        <w:r>
          <w:fldChar w:fldCharType="begin"/>
        </w:r>
        <w:r w:rsidR="00AC6996">
          <w:instrText xml:space="preserve"> PAGE   \* MERGEFORMAT </w:instrText>
        </w:r>
        <w:r>
          <w:fldChar w:fldCharType="separate"/>
        </w:r>
        <w:r w:rsidR="00401C5B">
          <w:rPr>
            <w:noProof/>
          </w:rPr>
          <w:t>1</w:t>
        </w:r>
        <w:r>
          <w:rPr>
            <w:noProof/>
          </w:rPr>
          <w:fldChar w:fldCharType="end"/>
        </w:r>
      </w:p>
    </w:sdtContent>
  </w:sdt>
  <w:p w:rsidR="00997EBC" w:rsidRDefault="00997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9DC" w:rsidRDefault="00F809DC" w:rsidP="000D414B">
      <w:pPr>
        <w:spacing w:after="0" w:line="240" w:lineRule="auto"/>
      </w:pPr>
      <w:r>
        <w:separator/>
      </w:r>
    </w:p>
  </w:footnote>
  <w:footnote w:type="continuationSeparator" w:id="0">
    <w:p w:rsidR="00F809DC" w:rsidRDefault="00F809DC" w:rsidP="000D414B">
      <w:pPr>
        <w:spacing w:after="0" w:line="240" w:lineRule="auto"/>
      </w:pPr>
      <w:r>
        <w:continuationSeparator/>
      </w:r>
    </w:p>
  </w:footnote>
  <w:footnote w:id="1">
    <w:p w:rsidR="00EA61B8" w:rsidRPr="00EA61B8" w:rsidRDefault="000D414B" w:rsidP="000D414B">
      <w:pPr>
        <w:pStyle w:val="FootnoteText"/>
        <w:rPr>
          <w:sz w:val="18"/>
          <w:szCs w:val="18"/>
        </w:rPr>
      </w:pPr>
      <w:r w:rsidRPr="00EA61B8">
        <w:rPr>
          <w:rStyle w:val="FootnoteReference"/>
          <w:sz w:val="18"/>
          <w:szCs w:val="18"/>
        </w:rPr>
        <w:sym w:font="Symbol" w:char="F02A"/>
      </w:r>
      <w:r w:rsidRPr="00EA61B8">
        <w:rPr>
          <w:sz w:val="18"/>
          <w:szCs w:val="18"/>
        </w:rPr>
        <w:t xml:space="preserve"> Prof. Dr. Seyfettin Gürsel, Betam, Direktör, </w:t>
      </w:r>
      <w:hyperlink r:id="rId1" w:history="1">
        <w:r w:rsidRPr="00EA61B8">
          <w:rPr>
            <w:rStyle w:val="Hyperlink"/>
            <w:sz w:val="18"/>
            <w:szCs w:val="18"/>
          </w:rPr>
          <w:t>seyfettin.gursel@eas.bahcesehir.edu.tr</w:t>
        </w:r>
      </w:hyperlink>
    </w:p>
  </w:footnote>
  <w:footnote w:id="2">
    <w:p w:rsidR="00653ADC" w:rsidRDefault="000D414B" w:rsidP="000D414B">
      <w:pPr>
        <w:pStyle w:val="FootnoteText"/>
        <w:rPr>
          <w:sz w:val="18"/>
          <w:szCs w:val="18"/>
        </w:rPr>
      </w:pPr>
      <w:r w:rsidRPr="00EA61B8">
        <w:rPr>
          <w:rStyle w:val="FootnoteReference"/>
          <w:sz w:val="18"/>
          <w:szCs w:val="18"/>
        </w:rPr>
        <w:t>**</w:t>
      </w:r>
      <w:r w:rsidRPr="00EA61B8">
        <w:rPr>
          <w:sz w:val="18"/>
          <w:szCs w:val="18"/>
        </w:rPr>
        <w:t xml:space="preserve">Mine Durmaz, Betam, Araştırma Görevlisi, </w:t>
      </w:r>
      <w:hyperlink r:id="rId2" w:history="1">
        <w:r w:rsidR="00EA61B8" w:rsidRPr="006A6581">
          <w:rPr>
            <w:rStyle w:val="Hyperlink"/>
            <w:sz w:val="18"/>
            <w:szCs w:val="18"/>
          </w:rPr>
          <w:t>mine.durmaz@eas.bahcesehir.edu.tr</w:t>
        </w:r>
      </w:hyperlink>
    </w:p>
    <w:p w:rsidR="00EA61B8" w:rsidRPr="00EA61B8" w:rsidRDefault="00EA61B8" w:rsidP="000D414B">
      <w:pPr>
        <w:pStyle w:val="FootnoteText"/>
        <w:rPr>
          <w:sz w:val="18"/>
          <w:szCs w:val="18"/>
        </w:rPr>
      </w:pPr>
    </w:p>
  </w:footnote>
  <w:footnote w:id="3">
    <w:p w:rsidR="00653ADC" w:rsidRPr="00EA61B8" w:rsidRDefault="00653ADC" w:rsidP="00653ADC">
      <w:pPr>
        <w:pStyle w:val="FootnoteText"/>
        <w:rPr>
          <w:sz w:val="18"/>
          <w:szCs w:val="18"/>
        </w:rPr>
      </w:pPr>
      <w:r w:rsidRPr="00EA61B8">
        <w:rPr>
          <w:rStyle w:val="FootnoteReference"/>
          <w:sz w:val="18"/>
          <w:szCs w:val="18"/>
        </w:rPr>
        <w:footnoteRef/>
      </w:r>
      <w:r w:rsidRPr="00EA61B8">
        <w:rPr>
          <w:sz w:val="18"/>
          <w:szCs w:val="18"/>
        </w:rPr>
        <w:t xml:space="preserve"> </w:t>
      </w:r>
      <w:r w:rsidRPr="00EA61B8">
        <w:rPr>
          <w:sz w:val="18"/>
          <w:szCs w:val="18"/>
        </w:rPr>
        <w:t>Gürsel S. ve Durmaz M. (2014) “Kayıt dışı istihdam son sekiz</w:t>
      </w:r>
      <w:r w:rsidR="00401C5B">
        <w:rPr>
          <w:sz w:val="18"/>
          <w:szCs w:val="18"/>
        </w:rPr>
        <w:t xml:space="preserve"> yılda azaldı”, Araştırma Notu No.</w:t>
      </w:r>
      <w:r w:rsidRPr="00EA61B8">
        <w:rPr>
          <w:sz w:val="18"/>
          <w:szCs w:val="18"/>
        </w:rPr>
        <w:t xml:space="preserve"> </w:t>
      </w:r>
      <w:r w:rsidR="00401C5B">
        <w:rPr>
          <w:sz w:val="18"/>
          <w:szCs w:val="18"/>
        </w:rPr>
        <w:t>14/</w:t>
      </w:r>
      <w:r w:rsidRPr="00EA61B8">
        <w:rPr>
          <w:sz w:val="18"/>
          <w:szCs w:val="18"/>
        </w:rPr>
        <w:t>171, Bahçeşehir Üniversitesi Ekonomik ve Toplumsal Araştırmalar Merkezi (BETAM).</w:t>
      </w:r>
    </w:p>
    <w:p w:rsidR="00653ADC" w:rsidRPr="00EA61B8" w:rsidRDefault="00653ADC" w:rsidP="00653ADC">
      <w:pPr>
        <w:pStyle w:val="FootnoteText"/>
        <w:rPr>
          <w:sz w:val="18"/>
          <w:szCs w:val="18"/>
        </w:rPr>
      </w:pPr>
      <w:r w:rsidRPr="00EA61B8">
        <w:rPr>
          <w:sz w:val="18"/>
          <w:szCs w:val="18"/>
        </w:rPr>
        <w:t>http://betam.bahcesehir.edu.tr/tr/wp-content/uploads/2014/08/ArastirmaNotu1711.pdf</w:t>
      </w:r>
    </w:p>
    <w:p w:rsidR="00653ADC" w:rsidRPr="00EA61B8" w:rsidRDefault="00653ADC" w:rsidP="00653ADC">
      <w:pPr>
        <w:pStyle w:val="FootnoteText"/>
        <w:rPr>
          <w:sz w:val="18"/>
          <w:szCs w:val="18"/>
        </w:rPr>
      </w:pPr>
      <w:r w:rsidRPr="00EA61B8">
        <w:rPr>
          <w:sz w:val="18"/>
          <w:szCs w:val="18"/>
        </w:rPr>
        <w:t>Gürsel S. ve Durmaz M. (2014) “Kayıt dışılıkta bö</w:t>
      </w:r>
      <w:r w:rsidR="00401C5B">
        <w:rPr>
          <w:sz w:val="18"/>
          <w:szCs w:val="18"/>
        </w:rPr>
        <w:t>lgesel uçurum”, Araştırma Notu No.</w:t>
      </w:r>
      <w:r w:rsidRPr="00EA61B8">
        <w:rPr>
          <w:sz w:val="18"/>
          <w:szCs w:val="18"/>
        </w:rPr>
        <w:t xml:space="preserve"> </w:t>
      </w:r>
      <w:r w:rsidR="00401C5B">
        <w:rPr>
          <w:sz w:val="18"/>
          <w:szCs w:val="18"/>
        </w:rPr>
        <w:t>14/</w:t>
      </w:r>
      <w:r w:rsidRPr="00EA61B8">
        <w:rPr>
          <w:sz w:val="18"/>
          <w:szCs w:val="18"/>
        </w:rPr>
        <w:t>172, Bahçeşehir Üniversitesi Ekonomik ve Toplumsal Araştırmalar Merkezi (BETAM).</w:t>
      </w:r>
    </w:p>
    <w:p w:rsidR="00653ADC" w:rsidRPr="00EA61B8" w:rsidRDefault="00653ADC" w:rsidP="00653ADC">
      <w:pPr>
        <w:pStyle w:val="FootnoteText"/>
        <w:rPr>
          <w:sz w:val="18"/>
          <w:szCs w:val="18"/>
        </w:rPr>
      </w:pPr>
      <w:r w:rsidRPr="00EA61B8">
        <w:rPr>
          <w:sz w:val="18"/>
          <w:szCs w:val="18"/>
        </w:rPr>
        <w:t>http://betam.bahcesehir.edu.tr/tr/wp-content/uploads/2014/09/ArastirmaNotu1721.pdf</w:t>
      </w:r>
    </w:p>
    <w:p w:rsidR="00653ADC" w:rsidRPr="00F23C25" w:rsidRDefault="00653ADC" w:rsidP="00653ADC">
      <w:pPr>
        <w:pStyle w:val="FootnoteText"/>
        <w:rPr>
          <w:sz w:val="16"/>
          <w:szCs w:val="16"/>
        </w:rPr>
      </w:pPr>
    </w:p>
    <w:p w:rsidR="00653ADC" w:rsidRDefault="00653ADC">
      <w:pPr>
        <w:pStyle w:val="FootnoteText"/>
      </w:pPr>
    </w:p>
  </w:footnote>
  <w:footnote w:id="4">
    <w:p w:rsidR="0025587F" w:rsidRDefault="0025587F" w:rsidP="0025587F">
      <w:pPr>
        <w:pStyle w:val="FootnoteText"/>
        <w:rPr>
          <w:sz w:val="18"/>
          <w:szCs w:val="18"/>
        </w:rPr>
      </w:pPr>
      <w:r w:rsidRPr="00E4189B">
        <w:rPr>
          <w:rStyle w:val="FootnoteReference"/>
          <w:sz w:val="18"/>
          <w:szCs w:val="18"/>
        </w:rPr>
        <w:footnoteRef/>
      </w:r>
      <w:r w:rsidRPr="00E4189B">
        <w:rPr>
          <w:sz w:val="18"/>
          <w:szCs w:val="18"/>
        </w:rPr>
        <w:t xml:space="preserve"> </w:t>
      </w:r>
      <w:r w:rsidRPr="00E4189B">
        <w:rPr>
          <w:sz w:val="18"/>
          <w:szCs w:val="18"/>
        </w:rPr>
        <w:t xml:space="preserve">Gürsel </w:t>
      </w:r>
      <w:r w:rsidRPr="00E4189B">
        <w:rPr>
          <w:sz w:val="18"/>
          <w:szCs w:val="18"/>
        </w:rPr>
        <w:t xml:space="preserve">S., Uysal G. ve Acar A. (2014). "İşsizlik yeniden hesaplandı", İşgücü Piyasası Görünümü Serisi : Mayıs 2014, </w:t>
      </w:r>
      <w:r>
        <w:rPr>
          <w:sz w:val="18"/>
          <w:szCs w:val="18"/>
        </w:rPr>
        <w:t xml:space="preserve">Bahçeşehir Üniversitesi Toplumsal ve Ekonomik Araştırmalar Merkezi (BETAM) </w:t>
      </w:r>
    </w:p>
    <w:p w:rsidR="00B22719" w:rsidRPr="00E4189B" w:rsidRDefault="0025587F" w:rsidP="0025587F">
      <w:pPr>
        <w:pStyle w:val="FootnoteText"/>
        <w:rPr>
          <w:sz w:val="18"/>
          <w:szCs w:val="18"/>
        </w:rPr>
      </w:pPr>
      <w:r w:rsidRPr="00E4189B">
        <w:rPr>
          <w:sz w:val="18"/>
          <w:szCs w:val="18"/>
        </w:rPr>
        <w:t>http://betam.bahcesehir.edu.tr/tr/wp-content/uploads/2014/05/IsgucuGorunum2014M05.pdf</w:t>
      </w:r>
    </w:p>
  </w:footnote>
  <w:footnote w:id="5">
    <w:p w:rsidR="003256CB" w:rsidRDefault="003256CB">
      <w:pPr>
        <w:pStyle w:val="FootnoteText"/>
      </w:pPr>
      <w:r>
        <w:rPr>
          <w:rStyle w:val="FootnoteReference"/>
        </w:rPr>
        <w:footnoteRef/>
      </w:r>
      <w:r>
        <w:t xml:space="preserve"> </w:t>
      </w:r>
      <w:r w:rsidRPr="00E4189B">
        <w:rPr>
          <w:sz w:val="18"/>
          <w:szCs w:val="18"/>
        </w:rPr>
        <w:t xml:space="preserve">Gürsel </w:t>
      </w:r>
      <w:r w:rsidRPr="00E4189B">
        <w:rPr>
          <w:sz w:val="18"/>
          <w:szCs w:val="18"/>
        </w:rPr>
        <w:t>S., Uysal G. ve Acar A. (2014).</w:t>
      </w:r>
      <w:r>
        <w:rPr>
          <w:sz w:val="18"/>
          <w:szCs w:val="18"/>
        </w:rPr>
        <w:t xml:space="preserve"> "Kadın işgücü piyasasında çarpıcı gelişmeler", Araştırma Notu No. </w:t>
      </w:r>
      <w:r w:rsidR="00401C5B">
        <w:rPr>
          <w:sz w:val="18"/>
          <w:szCs w:val="18"/>
        </w:rPr>
        <w:t>14/</w:t>
      </w:r>
      <w:r>
        <w:rPr>
          <w:sz w:val="18"/>
          <w:szCs w:val="18"/>
        </w:rPr>
        <w:t xml:space="preserve">160, Bahçeşehir Üniversitesi Toplumsal ve Ekonomik Araştırmalar Merkezi (BETAM). </w:t>
      </w:r>
    </w:p>
  </w:footnote>
  <w:footnote w:id="6">
    <w:p w:rsidR="00B22719" w:rsidRDefault="00B22719" w:rsidP="00B22719">
      <w:pPr>
        <w:pStyle w:val="EndnoteText"/>
        <w:rPr>
          <w:rFonts w:ascii="Times New Roman" w:eastAsia="Times New Roman" w:hAnsi="Times New Roman" w:cs="Times New Roman"/>
          <w:sz w:val="18"/>
          <w:szCs w:val="18"/>
          <w:lang w:eastAsia="ar-SA"/>
        </w:rPr>
      </w:pPr>
      <w:r>
        <w:rPr>
          <w:rStyle w:val="FootnoteReference"/>
        </w:rPr>
        <w:footnoteRef/>
      </w:r>
      <w:r>
        <w:t xml:space="preserve"> </w:t>
      </w:r>
      <w:r>
        <w:rPr>
          <w:rFonts w:ascii="Times New Roman" w:eastAsia="Times New Roman" w:hAnsi="Times New Roman" w:cs="Times New Roman"/>
          <w:sz w:val="18"/>
          <w:szCs w:val="18"/>
          <w:lang w:eastAsia="ar-SA"/>
        </w:rPr>
        <w:t>Yük</w:t>
      </w:r>
      <w:r w:rsidRPr="00B22719">
        <w:rPr>
          <w:rFonts w:ascii="Times New Roman" w:eastAsia="Times New Roman" w:hAnsi="Times New Roman" w:cs="Times New Roman"/>
          <w:sz w:val="18"/>
          <w:szCs w:val="18"/>
          <w:lang w:eastAsia="ar-SA"/>
        </w:rPr>
        <w:t xml:space="preserve">sek </w:t>
      </w:r>
      <w:r w:rsidRPr="00B22719">
        <w:rPr>
          <w:rFonts w:ascii="Times New Roman" w:eastAsia="Times New Roman" w:hAnsi="Times New Roman" w:cs="Times New Roman"/>
          <w:sz w:val="18"/>
          <w:szCs w:val="18"/>
          <w:lang w:eastAsia="ar-SA"/>
        </w:rPr>
        <w:t>istihdam artışı - Düşük büyüme bileşimi işsizlik ve tabi kayıt dışılık açısından olumlu olsa da emek verimliliği bu dönemde hiç artmamıştır</w:t>
      </w:r>
      <w:r w:rsidR="00E02588">
        <w:rPr>
          <w:rFonts w:ascii="Times New Roman" w:eastAsia="Times New Roman" w:hAnsi="Times New Roman" w:cs="Times New Roman"/>
          <w:sz w:val="18"/>
          <w:szCs w:val="18"/>
          <w:lang w:eastAsia="ar-SA"/>
        </w:rPr>
        <w:t>.</w:t>
      </w:r>
      <w:r w:rsidRPr="00B22719">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Daha detaylı bilgi için: Gürsel S. ve Soybilgen B. (2013). "Türkiye Orta Gelir Tuzağının Eşiğinde", Araştırma Notu No. </w:t>
      </w:r>
      <w:r w:rsidR="00401C5B">
        <w:rPr>
          <w:rFonts w:ascii="Times New Roman" w:eastAsia="Times New Roman" w:hAnsi="Times New Roman" w:cs="Times New Roman"/>
          <w:sz w:val="18"/>
          <w:szCs w:val="18"/>
          <w:lang w:eastAsia="ar-SA"/>
        </w:rPr>
        <w:t>13/</w:t>
      </w:r>
      <w:r>
        <w:rPr>
          <w:rFonts w:ascii="Times New Roman" w:eastAsia="Times New Roman" w:hAnsi="Times New Roman" w:cs="Times New Roman"/>
          <w:sz w:val="18"/>
          <w:szCs w:val="18"/>
          <w:lang w:eastAsia="ar-SA"/>
        </w:rPr>
        <w:t>154, BETAM )</w:t>
      </w:r>
    </w:p>
    <w:p w:rsidR="00B22719" w:rsidRPr="00B22719" w:rsidRDefault="00B22719" w:rsidP="00B22719">
      <w:pPr>
        <w:pStyle w:val="EndnoteText"/>
        <w:rPr>
          <w:rFonts w:ascii="Times New Roman" w:eastAsia="Times New Roman" w:hAnsi="Times New Roman" w:cs="Times New Roman"/>
          <w:sz w:val="18"/>
          <w:szCs w:val="18"/>
          <w:lang w:eastAsia="ar-SA"/>
        </w:rPr>
      </w:pPr>
      <w:r w:rsidRPr="00B22719">
        <w:rPr>
          <w:rFonts w:ascii="Times New Roman" w:eastAsia="Times New Roman" w:hAnsi="Times New Roman" w:cs="Times New Roman"/>
          <w:sz w:val="18"/>
          <w:szCs w:val="18"/>
          <w:lang w:eastAsia="ar-SA"/>
        </w:rPr>
        <w:t>http://betam.bahcesehir.edu.tr/tr/wp-content/uploads/2013/08/ArastirmaNotu154.pdf</w:t>
      </w:r>
      <w:r>
        <w:rPr>
          <w:rFonts w:ascii="Times New Roman" w:eastAsia="Times New Roman" w:hAnsi="Times New Roman" w:cs="Times New Roman"/>
          <w:sz w:val="18"/>
          <w:szCs w:val="18"/>
          <w:lang w:eastAsia="ar-SA"/>
        </w:rPr>
        <w:t xml:space="preserve"> </w:t>
      </w:r>
    </w:p>
    <w:p w:rsidR="00B22719" w:rsidRDefault="00B22719">
      <w:pPr>
        <w:pStyle w:val="FootnoteText"/>
      </w:pPr>
    </w:p>
  </w:footnote>
  <w:footnote w:id="7">
    <w:p w:rsidR="000F4891" w:rsidRPr="00EA61B8" w:rsidRDefault="000F4891">
      <w:pPr>
        <w:pStyle w:val="FootnoteText"/>
        <w:rPr>
          <w:sz w:val="18"/>
          <w:szCs w:val="18"/>
        </w:rPr>
      </w:pPr>
      <w:r w:rsidRPr="00EA61B8">
        <w:rPr>
          <w:rStyle w:val="FootnoteReference"/>
          <w:sz w:val="18"/>
          <w:szCs w:val="18"/>
        </w:rPr>
        <w:footnoteRef/>
      </w:r>
      <w:r w:rsidRPr="00EA61B8">
        <w:rPr>
          <w:sz w:val="18"/>
          <w:szCs w:val="18"/>
        </w:rPr>
        <w:t xml:space="preserve"> </w:t>
      </w:r>
      <w:r w:rsidRPr="00EA61B8">
        <w:rPr>
          <w:sz w:val="18"/>
          <w:szCs w:val="18"/>
        </w:rPr>
        <w:t xml:space="preserve">Grafikte </w:t>
      </w:r>
      <w:r w:rsidRPr="00EA61B8">
        <w:rPr>
          <w:sz w:val="18"/>
          <w:szCs w:val="18"/>
        </w:rPr>
        <w:t xml:space="preserve">belirtilen dönemlerde ücretli istihdam ve GSYH oranlarındaki ortalama büyüme oranları bir önceki yılın aynı çeyreğine göre büyüme oranlarının aritmetik ortalamasıdır. </w:t>
      </w:r>
    </w:p>
  </w:footnote>
  <w:footnote w:id="8">
    <w:p w:rsidR="003256CB" w:rsidRDefault="003256CB">
      <w:pPr>
        <w:pStyle w:val="FootnoteText"/>
      </w:pPr>
      <w:r>
        <w:rPr>
          <w:rStyle w:val="FootnoteReference"/>
        </w:rPr>
        <w:footnoteRef/>
      </w:r>
      <w:r>
        <w:t xml:space="preserve"> </w:t>
      </w:r>
      <w:r w:rsidRPr="00E4189B">
        <w:rPr>
          <w:sz w:val="18"/>
          <w:szCs w:val="18"/>
        </w:rPr>
        <w:t>Gürsel S., Uysal G. ve Acar A. (2014).</w:t>
      </w:r>
      <w:r>
        <w:rPr>
          <w:sz w:val="18"/>
          <w:szCs w:val="18"/>
        </w:rPr>
        <w:t xml:space="preserve"> "Kadın işgücü piyasasında çarpıcı gelişmeler", Araştırma Notu No. </w:t>
      </w:r>
      <w:r w:rsidR="00401C5B">
        <w:rPr>
          <w:sz w:val="18"/>
          <w:szCs w:val="18"/>
        </w:rPr>
        <w:t>14/</w:t>
      </w:r>
      <w:r>
        <w:rPr>
          <w:sz w:val="18"/>
          <w:szCs w:val="18"/>
        </w:rPr>
        <w:t>160, Bahçeşehir Üniversitesi Toplumsal ve Ekonomik Araştırmalar Merkezi (BETAM).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31ED0F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D414B"/>
    <w:rsid w:val="00006E6E"/>
    <w:rsid w:val="00043106"/>
    <w:rsid w:val="00043AB4"/>
    <w:rsid w:val="00054732"/>
    <w:rsid w:val="000568EA"/>
    <w:rsid w:val="000A288E"/>
    <w:rsid w:val="000A3935"/>
    <w:rsid w:val="000B4418"/>
    <w:rsid w:val="000C0BB0"/>
    <w:rsid w:val="000D414B"/>
    <w:rsid w:val="000F4891"/>
    <w:rsid w:val="000F5876"/>
    <w:rsid w:val="001811D6"/>
    <w:rsid w:val="0018245A"/>
    <w:rsid w:val="00184A26"/>
    <w:rsid w:val="00197090"/>
    <w:rsid w:val="001A3E86"/>
    <w:rsid w:val="001C4093"/>
    <w:rsid w:val="001C4A85"/>
    <w:rsid w:val="001E0047"/>
    <w:rsid w:val="001F5699"/>
    <w:rsid w:val="002160BD"/>
    <w:rsid w:val="00220C7D"/>
    <w:rsid w:val="00247602"/>
    <w:rsid w:val="0025587F"/>
    <w:rsid w:val="002640C6"/>
    <w:rsid w:val="0027374D"/>
    <w:rsid w:val="002E072E"/>
    <w:rsid w:val="003256CB"/>
    <w:rsid w:val="003434BF"/>
    <w:rsid w:val="003453B8"/>
    <w:rsid w:val="00376FA4"/>
    <w:rsid w:val="003771DC"/>
    <w:rsid w:val="00396E54"/>
    <w:rsid w:val="003D004E"/>
    <w:rsid w:val="00401C5B"/>
    <w:rsid w:val="00437AFD"/>
    <w:rsid w:val="004738CA"/>
    <w:rsid w:val="004749E3"/>
    <w:rsid w:val="004903F9"/>
    <w:rsid w:val="004935CB"/>
    <w:rsid w:val="004A44CF"/>
    <w:rsid w:val="004C2BEC"/>
    <w:rsid w:val="0050585C"/>
    <w:rsid w:val="0053407D"/>
    <w:rsid w:val="00551415"/>
    <w:rsid w:val="00585E3B"/>
    <w:rsid w:val="00586DE6"/>
    <w:rsid w:val="00622E03"/>
    <w:rsid w:val="00636541"/>
    <w:rsid w:val="006528E2"/>
    <w:rsid w:val="00653ADC"/>
    <w:rsid w:val="006571C6"/>
    <w:rsid w:val="006828CC"/>
    <w:rsid w:val="006A2D26"/>
    <w:rsid w:val="006F66F6"/>
    <w:rsid w:val="00706616"/>
    <w:rsid w:val="00706E1B"/>
    <w:rsid w:val="00720508"/>
    <w:rsid w:val="00730F82"/>
    <w:rsid w:val="0077018D"/>
    <w:rsid w:val="007C1678"/>
    <w:rsid w:val="007D3342"/>
    <w:rsid w:val="007E11EF"/>
    <w:rsid w:val="007E134C"/>
    <w:rsid w:val="00814D4B"/>
    <w:rsid w:val="0081649E"/>
    <w:rsid w:val="00865299"/>
    <w:rsid w:val="008A58E7"/>
    <w:rsid w:val="008D1D6B"/>
    <w:rsid w:val="008D2762"/>
    <w:rsid w:val="008D4274"/>
    <w:rsid w:val="009529DD"/>
    <w:rsid w:val="009652AD"/>
    <w:rsid w:val="00976205"/>
    <w:rsid w:val="00985ABD"/>
    <w:rsid w:val="00990B80"/>
    <w:rsid w:val="00997EBC"/>
    <w:rsid w:val="009A0DD4"/>
    <w:rsid w:val="009C4283"/>
    <w:rsid w:val="009E0CDE"/>
    <w:rsid w:val="00A254AD"/>
    <w:rsid w:val="00A4081F"/>
    <w:rsid w:val="00A53930"/>
    <w:rsid w:val="00A6380D"/>
    <w:rsid w:val="00A8475D"/>
    <w:rsid w:val="00A84E6E"/>
    <w:rsid w:val="00A852D4"/>
    <w:rsid w:val="00AA1988"/>
    <w:rsid w:val="00AB1BA8"/>
    <w:rsid w:val="00AC6996"/>
    <w:rsid w:val="00B22719"/>
    <w:rsid w:val="00B57839"/>
    <w:rsid w:val="00B83A32"/>
    <w:rsid w:val="00BB76DA"/>
    <w:rsid w:val="00BC13F2"/>
    <w:rsid w:val="00BC1B3A"/>
    <w:rsid w:val="00BE5862"/>
    <w:rsid w:val="00C06FAB"/>
    <w:rsid w:val="00C46D97"/>
    <w:rsid w:val="00C61D0F"/>
    <w:rsid w:val="00C67E26"/>
    <w:rsid w:val="00C75B49"/>
    <w:rsid w:val="00D0661C"/>
    <w:rsid w:val="00D43457"/>
    <w:rsid w:val="00D73894"/>
    <w:rsid w:val="00D92FAD"/>
    <w:rsid w:val="00DD68C0"/>
    <w:rsid w:val="00DF4075"/>
    <w:rsid w:val="00DF4E69"/>
    <w:rsid w:val="00DF6E52"/>
    <w:rsid w:val="00E01888"/>
    <w:rsid w:val="00E01ECD"/>
    <w:rsid w:val="00E02588"/>
    <w:rsid w:val="00E04AB4"/>
    <w:rsid w:val="00E14193"/>
    <w:rsid w:val="00E22939"/>
    <w:rsid w:val="00E27080"/>
    <w:rsid w:val="00E27F6B"/>
    <w:rsid w:val="00E4189B"/>
    <w:rsid w:val="00E45AF5"/>
    <w:rsid w:val="00E75450"/>
    <w:rsid w:val="00E80D90"/>
    <w:rsid w:val="00EA0309"/>
    <w:rsid w:val="00EA61B8"/>
    <w:rsid w:val="00ED61F3"/>
    <w:rsid w:val="00F10320"/>
    <w:rsid w:val="00F64D78"/>
    <w:rsid w:val="00F738CD"/>
    <w:rsid w:val="00F809DC"/>
    <w:rsid w:val="00F85588"/>
    <w:rsid w:val="00F94233"/>
    <w:rsid w:val="00FE1DE8"/>
    <w:rsid w:val="00FF3C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106"/>
  </w:style>
  <w:style w:type="paragraph" w:styleId="Heading1">
    <w:name w:val="heading 1"/>
    <w:basedOn w:val="Normal"/>
    <w:next w:val="Normal"/>
    <w:link w:val="Heading1Char"/>
    <w:uiPriority w:val="99"/>
    <w:qFormat/>
    <w:rsid w:val="000D414B"/>
    <w:pPr>
      <w:keepNext/>
      <w:tabs>
        <w:tab w:val="num" w:pos="432"/>
      </w:tabs>
      <w:suppressAutoHyphens/>
      <w:spacing w:after="0" w:line="240" w:lineRule="auto"/>
      <w:ind w:left="432" w:hanging="432"/>
      <w:jc w:val="center"/>
      <w:outlineLvl w:val="0"/>
    </w:pPr>
    <w:rPr>
      <w:rFonts w:ascii="Arial" w:eastAsia="Times New Roman" w:hAnsi="Arial" w:cs="Arial"/>
      <w:b/>
      <w:bCs/>
      <w:sz w:val="18"/>
      <w:szCs w:val="18"/>
      <w:lang w:eastAsia="ar-SA"/>
    </w:rPr>
  </w:style>
  <w:style w:type="paragraph" w:styleId="Heading2">
    <w:name w:val="heading 2"/>
    <w:basedOn w:val="Normal"/>
    <w:next w:val="Normal"/>
    <w:link w:val="Heading2Char"/>
    <w:uiPriority w:val="99"/>
    <w:qFormat/>
    <w:rsid w:val="000D414B"/>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iPriority w:val="99"/>
    <w:qFormat/>
    <w:rsid w:val="000D414B"/>
    <w:pPr>
      <w:keepNext/>
      <w:suppressAutoHyphens/>
      <w:spacing w:before="240" w:after="60" w:line="240" w:lineRule="auto"/>
      <w:outlineLvl w:val="2"/>
    </w:pPr>
    <w:rPr>
      <w:rFonts w:ascii="Arial" w:eastAsia="Times New Roman" w:hAnsi="Arial" w:cs="Times New Roman"/>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14B"/>
    <w:rPr>
      <w:rFonts w:ascii="Tahoma" w:hAnsi="Tahoma" w:cs="Tahoma"/>
      <w:sz w:val="16"/>
      <w:szCs w:val="16"/>
    </w:rPr>
  </w:style>
  <w:style w:type="character" w:customStyle="1" w:styleId="Heading1Char">
    <w:name w:val="Heading 1 Char"/>
    <w:basedOn w:val="DefaultParagraphFont"/>
    <w:link w:val="Heading1"/>
    <w:uiPriority w:val="99"/>
    <w:rsid w:val="000D414B"/>
    <w:rPr>
      <w:rFonts w:ascii="Arial" w:eastAsia="Times New Roman" w:hAnsi="Arial" w:cs="Arial"/>
      <w:b/>
      <w:bCs/>
      <w:sz w:val="18"/>
      <w:szCs w:val="18"/>
      <w:lang w:eastAsia="ar-SA"/>
    </w:rPr>
  </w:style>
  <w:style w:type="character" w:customStyle="1" w:styleId="Heading2Char">
    <w:name w:val="Heading 2 Char"/>
    <w:basedOn w:val="DefaultParagraphFont"/>
    <w:link w:val="Heading2"/>
    <w:uiPriority w:val="99"/>
    <w:rsid w:val="000D414B"/>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0D414B"/>
    <w:rPr>
      <w:rFonts w:ascii="Arial" w:eastAsia="Times New Roman" w:hAnsi="Arial" w:cs="Times New Roman"/>
      <w:b/>
      <w:bCs/>
      <w:sz w:val="26"/>
      <w:szCs w:val="26"/>
      <w:lang w:val="en-GB" w:eastAsia="ar-SA"/>
    </w:rPr>
  </w:style>
  <w:style w:type="character" w:styleId="FootnoteReference">
    <w:name w:val="footnote reference"/>
    <w:semiHidden/>
    <w:rsid w:val="000D414B"/>
    <w:rPr>
      <w:vertAlign w:val="superscript"/>
    </w:rPr>
  </w:style>
  <w:style w:type="paragraph" w:styleId="FootnoteText">
    <w:name w:val="footnote text"/>
    <w:basedOn w:val="Normal"/>
    <w:link w:val="FootnoteTextChar"/>
    <w:uiPriority w:val="99"/>
    <w:semiHidden/>
    <w:rsid w:val="000D414B"/>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0D414B"/>
    <w:rPr>
      <w:rFonts w:ascii="Times New Roman" w:eastAsia="Times New Roman" w:hAnsi="Times New Roman" w:cs="Times New Roman"/>
      <w:sz w:val="20"/>
      <w:szCs w:val="20"/>
      <w:lang w:eastAsia="ar-SA"/>
    </w:rPr>
  </w:style>
  <w:style w:type="paragraph" w:styleId="Caption">
    <w:name w:val="caption"/>
    <w:basedOn w:val="Normal"/>
    <w:next w:val="Normal"/>
    <w:uiPriority w:val="35"/>
    <w:unhideWhenUsed/>
    <w:qFormat/>
    <w:rsid w:val="000D414B"/>
    <w:pPr>
      <w:spacing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E27F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7F6B"/>
    <w:rPr>
      <w:sz w:val="20"/>
      <w:szCs w:val="20"/>
    </w:rPr>
  </w:style>
  <w:style w:type="character" w:styleId="EndnoteReference">
    <w:name w:val="endnote reference"/>
    <w:basedOn w:val="DefaultParagraphFont"/>
    <w:uiPriority w:val="99"/>
    <w:semiHidden/>
    <w:unhideWhenUsed/>
    <w:rsid w:val="00E27F6B"/>
    <w:rPr>
      <w:vertAlign w:val="superscript"/>
    </w:rPr>
  </w:style>
  <w:style w:type="paragraph" w:styleId="Header">
    <w:name w:val="header"/>
    <w:basedOn w:val="Normal"/>
    <w:link w:val="HeaderChar"/>
    <w:uiPriority w:val="99"/>
    <w:semiHidden/>
    <w:unhideWhenUsed/>
    <w:rsid w:val="00997EB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97EBC"/>
  </w:style>
  <w:style w:type="paragraph" w:styleId="Footer">
    <w:name w:val="footer"/>
    <w:basedOn w:val="Normal"/>
    <w:link w:val="FooterChar"/>
    <w:uiPriority w:val="99"/>
    <w:unhideWhenUsed/>
    <w:rsid w:val="00997E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7EBC"/>
  </w:style>
  <w:style w:type="character" w:styleId="Hyperlink">
    <w:name w:val="Hyperlink"/>
    <w:basedOn w:val="DefaultParagraphFont"/>
    <w:uiPriority w:val="99"/>
    <w:unhideWhenUsed/>
    <w:rsid w:val="00EA61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0D414B"/>
    <w:pPr>
      <w:keepNext/>
      <w:tabs>
        <w:tab w:val="num" w:pos="432"/>
      </w:tabs>
      <w:suppressAutoHyphens/>
      <w:spacing w:after="0" w:line="240" w:lineRule="auto"/>
      <w:ind w:left="432" w:hanging="432"/>
      <w:jc w:val="center"/>
      <w:outlineLvl w:val="0"/>
    </w:pPr>
    <w:rPr>
      <w:rFonts w:ascii="Arial" w:eastAsia="Times New Roman" w:hAnsi="Arial" w:cs="Arial"/>
      <w:b/>
      <w:bCs/>
      <w:sz w:val="18"/>
      <w:szCs w:val="18"/>
      <w:lang w:eastAsia="ar-SA"/>
    </w:rPr>
  </w:style>
  <w:style w:type="paragraph" w:styleId="Heading2">
    <w:name w:val="heading 2"/>
    <w:basedOn w:val="Normal"/>
    <w:next w:val="Normal"/>
    <w:link w:val="Heading2Char"/>
    <w:uiPriority w:val="99"/>
    <w:qFormat/>
    <w:rsid w:val="000D414B"/>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iPriority w:val="99"/>
    <w:qFormat/>
    <w:rsid w:val="000D414B"/>
    <w:pPr>
      <w:keepNext/>
      <w:suppressAutoHyphens/>
      <w:spacing w:before="240" w:after="60" w:line="240" w:lineRule="auto"/>
      <w:outlineLvl w:val="2"/>
    </w:pPr>
    <w:rPr>
      <w:rFonts w:ascii="Arial" w:eastAsia="Times New Roman" w:hAnsi="Arial" w:cs="Times New Roman"/>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14B"/>
    <w:rPr>
      <w:rFonts w:ascii="Tahoma" w:hAnsi="Tahoma" w:cs="Tahoma"/>
      <w:sz w:val="16"/>
      <w:szCs w:val="16"/>
    </w:rPr>
  </w:style>
  <w:style w:type="character" w:customStyle="1" w:styleId="Heading1Char">
    <w:name w:val="Heading 1 Char"/>
    <w:basedOn w:val="DefaultParagraphFont"/>
    <w:link w:val="Heading1"/>
    <w:uiPriority w:val="99"/>
    <w:rsid w:val="000D414B"/>
    <w:rPr>
      <w:rFonts w:ascii="Arial" w:eastAsia="Times New Roman" w:hAnsi="Arial" w:cs="Arial"/>
      <w:b/>
      <w:bCs/>
      <w:sz w:val="18"/>
      <w:szCs w:val="18"/>
      <w:lang w:eastAsia="ar-SA"/>
    </w:rPr>
  </w:style>
  <w:style w:type="character" w:customStyle="1" w:styleId="Heading2Char">
    <w:name w:val="Heading 2 Char"/>
    <w:basedOn w:val="DefaultParagraphFont"/>
    <w:link w:val="Heading2"/>
    <w:uiPriority w:val="99"/>
    <w:rsid w:val="000D414B"/>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0D414B"/>
    <w:rPr>
      <w:rFonts w:ascii="Arial" w:eastAsia="Times New Roman" w:hAnsi="Arial" w:cs="Times New Roman"/>
      <w:b/>
      <w:bCs/>
      <w:sz w:val="26"/>
      <w:szCs w:val="26"/>
      <w:lang w:val="en-GB" w:eastAsia="ar-SA"/>
    </w:rPr>
  </w:style>
  <w:style w:type="character" w:styleId="FootnoteReference">
    <w:name w:val="footnote reference"/>
    <w:semiHidden/>
    <w:rsid w:val="000D414B"/>
    <w:rPr>
      <w:vertAlign w:val="superscript"/>
    </w:rPr>
  </w:style>
  <w:style w:type="paragraph" w:styleId="FootnoteText">
    <w:name w:val="footnote text"/>
    <w:basedOn w:val="Normal"/>
    <w:link w:val="FootnoteTextChar"/>
    <w:uiPriority w:val="99"/>
    <w:semiHidden/>
    <w:rsid w:val="000D414B"/>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0D414B"/>
    <w:rPr>
      <w:rFonts w:ascii="Times New Roman" w:eastAsia="Times New Roman" w:hAnsi="Times New Roman" w:cs="Times New Roman"/>
      <w:sz w:val="20"/>
      <w:szCs w:val="20"/>
      <w:lang w:eastAsia="ar-SA"/>
    </w:rPr>
  </w:style>
  <w:style w:type="paragraph" w:styleId="Caption">
    <w:name w:val="caption"/>
    <w:basedOn w:val="Normal"/>
    <w:next w:val="Normal"/>
    <w:uiPriority w:val="35"/>
    <w:unhideWhenUsed/>
    <w:qFormat/>
    <w:rsid w:val="000D414B"/>
    <w:pPr>
      <w:spacing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E27F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7F6B"/>
    <w:rPr>
      <w:sz w:val="20"/>
      <w:szCs w:val="20"/>
    </w:rPr>
  </w:style>
  <w:style w:type="character" w:styleId="EndnoteReference">
    <w:name w:val="endnote reference"/>
    <w:basedOn w:val="DefaultParagraphFont"/>
    <w:uiPriority w:val="99"/>
    <w:semiHidden/>
    <w:unhideWhenUsed/>
    <w:rsid w:val="00E27F6B"/>
    <w:rPr>
      <w:vertAlign w:val="superscript"/>
    </w:rPr>
  </w:style>
  <w:style w:type="paragraph" w:styleId="Header">
    <w:name w:val="header"/>
    <w:basedOn w:val="Normal"/>
    <w:link w:val="HeaderChar"/>
    <w:uiPriority w:val="99"/>
    <w:semiHidden/>
    <w:unhideWhenUsed/>
    <w:rsid w:val="00997EB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97EBC"/>
  </w:style>
  <w:style w:type="paragraph" w:styleId="Footer">
    <w:name w:val="footer"/>
    <w:basedOn w:val="Normal"/>
    <w:link w:val="FooterChar"/>
    <w:uiPriority w:val="99"/>
    <w:unhideWhenUsed/>
    <w:rsid w:val="00997E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7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mine.durmaz@eas.bahcesehir.edu.tr" TargetMode="External"/><Relationship Id="rId1" Type="http://schemas.openxmlformats.org/officeDocument/2006/relationships/hyperlink" Target="seyfettin.gursel@eas.bahcesehir.edu.t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ne.durmaz\Documents\AN%20Informality\ANkay&#305;t%20d&#305;&#351;&#305;%203\AN%20Kay&#305;t%20d&#305;&#351;&#305;%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ne.durmaz\Documents\AN%20Informality\ANkay&#305;t%20d&#305;&#351;&#305;%203\AN%20Kay&#305;t%20d&#305;&#351;&#305;%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'ŞEkil 1 ve ŞEkil 2'!$B$2</c:f>
              <c:strCache>
                <c:ptCount val="1"/>
                <c:pt idx="0">
                  <c:v>Toplam kayıt dışılık oranı (%)</c:v>
                </c:pt>
              </c:strCache>
            </c:strRef>
          </c:tx>
          <c:marker>
            <c:symbol val="none"/>
          </c:marker>
          <c:cat>
            <c:numRef>
              <c:f>'ŞEkil 1 ve ŞEkil 2'!$I$3:$I$115</c:f>
              <c:numCache>
                <c:formatCode>mmm/yy</c:formatCode>
                <c:ptCount val="113"/>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pt idx="105">
                  <c:v>41548</c:v>
                </c:pt>
                <c:pt idx="106">
                  <c:v>41579</c:v>
                </c:pt>
                <c:pt idx="107">
                  <c:v>41609</c:v>
                </c:pt>
                <c:pt idx="108">
                  <c:v>41640</c:v>
                </c:pt>
                <c:pt idx="109">
                  <c:v>41671</c:v>
                </c:pt>
                <c:pt idx="110">
                  <c:v>41699</c:v>
                </c:pt>
                <c:pt idx="111">
                  <c:v>41730</c:v>
                </c:pt>
                <c:pt idx="112">
                  <c:v>41760</c:v>
                </c:pt>
              </c:numCache>
            </c:numRef>
          </c:cat>
          <c:val>
            <c:numRef>
              <c:f>'ŞEkil 1 ve ŞEkil 2'!$B$3:$B$115</c:f>
              <c:numCache>
                <c:formatCode>0.0</c:formatCode>
                <c:ptCount val="113"/>
                <c:pt idx="0">
                  <c:v>48.544780341977052</c:v>
                </c:pt>
                <c:pt idx="1">
                  <c:v>48.717842072125592</c:v>
                </c:pt>
                <c:pt idx="2">
                  <c:v>48.839399070290249</c:v>
                </c:pt>
                <c:pt idx="3">
                  <c:v>48.865428848124175</c:v>
                </c:pt>
                <c:pt idx="4">
                  <c:v>48.847638967601647</c:v>
                </c:pt>
                <c:pt idx="5">
                  <c:v>48.633280647903504</c:v>
                </c:pt>
                <c:pt idx="6">
                  <c:v>48.609233672627802</c:v>
                </c:pt>
                <c:pt idx="7">
                  <c:v>47.502541394015331</c:v>
                </c:pt>
                <c:pt idx="8">
                  <c:v>47.482436355527256</c:v>
                </c:pt>
                <c:pt idx="9">
                  <c:v>47.570011299020763</c:v>
                </c:pt>
                <c:pt idx="10">
                  <c:v>48.137995294860005</c:v>
                </c:pt>
                <c:pt idx="11">
                  <c:v>47.826988176094595</c:v>
                </c:pt>
                <c:pt idx="12">
                  <c:v>47.581612642890221</c:v>
                </c:pt>
                <c:pt idx="13">
                  <c:v>46.658522596298454</c:v>
                </c:pt>
                <c:pt idx="14">
                  <c:v>46.900206316233046</c:v>
                </c:pt>
                <c:pt idx="15">
                  <c:v>46.799971028303602</c:v>
                </c:pt>
                <c:pt idx="16">
                  <c:v>47.259704772866527</c:v>
                </c:pt>
                <c:pt idx="17">
                  <c:v>47.152461298400752</c:v>
                </c:pt>
                <c:pt idx="18">
                  <c:v>47.193220598801737</c:v>
                </c:pt>
                <c:pt idx="19">
                  <c:v>47.334946452283972</c:v>
                </c:pt>
                <c:pt idx="20">
                  <c:v>47.170626183266073</c:v>
                </c:pt>
                <c:pt idx="21">
                  <c:v>46.598916204809704</c:v>
                </c:pt>
                <c:pt idx="22">
                  <c:v>46.784032730032713</c:v>
                </c:pt>
                <c:pt idx="23">
                  <c:v>46.881625490617466</c:v>
                </c:pt>
                <c:pt idx="24">
                  <c:v>47.035004653821105</c:v>
                </c:pt>
                <c:pt idx="25">
                  <c:v>46.317702605229144</c:v>
                </c:pt>
                <c:pt idx="26">
                  <c:v>46.255959760505128</c:v>
                </c:pt>
                <c:pt idx="27">
                  <c:v>45.869959425999987</c:v>
                </c:pt>
                <c:pt idx="28">
                  <c:v>45.642769383670981</c:v>
                </c:pt>
                <c:pt idx="29">
                  <c:v>45.600118508204808</c:v>
                </c:pt>
                <c:pt idx="30">
                  <c:v>45.688044270494046</c:v>
                </c:pt>
                <c:pt idx="31">
                  <c:v>45.628654783767949</c:v>
                </c:pt>
                <c:pt idx="32">
                  <c:v>45.467492961984043</c:v>
                </c:pt>
                <c:pt idx="33">
                  <c:v>44.867795485407704</c:v>
                </c:pt>
                <c:pt idx="34">
                  <c:v>44.250524585920395</c:v>
                </c:pt>
                <c:pt idx="35">
                  <c:v>43.48800621149605</c:v>
                </c:pt>
                <c:pt idx="36">
                  <c:v>42.911340774862978</c:v>
                </c:pt>
                <c:pt idx="37">
                  <c:v>43.565990850116762</c:v>
                </c:pt>
                <c:pt idx="38">
                  <c:v>43.581159762302974</c:v>
                </c:pt>
                <c:pt idx="39">
                  <c:v>43.887300684763744</c:v>
                </c:pt>
                <c:pt idx="40">
                  <c:v>43.473191387016492</c:v>
                </c:pt>
                <c:pt idx="41">
                  <c:v>43.43489684647453</c:v>
                </c:pt>
                <c:pt idx="42">
                  <c:v>43.509867175623718</c:v>
                </c:pt>
                <c:pt idx="43">
                  <c:v>43.64849744526682</c:v>
                </c:pt>
                <c:pt idx="44">
                  <c:v>43.334614017155552</c:v>
                </c:pt>
                <c:pt idx="45">
                  <c:v>43.700677047290746</c:v>
                </c:pt>
                <c:pt idx="46">
                  <c:v>43.474374158343537</c:v>
                </c:pt>
                <c:pt idx="47">
                  <c:v>43.1023429489872</c:v>
                </c:pt>
                <c:pt idx="48">
                  <c:v>43.018466414429852</c:v>
                </c:pt>
                <c:pt idx="49">
                  <c:v>43.117630043954236</c:v>
                </c:pt>
                <c:pt idx="50">
                  <c:v>42.980896463706728</c:v>
                </c:pt>
                <c:pt idx="51">
                  <c:v>43.143904155728549</c:v>
                </c:pt>
                <c:pt idx="52">
                  <c:v>44.063554490180913</c:v>
                </c:pt>
                <c:pt idx="53">
                  <c:v>44.239508332431058</c:v>
                </c:pt>
                <c:pt idx="54">
                  <c:v>44.620559391376759</c:v>
                </c:pt>
                <c:pt idx="55">
                  <c:v>44.023089274917446</c:v>
                </c:pt>
                <c:pt idx="56">
                  <c:v>44.22220205226926</c:v>
                </c:pt>
                <c:pt idx="57">
                  <c:v>43.937313786784166</c:v>
                </c:pt>
                <c:pt idx="58">
                  <c:v>44.116390314127116</c:v>
                </c:pt>
                <c:pt idx="59">
                  <c:v>44.242028425787225</c:v>
                </c:pt>
                <c:pt idx="60">
                  <c:v>44.351806872606161</c:v>
                </c:pt>
                <c:pt idx="61">
                  <c:v>43.880670463482318</c:v>
                </c:pt>
                <c:pt idx="62">
                  <c:v>43.624812259367545</c:v>
                </c:pt>
                <c:pt idx="63">
                  <c:v>43.742626686474871</c:v>
                </c:pt>
                <c:pt idx="64">
                  <c:v>43.118672477199105</c:v>
                </c:pt>
                <c:pt idx="65">
                  <c:v>43.420179448828989</c:v>
                </c:pt>
                <c:pt idx="66">
                  <c:v>43.317236007179091</c:v>
                </c:pt>
                <c:pt idx="67">
                  <c:v>43.095120434460263</c:v>
                </c:pt>
                <c:pt idx="68">
                  <c:v>42.653870856925167</c:v>
                </c:pt>
                <c:pt idx="69">
                  <c:v>42.902849403247814</c:v>
                </c:pt>
                <c:pt idx="70">
                  <c:v>42.948403755502333</c:v>
                </c:pt>
                <c:pt idx="71">
                  <c:v>43.189775870096696</c:v>
                </c:pt>
                <c:pt idx="72">
                  <c:v>42.893109611021963</c:v>
                </c:pt>
                <c:pt idx="73">
                  <c:v>43.079647432256188</c:v>
                </c:pt>
                <c:pt idx="74">
                  <c:v>42.840598979088576</c:v>
                </c:pt>
                <c:pt idx="75">
                  <c:v>42.544144014271836</c:v>
                </c:pt>
                <c:pt idx="76">
                  <c:v>42.186296096833743</c:v>
                </c:pt>
                <c:pt idx="77">
                  <c:v>42.212052980944939</c:v>
                </c:pt>
                <c:pt idx="78">
                  <c:v>41.688073147619299</c:v>
                </c:pt>
                <c:pt idx="79">
                  <c:v>42.002888990649645</c:v>
                </c:pt>
                <c:pt idx="80">
                  <c:v>41.581241415842548</c:v>
                </c:pt>
                <c:pt idx="81">
                  <c:v>41.215490037512296</c:v>
                </c:pt>
                <c:pt idx="82">
                  <c:v>40.910006488210954</c:v>
                </c:pt>
                <c:pt idx="83">
                  <c:v>40.431636584189782</c:v>
                </c:pt>
                <c:pt idx="84">
                  <c:v>40.44692146416844</c:v>
                </c:pt>
                <c:pt idx="85">
                  <c:v>39.624852282640802</c:v>
                </c:pt>
                <c:pt idx="86">
                  <c:v>39.118861524171983</c:v>
                </c:pt>
                <c:pt idx="87">
                  <c:v>39.219455448129672</c:v>
                </c:pt>
                <c:pt idx="88">
                  <c:v>39.375900481572977</c:v>
                </c:pt>
                <c:pt idx="89">
                  <c:v>38.980410787856371</c:v>
                </c:pt>
                <c:pt idx="90">
                  <c:v>38.375831803384344</c:v>
                </c:pt>
                <c:pt idx="91">
                  <c:v>38.461702174296313</c:v>
                </c:pt>
                <c:pt idx="92">
                  <c:v>38.829709689618504</c:v>
                </c:pt>
                <c:pt idx="93">
                  <c:v>39.101603525238325</c:v>
                </c:pt>
                <c:pt idx="94">
                  <c:v>38.659792447112146</c:v>
                </c:pt>
                <c:pt idx="95">
                  <c:v>38.586453244839163</c:v>
                </c:pt>
                <c:pt idx="96">
                  <c:v>38.309211404247073</c:v>
                </c:pt>
                <c:pt idx="97">
                  <c:v>38.481047257676138</c:v>
                </c:pt>
                <c:pt idx="98">
                  <c:v>38.314443717593015</c:v>
                </c:pt>
                <c:pt idx="99">
                  <c:v>37.991129690015114</c:v>
                </c:pt>
                <c:pt idx="100">
                  <c:v>37.100570457587196</c:v>
                </c:pt>
                <c:pt idx="101">
                  <c:v>36.37400568083487</c:v>
                </c:pt>
                <c:pt idx="102">
                  <c:v>36.015650279038454</c:v>
                </c:pt>
                <c:pt idx="103">
                  <c:v>36.057333556997165</c:v>
                </c:pt>
                <c:pt idx="104">
                  <c:v>35.91188190976812</c:v>
                </c:pt>
                <c:pt idx="105">
                  <c:v>35.650642990352701</c:v>
                </c:pt>
                <c:pt idx="106">
                  <c:v>35.281780698015048</c:v>
                </c:pt>
                <c:pt idx="107">
                  <c:v>35.587492194726501</c:v>
                </c:pt>
                <c:pt idx="108">
                  <c:v>35.672225806803382</c:v>
                </c:pt>
                <c:pt idx="109">
                  <c:v>35.999281895235534</c:v>
                </c:pt>
                <c:pt idx="110">
                  <c:v>35.910149024002905</c:v>
                </c:pt>
                <c:pt idx="111">
                  <c:v>35.220611213384601</c:v>
                </c:pt>
                <c:pt idx="112">
                  <c:v>35.104844454417346</c:v>
                </c:pt>
              </c:numCache>
            </c:numRef>
          </c:val>
          <c:smooth val="0"/>
        </c:ser>
        <c:ser>
          <c:idx val="1"/>
          <c:order val="1"/>
          <c:tx>
            <c:strRef>
              <c:f>'ŞEkil 1 ve ŞEkil 2'!$C$2</c:f>
              <c:strCache>
                <c:ptCount val="1"/>
                <c:pt idx="0">
                  <c:v>Ücretli kayıt dışılık oranı (%)</c:v>
                </c:pt>
              </c:strCache>
            </c:strRef>
          </c:tx>
          <c:marker>
            <c:symbol val="none"/>
          </c:marker>
          <c:cat>
            <c:numRef>
              <c:f>'ŞEkil 1 ve ŞEkil 2'!$I$3:$I$115</c:f>
              <c:numCache>
                <c:formatCode>mmm/yy</c:formatCode>
                <c:ptCount val="113"/>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pt idx="105">
                  <c:v>41548</c:v>
                </c:pt>
                <c:pt idx="106">
                  <c:v>41579</c:v>
                </c:pt>
                <c:pt idx="107">
                  <c:v>41609</c:v>
                </c:pt>
                <c:pt idx="108">
                  <c:v>41640</c:v>
                </c:pt>
                <c:pt idx="109">
                  <c:v>41671</c:v>
                </c:pt>
                <c:pt idx="110">
                  <c:v>41699</c:v>
                </c:pt>
                <c:pt idx="111">
                  <c:v>41730</c:v>
                </c:pt>
                <c:pt idx="112">
                  <c:v>41760</c:v>
                </c:pt>
              </c:numCache>
            </c:numRef>
          </c:cat>
          <c:val>
            <c:numRef>
              <c:f>'ŞEkil 1 ve ŞEkil 2'!$C$3:$C$115</c:f>
              <c:numCache>
                <c:formatCode>0.0</c:formatCode>
                <c:ptCount val="113"/>
                <c:pt idx="0">
                  <c:v>31.409956534161509</c:v>
                </c:pt>
                <c:pt idx="1">
                  <c:v>31.828490412995031</c:v>
                </c:pt>
                <c:pt idx="2">
                  <c:v>31.846646806308559</c:v>
                </c:pt>
                <c:pt idx="3">
                  <c:v>32.104480300600095</c:v>
                </c:pt>
                <c:pt idx="4">
                  <c:v>31.896052722611184</c:v>
                </c:pt>
                <c:pt idx="5">
                  <c:v>31.708119729754401</c:v>
                </c:pt>
                <c:pt idx="6">
                  <c:v>31.936480142403674</c:v>
                </c:pt>
                <c:pt idx="7">
                  <c:v>31.631324240193575</c:v>
                </c:pt>
                <c:pt idx="8">
                  <c:v>31.783497696674786</c:v>
                </c:pt>
                <c:pt idx="9">
                  <c:v>31.701178114246687</c:v>
                </c:pt>
                <c:pt idx="10">
                  <c:v>32.532988084397225</c:v>
                </c:pt>
                <c:pt idx="11">
                  <c:v>32.43986617690225</c:v>
                </c:pt>
                <c:pt idx="12">
                  <c:v>32.502430609744628</c:v>
                </c:pt>
                <c:pt idx="13">
                  <c:v>31.583896538899253</c:v>
                </c:pt>
                <c:pt idx="14">
                  <c:v>31.978249564898082</c:v>
                </c:pt>
                <c:pt idx="15">
                  <c:v>31.502167455349877</c:v>
                </c:pt>
                <c:pt idx="16">
                  <c:v>31.708831512089652</c:v>
                </c:pt>
                <c:pt idx="17">
                  <c:v>31.51708360859466</c:v>
                </c:pt>
                <c:pt idx="18">
                  <c:v>31.573784323179829</c:v>
                </c:pt>
                <c:pt idx="19">
                  <c:v>31.594863667769893</c:v>
                </c:pt>
                <c:pt idx="20">
                  <c:v>31.339709553131712</c:v>
                </c:pt>
                <c:pt idx="21">
                  <c:v>30.942038642505477</c:v>
                </c:pt>
                <c:pt idx="22">
                  <c:v>31.177989857894836</c:v>
                </c:pt>
                <c:pt idx="23">
                  <c:v>30.674522681180047</c:v>
                </c:pt>
                <c:pt idx="24">
                  <c:v>30.66219751587813</c:v>
                </c:pt>
                <c:pt idx="25">
                  <c:v>30.088191012921332</c:v>
                </c:pt>
                <c:pt idx="26">
                  <c:v>29.989271005654551</c:v>
                </c:pt>
                <c:pt idx="27">
                  <c:v>30.069594437888451</c:v>
                </c:pt>
                <c:pt idx="28">
                  <c:v>29.711403910726141</c:v>
                </c:pt>
                <c:pt idx="29">
                  <c:v>29.49380792661081</c:v>
                </c:pt>
                <c:pt idx="30">
                  <c:v>29.624524849375959</c:v>
                </c:pt>
                <c:pt idx="31">
                  <c:v>29.723071533810604</c:v>
                </c:pt>
                <c:pt idx="32">
                  <c:v>29.501821350455355</c:v>
                </c:pt>
                <c:pt idx="33">
                  <c:v>28.870383869623886</c:v>
                </c:pt>
                <c:pt idx="34">
                  <c:v>28.04612908580037</c:v>
                </c:pt>
                <c:pt idx="35">
                  <c:v>27.457715181116143</c:v>
                </c:pt>
                <c:pt idx="36">
                  <c:v>27.150506903263587</c:v>
                </c:pt>
                <c:pt idx="37">
                  <c:v>27.491763145748902</c:v>
                </c:pt>
                <c:pt idx="38">
                  <c:v>26.712195313073124</c:v>
                </c:pt>
                <c:pt idx="39">
                  <c:v>26.533345004136017</c:v>
                </c:pt>
                <c:pt idx="40">
                  <c:v>26.015009475629224</c:v>
                </c:pt>
                <c:pt idx="41">
                  <c:v>26.014887731563814</c:v>
                </c:pt>
                <c:pt idx="42">
                  <c:v>26.183241689378729</c:v>
                </c:pt>
                <c:pt idx="43">
                  <c:v>25.971468408665132</c:v>
                </c:pt>
                <c:pt idx="44">
                  <c:v>26.286440862332785</c:v>
                </c:pt>
                <c:pt idx="45">
                  <c:v>26.491198191555306</c:v>
                </c:pt>
                <c:pt idx="46">
                  <c:v>26.042519017891745</c:v>
                </c:pt>
                <c:pt idx="47">
                  <c:v>25.649936803937809</c:v>
                </c:pt>
                <c:pt idx="48">
                  <c:v>25.414797472552646</c:v>
                </c:pt>
                <c:pt idx="49">
                  <c:v>25.589293463971924</c:v>
                </c:pt>
                <c:pt idx="50">
                  <c:v>25.510227372600113</c:v>
                </c:pt>
                <c:pt idx="51">
                  <c:v>25.552536359048219</c:v>
                </c:pt>
                <c:pt idx="52">
                  <c:v>26.687862327539627</c:v>
                </c:pt>
                <c:pt idx="53">
                  <c:v>26.832249674943458</c:v>
                </c:pt>
                <c:pt idx="54">
                  <c:v>27.022359866101109</c:v>
                </c:pt>
                <c:pt idx="55">
                  <c:v>26.075887075369774</c:v>
                </c:pt>
                <c:pt idx="56">
                  <c:v>26.15819925658111</c:v>
                </c:pt>
                <c:pt idx="57">
                  <c:v>26.234380429605181</c:v>
                </c:pt>
                <c:pt idx="58">
                  <c:v>26.498073760249802</c:v>
                </c:pt>
                <c:pt idx="59">
                  <c:v>26.50033622999338</c:v>
                </c:pt>
                <c:pt idx="60">
                  <c:v>25.979437542468961</c:v>
                </c:pt>
                <c:pt idx="61">
                  <c:v>25.903269857583055</c:v>
                </c:pt>
                <c:pt idx="62">
                  <c:v>26.195647365339809</c:v>
                </c:pt>
                <c:pt idx="63">
                  <c:v>26.560330845312112</c:v>
                </c:pt>
                <c:pt idx="64">
                  <c:v>25.872275437805591</c:v>
                </c:pt>
                <c:pt idx="65">
                  <c:v>25.921578175718491</c:v>
                </c:pt>
                <c:pt idx="66">
                  <c:v>26.013828173672437</c:v>
                </c:pt>
                <c:pt idx="67">
                  <c:v>25.604419857734904</c:v>
                </c:pt>
                <c:pt idx="68">
                  <c:v>25.169546674345824</c:v>
                </c:pt>
                <c:pt idx="69">
                  <c:v>25.226728205402235</c:v>
                </c:pt>
                <c:pt idx="70">
                  <c:v>25.40141359921536</c:v>
                </c:pt>
                <c:pt idx="71">
                  <c:v>25.617897431424687</c:v>
                </c:pt>
                <c:pt idx="72">
                  <c:v>25.485416075844284</c:v>
                </c:pt>
                <c:pt idx="73">
                  <c:v>25.695431362093725</c:v>
                </c:pt>
                <c:pt idx="74">
                  <c:v>25.940334439006801</c:v>
                </c:pt>
                <c:pt idx="75">
                  <c:v>25.953123176183386</c:v>
                </c:pt>
                <c:pt idx="76">
                  <c:v>25.883982709919128</c:v>
                </c:pt>
                <c:pt idx="77">
                  <c:v>25.69341180663579</c:v>
                </c:pt>
                <c:pt idx="78">
                  <c:v>24.952336676515923</c:v>
                </c:pt>
                <c:pt idx="79">
                  <c:v>25.13330455155269</c:v>
                </c:pt>
                <c:pt idx="80">
                  <c:v>24.816873220827393</c:v>
                </c:pt>
                <c:pt idx="81">
                  <c:v>24.024559636148783</c:v>
                </c:pt>
                <c:pt idx="82">
                  <c:v>23.802724940659729</c:v>
                </c:pt>
                <c:pt idx="83">
                  <c:v>23.42408568739431</c:v>
                </c:pt>
                <c:pt idx="84">
                  <c:v>23.708478666303119</c:v>
                </c:pt>
                <c:pt idx="85">
                  <c:v>22.629979364574858</c:v>
                </c:pt>
                <c:pt idx="86">
                  <c:v>22.115957436246976</c:v>
                </c:pt>
                <c:pt idx="87">
                  <c:v>21.986419148949839</c:v>
                </c:pt>
                <c:pt idx="88">
                  <c:v>22.315795231657663</c:v>
                </c:pt>
                <c:pt idx="89">
                  <c:v>22.067260777914541</c:v>
                </c:pt>
                <c:pt idx="90">
                  <c:v>21.664815142014714</c:v>
                </c:pt>
                <c:pt idx="91">
                  <c:v>21.679863371342904</c:v>
                </c:pt>
                <c:pt idx="92">
                  <c:v>21.854754639698534</c:v>
                </c:pt>
                <c:pt idx="93">
                  <c:v>21.937032985577481</c:v>
                </c:pt>
                <c:pt idx="94">
                  <c:v>21.361448741136829</c:v>
                </c:pt>
                <c:pt idx="95">
                  <c:v>21.345504271290526</c:v>
                </c:pt>
                <c:pt idx="96">
                  <c:v>21.365778854376426</c:v>
                </c:pt>
                <c:pt idx="97">
                  <c:v>21.863499446980882</c:v>
                </c:pt>
                <c:pt idx="98">
                  <c:v>21.494453489434797</c:v>
                </c:pt>
                <c:pt idx="99">
                  <c:v>20.958302149238136</c:v>
                </c:pt>
                <c:pt idx="100">
                  <c:v>20.047552436054168</c:v>
                </c:pt>
                <c:pt idx="101">
                  <c:v>19.819137035326186</c:v>
                </c:pt>
                <c:pt idx="102">
                  <c:v>19.13838609048079</c:v>
                </c:pt>
                <c:pt idx="103">
                  <c:v>19.285430874091457</c:v>
                </c:pt>
                <c:pt idx="104">
                  <c:v>18.662599741696887</c:v>
                </c:pt>
                <c:pt idx="105">
                  <c:v>18.89251198892952</c:v>
                </c:pt>
                <c:pt idx="106">
                  <c:v>18.417698203127689</c:v>
                </c:pt>
                <c:pt idx="107">
                  <c:v>18.690071777136875</c:v>
                </c:pt>
                <c:pt idx="108">
                  <c:v>18.793091284836027</c:v>
                </c:pt>
                <c:pt idx="109">
                  <c:v>20.790031099245716</c:v>
                </c:pt>
                <c:pt idx="110">
                  <c:v>20.484969895913029</c:v>
                </c:pt>
                <c:pt idx="111">
                  <c:v>19.884731263636336</c:v>
                </c:pt>
                <c:pt idx="112">
                  <c:v>19.689251031887185</c:v>
                </c:pt>
              </c:numCache>
            </c:numRef>
          </c:val>
          <c:smooth val="0"/>
        </c:ser>
        <c:dLbls>
          <c:showLegendKey val="0"/>
          <c:showVal val="0"/>
          <c:showCatName val="0"/>
          <c:showSerName val="0"/>
          <c:showPercent val="0"/>
          <c:showBubbleSize val="0"/>
        </c:dLbls>
        <c:marker val="1"/>
        <c:smooth val="0"/>
        <c:axId val="149091456"/>
        <c:axId val="149092992"/>
      </c:lineChart>
      <c:dateAx>
        <c:axId val="149091456"/>
        <c:scaling>
          <c:orientation val="minMax"/>
        </c:scaling>
        <c:delete val="0"/>
        <c:axPos val="b"/>
        <c:numFmt formatCode="mmm/yy" sourceLinked="1"/>
        <c:majorTickMark val="out"/>
        <c:minorTickMark val="none"/>
        <c:tickLblPos val="nextTo"/>
        <c:txPr>
          <a:bodyPr/>
          <a:lstStyle/>
          <a:p>
            <a:pPr>
              <a:defRPr sz="800"/>
            </a:pPr>
            <a:endParaRPr lang="tr-TR"/>
          </a:p>
        </c:txPr>
        <c:crossAx val="149092992"/>
        <c:crosses val="autoZero"/>
        <c:auto val="1"/>
        <c:lblOffset val="100"/>
        <c:baseTimeUnit val="months"/>
      </c:dateAx>
      <c:valAx>
        <c:axId val="149092992"/>
        <c:scaling>
          <c:orientation val="minMax"/>
          <c:min val="15"/>
        </c:scaling>
        <c:delete val="0"/>
        <c:axPos val="l"/>
        <c:title>
          <c:tx>
            <c:rich>
              <a:bodyPr rot="-5400000" vert="horz"/>
              <a:lstStyle/>
              <a:p>
                <a:pPr>
                  <a:defRPr b="0"/>
                </a:pPr>
                <a:r>
                  <a:rPr lang="tr-TR" b="0"/>
                  <a:t>Kayıt</a:t>
                </a:r>
                <a:r>
                  <a:rPr lang="tr-TR" b="0" baseline="0"/>
                  <a:t> dışılık oranları (%)</a:t>
                </a:r>
                <a:endParaRPr lang="tr-TR" b="0"/>
              </a:p>
            </c:rich>
          </c:tx>
          <c:overlay val="0"/>
        </c:title>
        <c:numFmt formatCode="0" sourceLinked="0"/>
        <c:majorTickMark val="out"/>
        <c:minorTickMark val="none"/>
        <c:tickLblPos val="nextTo"/>
        <c:txPr>
          <a:bodyPr/>
          <a:lstStyle/>
          <a:p>
            <a:pPr>
              <a:defRPr sz="800"/>
            </a:pPr>
            <a:endParaRPr lang="tr-TR"/>
          </a:p>
        </c:txPr>
        <c:crossAx val="149091456"/>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'ŞEkil 1 ve ŞEkil 2'!$G$2</c:f>
              <c:strCache>
                <c:ptCount val="1"/>
                <c:pt idx="0">
                  <c:v>Ücretli kadın kayıt dışılık oranı </c:v>
                </c:pt>
              </c:strCache>
            </c:strRef>
          </c:tx>
          <c:marker>
            <c:symbol val="none"/>
          </c:marker>
          <c:cat>
            <c:numRef>
              <c:f>'ŞEkil 1 ve ŞEkil 2'!$I$3:$I$115</c:f>
              <c:numCache>
                <c:formatCode>mmm/yy</c:formatCode>
                <c:ptCount val="113"/>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pt idx="105">
                  <c:v>41548</c:v>
                </c:pt>
                <c:pt idx="106">
                  <c:v>41579</c:v>
                </c:pt>
                <c:pt idx="107">
                  <c:v>41609</c:v>
                </c:pt>
                <c:pt idx="108">
                  <c:v>41640</c:v>
                </c:pt>
                <c:pt idx="109">
                  <c:v>41671</c:v>
                </c:pt>
                <c:pt idx="110">
                  <c:v>41699</c:v>
                </c:pt>
                <c:pt idx="111">
                  <c:v>41730</c:v>
                </c:pt>
                <c:pt idx="112">
                  <c:v>41760</c:v>
                </c:pt>
              </c:numCache>
            </c:numRef>
          </c:cat>
          <c:val>
            <c:numRef>
              <c:f>'ŞEkil 1 ve ŞEkil 2'!$G$3:$G$115</c:f>
              <c:numCache>
                <c:formatCode>0.0</c:formatCode>
                <c:ptCount val="113"/>
                <c:pt idx="0">
                  <c:v>32.680186523021696</c:v>
                </c:pt>
                <c:pt idx="1">
                  <c:v>33.046908352553515</c:v>
                </c:pt>
                <c:pt idx="2">
                  <c:v>33.274515385655313</c:v>
                </c:pt>
                <c:pt idx="3">
                  <c:v>33.169909805738868</c:v>
                </c:pt>
                <c:pt idx="4">
                  <c:v>33.887254426214113</c:v>
                </c:pt>
                <c:pt idx="5">
                  <c:v>32.840725734293493</c:v>
                </c:pt>
                <c:pt idx="6">
                  <c:v>32.935798877512475</c:v>
                </c:pt>
                <c:pt idx="7">
                  <c:v>32.03339495478</c:v>
                </c:pt>
                <c:pt idx="8">
                  <c:v>32.808972347950075</c:v>
                </c:pt>
                <c:pt idx="9">
                  <c:v>32.722852195164378</c:v>
                </c:pt>
                <c:pt idx="10">
                  <c:v>33.767278959174313</c:v>
                </c:pt>
                <c:pt idx="11">
                  <c:v>34.148150646396239</c:v>
                </c:pt>
                <c:pt idx="12">
                  <c:v>34.833601000809324</c:v>
                </c:pt>
                <c:pt idx="13">
                  <c:v>33.757284068825449</c:v>
                </c:pt>
                <c:pt idx="14">
                  <c:v>33.415293008763399</c:v>
                </c:pt>
                <c:pt idx="15">
                  <c:v>32.327793312271062</c:v>
                </c:pt>
                <c:pt idx="16">
                  <c:v>32.676001324176909</c:v>
                </c:pt>
                <c:pt idx="17">
                  <c:v>33.027638654595634</c:v>
                </c:pt>
                <c:pt idx="18">
                  <c:v>32.698958736266015</c:v>
                </c:pt>
                <c:pt idx="19">
                  <c:v>32.292001143594014</c:v>
                </c:pt>
                <c:pt idx="20">
                  <c:v>32.212511629473511</c:v>
                </c:pt>
                <c:pt idx="21">
                  <c:v>32.444322733016797</c:v>
                </c:pt>
                <c:pt idx="22">
                  <c:v>32.375054629104952</c:v>
                </c:pt>
                <c:pt idx="23">
                  <c:v>31.805456845601089</c:v>
                </c:pt>
                <c:pt idx="24">
                  <c:v>31.853143046950226</c:v>
                </c:pt>
                <c:pt idx="25">
                  <c:v>30.900067827267328</c:v>
                </c:pt>
                <c:pt idx="26">
                  <c:v>30.69678871263519</c:v>
                </c:pt>
                <c:pt idx="27">
                  <c:v>30.524034809049656</c:v>
                </c:pt>
                <c:pt idx="28">
                  <c:v>30.266797461100872</c:v>
                </c:pt>
                <c:pt idx="29">
                  <c:v>30.63969374108154</c:v>
                </c:pt>
                <c:pt idx="30">
                  <c:v>30.645959248036824</c:v>
                </c:pt>
                <c:pt idx="31">
                  <c:v>30.587190594857592</c:v>
                </c:pt>
                <c:pt idx="32">
                  <c:v>29.493431237123183</c:v>
                </c:pt>
                <c:pt idx="33">
                  <c:v>28.442373384919058</c:v>
                </c:pt>
                <c:pt idx="34">
                  <c:v>28.043373052722306</c:v>
                </c:pt>
                <c:pt idx="35">
                  <c:v>27.736661655963889</c:v>
                </c:pt>
                <c:pt idx="36">
                  <c:v>27.984117889724203</c:v>
                </c:pt>
                <c:pt idx="37">
                  <c:v>27.82466470216443</c:v>
                </c:pt>
                <c:pt idx="38">
                  <c:v>27.294362323098568</c:v>
                </c:pt>
                <c:pt idx="39">
                  <c:v>26.767457727515527</c:v>
                </c:pt>
                <c:pt idx="40">
                  <c:v>26.290109298666025</c:v>
                </c:pt>
                <c:pt idx="41">
                  <c:v>25.186601664249537</c:v>
                </c:pt>
                <c:pt idx="42">
                  <c:v>25.966133535677578</c:v>
                </c:pt>
                <c:pt idx="43">
                  <c:v>25.960032898890518</c:v>
                </c:pt>
                <c:pt idx="44">
                  <c:v>27.19680349425262</c:v>
                </c:pt>
                <c:pt idx="45">
                  <c:v>26.833891245551218</c:v>
                </c:pt>
                <c:pt idx="46">
                  <c:v>26.329994805697925</c:v>
                </c:pt>
                <c:pt idx="47">
                  <c:v>25.754560895690631</c:v>
                </c:pt>
                <c:pt idx="48">
                  <c:v>25.023293175408227</c:v>
                </c:pt>
                <c:pt idx="49">
                  <c:v>25.383237293726779</c:v>
                </c:pt>
                <c:pt idx="50">
                  <c:v>25.54363128383428</c:v>
                </c:pt>
                <c:pt idx="51">
                  <c:v>26.122708405121383</c:v>
                </c:pt>
                <c:pt idx="52">
                  <c:v>26.707015084116531</c:v>
                </c:pt>
                <c:pt idx="53">
                  <c:v>26.705268695320854</c:v>
                </c:pt>
                <c:pt idx="54">
                  <c:v>26.893737310451186</c:v>
                </c:pt>
                <c:pt idx="55">
                  <c:v>25.987885568984233</c:v>
                </c:pt>
                <c:pt idx="56">
                  <c:v>26.801593683288438</c:v>
                </c:pt>
                <c:pt idx="57">
                  <c:v>27.554192573365832</c:v>
                </c:pt>
                <c:pt idx="58">
                  <c:v>28.185985843257388</c:v>
                </c:pt>
                <c:pt idx="59">
                  <c:v>27.84322262669275</c:v>
                </c:pt>
                <c:pt idx="60">
                  <c:v>26.612929673987939</c:v>
                </c:pt>
                <c:pt idx="61">
                  <c:v>26.046958123244334</c:v>
                </c:pt>
                <c:pt idx="62">
                  <c:v>25.641414282034436</c:v>
                </c:pt>
                <c:pt idx="63">
                  <c:v>26.675191199000615</c:v>
                </c:pt>
                <c:pt idx="64">
                  <c:v>25.704777732912437</c:v>
                </c:pt>
                <c:pt idx="65">
                  <c:v>26.771999640423477</c:v>
                </c:pt>
                <c:pt idx="66">
                  <c:v>26.619030918381121</c:v>
                </c:pt>
                <c:pt idx="67">
                  <c:v>26.558369129538008</c:v>
                </c:pt>
                <c:pt idx="68">
                  <c:v>26.159979873953727</c:v>
                </c:pt>
                <c:pt idx="69">
                  <c:v>26.350563427300838</c:v>
                </c:pt>
                <c:pt idx="70">
                  <c:v>26.677226833186086</c:v>
                </c:pt>
                <c:pt idx="71">
                  <c:v>26.66466555164893</c:v>
                </c:pt>
                <c:pt idx="72">
                  <c:v>26.755754848537507</c:v>
                </c:pt>
                <c:pt idx="73">
                  <c:v>26.907335635496484</c:v>
                </c:pt>
                <c:pt idx="74">
                  <c:v>27.92880720330167</c:v>
                </c:pt>
                <c:pt idx="75">
                  <c:v>28.303011873745156</c:v>
                </c:pt>
                <c:pt idx="76">
                  <c:v>27.704018951477021</c:v>
                </c:pt>
                <c:pt idx="77">
                  <c:v>27.248113733691749</c:v>
                </c:pt>
                <c:pt idx="78">
                  <c:v>26.090928544751407</c:v>
                </c:pt>
                <c:pt idx="79">
                  <c:v>26.197840147104191</c:v>
                </c:pt>
                <c:pt idx="80">
                  <c:v>25.227555614654054</c:v>
                </c:pt>
                <c:pt idx="81">
                  <c:v>24.295335866634229</c:v>
                </c:pt>
                <c:pt idx="82">
                  <c:v>24.262524054607617</c:v>
                </c:pt>
                <c:pt idx="83">
                  <c:v>24.079115394372565</c:v>
                </c:pt>
                <c:pt idx="84">
                  <c:v>24.435004273858986</c:v>
                </c:pt>
                <c:pt idx="85">
                  <c:v>23.239982090806091</c:v>
                </c:pt>
                <c:pt idx="86">
                  <c:v>22.608687042017404</c:v>
                </c:pt>
                <c:pt idx="87">
                  <c:v>22.426724096914636</c:v>
                </c:pt>
                <c:pt idx="88">
                  <c:v>22.484334785410926</c:v>
                </c:pt>
                <c:pt idx="89">
                  <c:v>22.722184359997382</c:v>
                </c:pt>
                <c:pt idx="90">
                  <c:v>22.736555611876224</c:v>
                </c:pt>
                <c:pt idx="91">
                  <c:v>23.772863418617618</c:v>
                </c:pt>
                <c:pt idx="92">
                  <c:v>24.120996661385949</c:v>
                </c:pt>
                <c:pt idx="93">
                  <c:v>24.050429968522856</c:v>
                </c:pt>
                <c:pt idx="94">
                  <c:v>22.888309890269277</c:v>
                </c:pt>
                <c:pt idx="95">
                  <c:v>22.745480739779122</c:v>
                </c:pt>
                <c:pt idx="96">
                  <c:v>22.85040582156698</c:v>
                </c:pt>
                <c:pt idx="97">
                  <c:v>23.254000693082514</c:v>
                </c:pt>
                <c:pt idx="98">
                  <c:v>23.45900264214281</c:v>
                </c:pt>
                <c:pt idx="99">
                  <c:v>22.910626896425335</c:v>
                </c:pt>
                <c:pt idx="100">
                  <c:v>22.586520194659492</c:v>
                </c:pt>
                <c:pt idx="101">
                  <c:v>22.200315764486344</c:v>
                </c:pt>
                <c:pt idx="102">
                  <c:v>22.096894557579962</c:v>
                </c:pt>
                <c:pt idx="103">
                  <c:v>21.821813736166078</c:v>
                </c:pt>
                <c:pt idx="104">
                  <c:v>20.81593591156712</c:v>
                </c:pt>
                <c:pt idx="105">
                  <c:v>21.187829717517445</c:v>
                </c:pt>
                <c:pt idx="106">
                  <c:v>21.077935588499891</c:v>
                </c:pt>
                <c:pt idx="107">
                  <c:v>21.766558933057077</c:v>
                </c:pt>
                <c:pt idx="108">
                  <c:v>21.349886793366132</c:v>
                </c:pt>
                <c:pt idx="109">
                  <c:v>22.550779208907493</c:v>
                </c:pt>
                <c:pt idx="110">
                  <c:v>22.191729125721587</c:v>
                </c:pt>
                <c:pt idx="111">
                  <c:v>21.954706737253566</c:v>
                </c:pt>
                <c:pt idx="112">
                  <c:v>22.089850311560749</c:v>
                </c:pt>
              </c:numCache>
            </c:numRef>
          </c:val>
          <c:smooth val="0"/>
        </c:ser>
        <c:ser>
          <c:idx val="1"/>
          <c:order val="1"/>
          <c:tx>
            <c:strRef>
              <c:f>'ŞEkil 1 ve ŞEkil 2'!$H$2</c:f>
              <c:strCache>
                <c:ptCount val="1"/>
                <c:pt idx="0">
                  <c:v>Ücretli erkek kayıt dışılık oranı </c:v>
                </c:pt>
              </c:strCache>
            </c:strRef>
          </c:tx>
          <c:marker>
            <c:symbol val="none"/>
          </c:marker>
          <c:cat>
            <c:numRef>
              <c:f>'ŞEkil 1 ve ŞEkil 2'!$I$3:$I$115</c:f>
              <c:numCache>
                <c:formatCode>mmm/yy</c:formatCode>
                <c:ptCount val="113"/>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pt idx="105">
                  <c:v>41548</c:v>
                </c:pt>
                <c:pt idx="106">
                  <c:v>41579</c:v>
                </c:pt>
                <c:pt idx="107">
                  <c:v>41609</c:v>
                </c:pt>
                <c:pt idx="108">
                  <c:v>41640</c:v>
                </c:pt>
                <c:pt idx="109">
                  <c:v>41671</c:v>
                </c:pt>
                <c:pt idx="110">
                  <c:v>41699</c:v>
                </c:pt>
                <c:pt idx="111">
                  <c:v>41730</c:v>
                </c:pt>
                <c:pt idx="112">
                  <c:v>41760</c:v>
                </c:pt>
              </c:numCache>
            </c:numRef>
          </c:cat>
          <c:val>
            <c:numRef>
              <c:f>'ŞEkil 1 ve ŞEkil 2'!$H$3:$H$115</c:f>
              <c:numCache>
                <c:formatCode>0.0</c:formatCode>
                <c:ptCount val="113"/>
                <c:pt idx="0">
                  <c:v>31.083975332401149</c:v>
                </c:pt>
                <c:pt idx="1">
                  <c:v>31.517221725890227</c:v>
                </c:pt>
                <c:pt idx="2">
                  <c:v>31.480005243069336</c:v>
                </c:pt>
                <c:pt idx="3">
                  <c:v>31.826872370489774</c:v>
                </c:pt>
                <c:pt idx="4">
                  <c:v>31.350676520213906</c:v>
                </c:pt>
                <c:pt idx="5">
                  <c:v>31.398081752278095</c:v>
                </c:pt>
                <c:pt idx="6">
                  <c:v>31.602640590709473</c:v>
                </c:pt>
                <c:pt idx="7">
                  <c:v>31.513903104002331</c:v>
                </c:pt>
                <c:pt idx="8">
                  <c:v>31.46808408424252</c:v>
                </c:pt>
                <c:pt idx="9">
                  <c:v>31.419407328187127</c:v>
                </c:pt>
                <c:pt idx="10">
                  <c:v>32.161924313856154</c:v>
                </c:pt>
                <c:pt idx="11">
                  <c:v>31.993359693481523</c:v>
                </c:pt>
                <c:pt idx="12">
                  <c:v>31.83747724019409</c:v>
                </c:pt>
                <c:pt idx="13">
                  <c:v>30.980444646101748</c:v>
                </c:pt>
                <c:pt idx="14">
                  <c:v>31.576857487054077</c:v>
                </c:pt>
                <c:pt idx="15">
                  <c:v>31.290888033965274</c:v>
                </c:pt>
                <c:pt idx="16">
                  <c:v>31.427538920558177</c:v>
                </c:pt>
                <c:pt idx="17">
                  <c:v>31.099345189490137</c:v>
                </c:pt>
                <c:pt idx="18">
                  <c:v>31.244034521003929</c:v>
                </c:pt>
                <c:pt idx="19">
                  <c:v>31.385208168494831</c:v>
                </c:pt>
                <c:pt idx="20">
                  <c:v>31.060769423713026</c:v>
                </c:pt>
                <c:pt idx="21">
                  <c:v>30.499397109497856</c:v>
                </c:pt>
                <c:pt idx="22">
                  <c:v>30.804935934716674</c:v>
                </c:pt>
                <c:pt idx="23">
                  <c:v>30.391041234249727</c:v>
                </c:pt>
                <c:pt idx="24">
                  <c:v>30.304674891836832</c:v>
                </c:pt>
                <c:pt idx="25">
                  <c:v>29.847951834176833</c:v>
                </c:pt>
                <c:pt idx="26">
                  <c:v>29.791611632888049</c:v>
                </c:pt>
                <c:pt idx="27">
                  <c:v>29.949334960768109</c:v>
                </c:pt>
                <c:pt idx="28">
                  <c:v>29.540283039828079</c:v>
                </c:pt>
                <c:pt idx="29">
                  <c:v>29.169298272254014</c:v>
                </c:pt>
                <c:pt idx="30">
                  <c:v>29.317548733322287</c:v>
                </c:pt>
                <c:pt idx="31">
                  <c:v>29.467376057356152</c:v>
                </c:pt>
                <c:pt idx="32">
                  <c:v>29.47798693375066</c:v>
                </c:pt>
                <c:pt idx="33">
                  <c:v>28.98871302615607</c:v>
                </c:pt>
                <c:pt idx="34">
                  <c:v>28.04425789855145</c:v>
                </c:pt>
                <c:pt idx="35">
                  <c:v>27.414087958350741</c:v>
                </c:pt>
                <c:pt idx="36">
                  <c:v>26.916007328334093</c:v>
                </c:pt>
                <c:pt idx="37">
                  <c:v>27.399703229427129</c:v>
                </c:pt>
                <c:pt idx="38">
                  <c:v>26.54222166633788</c:v>
                </c:pt>
                <c:pt idx="39">
                  <c:v>26.462736551059621</c:v>
                </c:pt>
                <c:pt idx="40">
                  <c:v>25.928596901683775</c:v>
                </c:pt>
                <c:pt idx="41">
                  <c:v>26.256922798063449</c:v>
                </c:pt>
                <c:pt idx="42">
                  <c:v>26.234016271554093</c:v>
                </c:pt>
                <c:pt idx="43">
                  <c:v>25.967719139785618</c:v>
                </c:pt>
                <c:pt idx="44">
                  <c:v>25.988478212397947</c:v>
                </c:pt>
                <c:pt idx="45">
                  <c:v>26.379520474800987</c:v>
                </c:pt>
                <c:pt idx="46">
                  <c:v>25.955225630945719</c:v>
                </c:pt>
                <c:pt idx="47">
                  <c:v>25.648969512487557</c:v>
                </c:pt>
                <c:pt idx="48">
                  <c:v>25.551316757444191</c:v>
                </c:pt>
                <c:pt idx="49">
                  <c:v>25.66747684714575</c:v>
                </c:pt>
                <c:pt idx="50">
                  <c:v>25.518204000833926</c:v>
                </c:pt>
                <c:pt idx="51">
                  <c:v>25.376844624923521</c:v>
                </c:pt>
                <c:pt idx="52">
                  <c:v>26.680877207895495</c:v>
                </c:pt>
                <c:pt idx="53">
                  <c:v>26.845368137024668</c:v>
                </c:pt>
                <c:pt idx="54">
                  <c:v>27.045172868510427</c:v>
                </c:pt>
                <c:pt idx="55">
                  <c:v>26.090535867728189</c:v>
                </c:pt>
                <c:pt idx="56">
                  <c:v>25.948773458367622</c:v>
                </c:pt>
                <c:pt idx="57">
                  <c:v>25.799478785503052</c:v>
                </c:pt>
                <c:pt idx="58">
                  <c:v>25.972519339332379</c:v>
                </c:pt>
                <c:pt idx="59">
                  <c:v>26.113774764646813</c:v>
                </c:pt>
                <c:pt idx="60">
                  <c:v>25.804891719479894</c:v>
                </c:pt>
                <c:pt idx="61">
                  <c:v>25.881372089654388</c:v>
                </c:pt>
                <c:pt idx="62">
                  <c:v>26.372975893640103</c:v>
                </c:pt>
                <c:pt idx="63">
                  <c:v>26.511365378132588</c:v>
                </c:pt>
                <c:pt idx="64">
                  <c:v>25.91401893159826</c:v>
                </c:pt>
                <c:pt idx="65">
                  <c:v>25.629823378734329</c:v>
                </c:pt>
                <c:pt idx="66">
                  <c:v>25.811595724725965</c:v>
                </c:pt>
                <c:pt idx="67">
                  <c:v>25.288337781911249</c:v>
                </c:pt>
                <c:pt idx="68">
                  <c:v>24.872156501617702</c:v>
                </c:pt>
                <c:pt idx="69">
                  <c:v>24.871057108101564</c:v>
                </c:pt>
                <c:pt idx="70">
                  <c:v>25.017414799899235</c:v>
                </c:pt>
                <c:pt idx="71">
                  <c:v>25.30944346580203</c:v>
                </c:pt>
                <c:pt idx="72">
                  <c:v>25.105817247742927</c:v>
                </c:pt>
                <c:pt idx="73">
                  <c:v>25.348406889508489</c:v>
                </c:pt>
                <c:pt idx="74">
                  <c:v>25.312406759639899</c:v>
                </c:pt>
                <c:pt idx="75">
                  <c:v>25.198513112972382</c:v>
                </c:pt>
                <c:pt idx="76">
                  <c:v>25.295920236608421</c:v>
                </c:pt>
                <c:pt idx="77">
                  <c:v>25.168685878105649</c:v>
                </c:pt>
                <c:pt idx="78">
                  <c:v>24.58729166643035</c:v>
                </c:pt>
                <c:pt idx="79">
                  <c:v>24.786719344690539</c:v>
                </c:pt>
                <c:pt idx="80">
                  <c:v>24.696004291587627</c:v>
                </c:pt>
                <c:pt idx="81">
                  <c:v>23.941127682541264</c:v>
                </c:pt>
                <c:pt idx="82">
                  <c:v>23.679872277815267</c:v>
                </c:pt>
                <c:pt idx="83">
                  <c:v>23.209597244378596</c:v>
                </c:pt>
                <c:pt idx="84">
                  <c:v>23.460593275038779</c:v>
                </c:pt>
                <c:pt idx="85">
                  <c:v>22.416609184601729</c:v>
                </c:pt>
                <c:pt idx="86">
                  <c:v>21.941453001022374</c:v>
                </c:pt>
                <c:pt idx="87">
                  <c:v>21.823581854877826</c:v>
                </c:pt>
                <c:pt idx="88">
                  <c:v>22.246984186331087</c:v>
                </c:pt>
                <c:pt idx="89">
                  <c:v>21.825435782736722</c:v>
                </c:pt>
                <c:pt idx="90">
                  <c:v>21.311222761817191</c:v>
                </c:pt>
                <c:pt idx="91">
                  <c:v>20.971381234091346</c:v>
                </c:pt>
                <c:pt idx="92">
                  <c:v>21.086316614592519</c:v>
                </c:pt>
                <c:pt idx="93">
                  <c:v>21.216886451835428</c:v>
                </c:pt>
                <c:pt idx="94">
                  <c:v>20.871331424488556</c:v>
                </c:pt>
                <c:pt idx="95">
                  <c:v>20.860545142552532</c:v>
                </c:pt>
                <c:pt idx="96">
                  <c:v>20.843459027741236</c:v>
                </c:pt>
                <c:pt idx="97">
                  <c:v>21.34290506190899</c:v>
                </c:pt>
                <c:pt idx="98">
                  <c:v>20.750837972847126</c:v>
                </c:pt>
                <c:pt idx="99">
                  <c:v>20.229392944330712</c:v>
                </c:pt>
                <c:pt idx="100">
                  <c:v>19.125472543816926</c:v>
                </c:pt>
                <c:pt idx="101">
                  <c:v>18.934913301972159</c:v>
                </c:pt>
                <c:pt idx="102">
                  <c:v>18.074759686870593</c:v>
                </c:pt>
                <c:pt idx="103">
                  <c:v>18.374556644219687</c:v>
                </c:pt>
                <c:pt idx="104">
                  <c:v>17.931811388322625</c:v>
                </c:pt>
                <c:pt idx="105">
                  <c:v>18.10985701445054</c:v>
                </c:pt>
                <c:pt idx="106">
                  <c:v>17.50991692203495</c:v>
                </c:pt>
                <c:pt idx="107">
                  <c:v>17.579401466636035</c:v>
                </c:pt>
                <c:pt idx="108">
                  <c:v>17.865876980877712</c:v>
                </c:pt>
                <c:pt idx="109">
                  <c:v>20.121194866972143</c:v>
                </c:pt>
                <c:pt idx="110">
                  <c:v>19.81412718122569</c:v>
                </c:pt>
                <c:pt idx="111">
                  <c:v>19.083452590969863</c:v>
                </c:pt>
                <c:pt idx="112">
                  <c:v>18.799889350398892</c:v>
                </c:pt>
              </c:numCache>
            </c:numRef>
          </c:val>
          <c:smooth val="0"/>
        </c:ser>
        <c:dLbls>
          <c:showLegendKey val="0"/>
          <c:showVal val="0"/>
          <c:showCatName val="0"/>
          <c:showSerName val="0"/>
          <c:showPercent val="0"/>
          <c:showBubbleSize val="0"/>
        </c:dLbls>
        <c:marker val="1"/>
        <c:smooth val="0"/>
        <c:axId val="149241216"/>
        <c:axId val="149251200"/>
      </c:lineChart>
      <c:dateAx>
        <c:axId val="149241216"/>
        <c:scaling>
          <c:orientation val="minMax"/>
        </c:scaling>
        <c:delete val="0"/>
        <c:axPos val="b"/>
        <c:numFmt formatCode="mmm/yy" sourceLinked="1"/>
        <c:majorTickMark val="out"/>
        <c:minorTickMark val="none"/>
        <c:tickLblPos val="nextTo"/>
        <c:txPr>
          <a:bodyPr rot="-5400000" vert="horz"/>
          <a:lstStyle/>
          <a:p>
            <a:pPr>
              <a:defRPr sz="800"/>
            </a:pPr>
            <a:endParaRPr lang="tr-TR"/>
          </a:p>
        </c:txPr>
        <c:crossAx val="149251200"/>
        <c:crosses val="autoZero"/>
        <c:auto val="1"/>
        <c:lblOffset val="100"/>
        <c:baseTimeUnit val="months"/>
      </c:dateAx>
      <c:valAx>
        <c:axId val="149251200"/>
        <c:scaling>
          <c:orientation val="minMax"/>
          <c:min val="15"/>
        </c:scaling>
        <c:delete val="0"/>
        <c:axPos val="l"/>
        <c:title>
          <c:tx>
            <c:rich>
              <a:bodyPr rot="-5400000" vert="horz"/>
              <a:lstStyle/>
              <a:p>
                <a:pPr>
                  <a:defRPr sz="800"/>
                </a:pPr>
                <a:r>
                  <a:rPr lang="tr-TR" sz="800"/>
                  <a:t>Kayıt dışılık oranları (%)</a:t>
                </a:r>
              </a:p>
            </c:rich>
          </c:tx>
          <c:overlay val="0"/>
        </c:title>
        <c:numFmt formatCode="0" sourceLinked="0"/>
        <c:majorTickMark val="out"/>
        <c:minorTickMark val="none"/>
        <c:tickLblPos val="nextTo"/>
        <c:txPr>
          <a:bodyPr/>
          <a:lstStyle/>
          <a:p>
            <a:pPr>
              <a:defRPr sz="800"/>
            </a:pPr>
            <a:endParaRPr lang="tr-TR"/>
          </a:p>
        </c:txPr>
        <c:crossAx val="149241216"/>
        <c:crosses val="autoZero"/>
        <c:crossBetween val="between"/>
      </c:valAx>
    </c:plotArea>
    <c:legend>
      <c:legendPos val="b"/>
      <c:overlay val="0"/>
      <c:txPr>
        <a:bodyPr/>
        <a:lstStyle/>
        <a:p>
          <a:pPr>
            <a:defRPr sz="900"/>
          </a:pPr>
          <a:endParaRPr lang="tr-TR"/>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868F0-EA08-457D-B5B8-A59CF6945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mine.durmaz</dc:creator>
  <cp:lastModifiedBy>merve.akgul</cp:lastModifiedBy>
  <cp:revision>4</cp:revision>
  <dcterms:created xsi:type="dcterms:W3CDTF">2014-09-09T11:01:00Z</dcterms:created>
  <dcterms:modified xsi:type="dcterms:W3CDTF">2014-09-09T11:21:00Z</dcterms:modified>
</cp:coreProperties>
</file>