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D3" w:rsidRDefault="003234F0" w:rsidP="001E4BF5">
      <w:pPr>
        <w:spacing w:line="360" w:lineRule="auto"/>
        <w:ind w:right="-319"/>
        <w:jc w:val="center"/>
        <w:outlineLvl w:val="0"/>
        <w:rPr>
          <w:rFonts w:ascii="Arial" w:hAnsi="Arial" w:cs="Arial"/>
          <w:b/>
          <w:bCs/>
          <w:sz w:val="32"/>
          <w:szCs w:val="32"/>
        </w:rPr>
      </w:pPr>
      <w:r w:rsidRPr="003234F0">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31.4pt;margin-top:-38.65pt;width:346.2pt;height:44.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qviwIAAB0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" stroked="f">
            <v:fill opacity="0"/>
            <v:textbox inset="0,0,0,0">
              <w:txbxContent>
                <w:p w:rsidR="00E57928" w:rsidRDefault="00E57928" w:rsidP="00E57928">
                  <w:pPr>
                    <w:pStyle w:val="Heading1"/>
                    <w:jc w:val="left"/>
                    <w:rPr>
                      <w:rFonts w:ascii="Times New Roman" w:hAnsi="Times New Roman"/>
                      <w:sz w:val="40"/>
                      <w:szCs w:val="40"/>
                    </w:rPr>
                  </w:pPr>
                  <w:r>
                    <w:rPr>
                      <w:rFonts w:ascii="Times New Roman" w:hAnsi="Times New Roman"/>
                      <w:sz w:val="40"/>
                      <w:szCs w:val="40"/>
                    </w:rPr>
                    <w:t xml:space="preserve">Ekonomik Görünüm ve Tahminler: </w:t>
                  </w:r>
                </w:p>
                <w:p w:rsidR="00E57928" w:rsidRPr="0026114C" w:rsidRDefault="00E57928" w:rsidP="00E57928">
                  <w:pPr>
                    <w:pStyle w:val="Heading1"/>
                    <w:rPr>
                      <w:rFonts w:ascii="Times New Roman" w:hAnsi="Times New Roman"/>
                      <w:sz w:val="40"/>
                      <w:szCs w:val="40"/>
                    </w:rPr>
                  </w:pPr>
                  <w:r>
                    <w:rPr>
                      <w:rFonts w:ascii="Times New Roman" w:hAnsi="Times New Roman"/>
                      <w:sz w:val="40"/>
                      <w:szCs w:val="40"/>
                    </w:rPr>
                    <w:t>Haziran 2014</w:t>
                  </w:r>
                </w:p>
                <w:p w:rsidR="00E57928" w:rsidRPr="00A75A46" w:rsidRDefault="00E57928" w:rsidP="00E57928">
                  <w:pPr>
                    <w:pStyle w:val="Heading2"/>
                    <w:rPr>
                      <w:b w:val="0"/>
                      <w:bCs w:val="0"/>
                      <w:i w:val="0"/>
                      <w:iCs w:val="0"/>
                      <w:lang w:val="nl-NL"/>
                    </w:rPr>
                  </w:pPr>
                </w:p>
              </w:txbxContent>
            </v:textbox>
          </v:shape>
        </w:pict>
      </w:r>
      <w:r w:rsidRPr="003234F0">
        <w:rPr>
          <w:noProof/>
        </w:rPr>
        <w:pict>
          <v:shape id="Text Box 4" o:spid="_x0000_s1027" type="#_x0000_t202" style="position:absolute;left:0;text-align:left;margin-left:376.2pt;margin-top:14.95pt;width:187.9pt;height:27.4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" stroked="f">
            <v:fill opacity="0"/>
            <v:textbox inset="0,0,0,0">
              <w:txbxContent>
                <w:p w:rsidR="00E57928" w:rsidRPr="00DB7229" w:rsidRDefault="00E57928" w:rsidP="00E57928">
                  <w:pPr>
                    <w:pStyle w:val="Heading3"/>
                    <w:rPr>
                      <w:color w:val="FFFFFF"/>
                      <w:sz w:val="22"/>
                      <w:szCs w:val="22"/>
                    </w:rPr>
                  </w:pPr>
                  <w:r>
                    <w:rPr>
                      <w:color w:val="FFFFFF"/>
                      <w:sz w:val="22"/>
                      <w:szCs w:val="22"/>
                    </w:rPr>
                    <w:t xml:space="preserve">         12 Haziran 2014</w:t>
                  </w:r>
                </w:p>
                <w:p w:rsidR="00E57928" w:rsidRDefault="00E57928" w:rsidP="00E57928"/>
              </w:txbxContent>
            </v:textbox>
          </v:shape>
        </w:pict>
      </w:r>
      <w:r w:rsidR="00E57928" w:rsidRPr="00E57928">
        <w:rPr>
          <w:rFonts w:ascii="Arial" w:hAnsi="Arial" w:cs="Arial"/>
          <w:b/>
          <w:bCs/>
          <w:noProof/>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8"/>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Default="00054BD3" w:rsidP="001E4BF5">
      <w:pPr>
        <w:spacing w:line="360" w:lineRule="auto"/>
        <w:ind w:right="-319"/>
        <w:jc w:val="center"/>
        <w:outlineLvl w:val="0"/>
        <w:rPr>
          <w:rFonts w:ascii="Arial" w:hAnsi="Arial" w:cs="Arial"/>
          <w:b/>
          <w:bCs/>
          <w:sz w:val="32"/>
          <w:szCs w:val="32"/>
        </w:rPr>
      </w:pPr>
    </w:p>
    <w:p w:rsidR="009438A8" w:rsidRDefault="009438A8" w:rsidP="009438A8">
      <w:pPr>
        <w:ind w:right="-317"/>
        <w:jc w:val="center"/>
        <w:outlineLvl w:val="0"/>
        <w:rPr>
          <w:rFonts w:ascii="Arial" w:hAnsi="Arial" w:cs="Arial"/>
          <w:b/>
          <w:bCs/>
          <w:caps/>
          <w:sz w:val="28"/>
          <w:szCs w:val="28"/>
        </w:rPr>
      </w:pPr>
    </w:p>
    <w:p w:rsidR="009438A8" w:rsidRDefault="003D472B" w:rsidP="009438A8">
      <w:pPr>
        <w:ind w:right="-317"/>
        <w:jc w:val="center"/>
        <w:outlineLvl w:val="0"/>
        <w:rPr>
          <w:rFonts w:ascii="Arial" w:hAnsi="Arial" w:cs="Arial"/>
          <w:b/>
          <w:bCs/>
          <w:caps/>
          <w:sz w:val="28"/>
          <w:szCs w:val="28"/>
        </w:rPr>
      </w:pPr>
      <w:r>
        <w:rPr>
          <w:rFonts w:ascii="Arial" w:hAnsi="Arial" w:cs="Arial"/>
          <w:b/>
          <w:bCs/>
          <w:caps/>
          <w:sz w:val="28"/>
          <w:szCs w:val="28"/>
        </w:rPr>
        <w:t>İkinci</w:t>
      </w:r>
      <w:r w:rsidR="009438A8">
        <w:rPr>
          <w:rFonts w:ascii="Arial" w:hAnsi="Arial" w:cs="Arial"/>
          <w:b/>
          <w:bCs/>
          <w:caps/>
          <w:sz w:val="28"/>
          <w:szCs w:val="28"/>
        </w:rPr>
        <w:t xml:space="preserve"> çeyrekte </w:t>
      </w:r>
      <w:r>
        <w:rPr>
          <w:rFonts w:ascii="Arial" w:hAnsi="Arial" w:cs="Arial"/>
          <w:b/>
          <w:bCs/>
          <w:caps/>
          <w:sz w:val="28"/>
          <w:szCs w:val="28"/>
        </w:rPr>
        <w:t>İç</w:t>
      </w:r>
      <w:r w:rsidR="009438A8">
        <w:rPr>
          <w:rFonts w:ascii="Arial" w:hAnsi="Arial" w:cs="Arial"/>
          <w:b/>
          <w:bCs/>
          <w:caps/>
          <w:sz w:val="28"/>
          <w:szCs w:val="28"/>
        </w:rPr>
        <w:t xml:space="preserve"> talep </w:t>
      </w:r>
      <w:r>
        <w:rPr>
          <w:rFonts w:ascii="Arial" w:hAnsi="Arial" w:cs="Arial"/>
          <w:b/>
          <w:bCs/>
          <w:caps/>
          <w:sz w:val="28"/>
          <w:szCs w:val="28"/>
        </w:rPr>
        <w:t>canlanıyor</w:t>
      </w:r>
      <w:r w:rsidR="009438A8">
        <w:rPr>
          <w:rFonts w:ascii="Arial" w:hAnsi="Arial" w:cs="Arial"/>
          <w:b/>
          <w:bCs/>
          <w:caps/>
          <w:sz w:val="28"/>
          <w:szCs w:val="28"/>
        </w:rPr>
        <w:t xml:space="preserve"> </w:t>
      </w:r>
    </w:p>
    <w:p w:rsidR="009438A8" w:rsidRDefault="009438A8" w:rsidP="009438A8">
      <w:pPr>
        <w:ind w:right="-317"/>
        <w:jc w:val="center"/>
        <w:outlineLvl w:val="0"/>
        <w:rPr>
          <w:rFonts w:ascii="Arial" w:hAnsi="Arial" w:cs="Arial"/>
          <w:b/>
          <w:bCs/>
          <w:caps/>
          <w:sz w:val="28"/>
          <w:szCs w:val="28"/>
        </w:rPr>
      </w:pPr>
    </w:p>
    <w:p w:rsidR="009438A8" w:rsidRPr="00D63675" w:rsidRDefault="009438A8" w:rsidP="009438A8">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Pr>
          <w:rFonts w:ascii="Arial" w:hAnsi="Arial" w:cs="Arial"/>
          <w:b/>
          <w:bCs/>
          <w:sz w:val="21"/>
          <w:szCs w:val="21"/>
          <w:vertAlign w:val="superscript"/>
        </w:rPr>
        <w:t>**</w:t>
      </w:r>
    </w:p>
    <w:p w:rsidR="009438A8" w:rsidRDefault="009438A8" w:rsidP="009438A8">
      <w:pPr>
        <w:spacing w:line="360" w:lineRule="auto"/>
        <w:ind w:right="-319"/>
        <w:jc w:val="center"/>
        <w:outlineLvl w:val="0"/>
        <w:rPr>
          <w:rFonts w:ascii="Arial" w:hAnsi="Arial" w:cs="Arial"/>
          <w:sz w:val="22"/>
          <w:szCs w:val="22"/>
          <w:vertAlign w:val="superscript"/>
        </w:rPr>
      </w:pPr>
    </w:p>
    <w:p w:rsidR="009438A8" w:rsidRPr="004A7FE6" w:rsidRDefault="009438A8" w:rsidP="009438A8">
      <w:pPr>
        <w:spacing w:line="360" w:lineRule="auto"/>
        <w:ind w:right="-319"/>
        <w:jc w:val="center"/>
        <w:outlineLvl w:val="0"/>
        <w:rPr>
          <w:rFonts w:ascii="Arial" w:hAnsi="Arial" w:cs="Arial"/>
          <w:sz w:val="22"/>
          <w:szCs w:val="22"/>
          <w:vertAlign w:val="superscript"/>
        </w:rPr>
        <w:sectPr w:rsidR="009438A8" w:rsidRPr="004A7FE6" w:rsidSect="008651A8">
          <w:footerReference w:type="default" r:id="rId9"/>
          <w:type w:val="continuous"/>
          <w:pgSz w:w="11906" w:h="16838"/>
          <w:pgMar w:top="1417" w:right="1417" w:bottom="1417" w:left="1417" w:header="708" w:footer="708" w:gutter="0"/>
          <w:cols w:space="708"/>
          <w:docGrid w:linePitch="360"/>
        </w:sectPr>
      </w:pPr>
    </w:p>
    <w:p w:rsidR="009438A8" w:rsidRDefault="009438A8" w:rsidP="00F3464A">
      <w:pPr>
        <w:spacing w:line="360" w:lineRule="auto"/>
        <w:ind w:left="-360" w:right="42" w:firstLine="360"/>
        <w:jc w:val="center"/>
        <w:rPr>
          <w:b/>
          <w:bCs/>
          <w:sz w:val="22"/>
          <w:szCs w:val="22"/>
        </w:rPr>
      </w:pPr>
      <w:r w:rsidRPr="004A7FE6">
        <w:rPr>
          <w:b/>
          <w:bCs/>
          <w:sz w:val="22"/>
          <w:szCs w:val="22"/>
        </w:rPr>
        <w:lastRenderedPageBreak/>
        <w:t>Yönetici Özeti</w:t>
      </w:r>
    </w:p>
    <w:p w:rsidR="009438A8" w:rsidRPr="002B6972" w:rsidRDefault="009438A8" w:rsidP="009438A8">
      <w:pPr>
        <w:spacing w:line="360" w:lineRule="auto"/>
        <w:ind w:left="-360" w:right="42" w:firstLine="360"/>
        <w:jc w:val="center"/>
        <w:rPr>
          <w:b/>
          <w:bCs/>
          <w:sz w:val="22"/>
          <w:szCs w:val="22"/>
        </w:rPr>
      </w:pPr>
    </w:p>
    <w:p w:rsidR="009438A8" w:rsidRDefault="009438A8" w:rsidP="009438A8">
      <w:pPr>
        <w:spacing w:line="360" w:lineRule="auto"/>
        <w:ind w:left="-360" w:right="40"/>
        <w:jc w:val="both"/>
        <w:rPr>
          <w:sz w:val="22"/>
          <w:szCs w:val="22"/>
        </w:rPr>
      </w:pPr>
      <w:r>
        <w:rPr>
          <w:sz w:val="22"/>
          <w:szCs w:val="22"/>
        </w:rPr>
        <w:t xml:space="preserve">Mevsim ve takvim etkisinden arındırılmış </w:t>
      </w:r>
      <w:r w:rsidR="003D472B">
        <w:rPr>
          <w:sz w:val="22"/>
          <w:szCs w:val="22"/>
        </w:rPr>
        <w:t>Sanayi Üretim Endeksi (SÜE) Nisan</w:t>
      </w:r>
      <w:r>
        <w:rPr>
          <w:sz w:val="22"/>
          <w:szCs w:val="22"/>
        </w:rPr>
        <w:t xml:space="preserve"> ayında bir önceki aya göre yüzde </w:t>
      </w:r>
      <w:r w:rsidR="003D472B">
        <w:rPr>
          <w:sz w:val="22"/>
          <w:szCs w:val="22"/>
        </w:rPr>
        <w:t>1,0 oranında</w:t>
      </w:r>
      <w:r>
        <w:rPr>
          <w:sz w:val="22"/>
          <w:szCs w:val="22"/>
        </w:rPr>
        <w:t xml:space="preserve"> </w:t>
      </w:r>
      <w:r w:rsidR="003D472B">
        <w:rPr>
          <w:sz w:val="22"/>
          <w:szCs w:val="22"/>
        </w:rPr>
        <w:t>arttı</w:t>
      </w:r>
      <w:r>
        <w:rPr>
          <w:sz w:val="22"/>
          <w:szCs w:val="22"/>
        </w:rPr>
        <w:t>. İ</w:t>
      </w:r>
      <w:r w:rsidRPr="00A41035">
        <w:rPr>
          <w:sz w:val="22"/>
          <w:szCs w:val="22"/>
        </w:rPr>
        <w:t xml:space="preserve">hracat miktar endeksi yüzde </w:t>
      </w:r>
      <w:r w:rsidR="003D472B">
        <w:rPr>
          <w:sz w:val="22"/>
          <w:szCs w:val="22"/>
        </w:rPr>
        <w:t>8</w:t>
      </w:r>
      <w:r w:rsidRPr="00A41035">
        <w:rPr>
          <w:sz w:val="22"/>
          <w:szCs w:val="22"/>
        </w:rPr>
        <w:t>,</w:t>
      </w:r>
      <w:r w:rsidR="003D472B">
        <w:rPr>
          <w:sz w:val="22"/>
          <w:szCs w:val="22"/>
        </w:rPr>
        <w:t>1</w:t>
      </w:r>
      <w:r>
        <w:rPr>
          <w:sz w:val="22"/>
          <w:szCs w:val="22"/>
        </w:rPr>
        <w:t xml:space="preserve"> </w:t>
      </w:r>
      <w:r w:rsidR="003D472B">
        <w:rPr>
          <w:sz w:val="22"/>
          <w:szCs w:val="22"/>
        </w:rPr>
        <w:t>azalırk</w:t>
      </w:r>
      <w:r>
        <w:rPr>
          <w:sz w:val="22"/>
          <w:szCs w:val="22"/>
        </w:rPr>
        <w:t>en,</w:t>
      </w:r>
      <w:r w:rsidRPr="00A41035">
        <w:rPr>
          <w:sz w:val="22"/>
          <w:szCs w:val="22"/>
        </w:rPr>
        <w:t xml:space="preserve"> ithalat miktar endeksi yüzde </w:t>
      </w:r>
      <w:r w:rsidR="003D472B">
        <w:rPr>
          <w:sz w:val="22"/>
          <w:szCs w:val="22"/>
        </w:rPr>
        <w:t>0</w:t>
      </w:r>
      <w:r>
        <w:rPr>
          <w:sz w:val="22"/>
          <w:szCs w:val="22"/>
        </w:rPr>
        <w:t>,</w:t>
      </w:r>
      <w:r w:rsidR="003D472B">
        <w:rPr>
          <w:sz w:val="22"/>
          <w:szCs w:val="22"/>
        </w:rPr>
        <w:t>7</w:t>
      </w:r>
      <w:r>
        <w:rPr>
          <w:sz w:val="22"/>
          <w:szCs w:val="22"/>
        </w:rPr>
        <w:t xml:space="preserve"> oranında a</w:t>
      </w:r>
      <w:r w:rsidR="003D472B">
        <w:rPr>
          <w:sz w:val="22"/>
          <w:szCs w:val="22"/>
        </w:rPr>
        <w:t>rttı</w:t>
      </w:r>
      <w:r w:rsidRPr="00A41035">
        <w:rPr>
          <w:sz w:val="22"/>
          <w:szCs w:val="22"/>
        </w:rPr>
        <w:t>.</w:t>
      </w:r>
      <w:r>
        <w:rPr>
          <w:sz w:val="22"/>
          <w:szCs w:val="22"/>
        </w:rPr>
        <w:t xml:space="preserve"> </w:t>
      </w:r>
      <w:r w:rsidR="003D472B">
        <w:rPr>
          <w:sz w:val="22"/>
          <w:szCs w:val="22"/>
        </w:rPr>
        <w:t>Altın hariç ihracat ise artmaya devam etti.</w:t>
      </w:r>
      <w:r>
        <w:rPr>
          <w:sz w:val="22"/>
          <w:szCs w:val="22"/>
        </w:rPr>
        <w:t xml:space="preserve"> Göstergeler ik</w:t>
      </w:r>
      <w:r w:rsidR="003D472B">
        <w:rPr>
          <w:sz w:val="22"/>
          <w:szCs w:val="22"/>
        </w:rPr>
        <w:t>inci</w:t>
      </w:r>
      <w:r>
        <w:rPr>
          <w:sz w:val="22"/>
          <w:szCs w:val="22"/>
        </w:rPr>
        <w:t xml:space="preserve"> çeyrekte tüketim ve yatırımların </w:t>
      </w:r>
      <w:r w:rsidR="003D472B">
        <w:rPr>
          <w:sz w:val="22"/>
          <w:szCs w:val="22"/>
        </w:rPr>
        <w:t>bir miktar canlandığına işaret ediyor</w:t>
      </w:r>
      <w:r>
        <w:rPr>
          <w:sz w:val="22"/>
          <w:szCs w:val="22"/>
        </w:rPr>
        <w:t xml:space="preserve">. </w:t>
      </w:r>
      <w:r w:rsidR="00C73E6D">
        <w:rPr>
          <w:sz w:val="22"/>
          <w:szCs w:val="22"/>
        </w:rPr>
        <w:t>Altın hariç i</w:t>
      </w:r>
      <w:r>
        <w:rPr>
          <w:sz w:val="22"/>
          <w:szCs w:val="22"/>
        </w:rPr>
        <w:t xml:space="preserve">hracat </w:t>
      </w:r>
      <w:r w:rsidR="003D472B">
        <w:rPr>
          <w:sz w:val="22"/>
          <w:szCs w:val="22"/>
        </w:rPr>
        <w:t>artarak büyümeye destek vermeye devam ediyor ancak etki ilk çeyrekteki kadar yüksek olmayacak</w:t>
      </w:r>
      <w:r>
        <w:rPr>
          <w:sz w:val="22"/>
          <w:szCs w:val="22"/>
        </w:rPr>
        <w:t xml:space="preserve">. </w:t>
      </w:r>
      <w:r w:rsidR="003D472B">
        <w:rPr>
          <w:sz w:val="22"/>
          <w:szCs w:val="22"/>
        </w:rPr>
        <w:t>İkinci çeyreğe dair</w:t>
      </w:r>
      <w:r>
        <w:rPr>
          <w:sz w:val="22"/>
          <w:szCs w:val="22"/>
        </w:rPr>
        <w:t xml:space="preserve"> </w:t>
      </w:r>
      <w:r w:rsidR="003D472B">
        <w:rPr>
          <w:sz w:val="22"/>
          <w:szCs w:val="22"/>
        </w:rPr>
        <w:t xml:space="preserve">ilk </w:t>
      </w:r>
      <w:r>
        <w:rPr>
          <w:sz w:val="22"/>
          <w:szCs w:val="22"/>
        </w:rPr>
        <w:t xml:space="preserve">büyüme tahminimiz </w:t>
      </w:r>
      <w:r w:rsidR="003D472B">
        <w:rPr>
          <w:sz w:val="22"/>
          <w:szCs w:val="22"/>
        </w:rPr>
        <w:t>bir önceki</w:t>
      </w:r>
      <w:r>
        <w:rPr>
          <w:sz w:val="22"/>
          <w:szCs w:val="22"/>
        </w:rPr>
        <w:t xml:space="preserve"> çeyreğe kıyasla ekonominin yüzde 0,</w:t>
      </w:r>
      <w:r w:rsidR="003D472B">
        <w:rPr>
          <w:sz w:val="22"/>
          <w:szCs w:val="22"/>
        </w:rPr>
        <w:t>8</w:t>
      </w:r>
      <w:r>
        <w:rPr>
          <w:sz w:val="22"/>
          <w:szCs w:val="22"/>
        </w:rPr>
        <w:t xml:space="preserve"> oranında büyüyeceğini</w:t>
      </w:r>
      <w:r w:rsidR="003D472B">
        <w:rPr>
          <w:sz w:val="22"/>
          <w:szCs w:val="22"/>
        </w:rPr>
        <w:t xml:space="preserve"> öngörüyor.</w:t>
      </w:r>
      <w:r>
        <w:rPr>
          <w:sz w:val="22"/>
          <w:szCs w:val="22"/>
        </w:rPr>
        <w:t xml:space="preserve"> </w:t>
      </w:r>
      <w:r w:rsidR="003D472B">
        <w:rPr>
          <w:sz w:val="22"/>
          <w:szCs w:val="22"/>
        </w:rPr>
        <w:t>Ö</w:t>
      </w:r>
      <w:r>
        <w:rPr>
          <w:sz w:val="22"/>
          <w:szCs w:val="22"/>
        </w:rPr>
        <w:t>nceki yılın aynı çeyreğine göre yıllık büyümenin ise yüzd</w:t>
      </w:r>
      <w:r w:rsidR="003D472B">
        <w:rPr>
          <w:sz w:val="22"/>
          <w:szCs w:val="22"/>
        </w:rPr>
        <w:t>e 3,8</w:t>
      </w:r>
      <w:r>
        <w:rPr>
          <w:sz w:val="22"/>
          <w:szCs w:val="22"/>
        </w:rPr>
        <w:t xml:space="preserve"> olacağını tahmin ediyoruz. </w:t>
      </w:r>
    </w:p>
    <w:p w:rsidR="009438A8" w:rsidRDefault="009438A8" w:rsidP="009438A8">
      <w:pPr>
        <w:spacing w:line="360" w:lineRule="auto"/>
        <w:ind w:left="-360" w:right="40"/>
        <w:jc w:val="both"/>
        <w:rPr>
          <w:sz w:val="22"/>
          <w:szCs w:val="22"/>
        </w:rPr>
      </w:pPr>
    </w:p>
    <w:p w:rsidR="005A0E6F" w:rsidRDefault="000B2AF0" w:rsidP="009438A8">
      <w:pPr>
        <w:spacing w:line="360" w:lineRule="auto"/>
        <w:ind w:left="-360" w:right="40"/>
        <w:jc w:val="both"/>
        <w:rPr>
          <w:sz w:val="22"/>
          <w:szCs w:val="22"/>
        </w:rPr>
      </w:pPr>
      <w:r>
        <w:rPr>
          <w:sz w:val="22"/>
          <w:szCs w:val="22"/>
        </w:rPr>
        <w:t>C</w:t>
      </w:r>
      <w:r w:rsidR="009438A8">
        <w:rPr>
          <w:sz w:val="22"/>
          <w:szCs w:val="22"/>
        </w:rPr>
        <w:t xml:space="preserve">ari açık azalmaya devam ediyor. </w:t>
      </w:r>
      <w:r>
        <w:rPr>
          <w:sz w:val="22"/>
          <w:szCs w:val="22"/>
        </w:rPr>
        <w:t>Nisan</w:t>
      </w:r>
      <w:r w:rsidR="009438A8">
        <w:rPr>
          <w:sz w:val="22"/>
          <w:szCs w:val="22"/>
        </w:rPr>
        <w:t xml:space="preserve"> ayı cari açığı </w:t>
      </w:r>
      <w:r>
        <w:rPr>
          <w:sz w:val="22"/>
          <w:szCs w:val="22"/>
        </w:rPr>
        <w:t>4</w:t>
      </w:r>
      <w:r w:rsidR="009438A8">
        <w:rPr>
          <w:sz w:val="22"/>
          <w:szCs w:val="22"/>
        </w:rPr>
        <w:t>,</w:t>
      </w:r>
      <w:r>
        <w:rPr>
          <w:sz w:val="22"/>
          <w:szCs w:val="22"/>
        </w:rPr>
        <w:t>8</w:t>
      </w:r>
      <w:r w:rsidR="009438A8">
        <w:rPr>
          <w:sz w:val="22"/>
          <w:szCs w:val="22"/>
        </w:rPr>
        <w:t xml:space="preserve"> milyar dolar olarak açıklandı. 12 aylık cari açık toplamı, geçen aya kıyasla, </w:t>
      </w:r>
      <w:r w:rsidR="000A5675">
        <w:rPr>
          <w:sz w:val="22"/>
          <w:szCs w:val="22"/>
        </w:rPr>
        <w:t>3</w:t>
      </w:r>
      <w:r w:rsidR="009438A8">
        <w:rPr>
          <w:sz w:val="22"/>
          <w:szCs w:val="22"/>
        </w:rPr>
        <w:t>,</w:t>
      </w:r>
      <w:r w:rsidR="000A5675">
        <w:rPr>
          <w:sz w:val="22"/>
          <w:szCs w:val="22"/>
        </w:rPr>
        <w:t>3</w:t>
      </w:r>
      <w:r w:rsidR="009438A8">
        <w:rPr>
          <w:sz w:val="22"/>
          <w:szCs w:val="22"/>
        </w:rPr>
        <w:t xml:space="preserve"> milyar dolar düşerek 5</w:t>
      </w:r>
      <w:r w:rsidR="000A5675">
        <w:rPr>
          <w:sz w:val="22"/>
          <w:szCs w:val="22"/>
        </w:rPr>
        <w:t>6</w:t>
      </w:r>
      <w:r w:rsidR="009438A8">
        <w:rPr>
          <w:sz w:val="22"/>
          <w:szCs w:val="22"/>
        </w:rPr>
        <w:t>,</w:t>
      </w:r>
      <w:r w:rsidR="000A5675">
        <w:rPr>
          <w:sz w:val="22"/>
          <w:szCs w:val="22"/>
        </w:rPr>
        <w:t>8</w:t>
      </w:r>
      <w:r w:rsidR="009438A8">
        <w:rPr>
          <w:sz w:val="22"/>
          <w:szCs w:val="22"/>
        </w:rPr>
        <w:t xml:space="preserve"> milyar dolar oldu. Cari açığın GSYH’a oranının ilk çeyrek sonunda yüzde 7,5’</w:t>
      </w:r>
      <w:r w:rsidR="000A5675">
        <w:rPr>
          <w:sz w:val="22"/>
          <w:szCs w:val="22"/>
        </w:rPr>
        <w:t>den ikinci çeyrek sonunda yüzde 6,6'ya düşmesini bekliyoruz.</w:t>
      </w:r>
      <w:r w:rsidR="009438A8">
        <w:rPr>
          <w:sz w:val="22"/>
          <w:szCs w:val="22"/>
        </w:rPr>
        <w:t xml:space="preserve"> Altın hariç cari açık</w:t>
      </w:r>
      <w:r w:rsidR="000A5675">
        <w:rPr>
          <w:sz w:val="22"/>
          <w:szCs w:val="22"/>
        </w:rPr>
        <w:t xml:space="preserve"> oranının ise yüzde 6,4'den yüzde 6,1'e ineceğini tahmin ediyoruz.</w:t>
      </w:r>
    </w:p>
    <w:p w:rsidR="009438A8" w:rsidRDefault="003234F0" w:rsidP="009438A8">
      <w:pPr>
        <w:spacing w:line="288" w:lineRule="auto"/>
        <w:ind w:right="-318"/>
        <w:jc w:val="both"/>
        <w:rPr>
          <w:rFonts w:ascii="Arial" w:hAnsi="Arial" w:cs="Arial"/>
          <w:sz w:val="16"/>
          <w:szCs w:val="16"/>
        </w:rPr>
      </w:pPr>
      <w:r w:rsidRPr="003234F0">
        <w:rPr>
          <w:noProof/>
        </w:rPr>
        <w:pict>
          <v:line id="Line 11" o:spid="_x0000_s1030" style="position:absolute;left:0;text-align:left;z-index:251660288;visibility:visibl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5FQ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fk6D+RUCAAArBAAADgAAAAAAAAAAAAAAAAAuAgAAZHJzL2Uyb0RvYy54bWxQSwECLQAUAAYACAAA&#10;ACEA+QGAlN0AAAAJAQAADwAAAAAAAAAAAAAAAABvBAAAZHJzL2Rvd25yZXYueG1sUEsFBgAAAAAE&#10;AAQA8wAAAHkFAAAAAA==&#10;"/>
        </w:pict>
      </w:r>
      <w:r>
        <w:rPr>
          <w:rFonts w:ascii="Arial" w:hAnsi="Arial" w:cs="Arial"/>
          <w:noProof/>
          <w:sz w:val="16"/>
          <w:szCs w:val="16"/>
        </w:rPr>
      </w:r>
      <w:r>
        <w:rPr>
          <w:rFonts w:ascii="Arial" w:hAnsi="Arial" w:cs="Arial"/>
          <w:noProof/>
          <w:sz w:val="16"/>
          <w:szCs w:val="16"/>
        </w:rPr>
        <w:pict>
          <v:group id="Canvas 9" o:spid="_x0000_s1028"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457;visibility:visible">
              <v:fill o:detectmouseclick="t"/>
              <v:path o:connecttype="none"/>
            </v:shape>
            <w10:wrap type="none"/>
            <w10:anchorlock/>
          </v:group>
        </w:pict>
      </w:r>
    </w:p>
    <w:p w:rsidR="009438A8" w:rsidRPr="00BB6BD3" w:rsidRDefault="009438A8" w:rsidP="009438A8">
      <w:pPr>
        <w:spacing w:line="288" w:lineRule="auto"/>
        <w:ind w:left="-360" w:right="-318"/>
        <w:jc w:val="both"/>
        <w:rPr>
          <w:sz w:val="16"/>
          <w:szCs w:val="16"/>
        </w:rPr>
      </w:pPr>
      <w:r w:rsidRPr="00BB6BD3">
        <w:rPr>
          <w:sz w:val="16"/>
          <w:szCs w:val="16"/>
        </w:rPr>
        <w:t>* Dr. Zümrüt İmamoğlu, Betam, Uzman Araştırmacı.</w:t>
      </w:r>
    </w:p>
    <w:p w:rsidR="009438A8" w:rsidRPr="00BB6BD3" w:rsidRDefault="003234F0" w:rsidP="009438A8">
      <w:pPr>
        <w:spacing w:line="288" w:lineRule="auto"/>
        <w:ind w:left="-360" w:right="-318"/>
        <w:jc w:val="both"/>
        <w:rPr>
          <w:sz w:val="16"/>
          <w:szCs w:val="16"/>
          <w:vertAlign w:val="superscript"/>
        </w:rPr>
      </w:pPr>
      <w:hyperlink r:id="rId10" w:history="1">
        <w:r w:rsidR="009438A8" w:rsidRPr="00BB6BD3">
          <w:rPr>
            <w:rStyle w:val="Hyperlink"/>
            <w:sz w:val="16"/>
            <w:szCs w:val="16"/>
          </w:rPr>
          <w:t>zumrut.imamoglu@bahcesehir.edu.tr</w:t>
        </w:r>
      </w:hyperlink>
    </w:p>
    <w:p w:rsidR="009438A8" w:rsidRPr="00BB6BD3" w:rsidRDefault="009438A8" w:rsidP="009438A8">
      <w:pPr>
        <w:spacing w:line="288" w:lineRule="auto"/>
        <w:ind w:left="-360" w:right="-318"/>
        <w:jc w:val="both"/>
        <w:rPr>
          <w:sz w:val="16"/>
          <w:szCs w:val="16"/>
        </w:rPr>
      </w:pPr>
      <w:r w:rsidRPr="00BB6BD3">
        <w:rPr>
          <w:sz w:val="16"/>
          <w:szCs w:val="16"/>
        </w:rPr>
        <w:t>** Barış Soybilgen, Betam, Araştırma Görevlisi</w:t>
      </w:r>
    </w:p>
    <w:p w:rsidR="009438A8" w:rsidRPr="00BB6BD3" w:rsidRDefault="003234F0" w:rsidP="009438A8">
      <w:pPr>
        <w:ind w:left="-360"/>
        <w:rPr>
          <w:sz w:val="16"/>
          <w:szCs w:val="16"/>
        </w:rPr>
      </w:pPr>
      <w:hyperlink r:id="rId11" w:history="1">
        <w:r w:rsidR="009438A8" w:rsidRPr="00BB6BD3">
          <w:rPr>
            <w:rStyle w:val="Hyperlink"/>
            <w:sz w:val="16"/>
            <w:szCs w:val="16"/>
          </w:rPr>
          <w:t>baris.soybilgen@bahcesehir.edu.tr</w:t>
        </w:r>
      </w:hyperlink>
    </w:p>
    <w:p w:rsidR="009438A8" w:rsidRDefault="009438A8" w:rsidP="009438A8">
      <w:pPr>
        <w:ind w:right="42"/>
        <w:rPr>
          <w:b/>
          <w:bCs/>
          <w:sz w:val="22"/>
          <w:szCs w:val="22"/>
        </w:rPr>
      </w:pPr>
    </w:p>
    <w:p w:rsidR="009438A8" w:rsidRDefault="009438A8" w:rsidP="009438A8">
      <w:pPr>
        <w:outlineLvl w:val="0"/>
        <w:rPr>
          <w:b/>
          <w:bCs/>
          <w:sz w:val="22"/>
          <w:szCs w:val="22"/>
        </w:rPr>
      </w:pPr>
    </w:p>
    <w:p w:rsidR="009438A8" w:rsidRDefault="009438A8" w:rsidP="009438A8">
      <w:pPr>
        <w:outlineLvl w:val="0"/>
        <w:rPr>
          <w:b/>
          <w:bCs/>
          <w:sz w:val="22"/>
          <w:szCs w:val="22"/>
        </w:rPr>
      </w:pPr>
    </w:p>
    <w:p w:rsidR="009438A8" w:rsidRPr="004A7FE6" w:rsidRDefault="009438A8" w:rsidP="009438A8">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5"/>
        <w:gridCol w:w="1362"/>
      </w:tblGrid>
      <w:tr w:rsidR="009438A8" w:rsidRPr="003118F7" w:rsidTr="003E743F">
        <w:trPr>
          <w:trHeight w:val="986"/>
        </w:trPr>
        <w:tc>
          <w:tcPr>
            <w:tcW w:w="3185" w:type="dxa"/>
            <w:tcMar>
              <w:left w:w="28" w:type="dxa"/>
              <w:right w:w="28" w:type="dxa"/>
            </w:tcMar>
            <w:vAlign w:val="center"/>
          </w:tcPr>
          <w:p w:rsidR="009438A8" w:rsidRPr="00180C8C" w:rsidRDefault="009438A8" w:rsidP="003E743F">
            <w:pPr>
              <w:ind w:right="42"/>
              <w:jc w:val="center"/>
              <w:rPr>
                <w:sz w:val="20"/>
                <w:szCs w:val="20"/>
              </w:rPr>
            </w:pPr>
          </w:p>
        </w:tc>
        <w:tc>
          <w:tcPr>
            <w:tcW w:w="1362" w:type="dxa"/>
            <w:vAlign w:val="center"/>
          </w:tcPr>
          <w:p w:rsidR="009438A8" w:rsidRPr="00180C8C" w:rsidRDefault="009438A8" w:rsidP="003E743F">
            <w:pPr>
              <w:ind w:right="40"/>
              <w:jc w:val="center"/>
              <w:rPr>
                <w:b/>
                <w:bCs/>
                <w:sz w:val="20"/>
                <w:szCs w:val="20"/>
              </w:rPr>
            </w:pPr>
            <w:r w:rsidRPr="00180C8C">
              <w:rPr>
                <w:b/>
                <w:bCs/>
                <w:sz w:val="20"/>
                <w:szCs w:val="20"/>
              </w:rPr>
              <w:t>201</w:t>
            </w:r>
            <w:r>
              <w:rPr>
                <w:b/>
                <w:bCs/>
                <w:sz w:val="20"/>
                <w:szCs w:val="20"/>
              </w:rPr>
              <w:t>4</w:t>
            </w:r>
          </w:p>
          <w:p w:rsidR="009438A8" w:rsidRPr="00180C8C" w:rsidRDefault="00EA5D05" w:rsidP="003E743F">
            <w:pPr>
              <w:ind w:right="40"/>
              <w:jc w:val="center"/>
              <w:rPr>
                <w:b/>
                <w:bCs/>
                <w:sz w:val="20"/>
                <w:szCs w:val="20"/>
              </w:rPr>
            </w:pPr>
            <w:r>
              <w:rPr>
                <w:b/>
                <w:bCs/>
                <w:sz w:val="20"/>
                <w:szCs w:val="20"/>
              </w:rPr>
              <w:t>2</w:t>
            </w:r>
            <w:r w:rsidR="009438A8" w:rsidRPr="00180C8C">
              <w:rPr>
                <w:b/>
                <w:bCs/>
                <w:sz w:val="20"/>
                <w:szCs w:val="20"/>
              </w:rPr>
              <w:t>. Çeyrek</w:t>
            </w:r>
          </w:p>
          <w:p w:rsidR="009438A8" w:rsidRDefault="009438A8" w:rsidP="003E743F">
            <w:pPr>
              <w:ind w:right="40"/>
              <w:jc w:val="center"/>
              <w:rPr>
                <w:b/>
                <w:bCs/>
                <w:sz w:val="20"/>
                <w:szCs w:val="20"/>
              </w:rPr>
            </w:pPr>
            <w:r w:rsidRPr="00180C8C">
              <w:rPr>
                <w:b/>
                <w:bCs/>
                <w:sz w:val="20"/>
                <w:szCs w:val="20"/>
              </w:rPr>
              <w:t>Tahmin</w:t>
            </w:r>
          </w:p>
          <w:p w:rsidR="009438A8" w:rsidRPr="00180C8C" w:rsidRDefault="009438A8" w:rsidP="003E743F">
            <w:pPr>
              <w:ind w:right="40"/>
              <w:jc w:val="center"/>
              <w:rPr>
                <w:b/>
                <w:bCs/>
                <w:sz w:val="20"/>
                <w:szCs w:val="20"/>
              </w:rPr>
            </w:pPr>
            <w:r>
              <w:rPr>
                <w:b/>
                <w:bCs/>
                <w:sz w:val="20"/>
                <w:szCs w:val="20"/>
              </w:rPr>
              <w:t>(%)</w:t>
            </w:r>
          </w:p>
        </w:tc>
      </w:tr>
      <w:tr w:rsidR="009438A8" w:rsidRPr="003118F7" w:rsidTr="003E743F">
        <w:trPr>
          <w:trHeight w:val="771"/>
        </w:trPr>
        <w:tc>
          <w:tcPr>
            <w:tcW w:w="3185" w:type="dxa"/>
            <w:tcMar>
              <w:left w:w="28" w:type="dxa"/>
              <w:right w:w="28" w:type="dxa"/>
            </w:tcMar>
            <w:vAlign w:val="center"/>
          </w:tcPr>
          <w:p w:rsidR="009438A8" w:rsidRPr="00180C8C" w:rsidRDefault="009438A8" w:rsidP="003E743F">
            <w:pPr>
              <w:ind w:right="42"/>
              <w:rPr>
                <w:sz w:val="20"/>
                <w:szCs w:val="20"/>
              </w:rPr>
            </w:pPr>
            <w:r w:rsidRPr="00180C8C">
              <w:rPr>
                <w:sz w:val="20"/>
                <w:szCs w:val="20"/>
              </w:rPr>
              <w:t>GSYH büyüme, reel</w:t>
            </w:r>
          </w:p>
          <w:p w:rsidR="009438A8" w:rsidRPr="00180C8C" w:rsidRDefault="009438A8" w:rsidP="003E743F">
            <w:pPr>
              <w:ind w:right="42"/>
              <w:rPr>
                <w:sz w:val="20"/>
                <w:szCs w:val="20"/>
              </w:rPr>
            </w:pPr>
            <w:r w:rsidRPr="00180C8C">
              <w:rPr>
                <w:sz w:val="20"/>
                <w:szCs w:val="20"/>
              </w:rPr>
              <w:t>(bir önceki çeyreğe göre, mea*)</w:t>
            </w:r>
          </w:p>
        </w:tc>
        <w:tc>
          <w:tcPr>
            <w:tcW w:w="1362" w:type="dxa"/>
            <w:vAlign w:val="center"/>
          </w:tcPr>
          <w:p w:rsidR="009438A8" w:rsidRPr="00180C8C" w:rsidRDefault="009438A8" w:rsidP="003E743F">
            <w:pPr>
              <w:ind w:right="42"/>
              <w:jc w:val="center"/>
              <w:rPr>
                <w:sz w:val="20"/>
                <w:szCs w:val="20"/>
              </w:rPr>
            </w:pPr>
            <w:r w:rsidRPr="00180C8C">
              <w:rPr>
                <w:sz w:val="20"/>
                <w:szCs w:val="20"/>
              </w:rPr>
              <w:t>0,</w:t>
            </w:r>
            <w:r w:rsidR="003D472B">
              <w:rPr>
                <w:sz w:val="20"/>
                <w:szCs w:val="20"/>
              </w:rPr>
              <w:t>8</w:t>
            </w:r>
          </w:p>
        </w:tc>
      </w:tr>
      <w:tr w:rsidR="009438A8" w:rsidRPr="003118F7" w:rsidTr="003E743F">
        <w:trPr>
          <w:trHeight w:val="756"/>
        </w:trPr>
        <w:tc>
          <w:tcPr>
            <w:tcW w:w="3185" w:type="dxa"/>
            <w:tcMar>
              <w:left w:w="28" w:type="dxa"/>
              <w:right w:w="28" w:type="dxa"/>
            </w:tcMar>
            <w:vAlign w:val="center"/>
          </w:tcPr>
          <w:p w:rsidR="009438A8" w:rsidRPr="00180C8C" w:rsidRDefault="009438A8" w:rsidP="003E743F">
            <w:pPr>
              <w:ind w:right="42"/>
              <w:rPr>
                <w:sz w:val="20"/>
                <w:szCs w:val="20"/>
              </w:rPr>
            </w:pPr>
            <w:r w:rsidRPr="00180C8C">
              <w:rPr>
                <w:sz w:val="20"/>
                <w:szCs w:val="20"/>
              </w:rPr>
              <w:t>GSYH büyüme, reel (geçen yılın aynı çeyreğine göre, tea**)</w:t>
            </w:r>
          </w:p>
        </w:tc>
        <w:tc>
          <w:tcPr>
            <w:tcW w:w="1362" w:type="dxa"/>
            <w:vAlign w:val="center"/>
          </w:tcPr>
          <w:p w:rsidR="009438A8" w:rsidRPr="00180C8C" w:rsidRDefault="009438A8" w:rsidP="003E743F">
            <w:pPr>
              <w:ind w:right="42"/>
              <w:jc w:val="center"/>
              <w:rPr>
                <w:sz w:val="20"/>
                <w:szCs w:val="20"/>
              </w:rPr>
            </w:pPr>
            <w:r>
              <w:rPr>
                <w:sz w:val="20"/>
                <w:szCs w:val="20"/>
              </w:rPr>
              <w:t>3</w:t>
            </w:r>
            <w:r w:rsidRPr="00180C8C">
              <w:rPr>
                <w:sz w:val="20"/>
                <w:szCs w:val="20"/>
              </w:rPr>
              <w:t>,</w:t>
            </w:r>
            <w:r w:rsidR="003D472B">
              <w:rPr>
                <w:sz w:val="20"/>
                <w:szCs w:val="20"/>
              </w:rPr>
              <w:t>8</w:t>
            </w:r>
          </w:p>
        </w:tc>
      </w:tr>
      <w:tr w:rsidR="009438A8" w:rsidRPr="003118F7" w:rsidTr="003E743F">
        <w:trPr>
          <w:trHeight w:val="583"/>
        </w:trPr>
        <w:tc>
          <w:tcPr>
            <w:tcW w:w="3185" w:type="dxa"/>
            <w:tcMar>
              <w:left w:w="28" w:type="dxa"/>
              <w:right w:w="28" w:type="dxa"/>
            </w:tcMar>
            <w:vAlign w:val="center"/>
          </w:tcPr>
          <w:p w:rsidR="009438A8" w:rsidRPr="00180C8C" w:rsidRDefault="009438A8" w:rsidP="003E743F">
            <w:pPr>
              <w:ind w:right="40"/>
              <w:rPr>
                <w:sz w:val="20"/>
                <w:szCs w:val="20"/>
              </w:rPr>
            </w:pPr>
            <w:r>
              <w:rPr>
                <w:sz w:val="20"/>
                <w:szCs w:val="20"/>
              </w:rPr>
              <w:t>Cari a</w:t>
            </w:r>
            <w:r w:rsidRPr="00180C8C">
              <w:rPr>
                <w:sz w:val="20"/>
                <w:szCs w:val="20"/>
              </w:rPr>
              <w:t>çık (yıllık)</w:t>
            </w:r>
          </w:p>
        </w:tc>
        <w:tc>
          <w:tcPr>
            <w:tcW w:w="1362" w:type="dxa"/>
            <w:vAlign w:val="center"/>
          </w:tcPr>
          <w:p w:rsidR="009438A8" w:rsidRPr="00180C8C" w:rsidRDefault="003D472B" w:rsidP="003E743F">
            <w:pPr>
              <w:ind w:right="40"/>
              <w:jc w:val="center"/>
              <w:rPr>
                <w:sz w:val="20"/>
                <w:szCs w:val="20"/>
              </w:rPr>
            </w:pPr>
            <w:r>
              <w:rPr>
                <w:sz w:val="20"/>
                <w:szCs w:val="20"/>
              </w:rPr>
              <w:t>6</w:t>
            </w:r>
            <w:r w:rsidR="009438A8" w:rsidRPr="00180C8C">
              <w:rPr>
                <w:sz w:val="20"/>
                <w:szCs w:val="20"/>
              </w:rPr>
              <w:t>,</w:t>
            </w:r>
            <w:r>
              <w:rPr>
                <w:sz w:val="20"/>
                <w:szCs w:val="20"/>
              </w:rPr>
              <w:t>6</w:t>
            </w:r>
          </w:p>
        </w:tc>
      </w:tr>
      <w:tr w:rsidR="009438A8" w:rsidRPr="003118F7" w:rsidTr="003E743F">
        <w:trPr>
          <w:trHeight w:val="583"/>
        </w:trPr>
        <w:tc>
          <w:tcPr>
            <w:tcW w:w="3185" w:type="dxa"/>
            <w:tcMar>
              <w:left w:w="28" w:type="dxa"/>
              <w:right w:w="28" w:type="dxa"/>
            </w:tcMar>
            <w:vAlign w:val="center"/>
          </w:tcPr>
          <w:p w:rsidR="009438A8" w:rsidRPr="00180C8C" w:rsidRDefault="009438A8" w:rsidP="003E743F">
            <w:pPr>
              <w:ind w:right="40"/>
              <w:rPr>
                <w:sz w:val="20"/>
                <w:szCs w:val="20"/>
              </w:rPr>
            </w:pPr>
            <w:r>
              <w:rPr>
                <w:sz w:val="20"/>
                <w:szCs w:val="20"/>
              </w:rPr>
              <w:t>Altın hariç cari açık (yıllık)</w:t>
            </w:r>
          </w:p>
        </w:tc>
        <w:tc>
          <w:tcPr>
            <w:tcW w:w="1362" w:type="dxa"/>
            <w:vAlign w:val="center"/>
          </w:tcPr>
          <w:p w:rsidR="009438A8" w:rsidRPr="00180C8C" w:rsidRDefault="009438A8" w:rsidP="003E743F">
            <w:pPr>
              <w:ind w:right="40"/>
              <w:jc w:val="center"/>
              <w:rPr>
                <w:sz w:val="20"/>
                <w:szCs w:val="20"/>
              </w:rPr>
            </w:pPr>
            <w:r>
              <w:rPr>
                <w:sz w:val="20"/>
                <w:szCs w:val="20"/>
              </w:rPr>
              <w:t>6,</w:t>
            </w:r>
            <w:r w:rsidR="003D472B">
              <w:rPr>
                <w:sz w:val="20"/>
                <w:szCs w:val="20"/>
              </w:rPr>
              <w:t>1</w:t>
            </w:r>
          </w:p>
        </w:tc>
      </w:tr>
    </w:tbl>
    <w:p w:rsidR="009438A8" w:rsidRPr="0070556E" w:rsidRDefault="009438A8" w:rsidP="009438A8">
      <w:pPr>
        <w:ind w:left="-360" w:right="40"/>
        <w:rPr>
          <w:sz w:val="4"/>
          <w:szCs w:val="4"/>
        </w:rPr>
      </w:pPr>
    </w:p>
    <w:p w:rsidR="009438A8" w:rsidRPr="00C674EC" w:rsidRDefault="009438A8" w:rsidP="009438A8">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9438A8" w:rsidRDefault="009438A8" w:rsidP="009438A8">
      <w:pPr>
        <w:spacing w:line="360" w:lineRule="auto"/>
        <w:ind w:right="42"/>
        <w:rPr>
          <w:b/>
          <w:bCs/>
          <w:sz w:val="22"/>
          <w:szCs w:val="22"/>
        </w:rPr>
      </w:pPr>
    </w:p>
    <w:p w:rsidR="009438A8" w:rsidRDefault="009438A8" w:rsidP="009438A8">
      <w:pPr>
        <w:ind w:left="-360"/>
        <w:rPr>
          <w:rFonts w:ascii="Arial" w:hAnsi="Arial" w:cs="Arial"/>
          <w:sz w:val="16"/>
          <w:szCs w:val="16"/>
        </w:rPr>
      </w:pPr>
    </w:p>
    <w:p w:rsidR="009438A8" w:rsidRDefault="00760A4B" w:rsidP="009438A8">
      <w:pPr>
        <w:spacing w:line="360" w:lineRule="auto"/>
        <w:ind w:left="-360"/>
        <w:jc w:val="center"/>
        <w:rPr>
          <w:b/>
          <w:bCs/>
          <w:sz w:val="22"/>
          <w:szCs w:val="22"/>
        </w:rPr>
      </w:pPr>
      <w:r>
        <w:rPr>
          <w:b/>
          <w:bCs/>
          <w:sz w:val="22"/>
          <w:szCs w:val="22"/>
        </w:rPr>
        <w:t>Büyüme dış talepten iç talebe dönüyor</w:t>
      </w:r>
    </w:p>
    <w:p w:rsidR="009438A8" w:rsidRDefault="00760A4B" w:rsidP="009438A8">
      <w:pPr>
        <w:spacing w:line="360" w:lineRule="auto"/>
        <w:ind w:left="-360" w:right="42"/>
        <w:jc w:val="both"/>
        <w:rPr>
          <w:sz w:val="22"/>
          <w:szCs w:val="22"/>
        </w:rPr>
      </w:pPr>
      <w:r>
        <w:rPr>
          <w:sz w:val="22"/>
          <w:szCs w:val="22"/>
        </w:rPr>
        <w:t>H</w:t>
      </w:r>
      <w:r w:rsidR="009438A8">
        <w:rPr>
          <w:sz w:val="22"/>
          <w:szCs w:val="22"/>
        </w:rPr>
        <w:t>afta</w:t>
      </w:r>
      <w:r>
        <w:rPr>
          <w:sz w:val="22"/>
          <w:szCs w:val="22"/>
        </w:rPr>
        <w:t xml:space="preserve"> başında</w:t>
      </w:r>
      <w:r w:rsidR="009438A8">
        <w:rPr>
          <w:sz w:val="22"/>
          <w:szCs w:val="22"/>
        </w:rPr>
        <w:t xml:space="preserve"> açıklanan sanayi üretim endeksine göre sanayi üretimi </w:t>
      </w:r>
      <w:r>
        <w:rPr>
          <w:sz w:val="22"/>
          <w:szCs w:val="22"/>
        </w:rPr>
        <w:t>Nisan</w:t>
      </w:r>
      <w:r w:rsidR="009438A8">
        <w:rPr>
          <w:sz w:val="22"/>
          <w:szCs w:val="22"/>
        </w:rPr>
        <w:t xml:space="preserve"> ayında yüzde </w:t>
      </w:r>
      <w:r>
        <w:rPr>
          <w:sz w:val="22"/>
          <w:szCs w:val="22"/>
        </w:rPr>
        <w:t>1,0 oranında arttı. Böylece son iki aydır endekste görülen kayıplar telafi edilmiş oldu ve endeks Ocak seviyesinin üzerine çıktı. A</w:t>
      </w:r>
      <w:r w:rsidR="009438A8">
        <w:rPr>
          <w:sz w:val="22"/>
          <w:szCs w:val="22"/>
        </w:rPr>
        <w:t>ltın hariç ihracat</w:t>
      </w:r>
      <w:r>
        <w:rPr>
          <w:sz w:val="22"/>
          <w:szCs w:val="22"/>
        </w:rPr>
        <w:t>t</w:t>
      </w:r>
      <w:r w:rsidR="009438A8">
        <w:rPr>
          <w:sz w:val="22"/>
          <w:szCs w:val="22"/>
        </w:rPr>
        <w:t>a</w:t>
      </w:r>
      <w:r>
        <w:rPr>
          <w:sz w:val="22"/>
          <w:szCs w:val="22"/>
        </w:rPr>
        <w:t xml:space="preserve"> da</w:t>
      </w:r>
      <w:r w:rsidR="009438A8">
        <w:rPr>
          <w:sz w:val="22"/>
          <w:szCs w:val="22"/>
        </w:rPr>
        <w:t xml:space="preserve"> Şubat ve Mart</w:t>
      </w:r>
      <w:r>
        <w:rPr>
          <w:sz w:val="22"/>
          <w:szCs w:val="22"/>
        </w:rPr>
        <w:t xml:space="preserve"> ayındaki kayıplar Nisan'da bir miktar telafi edildi.</w:t>
      </w:r>
      <w:r w:rsidR="009438A8">
        <w:rPr>
          <w:sz w:val="22"/>
          <w:szCs w:val="22"/>
        </w:rPr>
        <w:t xml:space="preserve"> </w:t>
      </w:r>
      <w:r>
        <w:rPr>
          <w:sz w:val="22"/>
          <w:szCs w:val="22"/>
        </w:rPr>
        <w:t>Nisan ayındaki miktar endeksinde görülen düşüş ise tamamen altın kaynaklı ve geçici bir durum. TİM verileri</w:t>
      </w:r>
      <w:r w:rsidR="007501A9">
        <w:rPr>
          <w:sz w:val="22"/>
          <w:szCs w:val="22"/>
        </w:rPr>
        <w:t>ne göre Mayıs ayında ihracat</w:t>
      </w:r>
      <w:r>
        <w:rPr>
          <w:sz w:val="22"/>
          <w:szCs w:val="22"/>
        </w:rPr>
        <w:t xml:space="preserve"> ılımlı bir görünüm </w:t>
      </w:r>
      <w:r w:rsidR="007501A9">
        <w:rPr>
          <w:sz w:val="22"/>
          <w:szCs w:val="22"/>
        </w:rPr>
        <w:t xml:space="preserve">sergiliyor. </w:t>
      </w:r>
      <w:r>
        <w:rPr>
          <w:sz w:val="22"/>
          <w:szCs w:val="22"/>
        </w:rPr>
        <w:t xml:space="preserve"> </w:t>
      </w:r>
    </w:p>
    <w:p w:rsidR="009438A8" w:rsidRDefault="00446D37" w:rsidP="009438A8">
      <w:pPr>
        <w:spacing w:line="360" w:lineRule="auto"/>
        <w:ind w:left="-360" w:right="42"/>
        <w:jc w:val="both"/>
        <w:rPr>
          <w:sz w:val="22"/>
          <w:szCs w:val="22"/>
        </w:rPr>
      </w:pPr>
      <w:r>
        <w:rPr>
          <w:sz w:val="22"/>
          <w:szCs w:val="22"/>
        </w:rPr>
        <w:t>Öte yandan</w:t>
      </w:r>
      <w:r w:rsidR="009438A8">
        <w:rPr>
          <w:sz w:val="22"/>
          <w:szCs w:val="22"/>
        </w:rPr>
        <w:t xml:space="preserve"> ithalat</w:t>
      </w:r>
      <w:r>
        <w:rPr>
          <w:sz w:val="22"/>
          <w:szCs w:val="22"/>
        </w:rPr>
        <w:t xml:space="preserve"> </w:t>
      </w:r>
      <w:r w:rsidR="000875E6">
        <w:rPr>
          <w:sz w:val="22"/>
          <w:szCs w:val="22"/>
        </w:rPr>
        <w:t xml:space="preserve">aylık bazda </w:t>
      </w:r>
      <w:r>
        <w:rPr>
          <w:sz w:val="22"/>
          <w:szCs w:val="22"/>
        </w:rPr>
        <w:t>artmaya başladı</w:t>
      </w:r>
      <w:r w:rsidR="009438A8">
        <w:rPr>
          <w:sz w:val="22"/>
          <w:szCs w:val="22"/>
        </w:rPr>
        <w:t>. Alt kalemlere baktığımızda tüketim</w:t>
      </w:r>
      <w:r w:rsidR="000875E6">
        <w:rPr>
          <w:sz w:val="22"/>
          <w:szCs w:val="22"/>
        </w:rPr>
        <w:t>,</w:t>
      </w:r>
      <w:r w:rsidR="009438A8">
        <w:rPr>
          <w:sz w:val="22"/>
          <w:szCs w:val="22"/>
        </w:rPr>
        <w:t xml:space="preserve"> </w:t>
      </w:r>
      <w:r w:rsidR="000875E6">
        <w:rPr>
          <w:sz w:val="22"/>
          <w:szCs w:val="22"/>
        </w:rPr>
        <w:t>yatırım</w:t>
      </w:r>
      <w:r w:rsidR="009438A8">
        <w:rPr>
          <w:sz w:val="22"/>
          <w:szCs w:val="22"/>
        </w:rPr>
        <w:t xml:space="preserve"> </w:t>
      </w:r>
      <w:r w:rsidR="000875E6">
        <w:rPr>
          <w:sz w:val="22"/>
          <w:szCs w:val="22"/>
        </w:rPr>
        <w:t xml:space="preserve">ve </w:t>
      </w:r>
      <w:r w:rsidR="009438A8">
        <w:rPr>
          <w:sz w:val="22"/>
          <w:szCs w:val="22"/>
        </w:rPr>
        <w:lastRenderedPageBreak/>
        <w:t>aramalı ithalatların</w:t>
      </w:r>
      <w:r w:rsidR="000875E6">
        <w:rPr>
          <w:sz w:val="22"/>
          <w:szCs w:val="22"/>
        </w:rPr>
        <w:t>ın hepsinde artışlar gözlemliyoruz.</w:t>
      </w:r>
      <w:r w:rsidR="009438A8">
        <w:rPr>
          <w:sz w:val="22"/>
          <w:szCs w:val="22"/>
        </w:rPr>
        <w:t xml:space="preserve"> Yatırım malı ithalatı Mart ayında </w:t>
      </w:r>
      <w:r w:rsidR="000875E6">
        <w:rPr>
          <w:sz w:val="22"/>
          <w:szCs w:val="22"/>
        </w:rPr>
        <w:t xml:space="preserve">da artış göstermişti, Nisan'da ise hızlanma var.  </w:t>
      </w:r>
      <w:r w:rsidR="009438A8">
        <w:rPr>
          <w:sz w:val="22"/>
          <w:szCs w:val="22"/>
        </w:rPr>
        <w:t xml:space="preserve"> </w:t>
      </w:r>
      <w:r w:rsidR="000875E6">
        <w:rPr>
          <w:sz w:val="22"/>
          <w:szCs w:val="22"/>
        </w:rPr>
        <w:t>İthalat göstergeleri ilk çeyrekte azalan yatırım ve tüketimin ikinci çeyrekte büyümeye pozitif katkı yapacağına işaret ediyor.</w:t>
      </w:r>
      <w:r w:rsidR="009438A8">
        <w:rPr>
          <w:sz w:val="22"/>
          <w:szCs w:val="22"/>
        </w:rPr>
        <w:t xml:space="preserve"> </w:t>
      </w:r>
      <w:r w:rsidR="00FB544A">
        <w:rPr>
          <w:sz w:val="22"/>
          <w:szCs w:val="22"/>
        </w:rPr>
        <w:t>Net ihracatın çeyreklik katkısı ise artan ithalat nedeniyle bir miktar düşebilir.</w:t>
      </w:r>
    </w:p>
    <w:p w:rsidR="009438A8" w:rsidRDefault="009438A8" w:rsidP="009438A8">
      <w:pPr>
        <w:spacing w:line="360" w:lineRule="auto"/>
        <w:ind w:left="-360" w:right="42"/>
        <w:jc w:val="both"/>
        <w:rPr>
          <w:sz w:val="22"/>
          <w:szCs w:val="22"/>
        </w:rPr>
      </w:pPr>
    </w:p>
    <w:p w:rsidR="009438A8" w:rsidRDefault="000875E6" w:rsidP="009438A8">
      <w:pPr>
        <w:spacing w:line="360" w:lineRule="auto"/>
        <w:ind w:left="-360" w:right="42"/>
        <w:jc w:val="both"/>
        <w:rPr>
          <w:sz w:val="22"/>
          <w:szCs w:val="22"/>
        </w:rPr>
      </w:pPr>
      <w:r>
        <w:rPr>
          <w:sz w:val="22"/>
          <w:szCs w:val="22"/>
        </w:rPr>
        <w:t>İ</w:t>
      </w:r>
      <w:r w:rsidR="009438A8">
        <w:rPr>
          <w:sz w:val="22"/>
          <w:szCs w:val="22"/>
        </w:rPr>
        <w:t>k</w:t>
      </w:r>
      <w:r>
        <w:rPr>
          <w:sz w:val="22"/>
          <w:szCs w:val="22"/>
        </w:rPr>
        <w:t>inci</w:t>
      </w:r>
      <w:r w:rsidR="009438A8">
        <w:rPr>
          <w:sz w:val="22"/>
          <w:szCs w:val="22"/>
        </w:rPr>
        <w:t xml:space="preserve"> çeyreğe ilişkin</w:t>
      </w:r>
      <w:r>
        <w:rPr>
          <w:sz w:val="22"/>
          <w:szCs w:val="22"/>
        </w:rPr>
        <w:t xml:space="preserve"> elimizde olan </w:t>
      </w:r>
      <w:r w:rsidR="009438A8">
        <w:rPr>
          <w:sz w:val="22"/>
          <w:szCs w:val="22"/>
        </w:rPr>
        <w:t>veri</w:t>
      </w:r>
      <w:r>
        <w:rPr>
          <w:sz w:val="22"/>
          <w:szCs w:val="22"/>
        </w:rPr>
        <w:t>ler</w:t>
      </w:r>
      <w:r w:rsidR="009438A8">
        <w:rPr>
          <w:sz w:val="22"/>
          <w:szCs w:val="22"/>
        </w:rPr>
        <w:t>, büyüme</w:t>
      </w:r>
      <w:r>
        <w:rPr>
          <w:sz w:val="22"/>
          <w:szCs w:val="22"/>
        </w:rPr>
        <w:t>de dış talep katkısının ilk çeyrek kadar güçlü olmadığını ancak canlanan iç talebin bunu kısmen telafi edeceğini gösteriyor.</w:t>
      </w:r>
      <w:r w:rsidR="009438A8">
        <w:rPr>
          <w:sz w:val="22"/>
          <w:szCs w:val="22"/>
        </w:rPr>
        <w:t xml:space="preserve"> </w:t>
      </w:r>
      <w:r>
        <w:rPr>
          <w:sz w:val="22"/>
          <w:szCs w:val="22"/>
        </w:rPr>
        <w:t>S</w:t>
      </w:r>
      <w:r w:rsidR="009438A8">
        <w:rPr>
          <w:sz w:val="22"/>
          <w:szCs w:val="22"/>
        </w:rPr>
        <w:t>anayi üretim endeksin</w:t>
      </w:r>
      <w:r>
        <w:rPr>
          <w:sz w:val="22"/>
          <w:szCs w:val="22"/>
        </w:rPr>
        <w:t>in Nisan ayı rakamları üretimde çeyreklik artış hızının yaklaşık yarı yarıya azaldığına işaret ediyor.</w:t>
      </w:r>
      <w:r w:rsidR="009438A8">
        <w:rPr>
          <w:sz w:val="22"/>
          <w:szCs w:val="22"/>
        </w:rPr>
        <w:t xml:space="preserve"> </w:t>
      </w:r>
      <w:r>
        <w:rPr>
          <w:sz w:val="22"/>
          <w:szCs w:val="22"/>
        </w:rPr>
        <w:t>Betam'ın</w:t>
      </w:r>
      <w:r w:rsidR="009438A8">
        <w:rPr>
          <w:sz w:val="22"/>
          <w:szCs w:val="22"/>
        </w:rPr>
        <w:t xml:space="preserve"> çeyrekten çey</w:t>
      </w:r>
      <w:r>
        <w:rPr>
          <w:sz w:val="22"/>
          <w:szCs w:val="22"/>
        </w:rPr>
        <w:t>reğe büyüme tahmini yüzde 0,8</w:t>
      </w:r>
      <w:r w:rsidR="009438A8">
        <w:rPr>
          <w:sz w:val="22"/>
          <w:szCs w:val="22"/>
        </w:rPr>
        <w:t>. Geçtiğimiz yılın aynı çeyreğine göre büyümeyi ise yüzde</w:t>
      </w:r>
      <w:r>
        <w:rPr>
          <w:sz w:val="22"/>
          <w:szCs w:val="22"/>
        </w:rPr>
        <w:t xml:space="preserve"> 3,8</w:t>
      </w:r>
      <w:r w:rsidR="009438A8">
        <w:rPr>
          <w:sz w:val="22"/>
          <w:szCs w:val="22"/>
        </w:rPr>
        <w:t xml:space="preserve"> olarak öngörüyoruz. </w:t>
      </w:r>
    </w:p>
    <w:p w:rsidR="009438A8" w:rsidRDefault="009438A8" w:rsidP="009438A8">
      <w:pPr>
        <w:spacing w:line="360" w:lineRule="auto"/>
        <w:ind w:left="-360" w:right="42"/>
        <w:jc w:val="both"/>
        <w:rPr>
          <w:sz w:val="22"/>
          <w:szCs w:val="22"/>
        </w:rPr>
      </w:pPr>
    </w:p>
    <w:p w:rsidR="009438A8" w:rsidRDefault="00FB544A" w:rsidP="009438A8">
      <w:pPr>
        <w:spacing w:line="360" w:lineRule="auto"/>
        <w:ind w:left="-360" w:right="42"/>
        <w:jc w:val="both"/>
        <w:rPr>
          <w:sz w:val="22"/>
          <w:szCs w:val="22"/>
        </w:rPr>
      </w:pPr>
      <w:r>
        <w:rPr>
          <w:sz w:val="22"/>
          <w:szCs w:val="22"/>
        </w:rPr>
        <w:t>Geçtiğimiz sene ikinci çeyrekte altın ithalatı</w:t>
      </w:r>
      <w:r w:rsidR="009438A8">
        <w:rPr>
          <w:sz w:val="22"/>
          <w:szCs w:val="22"/>
        </w:rPr>
        <w:t xml:space="preserve"> </w:t>
      </w:r>
      <w:r>
        <w:rPr>
          <w:sz w:val="22"/>
          <w:szCs w:val="22"/>
        </w:rPr>
        <w:t>hızlı bir şekilde artmıştı. Nisan-Mayıs-Haziran aylarında net altın ithalatı toplam 5,7 milyar dolar olmuştu. Bu yıl altın ticaretinin normal seyrine dönmesi sonucu</w:t>
      </w:r>
      <w:r w:rsidR="009438A8">
        <w:rPr>
          <w:sz w:val="22"/>
          <w:szCs w:val="22"/>
        </w:rPr>
        <w:t>, ik</w:t>
      </w:r>
      <w:r>
        <w:rPr>
          <w:sz w:val="22"/>
          <w:szCs w:val="22"/>
        </w:rPr>
        <w:t>inci</w:t>
      </w:r>
      <w:r w:rsidR="009438A8">
        <w:rPr>
          <w:sz w:val="22"/>
          <w:szCs w:val="22"/>
        </w:rPr>
        <w:t xml:space="preserve"> çeyrek</w:t>
      </w:r>
      <w:r>
        <w:rPr>
          <w:sz w:val="22"/>
          <w:szCs w:val="22"/>
        </w:rPr>
        <w:t xml:space="preserve"> cari açık oranında hızlı bir düşüş bekliyoruz.</w:t>
      </w:r>
      <w:r w:rsidR="009438A8">
        <w:rPr>
          <w:sz w:val="22"/>
          <w:szCs w:val="22"/>
        </w:rPr>
        <w:t xml:space="preserve"> </w:t>
      </w:r>
      <w:r>
        <w:rPr>
          <w:sz w:val="22"/>
          <w:szCs w:val="22"/>
        </w:rPr>
        <w:t>İlk çeyrek sonunda</w:t>
      </w:r>
      <w:r w:rsidR="009438A8">
        <w:rPr>
          <w:sz w:val="22"/>
          <w:szCs w:val="22"/>
        </w:rPr>
        <w:t xml:space="preserve"> </w:t>
      </w:r>
      <w:r>
        <w:rPr>
          <w:sz w:val="22"/>
          <w:szCs w:val="22"/>
        </w:rPr>
        <w:t>yüzde 7,5 olan</w:t>
      </w:r>
      <w:r w:rsidR="009438A8">
        <w:rPr>
          <w:sz w:val="22"/>
          <w:szCs w:val="22"/>
        </w:rPr>
        <w:t xml:space="preserve"> </w:t>
      </w:r>
      <w:r w:rsidR="00713CBF">
        <w:rPr>
          <w:sz w:val="22"/>
          <w:szCs w:val="22"/>
        </w:rPr>
        <w:t xml:space="preserve">cari açığın ikinci çeyrek sonunda </w:t>
      </w:r>
      <w:r w:rsidR="009438A8">
        <w:rPr>
          <w:sz w:val="22"/>
          <w:szCs w:val="22"/>
        </w:rPr>
        <w:t xml:space="preserve">yüzde </w:t>
      </w:r>
      <w:r w:rsidR="00713CBF">
        <w:rPr>
          <w:sz w:val="22"/>
          <w:szCs w:val="22"/>
        </w:rPr>
        <w:t>6,6</w:t>
      </w:r>
      <w:r w:rsidR="009438A8">
        <w:rPr>
          <w:sz w:val="22"/>
          <w:szCs w:val="22"/>
        </w:rPr>
        <w:t>'</w:t>
      </w:r>
      <w:r w:rsidR="00713CBF">
        <w:rPr>
          <w:sz w:val="22"/>
          <w:szCs w:val="22"/>
        </w:rPr>
        <w:t>ya ineceğini tahmin ediyoruz.</w:t>
      </w:r>
      <w:r w:rsidR="009438A8">
        <w:rPr>
          <w:sz w:val="22"/>
          <w:szCs w:val="22"/>
        </w:rPr>
        <w:t xml:space="preserve"> Altın hariç cari açık oranı</w:t>
      </w:r>
      <w:r w:rsidR="00713CBF">
        <w:rPr>
          <w:sz w:val="22"/>
          <w:szCs w:val="22"/>
        </w:rPr>
        <w:t>nın ise yüzde</w:t>
      </w:r>
      <w:r w:rsidR="009438A8">
        <w:rPr>
          <w:sz w:val="22"/>
          <w:szCs w:val="22"/>
        </w:rPr>
        <w:t xml:space="preserve"> 6,</w:t>
      </w:r>
      <w:r w:rsidR="00713CBF">
        <w:rPr>
          <w:sz w:val="22"/>
          <w:szCs w:val="22"/>
        </w:rPr>
        <w:t>4'ten yüzde 6,1</w:t>
      </w:r>
      <w:r w:rsidR="009438A8">
        <w:rPr>
          <w:sz w:val="22"/>
          <w:szCs w:val="22"/>
        </w:rPr>
        <w:t xml:space="preserve">'e </w:t>
      </w:r>
      <w:r w:rsidR="00713CBF">
        <w:rPr>
          <w:sz w:val="22"/>
          <w:szCs w:val="22"/>
        </w:rPr>
        <w:t>düşmesini bekliyoruz</w:t>
      </w:r>
      <w:r w:rsidR="009438A8">
        <w:rPr>
          <w:sz w:val="22"/>
          <w:szCs w:val="22"/>
        </w:rPr>
        <w:t>.</w:t>
      </w:r>
    </w:p>
    <w:p w:rsidR="009438A8" w:rsidRDefault="009438A8" w:rsidP="009438A8">
      <w:pPr>
        <w:spacing w:line="360" w:lineRule="auto"/>
        <w:ind w:left="-360" w:right="42"/>
        <w:jc w:val="both"/>
        <w:rPr>
          <w:sz w:val="22"/>
          <w:szCs w:val="22"/>
        </w:rPr>
      </w:pPr>
    </w:p>
    <w:p w:rsidR="009438A8" w:rsidRPr="00495192" w:rsidRDefault="006B7A8F" w:rsidP="009438A8">
      <w:pPr>
        <w:spacing w:line="360" w:lineRule="auto"/>
        <w:ind w:left="-360" w:right="42"/>
        <w:jc w:val="center"/>
        <w:rPr>
          <w:b/>
          <w:sz w:val="22"/>
          <w:szCs w:val="22"/>
        </w:rPr>
      </w:pPr>
      <w:r>
        <w:rPr>
          <w:b/>
          <w:sz w:val="22"/>
          <w:szCs w:val="22"/>
        </w:rPr>
        <w:t>Büyüme görünümünde yeni riskler</w:t>
      </w:r>
    </w:p>
    <w:p w:rsidR="008F485A" w:rsidRDefault="008F485A" w:rsidP="009438A8">
      <w:pPr>
        <w:spacing w:line="360" w:lineRule="auto"/>
        <w:ind w:left="-360" w:right="42"/>
        <w:jc w:val="both"/>
        <w:rPr>
          <w:sz w:val="22"/>
          <w:szCs w:val="22"/>
        </w:rPr>
      </w:pPr>
      <w:r>
        <w:rPr>
          <w:sz w:val="22"/>
          <w:szCs w:val="22"/>
        </w:rPr>
        <w:t>İlk çeyrekte Türkiye ekonomisi beklentilerin üzerinde yıllık yüzde 4,3 oranında büyüdü. Çeyrekten çeyreğe ise yüzde 1,7 ile son bir yılın en yüksek büyümesi görüldü. Böylece çeşitli kuruluşlar da yıl sonu büyüme oranlarını yukarı yönlü revize etmeye başladılar.</w:t>
      </w:r>
    </w:p>
    <w:p w:rsidR="008F485A" w:rsidRDefault="008F485A" w:rsidP="009438A8">
      <w:pPr>
        <w:spacing w:line="360" w:lineRule="auto"/>
        <w:ind w:left="-360" w:right="42"/>
        <w:jc w:val="both"/>
        <w:rPr>
          <w:sz w:val="22"/>
          <w:szCs w:val="22"/>
        </w:rPr>
      </w:pPr>
      <w:r>
        <w:rPr>
          <w:sz w:val="22"/>
          <w:szCs w:val="22"/>
        </w:rPr>
        <w:lastRenderedPageBreak/>
        <w:t xml:space="preserve">Haziran ayının başında Avrupa Merkez Bankası enflasyonu artırmayı amaçlayan bir paket açıkladı. Politika faizi 0,25'ten 0,10'a indirildi. Banka mevduatlarına negatif faiz uygulaması başlarken, yüklü miktarda uzun vadeli finansman olanağı getirildi. Tüm bu gelişmeler Türkiye'ye sermaye akımlarını tekrar güçlendirirken, TL değer kazanmaya ve gösterge faiz düşmeye devam etti. Böylece Türkiye Merkez Bankası'nın faizleri indirmesi için uygun bir ortam oluştu. </w:t>
      </w:r>
    </w:p>
    <w:p w:rsidR="008F485A" w:rsidRDefault="008F485A" w:rsidP="009438A8">
      <w:pPr>
        <w:spacing w:line="360" w:lineRule="auto"/>
        <w:ind w:left="-360" w:right="42"/>
        <w:jc w:val="both"/>
        <w:rPr>
          <w:sz w:val="22"/>
          <w:szCs w:val="22"/>
        </w:rPr>
      </w:pPr>
    </w:p>
    <w:p w:rsidR="008F485A" w:rsidRDefault="002E5D5E" w:rsidP="009438A8">
      <w:pPr>
        <w:spacing w:line="360" w:lineRule="auto"/>
        <w:ind w:left="-360" w:right="42"/>
        <w:jc w:val="both"/>
        <w:rPr>
          <w:sz w:val="22"/>
          <w:szCs w:val="22"/>
        </w:rPr>
      </w:pPr>
      <w:r>
        <w:rPr>
          <w:sz w:val="22"/>
          <w:szCs w:val="22"/>
        </w:rPr>
        <w:t xml:space="preserve">Ancak iki gün önce meydana gelen sıcak bir gelişme bu olumlu havayı bir miktar bozdu. Musul'un bir terör örgütü tarafından işgal edilmesi ve Türk diplomatların rehin alınması piyasalarda endişe yarattı, TL değer kaybetmeye ve gösterge faiz yükselmeye başladı. </w:t>
      </w:r>
      <w:r w:rsidR="003B4A44">
        <w:rPr>
          <w:sz w:val="22"/>
          <w:szCs w:val="22"/>
        </w:rPr>
        <w:t>B</w:t>
      </w:r>
      <w:r>
        <w:rPr>
          <w:sz w:val="22"/>
          <w:szCs w:val="22"/>
        </w:rPr>
        <w:t xml:space="preserve">u gelişmenin ne kadar süreceği henüz kestirilemiyor. Her ne kadar rehine problemi kısa sürede çözülebilir görünüyorsa da, orta vadede Irak içerisinde Suriye'ye benzer bir iç savaş çıkma riski Türkiye ekonomisini </w:t>
      </w:r>
      <w:r w:rsidR="00C73E6D">
        <w:rPr>
          <w:sz w:val="22"/>
          <w:szCs w:val="22"/>
        </w:rPr>
        <w:t>olumsuz etkileyebilir</w:t>
      </w:r>
      <w:r>
        <w:rPr>
          <w:sz w:val="22"/>
          <w:szCs w:val="22"/>
        </w:rPr>
        <w:t xml:space="preserve">. </w:t>
      </w:r>
      <w:r w:rsidR="00C73E6D">
        <w:rPr>
          <w:sz w:val="22"/>
          <w:szCs w:val="22"/>
        </w:rPr>
        <w:t>Arap ve Kürt petrolünü Türkiye üzerinden Dünya piyasalarına taşıyan petrol boru hattının IŞİD’in kontrolüne geçmiş olması Irak’ın petrol ihracatını, dolayısıyla Türkiye’nin ikinci pazarı olan Irak’a yaptığı ihracatı tehdit ediyor.</w:t>
      </w:r>
    </w:p>
    <w:p w:rsidR="002E5D5E" w:rsidRDefault="002E5D5E" w:rsidP="009438A8">
      <w:pPr>
        <w:spacing w:line="360" w:lineRule="auto"/>
        <w:ind w:left="-360" w:right="42"/>
        <w:jc w:val="both"/>
        <w:rPr>
          <w:sz w:val="22"/>
          <w:szCs w:val="22"/>
        </w:rPr>
      </w:pPr>
    </w:p>
    <w:p w:rsidR="000C2F1B" w:rsidRDefault="00FF03AD" w:rsidP="009438A8">
      <w:pPr>
        <w:spacing w:line="360" w:lineRule="auto"/>
        <w:ind w:left="-360" w:right="42"/>
        <w:jc w:val="both"/>
        <w:rPr>
          <w:sz w:val="22"/>
          <w:szCs w:val="22"/>
        </w:rPr>
      </w:pPr>
      <w:r>
        <w:rPr>
          <w:sz w:val="22"/>
          <w:szCs w:val="22"/>
        </w:rPr>
        <w:t xml:space="preserve">Bu nedenle </w:t>
      </w:r>
      <w:r w:rsidR="002E5D5E">
        <w:rPr>
          <w:sz w:val="22"/>
          <w:szCs w:val="22"/>
        </w:rPr>
        <w:t>Avrupa'nın yarattığı olumlu piyasa koşullarının tersine dönüyor olması Merkez Bankası'nın faiz indiriminde daha tedbirl</w:t>
      </w:r>
      <w:r w:rsidR="003B4A44">
        <w:rPr>
          <w:sz w:val="22"/>
          <w:szCs w:val="22"/>
        </w:rPr>
        <w:t>i davranmasını gerektirebilir. B</w:t>
      </w:r>
      <w:r w:rsidR="002E5D5E">
        <w:rPr>
          <w:sz w:val="22"/>
          <w:szCs w:val="22"/>
        </w:rPr>
        <w:t>u da iç talepte beklenen canlanmayı bir miktar sınırlayacaktır.</w:t>
      </w:r>
      <w:r w:rsidR="003B4A44">
        <w:rPr>
          <w:sz w:val="22"/>
          <w:szCs w:val="22"/>
        </w:rPr>
        <w:t xml:space="preserve"> B</w:t>
      </w:r>
      <w:r w:rsidR="002E5D5E">
        <w:rPr>
          <w:sz w:val="22"/>
          <w:szCs w:val="22"/>
        </w:rPr>
        <w:t xml:space="preserve">unun yanında bölgede yaşanabilecek olumsuz gelişmelerin ticarete yansıması </w:t>
      </w:r>
      <w:r w:rsidR="003B4A44">
        <w:rPr>
          <w:sz w:val="22"/>
          <w:szCs w:val="22"/>
        </w:rPr>
        <w:t xml:space="preserve">halinde </w:t>
      </w:r>
      <w:r w:rsidR="002E5D5E">
        <w:rPr>
          <w:sz w:val="22"/>
          <w:szCs w:val="22"/>
        </w:rPr>
        <w:t>dış tale</w:t>
      </w:r>
      <w:r w:rsidR="003B4A44">
        <w:rPr>
          <w:sz w:val="22"/>
          <w:szCs w:val="22"/>
        </w:rPr>
        <w:t>bin büyümeye katkısı</w:t>
      </w:r>
      <w:r w:rsidR="002E5D5E">
        <w:rPr>
          <w:sz w:val="22"/>
          <w:szCs w:val="22"/>
        </w:rPr>
        <w:t xml:space="preserve"> da zayıflayabilir. Bir üçüncü risk ise petrol fiyatlarında yukarı yönlü bir gidiş olması</w:t>
      </w:r>
      <w:r w:rsidR="003B4A44">
        <w:rPr>
          <w:sz w:val="22"/>
          <w:szCs w:val="22"/>
        </w:rPr>
        <w:t xml:space="preserve"> ki,</w:t>
      </w:r>
      <w:r w:rsidR="002E5D5E">
        <w:rPr>
          <w:sz w:val="22"/>
          <w:szCs w:val="22"/>
        </w:rPr>
        <w:t xml:space="preserve"> </w:t>
      </w:r>
      <w:r w:rsidR="003B4A44">
        <w:rPr>
          <w:sz w:val="22"/>
          <w:szCs w:val="22"/>
        </w:rPr>
        <w:t>böyle bir gelişme,</w:t>
      </w:r>
      <w:r w:rsidR="002E5D5E">
        <w:rPr>
          <w:sz w:val="22"/>
          <w:szCs w:val="22"/>
        </w:rPr>
        <w:t xml:space="preserve"> enerji fiyatları </w:t>
      </w:r>
      <w:r w:rsidR="002E5D5E">
        <w:rPr>
          <w:sz w:val="22"/>
          <w:szCs w:val="22"/>
        </w:rPr>
        <w:lastRenderedPageBreak/>
        <w:t>üzerinden ekonominin olumsuz etkilenmesi</w:t>
      </w:r>
      <w:r w:rsidR="003B4A44">
        <w:rPr>
          <w:sz w:val="22"/>
          <w:szCs w:val="22"/>
        </w:rPr>
        <w:t>ne</w:t>
      </w:r>
      <w:r w:rsidR="002E5D5E">
        <w:rPr>
          <w:sz w:val="22"/>
          <w:szCs w:val="22"/>
        </w:rPr>
        <w:t xml:space="preserve"> ve uzun zamandır azalmakta olan cari açığın </w:t>
      </w:r>
      <w:r w:rsidR="00155EE3">
        <w:rPr>
          <w:sz w:val="22"/>
          <w:szCs w:val="22"/>
        </w:rPr>
        <w:t>tekrar artmaya başlaması</w:t>
      </w:r>
      <w:r w:rsidR="003B4A44">
        <w:rPr>
          <w:sz w:val="22"/>
          <w:szCs w:val="22"/>
        </w:rPr>
        <w:t>na neden olabilir</w:t>
      </w:r>
      <w:r w:rsidR="00155EE3">
        <w:rPr>
          <w:sz w:val="22"/>
          <w:szCs w:val="22"/>
        </w:rPr>
        <w:t>.</w:t>
      </w:r>
      <w:r w:rsidR="000217AE">
        <w:rPr>
          <w:sz w:val="22"/>
          <w:szCs w:val="22"/>
        </w:rPr>
        <w:t xml:space="preserve"> </w:t>
      </w:r>
    </w:p>
    <w:p w:rsidR="000C2F1B" w:rsidRDefault="000C2F1B" w:rsidP="009438A8">
      <w:pPr>
        <w:spacing w:line="360" w:lineRule="auto"/>
        <w:ind w:left="-360" w:right="42"/>
        <w:jc w:val="both"/>
        <w:rPr>
          <w:sz w:val="22"/>
          <w:szCs w:val="22"/>
        </w:rPr>
      </w:pPr>
    </w:p>
    <w:p w:rsidR="00273CB4" w:rsidRDefault="00FF6082" w:rsidP="009438A8">
      <w:pPr>
        <w:spacing w:line="360" w:lineRule="auto"/>
        <w:ind w:left="-360" w:right="42"/>
        <w:jc w:val="both"/>
        <w:rPr>
          <w:sz w:val="22"/>
          <w:szCs w:val="22"/>
        </w:rPr>
      </w:pPr>
      <w:r>
        <w:rPr>
          <w:sz w:val="22"/>
          <w:szCs w:val="22"/>
        </w:rPr>
        <w:t>Buna rağmen, y</w:t>
      </w:r>
      <w:r w:rsidR="000C2F1B">
        <w:rPr>
          <w:sz w:val="22"/>
          <w:szCs w:val="22"/>
        </w:rPr>
        <w:t>ılın ikinci yarısında Avrupa Merkez Bankası'nın varlık alımlarına başlayıp başlamayacağı ve Amerika faizlerinin seyri Türkiye ekonomisi için ana belirleyiciler olmaya devam ediyor.</w:t>
      </w:r>
    </w:p>
    <w:p w:rsidR="000217AE" w:rsidRDefault="000217AE" w:rsidP="003A5C17">
      <w:pPr>
        <w:spacing w:line="360" w:lineRule="auto"/>
        <w:ind w:left="-360" w:right="42"/>
        <w:jc w:val="center"/>
        <w:rPr>
          <w:b/>
          <w:bCs/>
          <w:sz w:val="22"/>
          <w:szCs w:val="22"/>
        </w:rPr>
      </w:pPr>
    </w:p>
    <w:p w:rsidR="004C357C" w:rsidRPr="001837A6" w:rsidRDefault="004C357C" w:rsidP="001837A6">
      <w:pPr>
        <w:spacing w:line="360" w:lineRule="auto"/>
        <w:ind w:left="-360" w:right="42"/>
        <w:jc w:val="center"/>
        <w:rPr>
          <w:b/>
          <w:bCs/>
          <w:sz w:val="22"/>
          <w:szCs w:val="22"/>
        </w:rPr>
      </w:pPr>
      <w:r>
        <w:rPr>
          <w:b/>
          <w:bCs/>
          <w:sz w:val="22"/>
          <w:szCs w:val="22"/>
        </w:rPr>
        <w:t>Özel tüketim canlanıyor</w:t>
      </w:r>
    </w:p>
    <w:p w:rsidR="004C357C" w:rsidRDefault="004C357C" w:rsidP="004C357C">
      <w:pPr>
        <w:spacing w:line="360" w:lineRule="auto"/>
        <w:ind w:left="-360" w:right="42"/>
        <w:jc w:val="both"/>
        <w:rPr>
          <w:sz w:val="22"/>
          <w:szCs w:val="22"/>
        </w:rPr>
      </w:pPr>
      <w:r>
        <w:rPr>
          <w:sz w:val="22"/>
          <w:szCs w:val="22"/>
        </w:rPr>
        <w:t>2014 1. çeyrekteki iç talepteki daralmanın ardından 2014 2. çeyrekte iç talepte bir canlanma bekliyoruz. Nisan ve Mayıs ayına dair ekonomik göstergeler</w:t>
      </w:r>
      <w:r w:rsidR="0034012E">
        <w:rPr>
          <w:sz w:val="22"/>
          <w:szCs w:val="22"/>
        </w:rPr>
        <w:t xml:space="preserve"> </w:t>
      </w:r>
      <w:r>
        <w:rPr>
          <w:sz w:val="22"/>
          <w:szCs w:val="22"/>
        </w:rPr>
        <w:t>de buna işaret ediyor. Nisan ayında bir önceki aya göre tüketim malı ithalatı ve dayanıksız tüketim malı imalatı sırasıyla yüzde 5,0 ve yüzde 0,1 arttı. Buna karşılık aynı dönemde dayanıklı tüketim malı imalatı yüzde 1,5 azaldı. Nisan ayındaki yüzde 6,9'luk güçlü artışın ardından, tüketici güven endeksi Mayıs ayında yüzde 3,2 düştü ama çeyreklik bazda hala pozitif. Bu verilere göre 2014 2. çeyreğinde özel tüketimin GSYH'a pozitif katkı yapmasını bekliyoruz.</w:t>
      </w:r>
    </w:p>
    <w:p w:rsidR="004C357C" w:rsidRDefault="004C357C" w:rsidP="004C357C">
      <w:pPr>
        <w:spacing w:line="360" w:lineRule="auto"/>
        <w:ind w:right="42"/>
        <w:rPr>
          <w:b/>
          <w:bCs/>
          <w:sz w:val="22"/>
          <w:szCs w:val="22"/>
        </w:rPr>
      </w:pPr>
    </w:p>
    <w:p w:rsidR="004C357C" w:rsidRPr="001837A6" w:rsidRDefault="004C357C" w:rsidP="001837A6">
      <w:pPr>
        <w:spacing w:line="360" w:lineRule="auto"/>
        <w:ind w:left="-360" w:right="42"/>
        <w:jc w:val="center"/>
        <w:rPr>
          <w:b/>
          <w:bCs/>
          <w:sz w:val="22"/>
          <w:szCs w:val="22"/>
        </w:rPr>
      </w:pPr>
      <w:r>
        <w:rPr>
          <w:b/>
          <w:bCs/>
          <w:sz w:val="22"/>
          <w:szCs w:val="22"/>
        </w:rPr>
        <w:t>Özel yatırım harcamaları pozitifte</w:t>
      </w:r>
    </w:p>
    <w:p w:rsidR="004C357C" w:rsidRDefault="004C357C" w:rsidP="004C357C">
      <w:pPr>
        <w:spacing w:line="360" w:lineRule="auto"/>
        <w:ind w:left="-360" w:right="43"/>
        <w:jc w:val="both"/>
        <w:rPr>
          <w:bCs/>
          <w:sz w:val="22"/>
          <w:szCs w:val="22"/>
        </w:rPr>
      </w:pPr>
      <w:r>
        <w:rPr>
          <w:bCs/>
          <w:sz w:val="22"/>
          <w:szCs w:val="22"/>
        </w:rPr>
        <w:t xml:space="preserve">Özel yatırım harcamalarının özel tüketim harcamaları gibi 2. çeyrekte canlanmasını bekliyoruz. Nisan ayında bir önceki aya göre yatırım malı ithalatı ve yatırım malı imalatı sırasıyla yüzde 5,9 ve yüzde 2,0 arttı. Aynı dönemde SÜE de yüzde 1,0 arttı. KKO ise dalgalı seyrine devam ediyor, Nisan ayında yüzde 0,6 arttıktan sonra Mayıs ayında yüzde 0,5 düşüş gösterdi. Reel kesim güven endeksi ise son 4 aydır yükselme eğiliminde, en son Mayıs ayında yüzde 1,1 arttı. Genel olarak özel yatırım harcamalarının </w:t>
      </w:r>
      <w:r>
        <w:rPr>
          <w:bCs/>
          <w:sz w:val="22"/>
          <w:szCs w:val="22"/>
        </w:rPr>
        <w:lastRenderedPageBreak/>
        <w:t>2. çeyrekte GSYH'a pozitif katkı yapmasını bekliyoruz.</w:t>
      </w:r>
    </w:p>
    <w:p w:rsidR="004C357C" w:rsidRDefault="004C357C" w:rsidP="004C357C">
      <w:pPr>
        <w:spacing w:line="360" w:lineRule="auto"/>
        <w:ind w:left="-360" w:right="43"/>
        <w:jc w:val="both"/>
        <w:rPr>
          <w:bCs/>
          <w:sz w:val="22"/>
          <w:szCs w:val="22"/>
        </w:rPr>
      </w:pPr>
    </w:p>
    <w:p w:rsidR="004C357C" w:rsidRDefault="004C357C" w:rsidP="004C357C">
      <w:pPr>
        <w:spacing w:line="360" w:lineRule="auto"/>
        <w:ind w:left="-360" w:right="43"/>
        <w:jc w:val="center"/>
        <w:rPr>
          <w:b/>
          <w:bCs/>
          <w:sz w:val="22"/>
          <w:szCs w:val="22"/>
        </w:rPr>
      </w:pPr>
      <w:r>
        <w:rPr>
          <w:b/>
          <w:bCs/>
          <w:sz w:val="22"/>
          <w:szCs w:val="22"/>
        </w:rPr>
        <w:t>Nisan ayında ihracat sert bir biçimde dü</w:t>
      </w:r>
      <w:r w:rsidR="001837A6">
        <w:rPr>
          <w:b/>
          <w:bCs/>
          <w:sz w:val="22"/>
          <w:szCs w:val="22"/>
        </w:rPr>
        <w:t>ştü</w:t>
      </w:r>
    </w:p>
    <w:p w:rsidR="004C357C" w:rsidRDefault="004C357C" w:rsidP="004C357C">
      <w:pPr>
        <w:spacing w:line="360" w:lineRule="auto"/>
        <w:ind w:left="-360" w:right="43"/>
        <w:jc w:val="both"/>
        <w:rPr>
          <w:sz w:val="22"/>
          <w:szCs w:val="22"/>
        </w:rPr>
      </w:pPr>
      <w:r>
        <w:rPr>
          <w:sz w:val="22"/>
          <w:szCs w:val="22"/>
        </w:rPr>
        <w:t xml:space="preserve">Şekil 2 TÜİK’in açıkladığı mevsim ve takvim etkisinden arındırılmış ihracat ve ithalat miktar endekslerini gösteriyor. </w:t>
      </w:r>
      <w:r w:rsidR="00FD30C8">
        <w:rPr>
          <w:sz w:val="22"/>
          <w:szCs w:val="22"/>
        </w:rPr>
        <w:t>Nisan ayında bir önceki aya</w:t>
      </w:r>
      <w:r>
        <w:rPr>
          <w:sz w:val="22"/>
          <w:szCs w:val="22"/>
        </w:rPr>
        <w:t xml:space="preserve"> göre ihracat miktar endeksi yüzde 8,1 azalırken, ithalat miktar endeksi yüzde 0,7 arttı. İhracat miktar endeksindeki sert düşüş altın ihracatındaki azalmadan kaynaklandı. Mart ayında 1,5 milyar dolar altın ihraç edilmişken, Nisan ayında nerdeyse hiç altın ihraç edilmedi. Altın dışı dış ticaret rakamlarında bu etkiyi net bir biçimde görüyoruz. Nisan ayında bir önceki aya göre altın dışı ihracat ve ithalat sırasıyla yüzde 5,2 ve yüzde 8,0 arttı. Önümüzdeki ayda ihracat miktar endeksinin bir miktar toparlanmasını bekliyoruz.</w:t>
      </w:r>
    </w:p>
    <w:p w:rsidR="00702823" w:rsidRDefault="00702823" w:rsidP="00702823">
      <w:pPr>
        <w:spacing w:line="360" w:lineRule="auto"/>
        <w:ind w:left="-360" w:right="43"/>
        <w:jc w:val="center"/>
        <w:rPr>
          <w:b/>
          <w:bCs/>
          <w:sz w:val="22"/>
          <w:szCs w:val="22"/>
        </w:rPr>
      </w:pPr>
    </w:p>
    <w:p w:rsidR="009438A8" w:rsidRDefault="009438A8" w:rsidP="009438A8">
      <w:pPr>
        <w:spacing w:line="360" w:lineRule="auto"/>
        <w:ind w:left="-360" w:right="43"/>
        <w:jc w:val="center"/>
        <w:rPr>
          <w:b/>
          <w:bCs/>
          <w:sz w:val="22"/>
          <w:szCs w:val="22"/>
        </w:rPr>
      </w:pPr>
      <w:r>
        <w:rPr>
          <w:b/>
          <w:bCs/>
          <w:sz w:val="22"/>
          <w:szCs w:val="22"/>
        </w:rPr>
        <w:t xml:space="preserve">Cari açık </w:t>
      </w:r>
      <w:r w:rsidR="0012410A">
        <w:rPr>
          <w:b/>
          <w:bCs/>
          <w:sz w:val="22"/>
          <w:szCs w:val="22"/>
        </w:rPr>
        <w:t>yüzde 7'nin altına düşecek</w:t>
      </w:r>
    </w:p>
    <w:p w:rsidR="00A551E2" w:rsidRDefault="0012410A" w:rsidP="009438A8">
      <w:pPr>
        <w:spacing w:line="360" w:lineRule="auto"/>
        <w:ind w:left="-360" w:right="43"/>
        <w:jc w:val="both"/>
        <w:rPr>
          <w:sz w:val="22"/>
          <w:szCs w:val="22"/>
        </w:rPr>
      </w:pPr>
      <w:r>
        <w:rPr>
          <w:sz w:val="22"/>
          <w:szCs w:val="22"/>
        </w:rPr>
        <w:t>Nisan</w:t>
      </w:r>
      <w:r w:rsidR="009438A8">
        <w:rPr>
          <w:sz w:val="22"/>
          <w:szCs w:val="22"/>
        </w:rPr>
        <w:t xml:space="preserve"> ayında cari açık </w:t>
      </w:r>
      <w:r>
        <w:rPr>
          <w:sz w:val="22"/>
          <w:szCs w:val="22"/>
        </w:rPr>
        <w:t>4</w:t>
      </w:r>
      <w:r w:rsidR="009438A8">
        <w:rPr>
          <w:sz w:val="22"/>
          <w:szCs w:val="22"/>
        </w:rPr>
        <w:t>,</w:t>
      </w:r>
      <w:r>
        <w:rPr>
          <w:sz w:val="22"/>
          <w:szCs w:val="22"/>
        </w:rPr>
        <w:t>8</w:t>
      </w:r>
      <w:r w:rsidR="009438A8">
        <w:rPr>
          <w:sz w:val="22"/>
          <w:szCs w:val="22"/>
        </w:rPr>
        <w:t xml:space="preserve"> milyar dolar olarak gerçekleşti. Geçtiğimiz yılın aynı ayında cari açık </w:t>
      </w:r>
      <w:r w:rsidR="00AD31C3">
        <w:rPr>
          <w:sz w:val="22"/>
          <w:szCs w:val="22"/>
        </w:rPr>
        <w:t>8</w:t>
      </w:r>
      <w:r w:rsidR="009438A8">
        <w:rPr>
          <w:sz w:val="22"/>
          <w:szCs w:val="22"/>
        </w:rPr>
        <w:t>,</w:t>
      </w:r>
      <w:r w:rsidR="00AD31C3">
        <w:rPr>
          <w:sz w:val="22"/>
          <w:szCs w:val="22"/>
        </w:rPr>
        <w:t>1</w:t>
      </w:r>
      <w:r w:rsidR="009438A8">
        <w:rPr>
          <w:sz w:val="22"/>
          <w:szCs w:val="22"/>
        </w:rPr>
        <w:t xml:space="preserve"> milyar dolardı. Böylece 12 aylık toplam cari açık 6</w:t>
      </w:r>
      <w:r w:rsidR="00AD31C3">
        <w:rPr>
          <w:sz w:val="22"/>
          <w:szCs w:val="22"/>
        </w:rPr>
        <w:t>0</w:t>
      </w:r>
      <w:r w:rsidR="009438A8">
        <w:rPr>
          <w:sz w:val="22"/>
          <w:szCs w:val="22"/>
        </w:rPr>
        <w:t>,</w:t>
      </w:r>
      <w:r w:rsidR="00AD31C3">
        <w:rPr>
          <w:sz w:val="22"/>
          <w:szCs w:val="22"/>
        </w:rPr>
        <w:t>1</w:t>
      </w:r>
      <w:r w:rsidR="009438A8">
        <w:rPr>
          <w:sz w:val="22"/>
          <w:szCs w:val="22"/>
        </w:rPr>
        <w:t xml:space="preserve"> milyar dolardan 5</w:t>
      </w:r>
      <w:r w:rsidR="00AD31C3">
        <w:rPr>
          <w:sz w:val="22"/>
          <w:szCs w:val="22"/>
        </w:rPr>
        <w:t>6</w:t>
      </w:r>
      <w:r w:rsidR="009438A8">
        <w:rPr>
          <w:sz w:val="22"/>
          <w:szCs w:val="22"/>
        </w:rPr>
        <w:t>,</w:t>
      </w:r>
      <w:r w:rsidR="00AD31C3">
        <w:rPr>
          <w:sz w:val="22"/>
          <w:szCs w:val="22"/>
        </w:rPr>
        <w:t>8</w:t>
      </w:r>
      <w:r w:rsidR="009438A8">
        <w:rPr>
          <w:sz w:val="22"/>
          <w:szCs w:val="22"/>
        </w:rPr>
        <w:t xml:space="preserve"> milyar dolara düştü. Altın hariç cari açık ise 51,</w:t>
      </w:r>
      <w:r w:rsidR="00D968CA">
        <w:rPr>
          <w:sz w:val="22"/>
          <w:szCs w:val="22"/>
        </w:rPr>
        <w:t>3 milyar dolardan 49</w:t>
      </w:r>
      <w:r w:rsidR="009438A8">
        <w:rPr>
          <w:sz w:val="22"/>
          <w:szCs w:val="22"/>
        </w:rPr>
        <w:t>,</w:t>
      </w:r>
      <w:r w:rsidR="00D968CA">
        <w:rPr>
          <w:sz w:val="22"/>
          <w:szCs w:val="22"/>
        </w:rPr>
        <w:t>8</w:t>
      </w:r>
      <w:r w:rsidR="009438A8">
        <w:rPr>
          <w:sz w:val="22"/>
          <w:szCs w:val="22"/>
        </w:rPr>
        <w:t xml:space="preserve"> milyar dolara </w:t>
      </w:r>
      <w:r w:rsidR="00721276">
        <w:rPr>
          <w:sz w:val="22"/>
          <w:szCs w:val="22"/>
        </w:rPr>
        <w:t>geriledi</w:t>
      </w:r>
      <w:r w:rsidR="009438A8">
        <w:rPr>
          <w:sz w:val="22"/>
          <w:szCs w:val="22"/>
        </w:rPr>
        <w:t xml:space="preserve">. </w:t>
      </w:r>
    </w:p>
    <w:p w:rsidR="00A551E2" w:rsidRDefault="00A551E2" w:rsidP="009438A8">
      <w:pPr>
        <w:spacing w:line="360" w:lineRule="auto"/>
        <w:ind w:left="-360" w:right="43"/>
        <w:jc w:val="both"/>
        <w:rPr>
          <w:sz w:val="22"/>
          <w:szCs w:val="22"/>
        </w:rPr>
      </w:pPr>
    </w:p>
    <w:p w:rsidR="00A551E2" w:rsidRDefault="00A551E2" w:rsidP="009438A8">
      <w:pPr>
        <w:spacing w:line="360" w:lineRule="auto"/>
        <w:ind w:left="-360" w:right="43"/>
        <w:jc w:val="both"/>
        <w:rPr>
          <w:sz w:val="22"/>
          <w:szCs w:val="22"/>
        </w:rPr>
      </w:pPr>
      <w:r>
        <w:rPr>
          <w:sz w:val="22"/>
          <w:szCs w:val="22"/>
        </w:rPr>
        <w:t>Cari açıktaki düşüşün büyük kısmı altın ithalatındaki düşüşten kaynaklanmaya devam ediyor. Geçtiğimiz sene Nisan-Mayıs-Haziran döneminde net altın ithalatı 5,7 milyar dolar olmuştu (GSYH'ın yüzde 0,7'si). Bu sene altın ticaretinin normalleşmesi ile ikinci çeyrekte cari açıkta sert bir iniş bekliyoruz.</w:t>
      </w:r>
    </w:p>
    <w:p w:rsidR="00A551E2" w:rsidRDefault="00A551E2" w:rsidP="009438A8">
      <w:pPr>
        <w:spacing w:line="360" w:lineRule="auto"/>
        <w:ind w:left="-360" w:right="43"/>
        <w:jc w:val="both"/>
        <w:rPr>
          <w:sz w:val="22"/>
          <w:szCs w:val="22"/>
        </w:rPr>
      </w:pPr>
    </w:p>
    <w:p w:rsidR="009438A8" w:rsidRDefault="009438A8" w:rsidP="009438A8">
      <w:pPr>
        <w:spacing w:line="360" w:lineRule="auto"/>
        <w:ind w:left="-360" w:right="43"/>
        <w:jc w:val="both"/>
        <w:rPr>
          <w:sz w:val="22"/>
          <w:szCs w:val="22"/>
        </w:rPr>
      </w:pPr>
      <w:r>
        <w:rPr>
          <w:sz w:val="22"/>
          <w:szCs w:val="22"/>
        </w:rPr>
        <w:t>İlk çeyrek sonunda cari açık oranının yüzde 7,9'dan yüzde 7,5'e düş</w:t>
      </w:r>
      <w:r w:rsidR="001E3C27">
        <w:rPr>
          <w:sz w:val="22"/>
          <w:szCs w:val="22"/>
        </w:rPr>
        <w:t>müştü (Şekil 3)</w:t>
      </w:r>
      <w:r>
        <w:rPr>
          <w:sz w:val="22"/>
          <w:szCs w:val="22"/>
        </w:rPr>
        <w:t xml:space="preserve">, </w:t>
      </w:r>
      <w:r w:rsidR="001E3C27">
        <w:rPr>
          <w:sz w:val="22"/>
          <w:szCs w:val="22"/>
        </w:rPr>
        <w:t xml:space="preserve">ikinci </w:t>
      </w:r>
      <w:r w:rsidR="001E3C27">
        <w:rPr>
          <w:sz w:val="22"/>
          <w:szCs w:val="22"/>
        </w:rPr>
        <w:lastRenderedPageBreak/>
        <w:t>çeyrek sonunda bu oranın yüzde 6,6'ya düşmesini bekliyoruz. A</w:t>
      </w:r>
      <w:r>
        <w:rPr>
          <w:sz w:val="22"/>
          <w:szCs w:val="22"/>
        </w:rPr>
        <w:t xml:space="preserve">ltın hariç cari açık oranının ise yüzde </w:t>
      </w:r>
      <w:r>
        <w:rPr>
          <w:sz w:val="22"/>
          <w:szCs w:val="22"/>
        </w:rPr>
        <w:lastRenderedPageBreak/>
        <w:t>6,</w:t>
      </w:r>
      <w:r w:rsidR="001E3C27">
        <w:rPr>
          <w:sz w:val="22"/>
          <w:szCs w:val="22"/>
        </w:rPr>
        <w:t>4</w:t>
      </w:r>
      <w:r>
        <w:rPr>
          <w:sz w:val="22"/>
          <w:szCs w:val="22"/>
        </w:rPr>
        <w:t>'ten 6,</w:t>
      </w:r>
      <w:r w:rsidR="001E3C27">
        <w:rPr>
          <w:sz w:val="22"/>
          <w:szCs w:val="22"/>
        </w:rPr>
        <w:t>1</w:t>
      </w:r>
      <w:r>
        <w:rPr>
          <w:sz w:val="22"/>
          <w:szCs w:val="22"/>
        </w:rPr>
        <w:t>'e ineceğini tahmin ediyoruz.</w:t>
      </w:r>
    </w:p>
    <w:p w:rsidR="00965C0E" w:rsidRDefault="00965C0E" w:rsidP="00E24C8A">
      <w:pPr>
        <w:spacing w:line="360" w:lineRule="auto"/>
        <w:ind w:left="-360" w:right="43"/>
        <w:jc w:val="both"/>
        <w:rPr>
          <w:sz w:val="22"/>
          <w:szCs w:val="22"/>
        </w:rPr>
        <w:sectPr w:rsidR="00965C0E" w:rsidSect="000F0C2B">
          <w:type w:val="continuous"/>
          <w:pgSz w:w="11906" w:h="16838"/>
          <w:pgMar w:top="1417" w:right="1417" w:bottom="1417" w:left="1417" w:header="708" w:footer="708" w:gutter="0"/>
          <w:cols w:num="2" w:space="708" w:equalWidth="0">
            <w:col w:w="4182" w:space="708"/>
            <w:col w:w="4182"/>
          </w:cols>
          <w:docGrid w:linePitch="360"/>
        </w:sectPr>
      </w:pPr>
    </w:p>
    <w:p w:rsidR="005A0E6F" w:rsidRDefault="005A0E6F" w:rsidP="00392A7C">
      <w:pPr>
        <w:spacing w:line="360" w:lineRule="auto"/>
        <w:ind w:right="42"/>
        <w:jc w:val="both"/>
        <w:rPr>
          <w:b/>
          <w:bCs/>
          <w:sz w:val="22"/>
          <w:szCs w:val="22"/>
        </w:rPr>
      </w:pPr>
    </w:p>
    <w:p w:rsidR="00392A7C" w:rsidRPr="009B33E7" w:rsidRDefault="00392A7C" w:rsidP="00392A7C">
      <w:pPr>
        <w:spacing w:line="360" w:lineRule="auto"/>
        <w:ind w:right="42"/>
        <w:jc w:val="both"/>
        <w:rPr>
          <w:sz w:val="22"/>
          <w:szCs w:val="22"/>
        </w:rPr>
      </w:pPr>
      <w:r w:rsidRPr="008C6E50">
        <w:rPr>
          <w:b/>
          <w:bCs/>
          <w:sz w:val="22"/>
          <w:szCs w:val="22"/>
        </w:rPr>
        <w:t>Tablo</w:t>
      </w:r>
      <w:r>
        <w:rPr>
          <w:b/>
          <w:bCs/>
          <w:sz w:val="22"/>
          <w:szCs w:val="22"/>
        </w:rPr>
        <w:t xml:space="preserve"> 2</w:t>
      </w:r>
      <w:r w:rsidRPr="008C6E50">
        <w:rPr>
          <w:b/>
          <w:bCs/>
          <w:sz w:val="22"/>
          <w:szCs w:val="22"/>
        </w:rPr>
        <w:t>.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1051"/>
        <w:gridCol w:w="1051"/>
        <w:gridCol w:w="1051"/>
        <w:gridCol w:w="1052"/>
        <w:gridCol w:w="960"/>
        <w:gridCol w:w="960"/>
      </w:tblGrid>
      <w:tr w:rsidR="00FD30C8" w:rsidTr="003333BF">
        <w:trPr>
          <w:trHeight w:val="607"/>
        </w:trPr>
        <w:tc>
          <w:tcPr>
            <w:tcW w:w="3397" w:type="dxa"/>
            <w:vAlign w:val="center"/>
          </w:tcPr>
          <w:p w:rsidR="00FD30C8" w:rsidRPr="00261A05" w:rsidRDefault="00FD30C8" w:rsidP="00A1421E">
            <w:pPr>
              <w:ind w:right="42"/>
              <w:jc w:val="center"/>
              <w:rPr>
                <w:b/>
                <w:bCs/>
              </w:rPr>
            </w:pPr>
            <w:r w:rsidRPr="00261A05">
              <w:rPr>
                <w:b/>
                <w:bCs/>
                <w:sz w:val="22"/>
                <w:szCs w:val="22"/>
              </w:rPr>
              <w:t>Ekonomik Göstergeler</w:t>
            </w:r>
          </w:p>
        </w:tc>
        <w:tc>
          <w:tcPr>
            <w:tcW w:w="1051" w:type="dxa"/>
            <w:vAlign w:val="center"/>
          </w:tcPr>
          <w:p w:rsidR="00FD30C8" w:rsidRPr="00261A05" w:rsidRDefault="00FD30C8" w:rsidP="004B5AE2">
            <w:pPr>
              <w:ind w:right="42"/>
              <w:jc w:val="center"/>
              <w:rPr>
                <w:b/>
                <w:bCs/>
              </w:rPr>
            </w:pPr>
            <w:r>
              <w:rPr>
                <w:b/>
                <w:bCs/>
              </w:rPr>
              <w:t>Şubat</w:t>
            </w:r>
          </w:p>
        </w:tc>
        <w:tc>
          <w:tcPr>
            <w:tcW w:w="1051" w:type="dxa"/>
            <w:vAlign w:val="center"/>
          </w:tcPr>
          <w:p w:rsidR="00FD30C8" w:rsidRPr="00261A05" w:rsidRDefault="00FD30C8" w:rsidP="004B5AE2">
            <w:pPr>
              <w:ind w:right="42"/>
              <w:jc w:val="center"/>
              <w:rPr>
                <w:b/>
                <w:bCs/>
              </w:rPr>
            </w:pPr>
            <w:r>
              <w:rPr>
                <w:b/>
                <w:bCs/>
              </w:rPr>
              <w:t>Mart</w:t>
            </w:r>
          </w:p>
        </w:tc>
        <w:tc>
          <w:tcPr>
            <w:tcW w:w="1051" w:type="dxa"/>
            <w:vAlign w:val="center"/>
          </w:tcPr>
          <w:p w:rsidR="00FD30C8" w:rsidRPr="00261A05" w:rsidRDefault="00FD30C8" w:rsidP="004B5AE2">
            <w:pPr>
              <w:ind w:right="42"/>
              <w:jc w:val="center"/>
              <w:rPr>
                <w:b/>
                <w:bCs/>
              </w:rPr>
            </w:pPr>
            <w:r>
              <w:rPr>
                <w:b/>
                <w:bCs/>
              </w:rPr>
              <w:t>Nisan</w:t>
            </w:r>
          </w:p>
        </w:tc>
        <w:tc>
          <w:tcPr>
            <w:tcW w:w="1052" w:type="dxa"/>
            <w:tcBorders>
              <w:right w:val="double" w:sz="4" w:space="0" w:color="auto"/>
            </w:tcBorders>
            <w:vAlign w:val="center"/>
          </w:tcPr>
          <w:p w:rsidR="00FD30C8" w:rsidRPr="00261A05" w:rsidRDefault="00FD30C8" w:rsidP="004B5AE2">
            <w:pPr>
              <w:ind w:right="42"/>
              <w:jc w:val="center"/>
              <w:rPr>
                <w:b/>
                <w:bCs/>
              </w:rPr>
            </w:pPr>
            <w:r>
              <w:rPr>
                <w:b/>
                <w:bCs/>
              </w:rPr>
              <w:t>Mayıs</w:t>
            </w:r>
          </w:p>
        </w:tc>
        <w:tc>
          <w:tcPr>
            <w:tcW w:w="960" w:type="dxa"/>
            <w:tcBorders>
              <w:left w:val="double" w:sz="4" w:space="0" w:color="auto"/>
            </w:tcBorders>
            <w:vAlign w:val="center"/>
          </w:tcPr>
          <w:p w:rsidR="00FD30C8" w:rsidRPr="00261A05" w:rsidRDefault="00FD30C8" w:rsidP="004B5AE2">
            <w:pPr>
              <w:ind w:right="42"/>
              <w:jc w:val="center"/>
              <w:rPr>
                <w:b/>
                <w:bCs/>
              </w:rPr>
            </w:pPr>
            <w:r>
              <w:rPr>
                <w:b/>
                <w:bCs/>
                <w:sz w:val="22"/>
                <w:szCs w:val="22"/>
              </w:rPr>
              <w:t>2014 1</w:t>
            </w:r>
            <w:r w:rsidRPr="00261A05">
              <w:rPr>
                <w:b/>
                <w:bCs/>
                <w:sz w:val="22"/>
                <w:szCs w:val="22"/>
              </w:rPr>
              <w:t>. Çeyrek</w:t>
            </w:r>
          </w:p>
        </w:tc>
        <w:tc>
          <w:tcPr>
            <w:tcW w:w="960" w:type="dxa"/>
            <w:vAlign w:val="center"/>
          </w:tcPr>
          <w:p w:rsidR="00FD30C8" w:rsidRPr="00261A05" w:rsidRDefault="00FD30C8" w:rsidP="004B5AE2">
            <w:pPr>
              <w:ind w:right="42"/>
              <w:jc w:val="center"/>
              <w:rPr>
                <w:b/>
                <w:bCs/>
              </w:rPr>
            </w:pPr>
            <w:r>
              <w:rPr>
                <w:b/>
                <w:bCs/>
                <w:sz w:val="22"/>
                <w:szCs w:val="22"/>
              </w:rPr>
              <w:t>2014 2</w:t>
            </w:r>
            <w:r w:rsidRPr="00261A05">
              <w:rPr>
                <w:b/>
                <w:bCs/>
                <w:sz w:val="22"/>
                <w:szCs w:val="22"/>
              </w:rPr>
              <w:t>. Çeyrek</w:t>
            </w:r>
          </w:p>
        </w:tc>
      </w:tr>
      <w:tr w:rsidR="00FD30C8" w:rsidTr="003333BF">
        <w:trPr>
          <w:trHeight w:val="370"/>
        </w:trPr>
        <w:tc>
          <w:tcPr>
            <w:tcW w:w="3397" w:type="dxa"/>
            <w:vAlign w:val="center"/>
          </w:tcPr>
          <w:p w:rsidR="00FD30C8" w:rsidRPr="00261A05" w:rsidRDefault="00FD30C8" w:rsidP="00A1421E">
            <w:pPr>
              <w:ind w:right="42"/>
              <w:jc w:val="center"/>
              <w:rPr>
                <w:b/>
                <w:bCs/>
              </w:rPr>
            </w:pPr>
            <w:r w:rsidRPr="00261A05">
              <w:rPr>
                <w:b/>
                <w:bCs/>
                <w:sz w:val="22"/>
                <w:szCs w:val="22"/>
              </w:rPr>
              <w:t>İhracat</w:t>
            </w:r>
            <w:r>
              <w:rPr>
                <w:b/>
                <w:bCs/>
                <w:sz w:val="22"/>
                <w:szCs w:val="22"/>
              </w:rPr>
              <w:t>*</w:t>
            </w:r>
          </w:p>
        </w:tc>
        <w:tc>
          <w:tcPr>
            <w:tcW w:w="1051" w:type="dxa"/>
            <w:vAlign w:val="center"/>
          </w:tcPr>
          <w:p w:rsidR="00FD30C8" w:rsidRPr="00261A05" w:rsidRDefault="00FD30C8" w:rsidP="004B5AE2">
            <w:pPr>
              <w:ind w:right="42"/>
              <w:jc w:val="center"/>
              <w:rPr>
                <w:b/>
                <w:bCs/>
              </w:rPr>
            </w:pPr>
            <w:r>
              <w:rPr>
                <w:b/>
                <w:bCs/>
              </w:rPr>
              <w:t>3,3</w:t>
            </w:r>
          </w:p>
        </w:tc>
        <w:tc>
          <w:tcPr>
            <w:tcW w:w="1051" w:type="dxa"/>
            <w:vAlign w:val="center"/>
          </w:tcPr>
          <w:p w:rsidR="00FD30C8" w:rsidRPr="00261A05" w:rsidRDefault="00FD30C8" w:rsidP="004B5AE2">
            <w:pPr>
              <w:ind w:right="42"/>
              <w:jc w:val="center"/>
              <w:rPr>
                <w:b/>
                <w:bCs/>
              </w:rPr>
            </w:pPr>
            <w:r>
              <w:rPr>
                <w:b/>
                <w:bCs/>
              </w:rPr>
              <w:t>1,6</w:t>
            </w:r>
          </w:p>
        </w:tc>
        <w:tc>
          <w:tcPr>
            <w:tcW w:w="1051" w:type="dxa"/>
            <w:vAlign w:val="center"/>
          </w:tcPr>
          <w:p w:rsidR="00FD30C8" w:rsidRPr="00261A05" w:rsidRDefault="00FD30C8" w:rsidP="004B5AE2">
            <w:pPr>
              <w:ind w:right="42"/>
              <w:jc w:val="center"/>
              <w:rPr>
                <w:b/>
                <w:bCs/>
              </w:rPr>
            </w:pPr>
            <w:r>
              <w:rPr>
                <w:b/>
                <w:bCs/>
              </w:rPr>
              <w:t>-8,1</w:t>
            </w:r>
          </w:p>
        </w:tc>
        <w:tc>
          <w:tcPr>
            <w:tcW w:w="1052" w:type="dxa"/>
            <w:tcBorders>
              <w:right w:val="double" w:sz="4" w:space="0" w:color="auto"/>
            </w:tcBorders>
            <w:vAlign w:val="center"/>
          </w:tcPr>
          <w:p w:rsidR="00FD30C8" w:rsidRPr="00261A05" w:rsidRDefault="00FD30C8" w:rsidP="004B5AE2">
            <w:pPr>
              <w:ind w:right="42"/>
              <w:jc w:val="center"/>
            </w:pPr>
            <w:r>
              <w:t>**</w:t>
            </w:r>
          </w:p>
        </w:tc>
        <w:tc>
          <w:tcPr>
            <w:tcW w:w="960" w:type="dxa"/>
            <w:tcBorders>
              <w:left w:val="double" w:sz="4" w:space="0" w:color="auto"/>
            </w:tcBorders>
            <w:vAlign w:val="center"/>
          </w:tcPr>
          <w:p w:rsidR="00FD30C8" w:rsidRPr="00261A05" w:rsidRDefault="00FD30C8" w:rsidP="004B5AE2">
            <w:pPr>
              <w:ind w:right="42"/>
              <w:jc w:val="center"/>
              <w:rPr>
                <w:b/>
                <w:bCs/>
              </w:rPr>
            </w:pPr>
            <w:r>
              <w:rPr>
                <w:b/>
                <w:bCs/>
              </w:rPr>
              <w:t>4,7</w:t>
            </w:r>
          </w:p>
        </w:tc>
        <w:tc>
          <w:tcPr>
            <w:tcW w:w="960" w:type="dxa"/>
            <w:vAlign w:val="center"/>
          </w:tcPr>
          <w:p w:rsidR="00FD30C8" w:rsidRPr="00261A05" w:rsidRDefault="00FD30C8" w:rsidP="004B5AE2">
            <w:pPr>
              <w:ind w:right="42"/>
              <w:jc w:val="center"/>
              <w:rPr>
                <w:b/>
                <w:bCs/>
              </w:rPr>
            </w:pPr>
            <w:r>
              <w:rPr>
                <w:b/>
                <w:bCs/>
              </w:rPr>
              <w:t>-6,2</w:t>
            </w:r>
          </w:p>
        </w:tc>
      </w:tr>
      <w:tr w:rsidR="00FD30C8" w:rsidTr="003333BF">
        <w:trPr>
          <w:trHeight w:val="370"/>
        </w:trPr>
        <w:tc>
          <w:tcPr>
            <w:tcW w:w="3397" w:type="dxa"/>
            <w:tcBorders>
              <w:bottom w:val="nil"/>
            </w:tcBorders>
            <w:vAlign w:val="center"/>
          </w:tcPr>
          <w:p w:rsidR="00FD30C8" w:rsidRPr="00261A05" w:rsidRDefault="00FD30C8" w:rsidP="00A1421E">
            <w:pPr>
              <w:ind w:right="42"/>
              <w:jc w:val="center"/>
              <w:rPr>
                <w:b/>
                <w:bCs/>
              </w:rPr>
            </w:pPr>
            <w:r w:rsidRPr="00261A05">
              <w:rPr>
                <w:b/>
                <w:bCs/>
                <w:sz w:val="22"/>
                <w:szCs w:val="22"/>
              </w:rPr>
              <w:t>İthalat</w:t>
            </w:r>
            <w:r>
              <w:rPr>
                <w:b/>
                <w:bCs/>
                <w:sz w:val="22"/>
                <w:szCs w:val="22"/>
              </w:rPr>
              <w:t>*</w:t>
            </w:r>
          </w:p>
        </w:tc>
        <w:tc>
          <w:tcPr>
            <w:tcW w:w="1051" w:type="dxa"/>
            <w:tcBorders>
              <w:bottom w:val="nil"/>
            </w:tcBorders>
            <w:vAlign w:val="center"/>
          </w:tcPr>
          <w:p w:rsidR="00FD30C8" w:rsidRPr="00261A05" w:rsidRDefault="00FD30C8" w:rsidP="004B5AE2">
            <w:pPr>
              <w:ind w:right="42"/>
              <w:jc w:val="center"/>
              <w:rPr>
                <w:b/>
                <w:bCs/>
              </w:rPr>
            </w:pPr>
            <w:r>
              <w:rPr>
                <w:b/>
                <w:bCs/>
              </w:rPr>
              <w:t>-4,3</w:t>
            </w:r>
          </w:p>
        </w:tc>
        <w:tc>
          <w:tcPr>
            <w:tcW w:w="1051" w:type="dxa"/>
            <w:tcBorders>
              <w:bottom w:val="nil"/>
            </w:tcBorders>
            <w:vAlign w:val="center"/>
          </w:tcPr>
          <w:p w:rsidR="00FD30C8" w:rsidRPr="00261A05" w:rsidRDefault="00FD30C8" w:rsidP="004B5AE2">
            <w:pPr>
              <w:ind w:right="42"/>
              <w:jc w:val="center"/>
              <w:rPr>
                <w:b/>
                <w:bCs/>
              </w:rPr>
            </w:pPr>
            <w:r>
              <w:rPr>
                <w:b/>
                <w:bCs/>
              </w:rPr>
              <w:t>-1,5</w:t>
            </w:r>
          </w:p>
        </w:tc>
        <w:tc>
          <w:tcPr>
            <w:tcW w:w="1051" w:type="dxa"/>
            <w:tcBorders>
              <w:bottom w:val="nil"/>
            </w:tcBorders>
            <w:vAlign w:val="center"/>
          </w:tcPr>
          <w:p w:rsidR="00FD30C8" w:rsidRPr="00261A05" w:rsidRDefault="00FD30C8" w:rsidP="004B5AE2">
            <w:pPr>
              <w:ind w:right="42"/>
              <w:jc w:val="center"/>
              <w:rPr>
                <w:b/>
                <w:bCs/>
              </w:rPr>
            </w:pPr>
            <w:r>
              <w:rPr>
                <w:b/>
                <w:bCs/>
              </w:rPr>
              <w:t>0,7</w:t>
            </w:r>
          </w:p>
        </w:tc>
        <w:tc>
          <w:tcPr>
            <w:tcW w:w="1052" w:type="dxa"/>
            <w:tcBorders>
              <w:bottom w:val="nil"/>
              <w:right w:val="double" w:sz="4" w:space="0" w:color="auto"/>
            </w:tcBorders>
            <w:vAlign w:val="center"/>
          </w:tcPr>
          <w:p w:rsidR="00FD30C8" w:rsidRPr="00261A05" w:rsidRDefault="00FD30C8" w:rsidP="004B5AE2">
            <w:pPr>
              <w:ind w:right="42"/>
              <w:jc w:val="center"/>
            </w:pPr>
            <w:r>
              <w:t>**</w:t>
            </w:r>
          </w:p>
        </w:tc>
        <w:tc>
          <w:tcPr>
            <w:tcW w:w="960" w:type="dxa"/>
            <w:tcBorders>
              <w:left w:val="double" w:sz="4" w:space="0" w:color="auto"/>
              <w:bottom w:val="nil"/>
            </w:tcBorders>
            <w:vAlign w:val="center"/>
          </w:tcPr>
          <w:p w:rsidR="00FD30C8" w:rsidRPr="00261A05" w:rsidRDefault="00FD30C8" w:rsidP="004B5AE2">
            <w:pPr>
              <w:ind w:right="42"/>
              <w:jc w:val="center"/>
              <w:rPr>
                <w:b/>
                <w:bCs/>
              </w:rPr>
            </w:pPr>
            <w:r>
              <w:rPr>
                <w:b/>
                <w:bCs/>
              </w:rPr>
              <w:t>-4,2</w:t>
            </w:r>
          </w:p>
        </w:tc>
        <w:tc>
          <w:tcPr>
            <w:tcW w:w="960" w:type="dxa"/>
            <w:tcBorders>
              <w:bottom w:val="nil"/>
            </w:tcBorders>
            <w:vAlign w:val="center"/>
          </w:tcPr>
          <w:p w:rsidR="00FD30C8" w:rsidRPr="00261A05" w:rsidRDefault="00FD30C8" w:rsidP="004B5AE2">
            <w:pPr>
              <w:ind w:right="42"/>
              <w:jc w:val="center"/>
              <w:rPr>
                <w:b/>
                <w:bCs/>
              </w:rPr>
            </w:pPr>
            <w:r>
              <w:rPr>
                <w:b/>
                <w:bCs/>
              </w:rPr>
              <w:t>-1,8</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Ara malı ithalatı</w:t>
            </w:r>
          </w:p>
        </w:tc>
        <w:tc>
          <w:tcPr>
            <w:tcW w:w="1051" w:type="dxa"/>
            <w:tcBorders>
              <w:top w:val="nil"/>
              <w:bottom w:val="nil"/>
            </w:tcBorders>
            <w:vAlign w:val="center"/>
          </w:tcPr>
          <w:p w:rsidR="00FD30C8" w:rsidRPr="00261A05" w:rsidRDefault="00FD30C8" w:rsidP="004B5AE2">
            <w:pPr>
              <w:ind w:right="42"/>
              <w:jc w:val="center"/>
            </w:pPr>
            <w:r>
              <w:t>-4,1</w:t>
            </w:r>
          </w:p>
        </w:tc>
        <w:tc>
          <w:tcPr>
            <w:tcW w:w="1051" w:type="dxa"/>
            <w:tcBorders>
              <w:top w:val="nil"/>
              <w:bottom w:val="nil"/>
            </w:tcBorders>
            <w:vAlign w:val="center"/>
          </w:tcPr>
          <w:p w:rsidR="00FD30C8" w:rsidRPr="00261A05" w:rsidRDefault="00FD30C8" w:rsidP="004B5AE2">
            <w:pPr>
              <w:ind w:right="42"/>
              <w:jc w:val="center"/>
            </w:pPr>
            <w:r>
              <w:t>-1,0</w:t>
            </w:r>
          </w:p>
        </w:tc>
        <w:tc>
          <w:tcPr>
            <w:tcW w:w="1051" w:type="dxa"/>
            <w:tcBorders>
              <w:top w:val="nil"/>
              <w:bottom w:val="nil"/>
            </w:tcBorders>
            <w:vAlign w:val="center"/>
          </w:tcPr>
          <w:p w:rsidR="00FD30C8" w:rsidRPr="00261A05" w:rsidRDefault="00FD30C8" w:rsidP="004B5AE2">
            <w:pPr>
              <w:ind w:right="42"/>
              <w:jc w:val="center"/>
            </w:pPr>
            <w:r>
              <w:t>3,2</w:t>
            </w:r>
          </w:p>
        </w:tc>
        <w:tc>
          <w:tcPr>
            <w:tcW w:w="1052" w:type="dxa"/>
            <w:tcBorders>
              <w:top w:val="nil"/>
              <w:bottom w:val="nil"/>
              <w:right w:val="double" w:sz="4" w:space="0" w:color="auto"/>
            </w:tcBorders>
            <w:vAlign w:val="center"/>
          </w:tcPr>
          <w:p w:rsidR="00FD30C8" w:rsidRPr="00261A05" w:rsidRDefault="00FD30C8" w:rsidP="004B5AE2">
            <w:pPr>
              <w:ind w:right="42"/>
              <w:jc w:val="center"/>
            </w:pPr>
            <w:r>
              <w:t>**</w:t>
            </w:r>
          </w:p>
        </w:tc>
        <w:tc>
          <w:tcPr>
            <w:tcW w:w="960" w:type="dxa"/>
            <w:tcBorders>
              <w:top w:val="nil"/>
              <w:left w:val="double" w:sz="4" w:space="0" w:color="auto"/>
              <w:bottom w:val="nil"/>
            </w:tcBorders>
            <w:vAlign w:val="center"/>
          </w:tcPr>
          <w:p w:rsidR="00FD30C8" w:rsidRPr="00261A05" w:rsidRDefault="00FD30C8" w:rsidP="004B5AE2">
            <w:pPr>
              <w:ind w:right="42"/>
              <w:jc w:val="center"/>
            </w:pPr>
            <w:r>
              <w:t>-4,2</w:t>
            </w:r>
          </w:p>
        </w:tc>
        <w:tc>
          <w:tcPr>
            <w:tcW w:w="960" w:type="dxa"/>
            <w:tcBorders>
              <w:top w:val="nil"/>
              <w:bottom w:val="nil"/>
            </w:tcBorders>
            <w:vAlign w:val="center"/>
          </w:tcPr>
          <w:p w:rsidR="00FD30C8" w:rsidRPr="00261A05" w:rsidRDefault="00FD30C8" w:rsidP="004B5AE2">
            <w:pPr>
              <w:ind w:right="42"/>
              <w:jc w:val="center"/>
            </w:pPr>
            <w:r>
              <w:t>1,1</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Tüketim malı ithalatı</w:t>
            </w:r>
          </w:p>
        </w:tc>
        <w:tc>
          <w:tcPr>
            <w:tcW w:w="1051" w:type="dxa"/>
            <w:tcBorders>
              <w:top w:val="nil"/>
              <w:bottom w:val="nil"/>
            </w:tcBorders>
            <w:vAlign w:val="center"/>
          </w:tcPr>
          <w:p w:rsidR="00FD30C8" w:rsidRPr="00611D03" w:rsidRDefault="00FD30C8" w:rsidP="004B5AE2">
            <w:pPr>
              <w:ind w:right="42"/>
              <w:jc w:val="center"/>
              <w:rPr>
                <w:bCs/>
              </w:rPr>
            </w:pPr>
            <w:r>
              <w:rPr>
                <w:bCs/>
              </w:rPr>
              <w:t>-3,9</w:t>
            </w:r>
          </w:p>
        </w:tc>
        <w:tc>
          <w:tcPr>
            <w:tcW w:w="1051" w:type="dxa"/>
            <w:tcBorders>
              <w:top w:val="nil"/>
              <w:bottom w:val="nil"/>
            </w:tcBorders>
            <w:vAlign w:val="center"/>
          </w:tcPr>
          <w:p w:rsidR="00FD30C8" w:rsidRPr="00611D03" w:rsidRDefault="00FD30C8" w:rsidP="004B5AE2">
            <w:pPr>
              <w:ind w:right="42"/>
              <w:jc w:val="center"/>
              <w:rPr>
                <w:bCs/>
              </w:rPr>
            </w:pPr>
            <w:r>
              <w:rPr>
                <w:bCs/>
              </w:rPr>
              <w:t>-4,8</w:t>
            </w:r>
          </w:p>
        </w:tc>
        <w:tc>
          <w:tcPr>
            <w:tcW w:w="1051" w:type="dxa"/>
            <w:tcBorders>
              <w:top w:val="nil"/>
              <w:bottom w:val="nil"/>
            </w:tcBorders>
            <w:vAlign w:val="center"/>
          </w:tcPr>
          <w:p w:rsidR="00FD30C8" w:rsidRPr="00611D03" w:rsidRDefault="00FD30C8" w:rsidP="004B5AE2">
            <w:pPr>
              <w:ind w:right="42"/>
              <w:jc w:val="center"/>
              <w:rPr>
                <w:bCs/>
              </w:rPr>
            </w:pPr>
            <w:r>
              <w:rPr>
                <w:bCs/>
              </w:rPr>
              <w:t>5,0</w:t>
            </w:r>
          </w:p>
        </w:tc>
        <w:tc>
          <w:tcPr>
            <w:tcW w:w="1052" w:type="dxa"/>
            <w:tcBorders>
              <w:top w:val="nil"/>
              <w:bottom w:val="nil"/>
              <w:right w:val="double" w:sz="4" w:space="0" w:color="auto"/>
            </w:tcBorders>
            <w:vAlign w:val="center"/>
          </w:tcPr>
          <w:p w:rsidR="00FD30C8" w:rsidRPr="00611D03" w:rsidRDefault="00FD30C8" w:rsidP="004B5AE2">
            <w:pPr>
              <w:ind w:right="42"/>
              <w:jc w:val="center"/>
            </w:pPr>
            <w:r>
              <w:t>**</w:t>
            </w:r>
          </w:p>
        </w:tc>
        <w:tc>
          <w:tcPr>
            <w:tcW w:w="960" w:type="dxa"/>
            <w:tcBorders>
              <w:top w:val="nil"/>
              <w:left w:val="double" w:sz="4" w:space="0" w:color="auto"/>
              <w:bottom w:val="nil"/>
            </w:tcBorders>
            <w:vAlign w:val="center"/>
          </w:tcPr>
          <w:p w:rsidR="00FD30C8" w:rsidRPr="00261A05" w:rsidRDefault="00FD30C8" w:rsidP="004B5AE2">
            <w:pPr>
              <w:ind w:right="42"/>
              <w:jc w:val="center"/>
            </w:pPr>
            <w:r>
              <w:t>-7,9</w:t>
            </w:r>
          </w:p>
        </w:tc>
        <w:tc>
          <w:tcPr>
            <w:tcW w:w="960" w:type="dxa"/>
            <w:tcBorders>
              <w:top w:val="nil"/>
              <w:bottom w:val="nil"/>
            </w:tcBorders>
            <w:vAlign w:val="center"/>
          </w:tcPr>
          <w:p w:rsidR="00FD30C8" w:rsidRPr="00261A05" w:rsidRDefault="00FD30C8" w:rsidP="004B5AE2">
            <w:pPr>
              <w:ind w:right="42"/>
              <w:jc w:val="center"/>
            </w:pPr>
            <w:r>
              <w:t>0,2</w:t>
            </w:r>
          </w:p>
        </w:tc>
      </w:tr>
      <w:tr w:rsidR="00FD30C8" w:rsidTr="003333BF">
        <w:trPr>
          <w:trHeight w:val="370"/>
        </w:trPr>
        <w:tc>
          <w:tcPr>
            <w:tcW w:w="3397" w:type="dxa"/>
            <w:tcBorders>
              <w:top w:val="nil"/>
            </w:tcBorders>
            <w:vAlign w:val="center"/>
          </w:tcPr>
          <w:p w:rsidR="00FD30C8" w:rsidRPr="00261A05" w:rsidRDefault="00FD30C8" w:rsidP="00A1421E">
            <w:pPr>
              <w:ind w:right="42"/>
              <w:jc w:val="center"/>
            </w:pPr>
            <w:r w:rsidRPr="00261A05">
              <w:rPr>
                <w:sz w:val="22"/>
                <w:szCs w:val="22"/>
              </w:rPr>
              <w:t>Yatırım malı ithalatı</w:t>
            </w:r>
          </w:p>
        </w:tc>
        <w:tc>
          <w:tcPr>
            <w:tcW w:w="1051" w:type="dxa"/>
            <w:tcBorders>
              <w:top w:val="nil"/>
            </w:tcBorders>
            <w:vAlign w:val="center"/>
          </w:tcPr>
          <w:p w:rsidR="00FD30C8" w:rsidRPr="00261A05" w:rsidRDefault="00FD30C8" w:rsidP="004B5AE2">
            <w:pPr>
              <w:ind w:right="42"/>
              <w:jc w:val="center"/>
            </w:pPr>
            <w:r>
              <w:t>-3,6</w:t>
            </w:r>
          </w:p>
        </w:tc>
        <w:tc>
          <w:tcPr>
            <w:tcW w:w="1051" w:type="dxa"/>
            <w:tcBorders>
              <w:top w:val="nil"/>
            </w:tcBorders>
            <w:vAlign w:val="center"/>
          </w:tcPr>
          <w:p w:rsidR="00FD30C8" w:rsidRPr="00261A05" w:rsidRDefault="00FD30C8" w:rsidP="004B5AE2">
            <w:pPr>
              <w:ind w:right="42"/>
              <w:jc w:val="center"/>
            </w:pPr>
            <w:r>
              <w:t>3,5</w:t>
            </w:r>
          </w:p>
        </w:tc>
        <w:tc>
          <w:tcPr>
            <w:tcW w:w="1051" w:type="dxa"/>
            <w:tcBorders>
              <w:top w:val="nil"/>
            </w:tcBorders>
            <w:vAlign w:val="center"/>
          </w:tcPr>
          <w:p w:rsidR="00FD30C8" w:rsidRPr="00261A05" w:rsidRDefault="00FD30C8" w:rsidP="004B5AE2">
            <w:pPr>
              <w:ind w:right="42"/>
              <w:jc w:val="center"/>
            </w:pPr>
            <w:r>
              <w:t>5,9</w:t>
            </w:r>
          </w:p>
        </w:tc>
        <w:tc>
          <w:tcPr>
            <w:tcW w:w="1052" w:type="dxa"/>
            <w:tcBorders>
              <w:top w:val="nil"/>
              <w:right w:val="double" w:sz="4" w:space="0" w:color="auto"/>
            </w:tcBorders>
            <w:vAlign w:val="center"/>
          </w:tcPr>
          <w:p w:rsidR="00FD30C8" w:rsidRPr="00261A05" w:rsidRDefault="00FD30C8" w:rsidP="004B5AE2">
            <w:pPr>
              <w:ind w:right="42"/>
              <w:jc w:val="center"/>
            </w:pPr>
            <w:r>
              <w:t>**</w:t>
            </w:r>
          </w:p>
        </w:tc>
        <w:tc>
          <w:tcPr>
            <w:tcW w:w="960" w:type="dxa"/>
            <w:tcBorders>
              <w:top w:val="nil"/>
              <w:left w:val="double" w:sz="4" w:space="0" w:color="auto"/>
            </w:tcBorders>
            <w:vAlign w:val="center"/>
          </w:tcPr>
          <w:p w:rsidR="00FD30C8" w:rsidRPr="00261A05" w:rsidRDefault="00FD30C8" w:rsidP="004B5AE2">
            <w:pPr>
              <w:ind w:right="42"/>
              <w:jc w:val="center"/>
            </w:pPr>
            <w:r>
              <w:t>3,2</w:t>
            </w:r>
          </w:p>
        </w:tc>
        <w:tc>
          <w:tcPr>
            <w:tcW w:w="960" w:type="dxa"/>
            <w:tcBorders>
              <w:top w:val="nil"/>
            </w:tcBorders>
            <w:vAlign w:val="center"/>
          </w:tcPr>
          <w:p w:rsidR="00FD30C8" w:rsidRPr="00261A05" w:rsidRDefault="00FD30C8" w:rsidP="004B5AE2">
            <w:pPr>
              <w:ind w:right="42"/>
              <w:jc w:val="center"/>
            </w:pPr>
            <w:r>
              <w:t>7,1</w:t>
            </w:r>
          </w:p>
        </w:tc>
      </w:tr>
      <w:tr w:rsidR="00FD30C8" w:rsidTr="003333BF">
        <w:trPr>
          <w:trHeight w:val="370"/>
        </w:trPr>
        <w:tc>
          <w:tcPr>
            <w:tcW w:w="3397" w:type="dxa"/>
            <w:vAlign w:val="center"/>
          </w:tcPr>
          <w:p w:rsidR="00FD30C8" w:rsidRPr="00261A05" w:rsidRDefault="00FD30C8" w:rsidP="00A1421E">
            <w:pPr>
              <w:ind w:right="42"/>
              <w:jc w:val="center"/>
              <w:rPr>
                <w:b/>
                <w:bCs/>
              </w:rPr>
            </w:pPr>
            <w:r w:rsidRPr="00261A05">
              <w:rPr>
                <w:b/>
                <w:bCs/>
                <w:sz w:val="22"/>
                <w:szCs w:val="22"/>
              </w:rPr>
              <w:t>Altın hariç ihracat</w:t>
            </w:r>
            <w:r>
              <w:rPr>
                <w:b/>
                <w:bCs/>
                <w:sz w:val="22"/>
                <w:szCs w:val="22"/>
              </w:rPr>
              <w:t>***</w:t>
            </w:r>
          </w:p>
        </w:tc>
        <w:tc>
          <w:tcPr>
            <w:tcW w:w="1051" w:type="dxa"/>
            <w:vAlign w:val="center"/>
          </w:tcPr>
          <w:p w:rsidR="00FD30C8" w:rsidRPr="00261A05" w:rsidRDefault="00FD30C8" w:rsidP="004B5AE2">
            <w:pPr>
              <w:ind w:right="42"/>
              <w:jc w:val="center"/>
              <w:rPr>
                <w:b/>
                <w:bCs/>
              </w:rPr>
            </w:pPr>
            <w:r>
              <w:rPr>
                <w:b/>
                <w:bCs/>
              </w:rPr>
              <w:t>-2,2</w:t>
            </w:r>
          </w:p>
        </w:tc>
        <w:tc>
          <w:tcPr>
            <w:tcW w:w="1051" w:type="dxa"/>
            <w:vAlign w:val="center"/>
          </w:tcPr>
          <w:p w:rsidR="00FD30C8" w:rsidRPr="00261A05" w:rsidRDefault="00FD30C8" w:rsidP="004B5AE2">
            <w:pPr>
              <w:ind w:right="42"/>
              <w:jc w:val="center"/>
              <w:rPr>
                <w:b/>
                <w:bCs/>
              </w:rPr>
            </w:pPr>
            <w:r>
              <w:rPr>
                <w:b/>
                <w:bCs/>
              </w:rPr>
              <w:t>-1,0</w:t>
            </w:r>
          </w:p>
        </w:tc>
        <w:tc>
          <w:tcPr>
            <w:tcW w:w="1051" w:type="dxa"/>
            <w:vAlign w:val="center"/>
          </w:tcPr>
          <w:p w:rsidR="00FD30C8" w:rsidRPr="00261A05" w:rsidRDefault="00FD30C8" w:rsidP="004B5AE2">
            <w:pPr>
              <w:ind w:right="42"/>
              <w:jc w:val="center"/>
              <w:rPr>
                <w:b/>
                <w:bCs/>
              </w:rPr>
            </w:pPr>
            <w:r>
              <w:rPr>
                <w:b/>
                <w:bCs/>
              </w:rPr>
              <w:t>5,2</w:t>
            </w:r>
          </w:p>
        </w:tc>
        <w:tc>
          <w:tcPr>
            <w:tcW w:w="1052" w:type="dxa"/>
            <w:tcBorders>
              <w:right w:val="double" w:sz="4" w:space="0" w:color="auto"/>
            </w:tcBorders>
            <w:vAlign w:val="center"/>
          </w:tcPr>
          <w:p w:rsidR="00FD30C8" w:rsidRPr="00261A05" w:rsidRDefault="00FD30C8" w:rsidP="004B5AE2">
            <w:pPr>
              <w:ind w:right="42"/>
              <w:jc w:val="center"/>
            </w:pPr>
            <w:r>
              <w:t>**</w:t>
            </w:r>
          </w:p>
        </w:tc>
        <w:tc>
          <w:tcPr>
            <w:tcW w:w="960" w:type="dxa"/>
            <w:tcBorders>
              <w:left w:val="double" w:sz="4" w:space="0" w:color="auto"/>
            </w:tcBorders>
            <w:vAlign w:val="center"/>
          </w:tcPr>
          <w:p w:rsidR="00FD30C8" w:rsidRPr="00261A05" w:rsidRDefault="00FD30C8" w:rsidP="004B5AE2">
            <w:pPr>
              <w:ind w:right="42"/>
              <w:jc w:val="center"/>
              <w:rPr>
                <w:b/>
                <w:bCs/>
              </w:rPr>
            </w:pPr>
            <w:r>
              <w:rPr>
                <w:b/>
                <w:bCs/>
              </w:rPr>
              <w:t>1,4</w:t>
            </w:r>
          </w:p>
        </w:tc>
        <w:tc>
          <w:tcPr>
            <w:tcW w:w="960" w:type="dxa"/>
            <w:vAlign w:val="center"/>
          </w:tcPr>
          <w:p w:rsidR="00FD30C8" w:rsidRPr="00261A05" w:rsidRDefault="00FD30C8" w:rsidP="004B5AE2">
            <w:pPr>
              <w:ind w:right="42"/>
              <w:jc w:val="center"/>
              <w:rPr>
                <w:b/>
                <w:bCs/>
              </w:rPr>
            </w:pPr>
            <w:r>
              <w:rPr>
                <w:b/>
                <w:bCs/>
              </w:rPr>
              <w:t>3,7</w:t>
            </w:r>
          </w:p>
        </w:tc>
      </w:tr>
      <w:tr w:rsidR="00FD30C8" w:rsidTr="003333BF">
        <w:trPr>
          <w:trHeight w:val="370"/>
        </w:trPr>
        <w:tc>
          <w:tcPr>
            <w:tcW w:w="3397" w:type="dxa"/>
            <w:vAlign w:val="center"/>
          </w:tcPr>
          <w:p w:rsidR="00FD30C8" w:rsidRPr="00261A05" w:rsidRDefault="00FD30C8" w:rsidP="00A1421E">
            <w:pPr>
              <w:ind w:right="42"/>
              <w:jc w:val="center"/>
              <w:rPr>
                <w:b/>
                <w:bCs/>
              </w:rPr>
            </w:pPr>
            <w:r w:rsidRPr="00261A05">
              <w:rPr>
                <w:b/>
                <w:bCs/>
                <w:sz w:val="22"/>
                <w:szCs w:val="22"/>
              </w:rPr>
              <w:t>Altın hariç ithalat</w:t>
            </w:r>
            <w:r>
              <w:rPr>
                <w:b/>
                <w:bCs/>
                <w:sz w:val="22"/>
                <w:szCs w:val="22"/>
              </w:rPr>
              <w:t>***</w:t>
            </w:r>
          </w:p>
        </w:tc>
        <w:tc>
          <w:tcPr>
            <w:tcW w:w="1051" w:type="dxa"/>
            <w:vAlign w:val="center"/>
          </w:tcPr>
          <w:p w:rsidR="00FD30C8" w:rsidRPr="00261A05" w:rsidRDefault="00FD30C8" w:rsidP="004B5AE2">
            <w:pPr>
              <w:ind w:right="42"/>
              <w:jc w:val="center"/>
              <w:rPr>
                <w:b/>
                <w:bCs/>
              </w:rPr>
            </w:pPr>
            <w:r>
              <w:rPr>
                <w:b/>
                <w:bCs/>
              </w:rPr>
              <w:t>-5,2</w:t>
            </w:r>
          </w:p>
        </w:tc>
        <w:tc>
          <w:tcPr>
            <w:tcW w:w="1051" w:type="dxa"/>
            <w:vAlign w:val="center"/>
          </w:tcPr>
          <w:p w:rsidR="00FD30C8" w:rsidRPr="00261A05" w:rsidRDefault="00FD30C8" w:rsidP="004B5AE2">
            <w:pPr>
              <w:ind w:right="42"/>
              <w:jc w:val="center"/>
              <w:rPr>
                <w:b/>
                <w:bCs/>
              </w:rPr>
            </w:pPr>
            <w:r>
              <w:rPr>
                <w:b/>
                <w:bCs/>
              </w:rPr>
              <w:t>-2,5</w:t>
            </w:r>
          </w:p>
        </w:tc>
        <w:tc>
          <w:tcPr>
            <w:tcW w:w="1051" w:type="dxa"/>
            <w:vAlign w:val="center"/>
          </w:tcPr>
          <w:p w:rsidR="00FD30C8" w:rsidRPr="00261A05" w:rsidRDefault="00FD30C8" w:rsidP="004B5AE2">
            <w:pPr>
              <w:ind w:right="42"/>
              <w:jc w:val="center"/>
              <w:rPr>
                <w:b/>
                <w:bCs/>
              </w:rPr>
            </w:pPr>
            <w:r>
              <w:rPr>
                <w:b/>
                <w:bCs/>
              </w:rPr>
              <w:t>8,0</w:t>
            </w:r>
          </w:p>
        </w:tc>
        <w:tc>
          <w:tcPr>
            <w:tcW w:w="1052" w:type="dxa"/>
            <w:tcBorders>
              <w:right w:val="double" w:sz="4" w:space="0" w:color="auto"/>
            </w:tcBorders>
            <w:vAlign w:val="center"/>
          </w:tcPr>
          <w:p w:rsidR="00FD30C8" w:rsidRPr="00261A05" w:rsidRDefault="00FD30C8" w:rsidP="004B5AE2">
            <w:pPr>
              <w:ind w:right="42"/>
              <w:jc w:val="center"/>
            </w:pPr>
            <w:r>
              <w:t>**</w:t>
            </w:r>
          </w:p>
        </w:tc>
        <w:tc>
          <w:tcPr>
            <w:tcW w:w="960" w:type="dxa"/>
            <w:tcBorders>
              <w:left w:val="double" w:sz="4" w:space="0" w:color="auto"/>
            </w:tcBorders>
            <w:vAlign w:val="center"/>
          </w:tcPr>
          <w:p w:rsidR="00FD30C8" w:rsidRPr="00261A05" w:rsidRDefault="00FD30C8" w:rsidP="004B5AE2">
            <w:pPr>
              <w:ind w:right="42"/>
              <w:jc w:val="center"/>
              <w:rPr>
                <w:b/>
                <w:bCs/>
              </w:rPr>
            </w:pPr>
            <w:r>
              <w:rPr>
                <w:b/>
                <w:bCs/>
              </w:rPr>
              <w:t>-1,7</w:t>
            </w:r>
          </w:p>
        </w:tc>
        <w:tc>
          <w:tcPr>
            <w:tcW w:w="960" w:type="dxa"/>
            <w:vAlign w:val="center"/>
          </w:tcPr>
          <w:p w:rsidR="00FD30C8" w:rsidRPr="00261A05" w:rsidRDefault="00FD30C8" w:rsidP="004B5AE2">
            <w:pPr>
              <w:ind w:right="42"/>
              <w:jc w:val="center"/>
              <w:rPr>
                <w:b/>
                <w:bCs/>
              </w:rPr>
            </w:pPr>
            <w:r>
              <w:rPr>
                <w:b/>
                <w:bCs/>
              </w:rPr>
              <w:t>4,2</w:t>
            </w:r>
          </w:p>
        </w:tc>
      </w:tr>
      <w:tr w:rsidR="00FD30C8" w:rsidTr="003333BF">
        <w:trPr>
          <w:trHeight w:val="370"/>
        </w:trPr>
        <w:tc>
          <w:tcPr>
            <w:tcW w:w="3397" w:type="dxa"/>
            <w:tcBorders>
              <w:bottom w:val="nil"/>
            </w:tcBorders>
            <w:vAlign w:val="center"/>
          </w:tcPr>
          <w:p w:rsidR="00FD30C8" w:rsidRPr="00261A05" w:rsidRDefault="00FD30C8" w:rsidP="00A1421E">
            <w:pPr>
              <w:ind w:right="42"/>
              <w:jc w:val="center"/>
              <w:rPr>
                <w:b/>
                <w:bCs/>
              </w:rPr>
            </w:pPr>
            <w:r w:rsidRPr="00261A05">
              <w:rPr>
                <w:b/>
                <w:bCs/>
                <w:sz w:val="22"/>
                <w:szCs w:val="22"/>
              </w:rPr>
              <w:t>Sanayi üretim endeksi (SÜE)</w:t>
            </w:r>
            <w:r>
              <w:rPr>
                <w:b/>
                <w:bCs/>
                <w:sz w:val="22"/>
                <w:szCs w:val="22"/>
              </w:rPr>
              <w:t>*</w:t>
            </w:r>
          </w:p>
        </w:tc>
        <w:tc>
          <w:tcPr>
            <w:tcW w:w="1051" w:type="dxa"/>
            <w:tcBorders>
              <w:bottom w:val="nil"/>
            </w:tcBorders>
            <w:vAlign w:val="center"/>
          </w:tcPr>
          <w:p w:rsidR="00FD30C8" w:rsidRPr="00261A05" w:rsidRDefault="00FD30C8" w:rsidP="004B5AE2">
            <w:pPr>
              <w:ind w:right="42"/>
              <w:jc w:val="center"/>
              <w:rPr>
                <w:b/>
                <w:bCs/>
              </w:rPr>
            </w:pPr>
            <w:r>
              <w:rPr>
                <w:b/>
                <w:bCs/>
              </w:rPr>
              <w:t>-0,3</w:t>
            </w:r>
          </w:p>
        </w:tc>
        <w:tc>
          <w:tcPr>
            <w:tcW w:w="1051" w:type="dxa"/>
            <w:tcBorders>
              <w:bottom w:val="nil"/>
            </w:tcBorders>
            <w:vAlign w:val="center"/>
          </w:tcPr>
          <w:p w:rsidR="00FD30C8" w:rsidRPr="00261A05" w:rsidRDefault="00FD30C8" w:rsidP="004B5AE2">
            <w:pPr>
              <w:ind w:right="42"/>
              <w:jc w:val="center"/>
              <w:rPr>
                <w:b/>
                <w:bCs/>
              </w:rPr>
            </w:pPr>
            <w:r>
              <w:rPr>
                <w:b/>
                <w:bCs/>
              </w:rPr>
              <w:t>-0,3</w:t>
            </w:r>
          </w:p>
        </w:tc>
        <w:tc>
          <w:tcPr>
            <w:tcW w:w="1051" w:type="dxa"/>
            <w:tcBorders>
              <w:bottom w:val="nil"/>
            </w:tcBorders>
            <w:vAlign w:val="center"/>
          </w:tcPr>
          <w:p w:rsidR="00FD30C8" w:rsidRPr="00261A05" w:rsidRDefault="00FD30C8" w:rsidP="004B5AE2">
            <w:pPr>
              <w:ind w:right="42"/>
              <w:jc w:val="center"/>
              <w:rPr>
                <w:b/>
                <w:bCs/>
              </w:rPr>
            </w:pPr>
            <w:r>
              <w:rPr>
                <w:b/>
                <w:bCs/>
              </w:rPr>
              <w:t>1,0</w:t>
            </w:r>
          </w:p>
        </w:tc>
        <w:tc>
          <w:tcPr>
            <w:tcW w:w="1052" w:type="dxa"/>
            <w:tcBorders>
              <w:bottom w:val="nil"/>
              <w:right w:val="double" w:sz="4" w:space="0" w:color="auto"/>
            </w:tcBorders>
            <w:vAlign w:val="center"/>
          </w:tcPr>
          <w:p w:rsidR="00FD30C8" w:rsidRPr="00261A05" w:rsidRDefault="00FD30C8" w:rsidP="004B5AE2">
            <w:pPr>
              <w:ind w:right="42"/>
              <w:jc w:val="center"/>
            </w:pPr>
            <w:r>
              <w:t>**</w:t>
            </w:r>
          </w:p>
        </w:tc>
        <w:tc>
          <w:tcPr>
            <w:tcW w:w="960" w:type="dxa"/>
            <w:tcBorders>
              <w:left w:val="double" w:sz="4" w:space="0" w:color="auto"/>
              <w:bottom w:val="nil"/>
            </w:tcBorders>
            <w:vAlign w:val="center"/>
          </w:tcPr>
          <w:p w:rsidR="00FD30C8" w:rsidRPr="00261A05" w:rsidRDefault="00FD30C8" w:rsidP="004B5AE2">
            <w:pPr>
              <w:ind w:right="42"/>
              <w:jc w:val="center"/>
              <w:rPr>
                <w:b/>
                <w:bCs/>
              </w:rPr>
            </w:pPr>
            <w:r>
              <w:rPr>
                <w:b/>
                <w:bCs/>
              </w:rPr>
              <w:t>1,5</w:t>
            </w:r>
          </w:p>
        </w:tc>
        <w:tc>
          <w:tcPr>
            <w:tcW w:w="960" w:type="dxa"/>
            <w:tcBorders>
              <w:bottom w:val="nil"/>
            </w:tcBorders>
            <w:vAlign w:val="center"/>
          </w:tcPr>
          <w:p w:rsidR="00FD30C8" w:rsidRPr="00261A05" w:rsidRDefault="00FD30C8" w:rsidP="004B5AE2">
            <w:pPr>
              <w:ind w:right="42"/>
              <w:jc w:val="center"/>
              <w:rPr>
                <w:b/>
                <w:bCs/>
              </w:rPr>
            </w:pPr>
            <w:r>
              <w:rPr>
                <w:b/>
                <w:bCs/>
              </w:rPr>
              <w:t>0,7</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Dayanıksız tüketim malı imalatı</w:t>
            </w:r>
            <w:r>
              <w:rPr>
                <w:sz w:val="22"/>
                <w:szCs w:val="22"/>
              </w:rPr>
              <w:t>*</w:t>
            </w:r>
          </w:p>
        </w:tc>
        <w:tc>
          <w:tcPr>
            <w:tcW w:w="1051" w:type="dxa"/>
            <w:tcBorders>
              <w:top w:val="nil"/>
              <w:bottom w:val="nil"/>
            </w:tcBorders>
            <w:vAlign w:val="center"/>
          </w:tcPr>
          <w:p w:rsidR="00FD30C8" w:rsidRPr="00261A05" w:rsidRDefault="00FD30C8" w:rsidP="004B5AE2">
            <w:pPr>
              <w:ind w:right="42"/>
              <w:jc w:val="center"/>
            </w:pPr>
            <w:r>
              <w:t>-1,9</w:t>
            </w:r>
          </w:p>
        </w:tc>
        <w:tc>
          <w:tcPr>
            <w:tcW w:w="1051" w:type="dxa"/>
            <w:tcBorders>
              <w:top w:val="nil"/>
              <w:bottom w:val="nil"/>
            </w:tcBorders>
            <w:vAlign w:val="center"/>
          </w:tcPr>
          <w:p w:rsidR="00FD30C8" w:rsidRPr="00261A05" w:rsidRDefault="00FD30C8" w:rsidP="004B5AE2">
            <w:pPr>
              <w:ind w:right="42"/>
              <w:jc w:val="center"/>
            </w:pPr>
            <w:r>
              <w:t>1,2</w:t>
            </w:r>
          </w:p>
        </w:tc>
        <w:tc>
          <w:tcPr>
            <w:tcW w:w="1051" w:type="dxa"/>
            <w:tcBorders>
              <w:top w:val="nil"/>
              <w:bottom w:val="nil"/>
            </w:tcBorders>
            <w:vAlign w:val="center"/>
          </w:tcPr>
          <w:p w:rsidR="00FD30C8" w:rsidRPr="00261A05" w:rsidRDefault="00FD30C8" w:rsidP="004B5AE2">
            <w:pPr>
              <w:ind w:right="42"/>
              <w:jc w:val="center"/>
            </w:pPr>
            <w:r>
              <w:t>0,1</w:t>
            </w:r>
          </w:p>
        </w:tc>
        <w:tc>
          <w:tcPr>
            <w:tcW w:w="1052" w:type="dxa"/>
            <w:tcBorders>
              <w:top w:val="nil"/>
              <w:bottom w:val="nil"/>
              <w:right w:val="double" w:sz="4" w:space="0" w:color="auto"/>
            </w:tcBorders>
            <w:vAlign w:val="center"/>
          </w:tcPr>
          <w:p w:rsidR="00FD30C8" w:rsidRPr="00261A05" w:rsidRDefault="00FD30C8" w:rsidP="004B5AE2">
            <w:pPr>
              <w:ind w:right="42"/>
              <w:jc w:val="center"/>
            </w:pPr>
            <w:r>
              <w:t>**</w:t>
            </w:r>
          </w:p>
        </w:tc>
        <w:tc>
          <w:tcPr>
            <w:tcW w:w="960" w:type="dxa"/>
            <w:tcBorders>
              <w:top w:val="nil"/>
              <w:left w:val="double" w:sz="4" w:space="0" w:color="auto"/>
              <w:bottom w:val="nil"/>
            </w:tcBorders>
            <w:vAlign w:val="center"/>
          </w:tcPr>
          <w:p w:rsidR="00FD30C8" w:rsidRPr="00261A05" w:rsidRDefault="00FD30C8" w:rsidP="004B5AE2">
            <w:pPr>
              <w:ind w:right="42"/>
              <w:jc w:val="center"/>
            </w:pPr>
            <w:r>
              <w:t>2,5</w:t>
            </w:r>
          </w:p>
        </w:tc>
        <w:tc>
          <w:tcPr>
            <w:tcW w:w="960" w:type="dxa"/>
            <w:tcBorders>
              <w:top w:val="nil"/>
              <w:bottom w:val="nil"/>
            </w:tcBorders>
            <w:vAlign w:val="center"/>
          </w:tcPr>
          <w:p w:rsidR="00FD30C8" w:rsidRPr="00261A05" w:rsidRDefault="00FD30C8" w:rsidP="004B5AE2">
            <w:pPr>
              <w:ind w:right="42"/>
              <w:jc w:val="center"/>
            </w:pPr>
            <w:r>
              <w:t>0,2</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rPr>
                <w:b/>
                <w:bCs/>
              </w:rPr>
            </w:pPr>
            <w:r w:rsidRPr="00261A05">
              <w:rPr>
                <w:sz w:val="22"/>
                <w:szCs w:val="22"/>
              </w:rPr>
              <w:t>Dayanıklı tüketim malı imalatı</w:t>
            </w:r>
            <w:r>
              <w:rPr>
                <w:sz w:val="22"/>
                <w:szCs w:val="22"/>
              </w:rPr>
              <w:t>*</w:t>
            </w:r>
          </w:p>
        </w:tc>
        <w:tc>
          <w:tcPr>
            <w:tcW w:w="1051" w:type="dxa"/>
            <w:tcBorders>
              <w:top w:val="nil"/>
              <w:bottom w:val="nil"/>
            </w:tcBorders>
            <w:vAlign w:val="center"/>
          </w:tcPr>
          <w:p w:rsidR="00FD30C8" w:rsidRPr="00261A05" w:rsidRDefault="00FD30C8" w:rsidP="004B5AE2">
            <w:pPr>
              <w:ind w:right="42"/>
              <w:jc w:val="center"/>
            </w:pPr>
            <w:r>
              <w:t>3,1</w:t>
            </w:r>
          </w:p>
        </w:tc>
        <w:tc>
          <w:tcPr>
            <w:tcW w:w="1051" w:type="dxa"/>
            <w:tcBorders>
              <w:top w:val="nil"/>
              <w:bottom w:val="nil"/>
            </w:tcBorders>
            <w:vAlign w:val="center"/>
          </w:tcPr>
          <w:p w:rsidR="00FD30C8" w:rsidRPr="00261A05" w:rsidRDefault="00FD30C8" w:rsidP="004B5AE2">
            <w:pPr>
              <w:ind w:right="42"/>
              <w:jc w:val="center"/>
            </w:pPr>
            <w:r>
              <w:t>1,9</w:t>
            </w:r>
          </w:p>
        </w:tc>
        <w:tc>
          <w:tcPr>
            <w:tcW w:w="1051" w:type="dxa"/>
            <w:tcBorders>
              <w:top w:val="nil"/>
              <w:bottom w:val="nil"/>
            </w:tcBorders>
            <w:vAlign w:val="center"/>
          </w:tcPr>
          <w:p w:rsidR="00FD30C8" w:rsidRPr="00261A05" w:rsidRDefault="00FD30C8" w:rsidP="004B5AE2">
            <w:pPr>
              <w:ind w:right="42"/>
              <w:jc w:val="center"/>
            </w:pPr>
            <w:r>
              <w:t>-1,5</w:t>
            </w:r>
          </w:p>
        </w:tc>
        <w:tc>
          <w:tcPr>
            <w:tcW w:w="1052" w:type="dxa"/>
            <w:tcBorders>
              <w:top w:val="nil"/>
              <w:bottom w:val="nil"/>
              <w:right w:val="double" w:sz="4" w:space="0" w:color="auto"/>
            </w:tcBorders>
            <w:vAlign w:val="center"/>
          </w:tcPr>
          <w:p w:rsidR="00FD30C8" w:rsidRPr="00261A05" w:rsidRDefault="00FD30C8" w:rsidP="004B5AE2">
            <w:pPr>
              <w:ind w:right="42"/>
              <w:jc w:val="center"/>
            </w:pPr>
            <w:r>
              <w:t>**</w:t>
            </w:r>
          </w:p>
        </w:tc>
        <w:tc>
          <w:tcPr>
            <w:tcW w:w="960" w:type="dxa"/>
            <w:tcBorders>
              <w:top w:val="nil"/>
              <w:left w:val="double" w:sz="4" w:space="0" w:color="auto"/>
              <w:bottom w:val="nil"/>
            </w:tcBorders>
            <w:vAlign w:val="center"/>
          </w:tcPr>
          <w:p w:rsidR="00FD30C8" w:rsidRPr="00261A05" w:rsidRDefault="00FD30C8" w:rsidP="004B5AE2">
            <w:pPr>
              <w:ind w:right="42"/>
              <w:jc w:val="center"/>
            </w:pPr>
            <w:r>
              <w:t>-0,3</w:t>
            </w:r>
          </w:p>
        </w:tc>
        <w:tc>
          <w:tcPr>
            <w:tcW w:w="960" w:type="dxa"/>
            <w:tcBorders>
              <w:top w:val="nil"/>
              <w:bottom w:val="nil"/>
            </w:tcBorders>
            <w:vAlign w:val="center"/>
          </w:tcPr>
          <w:p w:rsidR="00FD30C8" w:rsidRPr="00261A05" w:rsidRDefault="00FD30C8" w:rsidP="004B5AE2">
            <w:pPr>
              <w:ind w:right="42"/>
              <w:jc w:val="center"/>
            </w:pPr>
            <w:r>
              <w:t>0,8</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Ara malı imalatı</w:t>
            </w:r>
            <w:r>
              <w:rPr>
                <w:sz w:val="22"/>
                <w:szCs w:val="22"/>
              </w:rPr>
              <w:t>*</w:t>
            </w:r>
          </w:p>
        </w:tc>
        <w:tc>
          <w:tcPr>
            <w:tcW w:w="1051" w:type="dxa"/>
            <w:tcBorders>
              <w:top w:val="nil"/>
              <w:bottom w:val="nil"/>
            </w:tcBorders>
            <w:vAlign w:val="center"/>
          </w:tcPr>
          <w:p w:rsidR="00FD30C8" w:rsidRPr="00261A05" w:rsidRDefault="00FD30C8" w:rsidP="004B5AE2">
            <w:pPr>
              <w:ind w:right="42"/>
              <w:jc w:val="center"/>
            </w:pPr>
            <w:r>
              <w:t>-1,0</w:t>
            </w:r>
          </w:p>
        </w:tc>
        <w:tc>
          <w:tcPr>
            <w:tcW w:w="1051" w:type="dxa"/>
            <w:tcBorders>
              <w:top w:val="nil"/>
              <w:bottom w:val="nil"/>
            </w:tcBorders>
            <w:vAlign w:val="center"/>
          </w:tcPr>
          <w:p w:rsidR="00FD30C8" w:rsidRPr="00261A05" w:rsidRDefault="00FD30C8" w:rsidP="004B5AE2">
            <w:pPr>
              <w:ind w:right="42"/>
              <w:jc w:val="center"/>
            </w:pPr>
            <w:r>
              <w:t>-0,3</w:t>
            </w:r>
          </w:p>
        </w:tc>
        <w:tc>
          <w:tcPr>
            <w:tcW w:w="1051" w:type="dxa"/>
            <w:tcBorders>
              <w:top w:val="nil"/>
              <w:bottom w:val="nil"/>
            </w:tcBorders>
            <w:vAlign w:val="center"/>
          </w:tcPr>
          <w:p w:rsidR="00FD30C8" w:rsidRPr="00261A05" w:rsidRDefault="00FD30C8" w:rsidP="004B5AE2">
            <w:pPr>
              <w:ind w:right="42"/>
              <w:jc w:val="center"/>
            </w:pPr>
            <w:r>
              <w:t>1,1</w:t>
            </w:r>
          </w:p>
        </w:tc>
        <w:tc>
          <w:tcPr>
            <w:tcW w:w="1052" w:type="dxa"/>
            <w:tcBorders>
              <w:top w:val="nil"/>
              <w:bottom w:val="nil"/>
              <w:right w:val="double" w:sz="4" w:space="0" w:color="auto"/>
            </w:tcBorders>
            <w:vAlign w:val="center"/>
          </w:tcPr>
          <w:p w:rsidR="00FD30C8" w:rsidRPr="00261A05" w:rsidRDefault="00FD30C8" w:rsidP="004B5AE2">
            <w:pPr>
              <w:ind w:right="42"/>
              <w:jc w:val="center"/>
            </w:pPr>
            <w:r>
              <w:t>**</w:t>
            </w:r>
          </w:p>
        </w:tc>
        <w:tc>
          <w:tcPr>
            <w:tcW w:w="960" w:type="dxa"/>
            <w:tcBorders>
              <w:top w:val="nil"/>
              <w:left w:val="double" w:sz="4" w:space="0" w:color="auto"/>
              <w:bottom w:val="nil"/>
            </w:tcBorders>
            <w:vAlign w:val="center"/>
          </w:tcPr>
          <w:p w:rsidR="00FD30C8" w:rsidRPr="00261A05" w:rsidRDefault="00FD30C8" w:rsidP="004B5AE2">
            <w:pPr>
              <w:ind w:right="42"/>
              <w:jc w:val="center"/>
            </w:pPr>
            <w:r>
              <w:t>2,6</w:t>
            </w:r>
          </w:p>
        </w:tc>
        <w:tc>
          <w:tcPr>
            <w:tcW w:w="960" w:type="dxa"/>
            <w:tcBorders>
              <w:top w:val="nil"/>
              <w:bottom w:val="nil"/>
            </w:tcBorders>
            <w:vAlign w:val="center"/>
          </w:tcPr>
          <w:p w:rsidR="00FD30C8" w:rsidRPr="00261A05" w:rsidRDefault="00FD30C8" w:rsidP="004B5AE2">
            <w:pPr>
              <w:ind w:right="42"/>
              <w:jc w:val="center"/>
            </w:pPr>
            <w:r>
              <w:t>0,5</w:t>
            </w:r>
          </w:p>
        </w:tc>
      </w:tr>
      <w:tr w:rsidR="00FD30C8" w:rsidTr="003333BF">
        <w:trPr>
          <w:trHeight w:val="370"/>
        </w:trPr>
        <w:tc>
          <w:tcPr>
            <w:tcW w:w="3397" w:type="dxa"/>
            <w:tcBorders>
              <w:top w:val="nil"/>
            </w:tcBorders>
            <w:vAlign w:val="center"/>
          </w:tcPr>
          <w:p w:rsidR="00FD30C8" w:rsidRPr="00261A05" w:rsidRDefault="00FD30C8" w:rsidP="00A1421E">
            <w:pPr>
              <w:ind w:right="42"/>
              <w:jc w:val="center"/>
            </w:pPr>
            <w:r w:rsidRPr="00261A05">
              <w:rPr>
                <w:sz w:val="22"/>
                <w:szCs w:val="22"/>
              </w:rPr>
              <w:t>Yatırım malı imalatı</w:t>
            </w:r>
            <w:r>
              <w:rPr>
                <w:sz w:val="22"/>
                <w:szCs w:val="22"/>
              </w:rPr>
              <w:t>*</w:t>
            </w:r>
          </w:p>
        </w:tc>
        <w:tc>
          <w:tcPr>
            <w:tcW w:w="1051" w:type="dxa"/>
            <w:tcBorders>
              <w:top w:val="nil"/>
            </w:tcBorders>
            <w:vAlign w:val="center"/>
          </w:tcPr>
          <w:p w:rsidR="00FD30C8" w:rsidRPr="00261A05" w:rsidRDefault="00FD30C8" w:rsidP="004B5AE2">
            <w:pPr>
              <w:ind w:right="42"/>
              <w:jc w:val="center"/>
            </w:pPr>
            <w:r>
              <w:t>1,6</w:t>
            </w:r>
          </w:p>
        </w:tc>
        <w:tc>
          <w:tcPr>
            <w:tcW w:w="1051" w:type="dxa"/>
            <w:tcBorders>
              <w:top w:val="nil"/>
            </w:tcBorders>
            <w:vAlign w:val="center"/>
          </w:tcPr>
          <w:p w:rsidR="00FD30C8" w:rsidRPr="00261A05" w:rsidRDefault="00FD30C8" w:rsidP="004B5AE2">
            <w:pPr>
              <w:ind w:right="42"/>
              <w:jc w:val="center"/>
            </w:pPr>
            <w:r>
              <w:t>-3,5</w:t>
            </w:r>
          </w:p>
        </w:tc>
        <w:tc>
          <w:tcPr>
            <w:tcW w:w="1051" w:type="dxa"/>
            <w:tcBorders>
              <w:top w:val="nil"/>
            </w:tcBorders>
            <w:vAlign w:val="center"/>
          </w:tcPr>
          <w:p w:rsidR="00FD30C8" w:rsidRPr="00261A05" w:rsidRDefault="00FD30C8" w:rsidP="004B5AE2">
            <w:pPr>
              <w:ind w:right="42"/>
              <w:jc w:val="center"/>
            </w:pPr>
            <w:r>
              <w:t>2,0</w:t>
            </w:r>
          </w:p>
        </w:tc>
        <w:tc>
          <w:tcPr>
            <w:tcW w:w="1052" w:type="dxa"/>
            <w:tcBorders>
              <w:top w:val="nil"/>
              <w:right w:val="double" w:sz="4" w:space="0" w:color="auto"/>
            </w:tcBorders>
            <w:vAlign w:val="center"/>
          </w:tcPr>
          <w:p w:rsidR="00FD30C8" w:rsidRPr="00261A05" w:rsidRDefault="00FD30C8" w:rsidP="004B5AE2">
            <w:pPr>
              <w:ind w:right="42"/>
              <w:jc w:val="center"/>
            </w:pPr>
            <w:r>
              <w:t>**</w:t>
            </w:r>
          </w:p>
        </w:tc>
        <w:tc>
          <w:tcPr>
            <w:tcW w:w="960" w:type="dxa"/>
            <w:tcBorders>
              <w:top w:val="nil"/>
              <w:left w:val="double" w:sz="4" w:space="0" w:color="auto"/>
            </w:tcBorders>
            <w:vAlign w:val="center"/>
          </w:tcPr>
          <w:p w:rsidR="00FD30C8" w:rsidRPr="00261A05" w:rsidRDefault="00FD30C8" w:rsidP="004B5AE2">
            <w:pPr>
              <w:ind w:right="42"/>
              <w:jc w:val="center"/>
            </w:pPr>
            <w:r>
              <w:t>-1,9</w:t>
            </w:r>
          </w:p>
        </w:tc>
        <w:tc>
          <w:tcPr>
            <w:tcW w:w="960" w:type="dxa"/>
            <w:tcBorders>
              <w:top w:val="nil"/>
            </w:tcBorders>
            <w:vAlign w:val="center"/>
          </w:tcPr>
          <w:p w:rsidR="00FD30C8" w:rsidRPr="00261A05" w:rsidRDefault="00FD30C8" w:rsidP="004B5AE2">
            <w:pPr>
              <w:ind w:right="42"/>
              <w:jc w:val="center"/>
            </w:pPr>
            <w:r>
              <w:t>0,1</w:t>
            </w:r>
          </w:p>
        </w:tc>
      </w:tr>
      <w:tr w:rsidR="00FD30C8" w:rsidTr="003333BF">
        <w:trPr>
          <w:trHeight w:val="370"/>
        </w:trPr>
        <w:tc>
          <w:tcPr>
            <w:tcW w:w="3397" w:type="dxa"/>
            <w:tcBorders>
              <w:bottom w:val="nil"/>
            </w:tcBorders>
            <w:vAlign w:val="center"/>
          </w:tcPr>
          <w:p w:rsidR="00FD30C8" w:rsidRPr="00261A05" w:rsidRDefault="00FD30C8" w:rsidP="00A1421E">
            <w:pPr>
              <w:ind w:right="42"/>
              <w:jc w:val="center"/>
              <w:rPr>
                <w:b/>
                <w:bCs/>
              </w:rPr>
            </w:pPr>
            <w:r w:rsidRPr="00261A05">
              <w:rPr>
                <w:b/>
                <w:bCs/>
                <w:sz w:val="22"/>
                <w:szCs w:val="22"/>
              </w:rPr>
              <w:t>Kapasite kullanım oranı (KKO)</w:t>
            </w:r>
            <w:r>
              <w:rPr>
                <w:b/>
                <w:bCs/>
                <w:sz w:val="22"/>
                <w:szCs w:val="22"/>
              </w:rPr>
              <w:t>*</w:t>
            </w:r>
          </w:p>
        </w:tc>
        <w:tc>
          <w:tcPr>
            <w:tcW w:w="1051" w:type="dxa"/>
            <w:tcBorders>
              <w:bottom w:val="nil"/>
            </w:tcBorders>
            <w:vAlign w:val="center"/>
          </w:tcPr>
          <w:p w:rsidR="00FD30C8" w:rsidRPr="00261A05" w:rsidRDefault="00FD30C8" w:rsidP="004B5AE2">
            <w:pPr>
              <w:ind w:right="42"/>
              <w:jc w:val="center"/>
              <w:rPr>
                <w:b/>
                <w:bCs/>
              </w:rPr>
            </w:pPr>
            <w:r>
              <w:rPr>
                <w:b/>
                <w:bCs/>
              </w:rPr>
              <w:t>-0,1</w:t>
            </w:r>
          </w:p>
        </w:tc>
        <w:tc>
          <w:tcPr>
            <w:tcW w:w="1051" w:type="dxa"/>
            <w:tcBorders>
              <w:bottom w:val="nil"/>
            </w:tcBorders>
            <w:vAlign w:val="center"/>
          </w:tcPr>
          <w:p w:rsidR="00FD30C8" w:rsidRPr="00261A05" w:rsidRDefault="00FD30C8" w:rsidP="004B5AE2">
            <w:pPr>
              <w:ind w:right="42"/>
              <w:jc w:val="center"/>
              <w:rPr>
                <w:b/>
                <w:bCs/>
              </w:rPr>
            </w:pPr>
            <w:r>
              <w:rPr>
                <w:b/>
                <w:bCs/>
              </w:rPr>
              <w:t>-0,1</w:t>
            </w:r>
          </w:p>
        </w:tc>
        <w:tc>
          <w:tcPr>
            <w:tcW w:w="1051" w:type="dxa"/>
            <w:tcBorders>
              <w:bottom w:val="nil"/>
            </w:tcBorders>
            <w:vAlign w:val="center"/>
          </w:tcPr>
          <w:p w:rsidR="00FD30C8" w:rsidRPr="00261A05" w:rsidRDefault="00FD30C8" w:rsidP="004B5AE2">
            <w:pPr>
              <w:ind w:right="42"/>
              <w:jc w:val="center"/>
              <w:rPr>
                <w:b/>
                <w:bCs/>
              </w:rPr>
            </w:pPr>
            <w:r>
              <w:rPr>
                <w:b/>
                <w:bCs/>
              </w:rPr>
              <w:t>0,6</w:t>
            </w:r>
          </w:p>
        </w:tc>
        <w:tc>
          <w:tcPr>
            <w:tcW w:w="1052" w:type="dxa"/>
            <w:tcBorders>
              <w:bottom w:val="nil"/>
              <w:right w:val="double" w:sz="4" w:space="0" w:color="auto"/>
            </w:tcBorders>
            <w:vAlign w:val="center"/>
          </w:tcPr>
          <w:p w:rsidR="00FD30C8" w:rsidRPr="00261A05" w:rsidRDefault="00FD30C8" w:rsidP="004B5AE2">
            <w:pPr>
              <w:ind w:right="42"/>
              <w:jc w:val="center"/>
              <w:rPr>
                <w:b/>
                <w:bCs/>
              </w:rPr>
            </w:pPr>
            <w:r>
              <w:rPr>
                <w:b/>
                <w:bCs/>
              </w:rPr>
              <w:t>-0,5</w:t>
            </w:r>
          </w:p>
        </w:tc>
        <w:tc>
          <w:tcPr>
            <w:tcW w:w="960" w:type="dxa"/>
            <w:tcBorders>
              <w:left w:val="double" w:sz="4" w:space="0" w:color="auto"/>
              <w:bottom w:val="nil"/>
            </w:tcBorders>
            <w:vAlign w:val="center"/>
          </w:tcPr>
          <w:p w:rsidR="00FD30C8" w:rsidRPr="00261A05" w:rsidRDefault="00FD30C8" w:rsidP="004B5AE2">
            <w:pPr>
              <w:ind w:right="42"/>
              <w:jc w:val="center"/>
              <w:rPr>
                <w:b/>
                <w:bCs/>
              </w:rPr>
            </w:pPr>
            <w:r>
              <w:rPr>
                <w:b/>
                <w:bCs/>
              </w:rPr>
              <w:t>-1,1</w:t>
            </w:r>
          </w:p>
        </w:tc>
        <w:tc>
          <w:tcPr>
            <w:tcW w:w="960" w:type="dxa"/>
            <w:tcBorders>
              <w:bottom w:val="nil"/>
            </w:tcBorders>
            <w:vAlign w:val="center"/>
          </w:tcPr>
          <w:p w:rsidR="00FD30C8" w:rsidRPr="00261A05" w:rsidRDefault="00FD30C8" w:rsidP="004B5AE2">
            <w:pPr>
              <w:ind w:right="42"/>
              <w:jc w:val="center"/>
              <w:rPr>
                <w:b/>
                <w:bCs/>
              </w:rPr>
            </w:pPr>
            <w:r>
              <w:rPr>
                <w:b/>
                <w:bCs/>
              </w:rPr>
              <w:t>0,3</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Dayanıksız tüketim malı imalatı</w:t>
            </w:r>
          </w:p>
        </w:tc>
        <w:tc>
          <w:tcPr>
            <w:tcW w:w="1051" w:type="dxa"/>
            <w:tcBorders>
              <w:top w:val="nil"/>
              <w:bottom w:val="nil"/>
            </w:tcBorders>
            <w:vAlign w:val="center"/>
          </w:tcPr>
          <w:p w:rsidR="00FD30C8" w:rsidRPr="00261A05" w:rsidRDefault="00FD30C8" w:rsidP="004B5AE2">
            <w:pPr>
              <w:ind w:right="42"/>
              <w:jc w:val="center"/>
            </w:pPr>
            <w:r>
              <w:t>0,8</w:t>
            </w:r>
          </w:p>
        </w:tc>
        <w:tc>
          <w:tcPr>
            <w:tcW w:w="1051" w:type="dxa"/>
            <w:tcBorders>
              <w:top w:val="nil"/>
              <w:bottom w:val="nil"/>
            </w:tcBorders>
            <w:vAlign w:val="center"/>
          </w:tcPr>
          <w:p w:rsidR="00FD30C8" w:rsidRPr="00261A05" w:rsidRDefault="00FD30C8" w:rsidP="004B5AE2">
            <w:pPr>
              <w:ind w:right="42"/>
              <w:jc w:val="center"/>
            </w:pPr>
            <w:r>
              <w:t>-0,5</w:t>
            </w:r>
          </w:p>
        </w:tc>
        <w:tc>
          <w:tcPr>
            <w:tcW w:w="1051" w:type="dxa"/>
            <w:tcBorders>
              <w:top w:val="nil"/>
              <w:bottom w:val="nil"/>
            </w:tcBorders>
            <w:vAlign w:val="center"/>
          </w:tcPr>
          <w:p w:rsidR="00FD30C8" w:rsidRPr="00261A05" w:rsidRDefault="00FD30C8" w:rsidP="004B5AE2">
            <w:pPr>
              <w:ind w:right="42"/>
              <w:jc w:val="center"/>
            </w:pPr>
            <w:r>
              <w:t>0,4</w:t>
            </w:r>
          </w:p>
        </w:tc>
        <w:tc>
          <w:tcPr>
            <w:tcW w:w="1052" w:type="dxa"/>
            <w:tcBorders>
              <w:top w:val="nil"/>
              <w:bottom w:val="nil"/>
              <w:right w:val="double" w:sz="4" w:space="0" w:color="auto"/>
            </w:tcBorders>
            <w:vAlign w:val="center"/>
          </w:tcPr>
          <w:p w:rsidR="00FD30C8" w:rsidRPr="00261A05" w:rsidRDefault="00FD30C8" w:rsidP="004B5AE2">
            <w:pPr>
              <w:ind w:right="42"/>
              <w:jc w:val="center"/>
            </w:pPr>
            <w:r>
              <w:t>0,1</w:t>
            </w:r>
          </w:p>
        </w:tc>
        <w:tc>
          <w:tcPr>
            <w:tcW w:w="960" w:type="dxa"/>
            <w:tcBorders>
              <w:top w:val="nil"/>
              <w:left w:val="double" w:sz="4" w:space="0" w:color="auto"/>
              <w:bottom w:val="nil"/>
            </w:tcBorders>
            <w:vAlign w:val="center"/>
          </w:tcPr>
          <w:p w:rsidR="00FD30C8" w:rsidRPr="00261A05" w:rsidRDefault="00FD30C8" w:rsidP="004B5AE2">
            <w:pPr>
              <w:ind w:right="42"/>
              <w:jc w:val="center"/>
            </w:pPr>
            <w:r>
              <w:t>0,8</w:t>
            </w:r>
          </w:p>
        </w:tc>
        <w:tc>
          <w:tcPr>
            <w:tcW w:w="960" w:type="dxa"/>
            <w:tcBorders>
              <w:top w:val="nil"/>
              <w:bottom w:val="nil"/>
            </w:tcBorders>
            <w:vAlign w:val="center"/>
          </w:tcPr>
          <w:p w:rsidR="00FD30C8" w:rsidRPr="00261A05" w:rsidRDefault="00FD30C8" w:rsidP="004B5AE2">
            <w:pPr>
              <w:ind w:right="42"/>
              <w:jc w:val="center"/>
            </w:pPr>
            <w:r>
              <w:t>0,4</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rPr>
                <w:b/>
                <w:bCs/>
              </w:rPr>
            </w:pPr>
            <w:r w:rsidRPr="00261A05">
              <w:rPr>
                <w:sz w:val="22"/>
                <w:szCs w:val="22"/>
              </w:rPr>
              <w:t>Dayanıklı tüketim malı imalatı</w:t>
            </w:r>
          </w:p>
        </w:tc>
        <w:tc>
          <w:tcPr>
            <w:tcW w:w="1051" w:type="dxa"/>
            <w:tcBorders>
              <w:top w:val="nil"/>
              <w:bottom w:val="nil"/>
            </w:tcBorders>
            <w:vAlign w:val="center"/>
          </w:tcPr>
          <w:p w:rsidR="00FD30C8" w:rsidRPr="00261A05" w:rsidRDefault="00FD30C8" w:rsidP="004B5AE2">
            <w:pPr>
              <w:ind w:right="42"/>
              <w:jc w:val="center"/>
            </w:pPr>
            <w:r>
              <w:t>0,6</w:t>
            </w:r>
          </w:p>
        </w:tc>
        <w:tc>
          <w:tcPr>
            <w:tcW w:w="1051" w:type="dxa"/>
            <w:tcBorders>
              <w:top w:val="nil"/>
              <w:bottom w:val="nil"/>
            </w:tcBorders>
            <w:vAlign w:val="center"/>
          </w:tcPr>
          <w:p w:rsidR="00FD30C8" w:rsidRPr="00261A05" w:rsidRDefault="00FD30C8" w:rsidP="004B5AE2">
            <w:pPr>
              <w:ind w:right="42"/>
              <w:jc w:val="center"/>
            </w:pPr>
            <w:r>
              <w:t>-0,3</w:t>
            </w:r>
          </w:p>
        </w:tc>
        <w:tc>
          <w:tcPr>
            <w:tcW w:w="1051" w:type="dxa"/>
            <w:tcBorders>
              <w:top w:val="nil"/>
              <w:bottom w:val="nil"/>
            </w:tcBorders>
            <w:vAlign w:val="center"/>
          </w:tcPr>
          <w:p w:rsidR="00FD30C8" w:rsidRPr="00261A05" w:rsidRDefault="00FD30C8" w:rsidP="004B5AE2">
            <w:pPr>
              <w:ind w:right="42"/>
              <w:jc w:val="center"/>
            </w:pPr>
            <w:r>
              <w:t>3,3</w:t>
            </w:r>
          </w:p>
        </w:tc>
        <w:tc>
          <w:tcPr>
            <w:tcW w:w="1052" w:type="dxa"/>
            <w:tcBorders>
              <w:top w:val="nil"/>
              <w:bottom w:val="nil"/>
              <w:right w:val="double" w:sz="4" w:space="0" w:color="auto"/>
            </w:tcBorders>
            <w:vAlign w:val="center"/>
          </w:tcPr>
          <w:p w:rsidR="00FD30C8" w:rsidRPr="00261A05" w:rsidRDefault="00FD30C8" w:rsidP="004B5AE2">
            <w:pPr>
              <w:ind w:right="42"/>
              <w:jc w:val="center"/>
            </w:pPr>
            <w:r>
              <w:t>-1,4</w:t>
            </w:r>
          </w:p>
        </w:tc>
        <w:tc>
          <w:tcPr>
            <w:tcW w:w="960" w:type="dxa"/>
            <w:tcBorders>
              <w:top w:val="nil"/>
              <w:left w:val="double" w:sz="4" w:space="0" w:color="auto"/>
              <w:bottom w:val="nil"/>
            </w:tcBorders>
            <w:vAlign w:val="center"/>
          </w:tcPr>
          <w:p w:rsidR="00FD30C8" w:rsidRPr="00261A05" w:rsidRDefault="00FD30C8" w:rsidP="004B5AE2">
            <w:pPr>
              <w:ind w:right="42"/>
              <w:jc w:val="center"/>
            </w:pPr>
            <w:r>
              <w:t>-0,8</w:t>
            </w:r>
          </w:p>
        </w:tc>
        <w:tc>
          <w:tcPr>
            <w:tcW w:w="960" w:type="dxa"/>
            <w:tcBorders>
              <w:top w:val="nil"/>
              <w:bottom w:val="nil"/>
            </w:tcBorders>
            <w:vAlign w:val="center"/>
          </w:tcPr>
          <w:p w:rsidR="00FD30C8" w:rsidRPr="00261A05" w:rsidRDefault="00FD30C8" w:rsidP="004B5AE2">
            <w:pPr>
              <w:ind w:right="42"/>
              <w:jc w:val="center"/>
            </w:pPr>
            <w:r>
              <w:t>2,6</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Ara malı imalatı</w:t>
            </w:r>
          </w:p>
        </w:tc>
        <w:tc>
          <w:tcPr>
            <w:tcW w:w="1051" w:type="dxa"/>
            <w:tcBorders>
              <w:top w:val="nil"/>
              <w:bottom w:val="nil"/>
            </w:tcBorders>
            <w:vAlign w:val="center"/>
          </w:tcPr>
          <w:p w:rsidR="00FD30C8" w:rsidRPr="00261A05" w:rsidRDefault="00FD30C8" w:rsidP="004B5AE2">
            <w:pPr>
              <w:ind w:right="42"/>
              <w:jc w:val="center"/>
            </w:pPr>
            <w:r>
              <w:t>0,6</w:t>
            </w:r>
          </w:p>
        </w:tc>
        <w:tc>
          <w:tcPr>
            <w:tcW w:w="1051" w:type="dxa"/>
            <w:tcBorders>
              <w:top w:val="nil"/>
              <w:bottom w:val="nil"/>
            </w:tcBorders>
            <w:vAlign w:val="center"/>
          </w:tcPr>
          <w:p w:rsidR="00FD30C8" w:rsidRPr="00261A05" w:rsidRDefault="00FD30C8" w:rsidP="004B5AE2">
            <w:pPr>
              <w:ind w:right="42"/>
              <w:jc w:val="center"/>
            </w:pPr>
            <w:r>
              <w:t>-0,1</w:t>
            </w:r>
          </w:p>
        </w:tc>
        <w:tc>
          <w:tcPr>
            <w:tcW w:w="1051" w:type="dxa"/>
            <w:tcBorders>
              <w:top w:val="nil"/>
              <w:bottom w:val="nil"/>
            </w:tcBorders>
            <w:vAlign w:val="center"/>
          </w:tcPr>
          <w:p w:rsidR="00FD30C8" w:rsidRPr="00261A05" w:rsidRDefault="00FD30C8" w:rsidP="004B5AE2">
            <w:pPr>
              <w:ind w:right="42"/>
              <w:jc w:val="center"/>
            </w:pPr>
            <w:r>
              <w:t>-1,3</w:t>
            </w:r>
          </w:p>
        </w:tc>
        <w:tc>
          <w:tcPr>
            <w:tcW w:w="1052" w:type="dxa"/>
            <w:tcBorders>
              <w:top w:val="nil"/>
              <w:bottom w:val="nil"/>
              <w:right w:val="double" w:sz="4" w:space="0" w:color="auto"/>
            </w:tcBorders>
            <w:vAlign w:val="center"/>
          </w:tcPr>
          <w:p w:rsidR="00FD30C8" w:rsidRPr="00261A05" w:rsidRDefault="00FD30C8" w:rsidP="004B5AE2">
            <w:pPr>
              <w:ind w:right="42"/>
              <w:jc w:val="center"/>
            </w:pPr>
            <w:r>
              <w:t>-0,1</w:t>
            </w:r>
          </w:p>
        </w:tc>
        <w:tc>
          <w:tcPr>
            <w:tcW w:w="960" w:type="dxa"/>
            <w:tcBorders>
              <w:top w:val="nil"/>
              <w:left w:val="double" w:sz="4" w:space="0" w:color="auto"/>
              <w:bottom w:val="nil"/>
            </w:tcBorders>
            <w:vAlign w:val="center"/>
          </w:tcPr>
          <w:p w:rsidR="00FD30C8" w:rsidRPr="00261A05" w:rsidRDefault="00FD30C8" w:rsidP="004B5AE2">
            <w:pPr>
              <w:ind w:right="42"/>
              <w:jc w:val="center"/>
            </w:pPr>
            <w:r>
              <w:t>-0,2</w:t>
            </w:r>
          </w:p>
        </w:tc>
        <w:tc>
          <w:tcPr>
            <w:tcW w:w="960" w:type="dxa"/>
            <w:tcBorders>
              <w:top w:val="nil"/>
              <w:bottom w:val="nil"/>
            </w:tcBorders>
            <w:vAlign w:val="center"/>
          </w:tcPr>
          <w:p w:rsidR="00FD30C8" w:rsidRPr="00261A05" w:rsidRDefault="00FD30C8" w:rsidP="004B5AE2">
            <w:pPr>
              <w:ind w:right="42"/>
              <w:jc w:val="center"/>
            </w:pPr>
            <w:r>
              <w:t>-1,2</w:t>
            </w:r>
          </w:p>
        </w:tc>
      </w:tr>
      <w:tr w:rsidR="00FD30C8" w:rsidTr="003333BF">
        <w:trPr>
          <w:trHeight w:val="370"/>
        </w:trPr>
        <w:tc>
          <w:tcPr>
            <w:tcW w:w="3397" w:type="dxa"/>
            <w:tcBorders>
              <w:top w:val="nil"/>
            </w:tcBorders>
            <w:vAlign w:val="center"/>
          </w:tcPr>
          <w:p w:rsidR="00FD30C8" w:rsidRPr="00261A05" w:rsidRDefault="00FD30C8" w:rsidP="00A1421E">
            <w:pPr>
              <w:ind w:right="42"/>
              <w:jc w:val="center"/>
            </w:pPr>
            <w:r w:rsidRPr="00261A05">
              <w:rPr>
                <w:sz w:val="22"/>
                <w:szCs w:val="22"/>
              </w:rPr>
              <w:t>Yatırım malı imalatı</w:t>
            </w:r>
          </w:p>
        </w:tc>
        <w:tc>
          <w:tcPr>
            <w:tcW w:w="1051" w:type="dxa"/>
            <w:tcBorders>
              <w:top w:val="nil"/>
            </w:tcBorders>
            <w:vAlign w:val="center"/>
          </w:tcPr>
          <w:p w:rsidR="00FD30C8" w:rsidRPr="00261A05" w:rsidRDefault="00FD30C8" w:rsidP="004B5AE2">
            <w:pPr>
              <w:ind w:right="42"/>
              <w:jc w:val="center"/>
            </w:pPr>
            <w:r>
              <w:t>-2,2</w:t>
            </w:r>
          </w:p>
        </w:tc>
        <w:tc>
          <w:tcPr>
            <w:tcW w:w="1051" w:type="dxa"/>
            <w:tcBorders>
              <w:top w:val="nil"/>
            </w:tcBorders>
            <w:vAlign w:val="center"/>
          </w:tcPr>
          <w:p w:rsidR="00FD30C8" w:rsidRPr="00261A05" w:rsidRDefault="00FD30C8" w:rsidP="004B5AE2">
            <w:pPr>
              <w:ind w:right="42"/>
              <w:jc w:val="center"/>
            </w:pPr>
            <w:r>
              <w:t>-0,2</w:t>
            </w:r>
          </w:p>
        </w:tc>
        <w:tc>
          <w:tcPr>
            <w:tcW w:w="1051" w:type="dxa"/>
            <w:tcBorders>
              <w:top w:val="nil"/>
            </w:tcBorders>
            <w:vAlign w:val="center"/>
          </w:tcPr>
          <w:p w:rsidR="00FD30C8" w:rsidRPr="00261A05" w:rsidRDefault="00FD30C8" w:rsidP="004B5AE2">
            <w:pPr>
              <w:ind w:right="42"/>
              <w:jc w:val="center"/>
            </w:pPr>
            <w:r>
              <w:t>0,6</w:t>
            </w:r>
          </w:p>
        </w:tc>
        <w:tc>
          <w:tcPr>
            <w:tcW w:w="1052" w:type="dxa"/>
            <w:tcBorders>
              <w:top w:val="nil"/>
              <w:right w:val="double" w:sz="4" w:space="0" w:color="auto"/>
            </w:tcBorders>
            <w:vAlign w:val="center"/>
          </w:tcPr>
          <w:p w:rsidR="00FD30C8" w:rsidRPr="00261A05" w:rsidRDefault="00FD30C8" w:rsidP="004B5AE2">
            <w:pPr>
              <w:ind w:right="42"/>
              <w:jc w:val="center"/>
            </w:pPr>
            <w:r>
              <w:t>-1,8</w:t>
            </w:r>
          </w:p>
        </w:tc>
        <w:tc>
          <w:tcPr>
            <w:tcW w:w="960" w:type="dxa"/>
            <w:tcBorders>
              <w:top w:val="nil"/>
              <w:left w:val="double" w:sz="4" w:space="0" w:color="auto"/>
            </w:tcBorders>
            <w:vAlign w:val="center"/>
          </w:tcPr>
          <w:p w:rsidR="00FD30C8" w:rsidRPr="00261A05" w:rsidRDefault="00FD30C8" w:rsidP="004B5AE2">
            <w:pPr>
              <w:ind w:right="42"/>
              <w:jc w:val="center"/>
            </w:pPr>
            <w:r>
              <w:t>-1,5</w:t>
            </w:r>
          </w:p>
        </w:tc>
        <w:tc>
          <w:tcPr>
            <w:tcW w:w="960" w:type="dxa"/>
            <w:tcBorders>
              <w:top w:val="nil"/>
            </w:tcBorders>
            <w:vAlign w:val="center"/>
          </w:tcPr>
          <w:p w:rsidR="00FD30C8" w:rsidRPr="00261A05" w:rsidRDefault="00FD30C8" w:rsidP="004B5AE2">
            <w:pPr>
              <w:ind w:right="42"/>
              <w:jc w:val="center"/>
            </w:pPr>
            <w:r>
              <w:t>-1,1</w:t>
            </w:r>
          </w:p>
        </w:tc>
      </w:tr>
      <w:tr w:rsidR="00FD30C8" w:rsidTr="003333BF">
        <w:trPr>
          <w:trHeight w:val="370"/>
        </w:trPr>
        <w:tc>
          <w:tcPr>
            <w:tcW w:w="3397" w:type="dxa"/>
            <w:tcBorders>
              <w:bottom w:val="nil"/>
            </w:tcBorders>
            <w:vAlign w:val="center"/>
          </w:tcPr>
          <w:p w:rsidR="00FD30C8" w:rsidRPr="00261A05" w:rsidRDefault="00FD30C8" w:rsidP="00A1421E">
            <w:pPr>
              <w:ind w:right="42"/>
              <w:jc w:val="center"/>
              <w:rPr>
                <w:b/>
                <w:bCs/>
              </w:rPr>
            </w:pPr>
            <w:r w:rsidRPr="00261A05">
              <w:rPr>
                <w:b/>
                <w:bCs/>
                <w:sz w:val="22"/>
                <w:szCs w:val="22"/>
              </w:rPr>
              <w:t>Beklenti göstergeleri</w:t>
            </w:r>
          </w:p>
        </w:tc>
        <w:tc>
          <w:tcPr>
            <w:tcW w:w="1051" w:type="dxa"/>
            <w:tcBorders>
              <w:bottom w:val="nil"/>
            </w:tcBorders>
            <w:vAlign w:val="center"/>
          </w:tcPr>
          <w:p w:rsidR="00FD30C8" w:rsidRPr="00261A05" w:rsidRDefault="00FD30C8" w:rsidP="004B5AE2">
            <w:pPr>
              <w:ind w:right="42"/>
              <w:jc w:val="center"/>
              <w:rPr>
                <w:b/>
                <w:bCs/>
              </w:rPr>
            </w:pPr>
          </w:p>
        </w:tc>
        <w:tc>
          <w:tcPr>
            <w:tcW w:w="1051" w:type="dxa"/>
            <w:tcBorders>
              <w:bottom w:val="nil"/>
            </w:tcBorders>
            <w:vAlign w:val="center"/>
          </w:tcPr>
          <w:p w:rsidR="00FD30C8" w:rsidRPr="00261A05" w:rsidRDefault="00FD30C8" w:rsidP="004B5AE2">
            <w:pPr>
              <w:ind w:right="42"/>
              <w:jc w:val="center"/>
              <w:rPr>
                <w:b/>
                <w:bCs/>
              </w:rPr>
            </w:pPr>
          </w:p>
        </w:tc>
        <w:tc>
          <w:tcPr>
            <w:tcW w:w="1051" w:type="dxa"/>
            <w:tcBorders>
              <w:bottom w:val="nil"/>
            </w:tcBorders>
            <w:vAlign w:val="center"/>
          </w:tcPr>
          <w:p w:rsidR="00FD30C8" w:rsidRPr="00261A05" w:rsidRDefault="00FD30C8" w:rsidP="004B5AE2">
            <w:pPr>
              <w:ind w:right="42"/>
              <w:jc w:val="center"/>
              <w:rPr>
                <w:b/>
                <w:bCs/>
              </w:rPr>
            </w:pPr>
          </w:p>
        </w:tc>
        <w:tc>
          <w:tcPr>
            <w:tcW w:w="1052" w:type="dxa"/>
            <w:tcBorders>
              <w:bottom w:val="nil"/>
              <w:right w:val="double" w:sz="4" w:space="0" w:color="auto"/>
            </w:tcBorders>
            <w:vAlign w:val="center"/>
          </w:tcPr>
          <w:p w:rsidR="00FD30C8" w:rsidRPr="00261A05" w:rsidRDefault="00FD30C8" w:rsidP="004B5AE2">
            <w:pPr>
              <w:ind w:right="42"/>
              <w:jc w:val="center"/>
              <w:rPr>
                <w:b/>
                <w:bCs/>
              </w:rPr>
            </w:pPr>
          </w:p>
        </w:tc>
        <w:tc>
          <w:tcPr>
            <w:tcW w:w="960" w:type="dxa"/>
            <w:tcBorders>
              <w:left w:val="double" w:sz="4" w:space="0" w:color="auto"/>
              <w:bottom w:val="nil"/>
            </w:tcBorders>
            <w:vAlign w:val="center"/>
          </w:tcPr>
          <w:p w:rsidR="00FD30C8" w:rsidRPr="00261A05" w:rsidRDefault="00FD30C8" w:rsidP="004B5AE2">
            <w:pPr>
              <w:ind w:right="42"/>
              <w:jc w:val="center"/>
              <w:rPr>
                <w:b/>
                <w:bCs/>
              </w:rPr>
            </w:pPr>
          </w:p>
        </w:tc>
        <w:tc>
          <w:tcPr>
            <w:tcW w:w="960" w:type="dxa"/>
            <w:tcBorders>
              <w:bottom w:val="nil"/>
            </w:tcBorders>
            <w:vAlign w:val="center"/>
          </w:tcPr>
          <w:p w:rsidR="00FD30C8" w:rsidRPr="00261A05" w:rsidRDefault="00FD30C8" w:rsidP="004B5AE2">
            <w:pPr>
              <w:ind w:right="42"/>
              <w:jc w:val="center"/>
              <w:rPr>
                <w:b/>
                <w:bCs/>
              </w:rPr>
            </w:pP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Tüketici güven endeksi (TÜİK)</w:t>
            </w:r>
          </w:p>
        </w:tc>
        <w:tc>
          <w:tcPr>
            <w:tcW w:w="1051" w:type="dxa"/>
            <w:tcBorders>
              <w:top w:val="nil"/>
              <w:bottom w:val="nil"/>
            </w:tcBorders>
            <w:vAlign w:val="center"/>
          </w:tcPr>
          <w:p w:rsidR="00FD30C8" w:rsidRPr="00261A05" w:rsidRDefault="00FD30C8" w:rsidP="004B5AE2">
            <w:pPr>
              <w:ind w:right="42"/>
              <w:jc w:val="center"/>
            </w:pPr>
            <w:r>
              <w:t>-4,9</w:t>
            </w:r>
          </w:p>
        </w:tc>
        <w:tc>
          <w:tcPr>
            <w:tcW w:w="1051" w:type="dxa"/>
            <w:tcBorders>
              <w:top w:val="nil"/>
              <w:bottom w:val="nil"/>
            </w:tcBorders>
            <w:vAlign w:val="center"/>
          </w:tcPr>
          <w:p w:rsidR="00FD30C8" w:rsidRPr="00261A05" w:rsidRDefault="00FD30C8" w:rsidP="004B5AE2">
            <w:pPr>
              <w:ind w:right="42"/>
              <w:jc w:val="center"/>
            </w:pPr>
            <w:r>
              <w:t>5,6</w:t>
            </w:r>
          </w:p>
        </w:tc>
        <w:tc>
          <w:tcPr>
            <w:tcW w:w="1051" w:type="dxa"/>
            <w:tcBorders>
              <w:top w:val="nil"/>
              <w:bottom w:val="nil"/>
            </w:tcBorders>
            <w:vAlign w:val="center"/>
          </w:tcPr>
          <w:p w:rsidR="00FD30C8" w:rsidRPr="00261A05" w:rsidRDefault="00FD30C8" w:rsidP="004B5AE2">
            <w:pPr>
              <w:ind w:right="42"/>
              <w:jc w:val="center"/>
            </w:pPr>
            <w:r>
              <w:t>6,9</w:t>
            </w:r>
          </w:p>
        </w:tc>
        <w:tc>
          <w:tcPr>
            <w:tcW w:w="1052" w:type="dxa"/>
            <w:tcBorders>
              <w:top w:val="nil"/>
              <w:bottom w:val="nil"/>
              <w:right w:val="double" w:sz="4" w:space="0" w:color="auto"/>
            </w:tcBorders>
            <w:vAlign w:val="center"/>
          </w:tcPr>
          <w:p w:rsidR="00FD30C8" w:rsidRPr="00261A05" w:rsidRDefault="00FD30C8" w:rsidP="004B5AE2">
            <w:pPr>
              <w:ind w:right="42"/>
              <w:jc w:val="center"/>
            </w:pPr>
            <w:r>
              <w:t>-3,2</w:t>
            </w:r>
          </w:p>
        </w:tc>
        <w:tc>
          <w:tcPr>
            <w:tcW w:w="960" w:type="dxa"/>
            <w:tcBorders>
              <w:top w:val="nil"/>
              <w:left w:val="double" w:sz="4" w:space="0" w:color="auto"/>
              <w:bottom w:val="nil"/>
            </w:tcBorders>
            <w:vAlign w:val="center"/>
          </w:tcPr>
          <w:p w:rsidR="00FD30C8" w:rsidRPr="00261A05" w:rsidRDefault="00FD30C8" w:rsidP="004B5AE2">
            <w:pPr>
              <w:ind w:right="42"/>
              <w:jc w:val="center"/>
            </w:pPr>
            <w:r>
              <w:t>-7,2</w:t>
            </w:r>
          </w:p>
        </w:tc>
        <w:tc>
          <w:tcPr>
            <w:tcW w:w="960" w:type="dxa"/>
            <w:tcBorders>
              <w:top w:val="nil"/>
              <w:bottom w:val="nil"/>
            </w:tcBorders>
            <w:vAlign w:val="center"/>
          </w:tcPr>
          <w:p w:rsidR="00FD30C8" w:rsidRPr="00261A05" w:rsidRDefault="00FD30C8" w:rsidP="004B5AE2">
            <w:pPr>
              <w:ind w:right="42"/>
              <w:jc w:val="center"/>
            </w:pPr>
            <w:r>
              <w:t>7,2</w:t>
            </w:r>
          </w:p>
        </w:tc>
      </w:tr>
      <w:tr w:rsidR="00FD30C8" w:rsidTr="003333BF">
        <w:trPr>
          <w:trHeight w:val="370"/>
        </w:trPr>
        <w:tc>
          <w:tcPr>
            <w:tcW w:w="3397" w:type="dxa"/>
            <w:tcBorders>
              <w:top w:val="nil"/>
            </w:tcBorders>
            <w:vAlign w:val="center"/>
          </w:tcPr>
          <w:p w:rsidR="00FD30C8" w:rsidRPr="00261A05" w:rsidRDefault="00FD30C8" w:rsidP="00A1421E">
            <w:pPr>
              <w:ind w:right="42"/>
              <w:jc w:val="center"/>
            </w:pPr>
            <w:r w:rsidRPr="00261A05">
              <w:rPr>
                <w:sz w:val="22"/>
                <w:szCs w:val="22"/>
              </w:rPr>
              <w:t>Reel kesim güven endeksi</w:t>
            </w:r>
            <w:r w:rsidRPr="00944BB8">
              <w:rPr>
                <w:sz w:val="22"/>
                <w:szCs w:val="22"/>
                <w:vertAlign w:val="superscript"/>
              </w:rPr>
              <w:t>†</w:t>
            </w:r>
          </w:p>
        </w:tc>
        <w:tc>
          <w:tcPr>
            <w:tcW w:w="1051" w:type="dxa"/>
            <w:tcBorders>
              <w:top w:val="nil"/>
            </w:tcBorders>
            <w:vAlign w:val="center"/>
          </w:tcPr>
          <w:p w:rsidR="00FD30C8" w:rsidRPr="00261A05" w:rsidRDefault="00FD30C8" w:rsidP="004B5AE2">
            <w:pPr>
              <w:ind w:right="42"/>
              <w:jc w:val="center"/>
            </w:pPr>
            <w:r>
              <w:t>0,4</w:t>
            </w:r>
          </w:p>
        </w:tc>
        <w:tc>
          <w:tcPr>
            <w:tcW w:w="1051" w:type="dxa"/>
            <w:tcBorders>
              <w:top w:val="nil"/>
            </w:tcBorders>
            <w:vAlign w:val="center"/>
          </w:tcPr>
          <w:p w:rsidR="00FD30C8" w:rsidRPr="00261A05" w:rsidRDefault="00FD30C8" w:rsidP="004B5AE2">
            <w:pPr>
              <w:ind w:right="42"/>
              <w:jc w:val="center"/>
            </w:pPr>
            <w:r>
              <w:t>1,0</w:t>
            </w:r>
          </w:p>
        </w:tc>
        <w:tc>
          <w:tcPr>
            <w:tcW w:w="1051" w:type="dxa"/>
            <w:tcBorders>
              <w:top w:val="nil"/>
            </w:tcBorders>
            <w:vAlign w:val="center"/>
          </w:tcPr>
          <w:p w:rsidR="00FD30C8" w:rsidRPr="00261A05" w:rsidRDefault="00FD30C8" w:rsidP="004B5AE2">
            <w:pPr>
              <w:ind w:right="42"/>
              <w:jc w:val="center"/>
            </w:pPr>
            <w:r>
              <w:t>1,2</w:t>
            </w:r>
          </w:p>
        </w:tc>
        <w:tc>
          <w:tcPr>
            <w:tcW w:w="1052" w:type="dxa"/>
            <w:tcBorders>
              <w:top w:val="nil"/>
              <w:right w:val="double" w:sz="4" w:space="0" w:color="auto"/>
            </w:tcBorders>
            <w:vAlign w:val="center"/>
          </w:tcPr>
          <w:p w:rsidR="00FD30C8" w:rsidRPr="00261A05" w:rsidRDefault="00FD30C8" w:rsidP="004B5AE2">
            <w:pPr>
              <w:ind w:right="42"/>
              <w:jc w:val="center"/>
            </w:pPr>
            <w:r>
              <w:t>1,1</w:t>
            </w:r>
          </w:p>
        </w:tc>
        <w:tc>
          <w:tcPr>
            <w:tcW w:w="960" w:type="dxa"/>
            <w:tcBorders>
              <w:top w:val="nil"/>
              <w:left w:val="double" w:sz="4" w:space="0" w:color="auto"/>
            </w:tcBorders>
            <w:vAlign w:val="center"/>
          </w:tcPr>
          <w:p w:rsidR="00FD30C8" w:rsidRPr="00261A05" w:rsidRDefault="00FD30C8" w:rsidP="004B5AE2">
            <w:pPr>
              <w:ind w:right="42"/>
              <w:jc w:val="center"/>
            </w:pPr>
            <w:r>
              <w:t>-5,5</w:t>
            </w:r>
          </w:p>
        </w:tc>
        <w:tc>
          <w:tcPr>
            <w:tcW w:w="960" w:type="dxa"/>
            <w:tcBorders>
              <w:top w:val="nil"/>
            </w:tcBorders>
            <w:vAlign w:val="center"/>
          </w:tcPr>
          <w:p w:rsidR="00FD30C8" w:rsidRPr="00261A05" w:rsidRDefault="00FD30C8" w:rsidP="004B5AE2">
            <w:pPr>
              <w:ind w:right="42"/>
              <w:jc w:val="center"/>
            </w:pPr>
            <w:r>
              <w:t>2,6</w:t>
            </w:r>
          </w:p>
        </w:tc>
      </w:tr>
      <w:tr w:rsidR="00FD30C8" w:rsidTr="003333BF">
        <w:trPr>
          <w:trHeight w:val="370"/>
        </w:trPr>
        <w:tc>
          <w:tcPr>
            <w:tcW w:w="3397" w:type="dxa"/>
            <w:tcBorders>
              <w:bottom w:val="nil"/>
            </w:tcBorders>
            <w:vAlign w:val="center"/>
          </w:tcPr>
          <w:p w:rsidR="00FD30C8" w:rsidRPr="00261A05" w:rsidRDefault="00FD30C8" w:rsidP="00A1421E">
            <w:pPr>
              <w:ind w:right="42"/>
              <w:jc w:val="center"/>
              <w:rPr>
                <w:b/>
                <w:bCs/>
              </w:rPr>
            </w:pPr>
            <w:r w:rsidRPr="00261A05">
              <w:rPr>
                <w:b/>
                <w:bCs/>
                <w:sz w:val="22"/>
                <w:szCs w:val="22"/>
              </w:rPr>
              <w:t>Finansal göstergeler</w:t>
            </w:r>
          </w:p>
        </w:tc>
        <w:tc>
          <w:tcPr>
            <w:tcW w:w="1051" w:type="dxa"/>
            <w:tcBorders>
              <w:bottom w:val="nil"/>
            </w:tcBorders>
            <w:vAlign w:val="center"/>
          </w:tcPr>
          <w:p w:rsidR="00FD30C8" w:rsidRPr="00261A05" w:rsidRDefault="00FD30C8" w:rsidP="004B5AE2">
            <w:pPr>
              <w:ind w:right="42"/>
              <w:jc w:val="center"/>
              <w:rPr>
                <w:b/>
                <w:bCs/>
              </w:rPr>
            </w:pPr>
          </w:p>
        </w:tc>
        <w:tc>
          <w:tcPr>
            <w:tcW w:w="1051" w:type="dxa"/>
            <w:tcBorders>
              <w:bottom w:val="nil"/>
            </w:tcBorders>
            <w:vAlign w:val="center"/>
          </w:tcPr>
          <w:p w:rsidR="00FD30C8" w:rsidRPr="00261A05" w:rsidRDefault="00FD30C8" w:rsidP="004B5AE2">
            <w:pPr>
              <w:ind w:right="42"/>
              <w:jc w:val="center"/>
              <w:rPr>
                <w:b/>
                <w:bCs/>
              </w:rPr>
            </w:pPr>
          </w:p>
        </w:tc>
        <w:tc>
          <w:tcPr>
            <w:tcW w:w="1051" w:type="dxa"/>
            <w:tcBorders>
              <w:bottom w:val="nil"/>
            </w:tcBorders>
            <w:vAlign w:val="center"/>
          </w:tcPr>
          <w:p w:rsidR="00FD30C8" w:rsidRPr="00261A05" w:rsidRDefault="00FD30C8" w:rsidP="004B5AE2">
            <w:pPr>
              <w:ind w:right="42"/>
              <w:jc w:val="center"/>
              <w:rPr>
                <w:b/>
                <w:bCs/>
              </w:rPr>
            </w:pPr>
          </w:p>
        </w:tc>
        <w:tc>
          <w:tcPr>
            <w:tcW w:w="1052" w:type="dxa"/>
            <w:tcBorders>
              <w:bottom w:val="nil"/>
              <w:right w:val="double" w:sz="4" w:space="0" w:color="auto"/>
            </w:tcBorders>
            <w:vAlign w:val="center"/>
          </w:tcPr>
          <w:p w:rsidR="00FD30C8" w:rsidRPr="00261A05" w:rsidRDefault="00FD30C8" w:rsidP="004B5AE2">
            <w:pPr>
              <w:ind w:right="42"/>
              <w:jc w:val="center"/>
              <w:rPr>
                <w:b/>
                <w:bCs/>
              </w:rPr>
            </w:pPr>
          </w:p>
        </w:tc>
        <w:tc>
          <w:tcPr>
            <w:tcW w:w="960" w:type="dxa"/>
            <w:tcBorders>
              <w:left w:val="double" w:sz="4" w:space="0" w:color="auto"/>
              <w:bottom w:val="nil"/>
            </w:tcBorders>
            <w:vAlign w:val="center"/>
          </w:tcPr>
          <w:p w:rsidR="00FD30C8" w:rsidRPr="00261A05" w:rsidRDefault="00FD30C8" w:rsidP="004B5AE2">
            <w:pPr>
              <w:ind w:right="42"/>
              <w:jc w:val="center"/>
              <w:rPr>
                <w:b/>
                <w:bCs/>
              </w:rPr>
            </w:pPr>
          </w:p>
        </w:tc>
        <w:tc>
          <w:tcPr>
            <w:tcW w:w="960" w:type="dxa"/>
            <w:tcBorders>
              <w:bottom w:val="nil"/>
            </w:tcBorders>
            <w:vAlign w:val="center"/>
          </w:tcPr>
          <w:p w:rsidR="00FD30C8" w:rsidRPr="00261A05" w:rsidRDefault="00FD30C8" w:rsidP="004B5AE2">
            <w:pPr>
              <w:ind w:right="42"/>
              <w:jc w:val="center"/>
              <w:rPr>
                <w:b/>
                <w:bCs/>
              </w:rPr>
            </w:pPr>
          </w:p>
        </w:tc>
      </w:tr>
      <w:tr w:rsidR="00FD30C8" w:rsidTr="003333BF">
        <w:trPr>
          <w:trHeight w:val="370"/>
        </w:trPr>
        <w:tc>
          <w:tcPr>
            <w:tcW w:w="3397" w:type="dxa"/>
            <w:tcBorders>
              <w:top w:val="nil"/>
            </w:tcBorders>
            <w:vAlign w:val="center"/>
          </w:tcPr>
          <w:p w:rsidR="00FD30C8" w:rsidRPr="00261A05" w:rsidRDefault="00FD30C8" w:rsidP="00A1421E">
            <w:pPr>
              <w:ind w:right="42"/>
              <w:jc w:val="center"/>
            </w:pPr>
            <w:r>
              <w:rPr>
                <w:sz w:val="22"/>
                <w:szCs w:val="22"/>
              </w:rPr>
              <w:t>BİST</w:t>
            </w:r>
            <w:r w:rsidRPr="00261A05">
              <w:rPr>
                <w:sz w:val="22"/>
                <w:szCs w:val="22"/>
              </w:rPr>
              <w:t xml:space="preserve"> 100</w:t>
            </w:r>
          </w:p>
        </w:tc>
        <w:tc>
          <w:tcPr>
            <w:tcW w:w="1051" w:type="dxa"/>
            <w:tcBorders>
              <w:top w:val="nil"/>
            </w:tcBorders>
            <w:vAlign w:val="center"/>
          </w:tcPr>
          <w:p w:rsidR="00FD30C8" w:rsidRPr="00261A05" w:rsidRDefault="00FD30C8" w:rsidP="004B5AE2">
            <w:pPr>
              <w:ind w:right="42"/>
              <w:jc w:val="center"/>
            </w:pPr>
            <w:r>
              <w:t>-2,6</w:t>
            </w:r>
          </w:p>
        </w:tc>
        <w:tc>
          <w:tcPr>
            <w:tcW w:w="1051" w:type="dxa"/>
            <w:tcBorders>
              <w:top w:val="nil"/>
            </w:tcBorders>
            <w:vAlign w:val="center"/>
          </w:tcPr>
          <w:p w:rsidR="00FD30C8" w:rsidRPr="00261A05" w:rsidRDefault="00FD30C8" w:rsidP="004B5AE2">
            <w:pPr>
              <w:ind w:right="42"/>
              <w:jc w:val="center"/>
            </w:pPr>
            <w:r>
              <w:t>1,2</w:t>
            </w:r>
          </w:p>
        </w:tc>
        <w:tc>
          <w:tcPr>
            <w:tcW w:w="1051" w:type="dxa"/>
            <w:tcBorders>
              <w:top w:val="nil"/>
            </w:tcBorders>
            <w:vAlign w:val="center"/>
          </w:tcPr>
          <w:p w:rsidR="00FD30C8" w:rsidRPr="00261A05" w:rsidRDefault="00FD30C8" w:rsidP="004B5AE2">
            <w:pPr>
              <w:ind w:right="42"/>
              <w:jc w:val="center"/>
            </w:pPr>
            <w:r>
              <w:t>5,6</w:t>
            </w:r>
          </w:p>
        </w:tc>
        <w:tc>
          <w:tcPr>
            <w:tcW w:w="1052" w:type="dxa"/>
            <w:tcBorders>
              <w:top w:val="nil"/>
              <w:right w:val="double" w:sz="4" w:space="0" w:color="auto"/>
            </w:tcBorders>
            <w:vAlign w:val="center"/>
          </w:tcPr>
          <w:p w:rsidR="00FD30C8" w:rsidRPr="00261A05" w:rsidRDefault="00FD30C8" w:rsidP="004B5AE2">
            <w:pPr>
              <w:ind w:right="42"/>
              <w:jc w:val="center"/>
            </w:pPr>
            <w:r>
              <w:t>4,5</w:t>
            </w:r>
          </w:p>
        </w:tc>
        <w:tc>
          <w:tcPr>
            <w:tcW w:w="960" w:type="dxa"/>
            <w:tcBorders>
              <w:top w:val="nil"/>
              <w:left w:val="double" w:sz="4" w:space="0" w:color="auto"/>
            </w:tcBorders>
            <w:vAlign w:val="center"/>
          </w:tcPr>
          <w:p w:rsidR="00FD30C8" w:rsidRPr="00261A05" w:rsidRDefault="00FD30C8" w:rsidP="004B5AE2">
            <w:pPr>
              <w:ind w:right="42"/>
              <w:jc w:val="center"/>
            </w:pPr>
            <w:r>
              <w:t>-13,9</w:t>
            </w:r>
          </w:p>
        </w:tc>
        <w:tc>
          <w:tcPr>
            <w:tcW w:w="960" w:type="dxa"/>
            <w:tcBorders>
              <w:top w:val="nil"/>
            </w:tcBorders>
            <w:vAlign w:val="center"/>
          </w:tcPr>
          <w:p w:rsidR="00FD30C8" w:rsidRPr="00261A05" w:rsidRDefault="00FD30C8" w:rsidP="004B5AE2">
            <w:pPr>
              <w:ind w:right="42"/>
              <w:jc w:val="center"/>
            </w:pPr>
            <w:r>
              <w:t>7,9</w:t>
            </w:r>
          </w:p>
        </w:tc>
      </w:tr>
      <w:tr w:rsidR="00FD30C8" w:rsidTr="003333BF">
        <w:trPr>
          <w:trHeight w:val="370"/>
        </w:trPr>
        <w:tc>
          <w:tcPr>
            <w:tcW w:w="3397" w:type="dxa"/>
            <w:tcBorders>
              <w:bottom w:val="nil"/>
            </w:tcBorders>
            <w:vAlign w:val="center"/>
          </w:tcPr>
          <w:p w:rsidR="00FD30C8" w:rsidRPr="00261A05" w:rsidRDefault="00FD30C8" w:rsidP="00A1421E">
            <w:pPr>
              <w:ind w:right="42"/>
              <w:jc w:val="center"/>
              <w:rPr>
                <w:b/>
                <w:bCs/>
              </w:rPr>
            </w:pPr>
            <w:r w:rsidRPr="00261A05">
              <w:rPr>
                <w:b/>
                <w:bCs/>
                <w:sz w:val="22"/>
                <w:szCs w:val="22"/>
              </w:rPr>
              <w:t>Diğerleri</w:t>
            </w:r>
          </w:p>
        </w:tc>
        <w:tc>
          <w:tcPr>
            <w:tcW w:w="1051" w:type="dxa"/>
            <w:tcBorders>
              <w:bottom w:val="nil"/>
            </w:tcBorders>
            <w:vAlign w:val="center"/>
          </w:tcPr>
          <w:p w:rsidR="00FD30C8" w:rsidRPr="00261A05" w:rsidRDefault="00FD30C8" w:rsidP="004B5AE2">
            <w:pPr>
              <w:ind w:right="42"/>
              <w:jc w:val="center"/>
            </w:pPr>
          </w:p>
        </w:tc>
        <w:tc>
          <w:tcPr>
            <w:tcW w:w="1051" w:type="dxa"/>
            <w:tcBorders>
              <w:bottom w:val="nil"/>
            </w:tcBorders>
            <w:vAlign w:val="center"/>
          </w:tcPr>
          <w:p w:rsidR="00FD30C8" w:rsidRPr="00261A05" w:rsidRDefault="00FD30C8" w:rsidP="004B5AE2">
            <w:pPr>
              <w:ind w:right="42"/>
              <w:jc w:val="center"/>
            </w:pPr>
          </w:p>
        </w:tc>
        <w:tc>
          <w:tcPr>
            <w:tcW w:w="1051" w:type="dxa"/>
            <w:tcBorders>
              <w:bottom w:val="nil"/>
            </w:tcBorders>
            <w:vAlign w:val="center"/>
          </w:tcPr>
          <w:p w:rsidR="00FD30C8" w:rsidRPr="00261A05" w:rsidRDefault="00FD30C8" w:rsidP="004B5AE2">
            <w:pPr>
              <w:ind w:right="42"/>
              <w:jc w:val="center"/>
            </w:pPr>
          </w:p>
        </w:tc>
        <w:tc>
          <w:tcPr>
            <w:tcW w:w="1052" w:type="dxa"/>
            <w:tcBorders>
              <w:bottom w:val="nil"/>
              <w:right w:val="double" w:sz="4" w:space="0" w:color="auto"/>
            </w:tcBorders>
            <w:vAlign w:val="center"/>
          </w:tcPr>
          <w:p w:rsidR="00FD30C8" w:rsidRPr="00261A05" w:rsidRDefault="00FD30C8" w:rsidP="004B5AE2">
            <w:pPr>
              <w:ind w:right="42"/>
              <w:jc w:val="center"/>
            </w:pPr>
          </w:p>
        </w:tc>
        <w:tc>
          <w:tcPr>
            <w:tcW w:w="960" w:type="dxa"/>
            <w:tcBorders>
              <w:left w:val="double" w:sz="4" w:space="0" w:color="auto"/>
              <w:bottom w:val="nil"/>
            </w:tcBorders>
            <w:vAlign w:val="center"/>
          </w:tcPr>
          <w:p w:rsidR="00FD30C8" w:rsidRPr="00261A05" w:rsidRDefault="00FD30C8" w:rsidP="004B5AE2">
            <w:pPr>
              <w:ind w:right="42"/>
              <w:jc w:val="center"/>
            </w:pPr>
          </w:p>
        </w:tc>
        <w:tc>
          <w:tcPr>
            <w:tcW w:w="960" w:type="dxa"/>
            <w:tcBorders>
              <w:bottom w:val="nil"/>
            </w:tcBorders>
            <w:vAlign w:val="center"/>
          </w:tcPr>
          <w:p w:rsidR="00FD30C8" w:rsidRPr="00261A05" w:rsidRDefault="00FD30C8" w:rsidP="004B5AE2">
            <w:pPr>
              <w:ind w:right="42"/>
              <w:jc w:val="center"/>
            </w:pP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Özel tüketim vergisi (ÖTV)</w:t>
            </w:r>
          </w:p>
        </w:tc>
        <w:tc>
          <w:tcPr>
            <w:tcW w:w="1051" w:type="dxa"/>
            <w:tcBorders>
              <w:top w:val="nil"/>
              <w:bottom w:val="nil"/>
            </w:tcBorders>
            <w:vAlign w:val="center"/>
          </w:tcPr>
          <w:p w:rsidR="00FD30C8" w:rsidRPr="00261A05" w:rsidRDefault="00FD30C8" w:rsidP="004B5AE2">
            <w:pPr>
              <w:ind w:right="42"/>
              <w:jc w:val="center"/>
            </w:pPr>
            <w:r>
              <w:t>0,5</w:t>
            </w:r>
          </w:p>
        </w:tc>
        <w:tc>
          <w:tcPr>
            <w:tcW w:w="1051" w:type="dxa"/>
            <w:tcBorders>
              <w:top w:val="nil"/>
              <w:bottom w:val="nil"/>
            </w:tcBorders>
            <w:vAlign w:val="center"/>
          </w:tcPr>
          <w:p w:rsidR="00FD30C8" w:rsidRPr="00261A05" w:rsidRDefault="00FD30C8" w:rsidP="004B5AE2">
            <w:pPr>
              <w:ind w:right="42"/>
              <w:jc w:val="center"/>
            </w:pPr>
            <w:r>
              <w:t>-0,4</w:t>
            </w:r>
          </w:p>
        </w:tc>
        <w:tc>
          <w:tcPr>
            <w:tcW w:w="1051" w:type="dxa"/>
            <w:tcBorders>
              <w:top w:val="nil"/>
              <w:bottom w:val="nil"/>
            </w:tcBorders>
            <w:vAlign w:val="center"/>
          </w:tcPr>
          <w:p w:rsidR="00FD30C8" w:rsidRPr="00261A05" w:rsidRDefault="00FD30C8" w:rsidP="004B5AE2">
            <w:pPr>
              <w:ind w:right="42"/>
              <w:jc w:val="center"/>
            </w:pPr>
            <w:r>
              <w:t>-5,5</w:t>
            </w:r>
          </w:p>
        </w:tc>
        <w:tc>
          <w:tcPr>
            <w:tcW w:w="1052" w:type="dxa"/>
            <w:tcBorders>
              <w:top w:val="nil"/>
              <w:bottom w:val="nil"/>
              <w:right w:val="double" w:sz="4" w:space="0" w:color="auto"/>
            </w:tcBorders>
            <w:vAlign w:val="center"/>
          </w:tcPr>
          <w:p w:rsidR="00FD30C8" w:rsidRPr="00261A05" w:rsidRDefault="00FD30C8" w:rsidP="004B5AE2">
            <w:pPr>
              <w:ind w:right="42"/>
              <w:jc w:val="center"/>
            </w:pPr>
            <w:r>
              <w:t>**</w:t>
            </w:r>
          </w:p>
        </w:tc>
        <w:tc>
          <w:tcPr>
            <w:tcW w:w="960" w:type="dxa"/>
            <w:tcBorders>
              <w:top w:val="nil"/>
              <w:left w:val="double" w:sz="4" w:space="0" w:color="auto"/>
              <w:bottom w:val="nil"/>
            </w:tcBorders>
            <w:vAlign w:val="center"/>
          </w:tcPr>
          <w:p w:rsidR="00FD30C8" w:rsidRPr="00261A05" w:rsidRDefault="00FD30C8" w:rsidP="004B5AE2">
            <w:pPr>
              <w:ind w:right="42"/>
              <w:jc w:val="center"/>
            </w:pPr>
            <w:r>
              <w:t>0,9</w:t>
            </w:r>
          </w:p>
        </w:tc>
        <w:tc>
          <w:tcPr>
            <w:tcW w:w="960" w:type="dxa"/>
            <w:tcBorders>
              <w:top w:val="nil"/>
              <w:bottom w:val="nil"/>
            </w:tcBorders>
            <w:vAlign w:val="center"/>
          </w:tcPr>
          <w:p w:rsidR="00FD30C8" w:rsidRPr="00261A05" w:rsidRDefault="00FD30C8" w:rsidP="004B5AE2">
            <w:pPr>
              <w:ind w:right="42"/>
              <w:jc w:val="center"/>
            </w:pPr>
            <w:r>
              <w:t>-5,6</w:t>
            </w:r>
          </w:p>
        </w:tc>
      </w:tr>
      <w:tr w:rsidR="00FD30C8" w:rsidTr="003333BF">
        <w:trPr>
          <w:trHeight w:val="370"/>
        </w:trPr>
        <w:tc>
          <w:tcPr>
            <w:tcW w:w="3397" w:type="dxa"/>
            <w:tcBorders>
              <w:top w:val="nil"/>
              <w:bottom w:val="nil"/>
            </w:tcBorders>
            <w:vAlign w:val="center"/>
          </w:tcPr>
          <w:p w:rsidR="00FD30C8" w:rsidRPr="00261A05" w:rsidRDefault="00FD30C8" w:rsidP="00A1421E">
            <w:pPr>
              <w:ind w:right="42"/>
              <w:jc w:val="center"/>
            </w:pPr>
            <w:r w:rsidRPr="00261A05">
              <w:rPr>
                <w:sz w:val="22"/>
                <w:szCs w:val="22"/>
              </w:rPr>
              <w:t>Binek otomobil üretimi</w:t>
            </w:r>
          </w:p>
        </w:tc>
        <w:tc>
          <w:tcPr>
            <w:tcW w:w="1051" w:type="dxa"/>
            <w:tcBorders>
              <w:top w:val="nil"/>
              <w:bottom w:val="nil"/>
            </w:tcBorders>
            <w:vAlign w:val="center"/>
          </w:tcPr>
          <w:p w:rsidR="00FD30C8" w:rsidRPr="00261A05" w:rsidRDefault="00FD30C8" w:rsidP="004B5AE2">
            <w:pPr>
              <w:ind w:right="42"/>
              <w:jc w:val="center"/>
            </w:pPr>
            <w:r>
              <w:t>-5,1</w:t>
            </w:r>
          </w:p>
        </w:tc>
        <w:tc>
          <w:tcPr>
            <w:tcW w:w="1051" w:type="dxa"/>
            <w:tcBorders>
              <w:top w:val="nil"/>
              <w:bottom w:val="nil"/>
            </w:tcBorders>
            <w:vAlign w:val="center"/>
          </w:tcPr>
          <w:p w:rsidR="00FD30C8" w:rsidRPr="00261A05" w:rsidRDefault="00FD30C8" w:rsidP="004B5AE2">
            <w:pPr>
              <w:ind w:right="42"/>
              <w:jc w:val="center"/>
            </w:pPr>
            <w:r>
              <w:t>2,7</w:t>
            </w:r>
          </w:p>
        </w:tc>
        <w:tc>
          <w:tcPr>
            <w:tcW w:w="1051" w:type="dxa"/>
            <w:tcBorders>
              <w:top w:val="nil"/>
              <w:bottom w:val="nil"/>
            </w:tcBorders>
            <w:vAlign w:val="center"/>
          </w:tcPr>
          <w:p w:rsidR="00FD30C8" w:rsidRPr="00261A05" w:rsidRDefault="00FD30C8" w:rsidP="004B5AE2">
            <w:pPr>
              <w:ind w:right="42"/>
              <w:jc w:val="center"/>
            </w:pPr>
            <w:r>
              <w:t>7,4</w:t>
            </w:r>
          </w:p>
        </w:tc>
        <w:tc>
          <w:tcPr>
            <w:tcW w:w="1052" w:type="dxa"/>
            <w:tcBorders>
              <w:top w:val="nil"/>
              <w:bottom w:val="nil"/>
              <w:right w:val="double" w:sz="4" w:space="0" w:color="auto"/>
            </w:tcBorders>
            <w:vAlign w:val="center"/>
          </w:tcPr>
          <w:p w:rsidR="00FD30C8" w:rsidRPr="00261A05" w:rsidRDefault="00FD30C8" w:rsidP="004B5AE2">
            <w:pPr>
              <w:ind w:right="42"/>
              <w:jc w:val="center"/>
            </w:pPr>
            <w:r>
              <w:t>-4,1</w:t>
            </w:r>
          </w:p>
        </w:tc>
        <w:tc>
          <w:tcPr>
            <w:tcW w:w="960" w:type="dxa"/>
            <w:tcBorders>
              <w:top w:val="nil"/>
              <w:left w:val="double" w:sz="4" w:space="0" w:color="auto"/>
              <w:bottom w:val="nil"/>
            </w:tcBorders>
            <w:vAlign w:val="center"/>
          </w:tcPr>
          <w:p w:rsidR="00FD30C8" w:rsidRPr="00261A05" w:rsidRDefault="00FD30C8" w:rsidP="004B5AE2">
            <w:pPr>
              <w:ind w:right="42"/>
              <w:jc w:val="center"/>
            </w:pPr>
            <w:r>
              <w:t>1,4</w:t>
            </w:r>
          </w:p>
        </w:tc>
        <w:tc>
          <w:tcPr>
            <w:tcW w:w="960" w:type="dxa"/>
            <w:tcBorders>
              <w:top w:val="nil"/>
              <w:bottom w:val="nil"/>
            </w:tcBorders>
            <w:vAlign w:val="center"/>
          </w:tcPr>
          <w:p w:rsidR="00FD30C8" w:rsidRPr="00261A05" w:rsidRDefault="00FD30C8" w:rsidP="004B5AE2">
            <w:pPr>
              <w:ind w:right="42"/>
              <w:jc w:val="center"/>
            </w:pPr>
            <w:r>
              <w:t>5,2</w:t>
            </w:r>
          </w:p>
        </w:tc>
      </w:tr>
      <w:tr w:rsidR="00FD30C8" w:rsidTr="003333BF">
        <w:trPr>
          <w:trHeight w:val="370"/>
        </w:trPr>
        <w:tc>
          <w:tcPr>
            <w:tcW w:w="3397" w:type="dxa"/>
            <w:tcBorders>
              <w:top w:val="nil"/>
            </w:tcBorders>
            <w:vAlign w:val="center"/>
          </w:tcPr>
          <w:p w:rsidR="00FD30C8" w:rsidRPr="00261A05" w:rsidRDefault="00FD30C8" w:rsidP="00A1421E">
            <w:pPr>
              <w:ind w:right="42"/>
              <w:jc w:val="center"/>
            </w:pPr>
            <w:r w:rsidRPr="00261A05">
              <w:rPr>
                <w:sz w:val="22"/>
                <w:szCs w:val="22"/>
              </w:rPr>
              <w:t>Binek olmayan otomobil üretimi</w:t>
            </w:r>
          </w:p>
        </w:tc>
        <w:tc>
          <w:tcPr>
            <w:tcW w:w="1051" w:type="dxa"/>
            <w:tcBorders>
              <w:top w:val="nil"/>
            </w:tcBorders>
            <w:vAlign w:val="center"/>
          </w:tcPr>
          <w:p w:rsidR="00FD30C8" w:rsidRPr="00261A05" w:rsidRDefault="00FD30C8" w:rsidP="004B5AE2">
            <w:pPr>
              <w:ind w:right="42"/>
              <w:jc w:val="center"/>
            </w:pPr>
            <w:r>
              <w:t>1,4</w:t>
            </w:r>
          </w:p>
        </w:tc>
        <w:tc>
          <w:tcPr>
            <w:tcW w:w="1051" w:type="dxa"/>
            <w:tcBorders>
              <w:top w:val="nil"/>
            </w:tcBorders>
            <w:vAlign w:val="center"/>
          </w:tcPr>
          <w:p w:rsidR="00FD30C8" w:rsidRPr="00261A05" w:rsidRDefault="00FD30C8" w:rsidP="004B5AE2">
            <w:pPr>
              <w:ind w:right="42"/>
              <w:jc w:val="center"/>
            </w:pPr>
            <w:r>
              <w:t>1,6</w:t>
            </w:r>
          </w:p>
        </w:tc>
        <w:tc>
          <w:tcPr>
            <w:tcW w:w="1051" w:type="dxa"/>
            <w:tcBorders>
              <w:top w:val="nil"/>
            </w:tcBorders>
            <w:vAlign w:val="center"/>
          </w:tcPr>
          <w:p w:rsidR="00FD30C8" w:rsidRPr="00261A05" w:rsidRDefault="00FD30C8" w:rsidP="004B5AE2">
            <w:pPr>
              <w:ind w:right="42"/>
              <w:jc w:val="center"/>
            </w:pPr>
            <w:r>
              <w:t>4,2</w:t>
            </w:r>
          </w:p>
        </w:tc>
        <w:tc>
          <w:tcPr>
            <w:tcW w:w="1052" w:type="dxa"/>
            <w:tcBorders>
              <w:top w:val="nil"/>
              <w:right w:val="double" w:sz="4" w:space="0" w:color="auto"/>
            </w:tcBorders>
            <w:vAlign w:val="center"/>
          </w:tcPr>
          <w:p w:rsidR="00FD30C8" w:rsidRPr="00261A05" w:rsidRDefault="00FD30C8" w:rsidP="004B5AE2">
            <w:pPr>
              <w:ind w:right="42"/>
              <w:jc w:val="center"/>
            </w:pPr>
            <w:r>
              <w:t>-1,1</w:t>
            </w:r>
          </w:p>
        </w:tc>
        <w:tc>
          <w:tcPr>
            <w:tcW w:w="960" w:type="dxa"/>
            <w:tcBorders>
              <w:top w:val="nil"/>
              <w:left w:val="double" w:sz="4" w:space="0" w:color="auto"/>
            </w:tcBorders>
            <w:vAlign w:val="center"/>
          </w:tcPr>
          <w:p w:rsidR="00FD30C8" w:rsidRPr="00261A05" w:rsidRDefault="00FD30C8" w:rsidP="004B5AE2">
            <w:pPr>
              <w:ind w:right="42"/>
              <w:jc w:val="center"/>
            </w:pPr>
            <w:r>
              <w:t>-4,3</w:t>
            </w:r>
          </w:p>
        </w:tc>
        <w:tc>
          <w:tcPr>
            <w:tcW w:w="960" w:type="dxa"/>
            <w:tcBorders>
              <w:top w:val="nil"/>
            </w:tcBorders>
            <w:vAlign w:val="center"/>
          </w:tcPr>
          <w:p w:rsidR="00FD30C8" w:rsidRPr="00261A05" w:rsidRDefault="00FD30C8" w:rsidP="004B5AE2">
            <w:pPr>
              <w:ind w:right="42"/>
              <w:jc w:val="center"/>
            </w:pPr>
            <w:r>
              <w:t>5,3</w:t>
            </w:r>
          </w:p>
        </w:tc>
      </w:tr>
    </w:tbl>
    <w:p w:rsidR="00392A7C" w:rsidRPr="00BB6BD3" w:rsidRDefault="00392A7C" w:rsidP="00392A7C">
      <w:pPr>
        <w:ind w:left="-720" w:right="43" w:firstLine="360"/>
        <w:jc w:val="both"/>
        <w:rPr>
          <w:sz w:val="16"/>
          <w:szCs w:val="16"/>
        </w:rPr>
      </w:pPr>
      <w:r w:rsidRPr="00BB6BD3">
        <w:rPr>
          <w:sz w:val="16"/>
          <w:szCs w:val="16"/>
        </w:rPr>
        <w:t>Kaynak: TÜİK, TCMB, BIST, TDM, BETAM.</w:t>
      </w:r>
    </w:p>
    <w:p w:rsidR="00392A7C" w:rsidRPr="00BB6BD3" w:rsidRDefault="00392A7C" w:rsidP="00392A7C">
      <w:pPr>
        <w:ind w:left="-720" w:right="43" w:firstLine="360"/>
        <w:jc w:val="both"/>
        <w:rPr>
          <w:sz w:val="16"/>
          <w:szCs w:val="16"/>
        </w:rPr>
      </w:pPr>
      <w:r w:rsidRPr="00BB6BD3">
        <w:rPr>
          <w:sz w:val="16"/>
          <w:szCs w:val="16"/>
          <w:vertAlign w:val="superscript"/>
        </w:rPr>
        <w:t xml:space="preserve">† </w:t>
      </w:r>
      <w:r w:rsidRPr="00BB6BD3">
        <w:rPr>
          <w:sz w:val="16"/>
          <w:szCs w:val="16"/>
        </w:rPr>
        <w:t>TCMB tarafından mevsimsellikten arındırılmıştır.</w:t>
      </w:r>
    </w:p>
    <w:p w:rsidR="00392A7C" w:rsidRPr="00BB6BD3" w:rsidRDefault="00392A7C" w:rsidP="00392A7C">
      <w:pPr>
        <w:ind w:left="-720" w:right="43" w:firstLine="360"/>
        <w:jc w:val="both"/>
        <w:rPr>
          <w:sz w:val="16"/>
          <w:szCs w:val="16"/>
        </w:rPr>
      </w:pPr>
      <w:r w:rsidRPr="00BB6BD3">
        <w:rPr>
          <w:sz w:val="16"/>
          <w:szCs w:val="16"/>
        </w:rPr>
        <w:t xml:space="preserve">*TÜİK tarafından mevsimsellikten arındırılmıştır. Diğer tüm veriler Betam tarafından mevsimsellikten arındırılmıştır. </w:t>
      </w:r>
    </w:p>
    <w:p w:rsidR="00392A7C" w:rsidRPr="00BB6BD3" w:rsidRDefault="00392A7C" w:rsidP="00392A7C">
      <w:pPr>
        <w:ind w:left="-720" w:right="43" w:firstLine="360"/>
        <w:jc w:val="both"/>
        <w:rPr>
          <w:sz w:val="16"/>
          <w:szCs w:val="16"/>
        </w:rPr>
      </w:pPr>
      <w:r w:rsidRPr="00BB6BD3">
        <w:rPr>
          <w:sz w:val="16"/>
          <w:szCs w:val="16"/>
        </w:rPr>
        <w:t>**Bu aya dair veri henüz açıklanmamıştır.</w:t>
      </w:r>
    </w:p>
    <w:p w:rsidR="00392A7C" w:rsidRPr="00BB6BD3" w:rsidRDefault="00392A7C" w:rsidP="00392A7C">
      <w:pPr>
        <w:ind w:left="-360" w:right="43"/>
        <w:rPr>
          <w:sz w:val="16"/>
          <w:szCs w:val="16"/>
        </w:rPr>
      </w:pPr>
      <w:r w:rsidRPr="00BB6BD3">
        <w:rPr>
          <w:sz w:val="16"/>
          <w:szCs w:val="16"/>
        </w:rPr>
        <w:t>*** Betam hesaplamaları: Altın hariç ihracatı (ithalatı) bulmak için nominal ihracattan (ithalattan) parasal olmayan altın ihracatını (ithalatını) çıkarıp ihracat (ithalat) birim değer endeksine bölüyoruz. Betam tarafından mevsimsellikten arındırılmıştır.</w:t>
      </w:r>
    </w:p>
    <w:p w:rsidR="00392A7C" w:rsidRDefault="00392A7C" w:rsidP="009165ED">
      <w:pPr>
        <w:spacing w:line="360" w:lineRule="auto"/>
        <w:ind w:right="42"/>
        <w:jc w:val="both"/>
        <w:rPr>
          <w:sz w:val="22"/>
          <w:szCs w:val="22"/>
        </w:rPr>
      </w:pPr>
    </w:p>
    <w:p w:rsidR="001837A6" w:rsidRDefault="001837A6" w:rsidP="009165ED">
      <w:pPr>
        <w:spacing w:line="360" w:lineRule="auto"/>
        <w:ind w:right="42"/>
        <w:jc w:val="both"/>
        <w:rPr>
          <w:sz w:val="22"/>
          <w:szCs w:val="22"/>
        </w:rPr>
      </w:pPr>
    </w:p>
    <w:p w:rsidR="0034012E" w:rsidRDefault="0034012E" w:rsidP="009165ED">
      <w:pPr>
        <w:spacing w:line="360" w:lineRule="auto"/>
        <w:ind w:right="42"/>
        <w:jc w:val="both"/>
        <w:rPr>
          <w:sz w:val="22"/>
          <w:szCs w:val="22"/>
        </w:rPr>
        <w:sectPr w:rsidR="0034012E" w:rsidSect="008651A8">
          <w:type w:val="continuous"/>
          <w:pgSz w:w="11906" w:h="16838"/>
          <w:pgMar w:top="1417" w:right="1417" w:bottom="1417" w:left="1417" w:header="708" w:footer="708" w:gutter="0"/>
          <w:cols w:space="708"/>
          <w:docGrid w:linePitch="360"/>
        </w:sectPr>
      </w:pPr>
    </w:p>
    <w:p w:rsidR="009165ED" w:rsidRDefault="009165ED" w:rsidP="009165ED">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9165ED" w:rsidRPr="007067F4" w:rsidRDefault="009165ED" w:rsidP="009165ED">
      <w:pPr>
        <w:ind w:left="-360" w:right="42"/>
        <w:jc w:val="both"/>
        <w:rPr>
          <w:b/>
          <w:bCs/>
          <w:sz w:val="8"/>
          <w:szCs w:val="8"/>
        </w:rPr>
      </w:pPr>
    </w:p>
    <w:p w:rsidR="009165ED" w:rsidRPr="00CE2137" w:rsidRDefault="001837A6" w:rsidP="009165ED">
      <w:pPr>
        <w:ind w:left="-360" w:right="42"/>
        <w:jc w:val="both"/>
      </w:pPr>
      <w:r w:rsidRPr="001837A6">
        <w:rPr>
          <w:noProof/>
        </w:rPr>
        <w:drawing>
          <wp:inline distT="0" distB="0" distL="0" distR="0">
            <wp:extent cx="2655570" cy="224524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55570" cy="2245248"/>
                    </a:xfrm>
                    <a:prstGeom prst="rect">
                      <a:avLst/>
                    </a:prstGeom>
                    <a:noFill/>
                    <a:ln w="9525">
                      <a:noFill/>
                      <a:miter lim="800000"/>
                      <a:headEnd/>
                      <a:tailEnd/>
                    </a:ln>
                  </pic:spPr>
                </pic:pic>
              </a:graphicData>
            </a:graphic>
          </wp:inline>
        </w:drawing>
      </w:r>
    </w:p>
    <w:p w:rsidR="009165ED" w:rsidRDefault="00DB4284" w:rsidP="009165ED">
      <w:pPr>
        <w:ind w:left="-360" w:right="42"/>
        <w:jc w:val="both"/>
        <w:rPr>
          <w:sz w:val="18"/>
          <w:szCs w:val="18"/>
        </w:rPr>
      </w:pPr>
      <w:r>
        <w:rPr>
          <w:sz w:val="18"/>
          <w:szCs w:val="18"/>
        </w:rPr>
        <w:t>Kaynak : TÜİ</w:t>
      </w:r>
      <w:r w:rsidR="009165ED">
        <w:rPr>
          <w:sz w:val="18"/>
          <w:szCs w:val="18"/>
        </w:rPr>
        <w:t xml:space="preserve">K </w:t>
      </w:r>
      <w:r w:rsidR="009165ED" w:rsidRPr="008C6E50">
        <w:rPr>
          <w:sz w:val="18"/>
          <w:szCs w:val="18"/>
        </w:rPr>
        <w:t xml:space="preserve">(sol taraf KKO ekseni, sağ taraf SÜE </w:t>
      </w:r>
    </w:p>
    <w:p w:rsidR="009165ED" w:rsidRPr="008C6E50" w:rsidRDefault="009165ED" w:rsidP="009165ED">
      <w:pPr>
        <w:ind w:left="-360" w:right="42"/>
        <w:jc w:val="both"/>
        <w:rPr>
          <w:sz w:val="18"/>
          <w:szCs w:val="18"/>
        </w:rPr>
      </w:pPr>
      <w:r w:rsidRPr="008C6E50">
        <w:rPr>
          <w:sz w:val="18"/>
          <w:szCs w:val="18"/>
        </w:rPr>
        <w:t>ekseni)</w:t>
      </w:r>
      <w:r>
        <w:rPr>
          <w:sz w:val="18"/>
          <w:szCs w:val="18"/>
        </w:rPr>
        <w:t>.</w:t>
      </w:r>
    </w:p>
    <w:p w:rsidR="008E4B91" w:rsidRDefault="008E4B91" w:rsidP="00DB4284">
      <w:pPr>
        <w:ind w:left="-360" w:right="42"/>
        <w:jc w:val="both"/>
        <w:rPr>
          <w:b/>
          <w:bCs/>
          <w:sz w:val="10"/>
          <w:szCs w:val="10"/>
        </w:rPr>
      </w:pPr>
    </w:p>
    <w:p w:rsidR="00DB4284" w:rsidRDefault="009165ED" w:rsidP="00DB4284">
      <w:pPr>
        <w:ind w:left="-360" w:right="42"/>
        <w:jc w:val="both"/>
        <w:rPr>
          <w:b/>
          <w:bCs/>
          <w:sz w:val="22"/>
          <w:szCs w:val="22"/>
        </w:rPr>
      </w:pPr>
      <w:r>
        <w:rPr>
          <w:b/>
          <w:bCs/>
          <w:sz w:val="22"/>
          <w:szCs w:val="22"/>
        </w:rPr>
        <w:br/>
      </w:r>
      <w:r w:rsidR="00DB4284">
        <w:rPr>
          <w:b/>
          <w:bCs/>
          <w:sz w:val="22"/>
          <w:szCs w:val="22"/>
        </w:rPr>
        <w:t>Şekil 3</w:t>
      </w:r>
      <w:r w:rsidR="00DB4284" w:rsidRPr="008C6E50">
        <w:rPr>
          <w:b/>
          <w:bCs/>
          <w:sz w:val="22"/>
          <w:szCs w:val="22"/>
        </w:rPr>
        <w:t xml:space="preserve">: </w:t>
      </w:r>
      <w:r w:rsidR="00DB4284">
        <w:rPr>
          <w:b/>
          <w:bCs/>
          <w:sz w:val="22"/>
          <w:szCs w:val="22"/>
        </w:rPr>
        <w:t>Altın dahil cari açığın GSYH'a oranı, 12 aylık</w:t>
      </w:r>
    </w:p>
    <w:p w:rsidR="00DB4284" w:rsidRPr="007067F4" w:rsidRDefault="00DB4284" w:rsidP="00DB4284">
      <w:pPr>
        <w:ind w:left="-360" w:right="42"/>
        <w:jc w:val="both"/>
        <w:rPr>
          <w:b/>
          <w:bCs/>
          <w:sz w:val="8"/>
          <w:szCs w:val="8"/>
        </w:rPr>
      </w:pPr>
    </w:p>
    <w:p w:rsidR="00DB4284" w:rsidRPr="00CE2137" w:rsidRDefault="001837A6" w:rsidP="00DB4284">
      <w:pPr>
        <w:ind w:left="-360" w:right="42"/>
        <w:jc w:val="both"/>
      </w:pPr>
      <w:r w:rsidRPr="001837A6">
        <w:rPr>
          <w:noProof/>
        </w:rPr>
        <w:drawing>
          <wp:inline distT="0" distB="0" distL="0" distR="0">
            <wp:extent cx="2655570" cy="222718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655570" cy="2227184"/>
                    </a:xfrm>
                    <a:prstGeom prst="rect">
                      <a:avLst/>
                    </a:prstGeom>
                    <a:noFill/>
                    <a:ln w="9525">
                      <a:noFill/>
                      <a:miter lim="800000"/>
                      <a:headEnd/>
                      <a:tailEnd/>
                    </a:ln>
                  </pic:spPr>
                </pic:pic>
              </a:graphicData>
            </a:graphic>
          </wp:inline>
        </w:drawing>
      </w:r>
    </w:p>
    <w:p w:rsidR="00DB4284" w:rsidRPr="00F85C3F" w:rsidRDefault="00DB4284" w:rsidP="00DB4284">
      <w:pPr>
        <w:ind w:left="-360" w:right="42"/>
        <w:jc w:val="both"/>
        <w:rPr>
          <w:sz w:val="16"/>
          <w:szCs w:val="16"/>
        </w:rPr>
      </w:pPr>
      <w:r w:rsidRPr="00F85C3F">
        <w:rPr>
          <w:sz w:val="16"/>
          <w:szCs w:val="16"/>
        </w:rPr>
        <w:t>Kaynak : TCMB,TÜİK, Betam.</w:t>
      </w:r>
    </w:p>
    <w:p w:rsidR="00DB4284" w:rsidRDefault="00DB4284" w:rsidP="00DB4284">
      <w:pPr>
        <w:ind w:left="-360" w:right="42"/>
        <w:jc w:val="both"/>
        <w:rPr>
          <w:b/>
          <w:bCs/>
          <w:sz w:val="22"/>
          <w:szCs w:val="22"/>
        </w:rPr>
      </w:pPr>
      <w:r>
        <w:rPr>
          <w:b/>
          <w:bCs/>
          <w:sz w:val="22"/>
          <w:szCs w:val="22"/>
        </w:rPr>
        <w:br/>
      </w:r>
      <w:r>
        <w:rPr>
          <w:b/>
          <w:bCs/>
          <w:sz w:val="22"/>
          <w:szCs w:val="22"/>
        </w:rPr>
        <w:br/>
      </w:r>
      <w:r>
        <w:rPr>
          <w:b/>
          <w:bCs/>
          <w:sz w:val="22"/>
          <w:szCs w:val="22"/>
        </w:rPr>
        <w:br/>
      </w: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DB4284" w:rsidRPr="007067F4" w:rsidRDefault="00DB4284" w:rsidP="00DB4284">
      <w:pPr>
        <w:spacing w:line="360" w:lineRule="auto"/>
        <w:ind w:left="-360" w:right="42"/>
        <w:jc w:val="both"/>
        <w:rPr>
          <w:sz w:val="4"/>
          <w:szCs w:val="4"/>
        </w:rPr>
      </w:pPr>
    </w:p>
    <w:p w:rsidR="00DB4284" w:rsidRPr="00CE2137" w:rsidRDefault="001837A6" w:rsidP="00DB4284">
      <w:pPr>
        <w:ind w:left="-360" w:right="42"/>
        <w:jc w:val="both"/>
      </w:pPr>
      <w:r w:rsidRPr="001837A6">
        <w:rPr>
          <w:noProof/>
        </w:rPr>
        <w:drawing>
          <wp:inline distT="0" distB="0" distL="0" distR="0">
            <wp:extent cx="2655570" cy="230665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55570" cy="2306651"/>
                    </a:xfrm>
                    <a:prstGeom prst="rect">
                      <a:avLst/>
                    </a:prstGeom>
                    <a:noFill/>
                    <a:ln w="9525">
                      <a:noFill/>
                      <a:miter lim="800000"/>
                      <a:headEnd/>
                      <a:tailEnd/>
                    </a:ln>
                  </pic:spPr>
                </pic:pic>
              </a:graphicData>
            </a:graphic>
          </wp:inline>
        </w:drawing>
      </w:r>
    </w:p>
    <w:p w:rsidR="00DB4284" w:rsidRDefault="00DB4284" w:rsidP="00DB4284">
      <w:pPr>
        <w:ind w:left="-360" w:right="42"/>
        <w:jc w:val="both"/>
        <w:rPr>
          <w:sz w:val="18"/>
          <w:szCs w:val="18"/>
        </w:rPr>
      </w:pPr>
      <w:r>
        <w:rPr>
          <w:sz w:val="18"/>
          <w:szCs w:val="18"/>
        </w:rPr>
        <w:t>Kaynak : TÜİK.</w:t>
      </w:r>
    </w:p>
    <w:p w:rsidR="000678F9" w:rsidRDefault="000678F9" w:rsidP="009165ED">
      <w:pPr>
        <w:ind w:left="-360" w:right="42"/>
        <w:jc w:val="both"/>
        <w:rPr>
          <w:b/>
          <w:bCs/>
          <w:sz w:val="18"/>
          <w:szCs w:val="18"/>
        </w:rPr>
      </w:pPr>
    </w:p>
    <w:p w:rsidR="009165ED" w:rsidRDefault="009165ED" w:rsidP="009165ED">
      <w:pPr>
        <w:ind w:left="-360" w:right="42"/>
        <w:jc w:val="both"/>
        <w:rPr>
          <w:b/>
          <w:bCs/>
          <w:sz w:val="22"/>
          <w:szCs w:val="22"/>
        </w:rPr>
      </w:pPr>
      <w:r>
        <w:rPr>
          <w:b/>
          <w:bCs/>
          <w:sz w:val="22"/>
          <w:szCs w:val="22"/>
        </w:rPr>
        <w:br/>
      </w:r>
      <w:r w:rsidR="00DB4284">
        <w:rPr>
          <w:b/>
          <w:bCs/>
          <w:sz w:val="22"/>
          <w:szCs w:val="22"/>
        </w:rPr>
        <w:t>Şekil 4</w:t>
      </w:r>
      <w:r w:rsidRPr="008C6E50">
        <w:rPr>
          <w:b/>
          <w:bCs/>
          <w:sz w:val="22"/>
          <w:szCs w:val="22"/>
        </w:rPr>
        <w:t xml:space="preserve">: </w:t>
      </w:r>
      <w:r w:rsidR="00DB4284">
        <w:rPr>
          <w:b/>
          <w:bCs/>
          <w:sz w:val="22"/>
          <w:szCs w:val="22"/>
        </w:rPr>
        <w:t>Altın hariç cari açığın GSYH'a oranı, 12 aylık</w:t>
      </w:r>
    </w:p>
    <w:p w:rsidR="009165ED" w:rsidRPr="007067F4" w:rsidRDefault="009165ED" w:rsidP="009165ED">
      <w:pPr>
        <w:spacing w:line="360" w:lineRule="auto"/>
        <w:ind w:left="-360" w:right="42"/>
        <w:jc w:val="both"/>
        <w:rPr>
          <w:sz w:val="4"/>
          <w:szCs w:val="4"/>
        </w:rPr>
      </w:pPr>
    </w:p>
    <w:p w:rsidR="009165ED" w:rsidRPr="00CE2137" w:rsidRDefault="001837A6" w:rsidP="009165ED">
      <w:pPr>
        <w:ind w:left="-360" w:right="42"/>
        <w:jc w:val="both"/>
      </w:pPr>
      <w:r w:rsidRPr="001837A6">
        <w:rPr>
          <w:noProof/>
        </w:rPr>
        <w:drawing>
          <wp:inline distT="0" distB="0" distL="0" distR="0">
            <wp:extent cx="2655570" cy="2250528"/>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655570" cy="2250528"/>
                    </a:xfrm>
                    <a:prstGeom prst="rect">
                      <a:avLst/>
                    </a:prstGeom>
                    <a:noFill/>
                    <a:ln w="9525">
                      <a:noFill/>
                      <a:miter lim="800000"/>
                      <a:headEnd/>
                      <a:tailEnd/>
                    </a:ln>
                  </pic:spPr>
                </pic:pic>
              </a:graphicData>
            </a:graphic>
          </wp:inline>
        </w:drawing>
      </w:r>
    </w:p>
    <w:p w:rsidR="009165ED" w:rsidRPr="00F85C3F" w:rsidRDefault="009165ED" w:rsidP="009165ED">
      <w:pPr>
        <w:ind w:left="-360" w:right="42"/>
        <w:jc w:val="both"/>
        <w:rPr>
          <w:sz w:val="16"/>
          <w:szCs w:val="16"/>
        </w:rPr>
      </w:pPr>
      <w:r w:rsidRPr="00F85C3F">
        <w:rPr>
          <w:sz w:val="16"/>
          <w:szCs w:val="16"/>
        </w:rPr>
        <w:t xml:space="preserve">Kaynak : </w:t>
      </w:r>
      <w:r w:rsidR="00DB4284" w:rsidRPr="00F85C3F">
        <w:rPr>
          <w:sz w:val="16"/>
          <w:szCs w:val="16"/>
        </w:rPr>
        <w:t>TCMB, TÜİK, Betam.</w:t>
      </w:r>
    </w:p>
    <w:p w:rsidR="009165ED" w:rsidRDefault="009165ED" w:rsidP="009165ED">
      <w:pPr>
        <w:spacing w:line="360" w:lineRule="auto"/>
        <w:ind w:right="42"/>
        <w:jc w:val="both"/>
        <w:rPr>
          <w:sz w:val="22"/>
          <w:szCs w:val="22"/>
        </w:rPr>
        <w:sectPr w:rsidR="009165ED" w:rsidSect="007067F4">
          <w:type w:val="continuous"/>
          <w:pgSz w:w="11906" w:h="16838"/>
          <w:pgMar w:top="1417" w:right="1417" w:bottom="1417" w:left="1417" w:header="708" w:footer="708" w:gutter="0"/>
          <w:cols w:num="2" w:space="708" w:equalWidth="0">
            <w:col w:w="4182" w:space="708"/>
            <w:col w:w="4182"/>
          </w:cols>
          <w:docGrid w:linePitch="360"/>
        </w:sectPr>
      </w:pPr>
    </w:p>
    <w:p w:rsidR="009165ED" w:rsidRDefault="009165ED" w:rsidP="009165ED">
      <w:pPr>
        <w:spacing w:line="360" w:lineRule="auto"/>
        <w:ind w:left="-360" w:right="42"/>
        <w:jc w:val="both"/>
        <w:rPr>
          <w:b/>
          <w:bCs/>
          <w:sz w:val="22"/>
          <w:szCs w:val="22"/>
        </w:rPr>
      </w:pPr>
    </w:p>
    <w:p w:rsidR="009165ED" w:rsidRPr="00143024" w:rsidRDefault="009165ED" w:rsidP="009165ED">
      <w:pPr>
        <w:ind w:left="-360" w:right="42"/>
      </w:pPr>
      <w:r>
        <w:rPr>
          <w:sz w:val="18"/>
          <w:szCs w:val="18"/>
        </w:rPr>
        <w:tab/>
      </w:r>
      <w:r>
        <w:rPr>
          <w:sz w:val="18"/>
          <w:szCs w:val="18"/>
        </w:rPr>
        <w:tab/>
      </w:r>
      <w:r>
        <w:rPr>
          <w:sz w:val="18"/>
          <w:szCs w:val="18"/>
        </w:rPr>
        <w:tab/>
      </w:r>
    </w:p>
    <w:p w:rsidR="009165ED" w:rsidRDefault="009165ED" w:rsidP="009165ED">
      <w:pPr>
        <w:ind w:left="-360" w:right="42"/>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Pr="00EC248D" w:rsidRDefault="00DB4284" w:rsidP="009165ED">
      <w:pPr>
        <w:spacing w:line="360" w:lineRule="auto"/>
        <w:ind w:left="-360" w:right="42"/>
        <w:jc w:val="both"/>
        <w:rPr>
          <w:b/>
          <w:bCs/>
          <w:sz w:val="22"/>
          <w:szCs w:val="22"/>
        </w:rPr>
      </w:pPr>
      <w:r>
        <w:rPr>
          <w:b/>
          <w:bCs/>
          <w:sz w:val="22"/>
          <w:szCs w:val="22"/>
        </w:rPr>
        <w:lastRenderedPageBreak/>
        <w:t>Şekil 5</w:t>
      </w:r>
      <w:r w:rsidR="009165ED">
        <w:rPr>
          <w:b/>
          <w:bCs/>
          <w:sz w:val="22"/>
          <w:szCs w:val="22"/>
        </w:rPr>
        <w:t>: B</w:t>
      </w:r>
      <w:r w:rsidR="009165ED" w:rsidRPr="00EC248D">
        <w:rPr>
          <w:b/>
          <w:bCs/>
          <w:sz w:val="22"/>
          <w:szCs w:val="22"/>
        </w:rPr>
        <w:t>ankalarca TL üzerinden açılan kredilere uygulanan ort</w:t>
      </w:r>
      <w:r w:rsidR="009165ED">
        <w:rPr>
          <w:b/>
          <w:bCs/>
          <w:sz w:val="22"/>
          <w:szCs w:val="22"/>
        </w:rPr>
        <w:t>a</w:t>
      </w:r>
      <w:r w:rsidR="009165ED" w:rsidRPr="00EC248D">
        <w:rPr>
          <w:b/>
          <w:bCs/>
          <w:sz w:val="22"/>
          <w:szCs w:val="22"/>
        </w:rPr>
        <w:t>lama faiz oranları</w:t>
      </w:r>
    </w:p>
    <w:p w:rsidR="009165ED" w:rsidRDefault="001837A6" w:rsidP="00731730">
      <w:pPr>
        <w:ind w:left="-360" w:right="42"/>
        <w:rPr>
          <w:noProof/>
          <w:sz w:val="20"/>
          <w:szCs w:val="20"/>
        </w:rPr>
      </w:pPr>
      <w:r w:rsidRPr="001837A6">
        <w:rPr>
          <w:noProof/>
          <w:szCs w:val="20"/>
        </w:rPr>
        <w:drawing>
          <wp:inline distT="0" distB="0" distL="0" distR="0">
            <wp:extent cx="5760720" cy="2973562"/>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60720" cy="2973562"/>
                    </a:xfrm>
                    <a:prstGeom prst="rect">
                      <a:avLst/>
                    </a:prstGeom>
                    <a:noFill/>
                    <a:ln w="9525">
                      <a:noFill/>
                      <a:miter lim="800000"/>
                      <a:headEnd/>
                      <a:tailEnd/>
                    </a:ln>
                  </pic:spPr>
                </pic:pic>
              </a:graphicData>
            </a:graphic>
          </wp:inline>
        </w:drawing>
      </w:r>
    </w:p>
    <w:p w:rsidR="009165ED" w:rsidRPr="00F85C3F" w:rsidRDefault="009165ED" w:rsidP="009165ED">
      <w:pPr>
        <w:ind w:left="-360" w:right="42"/>
        <w:rPr>
          <w:sz w:val="16"/>
          <w:szCs w:val="16"/>
        </w:rPr>
      </w:pPr>
      <w:r w:rsidRPr="00F85C3F">
        <w:rPr>
          <w:sz w:val="16"/>
          <w:szCs w:val="16"/>
        </w:rPr>
        <w:t>Kaynak : TCMB.</w:t>
      </w:r>
    </w:p>
    <w:p w:rsidR="000678F9" w:rsidRDefault="000678F9" w:rsidP="000678F9">
      <w:pPr>
        <w:spacing w:line="360" w:lineRule="auto"/>
        <w:ind w:left="-360" w:right="42"/>
        <w:jc w:val="both"/>
        <w:rPr>
          <w:b/>
          <w:bCs/>
          <w:sz w:val="22"/>
          <w:szCs w:val="22"/>
        </w:rPr>
      </w:pPr>
      <w:bookmarkStart w:id="0" w:name="_GoBack"/>
      <w:bookmarkEnd w:id="0"/>
    </w:p>
    <w:sectPr w:rsidR="000678F9" w:rsidSect="00E9738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47" w:rsidRDefault="00F72547">
      <w:r>
        <w:separator/>
      </w:r>
    </w:p>
  </w:endnote>
  <w:endnote w:type="continuationSeparator" w:id="0">
    <w:p w:rsidR="00F72547" w:rsidRDefault="00F72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1E" w:rsidRDefault="003234F0" w:rsidP="00D830C4">
    <w:pPr>
      <w:pStyle w:val="Footer"/>
      <w:framePr w:wrap="auto" w:vAnchor="text" w:hAnchor="margin" w:xAlign="right" w:y="1"/>
      <w:rPr>
        <w:rStyle w:val="PageNumber"/>
      </w:rPr>
    </w:pPr>
    <w:r>
      <w:rPr>
        <w:rStyle w:val="PageNumber"/>
      </w:rPr>
      <w:fldChar w:fldCharType="begin"/>
    </w:r>
    <w:r w:rsidR="00A1421E">
      <w:rPr>
        <w:rStyle w:val="PageNumber"/>
      </w:rPr>
      <w:instrText xml:space="preserve">PAGE  </w:instrText>
    </w:r>
    <w:r>
      <w:rPr>
        <w:rStyle w:val="PageNumber"/>
      </w:rPr>
      <w:fldChar w:fldCharType="separate"/>
    </w:r>
    <w:r w:rsidR="00FD30C8">
      <w:rPr>
        <w:rStyle w:val="PageNumber"/>
        <w:noProof/>
      </w:rPr>
      <w:t>4</w:t>
    </w:r>
    <w:r>
      <w:rPr>
        <w:rStyle w:val="PageNumber"/>
      </w:rPr>
      <w:fldChar w:fldCharType="end"/>
    </w:r>
  </w:p>
  <w:p w:rsidR="00A1421E" w:rsidRPr="007B51E3" w:rsidRDefault="00A1421E" w:rsidP="007B51E3">
    <w:pPr>
      <w:pStyle w:val="Footer"/>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47" w:rsidRDefault="00F72547">
      <w:r>
        <w:separator/>
      </w:r>
    </w:p>
  </w:footnote>
  <w:footnote w:type="continuationSeparator" w:id="0">
    <w:p w:rsidR="00F72547" w:rsidRDefault="00F72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57ECC"/>
    <w:rsid w:val="0000014A"/>
    <w:rsid w:val="000015B4"/>
    <w:rsid w:val="00001CF9"/>
    <w:rsid w:val="0000230B"/>
    <w:rsid w:val="00004860"/>
    <w:rsid w:val="00004B78"/>
    <w:rsid w:val="0000507C"/>
    <w:rsid w:val="0000704D"/>
    <w:rsid w:val="0001121A"/>
    <w:rsid w:val="000117B7"/>
    <w:rsid w:val="000144EB"/>
    <w:rsid w:val="00017809"/>
    <w:rsid w:val="000205A1"/>
    <w:rsid w:val="000208EA"/>
    <w:rsid w:val="000212AC"/>
    <w:rsid w:val="000217AE"/>
    <w:rsid w:val="000224B9"/>
    <w:rsid w:val="000233A7"/>
    <w:rsid w:val="00024559"/>
    <w:rsid w:val="000262EC"/>
    <w:rsid w:val="00026F21"/>
    <w:rsid w:val="00027FC3"/>
    <w:rsid w:val="000311C6"/>
    <w:rsid w:val="00031D72"/>
    <w:rsid w:val="0003248D"/>
    <w:rsid w:val="00033700"/>
    <w:rsid w:val="00034090"/>
    <w:rsid w:val="0003546D"/>
    <w:rsid w:val="000449FC"/>
    <w:rsid w:val="00045C5A"/>
    <w:rsid w:val="00047B99"/>
    <w:rsid w:val="00047E9F"/>
    <w:rsid w:val="0005037D"/>
    <w:rsid w:val="00050453"/>
    <w:rsid w:val="00052AD4"/>
    <w:rsid w:val="00052D7A"/>
    <w:rsid w:val="00054BD3"/>
    <w:rsid w:val="00056118"/>
    <w:rsid w:val="00056B3E"/>
    <w:rsid w:val="00060119"/>
    <w:rsid w:val="00061256"/>
    <w:rsid w:val="00061732"/>
    <w:rsid w:val="00063005"/>
    <w:rsid w:val="00064636"/>
    <w:rsid w:val="0006518B"/>
    <w:rsid w:val="00065B3C"/>
    <w:rsid w:val="000678F9"/>
    <w:rsid w:val="000716BA"/>
    <w:rsid w:val="000716CA"/>
    <w:rsid w:val="0007202B"/>
    <w:rsid w:val="00072407"/>
    <w:rsid w:val="00074648"/>
    <w:rsid w:val="00077A9D"/>
    <w:rsid w:val="00077FF4"/>
    <w:rsid w:val="00081E3F"/>
    <w:rsid w:val="00082FE4"/>
    <w:rsid w:val="000833C7"/>
    <w:rsid w:val="0008631D"/>
    <w:rsid w:val="000875E6"/>
    <w:rsid w:val="0009059A"/>
    <w:rsid w:val="000925B3"/>
    <w:rsid w:val="00096B4E"/>
    <w:rsid w:val="00097E2B"/>
    <w:rsid w:val="000A292B"/>
    <w:rsid w:val="000A399E"/>
    <w:rsid w:val="000A5675"/>
    <w:rsid w:val="000A687F"/>
    <w:rsid w:val="000A6907"/>
    <w:rsid w:val="000A701D"/>
    <w:rsid w:val="000A79A0"/>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F1B"/>
    <w:rsid w:val="000C5B7E"/>
    <w:rsid w:val="000C7B42"/>
    <w:rsid w:val="000D0C5A"/>
    <w:rsid w:val="000D17A2"/>
    <w:rsid w:val="000D1F14"/>
    <w:rsid w:val="000D56EB"/>
    <w:rsid w:val="000D5927"/>
    <w:rsid w:val="000E01ED"/>
    <w:rsid w:val="000E10A3"/>
    <w:rsid w:val="000E1F75"/>
    <w:rsid w:val="000E4E83"/>
    <w:rsid w:val="000E5365"/>
    <w:rsid w:val="000E631E"/>
    <w:rsid w:val="000E6807"/>
    <w:rsid w:val="000E74B5"/>
    <w:rsid w:val="000E7CBB"/>
    <w:rsid w:val="000F0C2B"/>
    <w:rsid w:val="000F2DB4"/>
    <w:rsid w:val="000F360E"/>
    <w:rsid w:val="000F396D"/>
    <w:rsid w:val="000F4941"/>
    <w:rsid w:val="000F5457"/>
    <w:rsid w:val="000F71D2"/>
    <w:rsid w:val="001007B5"/>
    <w:rsid w:val="001044D1"/>
    <w:rsid w:val="00106470"/>
    <w:rsid w:val="001075D1"/>
    <w:rsid w:val="00107FF7"/>
    <w:rsid w:val="001105B2"/>
    <w:rsid w:val="001117C6"/>
    <w:rsid w:val="0011236C"/>
    <w:rsid w:val="0011279B"/>
    <w:rsid w:val="00113C74"/>
    <w:rsid w:val="00114BC7"/>
    <w:rsid w:val="00117A11"/>
    <w:rsid w:val="00121017"/>
    <w:rsid w:val="00121ABE"/>
    <w:rsid w:val="0012262F"/>
    <w:rsid w:val="00123E71"/>
    <w:rsid w:val="0012410A"/>
    <w:rsid w:val="001251CC"/>
    <w:rsid w:val="00125FC6"/>
    <w:rsid w:val="001260D7"/>
    <w:rsid w:val="001261A8"/>
    <w:rsid w:val="001267DF"/>
    <w:rsid w:val="00130959"/>
    <w:rsid w:val="0013240F"/>
    <w:rsid w:val="00132E7B"/>
    <w:rsid w:val="001331CB"/>
    <w:rsid w:val="0013381D"/>
    <w:rsid w:val="00135B92"/>
    <w:rsid w:val="001360D1"/>
    <w:rsid w:val="001408D6"/>
    <w:rsid w:val="00140E1E"/>
    <w:rsid w:val="00141B1A"/>
    <w:rsid w:val="00141B88"/>
    <w:rsid w:val="00141B93"/>
    <w:rsid w:val="00143024"/>
    <w:rsid w:val="00143828"/>
    <w:rsid w:val="00143A92"/>
    <w:rsid w:val="00144285"/>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6E56"/>
    <w:rsid w:val="00177FE3"/>
    <w:rsid w:val="0018034E"/>
    <w:rsid w:val="00180C8C"/>
    <w:rsid w:val="00181B5A"/>
    <w:rsid w:val="00182F2B"/>
    <w:rsid w:val="00183507"/>
    <w:rsid w:val="001837A6"/>
    <w:rsid w:val="00183896"/>
    <w:rsid w:val="00186DB6"/>
    <w:rsid w:val="00190F20"/>
    <w:rsid w:val="0019159E"/>
    <w:rsid w:val="001938A7"/>
    <w:rsid w:val="0019538C"/>
    <w:rsid w:val="00197ACB"/>
    <w:rsid w:val="001A054B"/>
    <w:rsid w:val="001A2051"/>
    <w:rsid w:val="001A2B3D"/>
    <w:rsid w:val="001A3025"/>
    <w:rsid w:val="001A319A"/>
    <w:rsid w:val="001A4381"/>
    <w:rsid w:val="001A45BC"/>
    <w:rsid w:val="001A528A"/>
    <w:rsid w:val="001A6188"/>
    <w:rsid w:val="001A6206"/>
    <w:rsid w:val="001A772F"/>
    <w:rsid w:val="001B0683"/>
    <w:rsid w:val="001B0EF9"/>
    <w:rsid w:val="001B1CE5"/>
    <w:rsid w:val="001B2F96"/>
    <w:rsid w:val="001B30E0"/>
    <w:rsid w:val="001B34B5"/>
    <w:rsid w:val="001B3B49"/>
    <w:rsid w:val="001B3C7B"/>
    <w:rsid w:val="001B6AFA"/>
    <w:rsid w:val="001C184E"/>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4CFB"/>
    <w:rsid w:val="001F6F00"/>
    <w:rsid w:val="001F7144"/>
    <w:rsid w:val="001F71A5"/>
    <w:rsid w:val="001F7216"/>
    <w:rsid w:val="001F775A"/>
    <w:rsid w:val="0020167B"/>
    <w:rsid w:val="00204364"/>
    <w:rsid w:val="00206291"/>
    <w:rsid w:val="00207185"/>
    <w:rsid w:val="00207313"/>
    <w:rsid w:val="0020739E"/>
    <w:rsid w:val="00207C8A"/>
    <w:rsid w:val="00207CC3"/>
    <w:rsid w:val="0021387C"/>
    <w:rsid w:val="0021684B"/>
    <w:rsid w:val="002168E5"/>
    <w:rsid w:val="0021766E"/>
    <w:rsid w:val="002176C5"/>
    <w:rsid w:val="00217D35"/>
    <w:rsid w:val="00220B5E"/>
    <w:rsid w:val="00221184"/>
    <w:rsid w:val="00223A5B"/>
    <w:rsid w:val="002242A1"/>
    <w:rsid w:val="00224908"/>
    <w:rsid w:val="00226D50"/>
    <w:rsid w:val="002272CB"/>
    <w:rsid w:val="00231E92"/>
    <w:rsid w:val="00232243"/>
    <w:rsid w:val="0023312F"/>
    <w:rsid w:val="00233D56"/>
    <w:rsid w:val="00237255"/>
    <w:rsid w:val="0024030B"/>
    <w:rsid w:val="00241A67"/>
    <w:rsid w:val="00243212"/>
    <w:rsid w:val="00245B1F"/>
    <w:rsid w:val="00251885"/>
    <w:rsid w:val="00251DE2"/>
    <w:rsid w:val="00251E82"/>
    <w:rsid w:val="00252FAF"/>
    <w:rsid w:val="00253D39"/>
    <w:rsid w:val="00254A99"/>
    <w:rsid w:val="002569EA"/>
    <w:rsid w:val="0026114C"/>
    <w:rsid w:val="002614C1"/>
    <w:rsid w:val="00261A05"/>
    <w:rsid w:val="00262020"/>
    <w:rsid w:val="00264335"/>
    <w:rsid w:val="002654A6"/>
    <w:rsid w:val="00265BC9"/>
    <w:rsid w:val="002670FE"/>
    <w:rsid w:val="00267EB4"/>
    <w:rsid w:val="00273CB4"/>
    <w:rsid w:val="00273E62"/>
    <w:rsid w:val="00277E58"/>
    <w:rsid w:val="002802F2"/>
    <w:rsid w:val="002816C6"/>
    <w:rsid w:val="00281D8F"/>
    <w:rsid w:val="002820F1"/>
    <w:rsid w:val="00284A28"/>
    <w:rsid w:val="00285656"/>
    <w:rsid w:val="002871E8"/>
    <w:rsid w:val="00291C79"/>
    <w:rsid w:val="0029480C"/>
    <w:rsid w:val="00295AFF"/>
    <w:rsid w:val="00297710"/>
    <w:rsid w:val="00297712"/>
    <w:rsid w:val="002A05DB"/>
    <w:rsid w:val="002A1FA0"/>
    <w:rsid w:val="002A3EDD"/>
    <w:rsid w:val="002A49A3"/>
    <w:rsid w:val="002A4AF7"/>
    <w:rsid w:val="002A5D22"/>
    <w:rsid w:val="002A66ED"/>
    <w:rsid w:val="002B3129"/>
    <w:rsid w:val="002B3644"/>
    <w:rsid w:val="002B626B"/>
    <w:rsid w:val="002C236E"/>
    <w:rsid w:val="002C25CE"/>
    <w:rsid w:val="002C2DA3"/>
    <w:rsid w:val="002C4200"/>
    <w:rsid w:val="002C49EC"/>
    <w:rsid w:val="002C5F2D"/>
    <w:rsid w:val="002C7D04"/>
    <w:rsid w:val="002D1908"/>
    <w:rsid w:val="002D2F1A"/>
    <w:rsid w:val="002D3C8B"/>
    <w:rsid w:val="002D4158"/>
    <w:rsid w:val="002D584B"/>
    <w:rsid w:val="002E02BA"/>
    <w:rsid w:val="002E0E16"/>
    <w:rsid w:val="002E1EA4"/>
    <w:rsid w:val="002E205D"/>
    <w:rsid w:val="002E41FC"/>
    <w:rsid w:val="002E5D5E"/>
    <w:rsid w:val="002E6E82"/>
    <w:rsid w:val="002E6F28"/>
    <w:rsid w:val="002E6F87"/>
    <w:rsid w:val="002E7357"/>
    <w:rsid w:val="002E7860"/>
    <w:rsid w:val="002F150B"/>
    <w:rsid w:val="002F21C6"/>
    <w:rsid w:val="002F3718"/>
    <w:rsid w:val="002F3940"/>
    <w:rsid w:val="002F4648"/>
    <w:rsid w:val="002F467E"/>
    <w:rsid w:val="002F5134"/>
    <w:rsid w:val="002F5C24"/>
    <w:rsid w:val="002F61A9"/>
    <w:rsid w:val="003001AF"/>
    <w:rsid w:val="0030120F"/>
    <w:rsid w:val="00303A3C"/>
    <w:rsid w:val="003044A5"/>
    <w:rsid w:val="003051E6"/>
    <w:rsid w:val="00306265"/>
    <w:rsid w:val="00306F51"/>
    <w:rsid w:val="0031043B"/>
    <w:rsid w:val="003118F7"/>
    <w:rsid w:val="00312DB8"/>
    <w:rsid w:val="00312EB0"/>
    <w:rsid w:val="003134C3"/>
    <w:rsid w:val="003142BA"/>
    <w:rsid w:val="003146E6"/>
    <w:rsid w:val="0031673E"/>
    <w:rsid w:val="0031682C"/>
    <w:rsid w:val="00316CE9"/>
    <w:rsid w:val="00316DB4"/>
    <w:rsid w:val="003208B4"/>
    <w:rsid w:val="00320F7D"/>
    <w:rsid w:val="003223B0"/>
    <w:rsid w:val="00323169"/>
    <w:rsid w:val="003234F0"/>
    <w:rsid w:val="00323CA6"/>
    <w:rsid w:val="00324A91"/>
    <w:rsid w:val="00324C15"/>
    <w:rsid w:val="003269F7"/>
    <w:rsid w:val="003270D6"/>
    <w:rsid w:val="0033129D"/>
    <w:rsid w:val="00332DBD"/>
    <w:rsid w:val="003333BF"/>
    <w:rsid w:val="00333B98"/>
    <w:rsid w:val="00333C8E"/>
    <w:rsid w:val="00337AE5"/>
    <w:rsid w:val="0034012E"/>
    <w:rsid w:val="0034025B"/>
    <w:rsid w:val="00341195"/>
    <w:rsid w:val="0034251A"/>
    <w:rsid w:val="00342E6B"/>
    <w:rsid w:val="00344555"/>
    <w:rsid w:val="00344F97"/>
    <w:rsid w:val="0034543C"/>
    <w:rsid w:val="003466B0"/>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6A30"/>
    <w:rsid w:val="00375126"/>
    <w:rsid w:val="00375CC6"/>
    <w:rsid w:val="00376AC1"/>
    <w:rsid w:val="00376F93"/>
    <w:rsid w:val="00382F97"/>
    <w:rsid w:val="0038488E"/>
    <w:rsid w:val="00385F45"/>
    <w:rsid w:val="00390136"/>
    <w:rsid w:val="00392A7C"/>
    <w:rsid w:val="00394F60"/>
    <w:rsid w:val="00395F95"/>
    <w:rsid w:val="00396CE9"/>
    <w:rsid w:val="00397518"/>
    <w:rsid w:val="003A2B60"/>
    <w:rsid w:val="003A2C52"/>
    <w:rsid w:val="003A31B2"/>
    <w:rsid w:val="003A3575"/>
    <w:rsid w:val="003A3A61"/>
    <w:rsid w:val="003A5C17"/>
    <w:rsid w:val="003A6471"/>
    <w:rsid w:val="003A78A3"/>
    <w:rsid w:val="003B00C3"/>
    <w:rsid w:val="003B0F7E"/>
    <w:rsid w:val="003B199A"/>
    <w:rsid w:val="003B1BE8"/>
    <w:rsid w:val="003B2FC4"/>
    <w:rsid w:val="003B472B"/>
    <w:rsid w:val="003B4A44"/>
    <w:rsid w:val="003B5209"/>
    <w:rsid w:val="003B65FB"/>
    <w:rsid w:val="003B757A"/>
    <w:rsid w:val="003C2B2A"/>
    <w:rsid w:val="003C2BAF"/>
    <w:rsid w:val="003C3188"/>
    <w:rsid w:val="003C640D"/>
    <w:rsid w:val="003C6C41"/>
    <w:rsid w:val="003C7051"/>
    <w:rsid w:val="003C7C35"/>
    <w:rsid w:val="003D0AB6"/>
    <w:rsid w:val="003D0E64"/>
    <w:rsid w:val="003D1BAD"/>
    <w:rsid w:val="003D472B"/>
    <w:rsid w:val="003D7D0B"/>
    <w:rsid w:val="003D7E7F"/>
    <w:rsid w:val="003E4DF6"/>
    <w:rsid w:val="003E5EC3"/>
    <w:rsid w:val="003F1E42"/>
    <w:rsid w:val="003F47E3"/>
    <w:rsid w:val="003F503B"/>
    <w:rsid w:val="003F60C0"/>
    <w:rsid w:val="003F6C96"/>
    <w:rsid w:val="003F7185"/>
    <w:rsid w:val="003F7D4B"/>
    <w:rsid w:val="0040061A"/>
    <w:rsid w:val="00402158"/>
    <w:rsid w:val="00402270"/>
    <w:rsid w:val="004074ED"/>
    <w:rsid w:val="00412C49"/>
    <w:rsid w:val="00414443"/>
    <w:rsid w:val="00415FC4"/>
    <w:rsid w:val="00417092"/>
    <w:rsid w:val="00417568"/>
    <w:rsid w:val="00421D0B"/>
    <w:rsid w:val="00422927"/>
    <w:rsid w:val="004229DE"/>
    <w:rsid w:val="004239AE"/>
    <w:rsid w:val="00423E8F"/>
    <w:rsid w:val="004251B6"/>
    <w:rsid w:val="004259B8"/>
    <w:rsid w:val="00425C5D"/>
    <w:rsid w:val="004269DA"/>
    <w:rsid w:val="00432F82"/>
    <w:rsid w:val="00434618"/>
    <w:rsid w:val="00434B76"/>
    <w:rsid w:val="00435527"/>
    <w:rsid w:val="00435FF5"/>
    <w:rsid w:val="0043681C"/>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6C2F"/>
    <w:rsid w:val="004701D0"/>
    <w:rsid w:val="00470E4D"/>
    <w:rsid w:val="00474C08"/>
    <w:rsid w:val="00474D75"/>
    <w:rsid w:val="004764CC"/>
    <w:rsid w:val="004764EE"/>
    <w:rsid w:val="00476D76"/>
    <w:rsid w:val="004771EB"/>
    <w:rsid w:val="004814D5"/>
    <w:rsid w:val="004814F0"/>
    <w:rsid w:val="00482771"/>
    <w:rsid w:val="00483180"/>
    <w:rsid w:val="00483C58"/>
    <w:rsid w:val="00484222"/>
    <w:rsid w:val="00485F46"/>
    <w:rsid w:val="00494345"/>
    <w:rsid w:val="00495192"/>
    <w:rsid w:val="004A0D43"/>
    <w:rsid w:val="004A1818"/>
    <w:rsid w:val="004A4E4F"/>
    <w:rsid w:val="004A56E7"/>
    <w:rsid w:val="004A7750"/>
    <w:rsid w:val="004A7FE6"/>
    <w:rsid w:val="004B02B9"/>
    <w:rsid w:val="004B0B90"/>
    <w:rsid w:val="004B2F0D"/>
    <w:rsid w:val="004B30FB"/>
    <w:rsid w:val="004B3F80"/>
    <w:rsid w:val="004B40EE"/>
    <w:rsid w:val="004B4A27"/>
    <w:rsid w:val="004C0A8D"/>
    <w:rsid w:val="004C2024"/>
    <w:rsid w:val="004C25F6"/>
    <w:rsid w:val="004C357C"/>
    <w:rsid w:val="004C62C6"/>
    <w:rsid w:val="004D100D"/>
    <w:rsid w:val="004D2626"/>
    <w:rsid w:val="004D3901"/>
    <w:rsid w:val="004D3F5D"/>
    <w:rsid w:val="004D67C5"/>
    <w:rsid w:val="004D6E34"/>
    <w:rsid w:val="004D7E65"/>
    <w:rsid w:val="004E00D0"/>
    <w:rsid w:val="004E07DC"/>
    <w:rsid w:val="004E0851"/>
    <w:rsid w:val="004E0939"/>
    <w:rsid w:val="004E1AB5"/>
    <w:rsid w:val="004E1AE2"/>
    <w:rsid w:val="004E5446"/>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3472"/>
    <w:rsid w:val="00513FBF"/>
    <w:rsid w:val="00516576"/>
    <w:rsid w:val="0051750C"/>
    <w:rsid w:val="00522063"/>
    <w:rsid w:val="00522ED0"/>
    <w:rsid w:val="00523C58"/>
    <w:rsid w:val="005253A2"/>
    <w:rsid w:val="0052557E"/>
    <w:rsid w:val="00526CC9"/>
    <w:rsid w:val="0052770E"/>
    <w:rsid w:val="005310F8"/>
    <w:rsid w:val="0053163F"/>
    <w:rsid w:val="00534CA7"/>
    <w:rsid w:val="00535BAD"/>
    <w:rsid w:val="00536008"/>
    <w:rsid w:val="00536B3B"/>
    <w:rsid w:val="00537DBB"/>
    <w:rsid w:val="005429D2"/>
    <w:rsid w:val="005435C8"/>
    <w:rsid w:val="00543E56"/>
    <w:rsid w:val="00544A5C"/>
    <w:rsid w:val="005470EC"/>
    <w:rsid w:val="00550399"/>
    <w:rsid w:val="00552380"/>
    <w:rsid w:val="00556328"/>
    <w:rsid w:val="00563399"/>
    <w:rsid w:val="0056591F"/>
    <w:rsid w:val="00571282"/>
    <w:rsid w:val="00571E9F"/>
    <w:rsid w:val="00573C3B"/>
    <w:rsid w:val="00574E1B"/>
    <w:rsid w:val="00583974"/>
    <w:rsid w:val="0058722C"/>
    <w:rsid w:val="0058799A"/>
    <w:rsid w:val="00587F62"/>
    <w:rsid w:val="00590149"/>
    <w:rsid w:val="00592FD2"/>
    <w:rsid w:val="00593B80"/>
    <w:rsid w:val="00596A1C"/>
    <w:rsid w:val="00596FDB"/>
    <w:rsid w:val="005A06D3"/>
    <w:rsid w:val="005A0AF8"/>
    <w:rsid w:val="005A0E6F"/>
    <w:rsid w:val="005A1E77"/>
    <w:rsid w:val="005A2B2E"/>
    <w:rsid w:val="005A3E49"/>
    <w:rsid w:val="005A4714"/>
    <w:rsid w:val="005A47EC"/>
    <w:rsid w:val="005B551F"/>
    <w:rsid w:val="005B5D93"/>
    <w:rsid w:val="005B66C8"/>
    <w:rsid w:val="005C0A9A"/>
    <w:rsid w:val="005C11DE"/>
    <w:rsid w:val="005C28BC"/>
    <w:rsid w:val="005C4EA4"/>
    <w:rsid w:val="005D0287"/>
    <w:rsid w:val="005D0AD6"/>
    <w:rsid w:val="005D39F3"/>
    <w:rsid w:val="005D7E62"/>
    <w:rsid w:val="005E0596"/>
    <w:rsid w:val="005E13DF"/>
    <w:rsid w:val="005E1D9A"/>
    <w:rsid w:val="005E2983"/>
    <w:rsid w:val="005E3EE4"/>
    <w:rsid w:val="005F03CC"/>
    <w:rsid w:val="005F2063"/>
    <w:rsid w:val="005F2279"/>
    <w:rsid w:val="005F2A5B"/>
    <w:rsid w:val="005F31BE"/>
    <w:rsid w:val="005F36AB"/>
    <w:rsid w:val="005F700B"/>
    <w:rsid w:val="006007C7"/>
    <w:rsid w:val="00600B5F"/>
    <w:rsid w:val="00600FFC"/>
    <w:rsid w:val="006015A3"/>
    <w:rsid w:val="00601C31"/>
    <w:rsid w:val="00602BC6"/>
    <w:rsid w:val="00602EB0"/>
    <w:rsid w:val="00603311"/>
    <w:rsid w:val="00603C6D"/>
    <w:rsid w:val="006040ED"/>
    <w:rsid w:val="00604415"/>
    <w:rsid w:val="006079B9"/>
    <w:rsid w:val="00613A11"/>
    <w:rsid w:val="00613B72"/>
    <w:rsid w:val="0061706E"/>
    <w:rsid w:val="0062291A"/>
    <w:rsid w:val="00622AA8"/>
    <w:rsid w:val="006237CF"/>
    <w:rsid w:val="00623B31"/>
    <w:rsid w:val="00623C7E"/>
    <w:rsid w:val="0062575D"/>
    <w:rsid w:val="0063164E"/>
    <w:rsid w:val="006335A2"/>
    <w:rsid w:val="00635FF5"/>
    <w:rsid w:val="00636375"/>
    <w:rsid w:val="0064166F"/>
    <w:rsid w:val="00643C4C"/>
    <w:rsid w:val="00644764"/>
    <w:rsid w:val="0064549C"/>
    <w:rsid w:val="0064601A"/>
    <w:rsid w:val="00647676"/>
    <w:rsid w:val="00647DB4"/>
    <w:rsid w:val="006502E3"/>
    <w:rsid w:val="00653E7B"/>
    <w:rsid w:val="00655823"/>
    <w:rsid w:val="00660F48"/>
    <w:rsid w:val="00665640"/>
    <w:rsid w:val="0066619C"/>
    <w:rsid w:val="006702D1"/>
    <w:rsid w:val="006704F7"/>
    <w:rsid w:val="00670A74"/>
    <w:rsid w:val="006713C0"/>
    <w:rsid w:val="006717CE"/>
    <w:rsid w:val="00674304"/>
    <w:rsid w:val="00674779"/>
    <w:rsid w:val="00676D51"/>
    <w:rsid w:val="00676EAB"/>
    <w:rsid w:val="0067747F"/>
    <w:rsid w:val="00680C1A"/>
    <w:rsid w:val="006811DC"/>
    <w:rsid w:val="006836A7"/>
    <w:rsid w:val="00683A24"/>
    <w:rsid w:val="006868AD"/>
    <w:rsid w:val="00691D96"/>
    <w:rsid w:val="00692D34"/>
    <w:rsid w:val="00693B96"/>
    <w:rsid w:val="00695F24"/>
    <w:rsid w:val="00696507"/>
    <w:rsid w:val="0069688D"/>
    <w:rsid w:val="0069776E"/>
    <w:rsid w:val="006A2CBF"/>
    <w:rsid w:val="006A507F"/>
    <w:rsid w:val="006A53AA"/>
    <w:rsid w:val="006A7193"/>
    <w:rsid w:val="006B08B4"/>
    <w:rsid w:val="006B12C5"/>
    <w:rsid w:val="006B1F6D"/>
    <w:rsid w:val="006B2978"/>
    <w:rsid w:val="006B30D5"/>
    <w:rsid w:val="006B4323"/>
    <w:rsid w:val="006B6367"/>
    <w:rsid w:val="006B7A8F"/>
    <w:rsid w:val="006C034B"/>
    <w:rsid w:val="006C2AB7"/>
    <w:rsid w:val="006C372B"/>
    <w:rsid w:val="006C38D6"/>
    <w:rsid w:val="006C4184"/>
    <w:rsid w:val="006C6C6F"/>
    <w:rsid w:val="006C74FB"/>
    <w:rsid w:val="006D416F"/>
    <w:rsid w:val="006E0C79"/>
    <w:rsid w:val="006E3384"/>
    <w:rsid w:val="006E4051"/>
    <w:rsid w:val="006E480B"/>
    <w:rsid w:val="006E5E68"/>
    <w:rsid w:val="006F0B18"/>
    <w:rsid w:val="006F1A82"/>
    <w:rsid w:val="006F2049"/>
    <w:rsid w:val="006F278A"/>
    <w:rsid w:val="006F33D4"/>
    <w:rsid w:val="006F3608"/>
    <w:rsid w:val="006F39D1"/>
    <w:rsid w:val="006F3ECA"/>
    <w:rsid w:val="006F49FC"/>
    <w:rsid w:val="006F7FE6"/>
    <w:rsid w:val="00701A0C"/>
    <w:rsid w:val="00702823"/>
    <w:rsid w:val="00702DFC"/>
    <w:rsid w:val="007037E4"/>
    <w:rsid w:val="0070556E"/>
    <w:rsid w:val="00705CE7"/>
    <w:rsid w:val="007067F4"/>
    <w:rsid w:val="0070704B"/>
    <w:rsid w:val="007103A2"/>
    <w:rsid w:val="00710B36"/>
    <w:rsid w:val="00712041"/>
    <w:rsid w:val="00713CBF"/>
    <w:rsid w:val="007169B6"/>
    <w:rsid w:val="00721276"/>
    <w:rsid w:val="00724574"/>
    <w:rsid w:val="00725236"/>
    <w:rsid w:val="0072768C"/>
    <w:rsid w:val="00731730"/>
    <w:rsid w:val="007323C8"/>
    <w:rsid w:val="007343EE"/>
    <w:rsid w:val="0073536D"/>
    <w:rsid w:val="007357A6"/>
    <w:rsid w:val="00742130"/>
    <w:rsid w:val="0074346F"/>
    <w:rsid w:val="007440DB"/>
    <w:rsid w:val="00745E22"/>
    <w:rsid w:val="0074648A"/>
    <w:rsid w:val="00747A9B"/>
    <w:rsid w:val="007501A9"/>
    <w:rsid w:val="0075074A"/>
    <w:rsid w:val="007522D9"/>
    <w:rsid w:val="00752330"/>
    <w:rsid w:val="00753469"/>
    <w:rsid w:val="0075405B"/>
    <w:rsid w:val="00755623"/>
    <w:rsid w:val="00755D28"/>
    <w:rsid w:val="0075696F"/>
    <w:rsid w:val="00760A4B"/>
    <w:rsid w:val="00761767"/>
    <w:rsid w:val="007633AA"/>
    <w:rsid w:val="007652AE"/>
    <w:rsid w:val="00767D6E"/>
    <w:rsid w:val="00770580"/>
    <w:rsid w:val="00770D1C"/>
    <w:rsid w:val="007750EF"/>
    <w:rsid w:val="00776484"/>
    <w:rsid w:val="00777955"/>
    <w:rsid w:val="007806C4"/>
    <w:rsid w:val="00781E83"/>
    <w:rsid w:val="00781ECE"/>
    <w:rsid w:val="00783C9A"/>
    <w:rsid w:val="00783CDF"/>
    <w:rsid w:val="00785375"/>
    <w:rsid w:val="00786067"/>
    <w:rsid w:val="007906E2"/>
    <w:rsid w:val="00790FFD"/>
    <w:rsid w:val="0079170E"/>
    <w:rsid w:val="007956C2"/>
    <w:rsid w:val="007975D4"/>
    <w:rsid w:val="00797B31"/>
    <w:rsid w:val="007A311A"/>
    <w:rsid w:val="007A35F3"/>
    <w:rsid w:val="007A36DD"/>
    <w:rsid w:val="007A6307"/>
    <w:rsid w:val="007A69DC"/>
    <w:rsid w:val="007B14EF"/>
    <w:rsid w:val="007B19BC"/>
    <w:rsid w:val="007B1EEE"/>
    <w:rsid w:val="007B4C7C"/>
    <w:rsid w:val="007B51E3"/>
    <w:rsid w:val="007B579E"/>
    <w:rsid w:val="007B6D85"/>
    <w:rsid w:val="007B7BF7"/>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5E9A"/>
    <w:rsid w:val="007E6A0D"/>
    <w:rsid w:val="007F1E8F"/>
    <w:rsid w:val="007F4136"/>
    <w:rsid w:val="007F4F91"/>
    <w:rsid w:val="007F50E5"/>
    <w:rsid w:val="007F525C"/>
    <w:rsid w:val="007F681A"/>
    <w:rsid w:val="00801F91"/>
    <w:rsid w:val="00804CB9"/>
    <w:rsid w:val="00805A82"/>
    <w:rsid w:val="00807D3E"/>
    <w:rsid w:val="00814196"/>
    <w:rsid w:val="00814DA3"/>
    <w:rsid w:val="00815549"/>
    <w:rsid w:val="008161FE"/>
    <w:rsid w:val="00816C3F"/>
    <w:rsid w:val="00817438"/>
    <w:rsid w:val="00820F9B"/>
    <w:rsid w:val="00821B78"/>
    <w:rsid w:val="00822C11"/>
    <w:rsid w:val="00823931"/>
    <w:rsid w:val="00825F84"/>
    <w:rsid w:val="0082670B"/>
    <w:rsid w:val="00826C7D"/>
    <w:rsid w:val="00826E1D"/>
    <w:rsid w:val="008275B7"/>
    <w:rsid w:val="00830339"/>
    <w:rsid w:val="008322F7"/>
    <w:rsid w:val="008332DD"/>
    <w:rsid w:val="00833B68"/>
    <w:rsid w:val="00833EB5"/>
    <w:rsid w:val="00835E44"/>
    <w:rsid w:val="008372B3"/>
    <w:rsid w:val="00837A59"/>
    <w:rsid w:val="008400B9"/>
    <w:rsid w:val="00842957"/>
    <w:rsid w:val="0084320B"/>
    <w:rsid w:val="008432FC"/>
    <w:rsid w:val="00843330"/>
    <w:rsid w:val="00844517"/>
    <w:rsid w:val="008446FE"/>
    <w:rsid w:val="00850769"/>
    <w:rsid w:val="0085533A"/>
    <w:rsid w:val="00856509"/>
    <w:rsid w:val="00860D72"/>
    <w:rsid w:val="00860E25"/>
    <w:rsid w:val="00860E50"/>
    <w:rsid w:val="00862B92"/>
    <w:rsid w:val="00864323"/>
    <w:rsid w:val="008646F5"/>
    <w:rsid w:val="008651A8"/>
    <w:rsid w:val="00870A39"/>
    <w:rsid w:val="00872D6D"/>
    <w:rsid w:val="0088522E"/>
    <w:rsid w:val="00885634"/>
    <w:rsid w:val="00885D0C"/>
    <w:rsid w:val="0089029A"/>
    <w:rsid w:val="00890713"/>
    <w:rsid w:val="00892423"/>
    <w:rsid w:val="00893282"/>
    <w:rsid w:val="008937F7"/>
    <w:rsid w:val="00893BD5"/>
    <w:rsid w:val="00893EE3"/>
    <w:rsid w:val="00895DD8"/>
    <w:rsid w:val="008977F0"/>
    <w:rsid w:val="008A0F64"/>
    <w:rsid w:val="008A25ED"/>
    <w:rsid w:val="008A34AA"/>
    <w:rsid w:val="008A38AB"/>
    <w:rsid w:val="008A74B0"/>
    <w:rsid w:val="008B0C8D"/>
    <w:rsid w:val="008B1D17"/>
    <w:rsid w:val="008B20AA"/>
    <w:rsid w:val="008B372B"/>
    <w:rsid w:val="008B39CE"/>
    <w:rsid w:val="008B7181"/>
    <w:rsid w:val="008B7A03"/>
    <w:rsid w:val="008C0DBE"/>
    <w:rsid w:val="008C17F4"/>
    <w:rsid w:val="008C1D9F"/>
    <w:rsid w:val="008C2C95"/>
    <w:rsid w:val="008C2D0B"/>
    <w:rsid w:val="008C2D77"/>
    <w:rsid w:val="008C6252"/>
    <w:rsid w:val="008C6E50"/>
    <w:rsid w:val="008D28DD"/>
    <w:rsid w:val="008D3976"/>
    <w:rsid w:val="008E2216"/>
    <w:rsid w:val="008E252E"/>
    <w:rsid w:val="008E31DD"/>
    <w:rsid w:val="008E339A"/>
    <w:rsid w:val="008E4779"/>
    <w:rsid w:val="008E4B91"/>
    <w:rsid w:val="008E4DDE"/>
    <w:rsid w:val="008E63CB"/>
    <w:rsid w:val="008E7B64"/>
    <w:rsid w:val="008E7C39"/>
    <w:rsid w:val="008F208D"/>
    <w:rsid w:val="008F4166"/>
    <w:rsid w:val="008F485A"/>
    <w:rsid w:val="008F6889"/>
    <w:rsid w:val="00900BD4"/>
    <w:rsid w:val="009010CB"/>
    <w:rsid w:val="00901189"/>
    <w:rsid w:val="009014BB"/>
    <w:rsid w:val="00901532"/>
    <w:rsid w:val="00902C59"/>
    <w:rsid w:val="00903097"/>
    <w:rsid w:val="00905111"/>
    <w:rsid w:val="00906149"/>
    <w:rsid w:val="00906F88"/>
    <w:rsid w:val="00910940"/>
    <w:rsid w:val="009125B5"/>
    <w:rsid w:val="00914DE2"/>
    <w:rsid w:val="009158BC"/>
    <w:rsid w:val="009165ED"/>
    <w:rsid w:val="00916619"/>
    <w:rsid w:val="00917893"/>
    <w:rsid w:val="009224F5"/>
    <w:rsid w:val="00922C21"/>
    <w:rsid w:val="00923AE7"/>
    <w:rsid w:val="00923BA4"/>
    <w:rsid w:val="00924D1B"/>
    <w:rsid w:val="0092546B"/>
    <w:rsid w:val="00932513"/>
    <w:rsid w:val="00934BE6"/>
    <w:rsid w:val="00934EC4"/>
    <w:rsid w:val="00935355"/>
    <w:rsid w:val="0093560C"/>
    <w:rsid w:val="00936426"/>
    <w:rsid w:val="00936733"/>
    <w:rsid w:val="00937243"/>
    <w:rsid w:val="009438A8"/>
    <w:rsid w:val="00944BB8"/>
    <w:rsid w:val="00946534"/>
    <w:rsid w:val="00947D91"/>
    <w:rsid w:val="00947DB1"/>
    <w:rsid w:val="00952B02"/>
    <w:rsid w:val="00953B15"/>
    <w:rsid w:val="00953CFA"/>
    <w:rsid w:val="00953ED7"/>
    <w:rsid w:val="009543EE"/>
    <w:rsid w:val="00963350"/>
    <w:rsid w:val="00963AB5"/>
    <w:rsid w:val="00964F65"/>
    <w:rsid w:val="00965891"/>
    <w:rsid w:val="00965C0E"/>
    <w:rsid w:val="00966E7C"/>
    <w:rsid w:val="00970392"/>
    <w:rsid w:val="00970E4E"/>
    <w:rsid w:val="00971D26"/>
    <w:rsid w:val="009725C8"/>
    <w:rsid w:val="00973503"/>
    <w:rsid w:val="0097445D"/>
    <w:rsid w:val="00974C42"/>
    <w:rsid w:val="0097517E"/>
    <w:rsid w:val="00977548"/>
    <w:rsid w:val="0097770C"/>
    <w:rsid w:val="009805A1"/>
    <w:rsid w:val="00982D1E"/>
    <w:rsid w:val="00983748"/>
    <w:rsid w:val="00985758"/>
    <w:rsid w:val="00985C16"/>
    <w:rsid w:val="00985C5E"/>
    <w:rsid w:val="00987648"/>
    <w:rsid w:val="00990455"/>
    <w:rsid w:val="00991D31"/>
    <w:rsid w:val="00993CD6"/>
    <w:rsid w:val="009946C1"/>
    <w:rsid w:val="00995F40"/>
    <w:rsid w:val="00995FA5"/>
    <w:rsid w:val="00996D4F"/>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436"/>
    <w:rsid w:val="009B6C3A"/>
    <w:rsid w:val="009C1700"/>
    <w:rsid w:val="009C1E63"/>
    <w:rsid w:val="009C3D1C"/>
    <w:rsid w:val="009C5A53"/>
    <w:rsid w:val="009C5B58"/>
    <w:rsid w:val="009D1323"/>
    <w:rsid w:val="009D24A5"/>
    <w:rsid w:val="009D2B42"/>
    <w:rsid w:val="009D30C5"/>
    <w:rsid w:val="009D3B55"/>
    <w:rsid w:val="009D42E8"/>
    <w:rsid w:val="009D54DD"/>
    <w:rsid w:val="009D7D1D"/>
    <w:rsid w:val="009E001E"/>
    <w:rsid w:val="009E04AB"/>
    <w:rsid w:val="009E2A57"/>
    <w:rsid w:val="009E4B4A"/>
    <w:rsid w:val="009F0111"/>
    <w:rsid w:val="009F10CC"/>
    <w:rsid w:val="009F1D45"/>
    <w:rsid w:val="009F3AF4"/>
    <w:rsid w:val="009F44C0"/>
    <w:rsid w:val="009F4848"/>
    <w:rsid w:val="009F48FB"/>
    <w:rsid w:val="009F6003"/>
    <w:rsid w:val="00A005E9"/>
    <w:rsid w:val="00A007F2"/>
    <w:rsid w:val="00A0089E"/>
    <w:rsid w:val="00A0243A"/>
    <w:rsid w:val="00A05AB1"/>
    <w:rsid w:val="00A05DEF"/>
    <w:rsid w:val="00A06C55"/>
    <w:rsid w:val="00A0768E"/>
    <w:rsid w:val="00A11474"/>
    <w:rsid w:val="00A127F7"/>
    <w:rsid w:val="00A1421E"/>
    <w:rsid w:val="00A15634"/>
    <w:rsid w:val="00A158E0"/>
    <w:rsid w:val="00A15C76"/>
    <w:rsid w:val="00A17B41"/>
    <w:rsid w:val="00A208D0"/>
    <w:rsid w:val="00A21872"/>
    <w:rsid w:val="00A22568"/>
    <w:rsid w:val="00A23750"/>
    <w:rsid w:val="00A24179"/>
    <w:rsid w:val="00A24957"/>
    <w:rsid w:val="00A26C29"/>
    <w:rsid w:val="00A302B8"/>
    <w:rsid w:val="00A31CEE"/>
    <w:rsid w:val="00A3472C"/>
    <w:rsid w:val="00A35FDD"/>
    <w:rsid w:val="00A36846"/>
    <w:rsid w:val="00A4176C"/>
    <w:rsid w:val="00A42300"/>
    <w:rsid w:val="00A42E31"/>
    <w:rsid w:val="00A43507"/>
    <w:rsid w:val="00A440D7"/>
    <w:rsid w:val="00A44366"/>
    <w:rsid w:val="00A47817"/>
    <w:rsid w:val="00A50B48"/>
    <w:rsid w:val="00A52995"/>
    <w:rsid w:val="00A5424F"/>
    <w:rsid w:val="00A551E2"/>
    <w:rsid w:val="00A56A82"/>
    <w:rsid w:val="00A56C6E"/>
    <w:rsid w:val="00A60D5C"/>
    <w:rsid w:val="00A61240"/>
    <w:rsid w:val="00A61A84"/>
    <w:rsid w:val="00A646B7"/>
    <w:rsid w:val="00A648F9"/>
    <w:rsid w:val="00A656AC"/>
    <w:rsid w:val="00A66174"/>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082F"/>
    <w:rsid w:val="00A92ABA"/>
    <w:rsid w:val="00A946B4"/>
    <w:rsid w:val="00A94A4A"/>
    <w:rsid w:val="00A95141"/>
    <w:rsid w:val="00A9533A"/>
    <w:rsid w:val="00A95966"/>
    <w:rsid w:val="00A9596F"/>
    <w:rsid w:val="00A95AFE"/>
    <w:rsid w:val="00AA07CE"/>
    <w:rsid w:val="00AA1D15"/>
    <w:rsid w:val="00AA2CBB"/>
    <w:rsid w:val="00AA4C29"/>
    <w:rsid w:val="00AA6805"/>
    <w:rsid w:val="00AA733B"/>
    <w:rsid w:val="00AA7B19"/>
    <w:rsid w:val="00AB039C"/>
    <w:rsid w:val="00AB1830"/>
    <w:rsid w:val="00AB257C"/>
    <w:rsid w:val="00AB3495"/>
    <w:rsid w:val="00AB5986"/>
    <w:rsid w:val="00AB5C72"/>
    <w:rsid w:val="00AB621E"/>
    <w:rsid w:val="00AC042A"/>
    <w:rsid w:val="00AC1F06"/>
    <w:rsid w:val="00AC35DA"/>
    <w:rsid w:val="00AC5A27"/>
    <w:rsid w:val="00AC6123"/>
    <w:rsid w:val="00AD16EF"/>
    <w:rsid w:val="00AD17F9"/>
    <w:rsid w:val="00AD261F"/>
    <w:rsid w:val="00AD31C3"/>
    <w:rsid w:val="00AD323C"/>
    <w:rsid w:val="00AD3B9A"/>
    <w:rsid w:val="00AD6CCB"/>
    <w:rsid w:val="00AE07AD"/>
    <w:rsid w:val="00AE1B12"/>
    <w:rsid w:val="00AE3819"/>
    <w:rsid w:val="00AF0A2F"/>
    <w:rsid w:val="00AF2D7A"/>
    <w:rsid w:val="00AF34E9"/>
    <w:rsid w:val="00AF418F"/>
    <w:rsid w:val="00AF501D"/>
    <w:rsid w:val="00AF5731"/>
    <w:rsid w:val="00AF60F6"/>
    <w:rsid w:val="00B01D63"/>
    <w:rsid w:val="00B0213C"/>
    <w:rsid w:val="00B03004"/>
    <w:rsid w:val="00B035ED"/>
    <w:rsid w:val="00B075E0"/>
    <w:rsid w:val="00B112C4"/>
    <w:rsid w:val="00B14A7B"/>
    <w:rsid w:val="00B14F53"/>
    <w:rsid w:val="00B15E16"/>
    <w:rsid w:val="00B169C6"/>
    <w:rsid w:val="00B16F1E"/>
    <w:rsid w:val="00B1799D"/>
    <w:rsid w:val="00B17F4D"/>
    <w:rsid w:val="00B20A56"/>
    <w:rsid w:val="00B20E32"/>
    <w:rsid w:val="00B22E31"/>
    <w:rsid w:val="00B25C94"/>
    <w:rsid w:val="00B260EF"/>
    <w:rsid w:val="00B26538"/>
    <w:rsid w:val="00B27614"/>
    <w:rsid w:val="00B32405"/>
    <w:rsid w:val="00B33409"/>
    <w:rsid w:val="00B35D10"/>
    <w:rsid w:val="00B3606E"/>
    <w:rsid w:val="00B377EE"/>
    <w:rsid w:val="00B37C34"/>
    <w:rsid w:val="00B41700"/>
    <w:rsid w:val="00B503A1"/>
    <w:rsid w:val="00B54539"/>
    <w:rsid w:val="00B546A7"/>
    <w:rsid w:val="00B63DCD"/>
    <w:rsid w:val="00B64754"/>
    <w:rsid w:val="00B64FED"/>
    <w:rsid w:val="00B65E49"/>
    <w:rsid w:val="00B66C47"/>
    <w:rsid w:val="00B678AE"/>
    <w:rsid w:val="00B734A4"/>
    <w:rsid w:val="00B7373D"/>
    <w:rsid w:val="00B73B5E"/>
    <w:rsid w:val="00B7481B"/>
    <w:rsid w:val="00B7575B"/>
    <w:rsid w:val="00B75E88"/>
    <w:rsid w:val="00B76583"/>
    <w:rsid w:val="00B76B6D"/>
    <w:rsid w:val="00B818D8"/>
    <w:rsid w:val="00B82283"/>
    <w:rsid w:val="00B8309A"/>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3190"/>
    <w:rsid w:val="00BA5D76"/>
    <w:rsid w:val="00BA7AE8"/>
    <w:rsid w:val="00BB0F72"/>
    <w:rsid w:val="00BB1893"/>
    <w:rsid w:val="00BB6BD3"/>
    <w:rsid w:val="00BB7F10"/>
    <w:rsid w:val="00BC30A4"/>
    <w:rsid w:val="00BC6253"/>
    <w:rsid w:val="00BD003A"/>
    <w:rsid w:val="00BD0A78"/>
    <w:rsid w:val="00BD2DA9"/>
    <w:rsid w:val="00BD2F15"/>
    <w:rsid w:val="00BD317C"/>
    <w:rsid w:val="00BD4012"/>
    <w:rsid w:val="00BD4C7C"/>
    <w:rsid w:val="00BD56EA"/>
    <w:rsid w:val="00BD571A"/>
    <w:rsid w:val="00BD63F8"/>
    <w:rsid w:val="00BD6CAF"/>
    <w:rsid w:val="00BD7E31"/>
    <w:rsid w:val="00BE153E"/>
    <w:rsid w:val="00BE15F2"/>
    <w:rsid w:val="00BE505A"/>
    <w:rsid w:val="00BF1AF8"/>
    <w:rsid w:val="00BF1B17"/>
    <w:rsid w:val="00BF236B"/>
    <w:rsid w:val="00BF2EC3"/>
    <w:rsid w:val="00BF3950"/>
    <w:rsid w:val="00BF446B"/>
    <w:rsid w:val="00BF4FCC"/>
    <w:rsid w:val="00BF79CD"/>
    <w:rsid w:val="00C00466"/>
    <w:rsid w:val="00C01643"/>
    <w:rsid w:val="00C038A5"/>
    <w:rsid w:val="00C04333"/>
    <w:rsid w:val="00C05A89"/>
    <w:rsid w:val="00C144C8"/>
    <w:rsid w:val="00C15A9A"/>
    <w:rsid w:val="00C15AAA"/>
    <w:rsid w:val="00C16CFB"/>
    <w:rsid w:val="00C22309"/>
    <w:rsid w:val="00C2241D"/>
    <w:rsid w:val="00C229E0"/>
    <w:rsid w:val="00C2696C"/>
    <w:rsid w:val="00C27D3C"/>
    <w:rsid w:val="00C33A1C"/>
    <w:rsid w:val="00C34369"/>
    <w:rsid w:val="00C37220"/>
    <w:rsid w:val="00C378F1"/>
    <w:rsid w:val="00C37AB3"/>
    <w:rsid w:val="00C41CA4"/>
    <w:rsid w:val="00C43F2E"/>
    <w:rsid w:val="00C45538"/>
    <w:rsid w:val="00C45FC0"/>
    <w:rsid w:val="00C466DC"/>
    <w:rsid w:val="00C51B5D"/>
    <w:rsid w:val="00C51DE5"/>
    <w:rsid w:val="00C523A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3E6D"/>
    <w:rsid w:val="00C74078"/>
    <w:rsid w:val="00C75E2D"/>
    <w:rsid w:val="00C7614F"/>
    <w:rsid w:val="00C76273"/>
    <w:rsid w:val="00C76560"/>
    <w:rsid w:val="00C76DE9"/>
    <w:rsid w:val="00C7749D"/>
    <w:rsid w:val="00C82CE3"/>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67D4"/>
    <w:rsid w:val="00CA6A16"/>
    <w:rsid w:val="00CA6DDE"/>
    <w:rsid w:val="00CA7888"/>
    <w:rsid w:val="00CB0283"/>
    <w:rsid w:val="00CB0B83"/>
    <w:rsid w:val="00CB1C91"/>
    <w:rsid w:val="00CB3A7D"/>
    <w:rsid w:val="00CB4CD5"/>
    <w:rsid w:val="00CB6117"/>
    <w:rsid w:val="00CB630B"/>
    <w:rsid w:val="00CB6878"/>
    <w:rsid w:val="00CC26C6"/>
    <w:rsid w:val="00CC41EB"/>
    <w:rsid w:val="00CC6F25"/>
    <w:rsid w:val="00CC706E"/>
    <w:rsid w:val="00CD11E2"/>
    <w:rsid w:val="00CD3014"/>
    <w:rsid w:val="00CD3056"/>
    <w:rsid w:val="00CD5C49"/>
    <w:rsid w:val="00CD7FBD"/>
    <w:rsid w:val="00CE14FE"/>
    <w:rsid w:val="00CE2137"/>
    <w:rsid w:val="00CE24B5"/>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63F6"/>
    <w:rsid w:val="00D06D5A"/>
    <w:rsid w:val="00D0799D"/>
    <w:rsid w:val="00D1089B"/>
    <w:rsid w:val="00D10B1E"/>
    <w:rsid w:val="00D126AA"/>
    <w:rsid w:val="00D13D16"/>
    <w:rsid w:val="00D15819"/>
    <w:rsid w:val="00D15B3C"/>
    <w:rsid w:val="00D16600"/>
    <w:rsid w:val="00D177CB"/>
    <w:rsid w:val="00D26305"/>
    <w:rsid w:val="00D312D4"/>
    <w:rsid w:val="00D32E5E"/>
    <w:rsid w:val="00D33A36"/>
    <w:rsid w:val="00D402FC"/>
    <w:rsid w:val="00D406B0"/>
    <w:rsid w:val="00D4227C"/>
    <w:rsid w:val="00D42BF0"/>
    <w:rsid w:val="00D42C68"/>
    <w:rsid w:val="00D434D2"/>
    <w:rsid w:val="00D43E2F"/>
    <w:rsid w:val="00D513DF"/>
    <w:rsid w:val="00D5298B"/>
    <w:rsid w:val="00D535DB"/>
    <w:rsid w:val="00D5377E"/>
    <w:rsid w:val="00D55853"/>
    <w:rsid w:val="00D56E97"/>
    <w:rsid w:val="00D570F9"/>
    <w:rsid w:val="00D5795D"/>
    <w:rsid w:val="00D63119"/>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A66"/>
    <w:rsid w:val="00DA1DAD"/>
    <w:rsid w:val="00DA32F2"/>
    <w:rsid w:val="00DA4490"/>
    <w:rsid w:val="00DA46BF"/>
    <w:rsid w:val="00DA726A"/>
    <w:rsid w:val="00DA764E"/>
    <w:rsid w:val="00DB00CB"/>
    <w:rsid w:val="00DB0471"/>
    <w:rsid w:val="00DB1E70"/>
    <w:rsid w:val="00DB3357"/>
    <w:rsid w:val="00DB4284"/>
    <w:rsid w:val="00DB7229"/>
    <w:rsid w:val="00DC014C"/>
    <w:rsid w:val="00DC0405"/>
    <w:rsid w:val="00DC091F"/>
    <w:rsid w:val="00DC1D93"/>
    <w:rsid w:val="00DC2094"/>
    <w:rsid w:val="00DC3ED6"/>
    <w:rsid w:val="00DC549D"/>
    <w:rsid w:val="00DC56E7"/>
    <w:rsid w:val="00DC77CA"/>
    <w:rsid w:val="00DD0735"/>
    <w:rsid w:val="00DD2B14"/>
    <w:rsid w:val="00DD473D"/>
    <w:rsid w:val="00DD531F"/>
    <w:rsid w:val="00DD6811"/>
    <w:rsid w:val="00DD7BD2"/>
    <w:rsid w:val="00DD7BEF"/>
    <w:rsid w:val="00DE24A1"/>
    <w:rsid w:val="00DE3816"/>
    <w:rsid w:val="00DE4389"/>
    <w:rsid w:val="00DF296A"/>
    <w:rsid w:val="00DF327C"/>
    <w:rsid w:val="00DF3B71"/>
    <w:rsid w:val="00DF47BE"/>
    <w:rsid w:val="00DF4B59"/>
    <w:rsid w:val="00DF5714"/>
    <w:rsid w:val="00DF681E"/>
    <w:rsid w:val="00E00A15"/>
    <w:rsid w:val="00E00A2B"/>
    <w:rsid w:val="00E00D87"/>
    <w:rsid w:val="00E013F1"/>
    <w:rsid w:val="00E027F3"/>
    <w:rsid w:val="00E0294F"/>
    <w:rsid w:val="00E032DD"/>
    <w:rsid w:val="00E03533"/>
    <w:rsid w:val="00E0362D"/>
    <w:rsid w:val="00E036AA"/>
    <w:rsid w:val="00E05674"/>
    <w:rsid w:val="00E075E7"/>
    <w:rsid w:val="00E10712"/>
    <w:rsid w:val="00E13763"/>
    <w:rsid w:val="00E23E58"/>
    <w:rsid w:val="00E24026"/>
    <w:rsid w:val="00E24C8A"/>
    <w:rsid w:val="00E27C39"/>
    <w:rsid w:val="00E33043"/>
    <w:rsid w:val="00E36B04"/>
    <w:rsid w:val="00E37886"/>
    <w:rsid w:val="00E37BD2"/>
    <w:rsid w:val="00E47905"/>
    <w:rsid w:val="00E4792B"/>
    <w:rsid w:val="00E52E9E"/>
    <w:rsid w:val="00E5304A"/>
    <w:rsid w:val="00E53644"/>
    <w:rsid w:val="00E5462B"/>
    <w:rsid w:val="00E55275"/>
    <w:rsid w:val="00E567CB"/>
    <w:rsid w:val="00E57110"/>
    <w:rsid w:val="00E577D3"/>
    <w:rsid w:val="00E57928"/>
    <w:rsid w:val="00E60FC8"/>
    <w:rsid w:val="00E6437E"/>
    <w:rsid w:val="00E651A3"/>
    <w:rsid w:val="00E651DE"/>
    <w:rsid w:val="00E666C1"/>
    <w:rsid w:val="00E66C6F"/>
    <w:rsid w:val="00E702BA"/>
    <w:rsid w:val="00E70A5E"/>
    <w:rsid w:val="00E72307"/>
    <w:rsid w:val="00E72EB0"/>
    <w:rsid w:val="00E74B0A"/>
    <w:rsid w:val="00E76174"/>
    <w:rsid w:val="00E7627C"/>
    <w:rsid w:val="00E764C2"/>
    <w:rsid w:val="00E80144"/>
    <w:rsid w:val="00E810FC"/>
    <w:rsid w:val="00E817A2"/>
    <w:rsid w:val="00E82487"/>
    <w:rsid w:val="00E82B03"/>
    <w:rsid w:val="00E84728"/>
    <w:rsid w:val="00E84CB8"/>
    <w:rsid w:val="00E84EE0"/>
    <w:rsid w:val="00E8549C"/>
    <w:rsid w:val="00E8610D"/>
    <w:rsid w:val="00E8692E"/>
    <w:rsid w:val="00E90C78"/>
    <w:rsid w:val="00E9147A"/>
    <w:rsid w:val="00E91C99"/>
    <w:rsid w:val="00E91E27"/>
    <w:rsid w:val="00E9281F"/>
    <w:rsid w:val="00E9440E"/>
    <w:rsid w:val="00E94945"/>
    <w:rsid w:val="00E94A60"/>
    <w:rsid w:val="00E95868"/>
    <w:rsid w:val="00E96583"/>
    <w:rsid w:val="00E97382"/>
    <w:rsid w:val="00E974A7"/>
    <w:rsid w:val="00E97567"/>
    <w:rsid w:val="00EA22D5"/>
    <w:rsid w:val="00EA33CB"/>
    <w:rsid w:val="00EA5D05"/>
    <w:rsid w:val="00EA5EA9"/>
    <w:rsid w:val="00EA6751"/>
    <w:rsid w:val="00EB084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645C"/>
    <w:rsid w:val="00ED64F0"/>
    <w:rsid w:val="00ED678E"/>
    <w:rsid w:val="00ED72CE"/>
    <w:rsid w:val="00ED7A5F"/>
    <w:rsid w:val="00EE1CD9"/>
    <w:rsid w:val="00EE22FB"/>
    <w:rsid w:val="00EE435F"/>
    <w:rsid w:val="00EE777A"/>
    <w:rsid w:val="00EE7B54"/>
    <w:rsid w:val="00EF1239"/>
    <w:rsid w:val="00EF1FB2"/>
    <w:rsid w:val="00EF5035"/>
    <w:rsid w:val="00F00700"/>
    <w:rsid w:val="00F03E8D"/>
    <w:rsid w:val="00F049A0"/>
    <w:rsid w:val="00F0528A"/>
    <w:rsid w:val="00F062AF"/>
    <w:rsid w:val="00F06960"/>
    <w:rsid w:val="00F101F2"/>
    <w:rsid w:val="00F104FE"/>
    <w:rsid w:val="00F10B30"/>
    <w:rsid w:val="00F12CB3"/>
    <w:rsid w:val="00F12FF6"/>
    <w:rsid w:val="00F312EE"/>
    <w:rsid w:val="00F34491"/>
    <w:rsid w:val="00F3464A"/>
    <w:rsid w:val="00F37B3A"/>
    <w:rsid w:val="00F437F0"/>
    <w:rsid w:val="00F44D42"/>
    <w:rsid w:val="00F472CC"/>
    <w:rsid w:val="00F5252A"/>
    <w:rsid w:val="00F545F3"/>
    <w:rsid w:val="00F55025"/>
    <w:rsid w:val="00F55229"/>
    <w:rsid w:val="00F5651F"/>
    <w:rsid w:val="00F56F34"/>
    <w:rsid w:val="00F57028"/>
    <w:rsid w:val="00F5769D"/>
    <w:rsid w:val="00F632BB"/>
    <w:rsid w:val="00F65107"/>
    <w:rsid w:val="00F651A0"/>
    <w:rsid w:val="00F6557A"/>
    <w:rsid w:val="00F6592D"/>
    <w:rsid w:val="00F72547"/>
    <w:rsid w:val="00F742C9"/>
    <w:rsid w:val="00F75BFF"/>
    <w:rsid w:val="00F8193B"/>
    <w:rsid w:val="00F83188"/>
    <w:rsid w:val="00F837BB"/>
    <w:rsid w:val="00F83E3C"/>
    <w:rsid w:val="00F853BF"/>
    <w:rsid w:val="00F8597D"/>
    <w:rsid w:val="00F85C3F"/>
    <w:rsid w:val="00F86020"/>
    <w:rsid w:val="00F92104"/>
    <w:rsid w:val="00F93DEC"/>
    <w:rsid w:val="00F97DA6"/>
    <w:rsid w:val="00FA01C6"/>
    <w:rsid w:val="00FA1735"/>
    <w:rsid w:val="00FA6BA4"/>
    <w:rsid w:val="00FA7063"/>
    <w:rsid w:val="00FA7135"/>
    <w:rsid w:val="00FA79B3"/>
    <w:rsid w:val="00FB4B87"/>
    <w:rsid w:val="00FB544A"/>
    <w:rsid w:val="00FC0700"/>
    <w:rsid w:val="00FC0B9A"/>
    <w:rsid w:val="00FC2F6E"/>
    <w:rsid w:val="00FC2FA5"/>
    <w:rsid w:val="00FC36DC"/>
    <w:rsid w:val="00FC4DB4"/>
    <w:rsid w:val="00FC611D"/>
    <w:rsid w:val="00FC7134"/>
    <w:rsid w:val="00FC7EAB"/>
    <w:rsid w:val="00FD02FB"/>
    <w:rsid w:val="00FD213A"/>
    <w:rsid w:val="00FD30C8"/>
    <w:rsid w:val="00FD37B4"/>
    <w:rsid w:val="00FD3AB3"/>
    <w:rsid w:val="00FD3BC9"/>
    <w:rsid w:val="00FD5861"/>
    <w:rsid w:val="00FD5A33"/>
    <w:rsid w:val="00FD5F80"/>
    <w:rsid w:val="00FD6745"/>
    <w:rsid w:val="00FD6CC6"/>
    <w:rsid w:val="00FE0BEA"/>
    <w:rsid w:val="00FE1C93"/>
    <w:rsid w:val="00FF03AD"/>
    <w:rsid w:val="00FF3905"/>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s.soybilgen@bahcesehir.edu.tr"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zumrut.imamoglu@bahcesehir.edu.t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EA7E0-25AD-4344-A17D-CF253AB7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baris.soybilgen</cp:lastModifiedBy>
  <cp:revision>2</cp:revision>
  <cp:lastPrinted>2014-05-13T14:04:00Z</cp:lastPrinted>
  <dcterms:created xsi:type="dcterms:W3CDTF">2014-06-20T16:19:00Z</dcterms:created>
  <dcterms:modified xsi:type="dcterms:W3CDTF">2014-06-20T16:19:00Z</dcterms:modified>
</cp:coreProperties>
</file>