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F1C" w:rsidRPr="00327031" w:rsidRDefault="00AE71AE">
      <w:bookmarkStart w:id="0" w:name="_GoBack"/>
      <w:bookmarkEnd w:id="0"/>
      <w:r>
        <w:rPr>
          <w:lang w:eastAsia="tr-TR"/>
        </w:rPr>
        <w:pict>
          <v:shapetype id="_x0000_t202" coordsize="21600,21600" o:spt="202" path="m,l,21600r21600,l21600,xe">
            <v:stroke joinstyle="miter"/>
            <v:path gradientshapeok="t" o:connecttype="rect"/>
          </v:shapetype>
          <v:shape id="Text Box 3" o:spid="_x0000_s1026" type="#_x0000_t202" style="position:absolute;margin-left:131.6pt;margin-top:-36.3pt;width:312.1pt;height:36.75pt;z-index:25166131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" stroked="f">
            <v:fill opacity="0"/>
            <v:textbox inset="0,0,0,0">
              <w:txbxContent>
                <w:p w:rsidR="00FB31C3" w:rsidRPr="002865A7" w:rsidRDefault="00FB31C3" w:rsidP="00C13C55">
                  <w:pPr>
                    <w:pStyle w:val="Heading1"/>
                    <w:rPr>
                      <w:rFonts w:ascii="Times New Roman" w:hAnsi="Times New Roman"/>
                      <w:sz w:val="52"/>
                      <w:szCs w:val="52"/>
                    </w:rPr>
                  </w:pPr>
                  <w:r>
                    <w:rPr>
                      <w:rFonts w:ascii="Times New Roman" w:hAnsi="Times New Roman"/>
                      <w:sz w:val="52"/>
                      <w:szCs w:val="52"/>
                    </w:rPr>
                    <w:t xml:space="preserve">Araştırma Notu </w:t>
                  </w:r>
                  <w:r w:rsidRPr="002865A7">
                    <w:rPr>
                      <w:rFonts w:ascii="Times New Roman" w:hAnsi="Times New Roman"/>
                      <w:sz w:val="52"/>
                      <w:szCs w:val="52"/>
                    </w:rPr>
                    <w:t>1</w:t>
                  </w:r>
                  <w:r>
                    <w:rPr>
                      <w:rFonts w:ascii="Times New Roman" w:hAnsi="Times New Roman"/>
                      <w:sz w:val="52"/>
                      <w:szCs w:val="52"/>
                    </w:rPr>
                    <w:t>4</w:t>
                  </w:r>
                  <w:r w:rsidRPr="002865A7">
                    <w:rPr>
                      <w:rFonts w:ascii="Times New Roman" w:hAnsi="Times New Roman"/>
                      <w:sz w:val="52"/>
                      <w:szCs w:val="52"/>
                    </w:rPr>
                    <w:t>/</w:t>
                  </w:r>
                  <w:r>
                    <w:rPr>
                      <w:rFonts w:ascii="Times New Roman" w:hAnsi="Times New Roman"/>
                      <w:sz w:val="52"/>
                      <w:szCs w:val="52"/>
                    </w:rPr>
                    <w:t>168</w:t>
                  </w:r>
                </w:p>
                <w:p w:rsidR="00FB31C3" w:rsidRPr="00526178" w:rsidRDefault="00FB31C3" w:rsidP="00C13C55">
                  <w:pPr>
                    <w:pStyle w:val="Heading2"/>
                    <w:rPr>
                      <w:b w:val="0"/>
                      <w:bCs w:val="0"/>
                      <w:i w:val="0"/>
                      <w:iCs w:val="0"/>
                    </w:rPr>
                  </w:pPr>
                </w:p>
              </w:txbxContent>
            </v:textbox>
          </v:shape>
        </w:pict>
      </w:r>
      <w:r w:rsidR="00C13C55" w:rsidRPr="00327031">
        <w:rPr>
          <w:noProof/>
          <w:lang w:eastAsia="tr-TR"/>
        </w:rPr>
        <w:drawing>
          <wp:anchor distT="0" distB="0" distL="114300" distR="114300" simplePos="0" relativeHeight="251659264" behindDoc="1" locked="0" layoutInCell="1" allowOverlap="1">
            <wp:simplePos x="0" y="0"/>
            <wp:positionH relativeFrom="column">
              <wp:posOffset>-690245</wp:posOffset>
            </wp:positionH>
            <wp:positionV relativeFrom="paragraph">
              <wp:posOffset>-661670</wp:posOffset>
            </wp:positionV>
            <wp:extent cx="7315200" cy="1333500"/>
            <wp:effectExtent l="19050" t="0" r="0" b="0"/>
            <wp:wrapNone/>
            <wp:docPr id="7"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9" cstate="print"/>
                    <a:srcRect/>
                    <a:stretch>
                      <a:fillRect/>
                    </a:stretch>
                  </pic:blipFill>
                  <pic:spPr bwMode="auto">
                    <a:xfrm>
                      <a:off x="0" y="0"/>
                      <a:ext cx="7315200" cy="1330325"/>
                    </a:xfrm>
                    <a:prstGeom prst="rect">
                      <a:avLst/>
                    </a:prstGeom>
                    <a:noFill/>
                  </pic:spPr>
                </pic:pic>
              </a:graphicData>
            </a:graphic>
          </wp:anchor>
        </w:drawing>
      </w:r>
    </w:p>
    <w:p w:rsidR="00460BD0" w:rsidRPr="00327031" w:rsidRDefault="00460BD0"/>
    <w:p w:rsidR="00C13C55" w:rsidRPr="00327031" w:rsidRDefault="00AE71AE" w:rsidP="00257387">
      <w:pPr>
        <w:pStyle w:val="Caption"/>
        <w:keepNext/>
      </w:pPr>
      <w:r>
        <w:rPr>
          <w:lang w:eastAsia="tr-TR"/>
        </w:rPr>
        <w:pict>
          <v:shape id="Text Box 2" o:spid="_x0000_s1027" type="#_x0000_t202" style="position:absolute;margin-left:415.55pt;margin-top:6.45pt;width:116.4pt;height:23.55pt;z-index:25166028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" stroked="f">
            <v:fill opacity="0"/>
            <v:textbox inset="0,0,0,0">
              <w:txbxContent>
                <w:p w:rsidR="00FB31C3" w:rsidRDefault="00457FF6" w:rsidP="00C13C55">
                  <w:pPr>
                    <w:pStyle w:val="Heading3"/>
                    <w:jc w:val="center"/>
                  </w:pPr>
                  <w:r>
                    <w:rPr>
                      <w:color w:val="FFFFFF"/>
                      <w:sz w:val="22"/>
                      <w:szCs w:val="22"/>
                    </w:rPr>
                    <w:t>25</w:t>
                  </w:r>
                  <w:r w:rsidR="00FB31C3">
                    <w:rPr>
                      <w:color w:val="FFFFFF"/>
                      <w:sz w:val="22"/>
                      <w:szCs w:val="22"/>
                    </w:rPr>
                    <w:t xml:space="preserve"> </w:t>
                  </w:r>
                  <w:proofErr w:type="spellStart"/>
                  <w:r w:rsidR="00FB31C3">
                    <w:rPr>
                      <w:color w:val="FFFFFF"/>
                      <w:sz w:val="22"/>
                      <w:szCs w:val="22"/>
                    </w:rPr>
                    <w:t>Haziran</w:t>
                  </w:r>
                  <w:proofErr w:type="spellEnd"/>
                  <w:r w:rsidR="00FB31C3">
                    <w:rPr>
                      <w:color w:val="FFFFFF"/>
                      <w:sz w:val="22"/>
                      <w:szCs w:val="22"/>
                    </w:rPr>
                    <w:t xml:space="preserve"> </w:t>
                  </w:r>
                  <w:r w:rsidR="00FB31C3">
                    <w:rPr>
                      <w:color w:val="FFFFFF"/>
                      <w:sz w:val="22"/>
                      <w:szCs w:val="22"/>
                      <w:lang w:val="tr-TR"/>
                    </w:rPr>
                    <w:t>2014</w:t>
                  </w:r>
                </w:p>
              </w:txbxContent>
            </v:textbox>
          </v:shape>
        </w:pict>
      </w:r>
    </w:p>
    <w:p w:rsidR="00C13C55" w:rsidRPr="00327031" w:rsidRDefault="00C13C55" w:rsidP="00257387">
      <w:pPr>
        <w:pStyle w:val="Caption"/>
        <w:keepNext/>
      </w:pPr>
    </w:p>
    <w:p w:rsidR="00C13C55" w:rsidRPr="00327031" w:rsidRDefault="00C13C55" w:rsidP="00257387">
      <w:pPr>
        <w:pStyle w:val="Caption"/>
        <w:keepNext/>
      </w:pPr>
    </w:p>
    <w:p w:rsidR="00C13C55" w:rsidRPr="00327031" w:rsidRDefault="00C13C55" w:rsidP="00257387">
      <w:pPr>
        <w:pStyle w:val="Caption"/>
        <w:keepNext/>
      </w:pPr>
    </w:p>
    <w:p w:rsidR="004D033B" w:rsidRPr="00327031" w:rsidRDefault="004D033B" w:rsidP="004D033B">
      <w:pPr>
        <w:jc w:val="both"/>
        <w:rPr>
          <w:bCs/>
          <w:sz w:val="22"/>
          <w:szCs w:val="22"/>
          <w:highlight w:val="yellow"/>
        </w:rPr>
      </w:pPr>
    </w:p>
    <w:p w:rsidR="007E6AFC" w:rsidRPr="00327031" w:rsidRDefault="007E6AFC" w:rsidP="007E6AFC">
      <w:pPr>
        <w:suppressAutoHyphens w:val="0"/>
        <w:spacing w:after="100" w:line="276" w:lineRule="auto"/>
        <w:jc w:val="center"/>
        <w:rPr>
          <w:rFonts w:asciiTheme="minorHAnsi" w:eastAsiaTheme="minorHAnsi" w:hAnsiTheme="minorHAnsi" w:cstheme="minorBidi"/>
          <w:b/>
          <w:sz w:val="32"/>
          <w:szCs w:val="32"/>
          <w:lang w:eastAsia="en-US"/>
        </w:rPr>
      </w:pPr>
      <w:r w:rsidRPr="00327031">
        <w:rPr>
          <w:rFonts w:asciiTheme="minorHAnsi" w:eastAsiaTheme="minorHAnsi" w:hAnsiTheme="minorHAnsi" w:cstheme="minorBidi"/>
          <w:b/>
          <w:sz w:val="32"/>
          <w:szCs w:val="32"/>
          <w:lang w:eastAsia="en-US"/>
        </w:rPr>
        <w:t>KARİYER.NET VERİSİYLE KISA VADELİ TARIM DIŞI İŞSİZLİK TAHMİNİ</w:t>
      </w:r>
    </w:p>
    <w:p w:rsidR="002A3650" w:rsidRPr="00327031" w:rsidRDefault="002A3650" w:rsidP="002A3650">
      <w:pPr>
        <w:suppressAutoHyphens w:val="0"/>
        <w:spacing w:after="100" w:line="276" w:lineRule="auto"/>
        <w:jc w:val="center"/>
        <w:rPr>
          <w:rFonts w:asciiTheme="minorHAnsi" w:eastAsiaTheme="minorHAnsi" w:hAnsiTheme="minorHAnsi" w:cstheme="minorBidi"/>
          <w:b/>
          <w:lang w:eastAsia="en-US"/>
        </w:rPr>
      </w:pPr>
    </w:p>
    <w:p w:rsidR="002A3650" w:rsidRPr="00327031" w:rsidRDefault="00D04B55" w:rsidP="002A3650">
      <w:pPr>
        <w:suppressAutoHyphens w:val="0"/>
        <w:spacing w:after="100" w:line="276" w:lineRule="auto"/>
        <w:jc w:val="center"/>
        <w:rPr>
          <w:rFonts w:asciiTheme="minorHAnsi" w:eastAsiaTheme="minorHAnsi" w:hAnsiTheme="minorHAnsi" w:cstheme="minorBidi"/>
          <w:b/>
          <w:sz w:val="22"/>
          <w:szCs w:val="22"/>
          <w:lang w:eastAsia="en-US"/>
        </w:rPr>
      </w:pPr>
      <w:r w:rsidRPr="00327031">
        <w:rPr>
          <w:rStyle w:val="FootnoteReference"/>
          <w:b/>
          <w:bCs/>
          <w:sz w:val="20"/>
          <w:szCs w:val="20"/>
          <w:vertAlign w:val="baseline"/>
        </w:rPr>
        <w:t>Barış Soybilgen</w:t>
      </w:r>
      <w:r w:rsidR="00AC6FF9" w:rsidRPr="00327031">
        <w:rPr>
          <w:rStyle w:val="FootnoteReference"/>
          <w:rFonts w:asciiTheme="minorHAnsi" w:hAnsiTheme="minorHAnsi"/>
          <w:b/>
          <w:bCs/>
          <w:sz w:val="20"/>
          <w:szCs w:val="20"/>
        </w:rPr>
        <w:footnoteReference w:customMarkFollows="1" w:id="1"/>
        <w:t>*</w:t>
      </w:r>
    </w:p>
    <w:p w:rsidR="002A3650" w:rsidRPr="00327031" w:rsidRDefault="002A3650" w:rsidP="002A3650">
      <w:pPr>
        <w:suppressAutoHyphens w:val="0"/>
        <w:spacing w:after="100" w:line="276" w:lineRule="auto"/>
        <w:jc w:val="center"/>
        <w:rPr>
          <w:rFonts w:asciiTheme="minorHAnsi" w:eastAsiaTheme="minorHAnsi" w:hAnsiTheme="minorHAnsi" w:cstheme="minorBidi"/>
          <w:b/>
          <w:sz w:val="4"/>
          <w:szCs w:val="4"/>
          <w:lang w:eastAsia="en-US"/>
        </w:rPr>
      </w:pPr>
    </w:p>
    <w:p w:rsidR="00E61021" w:rsidRPr="00327031" w:rsidRDefault="00E61021" w:rsidP="00E61021">
      <w:pPr>
        <w:suppressAutoHyphens w:val="0"/>
        <w:jc w:val="center"/>
        <w:rPr>
          <w:rFonts w:asciiTheme="minorHAnsi" w:eastAsiaTheme="minorHAnsi" w:hAnsiTheme="minorHAnsi"/>
          <w:b/>
          <w:sz w:val="22"/>
          <w:szCs w:val="22"/>
          <w:lang w:eastAsia="en-US"/>
        </w:rPr>
      </w:pPr>
      <w:r w:rsidRPr="00327031">
        <w:rPr>
          <w:rFonts w:asciiTheme="minorHAnsi" w:eastAsiaTheme="minorHAnsi" w:hAnsiTheme="minorHAnsi"/>
          <w:b/>
          <w:sz w:val="22"/>
          <w:szCs w:val="22"/>
          <w:lang w:eastAsia="en-US"/>
        </w:rPr>
        <w:t>Yönetici Özeti</w:t>
      </w:r>
    </w:p>
    <w:p w:rsidR="00E61021" w:rsidRPr="00327031" w:rsidRDefault="00E61021" w:rsidP="00E61021">
      <w:pPr>
        <w:suppressAutoHyphens w:val="0"/>
        <w:jc w:val="center"/>
        <w:rPr>
          <w:rFonts w:asciiTheme="minorHAnsi" w:eastAsiaTheme="minorHAnsi" w:hAnsiTheme="minorHAnsi"/>
          <w:b/>
          <w:sz w:val="22"/>
          <w:szCs w:val="22"/>
          <w:lang w:eastAsia="en-US"/>
        </w:rPr>
      </w:pPr>
    </w:p>
    <w:p w:rsidR="00E61021" w:rsidRPr="00327031" w:rsidRDefault="002575AB" w:rsidP="00E61021">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İşsizlik</w:t>
      </w:r>
      <w:r w:rsidR="00E61021" w:rsidRPr="00327031">
        <w:rPr>
          <w:rFonts w:asciiTheme="minorHAnsi" w:eastAsiaTheme="minorHAnsi" w:hAnsiTheme="minorHAnsi"/>
          <w:sz w:val="22"/>
          <w:szCs w:val="22"/>
          <w:lang w:eastAsia="en-US"/>
        </w:rPr>
        <w:t xml:space="preserve"> verisi ekon</w:t>
      </w:r>
      <w:r w:rsidR="00EE5CD8" w:rsidRPr="00327031">
        <w:rPr>
          <w:rFonts w:asciiTheme="minorHAnsi" w:eastAsiaTheme="minorHAnsi" w:hAnsiTheme="minorHAnsi"/>
          <w:sz w:val="22"/>
          <w:szCs w:val="22"/>
          <w:lang w:eastAsia="en-US"/>
        </w:rPr>
        <w:t>omistler ve politika yapıcılar için</w:t>
      </w:r>
      <w:r w:rsidR="00E61021" w:rsidRPr="00327031">
        <w:rPr>
          <w:rFonts w:asciiTheme="minorHAnsi" w:eastAsiaTheme="minorHAnsi" w:hAnsiTheme="minorHAnsi"/>
          <w:sz w:val="22"/>
          <w:szCs w:val="22"/>
          <w:lang w:eastAsia="en-US"/>
        </w:rPr>
        <w:t xml:space="preserve"> ekonominin genel gidişatını görebilme</w:t>
      </w:r>
      <w:r w:rsidR="002F4918" w:rsidRPr="00327031">
        <w:rPr>
          <w:rFonts w:asciiTheme="minorHAnsi" w:eastAsiaTheme="minorHAnsi" w:hAnsiTheme="minorHAnsi"/>
          <w:sz w:val="22"/>
          <w:szCs w:val="22"/>
          <w:lang w:eastAsia="en-US"/>
        </w:rPr>
        <w:t>k</w:t>
      </w:r>
      <w:r w:rsidR="00E61021" w:rsidRPr="00327031">
        <w:rPr>
          <w:rFonts w:asciiTheme="minorHAnsi" w:eastAsiaTheme="minorHAnsi" w:hAnsiTheme="minorHAnsi"/>
          <w:sz w:val="22"/>
          <w:szCs w:val="22"/>
          <w:lang w:eastAsia="en-US"/>
        </w:rPr>
        <w:t xml:space="preserve"> açısından önemli bir göstergedir. Bu nedenle </w:t>
      </w:r>
      <w:r w:rsidRPr="00327031">
        <w:rPr>
          <w:rFonts w:asciiTheme="minorHAnsi" w:eastAsiaTheme="minorHAnsi" w:hAnsiTheme="minorHAnsi"/>
          <w:sz w:val="22"/>
          <w:szCs w:val="22"/>
          <w:lang w:eastAsia="en-US"/>
        </w:rPr>
        <w:t>işsizlik</w:t>
      </w:r>
      <w:r w:rsidR="00E61021" w:rsidRPr="00327031">
        <w:rPr>
          <w:rFonts w:asciiTheme="minorHAnsi" w:eastAsiaTheme="minorHAnsi" w:hAnsiTheme="minorHAnsi"/>
          <w:sz w:val="22"/>
          <w:szCs w:val="22"/>
          <w:lang w:eastAsia="en-US"/>
        </w:rPr>
        <w:t xml:space="preserve"> verisine bu aktörlerin hızlı bir şekilde ulaşması önem arz etmektedir. Gelişmiş ülkelerde işsizlik oranı kısa bir gecikmeyle açıklanmasına karşın, Türkiye'de işsizlik oranı 2 buçuk aylık bir gecikmeyle açıklanmaktadır. Bu nedenle tarım dışı işsizlik oranı için tahmin gücü yüksek bir öncü göstergeye sahip olmak önem kazanmaktadır. Bu ihtiyacı karşılamak için Betam Nisan 2011'den beri Kariyer.net’in ilan başına başvuru sayısını öncü gösterge olarak kullanmaktadır.</w:t>
      </w:r>
      <w:r w:rsidR="00EE5CD8" w:rsidRPr="00327031">
        <w:rPr>
          <w:rFonts w:asciiTheme="minorHAnsi" w:eastAsiaTheme="minorHAnsi" w:hAnsiTheme="minorHAnsi"/>
          <w:sz w:val="22"/>
          <w:szCs w:val="22"/>
          <w:lang w:eastAsia="en-US"/>
        </w:rPr>
        <w:t xml:space="preserve"> Ama şu ana kadar detaylı bir biçimde bu öncü göstergenin tahmin performansını incelememiştir.</w:t>
      </w:r>
      <w:r w:rsidR="00E61021" w:rsidRPr="00327031">
        <w:rPr>
          <w:rFonts w:asciiTheme="minorHAnsi" w:eastAsiaTheme="minorHAnsi" w:hAnsiTheme="minorHAnsi"/>
          <w:sz w:val="22"/>
          <w:szCs w:val="22"/>
          <w:lang w:eastAsia="en-US"/>
        </w:rPr>
        <w:t xml:space="preserve"> </w:t>
      </w:r>
      <w:r w:rsidR="00EE5CD8" w:rsidRPr="00327031">
        <w:rPr>
          <w:rFonts w:asciiTheme="minorHAnsi" w:eastAsiaTheme="minorHAnsi" w:hAnsiTheme="minorHAnsi"/>
          <w:sz w:val="22"/>
          <w:szCs w:val="22"/>
          <w:lang w:eastAsia="en-US"/>
        </w:rPr>
        <w:t>Bu a</w:t>
      </w:r>
      <w:r w:rsidR="00E61021" w:rsidRPr="00327031">
        <w:rPr>
          <w:rFonts w:asciiTheme="minorHAnsi" w:eastAsiaTheme="minorHAnsi" w:hAnsiTheme="minorHAnsi"/>
          <w:sz w:val="22"/>
          <w:szCs w:val="22"/>
          <w:lang w:eastAsia="en-US"/>
        </w:rPr>
        <w:t xml:space="preserve">raştırma notunda </w:t>
      </w:r>
      <w:r w:rsidR="00EE5CD8" w:rsidRPr="00327031">
        <w:rPr>
          <w:rFonts w:asciiTheme="minorHAnsi" w:eastAsiaTheme="minorHAnsi" w:hAnsiTheme="minorHAnsi"/>
          <w:sz w:val="22"/>
          <w:szCs w:val="22"/>
          <w:lang w:eastAsia="en-US"/>
        </w:rPr>
        <w:t xml:space="preserve">Kariyer.net verisinin </w:t>
      </w:r>
      <w:r w:rsidR="00E61021" w:rsidRPr="00327031">
        <w:rPr>
          <w:rFonts w:asciiTheme="minorHAnsi" w:eastAsiaTheme="minorHAnsi" w:hAnsiTheme="minorHAnsi"/>
          <w:sz w:val="22"/>
          <w:szCs w:val="22"/>
          <w:lang w:eastAsia="en-US"/>
        </w:rPr>
        <w:t xml:space="preserve">kısa vadeli tahmin performansı incelenmektedir. </w:t>
      </w:r>
    </w:p>
    <w:p w:rsidR="00E61021" w:rsidRPr="00327031" w:rsidRDefault="00E61021" w:rsidP="00E61021">
      <w:pPr>
        <w:suppressAutoHyphens w:val="0"/>
        <w:jc w:val="both"/>
        <w:rPr>
          <w:rFonts w:asciiTheme="minorHAnsi" w:eastAsiaTheme="minorHAnsi" w:hAnsiTheme="minorHAnsi"/>
          <w:sz w:val="22"/>
          <w:szCs w:val="22"/>
          <w:lang w:eastAsia="en-US"/>
        </w:rPr>
      </w:pPr>
    </w:p>
    <w:p w:rsidR="00E61021" w:rsidRPr="00327031" w:rsidRDefault="00E61021" w:rsidP="00E61021">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Sonuçlar Kariyer.net ilan başına düşen başvuru verisi kullanarak yapılan nokta tahminler</w:t>
      </w:r>
      <w:r w:rsidR="00EE5CD8" w:rsidRPr="00327031">
        <w:rPr>
          <w:rFonts w:asciiTheme="minorHAnsi" w:eastAsiaTheme="minorHAnsi" w:hAnsiTheme="minorHAnsi"/>
          <w:sz w:val="22"/>
          <w:szCs w:val="22"/>
          <w:lang w:eastAsia="en-US"/>
        </w:rPr>
        <w:t>in</w:t>
      </w:r>
      <w:r w:rsidR="008C014F" w:rsidRPr="00327031">
        <w:rPr>
          <w:rFonts w:asciiTheme="minorHAnsi" w:eastAsiaTheme="minorHAnsi" w:hAnsiTheme="minorHAnsi"/>
          <w:sz w:val="22"/>
          <w:szCs w:val="22"/>
          <w:lang w:eastAsia="en-US"/>
        </w:rPr>
        <w:t xml:space="preserve"> Sanayi Üretim Endeksi, Tüketici Güven Endeksi</w:t>
      </w:r>
      <w:r w:rsidRPr="00327031">
        <w:rPr>
          <w:rFonts w:asciiTheme="minorHAnsi" w:eastAsiaTheme="minorHAnsi" w:hAnsiTheme="minorHAnsi"/>
          <w:sz w:val="22"/>
          <w:szCs w:val="22"/>
          <w:lang w:eastAsia="en-US"/>
        </w:rPr>
        <w:t>, Reel Kesim Güven Endeksi ve RKGE'nin alt kolu olan gelecek üç aydaki toplam istihdam beklentisi kullanılarak yapılan tahminlere</w:t>
      </w:r>
      <w:r w:rsidR="00380290" w:rsidRPr="00327031">
        <w:rPr>
          <w:rFonts w:asciiTheme="minorHAnsi" w:eastAsiaTheme="minorHAnsi" w:hAnsiTheme="minorHAnsi"/>
          <w:sz w:val="22"/>
          <w:szCs w:val="22"/>
          <w:lang w:eastAsia="en-US"/>
        </w:rPr>
        <w:t xml:space="preserve"> kıyasla</w:t>
      </w:r>
      <w:r w:rsidRPr="00327031">
        <w:rPr>
          <w:rFonts w:asciiTheme="minorHAnsi" w:eastAsiaTheme="minorHAnsi" w:hAnsiTheme="minorHAnsi"/>
          <w:sz w:val="22"/>
          <w:szCs w:val="22"/>
          <w:lang w:eastAsia="en-US"/>
        </w:rPr>
        <w:t xml:space="preserve"> mutlak olarak daha iyi sonuç verdiğini göstermektedir. Ayrıca bu </w:t>
      </w:r>
      <w:r w:rsidR="00EE5CD8" w:rsidRPr="00327031">
        <w:rPr>
          <w:rFonts w:asciiTheme="minorHAnsi" w:eastAsiaTheme="minorHAnsi" w:hAnsiTheme="minorHAnsi"/>
          <w:sz w:val="22"/>
          <w:szCs w:val="22"/>
          <w:lang w:eastAsia="en-US"/>
        </w:rPr>
        <w:t>aradaki farkların çoğu da</w:t>
      </w:r>
      <w:r w:rsidRPr="00327031">
        <w:rPr>
          <w:rFonts w:asciiTheme="minorHAnsi" w:eastAsiaTheme="minorHAnsi" w:hAnsiTheme="minorHAnsi"/>
          <w:sz w:val="22"/>
          <w:szCs w:val="22"/>
          <w:lang w:eastAsia="en-US"/>
        </w:rPr>
        <w:t xml:space="preserve"> istatistiksel olarak anlamlıdır.</w:t>
      </w:r>
      <w:r w:rsidR="00EE5CD8" w:rsidRPr="00327031">
        <w:rPr>
          <w:rFonts w:asciiTheme="minorHAnsi" w:eastAsiaTheme="minorHAnsi" w:hAnsiTheme="minorHAnsi"/>
          <w:sz w:val="22"/>
          <w:szCs w:val="22"/>
          <w:lang w:eastAsia="en-US"/>
        </w:rPr>
        <w:t xml:space="preserve"> Yön tahminlerinde </w:t>
      </w:r>
      <w:r w:rsidR="00E0427E" w:rsidRPr="00327031">
        <w:rPr>
          <w:rFonts w:asciiTheme="minorHAnsi" w:eastAsiaTheme="minorHAnsi" w:hAnsiTheme="minorHAnsi"/>
          <w:sz w:val="22"/>
          <w:szCs w:val="22"/>
          <w:lang w:eastAsia="en-US"/>
        </w:rPr>
        <w:t xml:space="preserve">bu modelin </w:t>
      </w:r>
      <w:r w:rsidR="00EE5CD8" w:rsidRPr="00327031">
        <w:rPr>
          <w:rFonts w:asciiTheme="minorHAnsi" w:eastAsiaTheme="minorHAnsi" w:hAnsiTheme="minorHAnsi"/>
          <w:sz w:val="22"/>
          <w:szCs w:val="22"/>
          <w:lang w:eastAsia="en-US"/>
        </w:rPr>
        <w:t xml:space="preserve">en az diğer rakip modeller kadar iyi performans gösterdiği ve istatiksel olarak da yön tahminlerinin anlamlı olduğu görülmektedir. Son olarak da Kariyer.net ilan başına düşen başvuru verisi kullanarak yapılan nokta tahminlerin </w:t>
      </w:r>
      <w:r w:rsidR="002575AB" w:rsidRPr="00327031">
        <w:rPr>
          <w:rFonts w:asciiTheme="minorHAnsi" w:eastAsiaTheme="minorHAnsi" w:hAnsiTheme="minorHAnsi"/>
          <w:sz w:val="22"/>
          <w:szCs w:val="22"/>
          <w:lang w:eastAsia="en-US"/>
        </w:rPr>
        <w:t>yansız olduğu görülmektedir</w:t>
      </w:r>
      <w:r w:rsidR="00EE5CD8" w:rsidRPr="00327031">
        <w:rPr>
          <w:rFonts w:asciiTheme="minorHAnsi" w:eastAsiaTheme="minorHAnsi" w:hAnsiTheme="minorHAnsi"/>
          <w:sz w:val="22"/>
          <w:szCs w:val="22"/>
          <w:lang w:eastAsia="en-US"/>
        </w:rPr>
        <w:t xml:space="preserve">. Bunun sonucunda </w:t>
      </w:r>
      <w:r w:rsidR="002575AB" w:rsidRPr="00327031">
        <w:rPr>
          <w:rFonts w:asciiTheme="minorHAnsi" w:eastAsiaTheme="minorHAnsi" w:hAnsiTheme="minorHAnsi"/>
          <w:sz w:val="22"/>
          <w:szCs w:val="22"/>
          <w:lang w:eastAsia="en-US"/>
        </w:rPr>
        <w:t>Kariyer.net</w:t>
      </w:r>
      <w:r w:rsidR="00EE5CD8" w:rsidRPr="00327031">
        <w:rPr>
          <w:rFonts w:asciiTheme="minorHAnsi" w:eastAsiaTheme="minorHAnsi" w:hAnsiTheme="minorHAnsi"/>
          <w:sz w:val="22"/>
          <w:szCs w:val="22"/>
          <w:lang w:eastAsia="en-US"/>
        </w:rPr>
        <w:t xml:space="preserve"> ilan başına başvuru sayısının tarım dışı işsizlik oranı için iyi bir öncü gösterge olduğu sonucuna varabiliriz.</w:t>
      </w:r>
    </w:p>
    <w:p w:rsidR="00E61021" w:rsidRPr="00327031" w:rsidRDefault="00E61021" w:rsidP="007E6AFC">
      <w:pPr>
        <w:suppressAutoHyphens w:val="0"/>
        <w:rPr>
          <w:rFonts w:asciiTheme="minorHAnsi" w:eastAsiaTheme="minorHAnsi" w:hAnsiTheme="minorHAnsi"/>
          <w:b/>
          <w:sz w:val="22"/>
          <w:szCs w:val="22"/>
          <w:lang w:eastAsia="en-US"/>
        </w:rPr>
      </w:pPr>
    </w:p>
    <w:p w:rsidR="007E6AFC" w:rsidRPr="00327031" w:rsidRDefault="007E6AFC" w:rsidP="007E6AFC">
      <w:pPr>
        <w:suppressAutoHyphens w:val="0"/>
        <w:rPr>
          <w:rFonts w:asciiTheme="minorHAnsi" w:eastAsiaTheme="minorHAnsi" w:hAnsiTheme="minorHAnsi"/>
          <w:b/>
          <w:sz w:val="22"/>
          <w:szCs w:val="22"/>
          <w:lang w:eastAsia="en-US"/>
        </w:rPr>
      </w:pPr>
      <w:r w:rsidRPr="00327031">
        <w:rPr>
          <w:rFonts w:asciiTheme="minorHAnsi" w:eastAsiaTheme="minorHAnsi" w:hAnsiTheme="minorHAnsi"/>
          <w:b/>
          <w:sz w:val="22"/>
          <w:szCs w:val="22"/>
          <w:lang w:eastAsia="en-US"/>
        </w:rPr>
        <w:t>1. Giriş</w:t>
      </w:r>
    </w:p>
    <w:p w:rsidR="007E6AFC" w:rsidRPr="00327031" w:rsidRDefault="007E6AFC" w:rsidP="007E6AFC">
      <w:pPr>
        <w:suppressAutoHyphens w:val="0"/>
        <w:rPr>
          <w:rFonts w:asciiTheme="minorHAnsi" w:eastAsiaTheme="minorHAnsi" w:hAnsiTheme="minorHAnsi"/>
          <w:sz w:val="22"/>
          <w:szCs w:val="22"/>
          <w:lang w:eastAsia="en-US"/>
        </w:rPr>
      </w:pPr>
    </w:p>
    <w:p w:rsidR="007E6AFC" w:rsidRPr="00327031" w:rsidRDefault="002575AB"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İşsizlik</w:t>
      </w:r>
      <w:r w:rsidR="007E6AFC" w:rsidRPr="00327031">
        <w:rPr>
          <w:rFonts w:asciiTheme="minorHAnsi" w:eastAsiaTheme="minorHAnsi" w:hAnsiTheme="minorHAnsi"/>
          <w:sz w:val="22"/>
          <w:szCs w:val="22"/>
          <w:lang w:eastAsia="en-US"/>
        </w:rPr>
        <w:t xml:space="preserve"> verisi ekonomistler ve politika yapıcıların ekonominin genel gidişatını görebilmesi açısından önemli bir göstergedir. Bu nedenle </w:t>
      </w:r>
      <w:r w:rsidRPr="00327031">
        <w:rPr>
          <w:rFonts w:asciiTheme="minorHAnsi" w:eastAsiaTheme="minorHAnsi" w:hAnsiTheme="minorHAnsi"/>
          <w:sz w:val="22"/>
          <w:szCs w:val="22"/>
          <w:lang w:eastAsia="en-US"/>
        </w:rPr>
        <w:t>işsizlik</w:t>
      </w:r>
      <w:r w:rsidR="007E6AFC" w:rsidRPr="00327031">
        <w:rPr>
          <w:rFonts w:asciiTheme="minorHAnsi" w:eastAsiaTheme="minorHAnsi" w:hAnsiTheme="minorHAnsi"/>
          <w:sz w:val="22"/>
          <w:szCs w:val="22"/>
          <w:lang w:eastAsia="en-US"/>
        </w:rPr>
        <w:t xml:space="preserve"> verisinin istihdam piyasası ile ilgili verileri toplayan kurumlarca kısa bir gecikmeyle açıklanması önem arz etmektedir. Gelişmiş ülkelerde istihdam piyasası ile ilgili veriler çok kısa bir gecikmeyle açıklanmaktadır. Örnek vermek gerekirse Amerika Birleşik Devletleri'nin (ABD) Mayıs 2014 dönemine dair </w:t>
      </w:r>
      <w:r w:rsidRPr="00327031">
        <w:rPr>
          <w:rFonts w:asciiTheme="minorHAnsi" w:eastAsiaTheme="minorHAnsi" w:hAnsiTheme="minorHAnsi"/>
          <w:sz w:val="22"/>
          <w:szCs w:val="22"/>
          <w:lang w:eastAsia="en-US"/>
        </w:rPr>
        <w:t>işsizlik</w:t>
      </w:r>
      <w:r w:rsidR="007E6AFC" w:rsidRPr="00327031">
        <w:rPr>
          <w:rFonts w:asciiTheme="minorHAnsi" w:eastAsiaTheme="minorHAnsi" w:hAnsiTheme="minorHAnsi"/>
          <w:sz w:val="22"/>
          <w:szCs w:val="22"/>
          <w:lang w:eastAsia="en-US"/>
        </w:rPr>
        <w:t xml:space="preserve"> verisi 6 Haziran'da açıklanmakta, bunun yanında ekonomistler </w:t>
      </w:r>
      <w:r w:rsidRPr="00327031">
        <w:rPr>
          <w:rFonts w:asciiTheme="minorHAnsi" w:eastAsiaTheme="minorHAnsi" w:hAnsiTheme="minorHAnsi"/>
          <w:sz w:val="22"/>
          <w:szCs w:val="22"/>
          <w:lang w:eastAsia="en-US"/>
        </w:rPr>
        <w:t>işsizlik</w:t>
      </w:r>
      <w:r w:rsidR="007E6AFC" w:rsidRPr="00327031">
        <w:rPr>
          <w:rFonts w:asciiTheme="minorHAnsi" w:eastAsiaTheme="minorHAnsi" w:hAnsiTheme="minorHAnsi"/>
          <w:sz w:val="22"/>
          <w:szCs w:val="22"/>
          <w:lang w:eastAsia="en-US"/>
        </w:rPr>
        <w:t xml:space="preserve"> verisi daha açıklanmadan istihdam piyasası ile ilgili bir dizi öncü göstergeye bakarak </w:t>
      </w:r>
      <w:r w:rsidRPr="00327031">
        <w:rPr>
          <w:rFonts w:asciiTheme="minorHAnsi" w:eastAsiaTheme="minorHAnsi" w:hAnsiTheme="minorHAnsi"/>
          <w:sz w:val="22"/>
          <w:szCs w:val="22"/>
          <w:lang w:eastAsia="en-US"/>
        </w:rPr>
        <w:t>işsizlik</w:t>
      </w:r>
      <w:r w:rsidR="007E6AFC" w:rsidRPr="00327031">
        <w:rPr>
          <w:rFonts w:asciiTheme="minorHAnsi" w:eastAsiaTheme="minorHAnsi" w:hAnsiTheme="minorHAnsi"/>
          <w:sz w:val="22"/>
          <w:szCs w:val="22"/>
          <w:lang w:eastAsia="en-US"/>
        </w:rPr>
        <w:t xml:space="preserve"> verisi ile ilgili bir tahmin yapabilmektedirler. Buna karşılık Türkiye ekonomisi için </w:t>
      </w:r>
      <w:r w:rsidRPr="00327031">
        <w:rPr>
          <w:rFonts w:asciiTheme="minorHAnsi" w:eastAsiaTheme="minorHAnsi" w:hAnsiTheme="minorHAnsi"/>
          <w:sz w:val="22"/>
          <w:szCs w:val="22"/>
          <w:lang w:eastAsia="en-US"/>
        </w:rPr>
        <w:t>işsizlik</w:t>
      </w:r>
      <w:r w:rsidR="007E6AFC" w:rsidRPr="00327031">
        <w:rPr>
          <w:rFonts w:asciiTheme="minorHAnsi" w:eastAsiaTheme="minorHAnsi" w:hAnsiTheme="minorHAnsi"/>
          <w:sz w:val="22"/>
          <w:szCs w:val="22"/>
          <w:lang w:eastAsia="en-US"/>
        </w:rPr>
        <w:t xml:space="preserve"> verisi 2 buçuk ay geçikmeyle açıklanmaktadır. Mayıs 2014 dönemine (üç aylık ortalama Nisan-Mayıs-Haziran) dair </w:t>
      </w:r>
      <w:r w:rsidRPr="00327031">
        <w:rPr>
          <w:rFonts w:asciiTheme="minorHAnsi" w:eastAsiaTheme="minorHAnsi" w:hAnsiTheme="minorHAnsi"/>
          <w:sz w:val="22"/>
          <w:szCs w:val="22"/>
          <w:lang w:eastAsia="en-US"/>
        </w:rPr>
        <w:t>işsizlik</w:t>
      </w:r>
      <w:r w:rsidR="007E6AFC" w:rsidRPr="00327031">
        <w:rPr>
          <w:rFonts w:asciiTheme="minorHAnsi" w:eastAsiaTheme="minorHAnsi" w:hAnsiTheme="minorHAnsi"/>
          <w:sz w:val="22"/>
          <w:szCs w:val="22"/>
          <w:lang w:eastAsia="en-US"/>
        </w:rPr>
        <w:t xml:space="preserve"> verisi ancak 15 Ağustos'ta açıklanacaktır. Ayrıca Türkiye ekonomisi için </w:t>
      </w:r>
      <w:r w:rsidRPr="00327031">
        <w:rPr>
          <w:rFonts w:asciiTheme="minorHAnsi" w:eastAsiaTheme="minorHAnsi" w:hAnsiTheme="minorHAnsi"/>
          <w:sz w:val="22"/>
          <w:szCs w:val="22"/>
          <w:lang w:eastAsia="en-US"/>
        </w:rPr>
        <w:t>işsizlik</w:t>
      </w:r>
      <w:r w:rsidR="007E6AFC" w:rsidRPr="00327031">
        <w:rPr>
          <w:rFonts w:asciiTheme="minorHAnsi" w:eastAsiaTheme="minorHAnsi" w:hAnsiTheme="minorHAnsi"/>
          <w:sz w:val="22"/>
          <w:szCs w:val="22"/>
          <w:lang w:eastAsia="en-US"/>
        </w:rPr>
        <w:t xml:space="preserve"> verisi tahmini yapılmasını sağlayacak istihdam piyasasına dair öncü gösterge </w:t>
      </w:r>
      <w:r w:rsidR="00AA277E" w:rsidRPr="00327031">
        <w:rPr>
          <w:rFonts w:asciiTheme="minorHAnsi" w:eastAsiaTheme="minorHAnsi" w:hAnsiTheme="minorHAnsi"/>
          <w:sz w:val="22"/>
          <w:szCs w:val="22"/>
          <w:lang w:eastAsia="en-US"/>
        </w:rPr>
        <w:t>oldukça sınırlı sayıdadır</w:t>
      </w:r>
      <w:r w:rsidR="007E6AFC" w:rsidRPr="00327031">
        <w:rPr>
          <w:rFonts w:asciiTheme="minorHAnsi" w:eastAsiaTheme="minorHAnsi" w:hAnsiTheme="minorHAnsi"/>
          <w:sz w:val="22"/>
          <w:szCs w:val="22"/>
          <w:lang w:eastAsia="en-US"/>
        </w:rPr>
        <w:t>.</w:t>
      </w:r>
      <w:r w:rsidR="007E6AFC" w:rsidRPr="00327031">
        <w:rPr>
          <w:rStyle w:val="FootnoteReference"/>
          <w:rFonts w:asciiTheme="minorHAnsi" w:eastAsiaTheme="minorHAnsi" w:hAnsiTheme="minorHAnsi"/>
          <w:sz w:val="22"/>
          <w:szCs w:val="22"/>
          <w:lang w:eastAsia="en-US"/>
        </w:rPr>
        <w:footnoteReference w:id="2"/>
      </w:r>
      <w:r w:rsidR="007E6AFC" w:rsidRPr="00327031">
        <w:rPr>
          <w:rFonts w:asciiTheme="minorHAnsi" w:eastAsiaTheme="minorHAnsi" w:hAnsiTheme="minorHAnsi"/>
          <w:sz w:val="22"/>
          <w:szCs w:val="22"/>
          <w:lang w:eastAsia="en-US"/>
        </w:rPr>
        <w:t xml:space="preserve"> </w:t>
      </w:r>
      <w:r w:rsidR="00AA277E" w:rsidRPr="00327031">
        <w:rPr>
          <w:rFonts w:asciiTheme="minorHAnsi" w:eastAsiaTheme="minorHAnsi" w:hAnsiTheme="minorHAnsi"/>
          <w:sz w:val="22"/>
          <w:szCs w:val="22"/>
          <w:lang w:eastAsia="en-US"/>
        </w:rPr>
        <w:t>Tahmin yapmak amacıyla</w:t>
      </w:r>
      <w:r w:rsidR="007E6AFC" w:rsidRPr="00327031">
        <w:rPr>
          <w:rFonts w:asciiTheme="minorHAnsi" w:eastAsiaTheme="minorHAnsi" w:hAnsiTheme="minorHAnsi"/>
          <w:sz w:val="22"/>
          <w:szCs w:val="22"/>
          <w:lang w:eastAsia="en-US"/>
        </w:rPr>
        <w:t xml:space="preserve"> Betam Nisan 2011'den beri Kariyer.net’in ilan başına başvuru sayısını öncü gösterge olarak kullanmaktadır. Bu </w:t>
      </w:r>
      <w:r w:rsidRPr="00327031">
        <w:rPr>
          <w:rFonts w:asciiTheme="minorHAnsi" w:eastAsiaTheme="minorHAnsi" w:hAnsiTheme="minorHAnsi"/>
          <w:sz w:val="22"/>
          <w:szCs w:val="22"/>
          <w:lang w:eastAsia="en-US"/>
        </w:rPr>
        <w:t>araştırma</w:t>
      </w:r>
      <w:r w:rsidR="007E6AFC" w:rsidRPr="00327031">
        <w:rPr>
          <w:rFonts w:asciiTheme="minorHAnsi" w:eastAsiaTheme="minorHAnsi" w:hAnsiTheme="minorHAnsi"/>
          <w:sz w:val="22"/>
          <w:szCs w:val="22"/>
          <w:lang w:eastAsia="en-US"/>
        </w:rPr>
        <w:t xml:space="preserve"> notunda bu öncü göstergenin kısa vadeli tahmin performansı incelenmektedir. </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lastRenderedPageBreak/>
        <w:t xml:space="preserve">Kariyer.net ilan başına başvuru sayısının tahmin performansını incelemek için bu araştırmada Otoregresif Dağıtılmış Gecikmeler (autoregressive distributed lag [ADL(p,k)]) modeli kullanılmaktadır. </w:t>
      </w:r>
      <w:r w:rsidR="00D52653" w:rsidRPr="00327031">
        <w:rPr>
          <w:rFonts w:asciiTheme="minorHAnsi" w:eastAsiaTheme="minorHAnsi" w:hAnsiTheme="minorHAnsi"/>
          <w:sz w:val="22"/>
          <w:szCs w:val="22"/>
          <w:lang w:eastAsia="en-US"/>
        </w:rPr>
        <w:t xml:space="preserve">Kariyer.net ilan başına başvuru sayısınının tahmin performansını karşılaştırabilmek için çeşitli modeller kullanılmıştır. Bu modeller sırasıyla şunlardan oluşmaktadır: 1. </w:t>
      </w:r>
      <w:r w:rsidRPr="00327031">
        <w:rPr>
          <w:rFonts w:asciiTheme="minorHAnsi" w:eastAsiaTheme="minorHAnsi" w:hAnsiTheme="minorHAnsi"/>
          <w:sz w:val="22"/>
          <w:szCs w:val="22"/>
          <w:lang w:eastAsia="en-US"/>
        </w:rPr>
        <w:t>tarım dışı işsizliğin gecikmelerini içeren Otoregresif (autoregressive [AR(p)]) model</w:t>
      </w:r>
      <w:r w:rsidR="00D52653" w:rsidRPr="00327031">
        <w:rPr>
          <w:rFonts w:asciiTheme="minorHAnsi" w:eastAsiaTheme="minorHAnsi" w:hAnsiTheme="minorHAnsi"/>
          <w:sz w:val="22"/>
          <w:szCs w:val="22"/>
          <w:lang w:eastAsia="en-US"/>
        </w:rPr>
        <w:t>, 2.</w:t>
      </w:r>
      <w:r w:rsidRPr="00327031">
        <w:rPr>
          <w:rFonts w:asciiTheme="minorHAnsi" w:eastAsiaTheme="minorHAnsi" w:hAnsiTheme="minorHAnsi"/>
          <w:sz w:val="22"/>
          <w:szCs w:val="22"/>
          <w:lang w:eastAsia="en-US"/>
        </w:rPr>
        <w:t xml:space="preserve"> Sanayi Üretim Endeksi</w:t>
      </w:r>
      <w:r w:rsidR="00D52653" w:rsidRPr="00327031">
        <w:rPr>
          <w:rFonts w:asciiTheme="minorHAnsi" w:eastAsiaTheme="minorHAnsi" w:hAnsiTheme="minorHAnsi"/>
          <w:sz w:val="22"/>
          <w:szCs w:val="22"/>
          <w:lang w:eastAsia="en-US"/>
        </w:rPr>
        <w:t>'ni</w:t>
      </w:r>
      <w:r w:rsidRPr="00327031">
        <w:rPr>
          <w:rFonts w:asciiTheme="minorHAnsi" w:eastAsiaTheme="minorHAnsi" w:hAnsiTheme="minorHAnsi"/>
          <w:sz w:val="22"/>
          <w:szCs w:val="22"/>
          <w:lang w:eastAsia="en-US"/>
        </w:rPr>
        <w:t xml:space="preserve"> (SÜE)</w:t>
      </w:r>
      <w:r w:rsidR="00D52653" w:rsidRPr="00327031">
        <w:rPr>
          <w:rFonts w:asciiTheme="minorHAnsi" w:eastAsiaTheme="minorHAnsi" w:hAnsiTheme="minorHAnsi"/>
          <w:sz w:val="22"/>
          <w:szCs w:val="22"/>
          <w:lang w:eastAsia="en-US"/>
        </w:rPr>
        <w:t xml:space="preserve"> içeren ADL model, 3.</w:t>
      </w:r>
      <w:r w:rsidRPr="00327031">
        <w:rPr>
          <w:rFonts w:asciiTheme="minorHAnsi" w:eastAsiaTheme="minorHAnsi" w:hAnsiTheme="minorHAnsi"/>
          <w:sz w:val="22"/>
          <w:szCs w:val="22"/>
          <w:lang w:eastAsia="en-US"/>
        </w:rPr>
        <w:t xml:space="preserve"> Tüketici Güven Endeksi</w:t>
      </w:r>
      <w:r w:rsidR="00D52653" w:rsidRPr="00327031">
        <w:rPr>
          <w:rFonts w:asciiTheme="minorHAnsi" w:eastAsiaTheme="minorHAnsi" w:hAnsiTheme="minorHAnsi"/>
          <w:sz w:val="22"/>
          <w:szCs w:val="22"/>
          <w:lang w:eastAsia="en-US"/>
        </w:rPr>
        <w:t>'ni</w:t>
      </w:r>
      <w:r w:rsidRPr="00327031">
        <w:rPr>
          <w:rFonts w:asciiTheme="minorHAnsi" w:eastAsiaTheme="minorHAnsi" w:hAnsiTheme="minorHAnsi"/>
          <w:sz w:val="22"/>
          <w:szCs w:val="22"/>
          <w:lang w:eastAsia="en-US"/>
        </w:rPr>
        <w:t xml:space="preserve"> (TGE)</w:t>
      </w:r>
      <w:r w:rsidR="00D52653" w:rsidRPr="00327031">
        <w:rPr>
          <w:rFonts w:asciiTheme="minorHAnsi" w:eastAsiaTheme="minorHAnsi" w:hAnsiTheme="minorHAnsi"/>
          <w:sz w:val="22"/>
          <w:szCs w:val="22"/>
          <w:lang w:eastAsia="en-US"/>
        </w:rPr>
        <w:t xml:space="preserve"> içeren ADL model</w:t>
      </w:r>
      <w:r w:rsidRPr="00327031">
        <w:rPr>
          <w:rFonts w:asciiTheme="minorHAnsi" w:eastAsiaTheme="minorHAnsi" w:hAnsiTheme="minorHAnsi"/>
          <w:sz w:val="22"/>
          <w:szCs w:val="22"/>
          <w:lang w:eastAsia="en-US"/>
        </w:rPr>
        <w:t>,</w:t>
      </w:r>
      <w:r w:rsidR="00D52653" w:rsidRPr="00327031">
        <w:rPr>
          <w:rFonts w:asciiTheme="minorHAnsi" w:eastAsiaTheme="minorHAnsi" w:hAnsiTheme="minorHAnsi"/>
          <w:sz w:val="22"/>
          <w:szCs w:val="22"/>
          <w:lang w:eastAsia="en-US"/>
        </w:rPr>
        <w:t xml:space="preserve"> 4.</w:t>
      </w:r>
      <w:r w:rsidRPr="00327031">
        <w:rPr>
          <w:rFonts w:asciiTheme="minorHAnsi" w:eastAsiaTheme="minorHAnsi" w:hAnsiTheme="minorHAnsi"/>
          <w:sz w:val="22"/>
          <w:szCs w:val="22"/>
          <w:lang w:eastAsia="en-US"/>
        </w:rPr>
        <w:t xml:space="preserve"> Reel Kesim Güven Endeksi</w:t>
      </w:r>
      <w:r w:rsidR="00D52653" w:rsidRPr="00327031">
        <w:rPr>
          <w:rFonts w:asciiTheme="minorHAnsi" w:eastAsiaTheme="minorHAnsi" w:hAnsiTheme="minorHAnsi"/>
          <w:sz w:val="22"/>
          <w:szCs w:val="22"/>
          <w:lang w:eastAsia="en-US"/>
        </w:rPr>
        <w:t>'ni</w:t>
      </w:r>
      <w:r w:rsidRPr="00327031">
        <w:rPr>
          <w:rFonts w:asciiTheme="minorHAnsi" w:eastAsiaTheme="minorHAnsi" w:hAnsiTheme="minorHAnsi"/>
          <w:sz w:val="22"/>
          <w:szCs w:val="22"/>
          <w:lang w:eastAsia="en-US"/>
        </w:rPr>
        <w:t xml:space="preserve"> (RKGE)</w:t>
      </w:r>
      <w:r w:rsidR="00D52653" w:rsidRPr="00327031">
        <w:rPr>
          <w:rFonts w:asciiTheme="minorHAnsi" w:eastAsiaTheme="minorHAnsi" w:hAnsiTheme="minorHAnsi"/>
          <w:sz w:val="22"/>
          <w:szCs w:val="22"/>
          <w:lang w:eastAsia="en-US"/>
        </w:rPr>
        <w:t xml:space="preserve"> içeren ADL model</w:t>
      </w:r>
      <w:r w:rsidRPr="00327031">
        <w:rPr>
          <w:rFonts w:asciiTheme="minorHAnsi" w:eastAsiaTheme="minorHAnsi" w:hAnsiTheme="minorHAnsi"/>
          <w:sz w:val="22"/>
          <w:szCs w:val="22"/>
          <w:lang w:eastAsia="en-US"/>
        </w:rPr>
        <w:t xml:space="preserve"> ve</w:t>
      </w:r>
      <w:r w:rsidR="00D52653" w:rsidRPr="00327031">
        <w:rPr>
          <w:rFonts w:asciiTheme="minorHAnsi" w:eastAsiaTheme="minorHAnsi" w:hAnsiTheme="minorHAnsi"/>
          <w:sz w:val="22"/>
          <w:szCs w:val="22"/>
          <w:lang w:eastAsia="en-US"/>
        </w:rPr>
        <w:t xml:space="preserve"> 5.</w:t>
      </w:r>
      <w:r w:rsidRPr="00327031">
        <w:rPr>
          <w:rFonts w:asciiTheme="minorHAnsi" w:eastAsiaTheme="minorHAnsi" w:hAnsiTheme="minorHAnsi"/>
          <w:sz w:val="22"/>
          <w:szCs w:val="22"/>
          <w:lang w:eastAsia="en-US"/>
        </w:rPr>
        <w:t xml:space="preserve"> RKGE'nin alt kolu olan gelecek üç aydaki toplam istihdam beklentisi</w:t>
      </w:r>
      <w:r w:rsidR="00D52653" w:rsidRPr="00327031">
        <w:rPr>
          <w:rFonts w:asciiTheme="minorHAnsi" w:eastAsiaTheme="minorHAnsi" w:hAnsiTheme="minorHAnsi"/>
          <w:sz w:val="22"/>
          <w:szCs w:val="22"/>
          <w:lang w:eastAsia="en-US"/>
        </w:rPr>
        <w:t>'ni</w:t>
      </w:r>
      <w:r w:rsidRPr="00327031">
        <w:rPr>
          <w:rFonts w:asciiTheme="minorHAnsi" w:eastAsiaTheme="minorHAnsi" w:hAnsiTheme="minorHAnsi"/>
          <w:sz w:val="22"/>
          <w:szCs w:val="22"/>
          <w:lang w:eastAsia="en-US"/>
        </w:rPr>
        <w:t xml:space="preserve"> (RKGE-İst) içeren ADL </w:t>
      </w:r>
      <w:r w:rsidR="00D52653" w:rsidRPr="00327031">
        <w:rPr>
          <w:rFonts w:asciiTheme="minorHAnsi" w:eastAsiaTheme="minorHAnsi" w:hAnsiTheme="minorHAnsi"/>
          <w:sz w:val="22"/>
          <w:szCs w:val="22"/>
          <w:lang w:eastAsia="en-US"/>
        </w:rPr>
        <w:t>modeli.</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 xml:space="preserve">Notun geri kalanı şu şekilde organize edilmektedir: notun 2. kısmında araştırmada kullanılan veriler incelenmektedir; 3. kısmında tahmin modelleri ve metotları tanıtılmaktadır; 4. kısımda modellerin tahmin sonuçları verilmektedir ve tahmin performansları ile istatistiki testler yapılmaktadır; 5. kısımda ise </w:t>
      </w:r>
      <w:r w:rsidR="00271AC2" w:rsidRPr="00327031">
        <w:rPr>
          <w:rFonts w:asciiTheme="minorHAnsi" w:eastAsiaTheme="minorHAnsi" w:hAnsiTheme="minorHAnsi"/>
          <w:sz w:val="22"/>
          <w:szCs w:val="22"/>
          <w:lang w:eastAsia="en-US"/>
        </w:rPr>
        <w:t xml:space="preserve">sonuçlara dair </w:t>
      </w:r>
      <w:r w:rsidRPr="00327031">
        <w:rPr>
          <w:rFonts w:asciiTheme="minorHAnsi" w:eastAsiaTheme="minorHAnsi" w:hAnsiTheme="minorHAnsi"/>
          <w:sz w:val="22"/>
          <w:szCs w:val="22"/>
          <w:lang w:eastAsia="en-US"/>
        </w:rPr>
        <w:t xml:space="preserve">kısa bir değerlendirme yer almaktadır.  </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b/>
          <w:sz w:val="22"/>
          <w:szCs w:val="22"/>
          <w:lang w:eastAsia="en-US"/>
        </w:rPr>
      </w:pPr>
      <w:r w:rsidRPr="00327031">
        <w:rPr>
          <w:rFonts w:asciiTheme="minorHAnsi" w:eastAsiaTheme="minorHAnsi" w:hAnsiTheme="minorHAnsi"/>
          <w:b/>
          <w:sz w:val="22"/>
          <w:szCs w:val="22"/>
          <w:lang w:eastAsia="en-US"/>
        </w:rPr>
        <w:t>2. Veri</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 xml:space="preserve">Bu çalışmada asıl olarak Kariyer.net ilan başına başvuru verisinin tarım dışı işsizlik tahmin performansı incelenmektedir. Bu seriyi elde etmek için Betam Kariyer.net'ten ilgili ayın bitiminden hemen sonra mevsimsellikten arındırılmamış toplam ilan sayısı ve ilanlara yapılan toplam başvuru sayısını almaktadır. Bu iki seri TSW ile mevsimsellikten arındırıldıktan sonra toplam ilan sayısının toplam başvuru sayısına bölünmesi ile ilan başına başvuru sayısı bulunmaktadır. </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BC5DCE"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Bu araştırma notunda</w:t>
      </w:r>
      <w:r w:rsidR="007E6AFC" w:rsidRPr="00327031">
        <w:rPr>
          <w:rFonts w:asciiTheme="minorHAnsi" w:eastAsiaTheme="minorHAnsi" w:hAnsiTheme="minorHAnsi"/>
          <w:sz w:val="22"/>
          <w:szCs w:val="22"/>
          <w:lang w:eastAsia="en-US"/>
        </w:rPr>
        <w:t xml:space="preserve"> Kariyer.net verisinin yanında dört ayrı değişkenle de tarım dışı işsizlik oranı tahmin edilmektedir. Bu dört ayrı değişkenden ilki </w:t>
      </w:r>
      <w:r w:rsidR="00271AC2" w:rsidRPr="00327031">
        <w:rPr>
          <w:rFonts w:asciiTheme="minorHAnsi" w:eastAsiaTheme="minorHAnsi" w:hAnsiTheme="minorHAnsi"/>
          <w:sz w:val="22"/>
          <w:szCs w:val="22"/>
          <w:lang w:eastAsia="en-US"/>
        </w:rPr>
        <w:t xml:space="preserve">olan </w:t>
      </w:r>
      <w:r w:rsidR="007E6AFC" w:rsidRPr="00327031">
        <w:rPr>
          <w:rFonts w:asciiTheme="minorHAnsi" w:eastAsiaTheme="minorHAnsi" w:hAnsiTheme="minorHAnsi"/>
          <w:sz w:val="22"/>
          <w:szCs w:val="22"/>
          <w:lang w:eastAsia="en-US"/>
        </w:rPr>
        <w:t>SÜE</w:t>
      </w:r>
      <w:r w:rsidR="00271AC2" w:rsidRPr="00327031">
        <w:rPr>
          <w:rFonts w:asciiTheme="minorHAnsi" w:eastAsiaTheme="minorHAnsi" w:hAnsiTheme="minorHAnsi"/>
          <w:sz w:val="22"/>
          <w:szCs w:val="22"/>
          <w:lang w:eastAsia="en-US"/>
        </w:rPr>
        <w:t>,</w:t>
      </w:r>
      <w:r w:rsidR="007E6AFC" w:rsidRPr="00327031">
        <w:rPr>
          <w:rFonts w:asciiTheme="minorHAnsi" w:eastAsiaTheme="minorHAnsi" w:hAnsiTheme="minorHAnsi"/>
          <w:sz w:val="22"/>
          <w:szCs w:val="22"/>
          <w:lang w:eastAsia="en-US"/>
        </w:rPr>
        <w:t xml:space="preserve"> Türkiye İstatistik Kurumu (TÜİK) tarafından ilgili ayın bitiminden yaklaşık 40 gün sonra</w:t>
      </w:r>
      <w:r w:rsidRPr="00327031">
        <w:rPr>
          <w:rFonts w:asciiTheme="minorHAnsi" w:eastAsiaTheme="minorHAnsi" w:hAnsiTheme="minorHAnsi"/>
          <w:sz w:val="22"/>
          <w:szCs w:val="22"/>
          <w:lang w:eastAsia="en-US"/>
        </w:rPr>
        <w:t xml:space="preserve"> mevsimsellikten arındırılmış olarak</w:t>
      </w:r>
      <w:r w:rsidR="007E6AFC" w:rsidRPr="00327031">
        <w:rPr>
          <w:rFonts w:asciiTheme="minorHAnsi" w:eastAsiaTheme="minorHAnsi" w:hAnsiTheme="minorHAnsi"/>
          <w:sz w:val="22"/>
          <w:szCs w:val="22"/>
          <w:lang w:eastAsia="en-US"/>
        </w:rPr>
        <w:t xml:space="preserve"> açıklanmaktadır. Tahmin modellerinde kullanılan diğer bir seri olan TGE</w:t>
      </w:r>
      <w:r w:rsidR="00E06E12" w:rsidRPr="00327031">
        <w:rPr>
          <w:rFonts w:asciiTheme="minorHAnsi" w:eastAsiaTheme="minorHAnsi" w:hAnsiTheme="minorHAnsi"/>
          <w:sz w:val="22"/>
          <w:szCs w:val="22"/>
          <w:lang w:eastAsia="en-US"/>
        </w:rPr>
        <w:t>,</w:t>
      </w:r>
      <w:r w:rsidR="007E6AFC" w:rsidRPr="00327031">
        <w:rPr>
          <w:rFonts w:asciiTheme="minorHAnsi" w:eastAsiaTheme="minorHAnsi" w:hAnsiTheme="minorHAnsi"/>
          <w:sz w:val="22"/>
          <w:szCs w:val="22"/>
          <w:lang w:eastAsia="en-US"/>
        </w:rPr>
        <w:t xml:space="preserve"> TÜİK tarafından ilgili ay bitmeden önce açıklanmaktadır, ve TÜİK TGE'yi mevsimsellikten arındırmadığı için Betam bu seriyi TSW kullanarak mevsimsellikten arındırmaktadır. Son olarak bu çalışmada kullanılacak iki veri Reel Kesim Güven Endeksi (RKGE) ve RKGE'nin alt kolu olan gelecek üç aydaki toplam istihdam beklentisi (RKGE-İst) ilgili ay bitmeden Türkiye Cumhuriyeti Merkez Bankası (TCMB) tarafından mevsimsellikten arındırılmış olarak açıklanmaktadır.</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 xml:space="preserve">Bu </w:t>
      </w:r>
      <w:r w:rsidR="002338D3" w:rsidRPr="00327031">
        <w:rPr>
          <w:rFonts w:asciiTheme="minorHAnsi" w:eastAsiaTheme="minorHAnsi" w:hAnsiTheme="minorHAnsi"/>
          <w:sz w:val="22"/>
          <w:szCs w:val="22"/>
          <w:lang w:eastAsia="en-US"/>
        </w:rPr>
        <w:t>araştırmada</w:t>
      </w:r>
      <w:r w:rsidRPr="00327031">
        <w:rPr>
          <w:rFonts w:asciiTheme="minorHAnsi" w:eastAsiaTheme="minorHAnsi" w:hAnsiTheme="minorHAnsi"/>
          <w:sz w:val="22"/>
          <w:szCs w:val="22"/>
          <w:lang w:eastAsia="en-US"/>
        </w:rPr>
        <w:t xml:space="preserve"> tahmin edilmeye çalışılan seri olan tarım dışı işsizlik oranı TÜİK tarafından ilgili ayın bitmesinden 2 buçuk ay sonra mevsimsellikten arındırılmış bir biçimde açıklanmaktadır. RKGE ve RKGE-İst hariç bütün seriler için 2005.1-2014.2</w:t>
      </w:r>
      <w:r w:rsidR="000210F0" w:rsidRPr="00327031">
        <w:rPr>
          <w:rStyle w:val="FootnoteReference"/>
          <w:rFonts w:asciiTheme="minorHAnsi" w:eastAsiaTheme="minorHAnsi" w:hAnsiTheme="minorHAnsi"/>
          <w:sz w:val="22"/>
          <w:szCs w:val="22"/>
          <w:lang w:eastAsia="en-US"/>
        </w:rPr>
        <w:footnoteReference w:id="3"/>
      </w:r>
      <w:r w:rsidRPr="00327031">
        <w:rPr>
          <w:rFonts w:asciiTheme="minorHAnsi" w:eastAsiaTheme="minorHAnsi" w:hAnsiTheme="minorHAnsi"/>
          <w:sz w:val="22"/>
          <w:szCs w:val="22"/>
          <w:lang w:eastAsia="en-US"/>
        </w:rPr>
        <w:t xml:space="preserve"> dönemleri arasındaki veri kullanılmaktadır. RKGE ve RKGE-İst serileri için ise 2007.1-2014.2</w:t>
      </w:r>
      <w:r w:rsidR="000210F0" w:rsidRPr="00327031">
        <w:rPr>
          <w:rStyle w:val="FootnoteReference"/>
          <w:rFonts w:asciiTheme="minorHAnsi" w:eastAsiaTheme="minorHAnsi" w:hAnsiTheme="minorHAnsi"/>
          <w:sz w:val="22"/>
          <w:szCs w:val="22"/>
          <w:lang w:eastAsia="en-US"/>
        </w:rPr>
        <w:footnoteReference w:id="4"/>
      </w:r>
      <w:r w:rsidRPr="00327031">
        <w:rPr>
          <w:rFonts w:asciiTheme="minorHAnsi" w:eastAsiaTheme="minorHAnsi" w:hAnsiTheme="minorHAnsi"/>
          <w:sz w:val="22"/>
          <w:szCs w:val="22"/>
          <w:lang w:eastAsia="en-US"/>
        </w:rPr>
        <w:t xml:space="preserve"> dönemleri arasındaki seri kullanılmaktadır.    </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b/>
          <w:sz w:val="22"/>
          <w:szCs w:val="22"/>
          <w:lang w:eastAsia="en-US"/>
        </w:rPr>
      </w:pPr>
      <w:r w:rsidRPr="00327031">
        <w:rPr>
          <w:rFonts w:asciiTheme="minorHAnsi" w:eastAsiaTheme="minorHAnsi" w:hAnsiTheme="minorHAnsi"/>
          <w:b/>
          <w:sz w:val="22"/>
          <w:szCs w:val="22"/>
          <w:lang w:eastAsia="en-US"/>
        </w:rPr>
        <w:t>3. Tahmin Yöntemi</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Bu notta Otoregresif Dağıtılmış Gecikmeler (autoregressive distributed lag [ADL(p,k)]) modelini kullanılarak örneklem dışı tahmin üretme yaklaşımıyla (out of sample forecast) tahminler oluşturulmuştur.</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Bir adım sonrasını (one-step ahead) tahmin etmek için aşağıdaki gibi bir ADL modeli yazılabilir</w:t>
      </w:r>
      <w:r w:rsidR="000210F0" w:rsidRPr="00327031">
        <w:rPr>
          <w:rStyle w:val="FootnoteReference"/>
          <w:rFonts w:asciiTheme="minorHAnsi" w:eastAsiaTheme="minorHAnsi" w:hAnsiTheme="minorHAnsi"/>
          <w:sz w:val="22"/>
          <w:szCs w:val="22"/>
          <w:lang w:eastAsia="en-US"/>
        </w:rPr>
        <w:footnoteReference w:id="5"/>
      </w:r>
      <w:r w:rsidRPr="00327031">
        <w:rPr>
          <w:rFonts w:asciiTheme="minorHAnsi" w:eastAsiaTheme="minorHAnsi" w:hAnsiTheme="minorHAnsi"/>
          <w:sz w:val="22"/>
          <w:szCs w:val="22"/>
          <w:lang w:eastAsia="en-US"/>
        </w:rPr>
        <w:t xml:space="preserve">: </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AE71AE" w:rsidP="007E6AFC">
      <w:pPr>
        <w:suppressAutoHyphens w:val="0"/>
        <w:jc w:val="both"/>
        <w:rPr>
          <w:rFonts w:asciiTheme="minorHAnsi" w:eastAsiaTheme="minorEastAsia" w:hAnsiTheme="minorHAnsi"/>
          <w:sz w:val="22"/>
          <w:szCs w:val="22"/>
          <w:lang w:eastAsia="en-US"/>
        </w:rPr>
      </w:pPr>
      <m:oMathPara>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y</m:t>
              </m:r>
            </m:e>
            <m:sub>
              <m:r>
                <w:rPr>
                  <w:rFonts w:ascii="Cambria Math" w:eastAsiaTheme="minorHAnsi" w:hAnsi="Cambria Math"/>
                  <w:sz w:val="22"/>
                  <w:szCs w:val="22"/>
                  <w:lang w:eastAsia="en-US"/>
                </w:rPr>
                <m:t>t</m:t>
              </m:r>
              <m:r>
                <w:rPr>
                  <w:rFonts w:ascii="Cambria Math" w:eastAsiaTheme="minorHAnsi" w:hAnsiTheme="minorHAnsi"/>
                  <w:sz w:val="22"/>
                  <w:szCs w:val="22"/>
                  <w:lang w:eastAsia="en-US"/>
                </w:rPr>
                <m:t>+1</m:t>
              </m:r>
            </m:sub>
          </m:sSub>
          <m:r>
            <w:rPr>
              <w:rFonts w:ascii="Cambria Math" w:eastAsiaTheme="minorHAnsi" w:hAnsiTheme="minorHAnsi"/>
              <w:sz w:val="22"/>
              <w:szCs w:val="22"/>
              <w:lang w:eastAsia="en-US"/>
            </w:rPr>
            <m:t>=</m:t>
          </m:r>
          <m:nary>
            <m:naryPr>
              <m:chr m:val="∑"/>
              <m:limLoc m:val="undOvr"/>
              <m:ctrlPr>
                <w:rPr>
                  <w:rFonts w:ascii="Cambria Math" w:eastAsiaTheme="minorHAnsi" w:hAnsi="Cambria Math"/>
                  <w:i/>
                  <w:sz w:val="22"/>
                  <w:szCs w:val="22"/>
                  <w:lang w:eastAsia="en-US"/>
                </w:rPr>
              </m:ctrlPr>
            </m:naryPr>
            <m:sub>
              <m:r>
                <w:rPr>
                  <w:rFonts w:ascii="Cambria Math" w:eastAsiaTheme="minorHAnsi" w:hAnsi="Cambria Math"/>
                  <w:sz w:val="22"/>
                  <w:szCs w:val="22"/>
                  <w:lang w:eastAsia="en-US"/>
                </w:rPr>
                <m:t>i</m:t>
              </m:r>
              <m:r>
                <w:rPr>
                  <w:rFonts w:ascii="Cambria Math" w:eastAsiaTheme="minorHAnsi" w:hAnsiTheme="minorHAnsi"/>
                  <w:sz w:val="22"/>
                  <w:szCs w:val="22"/>
                  <w:lang w:eastAsia="en-US"/>
                </w:rPr>
                <m:t>=1</m:t>
              </m:r>
            </m:sub>
            <m:sup>
              <m:r>
                <w:rPr>
                  <w:rFonts w:ascii="Cambria Math" w:eastAsiaTheme="minorHAnsi" w:hAnsi="Cambria Math"/>
                  <w:sz w:val="22"/>
                  <w:szCs w:val="22"/>
                  <w:lang w:eastAsia="en-US"/>
                </w:rPr>
                <m:t>p</m:t>
              </m:r>
            </m:sup>
            <m:e>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β</m:t>
                  </m:r>
                </m:e>
                <m:sub>
                  <m:r>
                    <w:rPr>
                      <w:rFonts w:ascii="Cambria Math" w:eastAsiaTheme="minorHAnsi" w:hAnsi="Cambria Math"/>
                      <w:sz w:val="22"/>
                      <w:szCs w:val="22"/>
                      <w:lang w:eastAsia="en-US"/>
                    </w:rPr>
                    <m:t>i</m:t>
                  </m:r>
                </m:sub>
              </m:sSub>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y</m:t>
                  </m:r>
                </m:e>
                <m:sub>
                  <m:r>
                    <w:rPr>
                      <w:rFonts w:ascii="Cambria Math" w:eastAsiaTheme="minorHAnsi" w:hAnsi="Cambria Math"/>
                      <w:sz w:val="22"/>
                      <w:szCs w:val="22"/>
                      <w:lang w:eastAsia="en-US"/>
                    </w:rPr>
                    <m:t>t</m:t>
                  </m:r>
                  <m:r>
                    <w:rPr>
                      <w:rFonts w:ascii="Cambria Math" w:eastAsiaTheme="minorHAnsi" w:hAnsiTheme="minorHAnsi"/>
                      <w:sz w:val="22"/>
                      <w:szCs w:val="22"/>
                      <w:lang w:eastAsia="en-US"/>
                    </w:rPr>
                    <m:t>+1</m:t>
                  </m:r>
                  <m:r>
                    <w:rPr>
                      <w:rFonts w:ascii="Cambria Math" w:eastAsiaTheme="minorHAnsi" w:hAnsiTheme="minorHAnsi"/>
                      <w:sz w:val="22"/>
                      <w:szCs w:val="22"/>
                      <w:lang w:eastAsia="en-US"/>
                    </w:rPr>
                    <m:t>-</m:t>
                  </m:r>
                  <m:r>
                    <w:rPr>
                      <w:rFonts w:ascii="Cambria Math" w:eastAsiaTheme="minorHAnsi" w:hAnsi="Cambria Math"/>
                      <w:sz w:val="22"/>
                      <w:szCs w:val="22"/>
                      <w:lang w:eastAsia="en-US"/>
                    </w:rPr>
                    <m:t>i</m:t>
                  </m:r>
                </m:sub>
              </m:sSub>
            </m:e>
          </m:nary>
          <m:r>
            <w:rPr>
              <w:rFonts w:ascii="Cambria Math" w:eastAsiaTheme="minorHAnsi" w:hAnsiTheme="minorHAnsi"/>
              <w:sz w:val="22"/>
              <w:szCs w:val="22"/>
              <w:lang w:eastAsia="en-US"/>
            </w:rPr>
            <m:t>+</m:t>
          </m:r>
          <m:nary>
            <m:naryPr>
              <m:chr m:val="∑"/>
              <m:limLoc m:val="undOvr"/>
              <m:ctrlPr>
                <w:rPr>
                  <w:rFonts w:ascii="Cambria Math" w:eastAsiaTheme="minorHAnsi" w:hAnsi="Cambria Math"/>
                  <w:i/>
                  <w:sz w:val="22"/>
                  <w:szCs w:val="22"/>
                  <w:lang w:eastAsia="en-US"/>
                </w:rPr>
              </m:ctrlPr>
            </m:naryPr>
            <m:sub>
              <m:r>
                <w:rPr>
                  <w:rFonts w:ascii="Cambria Math" w:eastAsiaTheme="minorHAnsi" w:hAnsi="Cambria Math"/>
                  <w:sz w:val="22"/>
                  <w:szCs w:val="22"/>
                  <w:lang w:eastAsia="en-US"/>
                </w:rPr>
                <m:t>j</m:t>
              </m:r>
              <m:r>
                <w:rPr>
                  <w:rFonts w:ascii="Cambria Math" w:eastAsiaTheme="minorHAnsi" w:hAnsiTheme="minorHAnsi"/>
                  <w:sz w:val="22"/>
                  <w:szCs w:val="22"/>
                  <w:lang w:eastAsia="en-US"/>
                </w:rPr>
                <m:t>=1</m:t>
              </m:r>
            </m:sub>
            <m:sup>
              <m:r>
                <w:rPr>
                  <w:rFonts w:ascii="Cambria Math" w:eastAsiaTheme="minorHAnsi" w:hAnsi="Cambria Math"/>
                  <w:sz w:val="22"/>
                  <w:szCs w:val="22"/>
                  <w:lang w:eastAsia="en-US"/>
                </w:rPr>
                <m:t>k</m:t>
              </m:r>
            </m:sup>
            <m:e>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γ</m:t>
                  </m:r>
                </m:e>
                <m:sub>
                  <m:r>
                    <w:rPr>
                      <w:rFonts w:ascii="Cambria Math" w:eastAsiaTheme="minorHAnsi" w:hAnsi="Cambria Math"/>
                      <w:sz w:val="22"/>
                      <w:szCs w:val="22"/>
                      <w:lang w:eastAsia="en-US"/>
                    </w:rPr>
                    <m:t>j</m:t>
                  </m:r>
                </m:sub>
              </m:sSub>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x</m:t>
                  </m:r>
                </m:e>
                <m:sub>
                  <m:r>
                    <w:rPr>
                      <w:rFonts w:ascii="Cambria Math" w:eastAsiaTheme="minorHAnsi" w:hAnsi="Cambria Math"/>
                      <w:sz w:val="22"/>
                      <w:szCs w:val="22"/>
                      <w:lang w:eastAsia="en-US"/>
                    </w:rPr>
                    <m:t>t</m:t>
                  </m:r>
                  <m:r>
                    <w:rPr>
                      <w:rFonts w:ascii="Cambria Math" w:eastAsiaTheme="minorHAnsi" w:hAnsiTheme="minorHAnsi"/>
                      <w:sz w:val="22"/>
                      <w:szCs w:val="22"/>
                      <w:lang w:eastAsia="en-US"/>
                    </w:rPr>
                    <m:t>+2</m:t>
                  </m:r>
                  <m:r>
                    <w:rPr>
                      <w:rFonts w:ascii="Cambria Math" w:eastAsiaTheme="minorHAnsi" w:hAnsiTheme="minorHAnsi"/>
                      <w:sz w:val="22"/>
                      <w:szCs w:val="22"/>
                      <w:lang w:eastAsia="en-US"/>
                    </w:rPr>
                    <m:t>-</m:t>
                  </m:r>
                  <m:r>
                    <w:rPr>
                      <w:rFonts w:ascii="Cambria Math" w:eastAsiaTheme="minorHAnsi" w:hAnsi="Cambria Math"/>
                      <w:sz w:val="22"/>
                      <w:szCs w:val="22"/>
                      <w:lang w:eastAsia="en-US"/>
                    </w:rPr>
                    <m:t>j</m:t>
                  </m:r>
                </m:sub>
              </m:sSub>
            </m:e>
          </m:nary>
          <m:r>
            <w:rPr>
              <w:rFonts w:ascii="Cambria Math" w:eastAsiaTheme="minorHAnsi" w:hAnsiTheme="minorHAnsi"/>
              <w:sz w:val="22"/>
              <w:szCs w:val="22"/>
              <w:lang w:eastAsia="en-US"/>
            </w:rPr>
            <m:t>+</m:t>
          </m:r>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ε</m:t>
              </m:r>
            </m:e>
            <m:sub>
              <m:r>
                <w:rPr>
                  <w:rFonts w:ascii="Cambria Math" w:eastAsiaTheme="minorHAnsi" w:hAnsi="Cambria Math"/>
                  <w:sz w:val="22"/>
                  <w:szCs w:val="22"/>
                  <w:lang w:eastAsia="en-US"/>
                </w:rPr>
                <m:t>t</m:t>
              </m:r>
            </m:sub>
          </m:sSub>
        </m:oMath>
      </m:oMathPara>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AE71AE" w:rsidP="007E6AFC">
      <w:pPr>
        <w:suppressAutoHyphens w:val="0"/>
        <w:jc w:val="both"/>
        <w:rPr>
          <w:rFonts w:asciiTheme="minorHAnsi" w:eastAsiaTheme="minorEastAsia" w:hAnsiTheme="minorHAnsi"/>
          <w:sz w:val="22"/>
          <w:szCs w:val="22"/>
          <w:lang w:eastAsia="en-US"/>
        </w:rPr>
      </w:pP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y</m:t>
            </m:r>
          </m:e>
          <m:sub>
            <m:r>
              <w:rPr>
                <w:rFonts w:ascii="Cambria Math" w:eastAsiaTheme="minorHAnsi" w:hAnsi="Cambria Math"/>
                <w:sz w:val="22"/>
                <w:szCs w:val="22"/>
                <w:lang w:eastAsia="en-US"/>
              </w:rPr>
              <m:t>t</m:t>
            </m:r>
          </m:sub>
        </m:sSub>
      </m:oMath>
      <w:r w:rsidR="007E6AFC" w:rsidRPr="00327031">
        <w:rPr>
          <w:rFonts w:asciiTheme="minorHAnsi" w:eastAsiaTheme="minorEastAsia" w:hAnsiTheme="minorHAnsi"/>
          <w:sz w:val="22"/>
          <w:szCs w:val="22"/>
          <w:lang w:eastAsia="en-US"/>
        </w:rPr>
        <w:t xml:space="preserve"> bağımlı/endojen değişkeni,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x</m:t>
            </m:r>
          </m:e>
          <m:sub>
            <m:r>
              <w:rPr>
                <w:rFonts w:ascii="Cambria Math" w:eastAsiaTheme="minorHAnsi" w:hAnsi="Cambria Math"/>
                <w:sz w:val="22"/>
                <w:szCs w:val="22"/>
                <w:lang w:eastAsia="en-US"/>
              </w:rPr>
              <m:t>t</m:t>
            </m:r>
          </m:sub>
        </m:sSub>
      </m:oMath>
      <w:r w:rsidR="007E6AFC" w:rsidRPr="00327031">
        <w:rPr>
          <w:rFonts w:asciiTheme="minorHAnsi" w:eastAsiaTheme="minorEastAsia" w:hAnsiTheme="minorHAnsi"/>
          <w:sz w:val="22"/>
          <w:szCs w:val="22"/>
          <w:lang w:eastAsia="en-US"/>
        </w:rPr>
        <w:t xml:space="preserve"> ise bağımsız/egzojen değişkeni temsil etmektedir. Modelde kullanılacak bağımsız değişkenler yukarıda bahsedilen Kariyer.net ilan başına başvuru sayısı, SÜE, TGE, RKGE ve RKGE-İst'dir. Bağımlı değişken ise tarım dışı işsizlik oranıdır.</w:t>
      </w:r>
      <w:r w:rsidR="00715657" w:rsidRPr="00327031">
        <w:rPr>
          <w:rStyle w:val="FootnoteReference"/>
          <w:rFonts w:asciiTheme="minorHAnsi" w:eastAsiaTheme="minorEastAsia" w:hAnsiTheme="minorHAnsi"/>
          <w:sz w:val="22"/>
          <w:szCs w:val="22"/>
          <w:lang w:eastAsia="en-US"/>
        </w:rPr>
        <w:footnoteReference w:id="6"/>
      </w:r>
      <w:r w:rsidR="007E6AFC" w:rsidRPr="00327031">
        <w:rPr>
          <w:rFonts w:asciiTheme="minorHAnsi" w:eastAsiaTheme="minorEastAsia" w:hAnsiTheme="minorHAnsi"/>
          <w:sz w:val="22"/>
          <w:szCs w:val="22"/>
          <w:lang w:eastAsia="en-US"/>
        </w:rPr>
        <w:t xml:space="preserve"> ADL modeliyle tahmin yapabilmek için ADL modelinin parameterleri her bir kestirim dönemi (estimation period) için tekrarlanan (recursively) bir biçimde hesaplandıktan sonra, h adım sonrasını tahmin </w:t>
      </w:r>
      <w:r w:rsidR="00ED0671" w:rsidRPr="00327031">
        <w:rPr>
          <w:rFonts w:asciiTheme="minorHAnsi" w:eastAsiaTheme="minorEastAsia" w:hAnsiTheme="minorHAnsi"/>
          <w:sz w:val="22"/>
          <w:szCs w:val="22"/>
          <w:lang w:eastAsia="en-US"/>
        </w:rPr>
        <w:t>e</w:t>
      </w:r>
      <w:r w:rsidR="007E6AFC" w:rsidRPr="00327031">
        <w:rPr>
          <w:rFonts w:asciiTheme="minorHAnsi" w:eastAsiaTheme="minorEastAsia" w:hAnsiTheme="minorHAnsi"/>
          <w:sz w:val="22"/>
          <w:szCs w:val="22"/>
          <w:lang w:eastAsia="en-US"/>
        </w:rPr>
        <w:t>tmek için aşağıdaki model kullanılmaktadır:</w:t>
      </w:r>
    </w:p>
    <w:p w:rsidR="007E6AFC" w:rsidRPr="00327031" w:rsidRDefault="007E6AFC" w:rsidP="007E6AFC">
      <w:pPr>
        <w:suppressAutoHyphens w:val="0"/>
        <w:jc w:val="both"/>
        <w:rPr>
          <w:rFonts w:asciiTheme="minorHAnsi" w:eastAsiaTheme="minorEastAsia" w:hAnsiTheme="minorHAnsi"/>
          <w:sz w:val="22"/>
          <w:szCs w:val="22"/>
          <w:lang w:eastAsia="en-US"/>
        </w:rPr>
      </w:pPr>
      <w:r w:rsidRPr="00327031">
        <w:rPr>
          <w:rFonts w:asciiTheme="minorHAnsi" w:eastAsiaTheme="minorEastAsia" w:hAnsiTheme="minorHAnsi"/>
          <w:sz w:val="22"/>
          <w:szCs w:val="22"/>
          <w:lang w:eastAsia="en-US"/>
        </w:rPr>
        <w:t xml:space="preserve">     </w:t>
      </w:r>
      <w:r w:rsidRPr="00327031">
        <w:rPr>
          <w:rFonts w:asciiTheme="minorHAnsi" w:eastAsiaTheme="minorEastAsia" w:hAnsiTheme="minorHAnsi"/>
          <w:sz w:val="22"/>
          <w:szCs w:val="22"/>
          <w:lang w:eastAsia="en-US"/>
        </w:rPr>
        <w:br/>
      </w:r>
      <m:oMathPara>
        <m:oMath>
          <m:sSub>
            <m:sSubPr>
              <m:ctrlPr>
                <w:rPr>
                  <w:rFonts w:ascii="Cambria Math" w:eastAsiaTheme="minorHAnsi" w:hAnsi="Cambria Math"/>
                  <w:i/>
                  <w:sz w:val="22"/>
                  <w:szCs w:val="22"/>
                  <w:lang w:eastAsia="en-US"/>
                </w:rPr>
              </m:ctrlPr>
            </m:sSubPr>
            <m:e>
              <m:acc>
                <m:accPr>
                  <m:ctrlPr>
                    <w:rPr>
                      <w:rFonts w:ascii="Cambria Math" w:eastAsiaTheme="minorHAnsi" w:hAnsi="Cambria Math"/>
                      <w:i/>
                      <w:sz w:val="22"/>
                      <w:szCs w:val="22"/>
                      <w:lang w:eastAsia="en-US"/>
                    </w:rPr>
                  </m:ctrlPr>
                </m:accPr>
                <m:e>
                  <m:r>
                    <w:rPr>
                      <w:rFonts w:ascii="Cambria Math" w:eastAsiaTheme="minorHAnsi" w:hAnsi="Cambria Math"/>
                      <w:sz w:val="22"/>
                      <w:szCs w:val="22"/>
                      <w:lang w:eastAsia="en-US"/>
                    </w:rPr>
                    <m:t>y</m:t>
                  </m:r>
                </m:e>
              </m:acc>
            </m:e>
            <m:sub>
              <m:r>
                <w:rPr>
                  <w:rFonts w:ascii="Cambria Math" w:eastAsiaTheme="minorHAnsi" w:hAnsi="Cambria Math"/>
                  <w:sz w:val="22"/>
                  <w:szCs w:val="22"/>
                  <w:lang w:eastAsia="en-US"/>
                </w:rPr>
                <m:t>t</m:t>
              </m:r>
              <m:r>
                <w:rPr>
                  <w:rFonts w:ascii="Cambria Math" w:eastAsiaTheme="minorHAnsi" w:hAnsiTheme="minorHAnsi"/>
                  <w:sz w:val="22"/>
                  <w:szCs w:val="22"/>
                  <w:lang w:eastAsia="en-US"/>
                </w:rPr>
                <m:t>+</m:t>
              </m:r>
              <m:r>
                <w:rPr>
                  <w:rFonts w:ascii="Cambria Math" w:eastAsiaTheme="minorHAnsi" w:hAnsi="Cambria Math"/>
                  <w:sz w:val="22"/>
                  <w:szCs w:val="22"/>
                  <w:lang w:eastAsia="en-US"/>
                </w:rPr>
                <m:t>h</m:t>
              </m:r>
              <m:r>
                <w:rPr>
                  <w:rFonts w:ascii="Cambria Math" w:eastAsiaTheme="minorHAnsi" w:hAnsiTheme="minorHAnsi"/>
                  <w:sz w:val="22"/>
                  <w:szCs w:val="22"/>
                  <w:lang w:eastAsia="en-US"/>
                </w:rPr>
                <m:t>|</m:t>
              </m:r>
              <m:r>
                <w:rPr>
                  <w:rFonts w:ascii="Cambria Math" w:eastAsiaTheme="minorHAnsi" w:hAnsi="Cambria Math"/>
                  <w:sz w:val="22"/>
                  <w:szCs w:val="22"/>
                  <w:lang w:eastAsia="en-US"/>
                </w:rPr>
                <m:t>t</m:t>
              </m:r>
            </m:sub>
          </m:sSub>
          <m:r>
            <w:rPr>
              <w:rFonts w:ascii="Cambria Math" w:eastAsiaTheme="minorHAnsi" w:hAnsiTheme="minorHAnsi"/>
              <w:sz w:val="22"/>
              <w:szCs w:val="22"/>
              <w:lang w:eastAsia="en-US"/>
            </w:rPr>
            <m:t>=</m:t>
          </m:r>
          <m:nary>
            <m:naryPr>
              <m:chr m:val="∑"/>
              <m:limLoc m:val="undOvr"/>
              <m:ctrlPr>
                <w:rPr>
                  <w:rFonts w:ascii="Cambria Math" w:eastAsiaTheme="minorHAnsi" w:hAnsi="Cambria Math"/>
                  <w:i/>
                  <w:sz w:val="22"/>
                  <w:szCs w:val="22"/>
                  <w:lang w:eastAsia="en-US"/>
                </w:rPr>
              </m:ctrlPr>
            </m:naryPr>
            <m:sub>
              <m:r>
                <w:rPr>
                  <w:rFonts w:ascii="Cambria Math" w:eastAsiaTheme="minorHAnsi" w:hAnsi="Cambria Math"/>
                  <w:sz w:val="22"/>
                  <w:szCs w:val="22"/>
                  <w:lang w:eastAsia="en-US"/>
                </w:rPr>
                <m:t>i</m:t>
              </m:r>
              <m:r>
                <w:rPr>
                  <w:rFonts w:ascii="Cambria Math" w:eastAsiaTheme="minorHAnsi" w:hAnsiTheme="minorHAnsi"/>
                  <w:sz w:val="22"/>
                  <w:szCs w:val="22"/>
                  <w:lang w:eastAsia="en-US"/>
                </w:rPr>
                <m:t>=1</m:t>
              </m:r>
            </m:sub>
            <m:sup>
              <m:r>
                <w:rPr>
                  <w:rFonts w:ascii="Cambria Math" w:eastAsiaTheme="minorHAnsi" w:hAnsi="Cambria Math"/>
                  <w:sz w:val="22"/>
                  <w:szCs w:val="22"/>
                  <w:lang w:eastAsia="en-US"/>
                </w:rPr>
                <m:t>p</m:t>
              </m:r>
            </m:sup>
            <m:e>
              <m:sSub>
                <m:sSubPr>
                  <m:ctrlPr>
                    <w:rPr>
                      <w:rFonts w:ascii="Cambria Math" w:eastAsiaTheme="minorHAnsi" w:hAnsi="Cambria Math"/>
                      <w:i/>
                      <w:sz w:val="22"/>
                      <w:szCs w:val="22"/>
                      <w:lang w:eastAsia="en-US"/>
                    </w:rPr>
                  </m:ctrlPr>
                </m:sSubPr>
                <m:e>
                  <m:acc>
                    <m:accPr>
                      <m:ctrlPr>
                        <w:rPr>
                          <w:rFonts w:ascii="Cambria Math" w:eastAsiaTheme="minorHAnsi" w:hAnsi="Cambria Math"/>
                          <w:i/>
                          <w:sz w:val="22"/>
                          <w:szCs w:val="22"/>
                          <w:lang w:eastAsia="en-US"/>
                        </w:rPr>
                      </m:ctrlPr>
                    </m:accPr>
                    <m:e>
                      <m:r>
                        <w:rPr>
                          <w:rFonts w:ascii="Cambria Math" w:eastAsiaTheme="minorHAnsi" w:hAnsi="Cambria Math"/>
                          <w:sz w:val="22"/>
                          <w:szCs w:val="22"/>
                          <w:lang w:eastAsia="en-US"/>
                        </w:rPr>
                        <m:t>β</m:t>
                      </m:r>
                    </m:e>
                  </m:acc>
                </m:e>
                <m:sub>
                  <m:r>
                    <w:rPr>
                      <w:rFonts w:ascii="Cambria Math" w:eastAsiaTheme="minorHAnsi" w:hAnsi="Cambria Math"/>
                      <w:sz w:val="22"/>
                      <w:szCs w:val="22"/>
                      <w:lang w:eastAsia="en-US"/>
                    </w:rPr>
                    <m:t>i</m:t>
                  </m:r>
                </m:sub>
              </m:sSub>
              <m:sSub>
                <m:sSubPr>
                  <m:ctrlPr>
                    <w:rPr>
                      <w:rFonts w:ascii="Cambria Math" w:eastAsiaTheme="minorHAnsi" w:hAnsi="Cambria Math"/>
                      <w:i/>
                      <w:sz w:val="22"/>
                      <w:szCs w:val="22"/>
                      <w:lang w:eastAsia="en-US"/>
                    </w:rPr>
                  </m:ctrlPr>
                </m:sSubPr>
                <m:e>
                  <m:acc>
                    <m:accPr>
                      <m:ctrlPr>
                        <w:rPr>
                          <w:rFonts w:ascii="Cambria Math" w:eastAsiaTheme="minorHAnsi" w:hAnsi="Cambria Math"/>
                          <w:i/>
                          <w:sz w:val="22"/>
                          <w:szCs w:val="22"/>
                          <w:lang w:eastAsia="en-US"/>
                        </w:rPr>
                      </m:ctrlPr>
                    </m:accPr>
                    <m:e>
                      <m:r>
                        <w:rPr>
                          <w:rFonts w:ascii="Cambria Math" w:eastAsiaTheme="minorHAnsi" w:hAnsi="Cambria Math"/>
                          <w:sz w:val="22"/>
                          <w:szCs w:val="22"/>
                          <w:lang w:eastAsia="en-US"/>
                        </w:rPr>
                        <m:t>y</m:t>
                      </m:r>
                    </m:e>
                  </m:acc>
                </m:e>
                <m:sub>
                  <m:r>
                    <w:rPr>
                      <w:rFonts w:ascii="Cambria Math" w:eastAsiaTheme="minorHAnsi" w:hAnsi="Cambria Math"/>
                      <w:sz w:val="22"/>
                      <w:szCs w:val="22"/>
                      <w:lang w:eastAsia="en-US"/>
                    </w:rPr>
                    <m:t>t</m:t>
                  </m:r>
                  <m:r>
                    <w:rPr>
                      <w:rFonts w:ascii="Cambria Math" w:eastAsiaTheme="minorHAnsi" w:hAnsiTheme="minorHAnsi"/>
                      <w:sz w:val="22"/>
                      <w:szCs w:val="22"/>
                      <w:lang w:eastAsia="en-US"/>
                    </w:rPr>
                    <m:t>+</m:t>
                  </m:r>
                  <m:r>
                    <w:rPr>
                      <w:rFonts w:ascii="Cambria Math" w:eastAsiaTheme="minorHAnsi" w:hAnsi="Cambria Math"/>
                      <w:sz w:val="22"/>
                      <w:szCs w:val="22"/>
                      <w:lang w:eastAsia="en-US"/>
                    </w:rPr>
                    <m:t>h</m:t>
                  </m:r>
                  <m:r>
                    <w:rPr>
                      <w:rFonts w:ascii="Cambria Math" w:eastAsiaTheme="minorHAnsi" w:hAnsiTheme="minorHAnsi"/>
                      <w:sz w:val="22"/>
                      <w:szCs w:val="22"/>
                      <w:lang w:eastAsia="en-US"/>
                    </w:rPr>
                    <m:t>-</m:t>
                  </m:r>
                  <m:r>
                    <w:rPr>
                      <w:rFonts w:ascii="Cambria Math" w:eastAsiaTheme="minorHAnsi" w:hAnsi="Cambria Math"/>
                      <w:sz w:val="22"/>
                      <w:szCs w:val="22"/>
                      <w:lang w:eastAsia="en-US"/>
                    </w:rPr>
                    <m:t>i</m:t>
                  </m:r>
                  <m:r>
                    <w:rPr>
                      <w:rFonts w:ascii="Cambria Math" w:eastAsiaTheme="minorHAnsi" w:hAnsiTheme="minorHAnsi"/>
                      <w:sz w:val="22"/>
                      <w:szCs w:val="22"/>
                      <w:lang w:eastAsia="en-US"/>
                    </w:rPr>
                    <m:t>|</m:t>
                  </m:r>
                  <m:r>
                    <w:rPr>
                      <w:rFonts w:ascii="Cambria Math" w:eastAsiaTheme="minorHAnsi" w:hAnsi="Cambria Math"/>
                      <w:sz w:val="22"/>
                      <w:szCs w:val="22"/>
                      <w:lang w:eastAsia="en-US"/>
                    </w:rPr>
                    <m:t>t</m:t>
                  </m:r>
                </m:sub>
              </m:sSub>
            </m:e>
          </m:nary>
          <m:r>
            <w:rPr>
              <w:rFonts w:ascii="Cambria Math" w:eastAsiaTheme="minorHAnsi" w:hAnsiTheme="minorHAnsi"/>
              <w:sz w:val="22"/>
              <w:szCs w:val="22"/>
              <w:lang w:eastAsia="en-US"/>
            </w:rPr>
            <m:t>+</m:t>
          </m:r>
          <m:nary>
            <m:naryPr>
              <m:chr m:val="∑"/>
              <m:limLoc m:val="undOvr"/>
              <m:ctrlPr>
                <w:rPr>
                  <w:rFonts w:ascii="Cambria Math" w:eastAsiaTheme="minorHAnsi" w:hAnsi="Cambria Math"/>
                  <w:i/>
                  <w:sz w:val="22"/>
                  <w:szCs w:val="22"/>
                  <w:lang w:eastAsia="en-US"/>
                </w:rPr>
              </m:ctrlPr>
            </m:naryPr>
            <m:sub>
              <m:r>
                <w:rPr>
                  <w:rFonts w:ascii="Cambria Math" w:eastAsiaTheme="minorHAnsi" w:hAnsi="Cambria Math"/>
                  <w:sz w:val="22"/>
                  <w:szCs w:val="22"/>
                  <w:lang w:eastAsia="en-US"/>
                </w:rPr>
                <m:t>j</m:t>
              </m:r>
              <m:r>
                <w:rPr>
                  <w:rFonts w:ascii="Cambria Math" w:eastAsiaTheme="minorHAnsi" w:hAnsiTheme="minorHAnsi"/>
                  <w:sz w:val="22"/>
                  <w:szCs w:val="22"/>
                  <w:lang w:eastAsia="en-US"/>
                </w:rPr>
                <m:t>=1</m:t>
              </m:r>
            </m:sub>
            <m:sup>
              <m:r>
                <w:rPr>
                  <w:rFonts w:ascii="Cambria Math" w:eastAsiaTheme="minorHAnsi" w:hAnsi="Cambria Math"/>
                  <w:sz w:val="22"/>
                  <w:szCs w:val="22"/>
                  <w:lang w:eastAsia="en-US"/>
                </w:rPr>
                <m:t>k</m:t>
              </m:r>
            </m:sup>
            <m:e>
              <m:sSub>
                <m:sSubPr>
                  <m:ctrlPr>
                    <w:rPr>
                      <w:rFonts w:ascii="Cambria Math" w:eastAsiaTheme="minorHAnsi" w:hAnsi="Cambria Math"/>
                      <w:i/>
                      <w:sz w:val="22"/>
                      <w:szCs w:val="22"/>
                      <w:lang w:eastAsia="en-US"/>
                    </w:rPr>
                  </m:ctrlPr>
                </m:sSubPr>
                <m:e>
                  <m:acc>
                    <m:accPr>
                      <m:ctrlPr>
                        <w:rPr>
                          <w:rFonts w:ascii="Cambria Math" w:eastAsiaTheme="minorHAnsi" w:hAnsi="Cambria Math"/>
                          <w:i/>
                          <w:sz w:val="22"/>
                          <w:szCs w:val="22"/>
                          <w:lang w:eastAsia="en-US"/>
                        </w:rPr>
                      </m:ctrlPr>
                    </m:accPr>
                    <m:e>
                      <m:r>
                        <w:rPr>
                          <w:rFonts w:ascii="Cambria Math" w:eastAsiaTheme="minorHAnsi" w:hAnsi="Cambria Math"/>
                          <w:sz w:val="22"/>
                          <w:szCs w:val="22"/>
                          <w:lang w:eastAsia="en-US"/>
                        </w:rPr>
                        <m:t>γ</m:t>
                      </m:r>
                    </m:e>
                  </m:acc>
                </m:e>
                <m:sub>
                  <m:r>
                    <w:rPr>
                      <w:rFonts w:ascii="Cambria Math" w:eastAsiaTheme="minorHAnsi" w:hAnsi="Cambria Math"/>
                      <w:sz w:val="22"/>
                      <w:szCs w:val="22"/>
                      <w:lang w:eastAsia="en-US"/>
                    </w:rPr>
                    <m:t>j</m:t>
                  </m:r>
                </m:sub>
              </m:sSub>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x</m:t>
                  </m:r>
                </m:e>
                <m:sub>
                  <m:r>
                    <w:rPr>
                      <w:rFonts w:ascii="Cambria Math" w:eastAsiaTheme="minorHAnsi" w:hAnsi="Cambria Math"/>
                      <w:sz w:val="22"/>
                      <w:szCs w:val="22"/>
                      <w:lang w:eastAsia="en-US"/>
                    </w:rPr>
                    <m:t>t</m:t>
                  </m:r>
                  <m:r>
                    <w:rPr>
                      <w:rFonts w:ascii="Cambria Math" w:eastAsiaTheme="minorHAnsi" w:hAnsiTheme="minorHAnsi"/>
                      <w:sz w:val="22"/>
                      <w:szCs w:val="22"/>
                      <w:lang w:eastAsia="en-US"/>
                    </w:rPr>
                    <m:t>+(</m:t>
                  </m:r>
                  <m:r>
                    <w:rPr>
                      <w:rFonts w:ascii="Cambria Math" w:eastAsiaTheme="minorHAnsi" w:hAnsi="Cambria Math"/>
                      <w:sz w:val="22"/>
                      <w:szCs w:val="22"/>
                      <w:lang w:eastAsia="en-US"/>
                    </w:rPr>
                    <m:t>h</m:t>
                  </m:r>
                  <m:r>
                    <w:rPr>
                      <w:rFonts w:ascii="Cambria Math" w:eastAsiaTheme="minorHAnsi" w:hAnsiTheme="minorHAnsi"/>
                      <w:sz w:val="22"/>
                      <w:szCs w:val="22"/>
                      <w:lang w:eastAsia="en-US"/>
                    </w:rPr>
                    <m:t>+1)</m:t>
                  </m:r>
                  <m:r>
                    <w:rPr>
                      <w:rFonts w:ascii="Cambria Math" w:eastAsiaTheme="minorHAnsi" w:hAnsiTheme="minorHAnsi"/>
                      <w:sz w:val="22"/>
                      <w:szCs w:val="22"/>
                      <w:lang w:eastAsia="en-US"/>
                    </w:rPr>
                    <m:t>-</m:t>
                  </m:r>
                  <m:r>
                    <w:rPr>
                      <w:rFonts w:ascii="Cambria Math" w:eastAsiaTheme="minorHAnsi" w:hAnsi="Cambria Math"/>
                      <w:sz w:val="22"/>
                      <w:szCs w:val="22"/>
                      <w:lang w:eastAsia="en-US"/>
                    </w:rPr>
                    <m:t>j</m:t>
                  </m:r>
                </m:sub>
              </m:sSub>
            </m:e>
          </m:nary>
          <m:r>
            <w:rPr>
              <w:rFonts w:ascii="Cambria Math" w:eastAsiaTheme="minorEastAsia" w:hAnsiTheme="minorHAnsi"/>
              <w:sz w:val="22"/>
              <w:szCs w:val="22"/>
              <w:lang w:eastAsia="en-US"/>
            </w:rPr>
            <m:t>.</m:t>
          </m:r>
        </m:oMath>
      </m:oMathPara>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 xml:space="preserve">Yukarıdaki denklemde dikkat edilmesi gereken nokta t+h dönemdeki tarım dışı işsizlik oranını tahmin edebilmek için t+h dönemindeki egzojen değişkenin mevcut olması gerektiğidir. Bu nedenle ilgili dönemin hemen sonunda veya hemen öncesinde açıklanan Kariyer.net, </w:t>
      </w:r>
      <w:r w:rsidRPr="00327031">
        <w:rPr>
          <w:rFonts w:asciiTheme="minorHAnsi" w:eastAsiaTheme="minorEastAsia" w:hAnsiTheme="minorHAnsi"/>
          <w:sz w:val="22"/>
          <w:szCs w:val="22"/>
          <w:lang w:eastAsia="en-US"/>
        </w:rPr>
        <w:t>TGE, RKGE ve RKGE-İst</w:t>
      </w:r>
      <w:r w:rsidRPr="00327031">
        <w:rPr>
          <w:rFonts w:asciiTheme="minorHAnsi" w:eastAsiaTheme="minorHAnsi" w:hAnsiTheme="minorHAnsi"/>
          <w:sz w:val="22"/>
          <w:szCs w:val="22"/>
          <w:lang w:eastAsia="en-US"/>
        </w:rPr>
        <w:t xml:space="preserve"> serileriyle iki dönem sonrasına kadar tahmin yapılabilmekte, 40 gün sonra açıklanan SÜE ile ise ancak bir sonraki dönem tahmini yapılabilmektedir.   </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Otoregresif (autoregressive [AR(p)]) modelle tahmin yapmak için yukarıdaki denklemlerden egzojen değişkenleri atmak yeterlidir.</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 xml:space="preserve">İlk kestirim dönemi RKGE ve RKGE-İst haricindeki değişkenler için 2005.1-2010.12, bu değişkenler içinse 2007.2-2010.12'dir. Sonra sabit kayan pencere (fixed rolling window) kestirim yöntemi kullanarak 2011.2-2014.2 dönemi için örneklem dışı tahminler üretilmektedir. </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RKGE, RKGE-İst ve SUE kullanılan ADL modellerinde gecikme uzunluğu (lag length) her bir kestirim döneminde Schwarz enformasyon kriteri kullanılarak seçilirken, TGE ve Kariyer.net kullanılan ADL modellerinde ve AR modelinde gecikme uzunluğu her bir kestirim döneminde Akaike enformasyon kriteri kullanılarak seçilmiştir.</w:t>
      </w:r>
      <w:r w:rsidRPr="00327031">
        <w:rPr>
          <w:rFonts w:asciiTheme="minorHAnsi" w:eastAsiaTheme="minorHAnsi" w:hAnsiTheme="minorHAnsi"/>
          <w:sz w:val="22"/>
          <w:szCs w:val="22"/>
          <w:vertAlign w:val="superscript"/>
          <w:lang w:eastAsia="en-US"/>
        </w:rPr>
        <w:footnoteReference w:id="7"/>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b/>
          <w:sz w:val="22"/>
          <w:szCs w:val="22"/>
          <w:lang w:eastAsia="en-US"/>
        </w:rPr>
      </w:pPr>
      <w:r w:rsidRPr="00327031">
        <w:rPr>
          <w:rFonts w:asciiTheme="minorHAnsi" w:eastAsiaTheme="minorHAnsi" w:hAnsiTheme="minorHAnsi"/>
          <w:b/>
          <w:sz w:val="22"/>
          <w:szCs w:val="22"/>
          <w:lang w:eastAsia="en-US"/>
        </w:rPr>
        <w:t>4. Tahmin sonuçları ve istatistiki testler</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Farklı tahmin modelleri</w:t>
      </w:r>
      <w:r w:rsidR="00ED0671" w:rsidRPr="00327031">
        <w:rPr>
          <w:rFonts w:asciiTheme="minorHAnsi" w:eastAsiaTheme="minorHAnsi" w:hAnsiTheme="minorHAnsi"/>
          <w:sz w:val="22"/>
          <w:szCs w:val="22"/>
          <w:lang w:eastAsia="en-US"/>
        </w:rPr>
        <w:t>ni karşılaştırmak için Tablo 1’d</w:t>
      </w:r>
      <w:r w:rsidRPr="00327031">
        <w:rPr>
          <w:rFonts w:asciiTheme="minorHAnsi" w:eastAsiaTheme="minorHAnsi" w:hAnsiTheme="minorHAnsi"/>
          <w:sz w:val="22"/>
          <w:szCs w:val="22"/>
          <w:lang w:eastAsia="en-US"/>
        </w:rPr>
        <w:t xml:space="preserve">e farklı modellerle yapılan tahminlerin Kök Ortalama Hata Karelerinin (Root Mean Squared Error [RMSE]) sonuçları verilmektedir. Kariyer.net verisi kullanarak yapılan ADL modelinin hem bir sonraki dönem tahmininde hem de iki sonraki dönem tahmininde diğer modellere kıyasla daha küçük RMSE'si olduğu </w:t>
      </w:r>
      <w:r w:rsidR="00ED0671" w:rsidRPr="00327031">
        <w:rPr>
          <w:rFonts w:asciiTheme="minorHAnsi" w:eastAsiaTheme="minorHAnsi" w:hAnsiTheme="minorHAnsi"/>
          <w:sz w:val="22"/>
          <w:szCs w:val="22"/>
          <w:lang w:eastAsia="en-US"/>
        </w:rPr>
        <w:t>görülmektedir</w:t>
      </w:r>
      <w:r w:rsidRPr="00327031">
        <w:rPr>
          <w:rFonts w:asciiTheme="minorHAnsi" w:eastAsiaTheme="minorHAnsi" w:hAnsiTheme="minorHAnsi"/>
          <w:sz w:val="22"/>
          <w:szCs w:val="22"/>
          <w:lang w:eastAsia="en-US"/>
        </w:rPr>
        <w:t xml:space="preserve">. RMSE’e göre bir sonraki en iyi model TGE’li ADL modelidir. Bu iki modeli karşılaştırırsak TGE’li modelin RMSE’sinin Kariyer.net’li modele kıyasla bir sonraki dönem tahmininde yüzde 19 ve iki sonraki dönem tahmininde yüzde 29 daha yüksek olduğu görülmektedir. </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 xml:space="preserve">Tablo 1. h-dönem sonrası tahminler için Kök Ortalama Hata Kareleri </w:t>
      </w:r>
    </w:p>
    <w:tbl>
      <w:tblPr>
        <w:tblStyle w:val="TableGrid1"/>
        <w:tblW w:w="0" w:type="auto"/>
        <w:tblLook w:val="04A0" w:firstRow="1" w:lastRow="0" w:firstColumn="1" w:lastColumn="0" w:noHBand="0" w:noVBand="1"/>
      </w:tblPr>
      <w:tblGrid>
        <w:gridCol w:w="1227"/>
        <w:gridCol w:w="1311"/>
        <w:gridCol w:w="1605"/>
        <w:gridCol w:w="1348"/>
        <w:gridCol w:w="1349"/>
        <w:gridCol w:w="1224"/>
        <w:gridCol w:w="1224"/>
      </w:tblGrid>
      <w:tr w:rsidR="007E6AFC" w:rsidRPr="00327031" w:rsidTr="00B94FAE">
        <w:tc>
          <w:tcPr>
            <w:tcW w:w="1297"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h</w:t>
            </w:r>
          </w:p>
        </w:tc>
        <w:tc>
          <w:tcPr>
            <w:tcW w:w="1350"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AR</w:t>
            </w:r>
          </w:p>
        </w:tc>
        <w:tc>
          <w:tcPr>
            <w:tcW w:w="1637"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Kariyer.net</w:t>
            </w:r>
          </w:p>
        </w:tc>
        <w:tc>
          <w:tcPr>
            <w:tcW w:w="1389"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SÜE</w:t>
            </w:r>
          </w:p>
        </w:tc>
        <w:tc>
          <w:tcPr>
            <w:tcW w:w="1391"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TGE</w:t>
            </w:r>
          </w:p>
        </w:tc>
        <w:tc>
          <w:tcPr>
            <w:tcW w:w="1256"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RKGE</w:t>
            </w:r>
          </w:p>
        </w:tc>
        <w:tc>
          <w:tcPr>
            <w:tcW w:w="1256"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RKGE-İst</w:t>
            </w:r>
          </w:p>
        </w:tc>
      </w:tr>
      <w:tr w:rsidR="007E6AFC" w:rsidRPr="00327031" w:rsidTr="00B94FAE">
        <w:tc>
          <w:tcPr>
            <w:tcW w:w="1297"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w:t>
            </w:r>
          </w:p>
        </w:tc>
        <w:tc>
          <w:tcPr>
            <w:tcW w:w="1350"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0,2277</w:t>
            </w:r>
          </w:p>
        </w:tc>
        <w:tc>
          <w:tcPr>
            <w:tcW w:w="1637"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0,1878</w:t>
            </w:r>
          </w:p>
        </w:tc>
        <w:tc>
          <w:tcPr>
            <w:tcW w:w="1389"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0,2292</w:t>
            </w:r>
          </w:p>
        </w:tc>
        <w:tc>
          <w:tcPr>
            <w:tcW w:w="1391"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0,2233</w:t>
            </w:r>
          </w:p>
        </w:tc>
        <w:tc>
          <w:tcPr>
            <w:tcW w:w="1256"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0,2474</w:t>
            </w:r>
          </w:p>
        </w:tc>
        <w:tc>
          <w:tcPr>
            <w:tcW w:w="1256"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0,2498</w:t>
            </w:r>
          </w:p>
        </w:tc>
      </w:tr>
      <w:tr w:rsidR="007E6AFC" w:rsidRPr="00327031" w:rsidTr="00B94FAE">
        <w:tc>
          <w:tcPr>
            <w:tcW w:w="1297"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2</w:t>
            </w:r>
          </w:p>
        </w:tc>
        <w:tc>
          <w:tcPr>
            <w:tcW w:w="1350"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0,3742</w:t>
            </w:r>
          </w:p>
        </w:tc>
        <w:tc>
          <w:tcPr>
            <w:tcW w:w="1637"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0,2786</w:t>
            </w:r>
          </w:p>
        </w:tc>
        <w:tc>
          <w:tcPr>
            <w:tcW w:w="1389"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w:t>
            </w:r>
          </w:p>
        </w:tc>
        <w:tc>
          <w:tcPr>
            <w:tcW w:w="1391"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0,3600</w:t>
            </w:r>
          </w:p>
        </w:tc>
        <w:tc>
          <w:tcPr>
            <w:tcW w:w="1256"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0,3618</w:t>
            </w:r>
          </w:p>
        </w:tc>
        <w:tc>
          <w:tcPr>
            <w:tcW w:w="1256"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0,3669</w:t>
            </w:r>
          </w:p>
        </w:tc>
      </w:tr>
    </w:tbl>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Bu aradaki farkın istatistiksel olarak anlamlı olup olmadığı anlamak için koşulsuz (unco</w:t>
      </w:r>
      <w:r w:rsidR="00E06E12" w:rsidRPr="00327031">
        <w:rPr>
          <w:rFonts w:asciiTheme="minorHAnsi" w:eastAsiaTheme="minorHAnsi" w:hAnsiTheme="minorHAnsi"/>
          <w:sz w:val="22"/>
          <w:szCs w:val="22"/>
          <w:lang w:eastAsia="en-US"/>
        </w:rPr>
        <w:t>n</w:t>
      </w:r>
      <w:r w:rsidRPr="00327031">
        <w:rPr>
          <w:rFonts w:asciiTheme="minorHAnsi" w:eastAsiaTheme="minorHAnsi" w:hAnsiTheme="minorHAnsi"/>
          <w:sz w:val="22"/>
          <w:szCs w:val="22"/>
          <w:lang w:eastAsia="en-US"/>
        </w:rPr>
        <w:t xml:space="preserve">ditional) Giacomonini ve White (2006) testi uygulanmaktadır. Giacomonini ve White testinin sıfır hipotezi iki modelin aynı düzeyde tahmin etme gücü olduğudur. Tablo 2. Kariyer.net’li modelle diğer modeller arasında yapılan Giacomonnini ve White testinin sonuçları ile P-Değerlerini göstermektedir. Sonuçlar </w:t>
      </w:r>
      <w:r w:rsidRPr="00327031">
        <w:rPr>
          <w:rFonts w:asciiTheme="minorHAnsi" w:eastAsiaTheme="minorHAnsi" w:hAnsiTheme="minorHAnsi"/>
          <w:sz w:val="22"/>
          <w:szCs w:val="22"/>
          <w:lang w:eastAsia="en-US"/>
        </w:rPr>
        <w:lastRenderedPageBreak/>
        <w:t xml:space="preserve">yüzde 10 anlamlılık düzeyinde bir sonraki dönem tahmini için TGE'li model hariç Kariyer.net'li modelin diğer modellerden daha üstün olduğunu göstermektedir. İki sonraki dönem sonrası içinse yüzde 10 anlamlılık düzeyinde RKGE'li model hariç Kariyer.net’li modelin diğer modellerden daha iyi tahmin yaptığı ortaya çıkmaktadır. </w:t>
      </w: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 xml:space="preserve">    </w:t>
      </w: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Tablo 2. h-dönem sonrası tahminler için Giacomonini ve White testi sonuçları ve P-Değerleri</w:t>
      </w:r>
    </w:p>
    <w:tbl>
      <w:tblPr>
        <w:tblStyle w:val="TableGrid1"/>
        <w:tblW w:w="5000" w:type="pct"/>
        <w:tblLook w:val="04A0" w:firstRow="1" w:lastRow="0" w:firstColumn="1" w:lastColumn="0" w:noHBand="0" w:noVBand="1"/>
      </w:tblPr>
      <w:tblGrid>
        <w:gridCol w:w="1519"/>
        <w:gridCol w:w="1579"/>
        <w:gridCol w:w="1625"/>
        <w:gridCol w:w="1627"/>
        <w:gridCol w:w="1469"/>
        <w:gridCol w:w="1469"/>
      </w:tblGrid>
      <w:tr w:rsidR="007E6AFC" w:rsidRPr="00327031" w:rsidTr="00B94FAE">
        <w:tc>
          <w:tcPr>
            <w:tcW w:w="817"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h</w:t>
            </w:r>
          </w:p>
        </w:tc>
        <w:tc>
          <w:tcPr>
            <w:tcW w:w="850"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AR</w:t>
            </w:r>
          </w:p>
        </w:tc>
        <w:tc>
          <w:tcPr>
            <w:tcW w:w="875"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SÜE</w:t>
            </w:r>
          </w:p>
        </w:tc>
        <w:tc>
          <w:tcPr>
            <w:tcW w:w="876"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TGE</w:t>
            </w:r>
          </w:p>
        </w:tc>
        <w:tc>
          <w:tcPr>
            <w:tcW w:w="791"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RKGE</w:t>
            </w:r>
          </w:p>
        </w:tc>
        <w:tc>
          <w:tcPr>
            <w:tcW w:w="791"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RKGE-İst</w:t>
            </w:r>
          </w:p>
        </w:tc>
      </w:tr>
      <w:tr w:rsidR="007E6AFC" w:rsidRPr="00327031" w:rsidTr="00B94FAE">
        <w:tc>
          <w:tcPr>
            <w:tcW w:w="817" w:type="pct"/>
            <w:vAlign w:val="center"/>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w:t>
            </w:r>
          </w:p>
        </w:tc>
        <w:tc>
          <w:tcPr>
            <w:tcW w:w="850"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3.13</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(0.077)</w:t>
            </w:r>
          </w:p>
        </w:tc>
        <w:tc>
          <w:tcPr>
            <w:tcW w:w="875"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3.86</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(0.050)</w:t>
            </w:r>
          </w:p>
        </w:tc>
        <w:tc>
          <w:tcPr>
            <w:tcW w:w="876"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2.54</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(0.111)</w:t>
            </w:r>
          </w:p>
        </w:tc>
        <w:tc>
          <w:tcPr>
            <w:tcW w:w="791"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4.51</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(0.034)</w:t>
            </w:r>
          </w:p>
        </w:tc>
        <w:tc>
          <w:tcPr>
            <w:tcW w:w="791"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4.83</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(0.028)</w:t>
            </w:r>
          </w:p>
        </w:tc>
      </w:tr>
      <w:tr w:rsidR="007E6AFC" w:rsidRPr="00327031" w:rsidTr="00B94FAE">
        <w:tc>
          <w:tcPr>
            <w:tcW w:w="817" w:type="pct"/>
            <w:vAlign w:val="center"/>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2</w:t>
            </w:r>
          </w:p>
        </w:tc>
        <w:tc>
          <w:tcPr>
            <w:tcW w:w="850"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4.01</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(0.045)</w:t>
            </w:r>
          </w:p>
        </w:tc>
        <w:tc>
          <w:tcPr>
            <w:tcW w:w="875"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w:t>
            </w:r>
          </w:p>
        </w:tc>
        <w:tc>
          <w:tcPr>
            <w:tcW w:w="876"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2.77</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(0.096)</w:t>
            </w:r>
          </w:p>
        </w:tc>
        <w:tc>
          <w:tcPr>
            <w:tcW w:w="791"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2.53</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(0.112)</w:t>
            </w:r>
          </w:p>
        </w:tc>
        <w:tc>
          <w:tcPr>
            <w:tcW w:w="791"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3.29</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(0.070)</w:t>
            </w:r>
          </w:p>
        </w:tc>
      </w:tr>
    </w:tbl>
    <w:p w:rsidR="007E6AFC" w:rsidRPr="00327031" w:rsidRDefault="007E6AFC" w:rsidP="007E6AFC">
      <w:pPr>
        <w:suppressAutoHyphens w:val="0"/>
        <w:rPr>
          <w:rFonts w:asciiTheme="minorHAnsi" w:eastAsiaTheme="minorHAnsi" w:hAnsiTheme="minorHAnsi" w:cstheme="minorBidi"/>
          <w:sz w:val="18"/>
          <w:szCs w:val="18"/>
          <w:lang w:eastAsia="en-US"/>
        </w:rPr>
      </w:pPr>
      <w:r w:rsidRPr="00327031">
        <w:rPr>
          <w:rFonts w:asciiTheme="minorHAnsi" w:eastAsiaTheme="minorHAnsi" w:hAnsiTheme="minorHAnsi" w:cstheme="minorBidi"/>
          <w:sz w:val="18"/>
          <w:szCs w:val="18"/>
          <w:lang w:eastAsia="en-US"/>
        </w:rPr>
        <w:t>Not: Parantez içindeki değerler P-Değerlerini, parantez içinde olmayan değerler ise test sonuçlarını göstermektedir.</w:t>
      </w:r>
    </w:p>
    <w:p w:rsidR="007E6AFC" w:rsidRPr="00327031" w:rsidRDefault="007E6AFC" w:rsidP="007E6AFC">
      <w:pPr>
        <w:suppressAutoHyphens w:val="0"/>
        <w:rPr>
          <w:rFonts w:asciiTheme="minorHAnsi" w:eastAsiaTheme="minorHAnsi" w:hAnsiTheme="minorHAnsi" w:cstheme="minorBidi"/>
          <w:sz w:val="18"/>
          <w:szCs w:val="18"/>
          <w:lang w:eastAsia="en-US"/>
        </w:rPr>
      </w:pPr>
    </w:p>
    <w:p w:rsidR="007E6AFC" w:rsidRPr="00327031" w:rsidRDefault="007E6AFC" w:rsidP="007E6AFC">
      <w:pPr>
        <w:suppressAutoHyphens w:val="0"/>
        <w:jc w:val="both"/>
        <w:rPr>
          <w:rFonts w:asciiTheme="minorHAnsi" w:eastAsiaTheme="minorHAnsi" w:hAnsiTheme="minorHAnsi" w:cstheme="minorBidi"/>
          <w:sz w:val="22"/>
          <w:szCs w:val="22"/>
          <w:lang w:eastAsia="en-US"/>
        </w:rPr>
      </w:pPr>
      <w:r w:rsidRPr="00327031">
        <w:rPr>
          <w:rFonts w:asciiTheme="minorHAnsi" w:eastAsiaTheme="minorHAnsi" w:hAnsiTheme="minorHAnsi" w:cstheme="minorBidi"/>
          <w:sz w:val="22"/>
          <w:szCs w:val="22"/>
          <w:lang w:eastAsia="en-US"/>
        </w:rPr>
        <w:t xml:space="preserve">Şekil 1 Kariyer.net’li modelin bir sonraki dönem için yaptığı tahminlerle tarım dışı </w:t>
      </w:r>
      <w:r w:rsidR="002575AB" w:rsidRPr="00327031">
        <w:rPr>
          <w:rFonts w:asciiTheme="minorHAnsi" w:eastAsiaTheme="minorHAnsi" w:hAnsiTheme="minorHAnsi" w:cstheme="minorBidi"/>
          <w:sz w:val="22"/>
          <w:szCs w:val="22"/>
          <w:lang w:eastAsia="en-US"/>
        </w:rPr>
        <w:t>işsizlik</w:t>
      </w:r>
      <w:r w:rsidRPr="00327031">
        <w:rPr>
          <w:rFonts w:asciiTheme="minorHAnsi" w:eastAsiaTheme="minorHAnsi" w:hAnsiTheme="minorHAnsi" w:cstheme="minorBidi"/>
          <w:sz w:val="22"/>
          <w:szCs w:val="22"/>
          <w:lang w:eastAsia="en-US"/>
        </w:rPr>
        <w:t xml:space="preserve"> oranlarını göstermektedir. Şekil 2 ise Kariyer.net’li modelin iki sonraki dönem için yaptığı tahminlerle tarım dışı </w:t>
      </w:r>
      <w:r w:rsidR="002575AB" w:rsidRPr="00327031">
        <w:rPr>
          <w:rFonts w:asciiTheme="minorHAnsi" w:eastAsiaTheme="minorHAnsi" w:hAnsiTheme="minorHAnsi" w:cstheme="minorBidi"/>
          <w:sz w:val="22"/>
          <w:szCs w:val="22"/>
          <w:lang w:eastAsia="en-US"/>
        </w:rPr>
        <w:t>işsizlik</w:t>
      </w:r>
      <w:r w:rsidRPr="00327031">
        <w:rPr>
          <w:rFonts w:asciiTheme="minorHAnsi" w:eastAsiaTheme="minorHAnsi" w:hAnsiTheme="minorHAnsi" w:cstheme="minorBidi"/>
          <w:sz w:val="22"/>
          <w:szCs w:val="22"/>
          <w:lang w:eastAsia="en-US"/>
        </w:rPr>
        <w:t xml:space="preserve"> oranlarını göstermektedir. Özellikle bir sonraki dönem tahminlerinin tarım dışı </w:t>
      </w:r>
      <w:r w:rsidR="002575AB" w:rsidRPr="00327031">
        <w:rPr>
          <w:rFonts w:asciiTheme="minorHAnsi" w:eastAsiaTheme="minorHAnsi" w:hAnsiTheme="minorHAnsi" w:cstheme="minorBidi"/>
          <w:sz w:val="22"/>
          <w:szCs w:val="22"/>
          <w:lang w:eastAsia="en-US"/>
        </w:rPr>
        <w:t>işsizlik</w:t>
      </w:r>
      <w:r w:rsidRPr="00327031">
        <w:rPr>
          <w:rFonts w:asciiTheme="minorHAnsi" w:eastAsiaTheme="minorHAnsi" w:hAnsiTheme="minorHAnsi" w:cstheme="minorBidi"/>
          <w:sz w:val="22"/>
          <w:szCs w:val="22"/>
          <w:lang w:eastAsia="en-US"/>
        </w:rPr>
        <w:t xml:space="preserve"> oranlarını çok yakından takip ettiği Şekil 1'de açıkca görülmektedir. İki sonraki dönem tahminlerinin ise zaman zaman asıl veriyi uzun süre yüksek veya düşük tahmin ettiği görülmektedir. Kariyer.net tahminlerinin yansız (unbiased) olup olmadığı diğer bir deyişle sistematik bir şekilde gerçek değerinin üstünde veya altında tahmin edip etmediğini anlamak için Mincer ve Zarnowitz (1969) testi uygulanmaktadır. Mincer ve Zarnowitz testini uygulamak için aşağıdaki gibi bir denklem oluşturulmaktadır:</w:t>
      </w:r>
    </w:p>
    <w:p w:rsidR="007E6AFC" w:rsidRPr="00327031" w:rsidRDefault="007E6AFC" w:rsidP="007E6AFC">
      <w:pPr>
        <w:suppressAutoHyphens w:val="0"/>
        <w:jc w:val="both"/>
        <w:rPr>
          <w:rFonts w:asciiTheme="minorHAnsi" w:eastAsiaTheme="minorEastAsia" w:hAnsiTheme="minorHAnsi"/>
          <w:sz w:val="22"/>
          <w:szCs w:val="22"/>
          <w:lang w:eastAsia="en-US"/>
        </w:rPr>
      </w:pPr>
      <w:r w:rsidRPr="00327031">
        <w:rPr>
          <w:rFonts w:asciiTheme="minorHAnsi" w:eastAsiaTheme="minorHAnsi" w:hAnsiTheme="minorHAnsi" w:cstheme="minorBidi"/>
          <w:sz w:val="22"/>
          <w:szCs w:val="22"/>
          <w:lang w:eastAsia="en-US"/>
        </w:rPr>
        <w:t xml:space="preserve"> </w:t>
      </w:r>
      <w:r w:rsidRPr="00327031">
        <w:rPr>
          <w:rFonts w:asciiTheme="minorHAnsi" w:eastAsiaTheme="minorHAnsi" w:hAnsiTheme="minorHAnsi"/>
          <w:sz w:val="22"/>
          <w:szCs w:val="22"/>
          <w:lang w:eastAsia="en-US"/>
        </w:rPr>
        <w:br/>
      </w:r>
      <m:oMathPara>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y</m:t>
              </m:r>
            </m:e>
            <m:sub>
              <m:r>
                <w:rPr>
                  <w:rFonts w:ascii="Cambria Math" w:eastAsiaTheme="minorHAnsi" w:hAnsi="Cambria Math"/>
                  <w:sz w:val="22"/>
                  <w:szCs w:val="22"/>
                  <w:lang w:eastAsia="en-US"/>
                </w:rPr>
                <m:t>t</m:t>
              </m:r>
              <m:r>
                <w:rPr>
                  <w:rFonts w:ascii="Cambria Math" w:eastAsiaTheme="minorHAnsi" w:hAnsiTheme="minorHAnsi"/>
                  <w:sz w:val="22"/>
                  <w:szCs w:val="22"/>
                  <w:lang w:eastAsia="en-US"/>
                </w:rPr>
                <m:t>+</m:t>
              </m:r>
              <m:r>
                <w:rPr>
                  <w:rFonts w:ascii="Cambria Math" w:eastAsiaTheme="minorHAnsi" w:hAnsi="Cambria Math"/>
                  <w:sz w:val="22"/>
                  <w:szCs w:val="22"/>
                  <w:lang w:eastAsia="en-US"/>
                </w:rPr>
                <m:t>h</m:t>
              </m:r>
            </m:sub>
          </m:sSub>
          <m:r>
            <w:rPr>
              <w:rFonts w:ascii="Cambria Math" w:eastAsiaTheme="minorHAnsi" w:hAnsiTheme="minorHAnsi"/>
              <w:sz w:val="22"/>
              <w:szCs w:val="22"/>
              <w:lang w:eastAsia="en-US"/>
            </w:rPr>
            <m:t xml:space="preserve">= </m:t>
          </m:r>
          <m:r>
            <w:rPr>
              <w:rFonts w:ascii="Cambria Math" w:eastAsiaTheme="minorHAnsi" w:hAnsi="Cambria Math"/>
              <w:sz w:val="22"/>
              <w:szCs w:val="22"/>
              <w:lang w:eastAsia="en-US"/>
            </w:rPr>
            <m:t>α</m:t>
          </m:r>
          <m:r>
            <w:rPr>
              <w:rFonts w:ascii="Cambria Math" w:eastAsiaTheme="minorHAnsi" w:hAnsiTheme="minorHAnsi"/>
              <w:sz w:val="22"/>
              <w:szCs w:val="22"/>
              <w:lang w:eastAsia="en-US"/>
            </w:rPr>
            <m:t>+</m:t>
          </m:r>
          <m:r>
            <w:rPr>
              <w:rFonts w:ascii="Cambria Math" w:eastAsiaTheme="minorHAnsi" w:hAnsi="Cambria Math"/>
              <w:sz w:val="22"/>
              <w:szCs w:val="22"/>
              <w:lang w:eastAsia="en-US"/>
            </w:rPr>
            <m:t>β</m:t>
          </m:r>
          <m:sSub>
            <m:sSubPr>
              <m:ctrlPr>
                <w:rPr>
                  <w:rFonts w:ascii="Cambria Math" w:eastAsiaTheme="minorHAnsi" w:hAnsi="Cambria Math"/>
                  <w:i/>
                  <w:sz w:val="22"/>
                  <w:szCs w:val="22"/>
                  <w:lang w:eastAsia="en-US"/>
                </w:rPr>
              </m:ctrlPr>
            </m:sSubPr>
            <m:e>
              <m:acc>
                <m:accPr>
                  <m:ctrlPr>
                    <w:rPr>
                      <w:rFonts w:ascii="Cambria Math" w:eastAsiaTheme="minorHAnsi" w:hAnsi="Cambria Math"/>
                      <w:i/>
                      <w:sz w:val="22"/>
                      <w:szCs w:val="22"/>
                      <w:lang w:eastAsia="en-US"/>
                    </w:rPr>
                  </m:ctrlPr>
                </m:accPr>
                <m:e>
                  <m:r>
                    <w:rPr>
                      <w:rFonts w:ascii="Cambria Math" w:eastAsiaTheme="minorHAnsi" w:hAnsi="Cambria Math"/>
                      <w:sz w:val="22"/>
                      <w:szCs w:val="22"/>
                      <w:lang w:eastAsia="en-US"/>
                    </w:rPr>
                    <m:t>y</m:t>
                  </m:r>
                </m:e>
              </m:acc>
            </m:e>
            <m:sub>
              <m:r>
                <w:rPr>
                  <w:rFonts w:ascii="Cambria Math" w:eastAsiaTheme="minorHAnsi" w:hAnsi="Cambria Math"/>
                  <w:sz w:val="22"/>
                  <w:szCs w:val="22"/>
                  <w:lang w:eastAsia="en-US"/>
                </w:rPr>
                <m:t>t</m:t>
              </m:r>
              <m:r>
                <w:rPr>
                  <w:rFonts w:ascii="Cambria Math" w:eastAsiaTheme="minorHAnsi" w:hAnsiTheme="minorHAnsi"/>
                  <w:sz w:val="22"/>
                  <w:szCs w:val="22"/>
                  <w:lang w:eastAsia="en-US"/>
                </w:rPr>
                <m:t>+</m:t>
              </m:r>
              <m:r>
                <w:rPr>
                  <w:rFonts w:ascii="Cambria Math" w:eastAsiaTheme="minorHAnsi" w:hAnsi="Cambria Math"/>
                  <w:sz w:val="22"/>
                  <w:szCs w:val="22"/>
                  <w:lang w:eastAsia="en-US"/>
                </w:rPr>
                <m:t>h|t</m:t>
              </m:r>
            </m:sub>
          </m:sSub>
          <m:r>
            <w:rPr>
              <w:rFonts w:ascii="Cambria Math" w:eastAsiaTheme="minorHAnsi" w:hAnsiTheme="minorHAnsi"/>
              <w:sz w:val="22"/>
              <w:szCs w:val="22"/>
              <w:lang w:eastAsia="en-US"/>
            </w:rPr>
            <m:t>+</m:t>
          </m:r>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ε</m:t>
              </m:r>
            </m:e>
            <m:sub>
              <m:r>
                <w:rPr>
                  <w:rFonts w:ascii="Cambria Math" w:eastAsiaTheme="minorHAnsi" w:hAnsi="Cambria Math"/>
                  <w:sz w:val="22"/>
                  <w:szCs w:val="22"/>
                  <w:lang w:eastAsia="en-US"/>
                </w:rPr>
                <m:t>t</m:t>
              </m:r>
              <m:r>
                <w:rPr>
                  <w:rFonts w:ascii="Cambria Math" w:eastAsiaTheme="minorHAnsi" w:hAnsiTheme="minorHAnsi"/>
                  <w:sz w:val="22"/>
                  <w:szCs w:val="22"/>
                  <w:lang w:eastAsia="en-US"/>
                </w:rPr>
                <m:t>+</m:t>
              </m:r>
              <m:r>
                <w:rPr>
                  <w:rFonts w:ascii="Cambria Math" w:eastAsiaTheme="minorHAnsi" w:hAnsi="Cambria Math"/>
                  <w:sz w:val="22"/>
                  <w:szCs w:val="22"/>
                  <w:lang w:eastAsia="en-US"/>
                </w:rPr>
                <m:t>h</m:t>
              </m:r>
            </m:sub>
          </m:sSub>
        </m:oMath>
      </m:oMathPara>
    </w:p>
    <w:p w:rsidR="007E6AFC" w:rsidRPr="00327031" w:rsidRDefault="007E6AFC" w:rsidP="007E6AFC">
      <w:pPr>
        <w:suppressAutoHyphens w:val="0"/>
        <w:jc w:val="both"/>
        <w:rPr>
          <w:rFonts w:asciiTheme="minorHAnsi" w:eastAsiaTheme="minorEastAsia" w:hAnsiTheme="minorHAnsi"/>
          <w:sz w:val="22"/>
          <w:szCs w:val="22"/>
          <w:lang w:eastAsia="en-US"/>
        </w:rPr>
      </w:pPr>
    </w:p>
    <w:p w:rsidR="007E6AFC" w:rsidRPr="00327031" w:rsidRDefault="007E6AFC" w:rsidP="007E6AFC">
      <w:pPr>
        <w:suppressAutoHyphens w:val="0"/>
        <w:jc w:val="both"/>
        <w:rPr>
          <w:rFonts w:asciiTheme="minorHAnsi" w:eastAsiaTheme="minorEastAsia" w:hAnsiTheme="minorHAnsi" w:cstheme="minorBidi"/>
          <w:sz w:val="22"/>
          <w:szCs w:val="22"/>
          <w:lang w:eastAsia="en-US"/>
        </w:rPr>
      </w:pPr>
      <w:r w:rsidRPr="00327031">
        <w:rPr>
          <w:rFonts w:asciiTheme="minorHAnsi" w:eastAsiaTheme="minorEastAsia" w:hAnsiTheme="minorHAnsi"/>
          <w:sz w:val="22"/>
          <w:szCs w:val="22"/>
          <w:lang w:eastAsia="en-US"/>
        </w:rPr>
        <w:t xml:space="preserve">h tahmin ufkunu (forecast horizon),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y</m:t>
            </m:r>
          </m:e>
          <m:sub>
            <m:r>
              <w:rPr>
                <w:rFonts w:ascii="Cambria Math" w:eastAsiaTheme="minorHAnsi" w:hAnsi="Cambria Math"/>
                <w:sz w:val="22"/>
                <w:szCs w:val="22"/>
                <w:lang w:eastAsia="en-US"/>
              </w:rPr>
              <m:t>t</m:t>
            </m:r>
            <m:r>
              <w:rPr>
                <w:rFonts w:ascii="Cambria Math" w:eastAsiaTheme="minorHAnsi" w:hAnsiTheme="minorHAnsi"/>
                <w:sz w:val="22"/>
                <w:szCs w:val="22"/>
                <w:lang w:eastAsia="en-US"/>
              </w:rPr>
              <m:t>+</m:t>
            </m:r>
            <m:r>
              <w:rPr>
                <w:rFonts w:ascii="Cambria Math" w:eastAsiaTheme="minorHAnsi" w:hAnsi="Cambria Math"/>
                <w:sz w:val="22"/>
                <w:szCs w:val="22"/>
                <w:lang w:eastAsia="en-US"/>
              </w:rPr>
              <m:t>h</m:t>
            </m:r>
          </m:sub>
        </m:sSub>
      </m:oMath>
      <w:r w:rsidRPr="00327031">
        <w:rPr>
          <w:rFonts w:asciiTheme="minorHAnsi" w:eastAsiaTheme="minorEastAsia" w:hAnsiTheme="minorHAnsi"/>
          <w:sz w:val="22"/>
          <w:szCs w:val="22"/>
          <w:lang w:eastAsia="en-US"/>
        </w:rPr>
        <w:t xml:space="preserve"> t+h zamanındaki gerçekleşen </w:t>
      </w:r>
      <w:r w:rsidRPr="00327031">
        <w:rPr>
          <w:rFonts w:asciiTheme="minorHAnsi" w:eastAsiaTheme="minorHAnsi" w:hAnsiTheme="minorHAnsi" w:cstheme="minorBidi"/>
          <w:sz w:val="22"/>
          <w:szCs w:val="22"/>
          <w:lang w:eastAsia="en-US"/>
        </w:rPr>
        <w:t xml:space="preserve">tarım dışı </w:t>
      </w:r>
      <w:r w:rsidR="002575AB" w:rsidRPr="00327031">
        <w:rPr>
          <w:rFonts w:asciiTheme="minorHAnsi" w:eastAsiaTheme="minorHAnsi" w:hAnsiTheme="minorHAnsi" w:cstheme="minorBidi"/>
          <w:sz w:val="22"/>
          <w:szCs w:val="22"/>
          <w:lang w:eastAsia="en-US"/>
        </w:rPr>
        <w:t>işsizlik</w:t>
      </w:r>
      <w:r w:rsidRPr="00327031">
        <w:rPr>
          <w:rFonts w:asciiTheme="minorHAnsi" w:eastAsiaTheme="minorHAnsi" w:hAnsiTheme="minorHAnsi" w:cstheme="minorBidi"/>
          <w:sz w:val="22"/>
          <w:szCs w:val="22"/>
          <w:lang w:eastAsia="en-US"/>
        </w:rPr>
        <w:t xml:space="preserve"> oranını, </w:t>
      </w:r>
      <m:oMath>
        <m:sSub>
          <m:sSubPr>
            <m:ctrlPr>
              <w:rPr>
                <w:rFonts w:ascii="Cambria Math" w:eastAsiaTheme="minorHAnsi" w:hAnsi="Cambria Math"/>
                <w:i/>
                <w:sz w:val="22"/>
                <w:szCs w:val="22"/>
                <w:lang w:eastAsia="en-US"/>
              </w:rPr>
            </m:ctrlPr>
          </m:sSubPr>
          <m:e>
            <m:acc>
              <m:accPr>
                <m:ctrlPr>
                  <w:rPr>
                    <w:rFonts w:ascii="Cambria Math" w:eastAsiaTheme="minorHAnsi" w:hAnsi="Cambria Math"/>
                    <w:i/>
                    <w:sz w:val="22"/>
                    <w:szCs w:val="22"/>
                    <w:lang w:eastAsia="en-US"/>
                  </w:rPr>
                </m:ctrlPr>
              </m:accPr>
              <m:e>
                <m:r>
                  <w:rPr>
                    <w:rFonts w:ascii="Cambria Math" w:eastAsiaTheme="minorHAnsi" w:hAnsi="Cambria Math"/>
                    <w:sz w:val="22"/>
                    <w:szCs w:val="22"/>
                    <w:lang w:eastAsia="en-US"/>
                  </w:rPr>
                  <m:t>y</m:t>
                </m:r>
              </m:e>
            </m:acc>
          </m:e>
          <m:sub>
            <m:r>
              <w:rPr>
                <w:rFonts w:ascii="Cambria Math" w:eastAsiaTheme="minorHAnsi" w:hAnsi="Cambria Math"/>
                <w:sz w:val="22"/>
                <w:szCs w:val="22"/>
                <w:lang w:eastAsia="en-US"/>
              </w:rPr>
              <m:t>t</m:t>
            </m:r>
            <m:r>
              <w:rPr>
                <w:rFonts w:ascii="Cambria Math" w:eastAsiaTheme="minorHAnsi" w:hAnsiTheme="minorHAnsi"/>
                <w:sz w:val="22"/>
                <w:szCs w:val="22"/>
                <w:lang w:eastAsia="en-US"/>
              </w:rPr>
              <m:t>+</m:t>
            </m:r>
            <m:r>
              <w:rPr>
                <w:rFonts w:ascii="Cambria Math" w:eastAsiaTheme="minorHAnsi" w:hAnsi="Cambria Math"/>
                <w:sz w:val="22"/>
                <w:szCs w:val="22"/>
                <w:lang w:eastAsia="en-US"/>
              </w:rPr>
              <m:t>h</m:t>
            </m:r>
          </m:sub>
        </m:sSub>
      </m:oMath>
      <w:r w:rsidRPr="00327031">
        <w:rPr>
          <w:rFonts w:asciiTheme="minorHAnsi" w:eastAsiaTheme="minorEastAsia" w:hAnsiTheme="minorHAnsi" w:cstheme="minorBidi"/>
          <w:sz w:val="22"/>
          <w:szCs w:val="22"/>
          <w:lang w:eastAsia="en-US"/>
        </w:rPr>
        <w:t xml:space="preserve"> ise t zamanında t+h zamanı için yapılan tahmini göstermektedir. Eğer tahmin yansız ise </w:t>
      </w:r>
      <m:oMath>
        <m:r>
          <w:rPr>
            <w:rFonts w:ascii="Cambria Math" w:eastAsiaTheme="minorHAnsi" w:hAnsi="Cambria Math"/>
            <w:sz w:val="22"/>
            <w:szCs w:val="22"/>
            <w:lang w:eastAsia="en-US"/>
          </w:rPr>
          <m:t>α</m:t>
        </m:r>
        <m:r>
          <w:rPr>
            <w:rFonts w:ascii="Cambria Math" w:eastAsiaTheme="minorHAnsi" w:hAnsiTheme="minorHAnsi"/>
            <w:sz w:val="22"/>
            <w:szCs w:val="22"/>
            <w:lang w:eastAsia="en-US"/>
          </w:rPr>
          <m:t xml:space="preserve">=0 </m:t>
        </m:r>
        <m:r>
          <m:rPr>
            <m:nor/>
          </m:rPr>
          <w:rPr>
            <w:rFonts w:ascii="Cambria Math" w:eastAsiaTheme="minorHAnsi" w:hAnsi="Cambria Math"/>
            <w:sz w:val="22"/>
            <w:szCs w:val="22"/>
            <w:lang w:eastAsia="en-US"/>
          </w:rPr>
          <m:t>ve</m:t>
        </m:r>
        <m:r>
          <w:rPr>
            <w:rFonts w:ascii="Cambria Math" w:eastAsiaTheme="minorHAnsi" w:hAnsiTheme="minorHAnsi"/>
            <w:sz w:val="22"/>
            <w:szCs w:val="22"/>
            <w:lang w:eastAsia="en-US"/>
          </w:rPr>
          <m:t xml:space="preserve"> </m:t>
        </m:r>
        <m:r>
          <w:rPr>
            <w:rFonts w:ascii="Cambria Math" w:eastAsiaTheme="minorHAnsi" w:hAnsi="Cambria Math"/>
            <w:sz w:val="22"/>
            <w:szCs w:val="22"/>
            <w:lang w:eastAsia="en-US"/>
          </w:rPr>
          <m:t>β</m:t>
        </m:r>
        <m:r>
          <w:rPr>
            <w:rFonts w:ascii="Cambria Math" w:eastAsiaTheme="minorHAnsi" w:hAnsiTheme="minorHAnsi"/>
            <w:sz w:val="22"/>
            <w:szCs w:val="22"/>
            <w:lang w:eastAsia="en-US"/>
          </w:rPr>
          <m:t>=1</m:t>
        </m:r>
      </m:oMath>
      <w:r w:rsidRPr="00327031">
        <w:rPr>
          <w:rFonts w:asciiTheme="minorHAnsi" w:eastAsiaTheme="minorEastAsia" w:hAnsiTheme="minorHAnsi" w:cstheme="minorBidi"/>
          <w:sz w:val="22"/>
          <w:szCs w:val="22"/>
          <w:lang w:eastAsia="en-US"/>
        </w:rPr>
        <w:t xml:space="preserve"> olduğuna dair ortak hipotezi (joint hypotheis) reddedilmesi gerekmektedir. Genel olarak tahmin hataları heteroskedastis olduğu için regresyon</w:t>
      </w:r>
      <w:r w:rsidR="000414EA" w:rsidRPr="00327031">
        <w:rPr>
          <w:rFonts w:asciiTheme="minorHAnsi" w:eastAsiaTheme="minorEastAsia" w:hAnsiTheme="minorHAnsi" w:cstheme="minorBidi"/>
          <w:sz w:val="22"/>
          <w:szCs w:val="22"/>
          <w:lang w:eastAsia="en-US"/>
        </w:rPr>
        <w:t>un kovaryans matriksi</w:t>
      </w:r>
      <w:r w:rsidRPr="00327031">
        <w:rPr>
          <w:rFonts w:asciiTheme="minorHAnsi" w:eastAsiaTheme="minorEastAsia" w:hAnsiTheme="minorHAnsi" w:cstheme="minorBidi"/>
          <w:sz w:val="22"/>
          <w:szCs w:val="22"/>
          <w:lang w:eastAsia="en-US"/>
        </w:rPr>
        <w:t xml:space="preserve"> Newey ve West (1987) prosedürü kullanarak hesaplanmaktadır. Sonra ortak hipotez Wald testi kullanarak test edilmektedir. Tablo 3’</w:t>
      </w:r>
      <w:r w:rsidR="000414EA" w:rsidRPr="00327031">
        <w:rPr>
          <w:rFonts w:asciiTheme="minorHAnsi" w:eastAsiaTheme="minorEastAsia" w:hAnsiTheme="minorHAnsi" w:cstheme="minorBidi"/>
          <w:sz w:val="22"/>
          <w:szCs w:val="22"/>
          <w:lang w:eastAsia="en-US"/>
        </w:rPr>
        <w:t>te regresyonun katsayıları ile W</w:t>
      </w:r>
      <w:r w:rsidRPr="00327031">
        <w:rPr>
          <w:rFonts w:asciiTheme="minorHAnsi" w:eastAsiaTheme="minorEastAsia" w:hAnsiTheme="minorHAnsi" w:cstheme="minorBidi"/>
          <w:sz w:val="22"/>
          <w:szCs w:val="22"/>
          <w:lang w:eastAsia="en-US"/>
        </w:rPr>
        <w:t>ald testinin sonuçları verilmektedir. Wald testinin sonuçlarına göre hem bir sonraki dönem hem de iki sonraki dönem tahmini için ortak hipotezi reddedemiyoruz. Bu da tahminlerin yansız olduğunu göstermektedir.</w:t>
      </w:r>
    </w:p>
    <w:p w:rsidR="007E6AFC" w:rsidRPr="00327031" w:rsidRDefault="007E6AFC" w:rsidP="007E6AFC">
      <w:pPr>
        <w:suppressAutoHyphens w:val="0"/>
        <w:jc w:val="both"/>
        <w:rPr>
          <w:rFonts w:asciiTheme="minorHAnsi" w:eastAsiaTheme="minorEastAsia" w:hAnsiTheme="minorHAnsi" w:cstheme="minorBidi"/>
          <w:sz w:val="22"/>
          <w:szCs w:val="22"/>
          <w:lang w:eastAsia="en-US"/>
        </w:rPr>
      </w:pPr>
    </w:p>
    <w:p w:rsidR="007E6AFC" w:rsidRPr="00327031" w:rsidRDefault="007E6AFC" w:rsidP="007E6AFC">
      <w:pPr>
        <w:suppressAutoHyphens w:val="0"/>
        <w:jc w:val="both"/>
        <w:rPr>
          <w:rFonts w:asciiTheme="minorHAnsi" w:eastAsiaTheme="minorEastAsia" w:hAnsiTheme="minorHAnsi" w:cstheme="minorBidi"/>
          <w:sz w:val="22"/>
          <w:szCs w:val="22"/>
          <w:lang w:eastAsia="en-US"/>
        </w:rPr>
      </w:pPr>
      <w:r w:rsidRPr="00327031">
        <w:rPr>
          <w:rFonts w:asciiTheme="minorHAnsi" w:eastAsiaTheme="minorEastAsia" w:hAnsiTheme="minorHAnsi" w:cstheme="minorBidi"/>
          <w:sz w:val="22"/>
          <w:szCs w:val="22"/>
          <w:lang w:eastAsia="en-US"/>
        </w:rPr>
        <w:t>Tablo 3. h-dönem sonrası tahminler için Mincer ve Zarnowitz testi sonuçları</w:t>
      </w:r>
    </w:p>
    <w:tbl>
      <w:tblPr>
        <w:tblStyle w:val="TableGrid1"/>
        <w:tblW w:w="0" w:type="auto"/>
        <w:tblLook w:val="04A0" w:firstRow="1" w:lastRow="0" w:firstColumn="1" w:lastColumn="0" w:noHBand="0" w:noVBand="1"/>
      </w:tblPr>
      <w:tblGrid>
        <w:gridCol w:w="2276"/>
        <w:gridCol w:w="1756"/>
        <w:gridCol w:w="1757"/>
        <w:gridCol w:w="3499"/>
      </w:tblGrid>
      <w:tr w:rsidR="007E6AFC" w:rsidRPr="00327031" w:rsidTr="00B94FAE">
        <w:tc>
          <w:tcPr>
            <w:tcW w:w="2276" w:type="dxa"/>
          </w:tcPr>
          <w:p w:rsidR="007E6AFC" w:rsidRPr="00327031" w:rsidRDefault="007E6AFC" w:rsidP="007E6AFC">
            <w:pPr>
              <w:suppressAutoHyphens w:val="0"/>
              <w:jc w:val="center"/>
              <w:rPr>
                <w:rFonts w:asciiTheme="minorHAnsi" w:hAnsiTheme="minorHAnsi" w:cs="Times New Roman"/>
                <w:sz w:val="22"/>
                <w:szCs w:val="22"/>
                <w:lang w:val="tr-TR" w:eastAsia="en-US"/>
              </w:rPr>
            </w:pPr>
          </w:p>
        </w:tc>
        <w:tc>
          <w:tcPr>
            <w:tcW w:w="3513" w:type="dxa"/>
            <w:gridSpan w:val="2"/>
            <w:vAlign w:val="center"/>
          </w:tcPr>
          <w:p w:rsidR="007E6AFC" w:rsidRPr="00327031" w:rsidRDefault="007E6AFC" w:rsidP="007E6AFC">
            <w:pPr>
              <w:suppressAutoHyphens w:val="0"/>
              <w:jc w:val="center"/>
              <w:rPr>
                <w:rFonts w:asciiTheme="minorHAnsi" w:hAnsiTheme="minorHAnsi" w:cs="Times New Roman"/>
                <w:sz w:val="22"/>
                <w:szCs w:val="22"/>
                <w:lang w:val="tr-TR" w:eastAsia="en-US"/>
              </w:rPr>
            </w:pPr>
            <w:r w:rsidRPr="00327031">
              <w:rPr>
                <w:rFonts w:asciiTheme="minorHAnsi" w:hAnsiTheme="minorHAnsi" w:cs="Times New Roman"/>
                <w:sz w:val="22"/>
                <w:szCs w:val="22"/>
                <w:lang w:val="tr-TR" w:eastAsia="en-US"/>
              </w:rPr>
              <w:t>Regresyon Katsayıları</w:t>
            </w:r>
          </w:p>
        </w:tc>
        <w:tc>
          <w:tcPr>
            <w:tcW w:w="3499" w:type="dxa"/>
            <w:vAlign w:val="center"/>
          </w:tcPr>
          <w:p w:rsidR="007E6AFC" w:rsidRPr="00327031" w:rsidRDefault="007E6AFC" w:rsidP="007E6AFC">
            <w:pPr>
              <w:suppressAutoHyphens w:val="0"/>
              <w:jc w:val="center"/>
              <w:rPr>
                <w:rFonts w:asciiTheme="minorHAnsi" w:hAnsiTheme="minorHAnsi" w:cs="Times New Roman"/>
                <w:sz w:val="22"/>
                <w:szCs w:val="22"/>
                <w:lang w:val="tr-TR" w:eastAsia="en-US"/>
              </w:rPr>
            </w:pPr>
            <w:r w:rsidRPr="00327031">
              <w:rPr>
                <w:rFonts w:asciiTheme="minorHAnsi" w:hAnsiTheme="minorHAnsi" w:cs="Times New Roman"/>
                <w:sz w:val="22"/>
                <w:szCs w:val="22"/>
                <w:lang w:val="tr-TR" w:eastAsia="en-US"/>
              </w:rPr>
              <w:t>Wald Testi F İstatistiği</w:t>
            </w:r>
          </w:p>
        </w:tc>
      </w:tr>
      <w:tr w:rsidR="007E6AFC" w:rsidRPr="00327031" w:rsidTr="00B94FAE">
        <w:tc>
          <w:tcPr>
            <w:tcW w:w="2276" w:type="dxa"/>
          </w:tcPr>
          <w:p w:rsidR="007E6AFC" w:rsidRPr="00327031" w:rsidRDefault="007E6AFC" w:rsidP="007E6AFC">
            <w:pPr>
              <w:suppressAutoHyphens w:val="0"/>
              <w:jc w:val="center"/>
              <w:rPr>
                <w:rFonts w:asciiTheme="minorHAnsi" w:hAnsiTheme="minorHAnsi" w:cs="Times New Roman"/>
                <w:sz w:val="22"/>
                <w:szCs w:val="22"/>
                <w:lang w:val="tr-TR" w:eastAsia="en-US"/>
              </w:rPr>
            </w:pPr>
            <w:r w:rsidRPr="00327031">
              <w:rPr>
                <w:rFonts w:asciiTheme="minorHAnsi" w:hAnsiTheme="minorHAnsi" w:cs="Times New Roman"/>
                <w:sz w:val="22"/>
                <w:szCs w:val="22"/>
                <w:lang w:val="tr-TR" w:eastAsia="en-US"/>
              </w:rPr>
              <w:t>h</w:t>
            </w:r>
          </w:p>
        </w:tc>
        <w:tc>
          <w:tcPr>
            <w:tcW w:w="1756" w:type="dxa"/>
            <w:vAlign w:val="center"/>
          </w:tcPr>
          <w:p w:rsidR="007E6AFC" w:rsidRPr="00327031" w:rsidRDefault="007E6AFC" w:rsidP="007E6AFC">
            <w:pPr>
              <w:suppressAutoHyphens w:val="0"/>
              <w:jc w:val="center"/>
              <w:rPr>
                <w:rFonts w:asciiTheme="minorHAnsi" w:hAnsiTheme="minorHAnsi" w:cs="Times New Roman"/>
                <w:sz w:val="22"/>
                <w:szCs w:val="22"/>
                <w:lang w:val="tr-TR" w:eastAsia="en-US"/>
              </w:rPr>
            </w:pPr>
            <m:oMathPara>
              <m:oMath>
                <m:r>
                  <w:rPr>
                    <w:rFonts w:ascii="Cambria Math" w:hAnsi="Cambria Math"/>
                    <w:sz w:val="22"/>
                    <w:szCs w:val="22"/>
                    <w:lang w:val="tr-TR" w:eastAsia="en-US"/>
                  </w:rPr>
                  <m:t>α</m:t>
                </m:r>
              </m:oMath>
            </m:oMathPara>
          </w:p>
        </w:tc>
        <w:tc>
          <w:tcPr>
            <w:tcW w:w="1757" w:type="dxa"/>
            <w:vAlign w:val="center"/>
          </w:tcPr>
          <w:p w:rsidR="007E6AFC" w:rsidRPr="00327031" w:rsidRDefault="007E6AFC" w:rsidP="007E6AFC">
            <w:pPr>
              <w:suppressAutoHyphens w:val="0"/>
              <w:jc w:val="center"/>
              <w:rPr>
                <w:rFonts w:asciiTheme="minorHAnsi" w:hAnsiTheme="minorHAnsi" w:cs="Times New Roman"/>
                <w:sz w:val="22"/>
                <w:szCs w:val="22"/>
                <w:lang w:val="tr-TR" w:eastAsia="en-US"/>
              </w:rPr>
            </w:pPr>
            <m:oMathPara>
              <m:oMath>
                <m:r>
                  <w:rPr>
                    <w:rFonts w:ascii="Cambria Math" w:hAnsi="Cambria Math"/>
                    <w:sz w:val="22"/>
                    <w:szCs w:val="22"/>
                    <w:lang w:val="tr-TR" w:eastAsia="en-US"/>
                  </w:rPr>
                  <m:t>β</m:t>
                </m:r>
              </m:oMath>
            </m:oMathPara>
          </w:p>
        </w:tc>
        <w:tc>
          <w:tcPr>
            <w:tcW w:w="3499" w:type="dxa"/>
            <w:vAlign w:val="center"/>
          </w:tcPr>
          <w:p w:rsidR="007E6AFC" w:rsidRPr="00327031" w:rsidRDefault="007E6AFC" w:rsidP="007E6AFC">
            <w:pPr>
              <w:suppressAutoHyphens w:val="0"/>
              <w:jc w:val="center"/>
              <w:rPr>
                <w:rFonts w:asciiTheme="minorHAnsi" w:hAnsiTheme="minorHAnsi" w:cs="Times New Roman"/>
                <w:sz w:val="22"/>
                <w:szCs w:val="22"/>
                <w:lang w:val="tr-TR" w:eastAsia="en-US"/>
              </w:rPr>
            </w:pPr>
            <m:oMathPara>
              <m:oMath>
                <m:r>
                  <w:rPr>
                    <w:rFonts w:ascii="Cambria Math" w:hAnsi="Cambria Math"/>
                    <w:sz w:val="22"/>
                    <w:szCs w:val="22"/>
                    <w:lang w:val="tr-TR" w:eastAsia="en-US"/>
                  </w:rPr>
                  <m:t>α</m:t>
                </m:r>
                <m:r>
                  <w:rPr>
                    <w:rFonts w:ascii="Cambria Math" w:hAnsiTheme="minorHAnsi"/>
                    <w:sz w:val="22"/>
                    <w:szCs w:val="22"/>
                    <w:lang w:val="tr-TR" w:eastAsia="en-US"/>
                  </w:rPr>
                  <m:t xml:space="preserve">=0 </m:t>
                </m:r>
                <m:r>
                  <m:rPr>
                    <m:nor/>
                  </m:rPr>
                  <w:rPr>
                    <w:rFonts w:ascii="Cambria Math" w:hAnsi="Cambria Math"/>
                    <w:sz w:val="22"/>
                    <w:szCs w:val="22"/>
                    <w:lang w:val="tr-TR" w:eastAsia="en-US"/>
                  </w:rPr>
                  <m:t>ve</m:t>
                </m:r>
                <m:r>
                  <w:rPr>
                    <w:rFonts w:ascii="Cambria Math" w:hAnsiTheme="minorHAnsi"/>
                    <w:sz w:val="22"/>
                    <w:szCs w:val="22"/>
                    <w:lang w:val="tr-TR" w:eastAsia="en-US"/>
                  </w:rPr>
                  <m:t xml:space="preserve"> </m:t>
                </m:r>
                <m:r>
                  <w:rPr>
                    <w:rFonts w:ascii="Cambria Math" w:hAnsi="Cambria Math"/>
                    <w:sz w:val="22"/>
                    <w:szCs w:val="22"/>
                    <w:lang w:val="tr-TR" w:eastAsia="en-US"/>
                  </w:rPr>
                  <m:t>β</m:t>
                </m:r>
                <m:r>
                  <w:rPr>
                    <w:rFonts w:ascii="Cambria Math" w:hAnsiTheme="minorHAnsi"/>
                    <w:sz w:val="22"/>
                    <w:szCs w:val="22"/>
                    <w:lang w:val="tr-TR" w:eastAsia="en-US"/>
                  </w:rPr>
                  <m:t>=1</m:t>
                </m:r>
              </m:oMath>
            </m:oMathPara>
          </w:p>
        </w:tc>
      </w:tr>
      <w:tr w:rsidR="007E6AFC" w:rsidRPr="00327031" w:rsidTr="00B94FAE">
        <w:tc>
          <w:tcPr>
            <w:tcW w:w="2276" w:type="dxa"/>
            <w:vAlign w:val="center"/>
          </w:tcPr>
          <w:p w:rsidR="007E6AFC" w:rsidRPr="00327031" w:rsidRDefault="007E6AFC" w:rsidP="007E6AFC">
            <w:pPr>
              <w:suppressAutoHyphens w:val="0"/>
              <w:jc w:val="center"/>
              <w:rPr>
                <w:rFonts w:asciiTheme="minorHAnsi" w:hAnsiTheme="minorHAnsi" w:cs="Times New Roman"/>
                <w:sz w:val="22"/>
                <w:szCs w:val="22"/>
                <w:lang w:val="tr-TR" w:eastAsia="en-US"/>
              </w:rPr>
            </w:pPr>
            <w:r w:rsidRPr="00327031">
              <w:rPr>
                <w:rFonts w:asciiTheme="minorHAnsi" w:hAnsiTheme="minorHAnsi" w:cs="Times New Roman"/>
                <w:sz w:val="22"/>
                <w:szCs w:val="22"/>
                <w:lang w:val="tr-TR" w:eastAsia="en-US"/>
              </w:rPr>
              <w:t>1</w:t>
            </w:r>
          </w:p>
        </w:tc>
        <w:tc>
          <w:tcPr>
            <w:tcW w:w="1756" w:type="dxa"/>
            <w:vAlign w:val="center"/>
          </w:tcPr>
          <w:p w:rsidR="007E6AFC" w:rsidRPr="00327031" w:rsidRDefault="007E6AFC" w:rsidP="007E6AFC">
            <w:pPr>
              <w:suppressAutoHyphens w:val="0"/>
              <w:jc w:val="center"/>
              <w:rPr>
                <w:rFonts w:asciiTheme="minorHAnsi" w:hAnsiTheme="minorHAnsi" w:cs="Times New Roman"/>
                <w:sz w:val="22"/>
                <w:szCs w:val="22"/>
                <w:lang w:val="tr-TR" w:eastAsia="en-US"/>
              </w:rPr>
            </w:pPr>
            <w:r w:rsidRPr="00327031">
              <w:rPr>
                <w:rFonts w:asciiTheme="minorHAnsi" w:hAnsiTheme="minorHAnsi" w:cs="Times New Roman"/>
                <w:sz w:val="22"/>
                <w:szCs w:val="22"/>
                <w:lang w:val="tr-TR" w:eastAsia="en-US"/>
              </w:rPr>
              <w:t>0.51 (0.55)</w:t>
            </w:r>
          </w:p>
        </w:tc>
        <w:tc>
          <w:tcPr>
            <w:tcW w:w="1757" w:type="dxa"/>
            <w:vAlign w:val="center"/>
          </w:tcPr>
          <w:p w:rsidR="007E6AFC" w:rsidRPr="00327031" w:rsidRDefault="00280727" w:rsidP="007E6AFC">
            <w:pPr>
              <w:suppressAutoHyphens w:val="0"/>
              <w:jc w:val="center"/>
              <w:rPr>
                <w:rFonts w:asciiTheme="minorHAnsi" w:hAnsiTheme="minorHAnsi" w:cs="Times New Roman"/>
                <w:sz w:val="22"/>
                <w:szCs w:val="22"/>
                <w:lang w:val="tr-TR" w:eastAsia="en-US"/>
              </w:rPr>
            </w:pPr>
            <w:r w:rsidRPr="00327031">
              <w:rPr>
                <w:rFonts w:asciiTheme="minorHAnsi" w:hAnsiTheme="minorHAnsi" w:cs="Times New Roman"/>
                <w:sz w:val="22"/>
                <w:szCs w:val="22"/>
                <w:lang w:val="tr-TR" w:eastAsia="en-US"/>
              </w:rPr>
              <w:t>0.95 (0.05)</w:t>
            </w:r>
          </w:p>
        </w:tc>
        <w:tc>
          <w:tcPr>
            <w:tcW w:w="3499" w:type="dxa"/>
            <w:vAlign w:val="center"/>
          </w:tcPr>
          <w:p w:rsidR="007E6AFC" w:rsidRPr="00327031" w:rsidRDefault="007E6AFC" w:rsidP="007E6AFC">
            <w:pPr>
              <w:suppressAutoHyphens w:val="0"/>
              <w:jc w:val="center"/>
              <w:rPr>
                <w:rFonts w:asciiTheme="minorHAnsi" w:hAnsiTheme="minorHAnsi" w:cs="Times New Roman"/>
                <w:sz w:val="22"/>
                <w:szCs w:val="22"/>
                <w:lang w:val="tr-TR" w:eastAsia="en-US"/>
              </w:rPr>
            </w:pPr>
            <w:r w:rsidRPr="00327031">
              <w:rPr>
                <w:rFonts w:asciiTheme="minorHAnsi" w:hAnsiTheme="minorHAnsi" w:cs="Times New Roman"/>
                <w:sz w:val="22"/>
                <w:szCs w:val="22"/>
                <w:lang w:val="tr-TR" w:eastAsia="en-US"/>
              </w:rPr>
              <w:t>0.68 (0.51)</w:t>
            </w:r>
          </w:p>
        </w:tc>
      </w:tr>
      <w:tr w:rsidR="007E6AFC" w:rsidRPr="00327031" w:rsidTr="00B94FAE">
        <w:tc>
          <w:tcPr>
            <w:tcW w:w="2276" w:type="dxa"/>
            <w:vAlign w:val="center"/>
          </w:tcPr>
          <w:p w:rsidR="007E6AFC" w:rsidRPr="00327031" w:rsidRDefault="007E6AFC" w:rsidP="007E6AFC">
            <w:pPr>
              <w:suppressAutoHyphens w:val="0"/>
              <w:jc w:val="center"/>
              <w:rPr>
                <w:rFonts w:asciiTheme="minorHAnsi" w:hAnsiTheme="minorHAnsi" w:cs="Times New Roman"/>
                <w:sz w:val="22"/>
                <w:szCs w:val="22"/>
                <w:lang w:val="tr-TR" w:eastAsia="en-US"/>
              </w:rPr>
            </w:pPr>
            <w:r w:rsidRPr="00327031">
              <w:rPr>
                <w:rFonts w:asciiTheme="minorHAnsi" w:hAnsiTheme="minorHAnsi" w:cs="Times New Roman"/>
                <w:sz w:val="22"/>
                <w:szCs w:val="22"/>
                <w:lang w:val="tr-TR" w:eastAsia="en-US"/>
              </w:rPr>
              <w:t>2</w:t>
            </w:r>
          </w:p>
        </w:tc>
        <w:tc>
          <w:tcPr>
            <w:tcW w:w="1756" w:type="dxa"/>
            <w:vAlign w:val="center"/>
          </w:tcPr>
          <w:p w:rsidR="007E6AFC" w:rsidRPr="00327031" w:rsidRDefault="007E6AFC" w:rsidP="007E6AFC">
            <w:pPr>
              <w:suppressAutoHyphens w:val="0"/>
              <w:jc w:val="center"/>
              <w:rPr>
                <w:rFonts w:asciiTheme="minorHAnsi" w:hAnsiTheme="minorHAnsi" w:cs="Times New Roman"/>
                <w:sz w:val="22"/>
                <w:szCs w:val="22"/>
                <w:lang w:val="tr-TR" w:eastAsia="en-US"/>
              </w:rPr>
            </w:pPr>
            <w:r w:rsidRPr="00327031">
              <w:rPr>
                <w:rFonts w:asciiTheme="minorHAnsi" w:hAnsiTheme="minorHAnsi" w:cs="Times New Roman"/>
                <w:sz w:val="22"/>
                <w:szCs w:val="22"/>
                <w:lang w:val="tr-TR" w:eastAsia="en-US"/>
              </w:rPr>
              <w:t>1.33 (0.98)</w:t>
            </w:r>
          </w:p>
        </w:tc>
        <w:tc>
          <w:tcPr>
            <w:tcW w:w="1757" w:type="dxa"/>
            <w:vAlign w:val="center"/>
          </w:tcPr>
          <w:p w:rsidR="007E6AFC" w:rsidRPr="00327031" w:rsidRDefault="00280727" w:rsidP="007E6AFC">
            <w:pPr>
              <w:suppressAutoHyphens w:val="0"/>
              <w:jc w:val="center"/>
              <w:rPr>
                <w:rFonts w:asciiTheme="minorHAnsi" w:hAnsiTheme="minorHAnsi" w:cs="Times New Roman"/>
                <w:sz w:val="22"/>
                <w:szCs w:val="22"/>
                <w:lang w:val="tr-TR" w:eastAsia="en-US"/>
              </w:rPr>
            </w:pPr>
            <w:r w:rsidRPr="00327031">
              <w:rPr>
                <w:rFonts w:asciiTheme="minorHAnsi" w:hAnsiTheme="minorHAnsi" w:cs="Times New Roman"/>
                <w:sz w:val="22"/>
                <w:szCs w:val="22"/>
                <w:lang w:val="tr-TR" w:eastAsia="en-US"/>
              </w:rPr>
              <w:t>0.88 (0.09)</w:t>
            </w:r>
          </w:p>
        </w:tc>
        <w:tc>
          <w:tcPr>
            <w:tcW w:w="3499" w:type="dxa"/>
            <w:vAlign w:val="center"/>
          </w:tcPr>
          <w:p w:rsidR="007E6AFC" w:rsidRPr="00327031" w:rsidRDefault="007E6AFC" w:rsidP="007E6AFC">
            <w:pPr>
              <w:suppressAutoHyphens w:val="0"/>
              <w:jc w:val="center"/>
              <w:rPr>
                <w:rFonts w:asciiTheme="minorHAnsi" w:hAnsiTheme="minorHAnsi" w:cs="Times New Roman"/>
                <w:sz w:val="22"/>
                <w:szCs w:val="22"/>
                <w:lang w:val="tr-TR" w:eastAsia="en-US"/>
              </w:rPr>
            </w:pPr>
            <w:r w:rsidRPr="00327031">
              <w:rPr>
                <w:rFonts w:asciiTheme="minorHAnsi" w:hAnsiTheme="minorHAnsi" w:cs="Times New Roman"/>
                <w:sz w:val="22"/>
                <w:szCs w:val="22"/>
                <w:lang w:val="tr-TR" w:eastAsia="en-US"/>
              </w:rPr>
              <w:t>1.25 (0.30)</w:t>
            </w:r>
          </w:p>
        </w:tc>
      </w:tr>
    </w:tbl>
    <w:p w:rsidR="007E6AFC" w:rsidRPr="00327031" w:rsidRDefault="007E6AFC" w:rsidP="007E6AFC">
      <w:pPr>
        <w:suppressAutoHyphens w:val="0"/>
        <w:jc w:val="both"/>
        <w:rPr>
          <w:rFonts w:asciiTheme="minorHAnsi" w:eastAsiaTheme="minorEastAsia" w:hAnsiTheme="minorHAnsi"/>
          <w:sz w:val="18"/>
          <w:szCs w:val="18"/>
          <w:lang w:eastAsia="en-US"/>
        </w:rPr>
      </w:pPr>
      <w:r w:rsidRPr="00327031">
        <w:rPr>
          <w:rFonts w:asciiTheme="minorHAnsi" w:eastAsiaTheme="minorEastAsia" w:hAnsiTheme="minorHAnsi"/>
          <w:sz w:val="18"/>
          <w:szCs w:val="18"/>
          <w:lang w:eastAsia="en-US"/>
        </w:rPr>
        <w:t>Not: Regresyon katsayılarının altındaki parantez içindeki değerler standard sapmayı, parantez içinde olmayan değerler regresyon katsayılarını göstermektedir. Wald Testi F İstatistiği altındaki parantez içindeki değerler P-Değerlerini, parantez içinde olmayan değerler F-istatistiğini göstermektedir.</w:t>
      </w:r>
    </w:p>
    <w:p w:rsidR="007E6AFC" w:rsidRPr="00327031" w:rsidRDefault="007E6AFC" w:rsidP="007E6AFC">
      <w:pPr>
        <w:suppressAutoHyphens w:val="0"/>
        <w:rPr>
          <w:rFonts w:asciiTheme="minorHAnsi" w:eastAsiaTheme="minorHAnsi" w:hAnsiTheme="minorHAnsi" w:cstheme="minorBidi"/>
          <w:sz w:val="22"/>
          <w:szCs w:val="22"/>
          <w:lang w:eastAsia="en-US"/>
        </w:rPr>
      </w:pPr>
    </w:p>
    <w:p w:rsidR="00EE5CD8" w:rsidRPr="00327031" w:rsidRDefault="00EE5CD8" w:rsidP="007E6AFC">
      <w:pPr>
        <w:suppressAutoHyphens w:val="0"/>
        <w:rPr>
          <w:rFonts w:asciiTheme="minorHAnsi" w:eastAsiaTheme="minorHAnsi" w:hAnsiTheme="minorHAnsi" w:cstheme="minorBidi"/>
          <w:sz w:val="22"/>
          <w:szCs w:val="22"/>
          <w:lang w:eastAsia="en-US"/>
        </w:rPr>
      </w:pPr>
    </w:p>
    <w:p w:rsidR="00EE5CD8" w:rsidRPr="00327031" w:rsidRDefault="00EE5CD8" w:rsidP="007E6AFC">
      <w:pPr>
        <w:suppressAutoHyphens w:val="0"/>
        <w:rPr>
          <w:rFonts w:asciiTheme="minorHAnsi" w:eastAsiaTheme="minorHAnsi" w:hAnsiTheme="minorHAnsi" w:cstheme="minorBidi"/>
          <w:sz w:val="22"/>
          <w:szCs w:val="22"/>
          <w:lang w:eastAsia="en-US"/>
        </w:rPr>
      </w:pPr>
    </w:p>
    <w:p w:rsidR="00EE5CD8" w:rsidRPr="00327031" w:rsidRDefault="00EE5CD8" w:rsidP="007E6AFC">
      <w:pPr>
        <w:suppressAutoHyphens w:val="0"/>
        <w:rPr>
          <w:rFonts w:asciiTheme="minorHAnsi" w:eastAsiaTheme="minorHAnsi" w:hAnsiTheme="minorHAnsi" w:cstheme="minorBidi"/>
          <w:sz w:val="22"/>
          <w:szCs w:val="22"/>
          <w:lang w:eastAsia="en-US"/>
        </w:rPr>
      </w:pPr>
    </w:p>
    <w:p w:rsidR="00EE5CD8" w:rsidRPr="00327031" w:rsidRDefault="00EE5CD8" w:rsidP="007E6AFC">
      <w:pPr>
        <w:suppressAutoHyphens w:val="0"/>
        <w:rPr>
          <w:rFonts w:asciiTheme="minorHAnsi" w:eastAsiaTheme="minorHAnsi" w:hAnsiTheme="minorHAnsi" w:cstheme="minorBidi"/>
          <w:sz w:val="22"/>
          <w:szCs w:val="22"/>
          <w:lang w:eastAsia="en-US"/>
        </w:rPr>
      </w:pPr>
    </w:p>
    <w:p w:rsidR="00EE5CD8" w:rsidRPr="00327031" w:rsidRDefault="00EE5CD8" w:rsidP="007E6AFC">
      <w:pPr>
        <w:suppressAutoHyphens w:val="0"/>
        <w:rPr>
          <w:rFonts w:asciiTheme="minorHAnsi" w:eastAsiaTheme="minorHAnsi" w:hAnsiTheme="minorHAnsi" w:cstheme="minorBidi"/>
          <w:sz w:val="22"/>
          <w:szCs w:val="22"/>
          <w:lang w:eastAsia="en-US"/>
        </w:rPr>
      </w:pPr>
    </w:p>
    <w:p w:rsidR="00EE5CD8" w:rsidRPr="00327031" w:rsidRDefault="00EE5CD8" w:rsidP="007E6AFC">
      <w:pPr>
        <w:suppressAutoHyphens w:val="0"/>
        <w:rPr>
          <w:rFonts w:asciiTheme="minorHAnsi" w:eastAsiaTheme="minorHAnsi" w:hAnsiTheme="minorHAnsi" w:cstheme="minorBidi"/>
          <w:sz w:val="22"/>
          <w:szCs w:val="22"/>
          <w:lang w:eastAsia="en-US"/>
        </w:rPr>
      </w:pPr>
    </w:p>
    <w:p w:rsidR="00EE5CD8" w:rsidRPr="00327031" w:rsidRDefault="00EE5CD8" w:rsidP="007E6AFC">
      <w:pPr>
        <w:suppressAutoHyphens w:val="0"/>
        <w:rPr>
          <w:rFonts w:asciiTheme="minorHAnsi" w:eastAsiaTheme="minorHAnsi" w:hAnsiTheme="minorHAnsi" w:cstheme="minorBidi"/>
          <w:sz w:val="22"/>
          <w:szCs w:val="22"/>
          <w:lang w:eastAsia="en-US"/>
        </w:rPr>
      </w:pPr>
    </w:p>
    <w:p w:rsidR="00EE5CD8" w:rsidRPr="00327031" w:rsidRDefault="00EE5CD8" w:rsidP="007E6AFC">
      <w:pPr>
        <w:suppressAutoHyphens w:val="0"/>
        <w:rPr>
          <w:rFonts w:asciiTheme="minorHAnsi" w:eastAsiaTheme="minorHAnsi" w:hAnsiTheme="minorHAnsi" w:cstheme="minorBidi"/>
          <w:sz w:val="22"/>
          <w:szCs w:val="22"/>
          <w:lang w:eastAsia="en-US"/>
        </w:rPr>
      </w:pPr>
    </w:p>
    <w:p w:rsidR="00EE5CD8" w:rsidRPr="00327031" w:rsidRDefault="00EE5CD8" w:rsidP="007E6AFC">
      <w:pPr>
        <w:suppressAutoHyphens w:val="0"/>
        <w:rPr>
          <w:rFonts w:asciiTheme="minorHAnsi" w:eastAsiaTheme="minorHAnsi" w:hAnsiTheme="minorHAnsi" w:cstheme="minorBidi"/>
          <w:sz w:val="22"/>
          <w:szCs w:val="22"/>
          <w:lang w:eastAsia="en-US"/>
        </w:rPr>
      </w:pPr>
    </w:p>
    <w:p w:rsidR="007E6AFC" w:rsidRPr="00327031" w:rsidRDefault="007E6AFC" w:rsidP="007E6AFC">
      <w:pPr>
        <w:suppressAutoHyphens w:val="0"/>
        <w:rPr>
          <w:rFonts w:asciiTheme="minorHAnsi" w:eastAsiaTheme="minorHAnsi" w:hAnsiTheme="minorHAnsi" w:cstheme="minorBidi"/>
          <w:sz w:val="22"/>
          <w:szCs w:val="22"/>
          <w:lang w:eastAsia="en-US"/>
        </w:rPr>
      </w:pPr>
      <w:r w:rsidRPr="00327031">
        <w:rPr>
          <w:rFonts w:asciiTheme="minorHAnsi" w:eastAsiaTheme="minorHAnsi" w:hAnsiTheme="minorHAnsi" w:cstheme="minorBidi"/>
          <w:sz w:val="22"/>
          <w:szCs w:val="22"/>
          <w:lang w:eastAsia="en-US"/>
        </w:rPr>
        <w:lastRenderedPageBreak/>
        <w:t xml:space="preserve">Şekil 1. Tarım Dışı </w:t>
      </w:r>
      <w:r w:rsidR="002575AB" w:rsidRPr="00327031">
        <w:rPr>
          <w:rFonts w:asciiTheme="minorHAnsi" w:eastAsiaTheme="minorHAnsi" w:hAnsiTheme="minorHAnsi" w:cstheme="minorBidi"/>
          <w:sz w:val="22"/>
          <w:szCs w:val="22"/>
          <w:lang w:eastAsia="en-US"/>
        </w:rPr>
        <w:t>İşsizlik</w:t>
      </w:r>
      <w:r w:rsidRPr="00327031">
        <w:rPr>
          <w:rFonts w:asciiTheme="minorHAnsi" w:eastAsiaTheme="minorHAnsi" w:hAnsiTheme="minorHAnsi" w:cstheme="minorBidi"/>
          <w:sz w:val="22"/>
          <w:szCs w:val="22"/>
          <w:lang w:eastAsia="en-US"/>
        </w:rPr>
        <w:t xml:space="preserve"> Oranları ve Kariyer.net modelinin bir sonraki dönem tahminleri</w:t>
      </w:r>
    </w:p>
    <w:p w:rsidR="00EE5CD8" w:rsidRPr="00327031" w:rsidRDefault="00EE5CD8" w:rsidP="00EE5CD8">
      <w:pPr>
        <w:suppressAutoHyphens w:val="0"/>
        <w:jc w:val="both"/>
        <w:rPr>
          <w:rFonts w:asciiTheme="minorHAnsi" w:eastAsiaTheme="minorHAnsi" w:hAnsiTheme="minorHAnsi"/>
          <w:sz w:val="22"/>
          <w:szCs w:val="22"/>
          <w:lang w:eastAsia="en-US"/>
        </w:rPr>
      </w:pPr>
      <w:r w:rsidRPr="00327031">
        <w:rPr>
          <w:rFonts w:eastAsiaTheme="minorHAnsi"/>
          <w:noProof/>
          <w:szCs w:val="22"/>
          <w:lang w:eastAsia="tr-TR"/>
        </w:rPr>
        <w:drawing>
          <wp:inline distT="0" distB="0" distL="0" distR="0">
            <wp:extent cx="5534661" cy="3200400"/>
            <wp:effectExtent l="19050" t="0" r="8889"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5534661" cy="3200400"/>
                    </a:xfrm>
                    <a:prstGeom prst="rect">
                      <a:avLst/>
                    </a:prstGeom>
                    <a:noFill/>
                    <a:ln w="9525">
                      <a:noFill/>
                      <a:miter lim="800000"/>
                      <a:headEnd/>
                      <a:tailEnd/>
                    </a:ln>
                  </pic:spPr>
                </pic:pic>
              </a:graphicData>
            </a:graphic>
          </wp:inline>
        </w:drawing>
      </w:r>
    </w:p>
    <w:p w:rsidR="00EE5CD8" w:rsidRPr="00327031" w:rsidRDefault="00EE5CD8" w:rsidP="00EE5CD8">
      <w:pPr>
        <w:suppressAutoHyphens w:val="0"/>
        <w:jc w:val="both"/>
        <w:rPr>
          <w:rFonts w:asciiTheme="minorHAnsi" w:eastAsiaTheme="minorHAnsi" w:hAnsiTheme="minorHAnsi"/>
          <w:sz w:val="18"/>
          <w:szCs w:val="18"/>
          <w:lang w:eastAsia="en-US"/>
        </w:rPr>
      </w:pPr>
      <w:r w:rsidRPr="00327031">
        <w:rPr>
          <w:rFonts w:asciiTheme="minorHAnsi" w:eastAsiaTheme="minorHAnsi" w:hAnsiTheme="minorHAnsi"/>
          <w:sz w:val="18"/>
          <w:szCs w:val="18"/>
          <w:lang w:eastAsia="en-US"/>
        </w:rPr>
        <w:t>Kaynak: Tüik ve yazarın kendi hesaplamaları.</w:t>
      </w:r>
    </w:p>
    <w:p w:rsidR="00EE5CD8" w:rsidRPr="00327031" w:rsidRDefault="00EE5CD8" w:rsidP="00EE5CD8">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rPr>
          <w:rFonts w:asciiTheme="minorHAnsi" w:eastAsiaTheme="minorHAnsi" w:hAnsiTheme="minorHAnsi" w:cstheme="minorBidi"/>
          <w:sz w:val="22"/>
          <w:szCs w:val="22"/>
          <w:lang w:eastAsia="en-US"/>
        </w:rPr>
      </w:pPr>
      <w:r w:rsidRPr="00327031">
        <w:rPr>
          <w:rFonts w:asciiTheme="minorHAnsi" w:eastAsiaTheme="minorHAnsi" w:hAnsiTheme="minorHAnsi" w:cstheme="minorBidi"/>
          <w:sz w:val="22"/>
          <w:szCs w:val="22"/>
          <w:lang w:eastAsia="en-US"/>
        </w:rPr>
        <w:t xml:space="preserve">Şekil 2. Tarım Dışı </w:t>
      </w:r>
      <w:r w:rsidR="002575AB" w:rsidRPr="00327031">
        <w:rPr>
          <w:rFonts w:asciiTheme="minorHAnsi" w:eastAsiaTheme="minorHAnsi" w:hAnsiTheme="minorHAnsi" w:cstheme="minorBidi"/>
          <w:sz w:val="22"/>
          <w:szCs w:val="22"/>
          <w:lang w:eastAsia="en-US"/>
        </w:rPr>
        <w:t>İşsizlik</w:t>
      </w:r>
      <w:r w:rsidRPr="00327031">
        <w:rPr>
          <w:rFonts w:asciiTheme="minorHAnsi" w:eastAsiaTheme="minorHAnsi" w:hAnsiTheme="minorHAnsi" w:cstheme="minorBidi"/>
          <w:sz w:val="22"/>
          <w:szCs w:val="22"/>
          <w:lang w:eastAsia="en-US"/>
        </w:rPr>
        <w:t xml:space="preserve"> Oranları ve Kariyer.net modelinin iki sonraki dönem tahminleri</w:t>
      </w:r>
    </w:p>
    <w:p w:rsidR="007E6AFC" w:rsidRPr="00327031" w:rsidRDefault="00EE5CD8" w:rsidP="007E6AFC">
      <w:pPr>
        <w:suppressAutoHyphens w:val="0"/>
        <w:jc w:val="both"/>
        <w:rPr>
          <w:rFonts w:asciiTheme="minorHAnsi" w:eastAsiaTheme="minorHAnsi" w:hAnsiTheme="minorHAnsi"/>
          <w:sz w:val="22"/>
          <w:szCs w:val="22"/>
          <w:lang w:eastAsia="en-US"/>
        </w:rPr>
      </w:pPr>
      <w:r w:rsidRPr="00327031">
        <w:rPr>
          <w:rFonts w:eastAsiaTheme="minorHAnsi"/>
          <w:noProof/>
          <w:szCs w:val="22"/>
          <w:lang w:eastAsia="tr-TR"/>
        </w:rPr>
        <w:drawing>
          <wp:inline distT="0" distB="0" distL="0" distR="0">
            <wp:extent cx="5561209" cy="3200400"/>
            <wp:effectExtent l="19050" t="0" r="1391"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5561209" cy="3200400"/>
                    </a:xfrm>
                    <a:prstGeom prst="rect">
                      <a:avLst/>
                    </a:prstGeom>
                    <a:noFill/>
                    <a:ln w="9525">
                      <a:noFill/>
                      <a:miter lim="800000"/>
                      <a:headEnd/>
                      <a:tailEnd/>
                    </a:ln>
                  </pic:spPr>
                </pic:pic>
              </a:graphicData>
            </a:graphic>
          </wp:inline>
        </w:drawing>
      </w:r>
    </w:p>
    <w:p w:rsidR="00EE5CD8" w:rsidRPr="00327031" w:rsidRDefault="00EE5CD8" w:rsidP="00EE5CD8">
      <w:pPr>
        <w:suppressAutoHyphens w:val="0"/>
        <w:jc w:val="both"/>
        <w:rPr>
          <w:rFonts w:asciiTheme="minorHAnsi" w:eastAsiaTheme="minorHAnsi" w:hAnsiTheme="minorHAnsi"/>
          <w:sz w:val="18"/>
          <w:szCs w:val="18"/>
          <w:lang w:eastAsia="en-US"/>
        </w:rPr>
      </w:pPr>
      <w:r w:rsidRPr="00327031">
        <w:rPr>
          <w:rFonts w:asciiTheme="minorHAnsi" w:eastAsiaTheme="minorHAnsi" w:hAnsiTheme="minorHAnsi"/>
          <w:sz w:val="18"/>
          <w:szCs w:val="18"/>
          <w:lang w:eastAsia="en-US"/>
        </w:rPr>
        <w:t>Kaynak: Tüik ve yazarın kendi hesaplamaları.</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Nokta tahminlerinin yanında yön tahminleri de işşizliğin mevcut durumu hakkında ekonomistlere ve politika yapıcılara önemli bilgiler sağlar. Modellerin yön tahmini performansları 2x2 kontenjans tablosuna (contingency table) dayalı Fisher'in Tam Olasılık / Kesin Testi (Fisher's exact test) kullanarak test edilecek</w:t>
      </w:r>
      <w:r w:rsidR="00E06E12" w:rsidRPr="00327031">
        <w:rPr>
          <w:rFonts w:asciiTheme="minorHAnsi" w:eastAsiaTheme="minorHAnsi" w:hAnsiTheme="minorHAnsi"/>
          <w:sz w:val="22"/>
          <w:szCs w:val="22"/>
          <w:lang w:eastAsia="en-US"/>
        </w:rPr>
        <w:t>tir</w:t>
      </w:r>
      <w:r w:rsidRPr="00327031">
        <w:rPr>
          <w:rFonts w:asciiTheme="minorHAnsi" w:eastAsiaTheme="minorHAnsi" w:hAnsiTheme="minorHAnsi"/>
          <w:sz w:val="22"/>
          <w:szCs w:val="22"/>
          <w:lang w:eastAsia="en-US"/>
        </w:rPr>
        <w:t>.</w:t>
      </w:r>
      <w:r w:rsidRPr="00327031">
        <w:rPr>
          <w:rFonts w:asciiTheme="minorHAnsi" w:eastAsiaTheme="minorHAnsi" w:hAnsiTheme="minorHAnsi"/>
          <w:sz w:val="22"/>
          <w:szCs w:val="22"/>
          <w:vertAlign w:val="superscript"/>
          <w:lang w:eastAsia="en-US"/>
        </w:rPr>
        <w:footnoteReference w:id="8"/>
      </w:r>
      <w:r w:rsidRPr="00327031">
        <w:rPr>
          <w:rFonts w:asciiTheme="minorHAnsi" w:eastAsiaTheme="minorHAnsi" w:hAnsiTheme="minorHAnsi"/>
          <w:sz w:val="22"/>
          <w:szCs w:val="22"/>
          <w:lang w:eastAsia="en-US"/>
        </w:rPr>
        <w:t xml:space="preserve"> 2x2 kontenjans tablosu aşağıdaki gibi oluşturul</w:t>
      </w:r>
      <w:r w:rsidR="00E06E12" w:rsidRPr="00327031">
        <w:rPr>
          <w:rFonts w:asciiTheme="minorHAnsi" w:eastAsiaTheme="minorHAnsi" w:hAnsiTheme="minorHAnsi"/>
          <w:sz w:val="22"/>
          <w:szCs w:val="22"/>
          <w:lang w:eastAsia="en-US"/>
        </w:rPr>
        <w:t>maktadır</w:t>
      </w:r>
      <w:r w:rsidRPr="00327031">
        <w:rPr>
          <w:rFonts w:asciiTheme="minorHAnsi" w:eastAsiaTheme="minorHAnsi" w:hAnsiTheme="minorHAnsi"/>
          <w:sz w:val="22"/>
          <w:szCs w:val="22"/>
          <w:lang w:eastAsia="en-US"/>
        </w:rPr>
        <w:t>:</w:t>
      </w:r>
    </w:p>
    <w:p w:rsidR="007E6AFC" w:rsidRPr="00327031" w:rsidRDefault="007E6AFC" w:rsidP="007E6AFC">
      <w:pPr>
        <w:suppressAutoHyphens w:val="0"/>
        <w:jc w:val="both"/>
        <w:rPr>
          <w:rFonts w:asciiTheme="minorHAnsi" w:eastAsiaTheme="minorHAnsi" w:hAnsiTheme="minorHAnsi"/>
          <w:sz w:val="22"/>
          <w:szCs w:val="22"/>
          <w:lang w:eastAsia="en-US"/>
        </w:rPr>
      </w:pPr>
    </w:p>
    <w:p w:rsidR="00EE5CD8" w:rsidRPr="00327031" w:rsidRDefault="00EE5CD8" w:rsidP="007E6AFC">
      <w:pPr>
        <w:suppressAutoHyphens w:val="0"/>
        <w:jc w:val="both"/>
        <w:rPr>
          <w:rFonts w:asciiTheme="minorHAnsi" w:eastAsiaTheme="minorHAnsi" w:hAnsiTheme="minorHAnsi"/>
          <w:sz w:val="22"/>
          <w:szCs w:val="22"/>
          <w:lang w:eastAsia="en-US"/>
        </w:rPr>
      </w:pPr>
    </w:p>
    <w:p w:rsidR="00EE5CD8" w:rsidRPr="00327031" w:rsidRDefault="00EE5CD8"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lastRenderedPageBreak/>
        <w:t>Tablo 4. Kontenjans Tablosu</w:t>
      </w:r>
    </w:p>
    <w:tbl>
      <w:tblPr>
        <w:tblStyle w:val="TableGrid1"/>
        <w:tblW w:w="0" w:type="auto"/>
        <w:tblLook w:val="04A0" w:firstRow="1" w:lastRow="0" w:firstColumn="1" w:lastColumn="0" w:noHBand="0" w:noVBand="1"/>
      </w:tblPr>
      <w:tblGrid>
        <w:gridCol w:w="2303"/>
        <w:gridCol w:w="2303"/>
        <w:gridCol w:w="2303"/>
        <w:gridCol w:w="2303"/>
      </w:tblGrid>
      <w:tr w:rsidR="007E6AFC" w:rsidRPr="00327031" w:rsidTr="00B94FAE">
        <w:tc>
          <w:tcPr>
            <w:tcW w:w="2303" w:type="dxa"/>
          </w:tcPr>
          <w:p w:rsidR="007E6AFC" w:rsidRPr="00327031" w:rsidRDefault="007E6AFC" w:rsidP="007E6AFC">
            <w:pPr>
              <w:suppressAutoHyphens w:val="0"/>
              <w:jc w:val="both"/>
              <w:rPr>
                <w:rFonts w:asciiTheme="minorHAnsi" w:hAnsiTheme="minorHAnsi"/>
                <w:sz w:val="22"/>
                <w:szCs w:val="22"/>
                <w:lang w:val="tr-TR" w:eastAsia="en-US"/>
              </w:rPr>
            </w:pPr>
          </w:p>
        </w:tc>
        <w:tc>
          <w:tcPr>
            <w:tcW w:w="2303" w:type="dxa"/>
          </w:tcPr>
          <w:p w:rsidR="007E6AFC" w:rsidRPr="00327031" w:rsidRDefault="007E6AFC" w:rsidP="007E6AFC">
            <w:pPr>
              <w:suppressAutoHyphens w:val="0"/>
              <w:jc w:val="center"/>
              <w:rPr>
                <w:rFonts w:asciiTheme="minorHAnsi" w:hAnsiTheme="minorHAnsi"/>
                <w:sz w:val="22"/>
                <w:szCs w:val="22"/>
                <w:lang w:val="tr-TR" w:eastAsia="en-US"/>
              </w:rPr>
            </w:pPr>
            <w:r w:rsidRPr="00327031">
              <w:rPr>
                <w:rFonts w:asciiTheme="minorHAnsi" w:hAnsiTheme="minorHAnsi" w:cstheme="minorBidi"/>
                <w:sz w:val="22"/>
                <w:szCs w:val="22"/>
                <w:lang w:val="tr-TR" w:eastAsia="en-US"/>
              </w:rPr>
              <w:t>A&gt;0</w:t>
            </w:r>
          </w:p>
        </w:tc>
        <w:tc>
          <w:tcPr>
            <w:tcW w:w="2303" w:type="dxa"/>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A≤0</w:t>
            </w:r>
          </w:p>
        </w:tc>
        <w:tc>
          <w:tcPr>
            <w:tcW w:w="2303" w:type="dxa"/>
          </w:tcPr>
          <w:p w:rsidR="007E6AFC" w:rsidRPr="00327031" w:rsidRDefault="007E6AFC" w:rsidP="007E6AFC">
            <w:pPr>
              <w:suppressAutoHyphens w:val="0"/>
              <w:jc w:val="both"/>
              <w:rPr>
                <w:rFonts w:asciiTheme="minorHAnsi" w:hAnsiTheme="minorHAnsi"/>
                <w:sz w:val="22"/>
                <w:szCs w:val="22"/>
                <w:lang w:val="tr-TR" w:eastAsia="en-US"/>
              </w:rPr>
            </w:pPr>
          </w:p>
        </w:tc>
      </w:tr>
      <w:tr w:rsidR="007E6AFC" w:rsidRPr="00327031" w:rsidTr="00B94FAE">
        <w:tc>
          <w:tcPr>
            <w:tcW w:w="2303" w:type="dxa"/>
          </w:tcPr>
          <w:p w:rsidR="007E6AFC" w:rsidRPr="00327031" w:rsidRDefault="007E6AFC" w:rsidP="007E6AFC">
            <w:pPr>
              <w:suppressAutoHyphens w:val="0"/>
              <w:jc w:val="both"/>
              <w:rPr>
                <w:rFonts w:asciiTheme="minorHAnsi" w:hAnsiTheme="minorHAnsi"/>
                <w:sz w:val="22"/>
                <w:szCs w:val="22"/>
                <w:lang w:val="tr-TR" w:eastAsia="en-US"/>
              </w:rPr>
            </w:pPr>
            <w:r w:rsidRPr="00327031">
              <w:rPr>
                <w:rFonts w:asciiTheme="minorHAnsi" w:hAnsiTheme="minorHAnsi" w:cstheme="minorBidi"/>
                <w:sz w:val="22"/>
                <w:szCs w:val="22"/>
                <w:lang w:val="tr-TR" w:eastAsia="en-US"/>
              </w:rPr>
              <w:t>F&gt;0</w:t>
            </w:r>
          </w:p>
        </w:tc>
        <w:tc>
          <w:tcPr>
            <w:tcW w:w="2303" w:type="dxa"/>
          </w:tcPr>
          <w:p w:rsidR="007E6AFC" w:rsidRPr="00327031" w:rsidRDefault="007E6AFC" w:rsidP="007E6AFC">
            <w:pPr>
              <w:suppressAutoHyphens w:val="0"/>
              <w:jc w:val="center"/>
              <w:rPr>
                <w:rFonts w:asciiTheme="minorHAnsi" w:hAnsiTheme="minorHAnsi"/>
                <w:sz w:val="22"/>
                <w:szCs w:val="22"/>
                <w:lang w:val="tr-TR" w:eastAsia="en-US"/>
              </w:rPr>
            </w:pPr>
            <w:r w:rsidRPr="00327031">
              <w:rPr>
                <w:rFonts w:asciiTheme="minorHAnsi" w:hAnsiTheme="minorHAnsi"/>
                <w:sz w:val="22"/>
                <w:szCs w:val="22"/>
                <w:lang w:val="tr-TR" w:eastAsia="en-US"/>
              </w:rPr>
              <w:t>n</w:t>
            </w:r>
            <w:r w:rsidRPr="00327031">
              <w:rPr>
                <w:rFonts w:asciiTheme="minorHAnsi" w:hAnsiTheme="minorHAnsi"/>
                <w:sz w:val="22"/>
                <w:szCs w:val="22"/>
                <w:vertAlign w:val="subscript"/>
                <w:lang w:val="tr-TR" w:eastAsia="en-US"/>
              </w:rPr>
              <w:t>00</w:t>
            </w:r>
          </w:p>
        </w:tc>
        <w:tc>
          <w:tcPr>
            <w:tcW w:w="2303" w:type="dxa"/>
          </w:tcPr>
          <w:p w:rsidR="007E6AFC" w:rsidRPr="00327031" w:rsidRDefault="007E6AFC" w:rsidP="007E6AFC">
            <w:pPr>
              <w:suppressAutoHyphens w:val="0"/>
              <w:jc w:val="center"/>
              <w:rPr>
                <w:rFonts w:asciiTheme="minorHAnsi" w:hAnsiTheme="minorHAnsi"/>
                <w:sz w:val="22"/>
                <w:szCs w:val="22"/>
                <w:lang w:val="tr-TR" w:eastAsia="en-US"/>
              </w:rPr>
            </w:pPr>
            <w:r w:rsidRPr="00327031">
              <w:rPr>
                <w:rFonts w:asciiTheme="minorHAnsi" w:hAnsiTheme="minorHAnsi"/>
                <w:sz w:val="22"/>
                <w:szCs w:val="22"/>
                <w:lang w:val="tr-TR" w:eastAsia="en-US"/>
              </w:rPr>
              <w:t>n</w:t>
            </w:r>
            <w:r w:rsidRPr="00327031">
              <w:rPr>
                <w:rFonts w:asciiTheme="minorHAnsi" w:hAnsiTheme="minorHAnsi"/>
                <w:sz w:val="22"/>
                <w:szCs w:val="22"/>
                <w:vertAlign w:val="subscript"/>
                <w:lang w:val="tr-TR" w:eastAsia="en-US"/>
              </w:rPr>
              <w:t>10</w:t>
            </w:r>
          </w:p>
        </w:tc>
        <w:tc>
          <w:tcPr>
            <w:tcW w:w="2303" w:type="dxa"/>
          </w:tcPr>
          <w:p w:rsidR="007E6AFC" w:rsidRPr="00327031" w:rsidRDefault="007E6AFC" w:rsidP="007E6AFC">
            <w:pPr>
              <w:suppressAutoHyphens w:val="0"/>
              <w:jc w:val="center"/>
              <w:rPr>
                <w:rFonts w:asciiTheme="minorHAnsi" w:hAnsiTheme="minorHAnsi"/>
                <w:sz w:val="22"/>
                <w:szCs w:val="22"/>
                <w:lang w:val="tr-TR" w:eastAsia="en-US"/>
              </w:rPr>
            </w:pPr>
            <w:r w:rsidRPr="00327031">
              <w:rPr>
                <w:rFonts w:asciiTheme="minorHAnsi" w:hAnsiTheme="minorHAnsi"/>
                <w:sz w:val="22"/>
                <w:szCs w:val="22"/>
                <w:lang w:val="tr-TR" w:eastAsia="en-US"/>
              </w:rPr>
              <w:t>n</w:t>
            </w:r>
            <w:r w:rsidRPr="00327031">
              <w:rPr>
                <w:rFonts w:asciiTheme="minorHAnsi" w:hAnsiTheme="minorHAnsi"/>
                <w:sz w:val="22"/>
                <w:szCs w:val="22"/>
                <w:vertAlign w:val="subscript"/>
                <w:lang w:val="tr-TR" w:eastAsia="en-US"/>
              </w:rPr>
              <w:t>00</w:t>
            </w:r>
            <w:r w:rsidRPr="00327031">
              <w:rPr>
                <w:rFonts w:asciiTheme="minorHAnsi" w:hAnsiTheme="minorHAnsi"/>
                <w:sz w:val="22"/>
                <w:szCs w:val="22"/>
                <w:lang w:val="tr-TR" w:eastAsia="en-US"/>
              </w:rPr>
              <w:t xml:space="preserve"> + n</w:t>
            </w:r>
            <w:r w:rsidRPr="00327031">
              <w:rPr>
                <w:rFonts w:asciiTheme="minorHAnsi" w:hAnsiTheme="minorHAnsi"/>
                <w:sz w:val="22"/>
                <w:szCs w:val="22"/>
                <w:vertAlign w:val="subscript"/>
                <w:lang w:val="tr-TR" w:eastAsia="en-US"/>
              </w:rPr>
              <w:t>10</w:t>
            </w:r>
          </w:p>
        </w:tc>
      </w:tr>
      <w:tr w:rsidR="007E6AFC" w:rsidRPr="00327031" w:rsidTr="00B94FAE">
        <w:tc>
          <w:tcPr>
            <w:tcW w:w="2303" w:type="dxa"/>
          </w:tcPr>
          <w:p w:rsidR="007E6AFC" w:rsidRPr="00327031" w:rsidRDefault="007E6AFC" w:rsidP="007E6AFC">
            <w:pPr>
              <w:suppressAutoHyphens w:val="0"/>
              <w:jc w:val="both"/>
              <w:rPr>
                <w:rFonts w:asciiTheme="minorHAnsi" w:hAnsiTheme="minorHAnsi"/>
                <w:sz w:val="22"/>
                <w:szCs w:val="22"/>
                <w:lang w:val="tr-TR" w:eastAsia="en-US"/>
              </w:rPr>
            </w:pPr>
            <w:r w:rsidRPr="00327031">
              <w:rPr>
                <w:rFonts w:asciiTheme="minorHAnsi" w:hAnsiTheme="minorHAnsi" w:cstheme="minorBidi"/>
                <w:sz w:val="22"/>
                <w:szCs w:val="22"/>
                <w:lang w:val="tr-TR" w:eastAsia="en-US"/>
              </w:rPr>
              <w:t>F≤0</w:t>
            </w:r>
          </w:p>
        </w:tc>
        <w:tc>
          <w:tcPr>
            <w:tcW w:w="2303" w:type="dxa"/>
          </w:tcPr>
          <w:p w:rsidR="007E6AFC" w:rsidRPr="00327031" w:rsidRDefault="007E6AFC" w:rsidP="007E6AFC">
            <w:pPr>
              <w:suppressAutoHyphens w:val="0"/>
              <w:jc w:val="center"/>
              <w:rPr>
                <w:rFonts w:asciiTheme="minorHAnsi" w:hAnsiTheme="minorHAnsi"/>
                <w:sz w:val="22"/>
                <w:szCs w:val="22"/>
                <w:lang w:val="tr-TR" w:eastAsia="en-US"/>
              </w:rPr>
            </w:pPr>
            <w:r w:rsidRPr="00327031">
              <w:rPr>
                <w:rFonts w:asciiTheme="minorHAnsi" w:hAnsiTheme="minorHAnsi"/>
                <w:sz w:val="22"/>
                <w:szCs w:val="22"/>
                <w:lang w:val="tr-TR" w:eastAsia="en-US"/>
              </w:rPr>
              <w:t>n</w:t>
            </w:r>
            <w:r w:rsidRPr="00327031">
              <w:rPr>
                <w:rFonts w:asciiTheme="minorHAnsi" w:hAnsiTheme="minorHAnsi"/>
                <w:sz w:val="22"/>
                <w:szCs w:val="22"/>
                <w:vertAlign w:val="subscript"/>
                <w:lang w:val="tr-TR" w:eastAsia="en-US"/>
              </w:rPr>
              <w:t>01</w:t>
            </w:r>
          </w:p>
        </w:tc>
        <w:tc>
          <w:tcPr>
            <w:tcW w:w="2303" w:type="dxa"/>
          </w:tcPr>
          <w:p w:rsidR="007E6AFC" w:rsidRPr="00327031" w:rsidRDefault="007E6AFC" w:rsidP="007E6AFC">
            <w:pPr>
              <w:suppressAutoHyphens w:val="0"/>
              <w:jc w:val="center"/>
              <w:rPr>
                <w:rFonts w:asciiTheme="minorHAnsi" w:hAnsiTheme="minorHAnsi"/>
                <w:sz w:val="22"/>
                <w:szCs w:val="22"/>
                <w:lang w:val="tr-TR" w:eastAsia="en-US"/>
              </w:rPr>
            </w:pPr>
            <w:r w:rsidRPr="00327031">
              <w:rPr>
                <w:rFonts w:asciiTheme="minorHAnsi" w:hAnsiTheme="minorHAnsi"/>
                <w:sz w:val="22"/>
                <w:szCs w:val="22"/>
                <w:lang w:val="tr-TR" w:eastAsia="en-US"/>
              </w:rPr>
              <w:t>n</w:t>
            </w:r>
            <w:r w:rsidRPr="00327031">
              <w:rPr>
                <w:rFonts w:asciiTheme="minorHAnsi" w:hAnsiTheme="minorHAnsi"/>
                <w:sz w:val="22"/>
                <w:szCs w:val="22"/>
                <w:vertAlign w:val="subscript"/>
                <w:lang w:val="tr-TR" w:eastAsia="en-US"/>
              </w:rPr>
              <w:t>01</w:t>
            </w:r>
          </w:p>
        </w:tc>
        <w:tc>
          <w:tcPr>
            <w:tcW w:w="2303" w:type="dxa"/>
          </w:tcPr>
          <w:p w:rsidR="007E6AFC" w:rsidRPr="00327031" w:rsidRDefault="007E6AFC" w:rsidP="007E6AFC">
            <w:pPr>
              <w:suppressAutoHyphens w:val="0"/>
              <w:jc w:val="center"/>
              <w:rPr>
                <w:rFonts w:asciiTheme="minorHAnsi" w:hAnsiTheme="minorHAnsi"/>
                <w:sz w:val="22"/>
                <w:szCs w:val="22"/>
                <w:lang w:val="tr-TR" w:eastAsia="en-US"/>
              </w:rPr>
            </w:pPr>
            <w:r w:rsidRPr="00327031">
              <w:rPr>
                <w:rFonts w:asciiTheme="minorHAnsi" w:hAnsiTheme="minorHAnsi"/>
                <w:sz w:val="22"/>
                <w:szCs w:val="22"/>
                <w:lang w:val="tr-TR" w:eastAsia="en-US"/>
              </w:rPr>
              <w:t>n</w:t>
            </w:r>
            <w:r w:rsidRPr="00327031">
              <w:rPr>
                <w:rFonts w:asciiTheme="minorHAnsi" w:hAnsiTheme="minorHAnsi"/>
                <w:sz w:val="22"/>
                <w:szCs w:val="22"/>
                <w:vertAlign w:val="subscript"/>
                <w:lang w:val="tr-TR" w:eastAsia="en-US"/>
              </w:rPr>
              <w:t>01</w:t>
            </w:r>
            <w:r w:rsidRPr="00327031">
              <w:rPr>
                <w:rFonts w:asciiTheme="minorHAnsi" w:hAnsiTheme="minorHAnsi"/>
                <w:sz w:val="22"/>
                <w:szCs w:val="22"/>
                <w:lang w:val="tr-TR" w:eastAsia="en-US"/>
              </w:rPr>
              <w:t xml:space="preserve"> + n</w:t>
            </w:r>
            <w:r w:rsidRPr="00327031">
              <w:rPr>
                <w:rFonts w:asciiTheme="minorHAnsi" w:hAnsiTheme="minorHAnsi"/>
                <w:sz w:val="22"/>
                <w:szCs w:val="22"/>
                <w:vertAlign w:val="subscript"/>
                <w:lang w:val="tr-TR" w:eastAsia="en-US"/>
              </w:rPr>
              <w:t>01</w:t>
            </w:r>
          </w:p>
        </w:tc>
      </w:tr>
      <w:tr w:rsidR="007E6AFC" w:rsidRPr="00327031" w:rsidTr="00B94FAE">
        <w:tc>
          <w:tcPr>
            <w:tcW w:w="2303" w:type="dxa"/>
          </w:tcPr>
          <w:p w:rsidR="007E6AFC" w:rsidRPr="00327031" w:rsidRDefault="007E6AFC" w:rsidP="007E6AFC">
            <w:pPr>
              <w:suppressAutoHyphens w:val="0"/>
              <w:jc w:val="both"/>
              <w:rPr>
                <w:rFonts w:asciiTheme="minorHAnsi" w:hAnsiTheme="minorHAnsi"/>
                <w:sz w:val="22"/>
                <w:szCs w:val="22"/>
                <w:lang w:val="tr-TR" w:eastAsia="en-US"/>
              </w:rPr>
            </w:pPr>
          </w:p>
        </w:tc>
        <w:tc>
          <w:tcPr>
            <w:tcW w:w="2303" w:type="dxa"/>
          </w:tcPr>
          <w:p w:rsidR="007E6AFC" w:rsidRPr="00327031" w:rsidRDefault="007E6AFC" w:rsidP="007E6AFC">
            <w:pPr>
              <w:suppressAutoHyphens w:val="0"/>
              <w:jc w:val="center"/>
              <w:rPr>
                <w:rFonts w:asciiTheme="minorHAnsi" w:hAnsiTheme="minorHAnsi"/>
                <w:sz w:val="22"/>
                <w:szCs w:val="22"/>
                <w:lang w:val="tr-TR" w:eastAsia="en-US"/>
              </w:rPr>
            </w:pPr>
            <w:r w:rsidRPr="00327031">
              <w:rPr>
                <w:rFonts w:asciiTheme="minorHAnsi" w:hAnsiTheme="minorHAnsi"/>
                <w:sz w:val="22"/>
                <w:szCs w:val="22"/>
                <w:lang w:val="tr-TR" w:eastAsia="en-US"/>
              </w:rPr>
              <w:t>n</w:t>
            </w:r>
            <w:r w:rsidRPr="00327031">
              <w:rPr>
                <w:rFonts w:asciiTheme="minorHAnsi" w:hAnsiTheme="minorHAnsi"/>
                <w:sz w:val="22"/>
                <w:szCs w:val="22"/>
                <w:vertAlign w:val="subscript"/>
                <w:lang w:val="tr-TR" w:eastAsia="en-US"/>
              </w:rPr>
              <w:t>00</w:t>
            </w:r>
            <w:r w:rsidRPr="00327031">
              <w:rPr>
                <w:rFonts w:asciiTheme="minorHAnsi" w:hAnsiTheme="minorHAnsi"/>
                <w:sz w:val="22"/>
                <w:szCs w:val="22"/>
                <w:lang w:val="tr-TR" w:eastAsia="en-US"/>
              </w:rPr>
              <w:t xml:space="preserve"> + n</w:t>
            </w:r>
            <w:r w:rsidRPr="00327031">
              <w:rPr>
                <w:rFonts w:asciiTheme="minorHAnsi" w:hAnsiTheme="minorHAnsi"/>
                <w:sz w:val="22"/>
                <w:szCs w:val="22"/>
                <w:vertAlign w:val="subscript"/>
                <w:lang w:val="tr-TR" w:eastAsia="en-US"/>
              </w:rPr>
              <w:t>01</w:t>
            </w:r>
          </w:p>
        </w:tc>
        <w:tc>
          <w:tcPr>
            <w:tcW w:w="2303" w:type="dxa"/>
          </w:tcPr>
          <w:p w:rsidR="007E6AFC" w:rsidRPr="00327031" w:rsidRDefault="007E6AFC" w:rsidP="007E6AFC">
            <w:pPr>
              <w:suppressAutoHyphens w:val="0"/>
              <w:jc w:val="center"/>
              <w:rPr>
                <w:rFonts w:asciiTheme="minorHAnsi" w:hAnsiTheme="minorHAnsi"/>
                <w:sz w:val="22"/>
                <w:szCs w:val="22"/>
                <w:lang w:val="tr-TR" w:eastAsia="en-US"/>
              </w:rPr>
            </w:pPr>
            <w:r w:rsidRPr="00327031">
              <w:rPr>
                <w:rFonts w:asciiTheme="minorHAnsi" w:hAnsiTheme="minorHAnsi"/>
                <w:sz w:val="22"/>
                <w:szCs w:val="22"/>
                <w:lang w:val="tr-TR" w:eastAsia="en-US"/>
              </w:rPr>
              <w:t>n</w:t>
            </w:r>
            <w:r w:rsidRPr="00327031">
              <w:rPr>
                <w:rFonts w:asciiTheme="minorHAnsi" w:hAnsiTheme="minorHAnsi"/>
                <w:sz w:val="22"/>
                <w:szCs w:val="22"/>
                <w:vertAlign w:val="subscript"/>
                <w:lang w:val="tr-TR" w:eastAsia="en-US"/>
              </w:rPr>
              <w:t>10</w:t>
            </w:r>
            <w:r w:rsidRPr="00327031">
              <w:rPr>
                <w:rFonts w:asciiTheme="minorHAnsi" w:hAnsiTheme="minorHAnsi"/>
                <w:sz w:val="22"/>
                <w:szCs w:val="22"/>
                <w:lang w:val="tr-TR" w:eastAsia="en-US"/>
              </w:rPr>
              <w:t xml:space="preserve"> + n</w:t>
            </w:r>
            <w:r w:rsidRPr="00327031">
              <w:rPr>
                <w:rFonts w:asciiTheme="minorHAnsi" w:hAnsiTheme="minorHAnsi"/>
                <w:sz w:val="22"/>
                <w:szCs w:val="22"/>
                <w:vertAlign w:val="subscript"/>
                <w:lang w:val="tr-TR" w:eastAsia="en-US"/>
              </w:rPr>
              <w:t>10</w:t>
            </w:r>
          </w:p>
        </w:tc>
        <w:tc>
          <w:tcPr>
            <w:tcW w:w="2303" w:type="dxa"/>
          </w:tcPr>
          <w:p w:rsidR="007E6AFC" w:rsidRPr="00327031" w:rsidRDefault="007E6AFC" w:rsidP="007E6AFC">
            <w:pPr>
              <w:suppressAutoHyphens w:val="0"/>
              <w:jc w:val="center"/>
              <w:rPr>
                <w:rFonts w:asciiTheme="minorHAnsi" w:hAnsiTheme="minorHAnsi"/>
                <w:sz w:val="22"/>
                <w:szCs w:val="22"/>
                <w:lang w:val="tr-TR" w:eastAsia="en-US"/>
              </w:rPr>
            </w:pPr>
          </w:p>
        </w:tc>
      </w:tr>
    </w:tbl>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 xml:space="preserve">Tablo 4'te A =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y</m:t>
            </m:r>
          </m:e>
          <m:sub>
            <m:r>
              <w:rPr>
                <w:rFonts w:ascii="Cambria Math" w:eastAsiaTheme="minorHAnsi" w:hAnsi="Cambria Math"/>
                <w:sz w:val="22"/>
                <w:szCs w:val="22"/>
                <w:lang w:eastAsia="en-US"/>
              </w:rPr>
              <m:t>t</m:t>
            </m:r>
            <m:r>
              <w:rPr>
                <w:rFonts w:ascii="Cambria Math" w:eastAsiaTheme="minorHAnsi" w:hAnsiTheme="minorHAnsi"/>
                <w:sz w:val="22"/>
                <w:szCs w:val="22"/>
                <w:lang w:eastAsia="en-US"/>
              </w:rPr>
              <m:t>+</m:t>
            </m:r>
            <m:r>
              <w:rPr>
                <w:rFonts w:ascii="Cambria Math" w:eastAsiaTheme="minorHAnsi" w:hAnsi="Cambria Math"/>
                <w:sz w:val="22"/>
                <w:szCs w:val="22"/>
                <w:lang w:eastAsia="en-US"/>
              </w:rPr>
              <m:t>h</m:t>
            </m:r>
          </m:sub>
        </m:sSub>
      </m:oMath>
      <w:r w:rsidRPr="00327031">
        <w:rPr>
          <w:rFonts w:asciiTheme="minorHAnsi" w:eastAsiaTheme="minorEastAsia" w:hAnsiTheme="minorHAnsi"/>
          <w:sz w:val="22"/>
          <w:szCs w:val="22"/>
          <w:lang w:eastAsia="en-US"/>
        </w:rPr>
        <w:t xml:space="preserve"> -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y</m:t>
            </m:r>
          </m:e>
          <m:sub>
            <m:r>
              <w:rPr>
                <w:rFonts w:ascii="Cambria Math" w:eastAsiaTheme="minorHAnsi" w:hAnsi="Cambria Math"/>
                <w:sz w:val="22"/>
                <w:szCs w:val="22"/>
                <w:lang w:eastAsia="en-US"/>
              </w:rPr>
              <m:t>t</m:t>
            </m:r>
          </m:sub>
        </m:sSub>
      </m:oMath>
      <w:r w:rsidRPr="00327031">
        <w:rPr>
          <w:rFonts w:asciiTheme="minorHAnsi" w:eastAsiaTheme="minorEastAsia" w:hAnsiTheme="minorHAnsi"/>
          <w:sz w:val="22"/>
          <w:szCs w:val="22"/>
          <w:lang w:eastAsia="en-US"/>
        </w:rPr>
        <w:t xml:space="preserve">, t+h dönem sonra gerçekleşen değerin t döneminde gerçekleşen değere göre farkını, </w:t>
      </w:r>
      <w:r w:rsidRPr="00327031">
        <w:rPr>
          <w:rFonts w:asciiTheme="minorHAnsi" w:eastAsiaTheme="minorHAnsi" w:hAnsiTheme="minorHAnsi"/>
          <w:sz w:val="22"/>
          <w:szCs w:val="22"/>
          <w:lang w:eastAsia="en-US"/>
        </w:rPr>
        <w:t xml:space="preserve">F = </w:t>
      </w:r>
      <m:oMath>
        <m:sSub>
          <m:sSubPr>
            <m:ctrlPr>
              <w:rPr>
                <w:rFonts w:ascii="Cambria Math" w:eastAsiaTheme="minorHAnsi" w:hAnsi="Cambria Math"/>
                <w:i/>
                <w:sz w:val="22"/>
                <w:szCs w:val="22"/>
                <w:lang w:eastAsia="en-US"/>
              </w:rPr>
            </m:ctrlPr>
          </m:sSubPr>
          <m:e>
            <m:acc>
              <m:accPr>
                <m:ctrlPr>
                  <w:rPr>
                    <w:rFonts w:ascii="Cambria Math" w:eastAsiaTheme="minorHAnsi" w:hAnsi="Cambria Math"/>
                    <w:i/>
                    <w:sz w:val="22"/>
                    <w:szCs w:val="22"/>
                    <w:lang w:eastAsia="en-US"/>
                  </w:rPr>
                </m:ctrlPr>
              </m:accPr>
              <m:e>
                <m:r>
                  <w:rPr>
                    <w:rFonts w:ascii="Cambria Math" w:eastAsiaTheme="minorHAnsi" w:hAnsi="Cambria Math"/>
                    <w:sz w:val="22"/>
                    <w:szCs w:val="22"/>
                    <w:lang w:eastAsia="en-US"/>
                  </w:rPr>
                  <m:t>y</m:t>
                </m:r>
              </m:e>
            </m:acc>
          </m:e>
          <m:sub>
            <m:r>
              <w:rPr>
                <w:rFonts w:ascii="Cambria Math" w:eastAsiaTheme="minorHAnsi" w:hAnsi="Cambria Math"/>
                <w:sz w:val="22"/>
                <w:szCs w:val="22"/>
                <w:lang w:eastAsia="en-US"/>
              </w:rPr>
              <m:t>t</m:t>
            </m:r>
            <m:r>
              <w:rPr>
                <w:rFonts w:ascii="Cambria Math" w:eastAsiaTheme="minorHAnsi" w:hAnsiTheme="minorHAnsi"/>
                <w:sz w:val="22"/>
                <w:szCs w:val="22"/>
                <w:lang w:eastAsia="en-US"/>
              </w:rPr>
              <m:t>+</m:t>
            </m:r>
            <m:r>
              <w:rPr>
                <w:rFonts w:ascii="Cambria Math" w:eastAsiaTheme="minorHAnsi" w:hAnsi="Cambria Math"/>
                <w:sz w:val="22"/>
                <w:szCs w:val="22"/>
                <w:lang w:eastAsia="en-US"/>
              </w:rPr>
              <m:t>h|t</m:t>
            </m:r>
          </m:sub>
        </m:sSub>
      </m:oMath>
      <w:r w:rsidRPr="00327031">
        <w:rPr>
          <w:rFonts w:asciiTheme="minorHAnsi" w:eastAsiaTheme="minorEastAsia" w:hAnsiTheme="minorHAnsi"/>
          <w:sz w:val="22"/>
          <w:szCs w:val="22"/>
          <w:lang w:eastAsia="en-US"/>
        </w:rPr>
        <w:t xml:space="preserve"> - </w:t>
      </w:r>
      <m:oMath>
        <m:sSub>
          <m:sSubPr>
            <m:ctrlPr>
              <w:rPr>
                <w:rFonts w:ascii="Cambria Math" w:eastAsiaTheme="minorHAnsi" w:hAnsi="Cambria Math"/>
                <w:i/>
                <w:sz w:val="22"/>
                <w:szCs w:val="22"/>
                <w:lang w:eastAsia="en-US"/>
              </w:rPr>
            </m:ctrlPr>
          </m:sSubPr>
          <m:e>
            <m:r>
              <w:rPr>
                <w:rFonts w:ascii="Cambria Math" w:eastAsiaTheme="minorHAnsi" w:hAnsi="Cambria Math"/>
                <w:sz w:val="22"/>
                <w:szCs w:val="22"/>
                <w:lang w:eastAsia="en-US"/>
              </w:rPr>
              <m:t>y</m:t>
            </m:r>
          </m:e>
          <m:sub>
            <m:r>
              <w:rPr>
                <w:rFonts w:ascii="Cambria Math" w:eastAsiaTheme="minorHAnsi" w:hAnsi="Cambria Math"/>
                <w:sz w:val="22"/>
                <w:szCs w:val="22"/>
                <w:lang w:eastAsia="en-US"/>
              </w:rPr>
              <m:t>t</m:t>
            </m:r>
          </m:sub>
        </m:sSub>
      </m:oMath>
      <w:r w:rsidRPr="00327031">
        <w:rPr>
          <w:rFonts w:asciiTheme="minorHAnsi" w:eastAsiaTheme="minorEastAsia" w:hAnsiTheme="minorHAnsi"/>
          <w:sz w:val="22"/>
          <w:szCs w:val="22"/>
          <w:lang w:eastAsia="en-US"/>
        </w:rPr>
        <w:t xml:space="preserve">, t döneminde yapılan t+h dönem sonrası tahminin t döneminde gerçekleşen değere göre farkını göstermektedir. Her bir hücrede o hücreye tekabül eden şartları sağlayan kaç tane gözlem olduğu görülmektedir. Tablo 4 kullanılarak tek yönlü Fisher kesin test istatistiği hesaplanmaktadır. Fisher's kesin testinin sıfır hipotezi gerçekleşen ve tahmin edilen değerler arasında hiç bir ilişki olmadığıdır. </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Tablo 5. Bir sonraki dönem için Kontenjans Tablosu değerleri ve Fisher Kesin Test Sonuçları</w:t>
      </w:r>
    </w:p>
    <w:tbl>
      <w:tblPr>
        <w:tblStyle w:val="TableGrid1"/>
        <w:tblW w:w="5000" w:type="pct"/>
        <w:tblLook w:val="04A0" w:firstRow="1" w:lastRow="0" w:firstColumn="1" w:lastColumn="0" w:noHBand="0" w:noVBand="1"/>
      </w:tblPr>
      <w:tblGrid>
        <w:gridCol w:w="1322"/>
        <w:gridCol w:w="1296"/>
        <w:gridCol w:w="1297"/>
        <w:gridCol w:w="1297"/>
        <w:gridCol w:w="1297"/>
        <w:gridCol w:w="1624"/>
        <w:gridCol w:w="1155"/>
      </w:tblGrid>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A&gt;0</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F&gt;0</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A&gt;0</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F≤0</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A≤0</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F&gt;0</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A≤0</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F≤0</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Doğru Tahminler (%)</w:t>
            </w:r>
          </w:p>
        </w:tc>
        <w:tc>
          <w:tcPr>
            <w:tcW w:w="622" w:type="pct"/>
            <w:vAlign w:val="center"/>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P-Değeri</w:t>
            </w:r>
          </w:p>
        </w:tc>
      </w:tr>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AR</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11</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5</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6</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15</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70.3</w:t>
            </w:r>
          </w:p>
        </w:tc>
        <w:tc>
          <w:tcPr>
            <w:tcW w:w="62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0.0175</w:t>
            </w:r>
          </w:p>
        </w:tc>
      </w:tr>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Kariyer.net</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8</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8</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3</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18</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70.3</w:t>
            </w:r>
          </w:p>
        </w:tc>
        <w:tc>
          <w:tcPr>
            <w:tcW w:w="62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0.0230</w:t>
            </w:r>
          </w:p>
        </w:tc>
      </w:tr>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SÜE</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9</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7</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7</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14</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62.2</w:t>
            </w:r>
          </w:p>
        </w:tc>
        <w:tc>
          <w:tcPr>
            <w:tcW w:w="62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0.1449</w:t>
            </w:r>
          </w:p>
        </w:tc>
      </w:tr>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TGE</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10</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6</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6</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15</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67.6</w:t>
            </w:r>
          </w:p>
        </w:tc>
        <w:tc>
          <w:tcPr>
            <w:tcW w:w="62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0.0416</w:t>
            </w:r>
          </w:p>
        </w:tc>
      </w:tr>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RKGE</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8</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8</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9</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12</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54.1</w:t>
            </w:r>
          </w:p>
        </w:tc>
        <w:tc>
          <w:tcPr>
            <w:tcW w:w="62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0.4602</w:t>
            </w:r>
          </w:p>
        </w:tc>
      </w:tr>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RKGE-İst</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8</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8</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8</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13</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56.8</w:t>
            </w:r>
          </w:p>
        </w:tc>
        <w:tc>
          <w:tcPr>
            <w:tcW w:w="62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0.3483</w:t>
            </w:r>
          </w:p>
        </w:tc>
      </w:tr>
    </w:tbl>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Tablo 5 bir sonraki dönem tahminleri için oluşturulan kontenjans tablosu değerlerini, modelin doğru tahmin performansını ve Fisher kesin testinin P-Değerlerini göstermektedir. Bir sonraki dönem tahmininde Kariyer.net'li modelin 2011.2-2014.2 dönemi arasında yüzde 70 oranında doğru yön tahmini yaptığı görülmektedir, ve yüzde 5 anlamlılık düzeyinde, gerçekleşen ve tahmin dönemi arasında hiç bir ilişki olmadığına dair sıfır hipotezi reddedilmektedir. Tablo 5'te AR modelinin de 2011.2-2014.2 döneminde benzer bir başarım sağladığı görülmektedir. Tablo 6 iki sonraki dönem tahminleri için oluşturulan kontenjans tablosu değerlerini, modelin doğru tahmin performansını ve Fisher kesin testinin P-Değerlerini göstermektedir. İki sonraki dönem için Kariyer.net'li modelin yüzde 67.6 oranında doğru yön tahmini yaptığı görülmektedir, ve sıfır hipotezini yüzde 10 anlamlılık düzeyinde reddediği gözükmektedir. TGE'li modelin de iki sonraki dönem yön tahminlerinde Kariyer.net'e benzer bir başarım gösterdiği, hatta sıfır hipotezini yüzde 5 güven aralığında reddediği görülmektedir.</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Tablo 6. İki sonraki dönem için Kontenjans Tablosu değerleri ve Fisher Kesin Test Sonuçları</w:t>
      </w:r>
    </w:p>
    <w:tbl>
      <w:tblPr>
        <w:tblStyle w:val="TableGrid1"/>
        <w:tblW w:w="5000" w:type="pct"/>
        <w:tblLook w:val="04A0" w:firstRow="1" w:lastRow="0" w:firstColumn="1" w:lastColumn="0" w:noHBand="0" w:noVBand="1"/>
      </w:tblPr>
      <w:tblGrid>
        <w:gridCol w:w="1322"/>
        <w:gridCol w:w="1296"/>
        <w:gridCol w:w="1297"/>
        <w:gridCol w:w="1297"/>
        <w:gridCol w:w="1297"/>
        <w:gridCol w:w="1624"/>
        <w:gridCol w:w="1155"/>
      </w:tblGrid>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A&gt;0</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F&gt;0</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A&gt;0</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F≤0</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A≤0</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F&gt;0</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A≤0</w:t>
            </w:r>
          </w:p>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F≤0</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Doğru Tahminler (%)</w:t>
            </w:r>
          </w:p>
        </w:tc>
        <w:tc>
          <w:tcPr>
            <w:tcW w:w="622" w:type="pct"/>
            <w:vAlign w:val="center"/>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P-Değeri</w:t>
            </w:r>
          </w:p>
        </w:tc>
      </w:tr>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AR</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8</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7</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8</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14</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59.5</w:t>
            </w:r>
          </w:p>
        </w:tc>
        <w:tc>
          <w:tcPr>
            <w:tcW w:w="62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0.2466</w:t>
            </w:r>
          </w:p>
        </w:tc>
      </w:tr>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Kariyer.net</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8</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7</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5</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17</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67.6</w:t>
            </w:r>
          </w:p>
        </w:tc>
        <w:tc>
          <w:tcPr>
            <w:tcW w:w="62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0.0592</w:t>
            </w:r>
          </w:p>
        </w:tc>
      </w:tr>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TGE</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10</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5</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7</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15</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67.6</w:t>
            </w:r>
          </w:p>
        </w:tc>
        <w:tc>
          <w:tcPr>
            <w:tcW w:w="62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0.0394</w:t>
            </w:r>
          </w:p>
        </w:tc>
      </w:tr>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RKGE</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8</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7</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9</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13</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56.8</w:t>
            </w:r>
          </w:p>
        </w:tc>
        <w:tc>
          <w:tcPr>
            <w:tcW w:w="62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0.3413</w:t>
            </w:r>
          </w:p>
        </w:tc>
      </w:tr>
      <w:tr w:rsidR="007E6AFC" w:rsidRPr="00327031" w:rsidTr="00B94FAE">
        <w:tc>
          <w:tcPr>
            <w:tcW w:w="71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RKGE-İst</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6</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9</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10</w:t>
            </w:r>
          </w:p>
        </w:tc>
        <w:tc>
          <w:tcPr>
            <w:tcW w:w="698"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12</w:t>
            </w:r>
          </w:p>
        </w:tc>
        <w:tc>
          <w:tcPr>
            <w:tcW w:w="874"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48.6</w:t>
            </w:r>
          </w:p>
        </w:tc>
        <w:tc>
          <w:tcPr>
            <w:tcW w:w="622" w:type="pct"/>
          </w:tcPr>
          <w:p w:rsidR="007E6AFC" w:rsidRPr="00327031" w:rsidRDefault="007E6AFC" w:rsidP="007E6AFC">
            <w:pPr>
              <w:suppressAutoHyphens w:val="0"/>
              <w:jc w:val="center"/>
              <w:rPr>
                <w:rFonts w:asciiTheme="minorHAnsi" w:hAnsiTheme="minorHAnsi" w:cstheme="minorBidi"/>
                <w:sz w:val="22"/>
                <w:szCs w:val="22"/>
                <w:lang w:val="tr-TR" w:eastAsia="en-US"/>
              </w:rPr>
            </w:pPr>
            <w:r w:rsidRPr="00327031">
              <w:rPr>
                <w:rFonts w:asciiTheme="minorHAnsi" w:hAnsiTheme="minorHAnsi" w:cstheme="minorBidi"/>
                <w:sz w:val="22"/>
                <w:szCs w:val="22"/>
                <w:lang w:val="tr-TR" w:eastAsia="en-US"/>
              </w:rPr>
              <w:t>0.5048</w:t>
            </w:r>
          </w:p>
        </w:tc>
      </w:tr>
    </w:tbl>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 xml:space="preserve">  </w:t>
      </w:r>
    </w:p>
    <w:p w:rsidR="007E6AFC" w:rsidRPr="00327031" w:rsidRDefault="007E6AFC" w:rsidP="007E6AFC">
      <w:pPr>
        <w:suppressAutoHyphens w:val="0"/>
        <w:jc w:val="both"/>
        <w:rPr>
          <w:rFonts w:asciiTheme="minorHAnsi" w:eastAsiaTheme="minorHAnsi" w:hAnsiTheme="minorHAnsi"/>
          <w:b/>
          <w:sz w:val="22"/>
          <w:szCs w:val="22"/>
          <w:lang w:eastAsia="en-US"/>
        </w:rPr>
      </w:pPr>
      <w:r w:rsidRPr="00327031">
        <w:rPr>
          <w:rFonts w:asciiTheme="minorHAnsi" w:eastAsiaTheme="minorHAnsi" w:hAnsiTheme="minorHAnsi"/>
          <w:b/>
          <w:sz w:val="22"/>
          <w:szCs w:val="22"/>
          <w:lang w:eastAsia="en-US"/>
        </w:rPr>
        <w:t>5. Sonuç</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sz w:val="22"/>
          <w:szCs w:val="22"/>
          <w:lang w:eastAsia="en-US"/>
        </w:rPr>
      </w:pPr>
      <w:r w:rsidRPr="00327031">
        <w:rPr>
          <w:rFonts w:asciiTheme="minorHAnsi" w:eastAsiaTheme="minorHAnsi" w:hAnsiTheme="minorHAnsi"/>
          <w:sz w:val="22"/>
          <w:szCs w:val="22"/>
          <w:lang w:eastAsia="en-US"/>
        </w:rPr>
        <w:t>Kariyer.net ilan başına düşen başvuru verisi kullanarak yapılan nokta tahminler diğer bütün rakip mode</w:t>
      </w:r>
      <w:r w:rsidR="00E06E12" w:rsidRPr="00327031">
        <w:rPr>
          <w:rFonts w:asciiTheme="minorHAnsi" w:eastAsiaTheme="minorHAnsi" w:hAnsiTheme="minorHAnsi"/>
          <w:sz w:val="22"/>
          <w:szCs w:val="22"/>
          <w:lang w:eastAsia="en-US"/>
        </w:rPr>
        <w:t>llerle yapılan nokta tahminler</w:t>
      </w:r>
      <w:r w:rsidRPr="00327031">
        <w:rPr>
          <w:rFonts w:asciiTheme="minorHAnsi" w:eastAsiaTheme="minorHAnsi" w:hAnsiTheme="minorHAnsi"/>
          <w:sz w:val="22"/>
          <w:szCs w:val="22"/>
          <w:lang w:eastAsia="en-US"/>
        </w:rPr>
        <w:t>den mutlak olarak daha iyi sonuç vermektedir. Giacomonini ve White testine göre istatiksel olarak da yüzde 10 anlamlılık düzeyinde çoğu rakip modelden daha iyi nokta tahmin yaptığı görülmektedir. Nokta tahminlerinin</w:t>
      </w:r>
      <w:r w:rsidR="00E06E12" w:rsidRPr="00327031">
        <w:rPr>
          <w:rFonts w:asciiTheme="minorHAnsi" w:eastAsiaTheme="minorHAnsi" w:hAnsiTheme="minorHAnsi"/>
          <w:sz w:val="22"/>
          <w:szCs w:val="22"/>
          <w:lang w:eastAsia="en-US"/>
        </w:rPr>
        <w:t>,</w:t>
      </w:r>
      <w:r w:rsidRPr="00327031">
        <w:rPr>
          <w:rFonts w:asciiTheme="minorHAnsi" w:eastAsiaTheme="minorHAnsi" w:hAnsiTheme="minorHAnsi"/>
          <w:sz w:val="22"/>
          <w:szCs w:val="22"/>
          <w:lang w:eastAsia="en-US"/>
        </w:rPr>
        <w:t xml:space="preserve"> Mincer ve Zarnowitz </w:t>
      </w:r>
      <w:r w:rsidR="00ED66E8" w:rsidRPr="00327031">
        <w:rPr>
          <w:rFonts w:asciiTheme="minorHAnsi" w:eastAsiaTheme="minorHAnsi" w:hAnsiTheme="minorHAnsi"/>
          <w:sz w:val="22"/>
          <w:szCs w:val="22"/>
          <w:lang w:eastAsia="en-US"/>
        </w:rPr>
        <w:t>testinin gösterdiği</w:t>
      </w:r>
      <w:r w:rsidRPr="00327031">
        <w:rPr>
          <w:rFonts w:asciiTheme="minorHAnsi" w:eastAsiaTheme="minorHAnsi" w:hAnsiTheme="minorHAnsi"/>
          <w:sz w:val="22"/>
          <w:szCs w:val="22"/>
          <w:lang w:eastAsia="en-US"/>
        </w:rPr>
        <w:t xml:space="preserve"> </w:t>
      </w:r>
      <w:r w:rsidRPr="00327031">
        <w:rPr>
          <w:rFonts w:asciiTheme="minorHAnsi" w:eastAsiaTheme="minorHAnsi" w:hAnsiTheme="minorHAnsi"/>
          <w:sz w:val="22"/>
          <w:szCs w:val="22"/>
          <w:lang w:eastAsia="en-US"/>
        </w:rPr>
        <w:lastRenderedPageBreak/>
        <w:t>üzere</w:t>
      </w:r>
      <w:r w:rsidR="00E06E12" w:rsidRPr="00327031">
        <w:rPr>
          <w:rFonts w:asciiTheme="minorHAnsi" w:eastAsiaTheme="minorHAnsi" w:hAnsiTheme="minorHAnsi"/>
          <w:sz w:val="22"/>
          <w:szCs w:val="22"/>
          <w:lang w:eastAsia="en-US"/>
        </w:rPr>
        <w:t>,</w:t>
      </w:r>
      <w:r w:rsidRPr="00327031">
        <w:rPr>
          <w:rFonts w:asciiTheme="minorHAnsi" w:eastAsiaTheme="minorHAnsi" w:hAnsiTheme="minorHAnsi"/>
          <w:sz w:val="22"/>
          <w:szCs w:val="22"/>
          <w:lang w:eastAsia="en-US"/>
        </w:rPr>
        <w:t xml:space="preserve"> yansız olduğu anlaşılmaktadır. </w:t>
      </w:r>
      <w:r w:rsidR="00E06E12" w:rsidRPr="00327031">
        <w:rPr>
          <w:rFonts w:asciiTheme="minorHAnsi" w:eastAsiaTheme="minorHAnsi" w:hAnsiTheme="minorHAnsi"/>
          <w:sz w:val="22"/>
          <w:szCs w:val="22"/>
          <w:lang w:eastAsia="en-US"/>
        </w:rPr>
        <w:t>Bu sonuçlara dayanarak Kariyer.net verisi kullanılan modelin y</w:t>
      </w:r>
      <w:r w:rsidRPr="00327031">
        <w:rPr>
          <w:rFonts w:asciiTheme="minorHAnsi" w:eastAsiaTheme="minorHAnsi" w:hAnsiTheme="minorHAnsi"/>
          <w:sz w:val="22"/>
          <w:szCs w:val="22"/>
          <w:lang w:eastAsia="en-US"/>
        </w:rPr>
        <w:t>ön tahminlerinde en az diğer rakip modeller kadar iyi performans gösterdiği ve istatiksel olarak da yön tahminlerinin anlamlı olduğu görülmektedir.</w:t>
      </w:r>
    </w:p>
    <w:p w:rsidR="007E6AFC" w:rsidRPr="00327031" w:rsidRDefault="007E6AFC" w:rsidP="007E6AFC">
      <w:pPr>
        <w:suppressAutoHyphens w:val="0"/>
        <w:jc w:val="both"/>
        <w:rPr>
          <w:rFonts w:asciiTheme="minorHAnsi" w:eastAsiaTheme="minorHAnsi" w:hAnsiTheme="minorHAnsi"/>
          <w:sz w:val="22"/>
          <w:szCs w:val="22"/>
          <w:lang w:eastAsia="en-US"/>
        </w:rPr>
      </w:pPr>
    </w:p>
    <w:p w:rsidR="007E6AFC" w:rsidRPr="00327031" w:rsidRDefault="007E6AFC" w:rsidP="007E6AFC">
      <w:pPr>
        <w:suppressAutoHyphens w:val="0"/>
        <w:jc w:val="both"/>
        <w:rPr>
          <w:rFonts w:asciiTheme="minorHAnsi" w:eastAsiaTheme="minorHAnsi" w:hAnsiTheme="minorHAnsi"/>
          <w:b/>
          <w:sz w:val="22"/>
          <w:szCs w:val="22"/>
          <w:lang w:eastAsia="en-US"/>
        </w:rPr>
      </w:pPr>
      <w:r w:rsidRPr="00327031">
        <w:rPr>
          <w:rFonts w:asciiTheme="minorHAnsi" w:eastAsiaTheme="minorHAnsi" w:hAnsiTheme="minorHAnsi"/>
          <w:b/>
          <w:sz w:val="22"/>
          <w:szCs w:val="22"/>
          <w:lang w:eastAsia="en-US"/>
        </w:rPr>
        <w:t xml:space="preserve">Referanslar  </w:t>
      </w:r>
    </w:p>
    <w:p w:rsidR="004D033B" w:rsidRPr="00327031" w:rsidRDefault="004D033B" w:rsidP="007E6AFC">
      <w:pPr>
        <w:suppressAutoHyphens w:val="0"/>
        <w:spacing w:after="100" w:line="276" w:lineRule="auto"/>
        <w:jc w:val="both"/>
        <w:rPr>
          <w:b/>
          <w:bCs/>
          <w:sz w:val="22"/>
          <w:szCs w:val="22"/>
        </w:rPr>
      </w:pPr>
    </w:p>
    <w:p w:rsidR="00A056B2" w:rsidRPr="00327031" w:rsidRDefault="00A056B2" w:rsidP="007E6AFC">
      <w:pPr>
        <w:suppressAutoHyphens w:val="0"/>
        <w:spacing w:after="100" w:line="276" w:lineRule="auto"/>
        <w:jc w:val="both"/>
        <w:rPr>
          <w:rFonts w:asciiTheme="minorHAnsi" w:hAnsiTheme="minorHAnsi"/>
          <w:bCs/>
          <w:sz w:val="22"/>
          <w:szCs w:val="22"/>
        </w:rPr>
      </w:pPr>
      <w:r w:rsidRPr="00327031">
        <w:rPr>
          <w:rFonts w:asciiTheme="minorHAnsi" w:hAnsiTheme="minorHAnsi"/>
          <w:bCs/>
          <w:sz w:val="22"/>
          <w:szCs w:val="22"/>
        </w:rPr>
        <w:t xml:space="preserve">Giacomini, R. ve White, H. (2006) Tests of conditional predictive ability, </w:t>
      </w:r>
      <w:r w:rsidRPr="00327031">
        <w:rPr>
          <w:rFonts w:asciiTheme="minorHAnsi" w:hAnsiTheme="minorHAnsi"/>
          <w:bCs/>
          <w:i/>
          <w:sz w:val="22"/>
          <w:szCs w:val="22"/>
        </w:rPr>
        <w:t>Econometrica</w:t>
      </w:r>
      <w:r w:rsidRPr="00327031">
        <w:rPr>
          <w:rFonts w:asciiTheme="minorHAnsi" w:hAnsiTheme="minorHAnsi"/>
          <w:bCs/>
          <w:sz w:val="22"/>
          <w:szCs w:val="22"/>
        </w:rPr>
        <w:t xml:space="preserve">, </w:t>
      </w:r>
      <w:r w:rsidRPr="00327031">
        <w:rPr>
          <w:rFonts w:asciiTheme="minorHAnsi" w:hAnsiTheme="minorHAnsi"/>
          <w:b/>
          <w:bCs/>
          <w:sz w:val="22"/>
          <w:szCs w:val="22"/>
        </w:rPr>
        <w:t>74</w:t>
      </w:r>
      <w:r w:rsidRPr="00327031">
        <w:rPr>
          <w:rFonts w:asciiTheme="minorHAnsi" w:hAnsiTheme="minorHAnsi"/>
          <w:bCs/>
          <w:sz w:val="22"/>
          <w:szCs w:val="22"/>
        </w:rPr>
        <w:t>, 1545-1578.</w:t>
      </w:r>
    </w:p>
    <w:p w:rsidR="00A056B2" w:rsidRPr="00327031" w:rsidRDefault="00A056B2" w:rsidP="007E6AFC">
      <w:pPr>
        <w:suppressAutoHyphens w:val="0"/>
        <w:spacing w:after="100" w:line="276" w:lineRule="auto"/>
        <w:jc w:val="both"/>
        <w:rPr>
          <w:rFonts w:asciiTheme="minorHAnsi" w:hAnsiTheme="minorHAnsi"/>
          <w:bCs/>
          <w:sz w:val="22"/>
          <w:szCs w:val="22"/>
        </w:rPr>
      </w:pPr>
      <w:r w:rsidRPr="00327031">
        <w:rPr>
          <w:rFonts w:asciiTheme="minorHAnsi" w:hAnsiTheme="minorHAnsi"/>
          <w:bCs/>
          <w:sz w:val="22"/>
          <w:szCs w:val="22"/>
        </w:rPr>
        <w:t xml:space="preserve">Henriksson, R. D. ve Merton, R. C. (1981) On market timing and investment performance, two statistical procedures for evaluating forecasting skills, </w:t>
      </w:r>
      <w:r w:rsidRPr="00327031">
        <w:rPr>
          <w:rFonts w:asciiTheme="minorHAnsi" w:hAnsiTheme="minorHAnsi"/>
          <w:bCs/>
          <w:i/>
          <w:sz w:val="22"/>
          <w:szCs w:val="22"/>
        </w:rPr>
        <w:t>Journal of Business</w:t>
      </w:r>
      <w:r w:rsidRPr="00327031">
        <w:rPr>
          <w:rFonts w:asciiTheme="minorHAnsi" w:hAnsiTheme="minorHAnsi"/>
          <w:bCs/>
          <w:sz w:val="22"/>
          <w:szCs w:val="22"/>
        </w:rPr>
        <w:t xml:space="preserve">, </w:t>
      </w:r>
      <w:r w:rsidRPr="00327031">
        <w:rPr>
          <w:rFonts w:asciiTheme="minorHAnsi" w:hAnsiTheme="minorHAnsi"/>
          <w:b/>
          <w:bCs/>
          <w:sz w:val="22"/>
          <w:szCs w:val="22"/>
        </w:rPr>
        <w:t>54</w:t>
      </w:r>
      <w:r w:rsidRPr="00327031">
        <w:rPr>
          <w:rFonts w:asciiTheme="minorHAnsi" w:hAnsiTheme="minorHAnsi"/>
          <w:bCs/>
          <w:sz w:val="22"/>
          <w:szCs w:val="22"/>
        </w:rPr>
        <w:t>, 513-533.</w:t>
      </w:r>
    </w:p>
    <w:p w:rsidR="004B6253" w:rsidRPr="00327031" w:rsidRDefault="004B6253" w:rsidP="007E6AFC">
      <w:pPr>
        <w:suppressAutoHyphens w:val="0"/>
        <w:spacing w:after="100" w:line="276" w:lineRule="auto"/>
        <w:jc w:val="both"/>
        <w:rPr>
          <w:rFonts w:asciiTheme="minorHAnsi" w:hAnsiTheme="minorHAnsi"/>
          <w:bCs/>
          <w:sz w:val="22"/>
          <w:szCs w:val="22"/>
        </w:rPr>
      </w:pPr>
      <w:r w:rsidRPr="00327031">
        <w:rPr>
          <w:rFonts w:asciiTheme="minorHAnsi" w:hAnsiTheme="minorHAnsi"/>
          <w:bCs/>
          <w:sz w:val="22"/>
          <w:szCs w:val="22"/>
        </w:rPr>
        <w:t xml:space="preserve">Joutz, F. ve Stekler, H. O. (2000) An evaluation of the predictions of the federal reserve, </w:t>
      </w:r>
      <w:r w:rsidRPr="00327031">
        <w:rPr>
          <w:rFonts w:asciiTheme="minorHAnsi" w:hAnsiTheme="minorHAnsi"/>
          <w:bCs/>
          <w:i/>
          <w:sz w:val="22"/>
          <w:szCs w:val="22"/>
        </w:rPr>
        <w:t>International Journal of Forecasting</w:t>
      </w:r>
      <w:r w:rsidRPr="00327031">
        <w:rPr>
          <w:rFonts w:asciiTheme="minorHAnsi" w:hAnsiTheme="minorHAnsi"/>
          <w:bCs/>
          <w:sz w:val="22"/>
          <w:szCs w:val="22"/>
        </w:rPr>
        <w:t xml:space="preserve">, </w:t>
      </w:r>
      <w:r w:rsidRPr="00327031">
        <w:rPr>
          <w:rFonts w:asciiTheme="minorHAnsi" w:hAnsiTheme="minorHAnsi"/>
          <w:b/>
          <w:bCs/>
          <w:sz w:val="22"/>
          <w:szCs w:val="22"/>
        </w:rPr>
        <w:t>16</w:t>
      </w:r>
      <w:r w:rsidRPr="00327031">
        <w:rPr>
          <w:rFonts w:asciiTheme="minorHAnsi" w:hAnsiTheme="minorHAnsi"/>
          <w:bCs/>
          <w:sz w:val="22"/>
          <w:szCs w:val="22"/>
        </w:rPr>
        <w:t>, 17-38.</w:t>
      </w:r>
    </w:p>
    <w:p w:rsidR="00A056B2" w:rsidRPr="00327031" w:rsidRDefault="00A056B2" w:rsidP="007E6AFC">
      <w:pPr>
        <w:suppressAutoHyphens w:val="0"/>
        <w:spacing w:after="100" w:line="276" w:lineRule="auto"/>
        <w:jc w:val="both"/>
        <w:rPr>
          <w:rFonts w:asciiTheme="minorHAnsi" w:hAnsiTheme="minorHAnsi"/>
          <w:bCs/>
          <w:sz w:val="22"/>
          <w:szCs w:val="22"/>
        </w:rPr>
      </w:pPr>
      <w:r w:rsidRPr="00327031">
        <w:rPr>
          <w:rFonts w:asciiTheme="minorHAnsi" w:hAnsiTheme="minorHAnsi"/>
          <w:bCs/>
          <w:sz w:val="22"/>
          <w:szCs w:val="22"/>
        </w:rPr>
        <w:t xml:space="preserve">Mincer, J. ve Zarnowitz, V. (1969) The evaluation of economic forecasts, in </w:t>
      </w:r>
      <w:r w:rsidRPr="00327031">
        <w:rPr>
          <w:rFonts w:asciiTheme="minorHAnsi" w:hAnsiTheme="minorHAnsi"/>
          <w:bCs/>
          <w:i/>
          <w:sz w:val="22"/>
          <w:szCs w:val="22"/>
        </w:rPr>
        <w:t>Economic Forecasts and Expectations.</w:t>
      </w:r>
      <w:r w:rsidRPr="00327031">
        <w:rPr>
          <w:rFonts w:asciiTheme="minorHAnsi" w:hAnsiTheme="minorHAnsi"/>
          <w:bCs/>
          <w:sz w:val="22"/>
          <w:szCs w:val="22"/>
        </w:rPr>
        <w:t xml:space="preserve"> Zarnowitz, J. (Ed.),  National Bureau of Economic Research, New York.</w:t>
      </w:r>
    </w:p>
    <w:p w:rsidR="004B6253" w:rsidRPr="00327031" w:rsidRDefault="004B6253" w:rsidP="007E6AFC">
      <w:pPr>
        <w:suppressAutoHyphens w:val="0"/>
        <w:spacing w:after="100" w:line="276" w:lineRule="auto"/>
        <w:jc w:val="both"/>
        <w:rPr>
          <w:rFonts w:asciiTheme="minorHAnsi" w:hAnsiTheme="minorHAnsi"/>
          <w:bCs/>
          <w:sz w:val="22"/>
          <w:szCs w:val="22"/>
        </w:rPr>
      </w:pPr>
      <w:r w:rsidRPr="00327031">
        <w:rPr>
          <w:rFonts w:asciiTheme="minorHAnsi" w:hAnsiTheme="minorHAnsi"/>
          <w:bCs/>
          <w:sz w:val="22"/>
          <w:szCs w:val="22"/>
        </w:rPr>
        <w:t xml:space="preserve">Newey, W. K. ve West, K. D. (1987) A simple, positive semi-definite, heteroskedasticity and autocorrelation consistent covariance matrix, </w:t>
      </w:r>
      <w:r w:rsidRPr="00327031">
        <w:rPr>
          <w:rFonts w:asciiTheme="minorHAnsi" w:hAnsiTheme="minorHAnsi"/>
          <w:bCs/>
          <w:i/>
          <w:sz w:val="22"/>
          <w:szCs w:val="22"/>
        </w:rPr>
        <w:t>Econometrica</w:t>
      </w:r>
      <w:r w:rsidRPr="00327031">
        <w:rPr>
          <w:rFonts w:asciiTheme="minorHAnsi" w:hAnsiTheme="minorHAnsi"/>
          <w:bCs/>
          <w:sz w:val="22"/>
          <w:szCs w:val="22"/>
        </w:rPr>
        <w:t xml:space="preserve">, </w:t>
      </w:r>
      <w:r w:rsidRPr="00327031">
        <w:rPr>
          <w:rFonts w:asciiTheme="minorHAnsi" w:hAnsiTheme="minorHAnsi"/>
          <w:b/>
          <w:bCs/>
          <w:sz w:val="22"/>
          <w:szCs w:val="22"/>
        </w:rPr>
        <w:t>55</w:t>
      </w:r>
      <w:r w:rsidRPr="00327031">
        <w:rPr>
          <w:rFonts w:asciiTheme="minorHAnsi" w:hAnsiTheme="minorHAnsi"/>
          <w:bCs/>
          <w:sz w:val="22"/>
          <w:szCs w:val="22"/>
        </w:rPr>
        <w:t>, 703-708.</w:t>
      </w:r>
    </w:p>
    <w:p w:rsidR="005855A3" w:rsidRPr="00327031" w:rsidRDefault="00A056B2" w:rsidP="007E6AFC">
      <w:pPr>
        <w:suppressAutoHyphens w:val="0"/>
        <w:spacing w:after="100" w:line="276" w:lineRule="auto"/>
        <w:jc w:val="both"/>
        <w:rPr>
          <w:rFonts w:asciiTheme="minorHAnsi" w:hAnsiTheme="minorHAnsi"/>
          <w:bCs/>
          <w:sz w:val="22"/>
          <w:szCs w:val="22"/>
        </w:rPr>
      </w:pPr>
      <w:r w:rsidRPr="00327031">
        <w:rPr>
          <w:rFonts w:asciiTheme="minorHAnsi" w:hAnsiTheme="minorHAnsi"/>
          <w:bCs/>
          <w:sz w:val="22"/>
          <w:szCs w:val="22"/>
        </w:rPr>
        <w:t xml:space="preserve">Yüncüler, B. G., Şengül, G. ve Yavuz, A. (2013) A quest for leading indicators of the Turkish Unemployment Rate, </w:t>
      </w:r>
      <w:r w:rsidRPr="00327031">
        <w:rPr>
          <w:rFonts w:asciiTheme="minorHAnsi" w:hAnsiTheme="minorHAnsi"/>
          <w:bCs/>
          <w:i/>
          <w:sz w:val="22"/>
          <w:szCs w:val="22"/>
        </w:rPr>
        <w:t>Central Bank of the Republic of Turkey</w:t>
      </w:r>
      <w:r w:rsidRPr="00327031">
        <w:rPr>
          <w:rFonts w:asciiTheme="minorHAnsi" w:hAnsiTheme="minorHAnsi"/>
          <w:bCs/>
          <w:sz w:val="22"/>
          <w:szCs w:val="22"/>
        </w:rPr>
        <w:t>, WP: 13/41.</w:t>
      </w:r>
    </w:p>
    <w:sectPr w:rsidR="005855A3" w:rsidRPr="00327031" w:rsidSect="00B90F1C">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1AE" w:rsidRDefault="00AE71AE" w:rsidP="00894DBA">
      <w:r>
        <w:separator/>
      </w:r>
    </w:p>
  </w:endnote>
  <w:endnote w:type="continuationSeparator" w:id="0">
    <w:p w:rsidR="00AE71AE" w:rsidRDefault="00AE71AE" w:rsidP="0089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2"/>
    <w:family w:val="swiss"/>
    <w:pitch w:val="variable"/>
    <w:sig w:usb0="E00002FF" w:usb1="4000ACFF" w:usb2="00000001" w:usb3="00000000" w:csb0="0000019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47052980"/>
      <w:docPartObj>
        <w:docPartGallery w:val="Page Numbers (Bottom of Page)"/>
        <w:docPartUnique/>
      </w:docPartObj>
    </w:sdtPr>
    <w:sdtEndPr/>
    <w:sdtContent>
      <w:p w:rsidR="00FB31C3" w:rsidRDefault="00D720F8">
        <w:pPr>
          <w:pStyle w:val="Footer"/>
          <w:jc w:val="right"/>
        </w:pPr>
        <w:r>
          <w:fldChar w:fldCharType="begin"/>
        </w:r>
        <w:r>
          <w:instrText xml:space="preserve"> PAGE   \* MERGEFORMAT </w:instrText>
        </w:r>
        <w:r>
          <w:fldChar w:fldCharType="separate"/>
        </w:r>
        <w:r w:rsidR="009F588C">
          <w:rPr>
            <w:noProof/>
          </w:rPr>
          <w:t>1</w:t>
        </w:r>
        <w:r>
          <w:rPr>
            <w:noProof/>
          </w:rPr>
          <w:fldChar w:fldCharType="end"/>
        </w:r>
      </w:p>
    </w:sdtContent>
  </w:sdt>
  <w:p w:rsidR="00FB31C3" w:rsidRDefault="00FB31C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1AE" w:rsidRDefault="00AE71AE" w:rsidP="00894DBA">
      <w:r>
        <w:separator/>
      </w:r>
    </w:p>
  </w:footnote>
  <w:footnote w:type="continuationSeparator" w:id="0">
    <w:p w:rsidR="00AE71AE" w:rsidRDefault="00AE71AE" w:rsidP="00894DBA">
      <w:r>
        <w:continuationSeparator/>
      </w:r>
    </w:p>
  </w:footnote>
  <w:footnote w:id="1">
    <w:p w:rsidR="00FB31C3" w:rsidRPr="00AC6FF9" w:rsidRDefault="00FB31C3" w:rsidP="00AC6FF9">
      <w:pPr>
        <w:pStyle w:val="FootnoteText"/>
        <w:jc w:val="both"/>
        <w:rPr>
          <w:rFonts w:asciiTheme="minorHAnsi" w:hAnsiTheme="minorHAnsi" w:cs="Arial"/>
        </w:rPr>
      </w:pPr>
      <w:r w:rsidRPr="00E52D0C">
        <w:rPr>
          <w:rStyle w:val="FootnoteReference"/>
          <w:rFonts w:asciiTheme="minorHAnsi" w:hAnsiTheme="minorHAnsi" w:cs="Arial"/>
          <w:b/>
          <w:bCs/>
          <w:sz w:val="16"/>
          <w:szCs w:val="16"/>
        </w:rPr>
        <w:t>*</w:t>
      </w:r>
      <w:r w:rsidRPr="00E52D0C">
        <w:rPr>
          <w:rFonts w:asciiTheme="minorHAnsi" w:hAnsiTheme="minorHAnsi" w:cs="Arial"/>
          <w:b/>
          <w:bCs/>
          <w:sz w:val="16"/>
          <w:szCs w:val="16"/>
        </w:rPr>
        <w:t xml:space="preserve"> </w:t>
      </w:r>
      <w:r w:rsidRPr="00E52D0C">
        <w:rPr>
          <w:rFonts w:asciiTheme="minorHAnsi" w:hAnsiTheme="minorHAnsi" w:cs="Arial"/>
          <w:sz w:val="16"/>
          <w:szCs w:val="16"/>
        </w:rPr>
        <w:t>Barış Soybilgen, Betam, Araştırma Görevlisi, baris.soybilgen@bahcesehir.edu.tr</w:t>
      </w:r>
    </w:p>
  </w:footnote>
  <w:footnote w:id="2">
    <w:p w:rsidR="00FB31C3" w:rsidRPr="00B94FAE" w:rsidRDefault="00FB31C3" w:rsidP="00B94FAE">
      <w:pPr>
        <w:pStyle w:val="FootnoteText"/>
        <w:jc w:val="both"/>
        <w:rPr>
          <w:rFonts w:asciiTheme="minorHAnsi" w:hAnsiTheme="minorHAnsi"/>
          <w:sz w:val="16"/>
          <w:szCs w:val="16"/>
        </w:rPr>
      </w:pPr>
      <w:r w:rsidRPr="00B94FAE">
        <w:rPr>
          <w:rStyle w:val="FootnoteReference"/>
          <w:rFonts w:asciiTheme="minorHAnsi" w:hAnsiTheme="minorHAnsi"/>
          <w:sz w:val="16"/>
          <w:szCs w:val="16"/>
        </w:rPr>
        <w:footnoteRef/>
      </w:r>
      <w:r w:rsidRPr="00B94FAE">
        <w:rPr>
          <w:rFonts w:asciiTheme="minorHAnsi" w:hAnsiTheme="minorHAnsi"/>
          <w:sz w:val="16"/>
          <w:szCs w:val="16"/>
        </w:rPr>
        <w:t xml:space="preserve"> </w:t>
      </w:r>
      <w:r>
        <w:rPr>
          <w:rFonts w:asciiTheme="minorHAnsi" w:hAnsiTheme="minorHAnsi"/>
          <w:sz w:val="16"/>
          <w:szCs w:val="16"/>
        </w:rPr>
        <w:t>İstihdam piyasasına dair öncü gösterge olarak İşkur'un açıkladığı bazı veriler vardır. Türkiye'de tarım dışı işsizlik oranının öncü göstergelerine dair ayrıntılı bir çalışma için bkz. Yüncüler ve diğerleri (2013).</w:t>
      </w:r>
    </w:p>
  </w:footnote>
  <w:footnote w:id="3">
    <w:p w:rsidR="00FB31C3" w:rsidRPr="000210F0" w:rsidRDefault="00FB31C3">
      <w:pPr>
        <w:pStyle w:val="FootnoteText"/>
        <w:rPr>
          <w:rFonts w:asciiTheme="minorHAnsi" w:hAnsiTheme="minorHAnsi"/>
          <w:sz w:val="16"/>
          <w:szCs w:val="16"/>
        </w:rPr>
      </w:pPr>
      <w:r w:rsidRPr="000210F0">
        <w:rPr>
          <w:rStyle w:val="FootnoteReference"/>
          <w:rFonts w:asciiTheme="minorHAnsi" w:hAnsiTheme="minorHAnsi"/>
          <w:sz w:val="16"/>
          <w:szCs w:val="16"/>
        </w:rPr>
        <w:footnoteRef/>
      </w:r>
      <w:r w:rsidRPr="000210F0">
        <w:rPr>
          <w:rFonts w:asciiTheme="minorHAnsi" w:hAnsiTheme="minorHAnsi"/>
          <w:sz w:val="16"/>
          <w:szCs w:val="16"/>
        </w:rPr>
        <w:t xml:space="preserve"> Yeni tarım dışı </w:t>
      </w:r>
      <w:r>
        <w:rPr>
          <w:rFonts w:asciiTheme="minorHAnsi" w:hAnsiTheme="minorHAnsi"/>
          <w:sz w:val="16"/>
          <w:szCs w:val="16"/>
        </w:rPr>
        <w:t>işsizlik</w:t>
      </w:r>
      <w:r w:rsidRPr="000210F0">
        <w:rPr>
          <w:rFonts w:asciiTheme="minorHAnsi" w:hAnsiTheme="minorHAnsi"/>
          <w:sz w:val="16"/>
          <w:szCs w:val="16"/>
        </w:rPr>
        <w:t xml:space="preserve"> oranı serisi 2005.1'den başlıyor, bu araştırma notunu yazarken en son açıklanan seri 2014.2'ydi.  </w:t>
      </w:r>
    </w:p>
  </w:footnote>
  <w:footnote w:id="4">
    <w:p w:rsidR="00FB31C3" w:rsidRPr="000210F0" w:rsidRDefault="00FB31C3">
      <w:pPr>
        <w:pStyle w:val="FootnoteText"/>
        <w:rPr>
          <w:rFonts w:asciiTheme="minorHAnsi" w:hAnsiTheme="minorHAnsi"/>
          <w:sz w:val="16"/>
          <w:szCs w:val="16"/>
        </w:rPr>
      </w:pPr>
      <w:r w:rsidRPr="000210F0">
        <w:rPr>
          <w:rStyle w:val="FootnoteReference"/>
          <w:rFonts w:asciiTheme="minorHAnsi" w:hAnsiTheme="minorHAnsi"/>
          <w:sz w:val="16"/>
          <w:szCs w:val="16"/>
        </w:rPr>
        <w:footnoteRef/>
      </w:r>
      <w:r w:rsidRPr="000210F0">
        <w:rPr>
          <w:rFonts w:asciiTheme="minorHAnsi" w:hAnsiTheme="minorHAnsi"/>
          <w:sz w:val="16"/>
          <w:szCs w:val="16"/>
        </w:rPr>
        <w:t xml:space="preserve"> RKGE ve </w:t>
      </w:r>
      <w:r w:rsidRPr="000210F0">
        <w:rPr>
          <w:rFonts w:asciiTheme="minorHAnsi" w:eastAsiaTheme="minorHAnsi" w:hAnsiTheme="minorHAnsi"/>
          <w:noProof/>
          <w:sz w:val="16"/>
          <w:szCs w:val="16"/>
          <w:lang w:eastAsia="en-US"/>
        </w:rPr>
        <w:t>RKGE-İst serileri 2007.1'den başlıyor.</w:t>
      </w:r>
    </w:p>
  </w:footnote>
  <w:footnote w:id="5">
    <w:p w:rsidR="00FB31C3" w:rsidRPr="000210F0" w:rsidRDefault="00FB31C3">
      <w:pPr>
        <w:pStyle w:val="FootnoteText"/>
        <w:rPr>
          <w:rFonts w:asciiTheme="minorHAnsi" w:hAnsiTheme="minorHAnsi"/>
          <w:sz w:val="16"/>
          <w:szCs w:val="16"/>
        </w:rPr>
      </w:pPr>
      <w:r w:rsidRPr="000210F0">
        <w:rPr>
          <w:rStyle w:val="FootnoteReference"/>
          <w:rFonts w:asciiTheme="minorHAnsi" w:hAnsiTheme="minorHAnsi"/>
          <w:sz w:val="16"/>
          <w:szCs w:val="16"/>
        </w:rPr>
        <w:footnoteRef/>
      </w:r>
      <w:r w:rsidRPr="000210F0">
        <w:rPr>
          <w:rFonts w:asciiTheme="minorHAnsi" w:hAnsiTheme="minorHAnsi"/>
          <w:sz w:val="16"/>
          <w:szCs w:val="16"/>
        </w:rPr>
        <w:t xml:space="preserve"> Tahminleri kötüleştirdiği için regresyonun sabit terimi atılmıştır</w:t>
      </w:r>
    </w:p>
  </w:footnote>
  <w:footnote w:id="6">
    <w:p w:rsidR="00FB31C3" w:rsidRDefault="00FB31C3">
      <w:pPr>
        <w:pStyle w:val="FootnoteText"/>
      </w:pPr>
      <w:r w:rsidRPr="00983E63">
        <w:rPr>
          <w:rStyle w:val="FootnoteReference"/>
          <w:rFonts w:asciiTheme="minorHAnsi" w:hAnsiTheme="minorHAnsi"/>
          <w:sz w:val="16"/>
          <w:szCs w:val="16"/>
        </w:rPr>
        <w:footnoteRef/>
      </w:r>
      <w:r>
        <w:rPr>
          <w:rFonts w:asciiTheme="minorHAnsi" w:hAnsiTheme="minorHAnsi"/>
          <w:sz w:val="16"/>
          <w:szCs w:val="16"/>
        </w:rPr>
        <w:t xml:space="preserve"> Bağımsız ve bağımlı </w:t>
      </w:r>
      <w:r w:rsidRPr="00715657">
        <w:rPr>
          <w:rFonts w:asciiTheme="minorHAnsi" w:hAnsiTheme="minorHAnsi"/>
          <w:sz w:val="16"/>
          <w:szCs w:val="16"/>
        </w:rPr>
        <w:t>değişkenlerin hepsine birim kök testi uygulanmış ve birim kökün varlığı görülmüştür. Bu nedenle</w:t>
      </w:r>
      <w:r>
        <w:rPr>
          <w:rFonts w:asciiTheme="minorHAnsi" w:hAnsiTheme="minorHAnsi"/>
          <w:sz w:val="16"/>
          <w:szCs w:val="16"/>
        </w:rPr>
        <w:t xml:space="preserve"> bütün değişkenler</w:t>
      </w:r>
      <w:r w:rsidRPr="00715657">
        <w:rPr>
          <w:rFonts w:asciiTheme="minorHAnsi" w:hAnsiTheme="minorHAnsi"/>
          <w:sz w:val="16"/>
          <w:szCs w:val="16"/>
        </w:rPr>
        <w:t xml:space="preserve"> denkleme </w:t>
      </w:r>
      <w:r w:rsidR="005E70FB">
        <w:rPr>
          <w:rFonts w:asciiTheme="minorHAnsi" w:hAnsiTheme="minorHAnsi"/>
          <w:sz w:val="16"/>
          <w:szCs w:val="16"/>
        </w:rPr>
        <w:t xml:space="preserve">log </w:t>
      </w:r>
      <w:r w:rsidRPr="00715657">
        <w:rPr>
          <w:rFonts w:asciiTheme="minorHAnsi" w:hAnsiTheme="minorHAnsi"/>
          <w:sz w:val="16"/>
          <w:szCs w:val="16"/>
        </w:rPr>
        <w:t>farkı alınarak koyulmuştur.</w:t>
      </w:r>
    </w:p>
  </w:footnote>
  <w:footnote w:id="7">
    <w:p w:rsidR="00FB31C3" w:rsidRPr="00715657" w:rsidRDefault="00FB31C3" w:rsidP="007E6AFC">
      <w:pPr>
        <w:pStyle w:val="FootnoteText"/>
        <w:jc w:val="both"/>
        <w:rPr>
          <w:rFonts w:asciiTheme="minorHAnsi" w:hAnsiTheme="minorHAnsi"/>
          <w:sz w:val="16"/>
          <w:szCs w:val="16"/>
        </w:rPr>
      </w:pPr>
      <w:r w:rsidRPr="00715657">
        <w:rPr>
          <w:rStyle w:val="FootnoteReference"/>
          <w:rFonts w:asciiTheme="minorHAnsi" w:hAnsiTheme="minorHAnsi"/>
          <w:sz w:val="16"/>
          <w:szCs w:val="16"/>
        </w:rPr>
        <w:footnoteRef/>
      </w:r>
      <w:r w:rsidRPr="00715657">
        <w:rPr>
          <w:rFonts w:asciiTheme="minorHAnsi" w:hAnsiTheme="minorHAnsi"/>
          <w:sz w:val="16"/>
          <w:szCs w:val="16"/>
        </w:rPr>
        <w:t xml:space="preserve"> </w:t>
      </w:r>
      <w:r w:rsidRPr="00715657">
        <w:rPr>
          <w:rFonts w:asciiTheme="minorHAnsi" w:hAnsiTheme="minorHAnsi" w:cs="Arial"/>
          <w:sz w:val="16"/>
          <w:szCs w:val="16"/>
        </w:rPr>
        <w:t xml:space="preserve">RKGE, RKGE-İst ve SUE kullanılan ADL modellerinde Schwarz yöntemi ile gecikme uzunluğu seçmek Akaike yöntemine kıyasla daha iyi tahmin sonuçları vermektedir. </w:t>
      </w:r>
    </w:p>
  </w:footnote>
  <w:footnote w:id="8">
    <w:p w:rsidR="00FB31C3" w:rsidRPr="004B6253" w:rsidRDefault="00FB31C3" w:rsidP="007E6AFC">
      <w:pPr>
        <w:pStyle w:val="FootnoteText"/>
        <w:rPr>
          <w:rFonts w:asciiTheme="minorHAnsi" w:hAnsiTheme="minorHAnsi"/>
          <w:sz w:val="16"/>
          <w:szCs w:val="16"/>
        </w:rPr>
      </w:pPr>
      <w:r w:rsidRPr="004B6253">
        <w:rPr>
          <w:rStyle w:val="FootnoteReference"/>
          <w:rFonts w:asciiTheme="minorHAnsi" w:hAnsiTheme="minorHAnsi"/>
          <w:sz w:val="16"/>
          <w:szCs w:val="16"/>
        </w:rPr>
        <w:footnoteRef/>
      </w:r>
      <w:r w:rsidRPr="004B6253">
        <w:rPr>
          <w:rFonts w:asciiTheme="minorHAnsi" w:hAnsiTheme="minorHAnsi"/>
          <w:sz w:val="16"/>
          <w:szCs w:val="16"/>
        </w:rPr>
        <w:t xml:space="preserve"> </w:t>
      </w:r>
      <w:r>
        <w:rPr>
          <w:rFonts w:asciiTheme="minorHAnsi" w:hAnsiTheme="minorHAnsi"/>
          <w:sz w:val="16"/>
          <w:szCs w:val="16"/>
        </w:rPr>
        <w:t>Metodun daha ayrıntılı açıklaması için bkz.</w:t>
      </w:r>
      <w:r w:rsidRPr="004B6253">
        <w:rPr>
          <w:rFonts w:asciiTheme="minorHAnsi" w:hAnsiTheme="minorHAnsi"/>
          <w:sz w:val="16"/>
          <w:szCs w:val="16"/>
        </w:rPr>
        <w:t xml:space="preserve"> Henriksson ve Merton (1981) ve Joutz ve Stekler (2000).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60BD0"/>
    <w:rsid w:val="00005CA1"/>
    <w:rsid w:val="00005E24"/>
    <w:rsid w:val="000208E8"/>
    <w:rsid w:val="000210F0"/>
    <w:rsid w:val="00025C56"/>
    <w:rsid w:val="000335CB"/>
    <w:rsid w:val="00033739"/>
    <w:rsid w:val="000414EA"/>
    <w:rsid w:val="000662AA"/>
    <w:rsid w:val="00070911"/>
    <w:rsid w:val="00074098"/>
    <w:rsid w:val="00076AF1"/>
    <w:rsid w:val="000812D7"/>
    <w:rsid w:val="00082EAD"/>
    <w:rsid w:val="0008507E"/>
    <w:rsid w:val="0009654D"/>
    <w:rsid w:val="00097F47"/>
    <w:rsid w:val="000B304A"/>
    <w:rsid w:val="000B474F"/>
    <w:rsid w:val="000C0509"/>
    <w:rsid w:val="000C3901"/>
    <w:rsid w:val="000F42F1"/>
    <w:rsid w:val="00113A77"/>
    <w:rsid w:val="00124279"/>
    <w:rsid w:val="00124F98"/>
    <w:rsid w:val="0012600C"/>
    <w:rsid w:val="001340E8"/>
    <w:rsid w:val="0013774F"/>
    <w:rsid w:val="001416EE"/>
    <w:rsid w:val="00141EAF"/>
    <w:rsid w:val="00146316"/>
    <w:rsid w:val="001475D9"/>
    <w:rsid w:val="001656BC"/>
    <w:rsid w:val="0017037A"/>
    <w:rsid w:val="00170DEF"/>
    <w:rsid w:val="00173520"/>
    <w:rsid w:val="00174EB3"/>
    <w:rsid w:val="00191A21"/>
    <w:rsid w:val="00197A57"/>
    <w:rsid w:val="001C3218"/>
    <w:rsid w:val="001E633A"/>
    <w:rsid w:val="001F2584"/>
    <w:rsid w:val="001F29E8"/>
    <w:rsid w:val="00220951"/>
    <w:rsid w:val="00221FC3"/>
    <w:rsid w:val="00222494"/>
    <w:rsid w:val="00223158"/>
    <w:rsid w:val="002304DF"/>
    <w:rsid w:val="002338D3"/>
    <w:rsid w:val="002445DB"/>
    <w:rsid w:val="00254850"/>
    <w:rsid w:val="00256157"/>
    <w:rsid w:val="00257387"/>
    <w:rsid w:val="002575AB"/>
    <w:rsid w:val="0026731F"/>
    <w:rsid w:val="00270301"/>
    <w:rsid w:val="00271AC2"/>
    <w:rsid w:val="00272752"/>
    <w:rsid w:val="00273853"/>
    <w:rsid w:val="00280727"/>
    <w:rsid w:val="002809A4"/>
    <w:rsid w:val="002819E5"/>
    <w:rsid w:val="002A0B36"/>
    <w:rsid w:val="002A1914"/>
    <w:rsid w:val="002A3650"/>
    <w:rsid w:val="002A3A7E"/>
    <w:rsid w:val="002A53A2"/>
    <w:rsid w:val="002B08B9"/>
    <w:rsid w:val="002B122C"/>
    <w:rsid w:val="002B13B4"/>
    <w:rsid w:val="002C232E"/>
    <w:rsid w:val="002E3ECC"/>
    <w:rsid w:val="002F016B"/>
    <w:rsid w:val="002F3288"/>
    <w:rsid w:val="002F4918"/>
    <w:rsid w:val="0031214C"/>
    <w:rsid w:val="0031622B"/>
    <w:rsid w:val="003234A5"/>
    <w:rsid w:val="0032556E"/>
    <w:rsid w:val="00327031"/>
    <w:rsid w:val="00331293"/>
    <w:rsid w:val="00333EA2"/>
    <w:rsid w:val="00334E03"/>
    <w:rsid w:val="00337169"/>
    <w:rsid w:val="00343F2F"/>
    <w:rsid w:val="00350F9A"/>
    <w:rsid w:val="003518AF"/>
    <w:rsid w:val="00352F0C"/>
    <w:rsid w:val="00361CF8"/>
    <w:rsid w:val="003625C6"/>
    <w:rsid w:val="00362EA9"/>
    <w:rsid w:val="00380290"/>
    <w:rsid w:val="003804B5"/>
    <w:rsid w:val="0038206B"/>
    <w:rsid w:val="00391609"/>
    <w:rsid w:val="00393B6D"/>
    <w:rsid w:val="003B1595"/>
    <w:rsid w:val="003B26E8"/>
    <w:rsid w:val="003C5ECD"/>
    <w:rsid w:val="003C777E"/>
    <w:rsid w:val="003D1C32"/>
    <w:rsid w:val="003D4AEC"/>
    <w:rsid w:val="003D661E"/>
    <w:rsid w:val="003E01DB"/>
    <w:rsid w:val="003E0B43"/>
    <w:rsid w:val="003E40E7"/>
    <w:rsid w:val="003E7463"/>
    <w:rsid w:val="003F220A"/>
    <w:rsid w:val="003F314A"/>
    <w:rsid w:val="004120BD"/>
    <w:rsid w:val="004132E0"/>
    <w:rsid w:val="00413828"/>
    <w:rsid w:val="00413E20"/>
    <w:rsid w:val="004262C5"/>
    <w:rsid w:val="0042645F"/>
    <w:rsid w:val="00427BD7"/>
    <w:rsid w:val="00427C01"/>
    <w:rsid w:val="0044317E"/>
    <w:rsid w:val="0044372D"/>
    <w:rsid w:val="00447F3E"/>
    <w:rsid w:val="0045398F"/>
    <w:rsid w:val="00453E3B"/>
    <w:rsid w:val="00457FF6"/>
    <w:rsid w:val="00460BD0"/>
    <w:rsid w:val="00465F99"/>
    <w:rsid w:val="00467FB3"/>
    <w:rsid w:val="00474190"/>
    <w:rsid w:val="00476C48"/>
    <w:rsid w:val="0048570A"/>
    <w:rsid w:val="00486FAD"/>
    <w:rsid w:val="004874AB"/>
    <w:rsid w:val="00495B86"/>
    <w:rsid w:val="00496F78"/>
    <w:rsid w:val="004B602A"/>
    <w:rsid w:val="004B6253"/>
    <w:rsid w:val="004C2ABE"/>
    <w:rsid w:val="004C4452"/>
    <w:rsid w:val="004C4FE3"/>
    <w:rsid w:val="004C6400"/>
    <w:rsid w:val="004C7567"/>
    <w:rsid w:val="004D033B"/>
    <w:rsid w:val="004D2987"/>
    <w:rsid w:val="004D3FDE"/>
    <w:rsid w:val="004E4475"/>
    <w:rsid w:val="004E7A9B"/>
    <w:rsid w:val="004F0BB8"/>
    <w:rsid w:val="0050274C"/>
    <w:rsid w:val="00510674"/>
    <w:rsid w:val="00511770"/>
    <w:rsid w:val="0051413B"/>
    <w:rsid w:val="00515B48"/>
    <w:rsid w:val="0051749C"/>
    <w:rsid w:val="0053032A"/>
    <w:rsid w:val="005325CA"/>
    <w:rsid w:val="00533DE0"/>
    <w:rsid w:val="00535BFB"/>
    <w:rsid w:val="0054110D"/>
    <w:rsid w:val="00543D3E"/>
    <w:rsid w:val="0055061C"/>
    <w:rsid w:val="00570871"/>
    <w:rsid w:val="00574A6C"/>
    <w:rsid w:val="005807DC"/>
    <w:rsid w:val="005817A5"/>
    <w:rsid w:val="005855A3"/>
    <w:rsid w:val="005A274C"/>
    <w:rsid w:val="005A449F"/>
    <w:rsid w:val="005A62D0"/>
    <w:rsid w:val="005B57D1"/>
    <w:rsid w:val="005B6723"/>
    <w:rsid w:val="005C0044"/>
    <w:rsid w:val="005D3649"/>
    <w:rsid w:val="005D6243"/>
    <w:rsid w:val="005E18FA"/>
    <w:rsid w:val="005E5609"/>
    <w:rsid w:val="005E70FB"/>
    <w:rsid w:val="005F0BCD"/>
    <w:rsid w:val="005F2081"/>
    <w:rsid w:val="006002CB"/>
    <w:rsid w:val="00603322"/>
    <w:rsid w:val="006045EC"/>
    <w:rsid w:val="0061058F"/>
    <w:rsid w:val="00627E3B"/>
    <w:rsid w:val="00630683"/>
    <w:rsid w:val="00637173"/>
    <w:rsid w:val="00637F33"/>
    <w:rsid w:val="006425C3"/>
    <w:rsid w:val="00643F74"/>
    <w:rsid w:val="0066015E"/>
    <w:rsid w:val="006615E6"/>
    <w:rsid w:val="00666586"/>
    <w:rsid w:val="006705EF"/>
    <w:rsid w:val="006844A1"/>
    <w:rsid w:val="006861DD"/>
    <w:rsid w:val="00693846"/>
    <w:rsid w:val="006A4CC0"/>
    <w:rsid w:val="006B285F"/>
    <w:rsid w:val="006C7254"/>
    <w:rsid w:val="006C7E1D"/>
    <w:rsid w:val="006D25B6"/>
    <w:rsid w:val="006D45FA"/>
    <w:rsid w:val="006D5756"/>
    <w:rsid w:val="006E58D3"/>
    <w:rsid w:val="006F1D8F"/>
    <w:rsid w:val="006F24D3"/>
    <w:rsid w:val="00706403"/>
    <w:rsid w:val="00715657"/>
    <w:rsid w:val="007178A2"/>
    <w:rsid w:val="007208E8"/>
    <w:rsid w:val="00721F06"/>
    <w:rsid w:val="00732808"/>
    <w:rsid w:val="0073685C"/>
    <w:rsid w:val="007370EA"/>
    <w:rsid w:val="00740C63"/>
    <w:rsid w:val="00740FDB"/>
    <w:rsid w:val="0074519E"/>
    <w:rsid w:val="00747ED5"/>
    <w:rsid w:val="007544CB"/>
    <w:rsid w:val="00755111"/>
    <w:rsid w:val="007626FD"/>
    <w:rsid w:val="0076585E"/>
    <w:rsid w:val="0077270A"/>
    <w:rsid w:val="00780E4F"/>
    <w:rsid w:val="007862EE"/>
    <w:rsid w:val="007863C0"/>
    <w:rsid w:val="00791FF5"/>
    <w:rsid w:val="00793016"/>
    <w:rsid w:val="007A4ADA"/>
    <w:rsid w:val="007A5177"/>
    <w:rsid w:val="007A56C3"/>
    <w:rsid w:val="007A6D2B"/>
    <w:rsid w:val="007A7E37"/>
    <w:rsid w:val="007B3323"/>
    <w:rsid w:val="007B46CB"/>
    <w:rsid w:val="007C5524"/>
    <w:rsid w:val="007C7CA1"/>
    <w:rsid w:val="007E6AFC"/>
    <w:rsid w:val="007E7CB8"/>
    <w:rsid w:val="007F0B4B"/>
    <w:rsid w:val="007F1E97"/>
    <w:rsid w:val="007F53D1"/>
    <w:rsid w:val="007F5D7A"/>
    <w:rsid w:val="007F60EC"/>
    <w:rsid w:val="007F79AC"/>
    <w:rsid w:val="00803D38"/>
    <w:rsid w:val="008052D4"/>
    <w:rsid w:val="0081327D"/>
    <w:rsid w:val="0081624D"/>
    <w:rsid w:val="0082228C"/>
    <w:rsid w:val="00823526"/>
    <w:rsid w:val="008236D7"/>
    <w:rsid w:val="00831FBD"/>
    <w:rsid w:val="008325A9"/>
    <w:rsid w:val="008367C9"/>
    <w:rsid w:val="008434B3"/>
    <w:rsid w:val="00851E16"/>
    <w:rsid w:val="00860ED0"/>
    <w:rsid w:val="00864DB3"/>
    <w:rsid w:val="00872562"/>
    <w:rsid w:val="00873CA8"/>
    <w:rsid w:val="00874250"/>
    <w:rsid w:val="008747E5"/>
    <w:rsid w:val="00883107"/>
    <w:rsid w:val="0088447A"/>
    <w:rsid w:val="008944A5"/>
    <w:rsid w:val="00894DBA"/>
    <w:rsid w:val="008975E6"/>
    <w:rsid w:val="008A1092"/>
    <w:rsid w:val="008A3C5C"/>
    <w:rsid w:val="008A4EB2"/>
    <w:rsid w:val="008C014F"/>
    <w:rsid w:val="008D1F40"/>
    <w:rsid w:val="008D45BD"/>
    <w:rsid w:val="008D649F"/>
    <w:rsid w:val="008E17D2"/>
    <w:rsid w:val="008E7C55"/>
    <w:rsid w:val="008F12D2"/>
    <w:rsid w:val="008F33DE"/>
    <w:rsid w:val="009026AD"/>
    <w:rsid w:val="00907826"/>
    <w:rsid w:val="00915CDE"/>
    <w:rsid w:val="009218C6"/>
    <w:rsid w:val="009248D9"/>
    <w:rsid w:val="00930BAF"/>
    <w:rsid w:val="00937DBC"/>
    <w:rsid w:val="00946F3F"/>
    <w:rsid w:val="00953E58"/>
    <w:rsid w:val="00957C3D"/>
    <w:rsid w:val="00970272"/>
    <w:rsid w:val="00971BEC"/>
    <w:rsid w:val="009756AA"/>
    <w:rsid w:val="009804F6"/>
    <w:rsid w:val="00983934"/>
    <w:rsid w:val="00983E63"/>
    <w:rsid w:val="00984932"/>
    <w:rsid w:val="009854FF"/>
    <w:rsid w:val="009A2B2E"/>
    <w:rsid w:val="009A482E"/>
    <w:rsid w:val="009C3BCC"/>
    <w:rsid w:val="009C7B0B"/>
    <w:rsid w:val="009E3288"/>
    <w:rsid w:val="009E713A"/>
    <w:rsid w:val="009F21DB"/>
    <w:rsid w:val="009F29FF"/>
    <w:rsid w:val="009F487D"/>
    <w:rsid w:val="009F588C"/>
    <w:rsid w:val="00A009B9"/>
    <w:rsid w:val="00A023DE"/>
    <w:rsid w:val="00A056B2"/>
    <w:rsid w:val="00A132BE"/>
    <w:rsid w:val="00A145E0"/>
    <w:rsid w:val="00A238F7"/>
    <w:rsid w:val="00A24568"/>
    <w:rsid w:val="00A34288"/>
    <w:rsid w:val="00A4050A"/>
    <w:rsid w:val="00A47B91"/>
    <w:rsid w:val="00A53B08"/>
    <w:rsid w:val="00A53EBF"/>
    <w:rsid w:val="00A618D5"/>
    <w:rsid w:val="00A7360B"/>
    <w:rsid w:val="00A74AEF"/>
    <w:rsid w:val="00A80FCC"/>
    <w:rsid w:val="00A813EB"/>
    <w:rsid w:val="00A81E85"/>
    <w:rsid w:val="00A83E4C"/>
    <w:rsid w:val="00A8727C"/>
    <w:rsid w:val="00A87C43"/>
    <w:rsid w:val="00A90629"/>
    <w:rsid w:val="00A91882"/>
    <w:rsid w:val="00A9703E"/>
    <w:rsid w:val="00AA277E"/>
    <w:rsid w:val="00AB44C0"/>
    <w:rsid w:val="00AC6FF9"/>
    <w:rsid w:val="00AC7AE8"/>
    <w:rsid w:val="00AE5A51"/>
    <w:rsid w:val="00AE71AE"/>
    <w:rsid w:val="00AF6D51"/>
    <w:rsid w:val="00B045C6"/>
    <w:rsid w:val="00B11416"/>
    <w:rsid w:val="00B160BF"/>
    <w:rsid w:val="00B21484"/>
    <w:rsid w:val="00B327E3"/>
    <w:rsid w:val="00B329E3"/>
    <w:rsid w:val="00B338F3"/>
    <w:rsid w:val="00B440E7"/>
    <w:rsid w:val="00B45FA2"/>
    <w:rsid w:val="00B46288"/>
    <w:rsid w:val="00B50802"/>
    <w:rsid w:val="00B5366D"/>
    <w:rsid w:val="00B55B2A"/>
    <w:rsid w:val="00B6213F"/>
    <w:rsid w:val="00B624EA"/>
    <w:rsid w:val="00B638CE"/>
    <w:rsid w:val="00B641C3"/>
    <w:rsid w:val="00B76FA5"/>
    <w:rsid w:val="00B83AEE"/>
    <w:rsid w:val="00B8470B"/>
    <w:rsid w:val="00B90F1C"/>
    <w:rsid w:val="00B93CD3"/>
    <w:rsid w:val="00B94FAE"/>
    <w:rsid w:val="00BA4E40"/>
    <w:rsid w:val="00BA6994"/>
    <w:rsid w:val="00BB02CF"/>
    <w:rsid w:val="00BB0E83"/>
    <w:rsid w:val="00BB306D"/>
    <w:rsid w:val="00BB5C11"/>
    <w:rsid w:val="00BC5643"/>
    <w:rsid w:val="00BC5DCE"/>
    <w:rsid w:val="00BD09E9"/>
    <w:rsid w:val="00BD1DBC"/>
    <w:rsid w:val="00BD7408"/>
    <w:rsid w:val="00BE060E"/>
    <w:rsid w:val="00BE1BDA"/>
    <w:rsid w:val="00BE5AC8"/>
    <w:rsid w:val="00BE649A"/>
    <w:rsid w:val="00BF7382"/>
    <w:rsid w:val="00BF7FAF"/>
    <w:rsid w:val="00C061E9"/>
    <w:rsid w:val="00C07AF4"/>
    <w:rsid w:val="00C13C55"/>
    <w:rsid w:val="00C172F6"/>
    <w:rsid w:val="00C2043D"/>
    <w:rsid w:val="00C260E0"/>
    <w:rsid w:val="00C27A72"/>
    <w:rsid w:val="00C44357"/>
    <w:rsid w:val="00C4579F"/>
    <w:rsid w:val="00C54BB7"/>
    <w:rsid w:val="00C7359B"/>
    <w:rsid w:val="00C750A6"/>
    <w:rsid w:val="00C83802"/>
    <w:rsid w:val="00C9229B"/>
    <w:rsid w:val="00C96BF1"/>
    <w:rsid w:val="00C96F40"/>
    <w:rsid w:val="00CA4007"/>
    <w:rsid w:val="00CC7CF6"/>
    <w:rsid w:val="00CD439A"/>
    <w:rsid w:val="00CD445F"/>
    <w:rsid w:val="00CD4BD0"/>
    <w:rsid w:val="00CE2939"/>
    <w:rsid w:val="00CF04A8"/>
    <w:rsid w:val="00CF3D6A"/>
    <w:rsid w:val="00CF55FA"/>
    <w:rsid w:val="00D01C45"/>
    <w:rsid w:val="00D038B6"/>
    <w:rsid w:val="00D04B55"/>
    <w:rsid w:val="00D13D68"/>
    <w:rsid w:val="00D2258F"/>
    <w:rsid w:val="00D27605"/>
    <w:rsid w:val="00D34065"/>
    <w:rsid w:val="00D52653"/>
    <w:rsid w:val="00D534F5"/>
    <w:rsid w:val="00D609B5"/>
    <w:rsid w:val="00D65483"/>
    <w:rsid w:val="00D71392"/>
    <w:rsid w:val="00D720F8"/>
    <w:rsid w:val="00D83F55"/>
    <w:rsid w:val="00D879C2"/>
    <w:rsid w:val="00D93E20"/>
    <w:rsid w:val="00D94587"/>
    <w:rsid w:val="00DA0FC4"/>
    <w:rsid w:val="00DA64A1"/>
    <w:rsid w:val="00DB12FE"/>
    <w:rsid w:val="00DD5C56"/>
    <w:rsid w:val="00DE079F"/>
    <w:rsid w:val="00DF6798"/>
    <w:rsid w:val="00E0056F"/>
    <w:rsid w:val="00E022E5"/>
    <w:rsid w:val="00E0427E"/>
    <w:rsid w:val="00E06E12"/>
    <w:rsid w:val="00E06F4F"/>
    <w:rsid w:val="00E1086B"/>
    <w:rsid w:val="00E17E58"/>
    <w:rsid w:val="00E23895"/>
    <w:rsid w:val="00E4139A"/>
    <w:rsid w:val="00E418EE"/>
    <w:rsid w:val="00E52D0C"/>
    <w:rsid w:val="00E54055"/>
    <w:rsid w:val="00E54D08"/>
    <w:rsid w:val="00E61021"/>
    <w:rsid w:val="00E66ACB"/>
    <w:rsid w:val="00E67292"/>
    <w:rsid w:val="00E7506B"/>
    <w:rsid w:val="00E75884"/>
    <w:rsid w:val="00E80E6E"/>
    <w:rsid w:val="00EA199D"/>
    <w:rsid w:val="00EA61FE"/>
    <w:rsid w:val="00EB2ABF"/>
    <w:rsid w:val="00EB4C56"/>
    <w:rsid w:val="00EC01DC"/>
    <w:rsid w:val="00EC6959"/>
    <w:rsid w:val="00EC7398"/>
    <w:rsid w:val="00ED0671"/>
    <w:rsid w:val="00ED66E8"/>
    <w:rsid w:val="00ED6E21"/>
    <w:rsid w:val="00EE38F8"/>
    <w:rsid w:val="00EE5CD8"/>
    <w:rsid w:val="00EE7F7B"/>
    <w:rsid w:val="00F02A28"/>
    <w:rsid w:val="00F167E5"/>
    <w:rsid w:val="00F226C5"/>
    <w:rsid w:val="00F31073"/>
    <w:rsid w:val="00F3129D"/>
    <w:rsid w:val="00F312EA"/>
    <w:rsid w:val="00F37AA4"/>
    <w:rsid w:val="00F408FA"/>
    <w:rsid w:val="00F435E6"/>
    <w:rsid w:val="00F46B26"/>
    <w:rsid w:val="00F511A5"/>
    <w:rsid w:val="00F56A62"/>
    <w:rsid w:val="00F62B8D"/>
    <w:rsid w:val="00F631EF"/>
    <w:rsid w:val="00F72F16"/>
    <w:rsid w:val="00F77FEB"/>
    <w:rsid w:val="00F82607"/>
    <w:rsid w:val="00F96916"/>
    <w:rsid w:val="00FA1B68"/>
    <w:rsid w:val="00FA2291"/>
    <w:rsid w:val="00FA27DF"/>
    <w:rsid w:val="00FA695D"/>
    <w:rsid w:val="00FA7816"/>
    <w:rsid w:val="00FB1761"/>
    <w:rsid w:val="00FB31C3"/>
    <w:rsid w:val="00FC0811"/>
    <w:rsid w:val="00FC5130"/>
    <w:rsid w:val="00FD567A"/>
    <w:rsid w:val="00FE3E93"/>
    <w:rsid w:val="00FE575C"/>
    <w:rsid w:val="00FF071C"/>
    <w:rsid w:val="00FF26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57D1"/>
    <w:rPr>
      <w:color w:val="0000FF"/>
      <w:u w:val="single"/>
    </w:rPr>
  </w:style>
  <w:style w:type="table" w:customStyle="1" w:styleId="TableGrid1">
    <w:name w:val="Table Grid1"/>
    <w:basedOn w:val="TableNormal"/>
    <w:next w:val="TableGrid"/>
    <w:uiPriority w:val="59"/>
    <w:rsid w:val="007E6AFC"/>
    <w:rPr>
      <w:rFonts w:asciiTheme="minorHAnsi" w:eastAsiaTheme="minorHAnsi" w:hAnsiTheme="minorHAnsi" w:cstheme="minorBid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250"/>
    <w:pPr>
      <w:suppressAutoHyphens/>
    </w:pPr>
    <w:rPr>
      <w:rFonts w:ascii="Arial" w:hAnsi="Arial" w:cs="Arial"/>
      <w:sz w:val="16"/>
      <w:szCs w:val="16"/>
      <w:lang w:val="en-US" w:eastAsia="ar-SA"/>
    </w:rPr>
  </w:style>
  <w:style w:type="paragraph" w:styleId="Heading1">
    <w:name w:val="heading 1"/>
    <w:basedOn w:val="Normal"/>
    <w:next w:val="Normal"/>
    <w:link w:val="Heading1Char"/>
    <w:uiPriority w:val="99"/>
    <w:qFormat/>
    <w:rsid w:val="00A132BE"/>
    <w:pPr>
      <w:keepNext/>
      <w:jc w:val="center"/>
      <w:outlineLvl w:val="0"/>
    </w:pPr>
    <w:rPr>
      <w:rFonts w:cs="Times New Roman"/>
      <w:b/>
      <w:iCs/>
      <w:sz w:val="18"/>
      <w:szCs w:val="18"/>
      <w:lang w:val="tr-TR"/>
    </w:rPr>
  </w:style>
  <w:style w:type="paragraph" w:styleId="Heading2">
    <w:name w:val="heading 2"/>
    <w:basedOn w:val="Normal"/>
    <w:next w:val="Normal"/>
    <w:link w:val="Heading2Char"/>
    <w:uiPriority w:val="99"/>
    <w:qFormat/>
    <w:rsid w:val="00A132BE"/>
    <w:pPr>
      <w:keepNext/>
      <w:spacing w:before="240" w:after="60"/>
      <w:outlineLvl w:val="1"/>
    </w:pPr>
    <w:rPr>
      <w:b/>
      <w:bCs/>
      <w:i/>
      <w:iCs/>
      <w:sz w:val="28"/>
      <w:szCs w:val="28"/>
      <w:lang w:val="en-GB"/>
    </w:rPr>
  </w:style>
  <w:style w:type="paragraph" w:styleId="Heading3">
    <w:name w:val="heading 3"/>
    <w:basedOn w:val="Normal"/>
    <w:next w:val="Normal"/>
    <w:link w:val="Heading3Char"/>
    <w:uiPriority w:val="99"/>
    <w:qFormat/>
    <w:rsid w:val="00A132BE"/>
    <w:pPr>
      <w:keepNext/>
      <w:spacing w:before="240" w:after="60"/>
      <w:outlineLvl w:val="2"/>
    </w:pPr>
    <w:rPr>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A132BE"/>
    <w:rPr>
      <w:rFonts w:ascii="Arial" w:hAnsi="Arial"/>
      <w:b/>
      <w:iCs/>
      <w:sz w:val="18"/>
      <w:szCs w:val="18"/>
      <w:lang w:val="tr-TR" w:eastAsia="ar-SA"/>
    </w:rPr>
  </w:style>
  <w:style w:type="character" w:customStyle="1" w:styleId="Heading2Char">
    <w:name w:val="Heading 2 Char"/>
    <w:basedOn w:val="DefaultParagraphFont"/>
    <w:link w:val="Heading2"/>
    <w:uiPriority w:val="99"/>
    <w:rsid w:val="00A132BE"/>
    <w:rPr>
      <w:rFonts w:ascii="Arial" w:hAnsi="Arial" w:cs="Arial"/>
      <w:b/>
      <w:bCs/>
      <w:i/>
      <w:iCs/>
      <w:sz w:val="28"/>
      <w:szCs w:val="28"/>
      <w:lang w:val="en-GB" w:eastAsia="ar-SA"/>
    </w:rPr>
  </w:style>
  <w:style w:type="character" w:customStyle="1" w:styleId="Heading3Char">
    <w:name w:val="Heading 3 Char"/>
    <w:basedOn w:val="DefaultParagraphFont"/>
    <w:link w:val="Heading3"/>
    <w:uiPriority w:val="99"/>
    <w:rsid w:val="00A132BE"/>
    <w:rPr>
      <w:rFonts w:ascii="Arial" w:hAnsi="Arial" w:cs="Arial"/>
      <w:b/>
      <w:bCs/>
      <w:sz w:val="26"/>
      <w:szCs w:val="26"/>
      <w:lang w:val="en-GB" w:eastAsia="ar-SA"/>
    </w:rPr>
  </w:style>
  <w:style w:type="paragraph" w:styleId="Caption">
    <w:name w:val="caption"/>
    <w:basedOn w:val="Normal"/>
    <w:next w:val="Normal"/>
    <w:qFormat/>
    <w:rsid w:val="00A132BE"/>
    <w:rPr>
      <w:b/>
      <w:bCs/>
      <w:sz w:val="20"/>
      <w:szCs w:val="20"/>
    </w:rPr>
  </w:style>
  <w:style w:type="character" w:styleId="Strong">
    <w:name w:val="Strong"/>
    <w:basedOn w:val="DefaultParagraphFont"/>
    <w:qFormat/>
    <w:rsid w:val="00A132BE"/>
    <w:rPr>
      <w:b/>
      <w:bCs/>
    </w:rPr>
  </w:style>
  <w:style w:type="character" w:styleId="Emphasis">
    <w:name w:val="Emphasis"/>
    <w:basedOn w:val="DefaultParagraphFont"/>
    <w:uiPriority w:val="20"/>
    <w:qFormat/>
    <w:rsid w:val="00A132BE"/>
    <w:rPr>
      <w:i/>
      <w:iCs/>
    </w:rPr>
  </w:style>
  <w:style w:type="character" w:styleId="FootnoteReference">
    <w:name w:val="footnote reference"/>
    <w:basedOn w:val="DefaultParagraphFont"/>
    <w:uiPriority w:val="99"/>
    <w:semiHidden/>
    <w:rsid w:val="00894DBA"/>
    <w:rPr>
      <w:vertAlign w:val="superscript"/>
    </w:rPr>
  </w:style>
  <w:style w:type="paragraph" w:styleId="FootnoteText">
    <w:name w:val="footnote text"/>
    <w:basedOn w:val="Normal"/>
    <w:link w:val="FootnoteTextChar"/>
    <w:uiPriority w:val="99"/>
    <w:semiHidden/>
    <w:rsid w:val="00894DBA"/>
    <w:rPr>
      <w:rFonts w:ascii="Times New Roman" w:hAnsi="Times New Roman" w:cs="Times New Roman"/>
      <w:sz w:val="20"/>
      <w:szCs w:val="20"/>
      <w:lang w:val="tr-TR"/>
    </w:rPr>
  </w:style>
  <w:style w:type="character" w:customStyle="1" w:styleId="FootnoteTextChar">
    <w:name w:val="Footnote Text Char"/>
    <w:basedOn w:val="DefaultParagraphFont"/>
    <w:link w:val="FootnoteText"/>
    <w:uiPriority w:val="99"/>
    <w:semiHidden/>
    <w:rsid w:val="00894DBA"/>
    <w:rPr>
      <w:lang w:eastAsia="ar-SA"/>
    </w:rPr>
  </w:style>
  <w:style w:type="paragraph" w:styleId="Header">
    <w:name w:val="header"/>
    <w:basedOn w:val="Normal"/>
    <w:link w:val="HeaderChar"/>
    <w:uiPriority w:val="99"/>
    <w:semiHidden/>
    <w:unhideWhenUsed/>
    <w:rsid w:val="004C4FE3"/>
    <w:pPr>
      <w:tabs>
        <w:tab w:val="center" w:pos="4703"/>
        <w:tab w:val="right" w:pos="9406"/>
      </w:tabs>
    </w:pPr>
  </w:style>
  <w:style w:type="character" w:customStyle="1" w:styleId="HeaderChar">
    <w:name w:val="Header Char"/>
    <w:basedOn w:val="DefaultParagraphFont"/>
    <w:link w:val="Header"/>
    <w:uiPriority w:val="99"/>
    <w:semiHidden/>
    <w:rsid w:val="004C4FE3"/>
    <w:rPr>
      <w:rFonts w:ascii="Arial" w:hAnsi="Arial" w:cs="Arial"/>
      <w:sz w:val="16"/>
      <w:szCs w:val="16"/>
      <w:lang w:val="en-US" w:eastAsia="ar-SA"/>
    </w:rPr>
  </w:style>
  <w:style w:type="paragraph" w:styleId="Footer">
    <w:name w:val="footer"/>
    <w:basedOn w:val="Normal"/>
    <w:link w:val="FooterChar"/>
    <w:uiPriority w:val="99"/>
    <w:unhideWhenUsed/>
    <w:rsid w:val="004C4FE3"/>
    <w:pPr>
      <w:tabs>
        <w:tab w:val="center" w:pos="4703"/>
        <w:tab w:val="right" w:pos="9406"/>
      </w:tabs>
    </w:pPr>
  </w:style>
  <w:style w:type="character" w:customStyle="1" w:styleId="FooterChar">
    <w:name w:val="Footer Char"/>
    <w:basedOn w:val="DefaultParagraphFont"/>
    <w:link w:val="Footer"/>
    <w:uiPriority w:val="99"/>
    <w:rsid w:val="004C4FE3"/>
    <w:rPr>
      <w:rFonts w:ascii="Arial" w:hAnsi="Arial" w:cs="Arial"/>
      <w:sz w:val="16"/>
      <w:szCs w:val="16"/>
      <w:lang w:val="en-US" w:eastAsia="ar-SA"/>
    </w:rPr>
  </w:style>
  <w:style w:type="paragraph" w:styleId="BalloonText">
    <w:name w:val="Balloon Text"/>
    <w:basedOn w:val="Normal"/>
    <w:link w:val="BalloonTextChar"/>
    <w:uiPriority w:val="99"/>
    <w:semiHidden/>
    <w:unhideWhenUsed/>
    <w:rsid w:val="00C2043D"/>
    <w:rPr>
      <w:rFonts w:ascii="Tahoma" w:hAnsi="Tahoma" w:cs="Tahoma"/>
    </w:rPr>
  </w:style>
  <w:style w:type="character" w:customStyle="1" w:styleId="BalloonTextChar">
    <w:name w:val="Balloon Text Char"/>
    <w:basedOn w:val="DefaultParagraphFont"/>
    <w:link w:val="BalloonText"/>
    <w:uiPriority w:val="99"/>
    <w:semiHidden/>
    <w:rsid w:val="00C2043D"/>
    <w:rPr>
      <w:rFonts w:ascii="Tahoma" w:hAnsi="Tahoma" w:cs="Tahoma"/>
      <w:sz w:val="16"/>
      <w:szCs w:val="16"/>
      <w:lang w:val="en-US" w:eastAsia="ar-SA"/>
    </w:rPr>
  </w:style>
  <w:style w:type="table" w:styleId="TableGrid">
    <w:name w:val="Table Grid"/>
    <w:basedOn w:val="TableNormal"/>
    <w:uiPriority w:val="59"/>
    <w:rsid w:val="006E5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B57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431808">
      <w:bodyDiv w:val="1"/>
      <w:marLeft w:val="0"/>
      <w:marRight w:val="0"/>
      <w:marTop w:val="0"/>
      <w:marBottom w:val="0"/>
      <w:divBdr>
        <w:top w:val="none" w:sz="0" w:space="0" w:color="auto"/>
        <w:left w:val="none" w:sz="0" w:space="0" w:color="auto"/>
        <w:bottom w:val="none" w:sz="0" w:space="0" w:color="auto"/>
        <w:right w:val="none" w:sz="0" w:space="0" w:color="auto"/>
      </w:divBdr>
    </w:div>
    <w:div w:id="504517990">
      <w:bodyDiv w:val="1"/>
      <w:marLeft w:val="0"/>
      <w:marRight w:val="0"/>
      <w:marTop w:val="0"/>
      <w:marBottom w:val="0"/>
      <w:divBdr>
        <w:top w:val="none" w:sz="0" w:space="0" w:color="auto"/>
        <w:left w:val="none" w:sz="0" w:space="0" w:color="auto"/>
        <w:bottom w:val="none" w:sz="0" w:space="0" w:color="auto"/>
        <w:right w:val="none" w:sz="0" w:space="0" w:color="auto"/>
      </w:divBdr>
    </w:div>
    <w:div w:id="918952006">
      <w:bodyDiv w:val="1"/>
      <w:marLeft w:val="0"/>
      <w:marRight w:val="0"/>
      <w:marTop w:val="0"/>
      <w:marBottom w:val="0"/>
      <w:divBdr>
        <w:top w:val="none" w:sz="0" w:space="0" w:color="auto"/>
        <w:left w:val="none" w:sz="0" w:space="0" w:color="auto"/>
        <w:bottom w:val="none" w:sz="0" w:space="0" w:color="auto"/>
        <w:right w:val="none" w:sz="0" w:space="0" w:color="auto"/>
      </w:divBdr>
    </w:div>
    <w:div w:id="966350573">
      <w:bodyDiv w:val="1"/>
      <w:marLeft w:val="0"/>
      <w:marRight w:val="0"/>
      <w:marTop w:val="0"/>
      <w:marBottom w:val="0"/>
      <w:divBdr>
        <w:top w:val="none" w:sz="0" w:space="0" w:color="auto"/>
        <w:left w:val="none" w:sz="0" w:space="0" w:color="auto"/>
        <w:bottom w:val="none" w:sz="0" w:space="0" w:color="auto"/>
        <w:right w:val="none" w:sz="0" w:space="0" w:color="auto"/>
      </w:divBdr>
    </w:div>
    <w:div w:id="1016930389">
      <w:bodyDiv w:val="1"/>
      <w:marLeft w:val="0"/>
      <w:marRight w:val="0"/>
      <w:marTop w:val="0"/>
      <w:marBottom w:val="0"/>
      <w:divBdr>
        <w:top w:val="none" w:sz="0" w:space="0" w:color="auto"/>
        <w:left w:val="none" w:sz="0" w:space="0" w:color="auto"/>
        <w:bottom w:val="none" w:sz="0" w:space="0" w:color="auto"/>
        <w:right w:val="none" w:sz="0" w:space="0" w:color="auto"/>
      </w:divBdr>
    </w:div>
    <w:div w:id="1190990026">
      <w:bodyDiv w:val="1"/>
      <w:marLeft w:val="0"/>
      <w:marRight w:val="0"/>
      <w:marTop w:val="0"/>
      <w:marBottom w:val="0"/>
      <w:divBdr>
        <w:top w:val="none" w:sz="0" w:space="0" w:color="auto"/>
        <w:left w:val="none" w:sz="0" w:space="0" w:color="auto"/>
        <w:bottom w:val="none" w:sz="0" w:space="0" w:color="auto"/>
        <w:right w:val="none" w:sz="0" w:space="0" w:color="auto"/>
      </w:divBdr>
    </w:div>
    <w:div w:id="1234051248">
      <w:bodyDiv w:val="1"/>
      <w:marLeft w:val="0"/>
      <w:marRight w:val="0"/>
      <w:marTop w:val="0"/>
      <w:marBottom w:val="0"/>
      <w:divBdr>
        <w:top w:val="none" w:sz="0" w:space="0" w:color="auto"/>
        <w:left w:val="none" w:sz="0" w:space="0" w:color="auto"/>
        <w:bottom w:val="none" w:sz="0" w:space="0" w:color="auto"/>
        <w:right w:val="none" w:sz="0" w:space="0" w:color="auto"/>
      </w:divBdr>
    </w:div>
    <w:div w:id="1370716653">
      <w:bodyDiv w:val="1"/>
      <w:marLeft w:val="0"/>
      <w:marRight w:val="0"/>
      <w:marTop w:val="0"/>
      <w:marBottom w:val="0"/>
      <w:divBdr>
        <w:top w:val="none" w:sz="0" w:space="0" w:color="auto"/>
        <w:left w:val="none" w:sz="0" w:space="0" w:color="auto"/>
        <w:bottom w:val="none" w:sz="0" w:space="0" w:color="auto"/>
        <w:right w:val="none" w:sz="0" w:space="0" w:color="auto"/>
      </w:divBdr>
    </w:div>
    <w:div w:id="1558928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emf"/><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0DAE-034A-441F-9651-8198120F32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7</Pages>
  <Words>2488</Words>
  <Characters>14182</Characters>
  <Application>Microsoft Office Word</Application>
  <DocSecurity>0</DocSecurity>
  <Lines>118</Lines>
  <Paragraphs>33</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16637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aysenur acar</dc:creator>
  <cp:lastModifiedBy>merve.akgul</cp:lastModifiedBy>
  <cp:revision>12</cp:revision>
  <cp:lastPrinted>2014-06-25T07:13:00Z</cp:lastPrinted>
  <dcterms:created xsi:type="dcterms:W3CDTF">2014-06-23T14:26:00Z</dcterms:created>
  <dcterms:modified xsi:type="dcterms:W3CDTF">2014-06-25T07:18:00Z</dcterms:modified>
</cp:coreProperties>
</file>