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1C" w:rsidRPr="00A813EB" w:rsidRDefault="00270301">
      <w:r>
        <w:rPr>
          <w:noProof/>
          <w:lang w:val="tr-TR" w:eastAsia="tr-TR"/>
        </w:rPr>
        <mc:AlternateContent>
          <mc:Choice Requires="wps">
            <w:drawing>
              <wp:anchor distT="0" distB="0" distL="114935" distR="114935" simplePos="0" relativeHeight="251661312" behindDoc="0" locked="0" layoutInCell="1" allowOverlap="1">
                <wp:simplePos x="0" y="0"/>
                <wp:positionH relativeFrom="column">
                  <wp:posOffset>1671320</wp:posOffset>
                </wp:positionH>
                <wp:positionV relativeFrom="paragraph">
                  <wp:posOffset>-461010</wp:posOffset>
                </wp:positionV>
                <wp:extent cx="3963670"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288" w:rsidRPr="002865A7" w:rsidRDefault="009E3288" w:rsidP="00C13C55">
                            <w:pPr>
                              <w:pStyle w:val="Heading1"/>
                              <w:rPr>
                                <w:rFonts w:ascii="Times New Roman" w:hAnsi="Times New Roman"/>
                                <w:sz w:val="52"/>
                                <w:szCs w:val="52"/>
                              </w:rPr>
                            </w:pPr>
                            <w:r>
                              <w:rPr>
                                <w:rFonts w:ascii="Times New Roman" w:hAnsi="Times New Roman"/>
                                <w:sz w:val="52"/>
                                <w:szCs w:val="52"/>
                              </w:rPr>
                              <w:t xml:space="preserve">Araştırma Notu </w:t>
                            </w:r>
                            <w:r w:rsidRPr="002865A7">
                              <w:rPr>
                                <w:rFonts w:ascii="Times New Roman" w:hAnsi="Times New Roman"/>
                                <w:sz w:val="52"/>
                                <w:szCs w:val="52"/>
                              </w:rPr>
                              <w:t>1</w:t>
                            </w:r>
                            <w:r w:rsidR="001656BC">
                              <w:rPr>
                                <w:rFonts w:ascii="Times New Roman" w:hAnsi="Times New Roman"/>
                                <w:sz w:val="52"/>
                                <w:szCs w:val="52"/>
                              </w:rPr>
                              <w:t>4</w:t>
                            </w:r>
                            <w:bookmarkStart w:id="0" w:name="_GoBack"/>
                            <w:bookmarkEnd w:id="0"/>
                            <w:r w:rsidRPr="002865A7">
                              <w:rPr>
                                <w:rFonts w:ascii="Times New Roman" w:hAnsi="Times New Roman"/>
                                <w:sz w:val="52"/>
                                <w:szCs w:val="52"/>
                              </w:rPr>
                              <w:t>/</w:t>
                            </w:r>
                            <w:r w:rsidR="00E17E58">
                              <w:rPr>
                                <w:rFonts w:ascii="Times New Roman" w:hAnsi="Times New Roman"/>
                                <w:sz w:val="52"/>
                                <w:szCs w:val="52"/>
                              </w:rPr>
                              <w:t>166</w:t>
                            </w:r>
                          </w:p>
                          <w:p w:rsidR="009E3288" w:rsidRPr="00526178" w:rsidRDefault="009E3288" w:rsidP="00C13C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6pt;margin-top:-36.3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" stroked="f">
                <v:fill opacity="0"/>
                <v:textbox inset="0,0,0,0">
                  <w:txbxContent>
                    <w:p w:rsidR="009E3288" w:rsidRPr="002865A7" w:rsidRDefault="009E3288" w:rsidP="00C13C55">
                      <w:pPr>
                        <w:pStyle w:val="Heading1"/>
                        <w:rPr>
                          <w:rFonts w:ascii="Times New Roman" w:hAnsi="Times New Roman"/>
                          <w:sz w:val="52"/>
                          <w:szCs w:val="52"/>
                        </w:rPr>
                      </w:pPr>
                      <w:r>
                        <w:rPr>
                          <w:rFonts w:ascii="Times New Roman" w:hAnsi="Times New Roman"/>
                          <w:sz w:val="52"/>
                          <w:szCs w:val="52"/>
                        </w:rPr>
                        <w:t xml:space="preserve">Araştırma Notu </w:t>
                      </w:r>
                      <w:r w:rsidRPr="002865A7">
                        <w:rPr>
                          <w:rFonts w:ascii="Times New Roman" w:hAnsi="Times New Roman"/>
                          <w:sz w:val="52"/>
                          <w:szCs w:val="52"/>
                        </w:rPr>
                        <w:t>1</w:t>
                      </w:r>
                      <w:r w:rsidR="001656BC">
                        <w:rPr>
                          <w:rFonts w:ascii="Times New Roman" w:hAnsi="Times New Roman"/>
                          <w:sz w:val="52"/>
                          <w:szCs w:val="52"/>
                        </w:rPr>
                        <w:t>4</w:t>
                      </w:r>
                      <w:bookmarkStart w:id="1" w:name="_GoBack"/>
                      <w:bookmarkEnd w:id="1"/>
                      <w:r w:rsidRPr="002865A7">
                        <w:rPr>
                          <w:rFonts w:ascii="Times New Roman" w:hAnsi="Times New Roman"/>
                          <w:sz w:val="52"/>
                          <w:szCs w:val="52"/>
                        </w:rPr>
                        <w:t>/</w:t>
                      </w:r>
                      <w:r w:rsidR="00E17E58">
                        <w:rPr>
                          <w:rFonts w:ascii="Times New Roman" w:hAnsi="Times New Roman"/>
                          <w:sz w:val="52"/>
                          <w:szCs w:val="52"/>
                        </w:rPr>
                        <w:t>166</w:t>
                      </w:r>
                    </w:p>
                    <w:p w:rsidR="009E3288" w:rsidRPr="00526178" w:rsidRDefault="009E3288" w:rsidP="00C13C55">
                      <w:pPr>
                        <w:pStyle w:val="Heading2"/>
                        <w:rPr>
                          <w:b w:val="0"/>
                          <w:bCs w:val="0"/>
                          <w:i w:val="0"/>
                          <w:iCs w:val="0"/>
                        </w:rPr>
                      </w:pPr>
                    </w:p>
                  </w:txbxContent>
                </v:textbox>
              </v:shape>
            </w:pict>
          </mc:Fallback>
        </mc:AlternateContent>
      </w:r>
      <w:r w:rsidR="00C13C55" w:rsidRPr="00A813EB">
        <w:rPr>
          <w:noProof/>
          <w:lang w:eastAsia="tr-TR"/>
        </w:rPr>
        <w:drawing>
          <wp:anchor distT="0" distB="0" distL="114300" distR="114300" simplePos="0" relativeHeight="251659264" behindDoc="1" locked="0" layoutInCell="1" allowOverlap="1">
            <wp:simplePos x="0" y="0"/>
            <wp:positionH relativeFrom="column">
              <wp:posOffset>-690245</wp:posOffset>
            </wp:positionH>
            <wp:positionV relativeFrom="paragraph">
              <wp:posOffset>-661670</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pic:spPr>
                </pic:pic>
              </a:graphicData>
            </a:graphic>
          </wp:anchor>
        </w:drawing>
      </w:r>
    </w:p>
    <w:p w:rsidR="00460BD0" w:rsidRPr="00A813EB" w:rsidRDefault="00460BD0"/>
    <w:p w:rsidR="00C13C55" w:rsidRPr="00A813EB" w:rsidRDefault="00270301" w:rsidP="00257387">
      <w:pPr>
        <w:pStyle w:val="Caption"/>
        <w:keepNext/>
      </w:pPr>
      <w:r>
        <w:rPr>
          <w:noProof/>
          <w:lang w:val="tr-TR" w:eastAsia="tr-TR"/>
        </w:rPr>
        <mc:AlternateContent>
          <mc:Choice Requires="wps">
            <w:drawing>
              <wp:anchor distT="0" distB="0" distL="114935" distR="114935" simplePos="0" relativeHeight="251660288" behindDoc="0" locked="0" layoutInCell="1" allowOverlap="1">
                <wp:simplePos x="0" y="0"/>
                <wp:positionH relativeFrom="column">
                  <wp:posOffset>5325745</wp:posOffset>
                </wp:positionH>
                <wp:positionV relativeFrom="paragraph">
                  <wp:posOffset>81915</wp:posOffset>
                </wp:positionV>
                <wp:extent cx="1478280" cy="299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288" w:rsidRDefault="00E17E58" w:rsidP="00C13C55">
                            <w:pPr>
                              <w:pStyle w:val="Heading3"/>
                              <w:jc w:val="center"/>
                            </w:pPr>
                            <w:r>
                              <w:rPr>
                                <w:color w:val="FFFFFF"/>
                                <w:sz w:val="22"/>
                                <w:szCs w:val="22"/>
                              </w:rPr>
                              <w:t>23</w:t>
                            </w:r>
                            <w:r w:rsidR="009E3288">
                              <w:rPr>
                                <w:color w:val="FFFFFF"/>
                                <w:sz w:val="22"/>
                                <w:szCs w:val="22"/>
                              </w:rPr>
                              <w:t xml:space="preserve"> </w:t>
                            </w:r>
                            <w:r>
                              <w:rPr>
                                <w:color w:val="FFFFFF"/>
                                <w:sz w:val="22"/>
                                <w:szCs w:val="22"/>
                              </w:rPr>
                              <w:t>Mayıs</w:t>
                            </w:r>
                            <w:r w:rsidR="009E3288">
                              <w:rPr>
                                <w:color w:val="FFFFFF"/>
                                <w:sz w:val="22"/>
                                <w:szCs w:val="22"/>
                              </w:rPr>
                              <w:t xml:space="preserve"> </w:t>
                            </w:r>
                            <w:r w:rsidR="001416EE">
                              <w:rPr>
                                <w:color w:val="FFFFFF"/>
                                <w:sz w:val="22"/>
                                <w:szCs w:val="22"/>
                                <w:lang w:val="tr-TR"/>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9.35pt;margin-top:6.45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" stroked="f">
                <v:fill opacity="0"/>
                <v:textbox inset="0,0,0,0">
                  <w:txbxContent>
                    <w:p w:rsidR="009E3288" w:rsidRDefault="00E17E58" w:rsidP="00C13C55">
                      <w:pPr>
                        <w:pStyle w:val="Heading3"/>
                        <w:jc w:val="center"/>
                      </w:pPr>
                      <w:r>
                        <w:rPr>
                          <w:color w:val="FFFFFF"/>
                          <w:sz w:val="22"/>
                          <w:szCs w:val="22"/>
                        </w:rPr>
                        <w:t>23</w:t>
                      </w:r>
                      <w:r w:rsidR="009E3288">
                        <w:rPr>
                          <w:color w:val="FFFFFF"/>
                          <w:sz w:val="22"/>
                          <w:szCs w:val="22"/>
                        </w:rPr>
                        <w:t xml:space="preserve"> </w:t>
                      </w:r>
                      <w:r>
                        <w:rPr>
                          <w:color w:val="FFFFFF"/>
                          <w:sz w:val="22"/>
                          <w:szCs w:val="22"/>
                        </w:rPr>
                        <w:t>Mayıs</w:t>
                      </w:r>
                      <w:r w:rsidR="009E3288">
                        <w:rPr>
                          <w:color w:val="FFFFFF"/>
                          <w:sz w:val="22"/>
                          <w:szCs w:val="22"/>
                        </w:rPr>
                        <w:t xml:space="preserve"> </w:t>
                      </w:r>
                      <w:r w:rsidR="001416EE">
                        <w:rPr>
                          <w:color w:val="FFFFFF"/>
                          <w:sz w:val="22"/>
                          <w:szCs w:val="22"/>
                          <w:lang w:val="tr-TR"/>
                        </w:rPr>
                        <w:t>2014</w:t>
                      </w:r>
                    </w:p>
                  </w:txbxContent>
                </v:textbox>
              </v:shape>
            </w:pict>
          </mc:Fallback>
        </mc:AlternateContent>
      </w:r>
    </w:p>
    <w:p w:rsidR="00C13C55" w:rsidRPr="00A813EB" w:rsidRDefault="00C13C55" w:rsidP="00257387">
      <w:pPr>
        <w:pStyle w:val="Caption"/>
        <w:keepNext/>
      </w:pPr>
    </w:p>
    <w:p w:rsidR="00C13C55" w:rsidRPr="00A813EB" w:rsidRDefault="00C13C55" w:rsidP="00257387">
      <w:pPr>
        <w:pStyle w:val="Caption"/>
        <w:keepNext/>
      </w:pPr>
    </w:p>
    <w:p w:rsidR="00C13C55" w:rsidRPr="00A813EB" w:rsidRDefault="00C13C55" w:rsidP="00257387">
      <w:pPr>
        <w:pStyle w:val="Caption"/>
        <w:keepNext/>
      </w:pPr>
    </w:p>
    <w:p w:rsidR="004D033B" w:rsidRPr="00A813EB" w:rsidRDefault="004D033B" w:rsidP="004D033B">
      <w:pPr>
        <w:jc w:val="both"/>
        <w:rPr>
          <w:bCs/>
          <w:sz w:val="22"/>
          <w:szCs w:val="22"/>
          <w:highlight w:val="yellow"/>
        </w:rPr>
      </w:pPr>
    </w:p>
    <w:p w:rsidR="002A3650" w:rsidRPr="002A3650" w:rsidRDefault="00AC6FF9" w:rsidP="002A3650">
      <w:pPr>
        <w:suppressAutoHyphens w:val="0"/>
        <w:spacing w:after="100" w:line="276" w:lineRule="auto"/>
        <w:jc w:val="center"/>
        <w:rPr>
          <w:rFonts w:asciiTheme="minorHAnsi" w:eastAsiaTheme="minorHAnsi" w:hAnsiTheme="minorHAnsi" w:cstheme="minorBidi"/>
          <w:b/>
          <w:sz w:val="32"/>
          <w:szCs w:val="32"/>
          <w:lang w:eastAsia="en-US"/>
        </w:rPr>
      </w:pPr>
      <w:r w:rsidRPr="00AC6FF9">
        <w:rPr>
          <w:rFonts w:asciiTheme="minorHAnsi" w:eastAsiaTheme="minorHAnsi" w:hAnsiTheme="minorHAnsi" w:cstheme="minorBidi"/>
          <w:b/>
          <w:sz w:val="32"/>
          <w:szCs w:val="32"/>
          <w:lang w:eastAsia="en-US"/>
        </w:rPr>
        <w:t>AVRUPA'YA İHRACAT BÜYÜMEYİ KURTARACAK MI?</w:t>
      </w:r>
    </w:p>
    <w:p w:rsidR="002A3650" w:rsidRPr="002A3650" w:rsidRDefault="002A3650" w:rsidP="002A3650">
      <w:pPr>
        <w:suppressAutoHyphens w:val="0"/>
        <w:spacing w:after="100" w:line="276" w:lineRule="auto"/>
        <w:jc w:val="center"/>
        <w:rPr>
          <w:rFonts w:asciiTheme="minorHAnsi" w:eastAsiaTheme="minorHAnsi" w:hAnsiTheme="minorHAnsi" w:cstheme="minorBidi"/>
          <w:b/>
          <w:lang w:eastAsia="en-US"/>
        </w:rPr>
      </w:pPr>
    </w:p>
    <w:p w:rsidR="002A3650" w:rsidRPr="00D04B55" w:rsidRDefault="002A3650" w:rsidP="002A3650">
      <w:pPr>
        <w:suppressAutoHyphens w:val="0"/>
        <w:spacing w:after="100" w:line="276" w:lineRule="auto"/>
        <w:jc w:val="center"/>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Z</w:t>
      </w:r>
      <w:r>
        <w:rPr>
          <w:rFonts w:asciiTheme="minorHAnsi" w:eastAsiaTheme="minorHAnsi" w:hAnsiTheme="minorHAnsi" w:cstheme="minorBidi"/>
          <w:b/>
          <w:sz w:val="22"/>
          <w:szCs w:val="22"/>
          <w:lang w:eastAsia="en-US"/>
        </w:rPr>
        <w:t>ümrüt İmamoğlu</w:t>
      </w:r>
      <w:r w:rsidRPr="00AC6FF9">
        <w:rPr>
          <w:rStyle w:val="FootnoteReference"/>
          <w:rFonts w:asciiTheme="minorHAnsi" w:hAnsiTheme="minorHAnsi"/>
          <w:b/>
          <w:bCs/>
          <w:sz w:val="20"/>
          <w:szCs w:val="20"/>
        </w:rPr>
        <w:footnoteReference w:customMarkFollows="1" w:id="1"/>
        <w:t>*</w:t>
      </w:r>
      <w:r w:rsidR="00D04B55">
        <w:rPr>
          <w:rStyle w:val="FootnoteReference"/>
          <w:b/>
          <w:bCs/>
          <w:sz w:val="20"/>
          <w:szCs w:val="20"/>
        </w:rPr>
        <w:t xml:space="preserve"> </w:t>
      </w:r>
      <w:r w:rsidR="00D04B55">
        <w:rPr>
          <w:b/>
          <w:bCs/>
          <w:sz w:val="20"/>
          <w:szCs w:val="20"/>
        </w:rPr>
        <w:t xml:space="preserve">ve </w:t>
      </w:r>
      <w:r w:rsidR="00D04B55">
        <w:rPr>
          <w:rStyle w:val="FootnoteReference"/>
          <w:b/>
          <w:bCs/>
          <w:sz w:val="20"/>
          <w:szCs w:val="20"/>
          <w:vertAlign w:val="baseline"/>
        </w:rPr>
        <w:t>Barış Soybilgen</w:t>
      </w:r>
      <w:r w:rsidR="00AC6FF9" w:rsidRPr="00AC6FF9">
        <w:rPr>
          <w:rStyle w:val="FootnoteReference"/>
          <w:rFonts w:asciiTheme="minorHAnsi" w:hAnsiTheme="minorHAnsi"/>
          <w:b/>
          <w:bCs/>
          <w:sz w:val="20"/>
          <w:szCs w:val="20"/>
        </w:rPr>
        <w:footnoteReference w:customMarkFollows="1" w:id="2"/>
        <w:t>*</w:t>
      </w:r>
      <w:r w:rsidR="00AC6FF9" w:rsidRPr="00AC6FF9">
        <w:rPr>
          <w:rFonts w:asciiTheme="minorHAnsi" w:hAnsiTheme="minorHAnsi"/>
          <w:b/>
          <w:bCs/>
          <w:sz w:val="20"/>
          <w:szCs w:val="20"/>
          <w:vertAlign w:val="superscript"/>
        </w:rPr>
        <w:t>*</w:t>
      </w:r>
    </w:p>
    <w:p w:rsidR="002A3650" w:rsidRPr="002A3650" w:rsidRDefault="002A3650" w:rsidP="002A3650">
      <w:pPr>
        <w:suppressAutoHyphens w:val="0"/>
        <w:spacing w:after="100" w:line="276" w:lineRule="auto"/>
        <w:jc w:val="center"/>
        <w:rPr>
          <w:rFonts w:asciiTheme="minorHAnsi" w:eastAsiaTheme="minorHAnsi" w:hAnsiTheme="minorHAnsi" w:cstheme="minorBidi"/>
          <w:b/>
          <w:sz w:val="4"/>
          <w:szCs w:val="4"/>
          <w:lang w:eastAsia="en-US"/>
        </w:rPr>
      </w:pPr>
    </w:p>
    <w:p w:rsidR="002A3650" w:rsidRPr="002A3650" w:rsidRDefault="002A3650" w:rsidP="002A3650">
      <w:pPr>
        <w:suppressAutoHyphens w:val="0"/>
        <w:spacing w:after="100" w:line="276" w:lineRule="auto"/>
        <w:jc w:val="center"/>
        <w:rPr>
          <w:rFonts w:asciiTheme="minorHAnsi" w:eastAsiaTheme="minorHAnsi" w:hAnsiTheme="minorHAnsi" w:cstheme="minorBidi"/>
          <w:b/>
          <w:sz w:val="24"/>
          <w:szCs w:val="24"/>
          <w:lang w:eastAsia="en-US"/>
        </w:rPr>
      </w:pPr>
      <w:r w:rsidRPr="002A3650">
        <w:rPr>
          <w:rFonts w:asciiTheme="minorHAnsi" w:eastAsiaTheme="minorHAnsi" w:hAnsiTheme="minorHAnsi" w:cstheme="minorBidi"/>
          <w:b/>
          <w:sz w:val="24"/>
          <w:szCs w:val="24"/>
          <w:lang w:eastAsia="en-US"/>
        </w:rPr>
        <w:t>Yönetici özeti</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 xml:space="preserve">Küresel kriz sonrasında oldukça yavaş toparlanan Avrupa ekonomisinde kimi ülkeler durgunluktan çıkarken kimileri halen büyümekte zorlanmaya devam ediyor. Ancak 2014 yılında Avrupa'da büyüme beklentilerinin tekrar yükselmiş olması, Türkiye'nin de ihracat açısından iştahını kabartıyor. 2014 yılı küresel koşulların dayattığı yüksek faiz ortamı ve finansal kırılganlığı önleyici tedbirler nedeniyle Türkiye için iç talebin baskılanacağı bir yıl olacak. Büyümenin hedeflenen yüzde 4'e yaklaşmasının yolu ihracattan geçiyor. Acaba bu yıl Avrupa'da beklenen canlanma Türkiye'de ihracatı ve büyümeyi ne kadar etkileyecek? Bu notta önce kriz sonrasında ihracatta görülen toparlanmayı özetliyor, sonra Avrupa büyümesi ile Türkiye ihracatı arasındaki ilişkiyi inceleyerek 2014 yılı için tahminler oluşturuyoruz. </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 xml:space="preserve">Kriz sonrası hızla toparlanan Avrupa Birliği'ne (AB) ihracat, 2011 sonunda Avrupa'da borç krizinin derinleşmesiyle sekteye uğradı. 2013 yılında özellikle otomotiv sektöründeki artışlarla ihracat yeniden canlanırken, Türkiye'nin AB'de pazar payı da krizden bu yana en yüksek seviyeyi gördü. Avrupa'ya ihracatta lokomotif sektörler olan giyim, tekstil ve otomotiv dışındaki sektörlerde ihracat artışı kriz sonrasında hızlandı ve lokomotif sektörlerin önüne geçti. </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Bulgularımız Avrupa'da büyüme ve Türkiye'nin ihracatı arasında güçlü bir ilişki olduğunu, Türkiye'nin AB'ye ihracatının bu bölgedeki büyümeyi bir çeyrek kadar öncüllediğini ortaya koyuyor. Gerek Betam hesaplamaları gerekse ekonomi yazınındaki çalışmalar Avrupa'da büyümedeki yüzde 1'lik her artışın, Türkiye'nin bölgeye olan ihracatını yaklaşık yüzde 5 oranında artırdığını gösteriyor. Bu sene Avrupa'da tahmin edilen yüzde 1,6'lık büyüme tahmini gerçekleşirse</w:t>
      </w:r>
      <w:r w:rsidR="00097F47">
        <w:rPr>
          <w:rFonts w:asciiTheme="minorHAnsi" w:eastAsiaTheme="minorHAnsi" w:hAnsiTheme="minorHAnsi" w:cstheme="minorBidi"/>
          <w:sz w:val="22"/>
          <w:szCs w:val="22"/>
          <w:lang w:eastAsia="en-US"/>
        </w:rPr>
        <w:t>,</w:t>
      </w:r>
      <w:r w:rsidRPr="002A3650">
        <w:rPr>
          <w:rFonts w:asciiTheme="minorHAnsi" w:eastAsiaTheme="minorHAnsi" w:hAnsiTheme="minorHAnsi" w:cstheme="minorBidi"/>
          <w:sz w:val="22"/>
          <w:szCs w:val="22"/>
          <w:lang w:eastAsia="en-US"/>
        </w:rPr>
        <w:t xml:space="preserve"> bunun ihracat kanalından büyümeye katkısının yaklaşık yarım yüzde puan olacağını hesaplıyoruz. Bu durumda yıl sonu büyümesinin uluslararası kurumların tahminlerinin aksine yüzde 3'ü aşacağını tahmin ediyoruz.</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p>
    <w:p w:rsidR="002A3650" w:rsidRPr="002A3650" w:rsidRDefault="002A3650" w:rsidP="00D04B55">
      <w:pPr>
        <w:suppressAutoHyphens w:val="0"/>
        <w:spacing w:after="100" w:line="276" w:lineRule="auto"/>
        <w:rPr>
          <w:rFonts w:asciiTheme="minorHAnsi" w:eastAsiaTheme="minorHAnsi" w:hAnsiTheme="minorHAnsi" w:cstheme="minorBidi"/>
          <w:b/>
          <w:sz w:val="24"/>
          <w:szCs w:val="24"/>
          <w:lang w:eastAsia="en-US"/>
        </w:rPr>
      </w:pPr>
      <w:r w:rsidRPr="002A3650">
        <w:rPr>
          <w:rFonts w:asciiTheme="minorHAnsi" w:eastAsiaTheme="minorHAnsi" w:hAnsiTheme="minorHAnsi" w:cstheme="minorBidi"/>
          <w:b/>
          <w:sz w:val="24"/>
          <w:szCs w:val="24"/>
          <w:lang w:eastAsia="en-US"/>
        </w:rPr>
        <w:t>Kriz ihracatı teğet geçmedi</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 xml:space="preserve">Şekil 1 AB'nin Türkiye'den yaptığı ithalatı, toplam ithalat talebi ile beraber göstermekte. Avrupa'da kriz sırasında önemli oranda düşüş gösteren (yüzde 22) ithalat talebi, 2011 yılında büyümeye paralel olarak tamamen toparlanmıştı. Ancak 2011 sonbaharında Avrupa borç krizinin patlak vermesiyle, AB ekonomisi 2012'de yüzde 0,4 küçüldü, 2013'de ise yalnızca yüzde 0,1 oranında büyüdü. Küçülmenin etkisiyle 2012'de ithalat talebi önce yavaşladı, 2013 yılında ise düştü. 2013 itibarıyla, kriz öncesi tepe noktasına kıyasla ithalat talebi yüzde 6,5 artmış durumda. Türkiye'nin artan bu talepten payını aldığını, ihracatın 2013 yılında, kriz öncesine kıyasla yüzde 8,9 arttığını not edelim. Benzer bir </w:t>
      </w:r>
      <w:r w:rsidRPr="002A3650">
        <w:rPr>
          <w:rFonts w:asciiTheme="minorHAnsi" w:eastAsiaTheme="minorHAnsi" w:hAnsiTheme="minorHAnsi" w:cstheme="minorBidi"/>
          <w:sz w:val="22"/>
          <w:szCs w:val="22"/>
          <w:lang w:eastAsia="en-US"/>
        </w:rPr>
        <w:lastRenderedPageBreak/>
        <w:t>toparlanma Şekil 2'de gösterilen pazar payında da göze çarpıyor. Kriz sonrasında yüzde 2.7'ye gerileyen Türkiye'nin AB pazar payı 2013 yılında yüzde 2,97'ye ulaşmış durumda.</w:t>
      </w:r>
      <w:r w:rsidRPr="002A3650">
        <w:rPr>
          <w:rFonts w:asciiTheme="minorHAnsi" w:eastAsiaTheme="minorHAnsi" w:hAnsiTheme="minorHAnsi" w:cstheme="minorBidi"/>
          <w:sz w:val="22"/>
          <w:szCs w:val="22"/>
          <w:vertAlign w:val="superscript"/>
          <w:lang w:eastAsia="en-US"/>
        </w:rPr>
        <w:footnoteReference w:id="3"/>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after="100"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Şekil 1. AB'de ithalatın seyri (milyon euro)</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noProof/>
          <w:sz w:val="22"/>
          <w:szCs w:val="22"/>
          <w:lang w:eastAsia="tr-TR"/>
        </w:rPr>
        <w:drawing>
          <wp:inline distT="0" distB="0" distL="0" distR="0">
            <wp:extent cx="5514975" cy="3105150"/>
            <wp:effectExtent l="19050" t="0" r="0" b="0"/>
            <wp:docPr id="2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650" w:rsidRPr="00E52D0C" w:rsidRDefault="002A3650" w:rsidP="002A3650">
      <w:pPr>
        <w:suppressAutoHyphens w:val="0"/>
        <w:spacing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Kaynak: Eurostat.</w:t>
      </w:r>
    </w:p>
    <w:p w:rsidR="002A3650" w:rsidRPr="00E52D0C" w:rsidRDefault="002A3650" w:rsidP="002A3650">
      <w:pPr>
        <w:suppressAutoHyphens w:val="0"/>
        <w:spacing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 xml:space="preserve">Not: Sol eksen AB'nin toplam ithalatını, sağ eksen ise </w:t>
      </w:r>
      <w:proofErr w:type="gramStart"/>
      <w:r w:rsidRPr="00E52D0C">
        <w:rPr>
          <w:rFonts w:asciiTheme="minorHAnsi" w:eastAsiaTheme="minorHAnsi" w:hAnsiTheme="minorHAnsi" w:cstheme="minorBidi"/>
          <w:lang w:eastAsia="en-US"/>
        </w:rPr>
        <w:t>Türkiye'nin</w:t>
      </w:r>
      <w:proofErr w:type="gramEnd"/>
      <w:r w:rsidRPr="00E52D0C">
        <w:rPr>
          <w:rFonts w:asciiTheme="minorHAnsi" w:eastAsiaTheme="minorHAnsi" w:hAnsiTheme="minorHAnsi" w:cstheme="minorBidi"/>
          <w:lang w:eastAsia="en-US"/>
        </w:rPr>
        <w:t xml:space="preserve"> ihracatını göstermektedir. </w:t>
      </w:r>
    </w:p>
    <w:p w:rsidR="002A3650" w:rsidRPr="002A3650" w:rsidRDefault="002A3650" w:rsidP="002A3650">
      <w:pPr>
        <w:suppressAutoHyphens w:val="0"/>
        <w:spacing w:after="100" w:line="276" w:lineRule="auto"/>
        <w:jc w:val="both"/>
        <w:rPr>
          <w:rFonts w:asciiTheme="minorHAnsi" w:eastAsiaTheme="minorHAnsi" w:hAnsiTheme="minorHAnsi" w:cstheme="minorBidi"/>
          <w:sz w:val="20"/>
          <w:szCs w:val="20"/>
          <w:lang w:eastAsia="en-US"/>
        </w:rPr>
      </w:pPr>
    </w:p>
    <w:p w:rsidR="002A3650" w:rsidRPr="002A3650" w:rsidRDefault="002A3650" w:rsidP="002A3650">
      <w:pPr>
        <w:suppressAutoHyphens w:val="0"/>
        <w:spacing w:after="100"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Şekil 2. Türkiye'nin AB pazarında payı (yüzde)</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noProof/>
          <w:sz w:val="22"/>
          <w:szCs w:val="22"/>
          <w:lang w:eastAsia="tr-TR"/>
        </w:rPr>
        <w:drawing>
          <wp:inline distT="0" distB="0" distL="0" distR="0">
            <wp:extent cx="4572000" cy="2609850"/>
            <wp:effectExtent l="0" t="0" r="0" b="0"/>
            <wp:docPr id="2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3650" w:rsidRPr="00E52D0C" w:rsidRDefault="002A3650" w:rsidP="002A3650">
      <w:pPr>
        <w:suppressAutoHyphens w:val="0"/>
        <w:spacing w:after="100"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Kaynak: Eurostat.</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lastRenderedPageBreak/>
        <w:t>2013 yılı, AB'de büyümenin canlandığı ve Türkiye'nin bu bölgeye ihracatını artırdığı bir yıl oldu. 2012'de yalnızca 0,4 oranında küçülen AB, 2013'de yüzde 0,1 oranında büyüdü. Buna paralel olarak Türkiye'nin AB'ye ihracatı yüzde 4,1 oranında arttı. AB'ye ihracattaki artış 2013'de cari açıkta toparlanmaya destek olan önemli faktörlerden biriydi. Tablo 1 AB'nin 2013 yılında yaptığı toplam ithalat ve belli başlı ülkelerden gerçekleşen ithalatı gösteriyor. 2013 yılında Avrupa'nın toplam ithalatı yüzde 6,1 oranında düşmesine rağmen, Türkiye AB'ye ihracatını artırdı ve 2013 yılında AB'ye ihracatını artırmayı başaran nadir ülkelerden biri oldu. Aynı dönemde Çin ve Hindistan gibi rekabet içerisinde olduğumuz ülkelerin AB'ye ihracatları sırasıyla yüzde 3,9 ve 1,7 oranında azaldı. Yine G. Kore, Brezilya gibi ülkelerin de AB'ye ihracatı düştü. Euro bölgesinde ise Türkiye'ye benzer şekilde ihracatı artış gösteren tek ülke yüzde 5,2 ile Polonya oldu (Tablo 2). Türkiye'nin bu bölgeye ihracatı yüzde 5,4 arttı.</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Tablo 1. AB bölgesine ihracat yapan başlıca ülkeler</w:t>
      </w:r>
    </w:p>
    <w:tbl>
      <w:tblPr>
        <w:tblW w:w="5227" w:type="dxa"/>
        <w:tblInd w:w="70" w:type="dxa"/>
        <w:tblCellMar>
          <w:left w:w="70" w:type="dxa"/>
          <w:right w:w="70" w:type="dxa"/>
        </w:tblCellMar>
        <w:tblLook w:val="04A0" w:firstRow="1" w:lastRow="0" w:firstColumn="1" w:lastColumn="0" w:noHBand="0" w:noVBand="1"/>
      </w:tblPr>
      <w:tblGrid>
        <w:gridCol w:w="1298"/>
        <w:gridCol w:w="1134"/>
        <w:gridCol w:w="863"/>
        <w:gridCol w:w="961"/>
        <w:gridCol w:w="971"/>
      </w:tblGrid>
      <w:tr w:rsidR="002A3650" w:rsidRPr="002A3650" w:rsidTr="00097F47">
        <w:trPr>
          <w:trHeight w:val="300"/>
        </w:trPr>
        <w:tc>
          <w:tcPr>
            <w:tcW w:w="1298" w:type="dxa"/>
            <w:tcBorders>
              <w:top w:val="single" w:sz="4" w:space="0" w:color="auto"/>
              <w:left w:val="single" w:sz="4" w:space="0" w:color="auto"/>
              <w:bottom w:val="single" w:sz="4" w:space="0" w:color="auto"/>
              <w:right w:val="nil"/>
            </w:tcBorders>
            <w:shd w:val="clear" w:color="auto" w:fill="auto"/>
            <w:noWrap/>
            <w:vAlign w:val="bottom"/>
            <w:hideMark/>
          </w:tcPr>
          <w:p w:rsidR="002A3650" w:rsidRPr="002A3650" w:rsidRDefault="002A3650" w:rsidP="002A3650">
            <w:pPr>
              <w:suppressAutoHyphens w:val="0"/>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 </w:t>
            </w:r>
          </w:p>
        </w:tc>
        <w:tc>
          <w:tcPr>
            <w:tcW w:w="19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 xml:space="preserve">İhracat </w:t>
            </w:r>
          </w:p>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(milyon euro)</w:t>
            </w:r>
          </w:p>
        </w:tc>
        <w:tc>
          <w:tcPr>
            <w:tcW w:w="19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Bir önceki yıla göre değişim (yüzde)</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2012</w:t>
            </w:r>
          </w:p>
        </w:tc>
        <w:tc>
          <w:tcPr>
            <w:tcW w:w="863"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2013</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2012</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2013</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Japonya</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64,594</w:t>
            </w:r>
          </w:p>
        </w:tc>
        <w:tc>
          <w:tcPr>
            <w:tcW w:w="86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56,347</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-7.1</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-12.8</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Brezilya</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37,267</w:t>
            </w:r>
          </w:p>
        </w:tc>
        <w:tc>
          <w:tcPr>
            <w:tcW w:w="86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32,919</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-4.3</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-11.7</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İsviçre</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105,561</w:t>
            </w:r>
          </w:p>
        </w:tc>
        <w:tc>
          <w:tcPr>
            <w:tcW w:w="86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94,077</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13.3</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-10.9</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Güney Kore</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37,896</w:t>
            </w:r>
          </w:p>
        </w:tc>
        <w:tc>
          <w:tcPr>
            <w:tcW w:w="86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35,774</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4.8</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-5.6</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Amerika</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206,108</w:t>
            </w:r>
          </w:p>
        </w:tc>
        <w:tc>
          <w:tcPr>
            <w:tcW w:w="86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195,685</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7.6</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-5.1</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Çin</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290,446</w:t>
            </w:r>
          </w:p>
        </w:tc>
        <w:tc>
          <w:tcPr>
            <w:tcW w:w="86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278,977</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-1.1</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-3.9</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Rusya</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213,738</w:t>
            </w:r>
          </w:p>
        </w:tc>
        <w:tc>
          <w:tcPr>
            <w:tcW w:w="86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205,458</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6.9</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-3.9</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Hindistan</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37,355</w:t>
            </w:r>
          </w:p>
        </w:tc>
        <w:tc>
          <w:tcPr>
            <w:tcW w:w="86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36,715</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-6.4</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-1.7</w:t>
            </w:r>
          </w:p>
        </w:tc>
      </w:tr>
      <w:tr w:rsidR="002A3650" w:rsidRPr="002A3650" w:rsidTr="00097F4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Türkiye</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48,053</w:t>
            </w:r>
          </w:p>
        </w:tc>
        <w:tc>
          <w:tcPr>
            <w:tcW w:w="86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50,039</w:t>
            </w:r>
          </w:p>
        </w:tc>
        <w:tc>
          <w:tcPr>
            <w:tcW w:w="96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-0.2</w:t>
            </w:r>
          </w:p>
        </w:tc>
        <w:tc>
          <w:tcPr>
            <w:tcW w:w="971"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4.1</w:t>
            </w:r>
          </w:p>
        </w:tc>
      </w:tr>
    </w:tbl>
    <w:p w:rsidR="002A3650" w:rsidRPr="00E52D0C" w:rsidRDefault="002A3650" w:rsidP="002A3650">
      <w:pPr>
        <w:suppressAutoHyphens w:val="0"/>
        <w:spacing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Kaynak: Eurostat</w:t>
      </w:r>
    </w:p>
    <w:p w:rsidR="002A3650" w:rsidRPr="002A3650" w:rsidRDefault="002A3650" w:rsidP="002A3650">
      <w:pPr>
        <w:suppressAutoHyphens w:val="0"/>
        <w:spacing w:line="276" w:lineRule="auto"/>
        <w:jc w:val="both"/>
        <w:rPr>
          <w:rFonts w:asciiTheme="minorHAnsi" w:eastAsiaTheme="minorHAnsi" w:hAnsiTheme="minorHAnsi" w:cstheme="minorBidi"/>
          <w:b/>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Tablo 2. Euro bölgesine ihracat yapan başlıca ülkeler</w:t>
      </w:r>
    </w:p>
    <w:tbl>
      <w:tblPr>
        <w:tblW w:w="5244" w:type="dxa"/>
        <w:tblInd w:w="70" w:type="dxa"/>
        <w:tblCellMar>
          <w:left w:w="70" w:type="dxa"/>
          <w:right w:w="70" w:type="dxa"/>
        </w:tblCellMar>
        <w:tblLook w:val="04A0" w:firstRow="1" w:lastRow="0" w:firstColumn="1" w:lastColumn="0" w:noHBand="0" w:noVBand="1"/>
      </w:tblPr>
      <w:tblGrid>
        <w:gridCol w:w="1275"/>
        <w:gridCol w:w="1134"/>
        <w:gridCol w:w="993"/>
        <w:gridCol w:w="850"/>
        <w:gridCol w:w="992"/>
      </w:tblGrid>
      <w:tr w:rsidR="002A3650" w:rsidRPr="002A3650" w:rsidTr="00097F47">
        <w:trPr>
          <w:trHeight w:val="300"/>
        </w:trPr>
        <w:tc>
          <w:tcPr>
            <w:tcW w:w="1275" w:type="dxa"/>
            <w:tcBorders>
              <w:top w:val="nil"/>
              <w:left w:val="nil"/>
              <w:bottom w:val="nil"/>
              <w:right w:val="nil"/>
            </w:tcBorders>
            <w:shd w:val="clear" w:color="auto" w:fill="auto"/>
            <w:noWrap/>
            <w:vAlign w:val="bottom"/>
            <w:hideMark/>
          </w:tcPr>
          <w:p w:rsidR="002A3650" w:rsidRPr="002A3650" w:rsidRDefault="002A3650" w:rsidP="002A3650">
            <w:pPr>
              <w:suppressAutoHyphens w:val="0"/>
              <w:rPr>
                <w:rFonts w:ascii="Calibri" w:hAnsi="Calibri" w:cs="Times New Roman"/>
                <w:color w:val="000000"/>
                <w:sz w:val="22"/>
                <w:szCs w:val="22"/>
                <w:lang w:eastAsia="tr-TR"/>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color w:val="000000"/>
                <w:sz w:val="22"/>
                <w:szCs w:val="22"/>
                <w:lang w:eastAsia="tr-TR"/>
              </w:rPr>
            </w:pPr>
            <w:r w:rsidRPr="002A3650">
              <w:rPr>
                <w:rFonts w:ascii="Calibri" w:hAnsi="Calibri" w:cs="Times New Roman"/>
                <w:b/>
                <w:bCs/>
                <w:color w:val="000000"/>
                <w:sz w:val="22"/>
                <w:szCs w:val="22"/>
                <w:lang w:eastAsia="tr-TR"/>
              </w:rPr>
              <w:t>İhracat (milyon euro)</w:t>
            </w:r>
            <w:r w:rsidRPr="002A3650">
              <w:rPr>
                <w:rFonts w:ascii="Calibri" w:hAnsi="Calibri" w:cs="Times New Roman"/>
                <w:color w:val="000000"/>
                <w:sz w:val="22"/>
                <w:szCs w:val="22"/>
                <w:lang w:eastAsia="tr-TR"/>
              </w:rPr>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color w:val="000000"/>
                <w:sz w:val="22"/>
                <w:szCs w:val="22"/>
                <w:lang w:eastAsia="tr-TR"/>
              </w:rPr>
            </w:pPr>
            <w:r w:rsidRPr="002A3650">
              <w:rPr>
                <w:rFonts w:ascii="Calibri" w:hAnsi="Calibri" w:cs="Times New Roman"/>
                <w:b/>
                <w:bCs/>
                <w:color w:val="000000"/>
                <w:sz w:val="22"/>
                <w:szCs w:val="22"/>
                <w:lang w:eastAsia="tr-TR"/>
              </w:rPr>
              <w:t>Değişim (yüzde)</w:t>
            </w:r>
            <w:r w:rsidRPr="002A3650">
              <w:rPr>
                <w:rFonts w:ascii="Calibri" w:hAnsi="Calibri" w:cs="Times New Roman"/>
                <w:color w:val="000000"/>
                <w:sz w:val="22"/>
                <w:szCs w:val="22"/>
                <w:lang w:eastAsia="tr-TR"/>
              </w:rPr>
              <w:t> </w:t>
            </w:r>
          </w:p>
        </w:tc>
      </w:tr>
      <w:tr w:rsidR="002A3650" w:rsidRPr="002A3650" w:rsidTr="00097F47">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2012</w:t>
            </w:r>
          </w:p>
        </w:tc>
        <w:tc>
          <w:tcPr>
            <w:tcW w:w="993"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2013</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2012</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2013</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Brezilya</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31,470</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27,655</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-4.4</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-12.1</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Japonya</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49,146</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43,499</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-6.6</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-11.5</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Güney Kore</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27,266</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25,707</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2.7</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-5.7</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Çin</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213,291</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203,434</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-2.3</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-4.6</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Hindistan</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27,586</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26,887</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-8.0</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-2.5</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Çek Cum.</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75,645</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74,704</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-0.1</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-1.2</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Amerika</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150,837</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149,192</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7.3</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-1.1</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İsviçre</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81,395</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81,026</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0.3</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-0.5</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Rusya</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144,031</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144,461</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3.5</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0.3</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İsveç</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52,502</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53,161</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-1.1</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1.3</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Polonya</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71,187</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74,905</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1.2</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5.2</w:t>
            </w:r>
          </w:p>
        </w:tc>
      </w:tr>
      <w:tr w:rsidR="002A3650" w:rsidRPr="002A3650" w:rsidTr="00097F4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bCs/>
                <w:color w:val="000000"/>
                <w:sz w:val="22"/>
                <w:szCs w:val="22"/>
                <w:lang w:eastAsia="tr-TR"/>
              </w:rPr>
            </w:pPr>
            <w:r w:rsidRPr="002A3650">
              <w:rPr>
                <w:rFonts w:ascii="Calibri" w:hAnsi="Calibri" w:cs="Times New Roman"/>
                <w:b/>
                <w:bCs/>
                <w:color w:val="000000"/>
                <w:sz w:val="22"/>
                <w:szCs w:val="22"/>
                <w:lang w:eastAsia="tr-TR"/>
              </w:rPr>
              <w:t>Türkiye</w:t>
            </w:r>
          </w:p>
        </w:tc>
        <w:tc>
          <w:tcPr>
            <w:tcW w:w="113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33,892</w:t>
            </w:r>
          </w:p>
        </w:tc>
        <w:tc>
          <w:tcPr>
            <w:tcW w:w="993"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right"/>
              <w:rPr>
                <w:sz w:val="20"/>
                <w:szCs w:val="20"/>
                <w:lang w:eastAsia="tr-TR"/>
              </w:rPr>
            </w:pPr>
            <w:r w:rsidRPr="002A3650">
              <w:rPr>
                <w:sz w:val="20"/>
                <w:szCs w:val="20"/>
                <w:lang w:eastAsia="tr-TR"/>
              </w:rPr>
              <w:t>35,714</w:t>
            </w:r>
          </w:p>
        </w:tc>
        <w:tc>
          <w:tcPr>
            <w:tcW w:w="850"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-3.2</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5.4</w:t>
            </w:r>
          </w:p>
        </w:tc>
      </w:tr>
    </w:tbl>
    <w:p w:rsidR="002A3650" w:rsidRPr="00E52D0C" w:rsidRDefault="002A3650" w:rsidP="002A3650">
      <w:pPr>
        <w:suppressAutoHyphens w:val="0"/>
        <w:spacing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Kaynak: Eurostat</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097F47" w:rsidRDefault="00097F47" w:rsidP="002A3650">
      <w:pPr>
        <w:suppressAutoHyphens w:val="0"/>
        <w:spacing w:line="276" w:lineRule="auto"/>
        <w:jc w:val="both"/>
        <w:rPr>
          <w:rFonts w:asciiTheme="minorHAnsi" w:eastAsiaTheme="minorHAnsi" w:hAnsiTheme="minorHAnsi" w:cstheme="minorBidi"/>
          <w:b/>
          <w:sz w:val="22"/>
          <w:szCs w:val="22"/>
          <w:lang w:eastAsia="en-US"/>
        </w:rPr>
      </w:pPr>
    </w:p>
    <w:p w:rsidR="00E52D0C" w:rsidRDefault="00E52D0C" w:rsidP="002A3650">
      <w:pPr>
        <w:suppressAutoHyphens w:val="0"/>
        <w:spacing w:line="276" w:lineRule="auto"/>
        <w:jc w:val="both"/>
        <w:rPr>
          <w:rFonts w:asciiTheme="minorHAnsi" w:eastAsiaTheme="minorHAnsi" w:hAnsiTheme="minorHAnsi" w:cstheme="minorBidi"/>
          <w:b/>
          <w:sz w:val="22"/>
          <w:szCs w:val="22"/>
          <w:lang w:eastAsia="en-US"/>
        </w:rPr>
      </w:pPr>
    </w:p>
    <w:p w:rsidR="002A3650" w:rsidRPr="002A3650" w:rsidRDefault="002A3650" w:rsidP="00D04B55">
      <w:pPr>
        <w:suppressAutoHyphens w:val="0"/>
        <w:spacing w:after="100" w:line="276" w:lineRule="auto"/>
        <w:rPr>
          <w:rFonts w:asciiTheme="minorHAnsi" w:eastAsiaTheme="minorHAnsi" w:hAnsiTheme="minorHAnsi" w:cstheme="minorBidi"/>
          <w:b/>
          <w:sz w:val="24"/>
          <w:szCs w:val="24"/>
          <w:lang w:eastAsia="en-US"/>
        </w:rPr>
      </w:pPr>
      <w:r w:rsidRPr="002A3650">
        <w:rPr>
          <w:rFonts w:asciiTheme="minorHAnsi" w:eastAsiaTheme="minorHAnsi" w:hAnsiTheme="minorHAnsi" w:cstheme="minorBidi"/>
          <w:b/>
          <w:sz w:val="24"/>
          <w:szCs w:val="24"/>
          <w:lang w:eastAsia="en-US"/>
        </w:rPr>
        <w:lastRenderedPageBreak/>
        <w:t>İhracatta sektörel ayrışma</w:t>
      </w:r>
    </w:p>
    <w:p w:rsidR="002A3650" w:rsidRPr="002A3650" w:rsidRDefault="002A3650" w:rsidP="00097F47">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 xml:space="preserve">İhracat artışında lokomotif sektörler olan tekstil, giyim ve otomotivin önemli bir payı var ancak bu sektörler dışında kalan ve AB ihracatının yarısından fazlasını oluşturan diğer sektörlerin de ihracatı ve pazar payı arttı. 2013 yılında AB'ye (27 ülke) ihracattaki yüzde 4,1'lik artışa giyim sektöründen 0,7, tekstil sektöründen 0,8, demir-çelik sektöründen 1,1, otomotiv sektörü ihracatından ise 1,7 yüzde puan katkı geldi. En güçlü etkinin otomotiv sektöründen geldiği göze çarpıyor, bu da kısmen AB'nin toparlanmakta olan iki önemli ülkesine, İngiltere ve İspanya'ya yapılan ihracattan kaynaklanıyor. </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Şekil 3. Tekstil, Giyim ve Otomotiv sektörlerinin AB pazarındaki payı</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noProof/>
          <w:sz w:val="22"/>
          <w:szCs w:val="22"/>
          <w:lang w:eastAsia="tr-TR"/>
        </w:rPr>
        <w:drawing>
          <wp:inline distT="0" distB="0" distL="0" distR="0">
            <wp:extent cx="3924300" cy="2343150"/>
            <wp:effectExtent l="19050" t="0" r="0" b="0"/>
            <wp:docPr id="2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327D" w:rsidRPr="004D3FDE" w:rsidRDefault="002A3650" w:rsidP="002A3650">
      <w:pPr>
        <w:suppressAutoHyphens w:val="0"/>
        <w:spacing w:after="100" w:line="276" w:lineRule="auto"/>
        <w:jc w:val="both"/>
        <w:rPr>
          <w:rFonts w:asciiTheme="minorHAnsi" w:eastAsiaTheme="minorHAnsi" w:hAnsiTheme="minorHAnsi" w:cstheme="minorBidi"/>
          <w:lang w:eastAsia="en-US"/>
        </w:rPr>
      </w:pPr>
      <w:r w:rsidRPr="004D3FDE">
        <w:rPr>
          <w:rFonts w:asciiTheme="minorHAnsi" w:eastAsiaTheme="minorHAnsi" w:hAnsiTheme="minorHAnsi" w:cstheme="minorBidi"/>
          <w:lang w:eastAsia="en-US"/>
        </w:rPr>
        <w:t>Kaynak: Eurostat</w:t>
      </w:r>
    </w:p>
    <w:p w:rsidR="00AC6FF9" w:rsidRPr="0081327D" w:rsidRDefault="00AC6FF9" w:rsidP="002A3650">
      <w:pPr>
        <w:suppressAutoHyphens w:val="0"/>
        <w:spacing w:after="100" w:line="276" w:lineRule="auto"/>
        <w:jc w:val="both"/>
        <w:rPr>
          <w:rFonts w:asciiTheme="minorHAnsi" w:eastAsiaTheme="minorHAnsi" w:hAnsiTheme="minorHAnsi" w:cstheme="minorBidi"/>
          <w:sz w:val="20"/>
          <w:szCs w:val="20"/>
          <w:lang w:eastAsia="en-US"/>
        </w:rPr>
      </w:pPr>
    </w:p>
    <w:p w:rsidR="002A3650" w:rsidRPr="002A3650" w:rsidRDefault="002A3650" w:rsidP="002A3650">
      <w:pPr>
        <w:suppressAutoHyphens w:val="0"/>
        <w:spacing w:after="100"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bCs/>
          <w:sz w:val="22"/>
          <w:szCs w:val="22"/>
          <w:lang w:eastAsia="en-US"/>
        </w:rPr>
        <w:t>Şekil 4. Toplam ihracat içinde tekstil, giyim ve otomotiv harici sektörlerin payı (yüzde)</w:t>
      </w:r>
    </w:p>
    <w:p w:rsidR="002A3650" w:rsidRPr="002A3650" w:rsidRDefault="0081327D" w:rsidP="002A3650">
      <w:pPr>
        <w:suppressAutoHyphens w:val="0"/>
        <w:spacing w:after="100" w:line="276" w:lineRule="auto"/>
        <w:jc w:val="both"/>
        <w:rPr>
          <w:rFonts w:asciiTheme="minorHAnsi" w:eastAsiaTheme="minorHAnsi" w:hAnsiTheme="minorHAnsi" w:cstheme="minorBidi"/>
          <w:b/>
          <w:sz w:val="22"/>
          <w:szCs w:val="22"/>
          <w:lang w:eastAsia="en-US"/>
        </w:rPr>
      </w:pPr>
      <w:r w:rsidRPr="0081327D">
        <w:rPr>
          <w:rFonts w:asciiTheme="minorHAnsi" w:eastAsiaTheme="minorHAnsi" w:hAnsiTheme="minorHAnsi" w:cstheme="minorBidi"/>
          <w:b/>
          <w:noProof/>
          <w:sz w:val="22"/>
          <w:szCs w:val="22"/>
          <w:lang w:eastAsia="tr-TR"/>
        </w:rPr>
        <w:drawing>
          <wp:inline distT="0" distB="0" distL="0" distR="0">
            <wp:extent cx="4019550" cy="2447925"/>
            <wp:effectExtent l="0" t="0" r="0" b="0"/>
            <wp:docPr id="9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3650" w:rsidRPr="00E52D0C" w:rsidRDefault="002A3650" w:rsidP="002A3650">
      <w:pPr>
        <w:suppressAutoHyphens w:val="0"/>
        <w:spacing w:after="100"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Kaynak: Eurostat</w:t>
      </w:r>
    </w:p>
    <w:p w:rsidR="00AC6FF9" w:rsidRDefault="00AC6FF9" w:rsidP="002A3650">
      <w:pPr>
        <w:suppressAutoHyphens w:val="0"/>
        <w:spacing w:after="100" w:line="276" w:lineRule="auto"/>
        <w:jc w:val="both"/>
        <w:rPr>
          <w:rFonts w:asciiTheme="minorHAnsi" w:eastAsiaTheme="minorHAnsi" w:hAnsiTheme="minorHAnsi" w:cstheme="minorBidi"/>
          <w:sz w:val="20"/>
          <w:szCs w:val="20"/>
          <w:lang w:eastAsia="en-US"/>
        </w:rPr>
      </w:pPr>
    </w:p>
    <w:p w:rsidR="00AC6FF9" w:rsidRPr="002A3650" w:rsidRDefault="00AC6FF9" w:rsidP="002A3650">
      <w:pPr>
        <w:suppressAutoHyphens w:val="0"/>
        <w:spacing w:after="100" w:line="276" w:lineRule="auto"/>
        <w:jc w:val="both"/>
        <w:rPr>
          <w:rFonts w:asciiTheme="minorHAnsi" w:eastAsiaTheme="minorHAnsi" w:hAnsiTheme="minorHAnsi" w:cstheme="minorBidi"/>
          <w:sz w:val="20"/>
          <w:szCs w:val="20"/>
          <w:lang w:eastAsia="en-US"/>
        </w:rPr>
      </w:pPr>
      <w:r w:rsidRPr="002A3650">
        <w:rPr>
          <w:rFonts w:asciiTheme="minorHAnsi" w:eastAsiaTheme="minorHAnsi" w:hAnsiTheme="minorHAnsi" w:cstheme="minorBidi"/>
          <w:sz w:val="22"/>
          <w:szCs w:val="22"/>
          <w:lang w:eastAsia="en-US"/>
        </w:rPr>
        <w:t>Türkiye'nin Avrupa ihracatında lokomotif sektörler olan tekstil, giyim ve otomotiv sektörlerinin  AB içerisinde toplam pazar payı 2012'de yüzde 14,2'den 2013'de 15,3'e çıktı</w:t>
      </w:r>
      <w:r>
        <w:rPr>
          <w:rFonts w:asciiTheme="minorHAnsi" w:eastAsiaTheme="minorHAnsi" w:hAnsiTheme="minorHAnsi" w:cstheme="minorBidi"/>
          <w:sz w:val="22"/>
          <w:szCs w:val="22"/>
          <w:lang w:eastAsia="en-US"/>
        </w:rPr>
        <w:t xml:space="preserve"> (Şekil 3)</w:t>
      </w:r>
      <w:r w:rsidRPr="002A3650">
        <w:rPr>
          <w:rFonts w:asciiTheme="minorHAnsi" w:eastAsiaTheme="minorHAnsi" w:hAnsiTheme="minorHAnsi" w:cstheme="minorBidi"/>
          <w:sz w:val="22"/>
          <w:szCs w:val="22"/>
          <w:lang w:eastAsia="en-US"/>
        </w:rPr>
        <w:t xml:space="preserve">. Ancak diğer sektörlerin pazar payında da artış olduğunu belirtelim. Bunun yanında Türkiye'nin AB'ye olan ihracatında tekstil, giyim ve otomotiv haricindeki sektörlerin toplam ihracat içerisindeki payı 2003'de </w:t>
      </w:r>
      <w:r w:rsidRPr="002A3650">
        <w:rPr>
          <w:rFonts w:asciiTheme="minorHAnsi" w:eastAsiaTheme="minorHAnsi" w:hAnsiTheme="minorHAnsi" w:cstheme="minorBidi"/>
          <w:sz w:val="22"/>
          <w:szCs w:val="22"/>
          <w:lang w:eastAsia="en-US"/>
        </w:rPr>
        <w:lastRenderedPageBreak/>
        <w:t>yüzde 48'den 2013'de yüzde 56'ya çıkmış durumda (Şekil 4). Diğer sektörlerdeki toplam artış kriz sonrasında lokomotif sektörleri de geride bırakıyor. Şekil 5 sektörel ayrımda bu artışı gösteriyor. Kriz sonrası lokomotif sektörler ile diğer sektörlerin AB'ye yaptıkları ihracat arasındaki makas hızla açılıyor.</w:t>
      </w:r>
    </w:p>
    <w:p w:rsidR="002A3650" w:rsidRPr="002A3650" w:rsidRDefault="002A3650" w:rsidP="002A3650">
      <w:pPr>
        <w:suppressAutoHyphens w:val="0"/>
        <w:spacing w:after="100"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Şekil 5. AB'ye ihracat, sektör ayrımında (milyon euro)</w:t>
      </w:r>
    </w:p>
    <w:p w:rsidR="002A3650" w:rsidRPr="002A3650" w:rsidRDefault="002A3650" w:rsidP="002A3650">
      <w:pPr>
        <w:suppressAutoHyphens w:val="0"/>
        <w:spacing w:after="100"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noProof/>
          <w:sz w:val="22"/>
          <w:szCs w:val="22"/>
          <w:lang w:eastAsia="tr-TR"/>
        </w:rPr>
        <w:drawing>
          <wp:inline distT="0" distB="0" distL="0" distR="0">
            <wp:extent cx="4686300" cy="2809875"/>
            <wp:effectExtent l="0" t="0" r="0" b="0"/>
            <wp:docPr id="3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3650" w:rsidRPr="00E52D0C" w:rsidRDefault="002A3650" w:rsidP="002A3650">
      <w:pPr>
        <w:suppressAutoHyphens w:val="0"/>
        <w:spacing w:after="100"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Kaynak: Eurostat</w:t>
      </w:r>
    </w:p>
    <w:p w:rsidR="0081327D" w:rsidRPr="002A3650" w:rsidRDefault="0081327D" w:rsidP="002A3650">
      <w:pPr>
        <w:suppressAutoHyphens w:val="0"/>
        <w:spacing w:after="100" w:line="276" w:lineRule="auto"/>
        <w:jc w:val="both"/>
        <w:rPr>
          <w:rFonts w:asciiTheme="minorHAnsi" w:eastAsiaTheme="minorHAnsi" w:hAnsiTheme="minorHAnsi" w:cstheme="minorBidi"/>
          <w:sz w:val="20"/>
          <w:szCs w:val="20"/>
          <w:lang w:eastAsia="en-US"/>
        </w:rPr>
      </w:pPr>
    </w:p>
    <w:p w:rsidR="0081327D" w:rsidRPr="002A3650" w:rsidRDefault="0081327D" w:rsidP="0081327D">
      <w:pPr>
        <w:suppressAutoHyphens w:val="0"/>
        <w:spacing w:after="100"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Türkiye'nin AB'ye ihracatı ve AB'de büyüme</w:t>
      </w:r>
    </w:p>
    <w:p w:rsidR="00D04B55" w:rsidRDefault="0081327D" w:rsidP="00D04B55">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Bir çok ekonometrik çalışma Türkiye'nin Avrupa bölgesine ihracat üzerindeki en önemli etkinin gelir etkisi olduğunu ortaya koyuyor. İş çevrimi döngüleri de aynı yönde kuvvetli bir ilişki olduğunu gösteriyor.</w:t>
      </w:r>
      <w:r w:rsidRPr="002A3650">
        <w:rPr>
          <w:rFonts w:asciiTheme="minorHAnsi" w:eastAsiaTheme="minorHAnsi" w:hAnsiTheme="minorHAnsi" w:cstheme="minorBidi"/>
          <w:sz w:val="22"/>
          <w:szCs w:val="22"/>
          <w:vertAlign w:val="superscript"/>
          <w:lang w:eastAsia="en-US"/>
        </w:rPr>
        <w:footnoteReference w:id="4"/>
      </w:r>
      <w:r w:rsidRPr="002A365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Şekil 6</w:t>
      </w:r>
      <w:r w:rsidRPr="002A3650">
        <w:rPr>
          <w:rFonts w:asciiTheme="minorHAnsi" w:eastAsiaTheme="minorHAnsi" w:hAnsiTheme="minorHAnsi" w:cstheme="minorBidi"/>
          <w:sz w:val="22"/>
          <w:szCs w:val="22"/>
          <w:lang w:eastAsia="en-US"/>
        </w:rPr>
        <w:t xml:space="preserve"> Türkiye'nin AB'ye ihracatı ve AB'nin GSYH'ı arasındaki ilişkiyi gösteriyor. Mevsimsellikten arındırılmış seriler Hodrik-Prescott filtresinden geçirildikten sonra arta kalan döngüler incelendiğinde, Türkiye'nin ihracatının AB'nin gelir döngüsünü yakından takip ettiğini ve yaklaşık 1 çeyrek öncüllediği görülüyor.</w:t>
      </w:r>
      <w:r w:rsidRPr="002A3650">
        <w:rPr>
          <w:rFonts w:asciiTheme="minorHAnsi" w:eastAsiaTheme="minorHAnsi" w:hAnsiTheme="minorHAnsi" w:cstheme="minorBidi"/>
          <w:sz w:val="22"/>
          <w:szCs w:val="22"/>
          <w:vertAlign w:val="superscript"/>
          <w:lang w:eastAsia="en-US"/>
        </w:rPr>
        <w:footnoteReference w:id="5"/>
      </w:r>
      <w:r w:rsidRPr="002A3650">
        <w:rPr>
          <w:rFonts w:asciiTheme="minorHAnsi" w:eastAsiaTheme="minorHAnsi" w:hAnsiTheme="minorHAnsi" w:cstheme="minorBidi"/>
          <w:sz w:val="22"/>
          <w:szCs w:val="22"/>
          <w:lang w:eastAsia="en-US"/>
        </w:rPr>
        <w:t xml:space="preserve"> </w:t>
      </w:r>
    </w:p>
    <w:p w:rsidR="00AC6FF9" w:rsidRDefault="00AC6FF9" w:rsidP="00D04B55">
      <w:pPr>
        <w:suppressAutoHyphens w:val="0"/>
        <w:spacing w:after="100" w:line="276" w:lineRule="auto"/>
        <w:jc w:val="both"/>
        <w:rPr>
          <w:rFonts w:asciiTheme="minorHAnsi" w:eastAsiaTheme="minorHAnsi" w:hAnsiTheme="minorHAnsi" w:cstheme="minorBidi"/>
          <w:sz w:val="22"/>
          <w:szCs w:val="22"/>
          <w:lang w:eastAsia="en-US"/>
        </w:rPr>
      </w:pPr>
    </w:p>
    <w:p w:rsidR="00D04B55" w:rsidRPr="002A3650" w:rsidRDefault="00D04B55" w:rsidP="00D04B55">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Seriler arasındaki korelasyon katsayıları da bu gözlemi doğrular nitelikte. Tablo 3 AB'nin yanı sıra Türkiye'nin Avrupa'da en fazla ihracat yaptığı üç ülkenin gelirleri ve Türkiye'nin bu ülkelere yaptığı ihracat arasındaki korelasyon katsayılarını gösteriyor. AB ile olan korelasyonlarda en yüksek katsayı 1 çeyrek gecikmeli seride yer alıyor. İngiltere'de de benzer bir etki göze çarpıyor. Almanya'da da gecikme olmakla beraber katsayılar arasındaki fark biraz daha azalıyor. Hollanda Türkiye'nin en çok ihracat yaptığı Avrupa ülkelerinden biri olmakla beraber korelasyonlar oldukça düşük. Bu durum Hollanda'nın Avrupa'ya dağıtım yapan bir ticaret merkezi olmasından kaynaklanıyor. Buraya ihracatı yapılan mallar diğer ülkelere dağıtılabiliyor. Ancak burada dahi gecikmeli etkiyi görmek mümkün.</w:t>
      </w:r>
    </w:p>
    <w:p w:rsidR="00D04B55" w:rsidRDefault="00D04B55" w:rsidP="002A3650">
      <w:pPr>
        <w:suppressAutoHyphens w:val="0"/>
        <w:spacing w:after="100" w:line="276" w:lineRule="auto"/>
        <w:jc w:val="both"/>
        <w:rPr>
          <w:rFonts w:asciiTheme="minorHAnsi" w:eastAsiaTheme="minorHAnsi" w:hAnsiTheme="minorHAnsi" w:cstheme="minorBidi"/>
          <w:b/>
          <w:sz w:val="22"/>
          <w:szCs w:val="22"/>
          <w:lang w:eastAsia="en-US"/>
        </w:rPr>
      </w:pPr>
    </w:p>
    <w:p w:rsidR="00D04B55" w:rsidRDefault="00D04B55" w:rsidP="002A3650">
      <w:pPr>
        <w:suppressAutoHyphens w:val="0"/>
        <w:spacing w:after="100" w:line="276" w:lineRule="auto"/>
        <w:jc w:val="both"/>
        <w:rPr>
          <w:rFonts w:asciiTheme="minorHAnsi" w:eastAsiaTheme="minorHAnsi" w:hAnsiTheme="minorHAnsi" w:cstheme="minorBidi"/>
          <w:b/>
          <w:sz w:val="22"/>
          <w:szCs w:val="22"/>
          <w:lang w:eastAsia="en-US"/>
        </w:rPr>
      </w:pPr>
    </w:p>
    <w:p w:rsidR="002A3650" w:rsidRPr="002A3650" w:rsidRDefault="002A3650" w:rsidP="002A3650">
      <w:pPr>
        <w:suppressAutoHyphens w:val="0"/>
        <w:spacing w:after="100"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lastRenderedPageBreak/>
        <w:t xml:space="preserve">Şekil </w:t>
      </w:r>
      <w:r w:rsidR="00097F47">
        <w:rPr>
          <w:rFonts w:asciiTheme="minorHAnsi" w:eastAsiaTheme="minorHAnsi" w:hAnsiTheme="minorHAnsi" w:cstheme="minorBidi"/>
          <w:b/>
          <w:sz w:val="22"/>
          <w:szCs w:val="22"/>
          <w:lang w:eastAsia="en-US"/>
        </w:rPr>
        <w:t>6</w:t>
      </w:r>
      <w:r w:rsidRPr="002A3650">
        <w:rPr>
          <w:rFonts w:asciiTheme="minorHAnsi" w:eastAsiaTheme="minorHAnsi" w:hAnsiTheme="minorHAnsi" w:cstheme="minorBidi"/>
          <w:b/>
          <w:sz w:val="22"/>
          <w:szCs w:val="22"/>
          <w:lang w:eastAsia="en-US"/>
        </w:rPr>
        <w:t>. Türkiye'nin A</w:t>
      </w:r>
      <w:r w:rsidR="00D04B55">
        <w:rPr>
          <w:rFonts w:asciiTheme="minorHAnsi" w:eastAsiaTheme="minorHAnsi" w:hAnsiTheme="minorHAnsi" w:cstheme="minorBidi"/>
          <w:b/>
          <w:sz w:val="22"/>
          <w:szCs w:val="22"/>
          <w:lang w:eastAsia="en-US"/>
        </w:rPr>
        <w:t>B</w:t>
      </w:r>
      <w:r w:rsidRPr="002A3650">
        <w:rPr>
          <w:rFonts w:asciiTheme="minorHAnsi" w:eastAsiaTheme="minorHAnsi" w:hAnsiTheme="minorHAnsi" w:cstheme="minorBidi"/>
          <w:b/>
          <w:sz w:val="22"/>
          <w:szCs w:val="22"/>
          <w:lang w:eastAsia="en-US"/>
        </w:rPr>
        <w:t>'y</w:t>
      </w:r>
      <w:r w:rsidR="00D04B55">
        <w:rPr>
          <w:rFonts w:asciiTheme="minorHAnsi" w:eastAsiaTheme="minorHAnsi" w:hAnsiTheme="minorHAnsi" w:cstheme="minorBidi"/>
          <w:b/>
          <w:sz w:val="22"/>
          <w:szCs w:val="22"/>
          <w:lang w:eastAsia="en-US"/>
        </w:rPr>
        <w:t>e</w:t>
      </w:r>
      <w:r w:rsidRPr="002A3650">
        <w:rPr>
          <w:rFonts w:asciiTheme="minorHAnsi" w:eastAsiaTheme="minorHAnsi" w:hAnsiTheme="minorHAnsi" w:cstheme="minorBidi"/>
          <w:b/>
          <w:sz w:val="22"/>
          <w:szCs w:val="22"/>
          <w:lang w:eastAsia="en-US"/>
        </w:rPr>
        <w:t xml:space="preserve"> reel ihracatı ve Avrupa Birliği GSYH'ı arasında çevrimsel ilişki</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noProof/>
          <w:sz w:val="22"/>
          <w:szCs w:val="22"/>
          <w:lang w:eastAsia="tr-TR"/>
        </w:rPr>
        <w:drawing>
          <wp:inline distT="0" distB="0" distL="0" distR="0">
            <wp:extent cx="5410200" cy="2752725"/>
            <wp:effectExtent l="0" t="0" r="0" b="0"/>
            <wp:docPr id="9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3650" w:rsidRPr="00E52D0C" w:rsidRDefault="002A3650" w:rsidP="002A3650">
      <w:pPr>
        <w:suppressAutoHyphens w:val="0"/>
        <w:spacing w:after="100"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Kaynak: Eurostat, Tüik. Not: Hodrick-Prescott filtresi ile</w:t>
      </w:r>
      <w:r w:rsidR="00D04B55" w:rsidRPr="00E52D0C">
        <w:rPr>
          <w:rFonts w:asciiTheme="minorHAnsi" w:eastAsiaTheme="minorHAnsi" w:hAnsiTheme="minorHAnsi" w:cstheme="minorBidi"/>
          <w:lang w:eastAsia="en-US"/>
        </w:rPr>
        <w:t xml:space="preserve"> trendden arındırılmış serilerde</w:t>
      </w:r>
      <w:r w:rsidRPr="00E52D0C">
        <w:rPr>
          <w:rFonts w:asciiTheme="minorHAnsi" w:eastAsiaTheme="minorHAnsi" w:hAnsiTheme="minorHAnsi" w:cstheme="minorBidi"/>
          <w:lang w:eastAsia="en-US"/>
        </w:rPr>
        <w:t xml:space="preserve"> trendden</w:t>
      </w:r>
      <w:r w:rsidR="00D04B55" w:rsidRPr="00E52D0C">
        <w:rPr>
          <w:rFonts w:asciiTheme="minorHAnsi" w:eastAsiaTheme="minorHAnsi" w:hAnsiTheme="minorHAnsi" w:cstheme="minorBidi"/>
          <w:lang w:eastAsia="en-US"/>
        </w:rPr>
        <w:t xml:space="preserve"> yüzde</w:t>
      </w:r>
      <w:r w:rsidRPr="00E52D0C">
        <w:rPr>
          <w:rFonts w:asciiTheme="minorHAnsi" w:eastAsiaTheme="minorHAnsi" w:hAnsiTheme="minorHAnsi" w:cstheme="minorBidi"/>
          <w:lang w:eastAsia="en-US"/>
        </w:rPr>
        <w:t xml:space="preserve"> sapmalar.</w:t>
      </w:r>
    </w:p>
    <w:p w:rsidR="00D04B55" w:rsidRDefault="00D04B55" w:rsidP="002A3650">
      <w:pPr>
        <w:suppressAutoHyphens w:val="0"/>
        <w:jc w:val="both"/>
        <w:rPr>
          <w:rFonts w:asciiTheme="minorHAnsi" w:eastAsiaTheme="minorHAnsi" w:hAnsiTheme="minorHAnsi" w:cstheme="minorBidi"/>
          <w:b/>
          <w:sz w:val="22"/>
          <w:szCs w:val="22"/>
          <w:lang w:eastAsia="en-US"/>
        </w:rPr>
      </w:pPr>
    </w:p>
    <w:p w:rsidR="002A3650" w:rsidRPr="002A3650" w:rsidRDefault="002A3650" w:rsidP="002A3650">
      <w:pPr>
        <w:suppressAutoHyphens w:val="0"/>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Tablo 3. Avrupa'da GSYH ve Türkiye'nin AB'ye reel ihracatı arasında korelasyonlar</w:t>
      </w:r>
    </w:p>
    <w:tbl>
      <w:tblPr>
        <w:tblW w:w="65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1098"/>
        <w:gridCol w:w="1099"/>
        <w:gridCol w:w="1098"/>
        <w:gridCol w:w="1099"/>
      </w:tblGrid>
      <w:tr w:rsidR="002A3650" w:rsidRPr="002A3650" w:rsidTr="00097F47">
        <w:trPr>
          <w:trHeight w:val="300"/>
        </w:trPr>
        <w:tc>
          <w:tcPr>
            <w:tcW w:w="2126" w:type="dxa"/>
            <w:shd w:val="clear" w:color="auto" w:fill="auto"/>
            <w:noWrap/>
            <w:vAlign w:val="bottom"/>
            <w:hideMark/>
          </w:tcPr>
          <w:p w:rsidR="002A3650" w:rsidRPr="002A3650" w:rsidRDefault="002A3650" w:rsidP="002A3650">
            <w:pPr>
              <w:suppressAutoHyphens w:val="0"/>
              <w:rPr>
                <w:rFonts w:ascii="Calibri" w:hAnsi="Calibri" w:cs="Times New Roman"/>
                <w:color w:val="000000"/>
                <w:sz w:val="22"/>
                <w:szCs w:val="22"/>
                <w:lang w:eastAsia="tr-TR"/>
              </w:rPr>
            </w:pPr>
          </w:p>
        </w:tc>
        <w:tc>
          <w:tcPr>
            <w:tcW w:w="1098" w:type="dxa"/>
            <w:shd w:val="clear" w:color="auto" w:fill="auto"/>
            <w:noWrap/>
            <w:vAlign w:val="bottom"/>
            <w:hideMark/>
          </w:tcPr>
          <w:p w:rsidR="002A3650" w:rsidRPr="002A3650" w:rsidRDefault="002A3650" w:rsidP="002A3650">
            <w:pPr>
              <w:suppressAutoHyphens w:val="0"/>
              <w:jc w:val="center"/>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AB</w:t>
            </w:r>
          </w:p>
        </w:tc>
        <w:tc>
          <w:tcPr>
            <w:tcW w:w="1099" w:type="dxa"/>
            <w:shd w:val="clear" w:color="auto" w:fill="auto"/>
            <w:noWrap/>
            <w:vAlign w:val="bottom"/>
            <w:hideMark/>
          </w:tcPr>
          <w:p w:rsidR="002A3650" w:rsidRPr="002A3650" w:rsidRDefault="002A3650" w:rsidP="002A3650">
            <w:pPr>
              <w:suppressAutoHyphens w:val="0"/>
              <w:jc w:val="center"/>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Almanya</w:t>
            </w:r>
          </w:p>
        </w:tc>
        <w:tc>
          <w:tcPr>
            <w:tcW w:w="1098" w:type="dxa"/>
            <w:shd w:val="clear" w:color="auto" w:fill="auto"/>
            <w:noWrap/>
            <w:vAlign w:val="bottom"/>
            <w:hideMark/>
          </w:tcPr>
          <w:p w:rsidR="002A3650" w:rsidRPr="002A3650" w:rsidRDefault="002A3650" w:rsidP="002A3650">
            <w:pPr>
              <w:suppressAutoHyphens w:val="0"/>
              <w:jc w:val="center"/>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Hollanda</w:t>
            </w:r>
          </w:p>
        </w:tc>
        <w:tc>
          <w:tcPr>
            <w:tcW w:w="1099" w:type="dxa"/>
            <w:shd w:val="clear" w:color="auto" w:fill="auto"/>
            <w:noWrap/>
            <w:vAlign w:val="bottom"/>
            <w:hideMark/>
          </w:tcPr>
          <w:p w:rsidR="002A3650" w:rsidRPr="002A3650" w:rsidRDefault="002A3650" w:rsidP="002A3650">
            <w:pPr>
              <w:suppressAutoHyphens w:val="0"/>
              <w:jc w:val="center"/>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İngiltere</w:t>
            </w:r>
          </w:p>
        </w:tc>
      </w:tr>
      <w:tr w:rsidR="002A3650" w:rsidRPr="002A3650" w:rsidTr="00097F47">
        <w:trPr>
          <w:trHeight w:val="300"/>
        </w:trPr>
        <w:tc>
          <w:tcPr>
            <w:tcW w:w="2126" w:type="dxa"/>
            <w:shd w:val="clear" w:color="auto" w:fill="auto"/>
            <w:noWrap/>
            <w:vAlign w:val="bottom"/>
            <w:hideMark/>
          </w:tcPr>
          <w:p w:rsidR="002A3650" w:rsidRPr="002A3650" w:rsidRDefault="002A3650" w:rsidP="002A3650">
            <w:pPr>
              <w:suppressAutoHyphens w:val="0"/>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2 çeyrek gecikmeli</w:t>
            </w:r>
          </w:p>
        </w:tc>
        <w:tc>
          <w:tcPr>
            <w:tcW w:w="1098"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0.92</w:t>
            </w:r>
          </w:p>
        </w:tc>
        <w:tc>
          <w:tcPr>
            <w:tcW w:w="1099"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0.77</w:t>
            </w:r>
          </w:p>
        </w:tc>
        <w:tc>
          <w:tcPr>
            <w:tcW w:w="1098"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0.51</w:t>
            </w:r>
          </w:p>
        </w:tc>
        <w:tc>
          <w:tcPr>
            <w:tcW w:w="1099"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0.92</w:t>
            </w:r>
          </w:p>
        </w:tc>
      </w:tr>
      <w:tr w:rsidR="002A3650" w:rsidRPr="002A3650" w:rsidTr="00097F47">
        <w:trPr>
          <w:trHeight w:val="300"/>
        </w:trPr>
        <w:tc>
          <w:tcPr>
            <w:tcW w:w="2126" w:type="dxa"/>
            <w:shd w:val="clear" w:color="auto" w:fill="auto"/>
            <w:noWrap/>
            <w:vAlign w:val="bottom"/>
            <w:hideMark/>
          </w:tcPr>
          <w:p w:rsidR="002A3650" w:rsidRPr="002A3650" w:rsidRDefault="002A3650" w:rsidP="002A3650">
            <w:pPr>
              <w:suppressAutoHyphens w:val="0"/>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1 çeyrek gecikmeli</w:t>
            </w:r>
          </w:p>
        </w:tc>
        <w:tc>
          <w:tcPr>
            <w:tcW w:w="1098"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0.95</w:t>
            </w:r>
          </w:p>
        </w:tc>
        <w:tc>
          <w:tcPr>
            <w:tcW w:w="1099"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0.85</w:t>
            </w:r>
          </w:p>
        </w:tc>
        <w:tc>
          <w:tcPr>
            <w:tcW w:w="1098"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0.50</w:t>
            </w:r>
          </w:p>
        </w:tc>
        <w:tc>
          <w:tcPr>
            <w:tcW w:w="1099"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0.90</w:t>
            </w:r>
          </w:p>
        </w:tc>
      </w:tr>
      <w:tr w:rsidR="002A3650" w:rsidRPr="002A3650" w:rsidTr="00097F47">
        <w:trPr>
          <w:trHeight w:val="300"/>
        </w:trPr>
        <w:tc>
          <w:tcPr>
            <w:tcW w:w="2126" w:type="dxa"/>
            <w:shd w:val="clear" w:color="auto" w:fill="auto"/>
            <w:noWrap/>
            <w:vAlign w:val="bottom"/>
            <w:hideMark/>
          </w:tcPr>
          <w:p w:rsidR="002A3650" w:rsidRPr="002A3650" w:rsidRDefault="002A3650" w:rsidP="002A3650">
            <w:pPr>
              <w:suppressAutoHyphens w:val="0"/>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Eş zamanlı</w:t>
            </w:r>
          </w:p>
        </w:tc>
        <w:tc>
          <w:tcPr>
            <w:tcW w:w="1098"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0.84</w:t>
            </w:r>
          </w:p>
        </w:tc>
        <w:tc>
          <w:tcPr>
            <w:tcW w:w="1099"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0.79</w:t>
            </w:r>
          </w:p>
        </w:tc>
        <w:tc>
          <w:tcPr>
            <w:tcW w:w="1098"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0.40</w:t>
            </w:r>
          </w:p>
        </w:tc>
        <w:tc>
          <w:tcPr>
            <w:tcW w:w="1099"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0.78</w:t>
            </w:r>
          </w:p>
        </w:tc>
      </w:tr>
      <w:tr w:rsidR="002A3650" w:rsidRPr="002A3650" w:rsidTr="00097F47">
        <w:trPr>
          <w:trHeight w:val="300"/>
        </w:trPr>
        <w:tc>
          <w:tcPr>
            <w:tcW w:w="2126" w:type="dxa"/>
            <w:shd w:val="clear" w:color="auto" w:fill="auto"/>
            <w:noWrap/>
            <w:vAlign w:val="bottom"/>
            <w:hideMark/>
          </w:tcPr>
          <w:p w:rsidR="002A3650" w:rsidRPr="002A3650" w:rsidRDefault="002A3650" w:rsidP="002A3650">
            <w:pPr>
              <w:suppressAutoHyphens w:val="0"/>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1 çeyrek öncüllemeli</w:t>
            </w:r>
          </w:p>
        </w:tc>
        <w:tc>
          <w:tcPr>
            <w:tcW w:w="1098"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0.64</w:t>
            </w:r>
          </w:p>
        </w:tc>
        <w:tc>
          <w:tcPr>
            <w:tcW w:w="1099"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0.64</w:t>
            </w:r>
          </w:p>
        </w:tc>
        <w:tc>
          <w:tcPr>
            <w:tcW w:w="1098"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0.29</w:t>
            </w:r>
          </w:p>
        </w:tc>
        <w:tc>
          <w:tcPr>
            <w:tcW w:w="1099" w:type="dxa"/>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0.56</w:t>
            </w:r>
          </w:p>
        </w:tc>
      </w:tr>
    </w:tbl>
    <w:p w:rsidR="002A3650" w:rsidRPr="00E52D0C" w:rsidRDefault="002A3650" w:rsidP="002A3650">
      <w:pPr>
        <w:suppressAutoHyphens w:val="0"/>
        <w:spacing w:after="100"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Kaynak: Eurostat, Tüik, Betam hesaplamaları.</w:t>
      </w:r>
    </w:p>
    <w:p w:rsidR="00097F47" w:rsidRPr="002A3650" w:rsidRDefault="00097F47" w:rsidP="002A3650">
      <w:pPr>
        <w:suppressAutoHyphens w:val="0"/>
        <w:spacing w:after="100"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Bu durumda Türkiye'nin ihracatının AB büyümesini 1 çeyrek kadar öncüllediğini söyleyebiliriz. Ülkelerin büyüme ithalat ilişkisinde, ithalatın genelde önden gittiğini ve büyümenin öncü göstergelerinden biri olduğunu düşündüğümüzde bu durum çok da şaşırtıcı değil. Türkiye'nin ihracatının yüksek olduğu dönemler, AB'de büyümenin hızlandığına ve hızlanacağına işaret ediyor. Bu durumda Avrupa için beklenen büyümenin Türkiye'nin bu bölgeye ihracatı açısından oldukça önemli olduğunu söyleyebiliriz.</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 xml:space="preserve">Gerek Tablo 1'deki korelasyonlar, gerekse yukarıdaki şekiller büyüme ve ihracat arasında güçlü bir ilişki olduğunu gösteriyor. Bu ilişki 2003 yılından itibaren Türkiye'nin artmaya başlayan pazar payının stabilize olmasıyla daha da kuvvetleniyor. Burada akıllara "peki kurun hiç mi etkisi yok?" sorusu gelebilir. Türkiye'nin ihracatında gelir etkisinin kur etkisinden çok daha güçlü olduğunu gösteren bir çok çalışma bulunmaktadır. Bu çalışmaların çoğunluğunda gelir esnekliğine dair katsayılar 1'den büyük (elastik), kur için esneklik katsayıları ise 1'den küçüktür (elastik değil). </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Gelir esneklikleri çalışmalara göre farklılık göstermektedir. Türkiye ihracatının küresel talebe olan elastikiyetini ölçen çalışmalarda gelir esnekliği 0,9 ila 3,4 arasında değişmektedir.</w:t>
      </w:r>
      <w:r w:rsidRPr="002A3650">
        <w:rPr>
          <w:rFonts w:asciiTheme="minorHAnsi" w:eastAsiaTheme="minorHAnsi" w:hAnsiTheme="minorHAnsi" w:cstheme="minorBidi"/>
          <w:sz w:val="22"/>
          <w:szCs w:val="22"/>
          <w:vertAlign w:val="superscript"/>
          <w:lang w:eastAsia="en-US"/>
        </w:rPr>
        <w:footnoteReference w:id="6"/>
      </w:r>
      <w:r w:rsidRPr="002A3650">
        <w:rPr>
          <w:rFonts w:asciiTheme="minorHAnsi" w:eastAsiaTheme="minorHAnsi" w:hAnsiTheme="minorHAnsi" w:cstheme="minorBidi"/>
          <w:sz w:val="22"/>
          <w:szCs w:val="22"/>
          <w:lang w:eastAsia="en-US"/>
        </w:rPr>
        <w:t xml:space="preserve"> Berument, Dincer, Mustafaoğlu (2014) ise Türkiye ihracatında önemli yer tutan belli başlı ülkeler için gelir esnekliğini </w:t>
      </w:r>
      <w:r w:rsidRPr="002A3650">
        <w:rPr>
          <w:rFonts w:asciiTheme="minorHAnsi" w:eastAsiaTheme="minorHAnsi" w:hAnsiTheme="minorHAnsi" w:cstheme="minorBidi"/>
          <w:sz w:val="22"/>
          <w:szCs w:val="22"/>
          <w:lang w:eastAsia="en-US"/>
        </w:rPr>
        <w:lastRenderedPageBreak/>
        <w:t>sektör ayrımında incelemektedir.</w:t>
      </w:r>
      <w:r w:rsidRPr="002A3650">
        <w:rPr>
          <w:rFonts w:asciiTheme="minorHAnsi" w:eastAsiaTheme="minorHAnsi" w:hAnsiTheme="minorHAnsi" w:cstheme="minorBidi"/>
          <w:sz w:val="22"/>
          <w:szCs w:val="22"/>
          <w:vertAlign w:val="superscript"/>
          <w:lang w:eastAsia="en-US"/>
        </w:rPr>
        <w:footnoteReference w:id="7"/>
      </w:r>
      <w:r w:rsidRPr="002A3650">
        <w:rPr>
          <w:rFonts w:asciiTheme="minorHAnsi" w:eastAsiaTheme="minorHAnsi" w:hAnsiTheme="minorHAnsi" w:cstheme="minorBidi"/>
          <w:sz w:val="22"/>
          <w:szCs w:val="22"/>
          <w:lang w:eastAsia="en-US"/>
        </w:rPr>
        <w:t xml:space="preserve"> Bu çalışmaya göre en yüksek esneklik oranları otomotiv, elektrikli aletler, radyo-televizyon gibi alt sektörlerde görülmekte, gıda ihracatının gelir esnekliği oldukça düşükken, tekstil ve giyim sektörlerinin esneklik katsayıları ülkelere göre farklılaşmaktadır. </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Yalnızca Avrupa'ya yapılan ihracat incelendiğinde Çulha ve Kalafatçılar (2014) Euro bölgesi gelir elastikiyetini 5,3 olarak ölçmektedir. Bir başka deyişle Euro bölgesinde GSYH'ın yüzde 1 kadar artması Türkiye'nin bu bölgeye olan ihracatını yüzde 5,3 oranında artırmaktadır.</w:t>
      </w:r>
      <w:r w:rsidRPr="002A3650">
        <w:rPr>
          <w:rFonts w:asciiTheme="minorHAnsi" w:eastAsiaTheme="minorHAnsi" w:hAnsiTheme="minorHAnsi" w:cstheme="minorBidi"/>
          <w:sz w:val="22"/>
          <w:szCs w:val="22"/>
          <w:vertAlign w:val="superscript"/>
          <w:lang w:eastAsia="en-US"/>
        </w:rPr>
        <w:footnoteReference w:id="8"/>
      </w:r>
      <w:r w:rsidRPr="002A3650">
        <w:rPr>
          <w:rFonts w:asciiTheme="minorHAnsi" w:eastAsiaTheme="minorHAnsi" w:hAnsiTheme="minorHAnsi" w:cstheme="minorBidi"/>
          <w:sz w:val="22"/>
          <w:szCs w:val="22"/>
          <w:lang w:eastAsia="en-US"/>
        </w:rPr>
        <w:t xml:space="preserve"> Çalışmada reel kurun Avrupa bölgesine ihracatında önemli bir etkisi bulunamamıştır.  Tablo 4 AB ve Euro bölgesi için 2002-2013 yılları arası ortalama büyüme oranlarını ve bu bölgelere Türkiye'nin yaptığı reel ihracatın yıllık ortalama artışlarını gösteriyor. Esnekliğin basit bir ölçüsü olarak reel ihracat artışlarının bölgedeki büyümeye oranı hesaplandığında, esnekliklerin ekonometrik çalışmalardakine benzer şekilde yüzde 5 civarında olduğu görülüyor.</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Tablo 4. 2002-2013 arasında AB ve Euro bölgesine ihracat ve büyüme (yüzde değişim)</w:t>
      </w:r>
    </w:p>
    <w:tbl>
      <w:tblPr>
        <w:tblW w:w="6237" w:type="dxa"/>
        <w:tblInd w:w="354" w:type="dxa"/>
        <w:tblLayout w:type="fixed"/>
        <w:tblCellMar>
          <w:left w:w="70" w:type="dxa"/>
          <w:right w:w="70" w:type="dxa"/>
        </w:tblCellMar>
        <w:tblLook w:val="04A0" w:firstRow="1" w:lastRow="0" w:firstColumn="1" w:lastColumn="0" w:noHBand="0" w:noVBand="1"/>
      </w:tblPr>
      <w:tblGrid>
        <w:gridCol w:w="2261"/>
        <w:gridCol w:w="1424"/>
        <w:gridCol w:w="1276"/>
        <w:gridCol w:w="1276"/>
      </w:tblGrid>
      <w:tr w:rsidR="002A3650" w:rsidRPr="002A3650" w:rsidTr="001C2736">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center"/>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 xml:space="preserve">Reel ihracat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center"/>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Büyüme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3650" w:rsidRPr="002A3650" w:rsidRDefault="002A3650" w:rsidP="002A3650">
            <w:pPr>
              <w:suppressAutoHyphens w:val="0"/>
              <w:jc w:val="center"/>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Esneklik</w:t>
            </w:r>
          </w:p>
        </w:tc>
      </w:tr>
      <w:tr w:rsidR="002A3650" w:rsidRPr="002A3650" w:rsidTr="001C2736">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AB27</w:t>
            </w:r>
          </w:p>
        </w:tc>
        <w:tc>
          <w:tcPr>
            <w:tcW w:w="142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44372D">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5.2</w:t>
            </w:r>
          </w:p>
        </w:tc>
        <w:tc>
          <w:tcPr>
            <w:tcW w:w="1276"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1.1</w:t>
            </w:r>
          </w:p>
        </w:tc>
        <w:tc>
          <w:tcPr>
            <w:tcW w:w="1276"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4.8</w:t>
            </w:r>
          </w:p>
        </w:tc>
      </w:tr>
      <w:tr w:rsidR="002A3650" w:rsidRPr="002A3650" w:rsidTr="001C2736">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Calibri" w:hAnsi="Calibri" w:cs="Times New Roman"/>
                <w:b/>
                <w:color w:val="000000"/>
                <w:sz w:val="22"/>
                <w:szCs w:val="22"/>
                <w:lang w:eastAsia="tr-TR"/>
              </w:rPr>
            </w:pPr>
            <w:r w:rsidRPr="002A3650">
              <w:rPr>
                <w:rFonts w:ascii="Calibri" w:hAnsi="Calibri" w:cs="Times New Roman"/>
                <w:b/>
                <w:color w:val="000000"/>
                <w:sz w:val="22"/>
                <w:szCs w:val="22"/>
                <w:lang w:eastAsia="tr-TR"/>
              </w:rPr>
              <w:t>Euro17 bölgesi</w:t>
            </w:r>
          </w:p>
        </w:tc>
        <w:tc>
          <w:tcPr>
            <w:tcW w:w="1424" w:type="dxa"/>
            <w:tcBorders>
              <w:top w:val="nil"/>
              <w:left w:val="nil"/>
              <w:bottom w:val="single" w:sz="4" w:space="0" w:color="auto"/>
              <w:right w:val="single" w:sz="4" w:space="0" w:color="auto"/>
            </w:tcBorders>
            <w:shd w:val="clear" w:color="auto" w:fill="auto"/>
            <w:noWrap/>
            <w:vAlign w:val="center"/>
            <w:hideMark/>
          </w:tcPr>
          <w:p w:rsidR="002A3650" w:rsidRPr="002A3650" w:rsidRDefault="002A3650" w:rsidP="0044372D">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4.5</w:t>
            </w:r>
          </w:p>
        </w:tc>
        <w:tc>
          <w:tcPr>
            <w:tcW w:w="1276"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0.8</w:t>
            </w:r>
          </w:p>
        </w:tc>
        <w:tc>
          <w:tcPr>
            <w:tcW w:w="1276"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rFonts w:ascii="Calibri" w:hAnsi="Calibri" w:cs="Times New Roman"/>
                <w:color w:val="000000"/>
                <w:sz w:val="22"/>
                <w:szCs w:val="22"/>
                <w:lang w:eastAsia="tr-TR"/>
              </w:rPr>
            </w:pPr>
            <w:r w:rsidRPr="002A3650">
              <w:rPr>
                <w:rFonts w:ascii="Calibri" w:hAnsi="Calibri" w:cs="Times New Roman"/>
                <w:color w:val="000000"/>
                <w:sz w:val="22"/>
                <w:szCs w:val="22"/>
                <w:lang w:eastAsia="tr-TR"/>
              </w:rPr>
              <w:t>5.5</w:t>
            </w:r>
          </w:p>
        </w:tc>
      </w:tr>
    </w:tbl>
    <w:p w:rsidR="002A3650" w:rsidRPr="00E52D0C" w:rsidRDefault="002A3650" w:rsidP="00D04B55">
      <w:pPr>
        <w:suppressAutoHyphens w:val="0"/>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 xml:space="preserve">Kaynak: Tuik, Eurostat, Betam hesaplamaları. Not: Esneklik ortalama yıllık ihracat artışlarının ortalama yıllık büyüme oranına oranı olarak hesaplanmıştır. </w:t>
      </w:r>
      <w:r w:rsidR="0044372D" w:rsidRPr="00E52D0C">
        <w:rPr>
          <w:rFonts w:asciiTheme="minorHAnsi" w:eastAsiaTheme="minorHAnsi" w:hAnsiTheme="minorHAnsi" w:cstheme="minorBidi"/>
          <w:lang w:eastAsia="en-US"/>
        </w:rPr>
        <w:t>Reel ihracat nominal ihracatın genel ihracat birim endeksi ile düzeltilmesi ile elde edilmiştir.</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Avrupa Komisyonu tarafından hazırlanan tahminlere göre AB'nin 2014 yılında yüzde 1,6 oranında büyümesi bekleniyor.</w:t>
      </w:r>
      <w:r w:rsidRPr="002A3650">
        <w:rPr>
          <w:rFonts w:asciiTheme="minorHAnsi" w:eastAsiaTheme="minorHAnsi" w:hAnsiTheme="minorHAnsi" w:cstheme="minorBidi"/>
          <w:sz w:val="22"/>
          <w:szCs w:val="22"/>
          <w:vertAlign w:val="superscript"/>
          <w:lang w:eastAsia="en-US"/>
        </w:rPr>
        <w:footnoteReference w:id="9"/>
      </w:r>
      <w:r w:rsidRPr="002A3650">
        <w:rPr>
          <w:rFonts w:asciiTheme="minorHAnsi" w:eastAsiaTheme="minorHAnsi" w:hAnsiTheme="minorHAnsi" w:cstheme="minorBidi"/>
          <w:sz w:val="22"/>
          <w:szCs w:val="22"/>
          <w:lang w:eastAsia="en-US"/>
        </w:rPr>
        <w:t xml:space="preserve"> 2013 yılında büyüme yüzde 0.1 olmuştu. AB ülkelerinin büyüme beklentileri Türkiye'nin bu ülkelere olan ihracat payına göre ağırlıklandırıldığında, Avrupa ihracat pazarımızda bir önceki yıla kıyasla beklenen büyüme artışını yüzde 1,67 olarak hesaplıyoruz. Yukarıdaki esneklik katsayıları dikkate alındığında bu artış Türkiye'nin AB'ye ihracatını yaklaşık yüzde 8,4 oranında artıracak ve toplam ihracat artışına 3,5 yüzde puan katkı yapacaktır. Betam tahminlerine göre ihracattaki bu artışın büyümeye katkısı ise yaklaşık 0,46 yüzde puan olacak. Diğer bir deyişle AB ekonomisinde 2014'de beklenen canlanma görülürse bunun ihracat üzerinden Türkiye büyümesine katkısı yaklaşık yarım yüzde puan olacak. Elbette bu büyümenin diğer harcamalar üzerinde yayılma etkisi ile beraber toplam büyümeyi daha da yukarı çekmesi beklenebilir. Ayrıca Avrupa dışındaki bölgelere yapılan ihracatta artışların devam etmesi toplam ihracatın büyümeye katkısını daha yüksek seviyelere çekecektir. Burada yalnızca Avrupa'daki canlanmanın ihracat kanalıyla büyüme üzerindeki eşzamanlı etkisi göz önüne alınmıştır. </w:t>
      </w:r>
    </w:p>
    <w:p w:rsid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D04B55" w:rsidRPr="002A3650" w:rsidRDefault="00D04B55"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2014 yılı büyümesi</w:t>
      </w:r>
    </w:p>
    <w:p w:rsidR="001416EE" w:rsidRDefault="001416EE"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2014 yılında Türkiye için özellikle yılın başında oldukça karamsar tahminler yapılmıştı. Özellikle ilk çeyrekte ciddi bir daralma beklentisi yaygındı. Ancak ihracattan gelen destek büyümenin önemli göstergelerinden olan sanayi üretim endeksinin ilk çeyrekte güçlü bir şekilde artırdı. Bunu takiben büyüme beklentileri bir miktar daha olumlu hale geldi.</w:t>
      </w:r>
      <w:r w:rsidRPr="002A3650">
        <w:rPr>
          <w:rFonts w:asciiTheme="minorHAnsi" w:eastAsiaTheme="minorHAnsi" w:hAnsiTheme="minorHAnsi" w:cstheme="minorBidi"/>
          <w:sz w:val="22"/>
          <w:szCs w:val="22"/>
          <w:vertAlign w:val="superscript"/>
          <w:lang w:eastAsia="en-US"/>
        </w:rPr>
        <w:footnoteReference w:id="10"/>
      </w:r>
      <w:r w:rsidRPr="002A3650">
        <w:rPr>
          <w:rFonts w:asciiTheme="minorHAnsi" w:eastAsiaTheme="minorHAnsi" w:hAnsiTheme="minorHAnsi" w:cstheme="minorBidi"/>
          <w:sz w:val="22"/>
          <w:szCs w:val="22"/>
          <w:lang w:eastAsia="en-US"/>
        </w:rPr>
        <w:t xml:space="preserve"> Uluslararası kuruluşların resmi tahminleri ise hala yüzde 3'ün altında kalmaya devam ediyor. OECD'nin Türkiye için Mayıs ayında yaptığı son tahmin yüzde 2,8 seviyesinde. IMF yüzde 2,3, Dünya Bankası ise yüzde 2,4 büyüme bekliyor. Biz Avrupa'da </w:t>
      </w:r>
      <w:r w:rsidRPr="002A3650">
        <w:rPr>
          <w:rFonts w:asciiTheme="minorHAnsi" w:eastAsiaTheme="minorHAnsi" w:hAnsiTheme="minorHAnsi" w:cstheme="minorBidi"/>
          <w:sz w:val="22"/>
          <w:szCs w:val="22"/>
          <w:lang w:eastAsia="en-US"/>
        </w:rPr>
        <w:lastRenderedPageBreak/>
        <w:t>ekonomik canlanmanın beklendiği gibi yüzde 1,6 civarında olması durumunda Türkiye'nin yüzde 3'ün üzerinde 3,5 civarında bir büyüme oranına ulaşabileceğini tahmin ediyoruz. İç talepte beklenenden güçlü bir canlanma olması durumunda ise büyüme hedeflenen yüzde 4'e yaklaşabilir. Elbette bu tahminlerin küresel sermaye akımlarında ani duruş ya da tersine akışa neden olacak beklenmedik gelişmeler yaşanmayacağı varsayımı altında geçerli olduğunu hatırlatalım.</w:t>
      </w:r>
    </w:p>
    <w:p w:rsidR="002A3650" w:rsidRPr="002A3650" w:rsidRDefault="002A3650" w:rsidP="002A3650">
      <w:pPr>
        <w:suppressAutoHyphens w:val="0"/>
        <w:spacing w:line="276" w:lineRule="auto"/>
        <w:jc w:val="both"/>
        <w:rPr>
          <w:rFonts w:asciiTheme="minorHAnsi" w:eastAsiaTheme="minorHAnsi" w:hAnsiTheme="minorHAnsi" w:cstheme="minorBidi"/>
          <w:sz w:val="22"/>
          <w:szCs w:val="22"/>
          <w:lang w:eastAsia="en-US"/>
        </w:rPr>
      </w:pPr>
    </w:p>
    <w:p w:rsidR="002A3650" w:rsidRPr="002A3650" w:rsidRDefault="002A3650" w:rsidP="002A3650">
      <w:pPr>
        <w:suppressAutoHyphens w:val="0"/>
        <w:spacing w:after="100"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t>Kaynaklar</w:t>
      </w:r>
    </w:p>
    <w:p w:rsidR="002A3650" w:rsidRPr="002A3650" w:rsidRDefault="002A3650" w:rsidP="002A3650">
      <w:pPr>
        <w:suppressAutoHyphens w:val="0"/>
        <w:spacing w:after="120"/>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Akkoyun, Günay, Şen-Doğan (2012), "Business Cycle Synchronization of Turkey with Euro Area and the US: What Has Changed After 2001?" Merkez Bankası Çalışma Tebliği, 12/15.</w:t>
      </w:r>
    </w:p>
    <w:p w:rsidR="002A3650" w:rsidRPr="002A3650" w:rsidRDefault="002A3650" w:rsidP="002A3650">
      <w:pPr>
        <w:suppressAutoHyphens w:val="0"/>
        <w:spacing w:after="120"/>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Çulha ve Kalafatçılar (2014),"Türkiye'de İhracatın Gelir ve Fiyat Esnekliklerine Bir Bakış: Bölgesel Farklılıkların Önemi," Merkez Bankası Ekonomi Notları, 2014-05.</w:t>
      </w:r>
    </w:p>
    <w:p w:rsidR="002A3650" w:rsidRPr="002A3650" w:rsidRDefault="002A3650" w:rsidP="002A3650">
      <w:pPr>
        <w:suppressAutoHyphens w:val="0"/>
        <w:spacing w:after="120"/>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Kara ve Sarıkaya (2013), "Türkiye’de Konjonktürel Etkilerden Arındırılmış Cari İşlemler Dengesi," Merkez Bankası Çalışma Tebliği No:13/40.</w:t>
      </w:r>
    </w:p>
    <w:p w:rsidR="002A3650" w:rsidRPr="002A3650" w:rsidRDefault="002A3650" w:rsidP="002A3650">
      <w:pPr>
        <w:suppressAutoHyphens w:val="0"/>
        <w:spacing w:after="120"/>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Berument, Dincer, Mustafaoğlu (2014), "External Income Shocks and Turkish Exports: A Sectoral Analysis," Economic Modelling 37, ss 476-484.</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European Economic Forecast, European Economy 3/2014, EU Commission.</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OECD Economic Outlook, Mayıs 2014.</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IMF World Economic Outlook, Nisan 2014.</w:t>
      </w:r>
    </w:p>
    <w:p w:rsidR="002A3650" w:rsidRPr="002A3650" w:rsidRDefault="002A3650" w:rsidP="002A3650">
      <w:pPr>
        <w:suppressAutoHyphens w:val="0"/>
        <w:spacing w:after="100" w:line="276" w:lineRule="auto"/>
        <w:jc w:val="both"/>
        <w:rPr>
          <w:rFonts w:asciiTheme="minorHAnsi" w:eastAsiaTheme="minorHAnsi" w:hAnsiTheme="minorHAnsi" w:cstheme="minorBidi"/>
          <w:sz w:val="22"/>
          <w:szCs w:val="22"/>
          <w:lang w:eastAsia="en-US"/>
        </w:rPr>
      </w:pPr>
      <w:r w:rsidRPr="002A3650">
        <w:rPr>
          <w:rFonts w:asciiTheme="minorHAnsi" w:eastAsiaTheme="minorHAnsi" w:hAnsiTheme="minorHAnsi" w:cstheme="minorBidi"/>
          <w:sz w:val="22"/>
          <w:szCs w:val="22"/>
          <w:lang w:eastAsia="en-US"/>
        </w:rPr>
        <w:t>World Bank, World Economic Outlook, Nisan 2014.</w:t>
      </w:r>
    </w:p>
    <w:p w:rsidR="002A3650" w:rsidRDefault="002A3650" w:rsidP="002A3650">
      <w:pPr>
        <w:suppressAutoHyphens w:val="0"/>
        <w:spacing w:after="100" w:line="276" w:lineRule="auto"/>
        <w:jc w:val="both"/>
        <w:rPr>
          <w:rFonts w:asciiTheme="minorHAnsi" w:eastAsiaTheme="minorHAnsi" w:hAnsiTheme="minorHAnsi" w:cstheme="minorBidi"/>
          <w:b/>
          <w:sz w:val="22"/>
          <w:szCs w:val="22"/>
          <w:lang w:eastAsia="en-US"/>
        </w:rPr>
      </w:pPr>
    </w:p>
    <w:p w:rsidR="0081327D" w:rsidRDefault="0081327D" w:rsidP="002A3650">
      <w:pPr>
        <w:suppressAutoHyphens w:val="0"/>
        <w:spacing w:after="100" w:line="276" w:lineRule="auto"/>
        <w:jc w:val="both"/>
        <w:rPr>
          <w:rFonts w:asciiTheme="minorHAnsi" w:eastAsiaTheme="minorHAnsi" w:hAnsiTheme="minorHAnsi" w:cstheme="minorBidi"/>
          <w:b/>
          <w:sz w:val="22"/>
          <w:szCs w:val="22"/>
          <w:lang w:eastAsia="en-US"/>
        </w:rPr>
      </w:pPr>
    </w:p>
    <w:p w:rsidR="0044372D" w:rsidRDefault="0044372D" w:rsidP="002A3650">
      <w:pPr>
        <w:suppressAutoHyphens w:val="0"/>
        <w:spacing w:after="100" w:line="276" w:lineRule="auto"/>
        <w:jc w:val="both"/>
        <w:rPr>
          <w:rFonts w:asciiTheme="minorHAnsi" w:eastAsiaTheme="minorHAnsi" w:hAnsiTheme="minorHAnsi" w:cstheme="minorBidi"/>
          <w:b/>
          <w:sz w:val="22"/>
          <w:szCs w:val="22"/>
          <w:lang w:eastAsia="en-US"/>
        </w:rPr>
      </w:pPr>
    </w:p>
    <w:p w:rsidR="00AC6FF9" w:rsidRDefault="00AC6FF9" w:rsidP="002A3650">
      <w:pPr>
        <w:suppressAutoHyphens w:val="0"/>
        <w:spacing w:after="100" w:line="276" w:lineRule="auto"/>
        <w:jc w:val="both"/>
        <w:rPr>
          <w:rFonts w:asciiTheme="minorHAnsi" w:eastAsiaTheme="minorHAnsi" w:hAnsiTheme="minorHAnsi" w:cstheme="minorBidi"/>
          <w:b/>
          <w:sz w:val="22"/>
          <w:szCs w:val="22"/>
          <w:lang w:eastAsia="en-US"/>
        </w:rPr>
      </w:pPr>
    </w:p>
    <w:p w:rsidR="00AC6FF9" w:rsidRDefault="00AC6FF9" w:rsidP="002A3650">
      <w:pPr>
        <w:suppressAutoHyphens w:val="0"/>
        <w:spacing w:after="100" w:line="276" w:lineRule="auto"/>
        <w:jc w:val="both"/>
        <w:rPr>
          <w:rFonts w:asciiTheme="minorHAnsi" w:eastAsiaTheme="minorHAnsi" w:hAnsiTheme="minorHAnsi" w:cstheme="minorBidi"/>
          <w:b/>
          <w:sz w:val="22"/>
          <w:szCs w:val="22"/>
          <w:lang w:eastAsia="en-US"/>
        </w:rPr>
      </w:pPr>
    </w:p>
    <w:p w:rsidR="00AC6FF9" w:rsidRDefault="00AC6FF9" w:rsidP="002A3650">
      <w:pPr>
        <w:suppressAutoHyphens w:val="0"/>
        <w:spacing w:after="100" w:line="276" w:lineRule="auto"/>
        <w:jc w:val="both"/>
        <w:rPr>
          <w:rFonts w:asciiTheme="minorHAnsi" w:eastAsiaTheme="minorHAnsi" w:hAnsiTheme="minorHAnsi" w:cstheme="minorBidi"/>
          <w:b/>
          <w:sz w:val="22"/>
          <w:szCs w:val="22"/>
          <w:lang w:eastAsia="en-US"/>
        </w:rPr>
      </w:pPr>
    </w:p>
    <w:p w:rsidR="00AC6FF9" w:rsidRDefault="00AC6FF9" w:rsidP="002A3650">
      <w:pPr>
        <w:suppressAutoHyphens w:val="0"/>
        <w:spacing w:after="100" w:line="276" w:lineRule="auto"/>
        <w:jc w:val="both"/>
        <w:rPr>
          <w:rFonts w:asciiTheme="minorHAnsi" w:eastAsiaTheme="minorHAnsi" w:hAnsiTheme="minorHAnsi" w:cstheme="minorBidi"/>
          <w:b/>
          <w:sz w:val="22"/>
          <w:szCs w:val="22"/>
          <w:lang w:eastAsia="en-US"/>
        </w:rPr>
      </w:pPr>
    </w:p>
    <w:p w:rsidR="00AC6FF9" w:rsidRDefault="00AC6FF9" w:rsidP="002A3650">
      <w:pPr>
        <w:suppressAutoHyphens w:val="0"/>
        <w:spacing w:after="100" w:line="276" w:lineRule="auto"/>
        <w:jc w:val="both"/>
        <w:rPr>
          <w:rFonts w:asciiTheme="minorHAnsi" w:eastAsiaTheme="minorHAnsi" w:hAnsiTheme="minorHAnsi" w:cstheme="minorBidi"/>
          <w:b/>
          <w:sz w:val="22"/>
          <w:szCs w:val="22"/>
          <w:lang w:eastAsia="en-US"/>
        </w:rPr>
      </w:pPr>
    </w:p>
    <w:p w:rsidR="00E52D0C" w:rsidRDefault="00E52D0C" w:rsidP="002A3650">
      <w:pPr>
        <w:suppressAutoHyphens w:val="0"/>
        <w:spacing w:after="100" w:line="276" w:lineRule="auto"/>
        <w:jc w:val="both"/>
        <w:rPr>
          <w:rFonts w:asciiTheme="minorHAnsi" w:eastAsiaTheme="minorHAnsi" w:hAnsiTheme="minorHAnsi" w:cstheme="minorBidi"/>
          <w:b/>
          <w:sz w:val="22"/>
          <w:szCs w:val="22"/>
          <w:lang w:eastAsia="en-US"/>
        </w:rPr>
      </w:pPr>
    </w:p>
    <w:p w:rsidR="00E52D0C" w:rsidRDefault="00E52D0C" w:rsidP="002A3650">
      <w:pPr>
        <w:suppressAutoHyphens w:val="0"/>
        <w:spacing w:after="100" w:line="276" w:lineRule="auto"/>
        <w:jc w:val="both"/>
        <w:rPr>
          <w:rFonts w:asciiTheme="minorHAnsi" w:eastAsiaTheme="minorHAnsi" w:hAnsiTheme="minorHAnsi" w:cstheme="minorBidi"/>
          <w:b/>
          <w:sz w:val="22"/>
          <w:szCs w:val="22"/>
          <w:lang w:eastAsia="en-US"/>
        </w:rPr>
      </w:pPr>
    </w:p>
    <w:p w:rsidR="00E52D0C" w:rsidRDefault="00E52D0C" w:rsidP="002A3650">
      <w:pPr>
        <w:suppressAutoHyphens w:val="0"/>
        <w:spacing w:after="100" w:line="276" w:lineRule="auto"/>
        <w:jc w:val="both"/>
        <w:rPr>
          <w:rFonts w:asciiTheme="minorHAnsi" w:eastAsiaTheme="minorHAnsi" w:hAnsiTheme="minorHAnsi" w:cstheme="minorBidi"/>
          <w:b/>
          <w:sz w:val="22"/>
          <w:szCs w:val="22"/>
          <w:lang w:eastAsia="en-US"/>
        </w:rPr>
      </w:pPr>
    </w:p>
    <w:p w:rsidR="00E52D0C" w:rsidRDefault="00E52D0C" w:rsidP="002A3650">
      <w:pPr>
        <w:suppressAutoHyphens w:val="0"/>
        <w:spacing w:after="100" w:line="276" w:lineRule="auto"/>
        <w:jc w:val="both"/>
        <w:rPr>
          <w:rFonts w:asciiTheme="minorHAnsi" w:eastAsiaTheme="minorHAnsi" w:hAnsiTheme="minorHAnsi" w:cstheme="minorBidi"/>
          <w:b/>
          <w:sz w:val="22"/>
          <w:szCs w:val="22"/>
          <w:lang w:eastAsia="en-US"/>
        </w:rPr>
      </w:pPr>
    </w:p>
    <w:p w:rsidR="00E52D0C" w:rsidRDefault="00E52D0C" w:rsidP="002A3650">
      <w:pPr>
        <w:suppressAutoHyphens w:val="0"/>
        <w:spacing w:after="100" w:line="276" w:lineRule="auto"/>
        <w:jc w:val="both"/>
        <w:rPr>
          <w:rFonts w:asciiTheme="minorHAnsi" w:eastAsiaTheme="minorHAnsi" w:hAnsiTheme="minorHAnsi" w:cstheme="minorBidi"/>
          <w:b/>
          <w:sz w:val="22"/>
          <w:szCs w:val="22"/>
          <w:lang w:eastAsia="en-US"/>
        </w:rPr>
      </w:pPr>
    </w:p>
    <w:p w:rsidR="00E52D0C" w:rsidRDefault="00E52D0C" w:rsidP="002A3650">
      <w:pPr>
        <w:suppressAutoHyphens w:val="0"/>
        <w:spacing w:after="100" w:line="276" w:lineRule="auto"/>
        <w:jc w:val="both"/>
        <w:rPr>
          <w:rFonts w:asciiTheme="minorHAnsi" w:eastAsiaTheme="minorHAnsi" w:hAnsiTheme="minorHAnsi" w:cstheme="minorBidi"/>
          <w:b/>
          <w:sz w:val="22"/>
          <w:szCs w:val="22"/>
          <w:lang w:eastAsia="en-US"/>
        </w:rPr>
      </w:pPr>
    </w:p>
    <w:p w:rsidR="00E52D0C" w:rsidRDefault="00E52D0C" w:rsidP="002A3650">
      <w:pPr>
        <w:suppressAutoHyphens w:val="0"/>
        <w:spacing w:after="100" w:line="276" w:lineRule="auto"/>
        <w:jc w:val="both"/>
        <w:rPr>
          <w:rFonts w:asciiTheme="minorHAnsi" w:eastAsiaTheme="minorHAnsi" w:hAnsiTheme="minorHAnsi" w:cstheme="minorBidi"/>
          <w:b/>
          <w:sz w:val="22"/>
          <w:szCs w:val="22"/>
          <w:lang w:eastAsia="en-US"/>
        </w:rPr>
      </w:pPr>
    </w:p>
    <w:p w:rsidR="00AC6FF9" w:rsidRDefault="00AC6FF9" w:rsidP="002A3650">
      <w:pPr>
        <w:suppressAutoHyphens w:val="0"/>
        <w:spacing w:after="100" w:line="276" w:lineRule="auto"/>
        <w:jc w:val="both"/>
        <w:rPr>
          <w:rFonts w:asciiTheme="minorHAnsi" w:eastAsiaTheme="minorHAnsi" w:hAnsiTheme="minorHAnsi" w:cstheme="minorBidi"/>
          <w:b/>
          <w:sz w:val="22"/>
          <w:szCs w:val="22"/>
          <w:lang w:eastAsia="en-US"/>
        </w:rPr>
      </w:pPr>
    </w:p>
    <w:p w:rsidR="00AC6FF9" w:rsidRDefault="00AC6FF9" w:rsidP="002A3650">
      <w:pPr>
        <w:suppressAutoHyphens w:val="0"/>
        <w:spacing w:after="100" w:line="276" w:lineRule="auto"/>
        <w:jc w:val="both"/>
        <w:rPr>
          <w:rFonts w:asciiTheme="minorHAnsi" w:eastAsiaTheme="minorHAnsi" w:hAnsiTheme="minorHAnsi" w:cstheme="minorBidi"/>
          <w:b/>
          <w:sz w:val="22"/>
          <w:szCs w:val="22"/>
          <w:lang w:eastAsia="en-US"/>
        </w:rPr>
      </w:pPr>
    </w:p>
    <w:p w:rsidR="00AC6FF9" w:rsidRPr="002A3650" w:rsidRDefault="00AC6FF9" w:rsidP="002A3650">
      <w:pPr>
        <w:suppressAutoHyphens w:val="0"/>
        <w:spacing w:after="100" w:line="276" w:lineRule="auto"/>
        <w:jc w:val="both"/>
        <w:rPr>
          <w:rFonts w:asciiTheme="minorHAnsi" w:eastAsiaTheme="minorHAnsi" w:hAnsiTheme="minorHAnsi" w:cstheme="minorBidi"/>
          <w:b/>
          <w:sz w:val="22"/>
          <w:szCs w:val="22"/>
          <w:lang w:eastAsia="en-US"/>
        </w:rPr>
      </w:pPr>
    </w:p>
    <w:p w:rsidR="002A3650" w:rsidRPr="002A3650" w:rsidRDefault="002A3650" w:rsidP="002A3650">
      <w:pPr>
        <w:suppressAutoHyphens w:val="0"/>
        <w:spacing w:after="100" w:line="276" w:lineRule="auto"/>
        <w:jc w:val="both"/>
        <w:rPr>
          <w:rFonts w:asciiTheme="minorHAnsi" w:eastAsiaTheme="minorHAnsi" w:hAnsiTheme="minorHAnsi" w:cstheme="minorBidi"/>
          <w:b/>
          <w:sz w:val="22"/>
          <w:szCs w:val="22"/>
          <w:lang w:eastAsia="en-US"/>
        </w:rPr>
      </w:pPr>
      <w:r w:rsidRPr="002A3650">
        <w:rPr>
          <w:rFonts w:asciiTheme="minorHAnsi" w:eastAsiaTheme="minorHAnsi" w:hAnsiTheme="minorHAnsi" w:cstheme="minorBidi"/>
          <w:b/>
          <w:sz w:val="22"/>
          <w:szCs w:val="22"/>
          <w:lang w:eastAsia="en-US"/>
        </w:rPr>
        <w:lastRenderedPageBreak/>
        <w:t>Ek Tablo. Avrupa Birliği ülkelerinde 2014 büyüme tahminleri</w:t>
      </w:r>
    </w:p>
    <w:tbl>
      <w:tblPr>
        <w:tblW w:w="3969" w:type="dxa"/>
        <w:tblInd w:w="70" w:type="dxa"/>
        <w:tblCellMar>
          <w:left w:w="70" w:type="dxa"/>
          <w:right w:w="70" w:type="dxa"/>
        </w:tblCellMar>
        <w:tblLook w:val="04A0" w:firstRow="1" w:lastRow="0" w:firstColumn="1" w:lastColumn="0" w:noHBand="0" w:noVBand="1"/>
      </w:tblPr>
      <w:tblGrid>
        <w:gridCol w:w="1843"/>
        <w:gridCol w:w="1134"/>
        <w:gridCol w:w="992"/>
      </w:tblGrid>
      <w:tr w:rsidR="002A3650" w:rsidRPr="002A3650" w:rsidTr="00D9458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sz w:val="20"/>
                <w:szCs w:val="20"/>
                <w:lang w:eastAsia="tr-TR"/>
              </w:rPr>
            </w:pPr>
            <w:r w:rsidRPr="002A3650">
              <w:rPr>
                <w:sz w:val="20"/>
                <w:szCs w:val="20"/>
                <w:lang w:eastAsia="tr-TR"/>
              </w:rPr>
              <w:t> </w:t>
            </w:r>
          </w:p>
        </w:tc>
        <w:tc>
          <w:tcPr>
            <w:tcW w:w="1134" w:type="dxa"/>
            <w:tcBorders>
              <w:top w:val="single" w:sz="4" w:space="0" w:color="auto"/>
              <w:left w:val="nil"/>
              <w:bottom w:val="single" w:sz="4" w:space="0" w:color="auto"/>
              <w:right w:val="nil"/>
            </w:tcBorders>
            <w:shd w:val="clear" w:color="auto" w:fill="auto"/>
            <w:noWrap/>
            <w:vAlign w:val="bottom"/>
            <w:hideMark/>
          </w:tcPr>
          <w:p w:rsidR="002A3650" w:rsidRPr="002A3650" w:rsidRDefault="002A3650" w:rsidP="002A3650">
            <w:pPr>
              <w:suppressAutoHyphens w:val="0"/>
              <w:jc w:val="right"/>
              <w:rPr>
                <w:b/>
                <w:bCs/>
                <w:sz w:val="20"/>
                <w:szCs w:val="20"/>
                <w:lang w:eastAsia="tr-TR"/>
              </w:rPr>
            </w:pPr>
            <w:r w:rsidRPr="002A3650">
              <w:rPr>
                <w:b/>
                <w:bCs/>
                <w:sz w:val="20"/>
                <w:szCs w:val="20"/>
                <w:lang w:eastAsia="tr-TR"/>
              </w:rPr>
              <w:t>2013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b/>
                <w:bCs/>
                <w:sz w:val="20"/>
                <w:szCs w:val="20"/>
                <w:lang w:eastAsia="tr-TR"/>
              </w:rPr>
            </w:pPr>
            <w:r w:rsidRPr="002A3650">
              <w:rPr>
                <w:b/>
                <w:bCs/>
                <w:sz w:val="20"/>
                <w:szCs w:val="20"/>
                <w:lang w:eastAsia="tr-TR"/>
              </w:rPr>
              <w:t>2014f</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AB</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0.1</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1.6</w:t>
            </w:r>
          </w:p>
        </w:tc>
      </w:tr>
      <w:tr w:rsidR="002A3650" w:rsidRPr="002A3650" w:rsidTr="00D94587">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b/>
                <w:bCs/>
                <w:sz w:val="20"/>
                <w:szCs w:val="20"/>
                <w:lang w:eastAsia="tr-TR"/>
              </w:rPr>
            </w:pPr>
            <w:r w:rsidRPr="002A3650">
              <w:rPr>
                <w:b/>
                <w:bCs/>
                <w:sz w:val="20"/>
                <w:szCs w:val="20"/>
                <w:lang w:eastAsia="tr-TR"/>
              </w:rPr>
              <w:t>Euro Bölgesi</w:t>
            </w:r>
          </w:p>
        </w:tc>
        <w:tc>
          <w:tcPr>
            <w:tcW w:w="1134" w:type="dxa"/>
            <w:tcBorders>
              <w:top w:val="nil"/>
              <w:left w:val="nil"/>
              <w:bottom w:val="single" w:sz="4" w:space="0" w:color="auto"/>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-0.4</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1.2</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Belçika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0.2</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1.4</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Almanya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0.4</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1.8</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Estonya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0.8</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1.9</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İrlanda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-0.3</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1.7</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Yunanistan</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-3.9</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0.6</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İspanya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-1.2</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1.1</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Fransa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0.2</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1.0</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İtalya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-1.9</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0.6</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Güney Kıbrıs</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-5.4</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-4.8</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Letonya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4.1</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3.8</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Lüksemburg</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2.1</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2.6</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Malta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2.4</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2.3</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Hollanda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-0.8</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1.2</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Avusturya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0.4</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1.6</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Portekiz</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-1.4</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1.2</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Slovenya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-1.1</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0.8</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Slovakya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0.9</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2.2</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Finlandiya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-1.4</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0.2</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Bulgaristan</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0.9</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1.7</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Çek Cumhuriyeti</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-0.9</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2.0</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Danimarka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0.4</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1.5</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Hırvatistan</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-1.0</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-0.6</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Litvanya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3.3</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3.3</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Macaristan</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1.1</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2.3</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Polonya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1.6</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3.2</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Romanya</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3.5</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2.5</w:t>
            </w:r>
          </w:p>
        </w:tc>
      </w:tr>
      <w:tr w:rsidR="002A3650" w:rsidRPr="002A3650" w:rsidTr="00D94587">
        <w:trPr>
          <w:trHeight w:val="255"/>
        </w:trPr>
        <w:tc>
          <w:tcPr>
            <w:tcW w:w="1843" w:type="dxa"/>
            <w:tcBorders>
              <w:top w:val="nil"/>
              <w:left w:val="single" w:sz="4" w:space="0" w:color="auto"/>
              <w:bottom w:val="nil"/>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İsveç</w:t>
            </w:r>
          </w:p>
        </w:tc>
        <w:tc>
          <w:tcPr>
            <w:tcW w:w="1134" w:type="dxa"/>
            <w:tcBorders>
              <w:top w:val="nil"/>
              <w:left w:val="nil"/>
              <w:bottom w:val="nil"/>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1.5</w:t>
            </w:r>
          </w:p>
        </w:tc>
        <w:tc>
          <w:tcPr>
            <w:tcW w:w="992" w:type="dxa"/>
            <w:tcBorders>
              <w:top w:val="nil"/>
              <w:left w:val="nil"/>
              <w:bottom w:val="nil"/>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2.8</w:t>
            </w:r>
          </w:p>
        </w:tc>
      </w:tr>
      <w:tr w:rsidR="002A3650" w:rsidRPr="002A3650" w:rsidTr="00D94587">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rPr>
                <w:rFonts w:asciiTheme="minorHAnsi" w:hAnsiTheme="minorHAnsi"/>
                <w:b/>
                <w:bCs/>
                <w:color w:val="000000"/>
                <w:sz w:val="22"/>
                <w:szCs w:val="22"/>
                <w:lang w:eastAsia="tr-TR"/>
              </w:rPr>
            </w:pPr>
            <w:r w:rsidRPr="002A3650">
              <w:rPr>
                <w:rFonts w:asciiTheme="minorHAnsi" w:hAnsiTheme="minorHAnsi"/>
                <w:b/>
                <w:bCs/>
                <w:color w:val="000000"/>
                <w:sz w:val="22"/>
                <w:szCs w:val="22"/>
                <w:lang w:eastAsia="tr-TR"/>
              </w:rPr>
              <w:t>İngiltere</w:t>
            </w:r>
          </w:p>
        </w:tc>
        <w:tc>
          <w:tcPr>
            <w:tcW w:w="1134" w:type="dxa"/>
            <w:tcBorders>
              <w:top w:val="nil"/>
              <w:left w:val="nil"/>
              <w:bottom w:val="single" w:sz="4" w:space="0" w:color="auto"/>
              <w:right w:val="nil"/>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1.7</w:t>
            </w:r>
          </w:p>
        </w:tc>
        <w:tc>
          <w:tcPr>
            <w:tcW w:w="992" w:type="dxa"/>
            <w:tcBorders>
              <w:top w:val="nil"/>
              <w:left w:val="nil"/>
              <w:bottom w:val="single" w:sz="4" w:space="0" w:color="auto"/>
              <w:right w:val="single" w:sz="4" w:space="0" w:color="auto"/>
            </w:tcBorders>
            <w:shd w:val="clear" w:color="auto" w:fill="auto"/>
            <w:noWrap/>
            <w:vAlign w:val="bottom"/>
            <w:hideMark/>
          </w:tcPr>
          <w:p w:rsidR="002A3650" w:rsidRPr="002A3650" w:rsidRDefault="002A3650" w:rsidP="002A3650">
            <w:pPr>
              <w:suppressAutoHyphens w:val="0"/>
              <w:jc w:val="right"/>
              <w:rPr>
                <w:sz w:val="20"/>
                <w:szCs w:val="20"/>
                <w:lang w:eastAsia="tr-TR"/>
              </w:rPr>
            </w:pPr>
            <w:r w:rsidRPr="002A3650">
              <w:rPr>
                <w:sz w:val="20"/>
                <w:szCs w:val="20"/>
                <w:lang w:eastAsia="tr-TR"/>
              </w:rPr>
              <w:t>2.7</w:t>
            </w:r>
          </w:p>
        </w:tc>
      </w:tr>
    </w:tbl>
    <w:p w:rsidR="002A3650" w:rsidRPr="00E52D0C" w:rsidRDefault="002A3650" w:rsidP="002A3650">
      <w:pPr>
        <w:suppressAutoHyphens w:val="0"/>
        <w:spacing w:after="100" w:line="276" w:lineRule="auto"/>
        <w:jc w:val="both"/>
        <w:rPr>
          <w:rFonts w:asciiTheme="minorHAnsi" w:eastAsiaTheme="minorHAnsi" w:hAnsiTheme="minorHAnsi" w:cstheme="minorBidi"/>
          <w:lang w:eastAsia="en-US"/>
        </w:rPr>
      </w:pPr>
      <w:r w:rsidRPr="00E52D0C">
        <w:rPr>
          <w:rFonts w:asciiTheme="minorHAnsi" w:eastAsiaTheme="minorHAnsi" w:hAnsiTheme="minorHAnsi" w:cstheme="minorBidi"/>
          <w:lang w:eastAsia="en-US"/>
        </w:rPr>
        <w:t>Kaynak: European Commission.</w:t>
      </w:r>
    </w:p>
    <w:p w:rsidR="004D033B" w:rsidRPr="00A813EB" w:rsidRDefault="004D033B" w:rsidP="002A3650">
      <w:pPr>
        <w:jc w:val="both"/>
        <w:rPr>
          <w:b/>
          <w:bCs/>
          <w:sz w:val="22"/>
          <w:szCs w:val="22"/>
        </w:rPr>
      </w:pPr>
    </w:p>
    <w:sectPr w:rsidR="004D033B" w:rsidRPr="00A813EB" w:rsidSect="00B90F1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AD" w:rsidRDefault="00082EAD" w:rsidP="00894DBA">
      <w:r>
        <w:separator/>
      </w:r>
    </w:p>
  </w:endnote>
  <w:endnote w:type="continuationSeparator" w:id="0">
    <w:p w:rsidR="00082EAD" w:rsidRDefault="00082EAD" w:rsidP="008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52980"/>
      <w:docPartObj>
        <w:docPartGallery w:val="Page Numbers (Bottom of Page)"/>
        <w:docPartUnique/>
      </w:docPartObj>
    </w:sdtPr>
    <w:sdtEndPr/>
    <w:sdtContent>
      <w:p w:rsidR="009E3288" w:rsidRDefault="007A7E37">
        <w:pPr>
          <w:pStyle w:val="Footer"/>
          <w:jc w:val="right"/>
        </w:pPr>
        <w:r>
          <w:fldChar w:fldCharType="begin"/>
        </w:r>
        <w:r w:rsidR="00BE5AC8">
          <w:instrText xml:space="preserve"> PAGE   \* MERGEFORMAT </w:instrText>
        </w:r>
        <w:r>
          <w:fldChar w:fldCharType="separate"/>
        </w:r>
        <w:r w:rsidR="001656BC">
          <w:rPr>
            <w:noProof/>
          </w:rPr>
          <w:t>1</w:t>
        </w:r>
        <w:r>
          <w:rPr>
            <w:noProof/>
          </w:rPr>
          <w:fldChar w:fldCharType="end"/>
        </w:r>
      </w:p>
    </w:sdtContent>
  </w:sdt>
  <w:p w:rsidR="009E3288" w:rsidRDefault="009E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AD" w:rsidRDefault="00082EAD" w:rsidP="00894DBA">
      <w:r>
        <w:separator/>
      </w:r>
    </w:p>
  </w:footnote>
  <w:footnote w:type="continuationSeparator" w:id="0">
    <w:p w:rsidR="00082EAD" w:rsidRDefault="00082EAD" w:rsidP="00894DBA">
      <w:r>
        <w:continuationSeparator/>
      </w:r>
    </w:p>
  </w:footnote>
  <w:footnote w:id="1">
    <w:p w:rsidR="002A3650" w:rsidRPr="00E52D0C" w:rsidRDefault="002A3650" w:rsidP="002A3650">
      <w:pPr>
        <w:pStyle w:val="FootnoteText"/>
        <w:jc w:val="both"/>
        <w:rPr>
          <w:rFonts w:asciiTheme="minorHAnsi" w:hAnsiTheme="minorHAnsi" w:cs="Arial"/>
          <w:sz w:val="16"/>
          <w:szCs w:val="16"/>
        </w:rPr>
      </w:pPr>
      <w:r w:rsidRPr="00E52D0C">
        <w:rPr>
          <w:rStyle w:val="FootnoteReference"/>
          <w:rFonts w:asciiTheme="minorHAnsi" w:hAnsiTheme="minorHAnsi" w:cs="Arial"/>
          <w:b/>
          <w:bCs/>
          <w:sz w:val="16"/>
          <w:szCs w:val="16"/>
        </w:rPr>
        <w:t>*</w:t>
      </w:r>
      <w:r w:rsidRPr="00E52D0C">
        <w:rPr>
          <w:rFonts w:asciiTheme="minorHAnsi" w:hAnsiTheme="minorHAnsi" w:cs="Arial"/>
          <w:b/>
          <w:bCs/>
          <w:sz w:val="16"/>
          <w:szCs w:val="16"/>
        </w:rPr>
        <w:t xml:space="preserve"> </w:t>
      </w:r>
      <w:r w:rsidRPr="00E52D0C">
        <w:rPr>
          <w:rFonts w:asciiTheme="minorHAnsi" w:hAnsiTheme="minorHAnsi" w:cs="Arial"/>
          <w:sz w:val="16"/>
          <w:szCs w:val="16"/>
        </w:rPr>
        <w:t>Dr. Zümrüt İmamoğlu, Betam, Uzman Araştırmacı, zumrut.imamoglu@bahcesehir.edu.tr</w:t>
      </w:r>
    </w:p>
  </w:footnote>
  <w:footnote w:id="2">
    <w:p w:rsidR="00AC6FF9" w:rsidRPr="00AC6FF9" w:rsidRDefault="00AC6FF9" w:rsidP="00AC6FF9">
      <w:pPr>
        <w:pStyle w:val="FootnoteText"/>
        <w:jc w:val="both"/>
        <w:rPr>
          <w:rFonts w:asciiTheme="minorHAnsi" w:hAnsiTheme="minorHAnsi" w:cs="Arial"/>
        </w:rPr>
      </w:pPr>
      <w:r w:rsidRPr="00E52D0C">
        <w:rPr>
          <w:rStyle w:val="FootnoteReference"/>
          <w:rFonts w:asciiTheme="minorHAnsi" w:hAnsiTheme="minorHAnsi" w:cs="Arial"/>
          <w:b/>
          <w:bCs/>
          <w:sz w:val="16"/>
          <w:szCs w:val="16"/>
        </w:rPr>
        <w:t>*</w:t>
      </w:r>
      <w:r w:rsidRPr="00E52D0C">
        <w:rPr>
          <w:rFonts w:asciiTheme="minorHAnsi" w:hAnsiTheme="minorHAnsi" w:cs="Arial"/>
          <w:b/>
          <w:bCs/>
          <w:sz w:val="16"/>
          <w:szCs w:val="16"/>
          <w:vertAlign w:val="superscript"/>
        </w:rPr>
        <w:t>*</w:t>
      </w:r>
      <w:r w:rsidRPr="00E52D0C">
        <w:rPr>
          <w:rFonts w:asciiTheme="minorHAnsi" w:hAnsiTheme="minorHAnsi" w:cs="Arial"/>
          <w:b/>
          <w:bCs/>
          <w:sz w:val="16"/>
          <w:szCs w:val="16"/>
        </w:rPr>
        <w:t xml:space="preserve"> </w:t>
      </w:r>
      <w:r w:rsidRPr="00E52D0C">
        <w:rPr>
          <w:rFonts w:asciiTheme="minorHAnsi" w:hAnsiTheme="minorHAnsi" w:cs="Arial"/>
          <w:sz w:val="16"/>
          <w:szCs w:val="16"/>
        </w:rPr>
        <w:t>Barış Soybilgen, Betam, Araştırma Görevlisi, baris.soybilgen@bahcesehir.edu.tr</w:t>
      </w:r>
    </w:p>
  </w:footnote>
  <w:footnote w:id="3">
    <w:p w:rsidR="002A3650" w:rsidRPr="00E52D0C" w:rsidRDefault="002A3650" w:rsidP="002A3650">
      <w:pPr>
        <w:rPr>
          <w:rFonts w:asciiTheme="minorHAnsi" w:hAnsiTheme="minorHAnsi"/>
        </w:rPr>
      </w:pPr>
      <w:r w:rsidRPr="00E52D0C">
        <w:rPr>
          <w:rStyle w:val="FootnoteReference"/>
          <w:rFonts w:asciiTheme="minorHAnsi" w:hAnsiTheme="minorHAnsi"/>
        </w:rPr>
        <w:footnoteRef/>
      </w:r>
      <w:r w:rsidRPr="00E52D0C">
        <w:rPr>
          <w:rFonts w:asciiTheme="minorHAnsi" w:hAnsiTheme="minorHAnsi"/>
        </w:rPr>
        <w:t xml:space="preserve"> </w:t>
      </w:r>
      <w:proofErr w:type="gramStart"/>
      <w:r w:rsidRPr="00E52D0C">
        <w:rPr>
          <w:rFonts w:asciiTheme="minorHAnsi" w:hAnsiTheme="minorHAnsi"/>
        </w:rPr>
        <w:t>Eurostat'ın ihracat verileri Tüik verileriyle küçük farklılıklar göstermektedir.</w:t>
      </w:r>
      <w:proofErr w:type="gramEnd"/>
      <w:r w:rsidRPr="00E52D0C">
        <w:rPr>
          <w:rFonts w:asciiTheme="minorHAnsi" w:hAnsiTheme="minorHAnsi"/>
        </w:rPr>
        <w:t xml:space="preserve"> </w:t>
      </w:r>
      <w:proofErr w:type="gramStart"/>
      <w:r w:rsidRPr="00E52D0C">
        <w:rPr>
          <w:rFonts w:asciiTheme="minorHAnsi" w:hAnsiTheme="minorHAnsi"/>
        </w:rPr>
        <w:t>Pazar payı hesapları ve uluslararası karşılaştırmaların sağlıklı bir şekilde yapılabilmesi için burada Eurostat verileri kullanılmıştır.</w:t>
      </w:r>
      <w:proofErr w:type="gramEnd"/>
    </w:p>
    <w:p w:rsidR="002A3650" w:rsidRDefault="002A3650" w:rsidP="002A3650">
      <w:pPr>
        <w:pStyle w:val="FootnoteText"/>
      </w:pPr>
    </w:p>
  </w:footnote>
  <w:footnote w:id="4">
    <w:p w:rsidR="0081327D" w:rsidRPr="00E52D0C" w:rsidRDefault="0081327D" w:rsidP="0081327D">
      <w:pPr>
        <w:rPr>
          <w:rFonts w:asciiTheme="minorHAnsi" w:hAnsiTheme="minorHAnsi"/>
        </w:rPr>
      </w:pPr>
      <w:r w:rsidRPr="00E52D0C">
        <w:rPr>
          <w:rStyle w:val="FootnoteReference"/>
          <w:rFonts w:asciiTheme="minorHAnsi" w:hAnsiTheme="minorHAnsi"/>
        </w:rPr>
        <w:footnoteRef/>
      </w:r>
      <w:r w:rsidRPr="00E52D0C">
        <w:rPr>
          <w:rFonts w:asciiTheme="minorHAnsi" w:hAnsiTheme="minorHAnsi"/>
        </w:rPr>
        <w:t xml:space="preserve"> Akkoyun, Günay, Şen-Doğan, "Business Cycle Synchronization of Turkey with Euro Area and the US: What Has Changed After 2001?" Merkez Bankası Çelışma Tebliği, 12/15, 2012. </w:t>
      </w:r>
    </w:p>
  </w:footnote>
  <w:footnote w:id="5">
    <w:p w:rsidR="0081327D" w:rsidRDefault="0081327D" w:rsidP="0081327D">
      <w:pPr>
        <w:pStyle w:val="FootnoteText"/>
      </w:pPr>
      <w:r w:rsidRPr="00E52D0C">
        <w:rPr>
          <w:rStyle w:val="FootnoteReference"/>
          <w:rFonts w:asciiTheme="minorHAnsi" w:hAnsiTheme="minorHAnsi"/>
          <w:sz w:val="16"/>
          <w:szCs w:val="16"/>
        </w:rPr>
        <w:footnoteRef/>
      </w:r>
      <w:r w:rsidRPr="00E52D0C">
        <w:rPr>
          <w:rFonts w:asciiTheme="minorHAnsi" w:hAnsiTheme="minorHAnsi"/>
          <w:sz w:val="16"/>
          <w:szCs w:val="16"/>
        </w:rPr>
        <w:t xml:space="preserve"> </w:t>
      </w:r>
      <w:r w:rsidRPr="00E52D0C">
        <w:rPr>
          <w:rFonts w:asciiTheme="minorHAnsi" w:hAnsiTheme="minorHAnsi"/>
          <w:sz w:val="16"/>
          <w:szCs w:val="16"/>
        </w:rPr>
        <w:t>Reel ihracat Avrupa'ya yapılan nominal ihracatın genel ihracat birim endeksi ile düzeltilmesi ile elde edilmiştir. Tüik bölgesel birim değer endeksi hesaplamamaktadır.</w:t>
      </w:r>
    </w:p>
  </w:footnote>
  <w:footnote w:id="6">
    <w:p w:rsidR="002A3650" w:rsidRPr="00E52D0C" w:rsidRDefault="002A3650" w:rsidP="002A3650">
      <w:pPr>
        <w:pStyle w:val="FootnoteText"/>
        <w:rPr>
          <w:rFonts w:asciiTheme="minorHAnsi" w:hAnsiTheme="minorHAnsi"/>
          <w:sz w:val="16"/>
          <w:szCs w:val="16"/>
        </w:rPr>
      </w:pPr>
      <w:r w:rsidRPr="00E52D0C">
        <w:rPr>
          <w:rStyle w:val="FootnoteReference"/>
          <w:rFonts w:asciiTheme="minorHAnsi" w:hAnsiTheme="minorHAnsi"/>
          <w:sz w:val="16"/>
          <w:szCs w:val="16"/>
        </w:rPr>
        <w:footnoteRef/>
      </w:r>
      <w:r w:rsidRPr="00E52D0C">
        <w:rPr>
          <w:rFonts w:asciiTheme="minorHAnsi" w:hAnsiTheme="minorHAnsi"/>
          <w:sz w:val="16"/>
          <w:szCs w:val="16"/>
        </w:rPr>
        <w:t xml:space="preserve"> </w:t>
      </w:r>
      <w:r w:rsidRPr="00E52D0C">
        <w:rPr>
          <w:rFonts w:asciiTheme="minorHAnsi" w:hAnsiTheme="minorHAnsi"/>
          <w:sz w:val="16"/>
          <w:szCs w:val="16"/>
        </w:rPr>
        <w:t>Kara ve Sarıkaya (2013), "Türkiye’de Konjonktürel Etkilerden Arındırılmış Cari İşlemler Dengesi," Merkez Bankası Çalışma Tebliği No:13/40.</w:t>
      </w:r>
    </w:p>
  </w:footnote>
  <w:footnote w:id="7">
    <w:p w:rsidR="002A3650" w:rsidRPr="00E52D0C" w:rsidRDefault="002A3650" w:rsidP="002A3650">
      <w:pPr>
        <w:pStyle w:val="FootnoteText"/>
        <w:rPr>
          <w:rFonts w:asciiTheme="minorHAnsi" w:hAnsiTheme="minorHAnsi"/>
          <w:sz w:val="16"/>
          <w:szCs w:val="16"/>
        </w:rPr>
      </w:pPr>
      <w:r w:rsidRPr="00E52D0C">
        <w:rPr>
          <w:rStyle w:val="FootnoteReference"/>
          <w:rFonts w:asciiTheme="minorHAnsi" w:hAnsiTheme="minorHAnsi"/>
          <w:sz w:val="16"/>
          <w:szCs w:val="16"/>
        </w:rPr>
        <w:footnoteRef/>
      </w:r>
      <w:r w:rsidR="00AC6FF9" w:rsidRPr="00E52D0C">
        <w:rPr>
          <w:rFonts w:asciiTheme="minorHAnsi" w:hAnsiTheme="minorHAnsi"/>
          <w:sz w:val="16"/>
          <w:szCs w:val="16"/>
        </w:rPr>
        <w:t xml:space="preserve"> </w:t>
      </w:r>
      <w:r w:rsidRPr="00E52D0C">
        <w:rPr>
          <w:rFonts w:asciiTheme="minorHAnsi" w:hAnsiTheme="minorHAnsi"/>
          <w:sz w:val="16"/>
          <w:szCs w:val="16"/>
        </w:rPr>
        <w:t>Berument, Dincer, Mustafaoğlu, "External Income Shocks and Turkish Exports: A Sectoral Analysis," Economic Modelling, 2014.</w:t>
      </w:r>
    </w:p>
  </w:footnote>
  <w:footnote w:id="8">
    <w:p w:rsidR="002A3650" w:rsidRPr="00E52D0C" w:rsidRDefault="002A3650" w:rsidP="002A3650">
      <w:pPr>
        <w:pStyle w:val="FootnoteText"/>
        <w:rPr>
          <w:rFonts w:asciiTheme="minorHAnsi" w:hAnsiTheme="minorHAnsi"/>
          <w:sz w:val="16"/>
          <w:szCs w:val="16"/>
        </w:rPr>
      </w:pPr>
      <w:r w:rsidRPr="00E52D0C">
        <w:rPr>
          <w:rStyle w:val="FootnoteReference"/>
          <w:rFonts w:asciiTheme="minorHAnsi" w:hAnsiTheme="minorHAnsi"/>
          <w:sz w:val="16"/>
          <w:szCs w:val="16"/>
        </w:rPr>
        <w:footnoteRef/>
      </w:r>
      <w:r w:rsidRPr="00E52D0C">
        <w:rPr>
          <w:rFonts w:asciiTheme="minorHAnsi" w:hAnsiTheme="minorHAnsi"/>
          <w:sz w:val="16"/>
          <w:szCs w:val="16"/>
        </w:rPr>
        <w:t xml:space="preserve"> </w:t>
      </w:r>
      <w:r w:rsidRPr="00E52D0C">
        <w:rPr>
          <w:rFonts w:asciiTheme="minorHAnsi" w:hAnsiTheme="minorHAnsi"/>
          <w:sz w:val="16"/>
          <w:szCs w:val="16"/>
        </w:rPr>
        <w:t>Bu oran eşanlı esnekliği yansıtmaktadır, zaman içerisindeki kümülatif etki daha yüksek olabilir.</w:t>
      </w:r>
    </w:p>
  </w:footnote>
  <w:footnote w:id="9">
    <w:p w:rsidR="002A3650" w:rsidRPr="00E52D0C" w:rsidRDefault="002A3650" w:rsidP="002A3650">
      <w:pPr>
        <w:pStyle w:val="FootnoteText"/>
        <w:rPr>
          <w:sz w:val="16"/>
          <w:szCs w:val="16"/>
        </w:rPr>
      </w:pPr>
      <w:r w:rsidRPr="00E52D0C">
        <w:rPr>
          <w:rStyle w:val="FootnoteReference"/>
          <w:rFonts w:asciiTheme="minorHAnsi" w:hAnsiTheme="minorHAnsi"/>
          <w:sz w:val="16"/>
          <w:szCs w:val="16"/>
        </w:rPr>
        <w:footnoteRef/>
      </w:r>
      <w:r w:rsidR="0044372D" w:rsidRPr="00E52D0C">
        <w:rPr>
          <w:rFonts w:asciiTheme="minorHAnsi" w:hAnsiTheme="minorHAnsi"/>
          <w:sz w:val="16"/>
          <w:szCs w:val="16"/>
        </w:rPr>
        <w:t xml:space="preserve"> </w:t>
      </w:r>
      <w:r w:rsidRPr="00E52D0C">
        <w:rPr>
          <w:rFonts w:asciiTheme="minorHAnsi" w:hAnsiTheme="minorHAnsi"/>
          <w:sz w:val="16"/>
          <w:szCs w:val="16"/>
        </w:rPr>
        <w:t>Ekteki tablo ülke bazında tahminleri göstermektedir. Kaynak: European Economic Forecast, European Economy 3/2014, EU Commission.</w:t>
      </w:r>
    </w:p>
  </w:footnote>
  <w:footnote w:id="10">
    <w:p w:rsidR="002A3650" w:rsidRPr="0044372D" w:rsidRDefault="002A3650" w:rsidP="002A3650">
      <w:pPr>
        <w:pStyle w:val="FootnoteText"/>
        <w:rPr>
          <w:rFonts w:asciiTheme="minorHAnsi" w:hAnsiTheme="minorHAnsi"/>
        </w:rPr>
      </w:pPr>
      <w:r w:rsidRPr="00E52D0C">
        <w:rPr>
          <w:rStyle w:val="FootnoteReference"/>
          <w:rFonts w:asciiTheme="minorHAnsi" w:hAnsiTheme="minorHAnsi"/>
          <w:sz w:val="16"/>
          <w:szCs w:val="16"/>
        </w:rPr>
        <w:footnoteRef/>
      </w:r>
      <w:r w:rsidRPr="00E52D0C">
        <w:rPr>
          <w:rFonts w:asciiTheme="minorHAnsi" w:hAnsiTheme="minorHAnsi"/>
          <w:sz w:val="16"/>
          <w:szCs w:val="16"/>
        </w:rPr>
        <w:t xml:space="preserve"> </w:t>
      </w:r>
      <w:r w:rsidRPr="00E52D0C">
        <w:rPr>
          <w:rFonts w:asciiTheme="minorHAnsi" w:hAnsiTheme="minorHAnsi"/>
          <w:sz w:val="16"/>
          <w:szCs w:val="16"/>
        </w:rPr>
        <w:t>Betam'ın ilk çeyrek için büyüme tahmini geçen yılın aynı çeyreğine göre yüzde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D0"/>
    <w:rsid w:val="00005CA1"/>
    <w:rsid w:val="00005E24"/>
    <w:rsid w:val="000208E8"/>
    <w:rsid w:val="00025C56"/>
    <w:rsid w:val="000335CB"/>
    <w:rsid w:val="00033739"/>
    <w:rsid w:val="000662AA"/>
    <w:rsid w:val="00070911"/>
    <w:rsid w:val="00074098"/>
    <w:rsid w:val="00076AF1"/>
    <w:rsid w:val="000812D7"/>
    <w:rsid w:val="00082EAD"/>
    <w:rsid w:val="0008507E"/>
    <w:rsid w:val="0009654D"/>
    <w:rsid w:val="00097F47"/>
    <w:rsid w:val="000B304A"/>
    <w:rsid w:val="000B474F"/>
    <w:rsid w:val="000C0509"/>
    <w:rsid w:val="000C3901"/>
    <w:rsid w:val="000F42F1"/>
    <w:rsid w:val="00113A77"/>
    <w:rsid w:val="00124279"/>
    <w:rsid w:val="00124F98"/>
    <w:rsid w:val="0012600C"/>
    <w:rsid w:val="001340E8"/>
    <w:rsid w:val="0013774F"/>
    <w:rsid w:val="001416EE"/>
    <w:rsid w:val="00141EAF"/>
    <w:rsid w:val="00146316"/>
    <w:rsid w:val="001475D9"/>
    <w:rsid w:val="001656BC"/>
    <w:rsid w:val="0017037A"/>
    <w:rsid w:val="00170DEF"/>
    <w:rsid w:val="00173520"/>
    <w:rsid w:val="00174EB3"/>
    <w:rsid w:val="00191A21"/>
    <w:rsid w:val="001C3218"/>
    <w:rsid w:val="001E633A"/>
    <w:rsid w:val="001F2584"/>
    <w:rsid w:val="001F29E8"/>
    <w:rsid w:val="00220951"/>
    <w:rsid w:val="00221FC3"/>
    <w:rsid w:val="00222494"/>
    <w:rsid w:val="00223158"/>
    <w:rsid w:val="002304DF"/>
    <w:rsid w:val="002445DB"/>
    <w:rsid w:val="00254850"/>
    <w:rsid w:val="00256157"/>
    <w:rsid w:val="00257387"/>
    <w:rsid w:val="0026731F"/>
    <w:rsid w:val="00270301"/>
    <w:rsid w:val="00272752"/>
    <w:rsid w:val="00273853"/>
    <w:rsid w:val="002809A4"/>
    <w:rsid w:val="002819E5"/>
    <w:rsid w:val="002A0B36"/>
    <w:rsid w:val="002A3650"/>
    <w:rsid w:val="002A3A7E"/>
    <w:rsid w:val="002A53A2"/>
    <w:rsid w:val="002B08B9"/>
    <w:rsid w:val="002B122C"/>
    <w:rsid w:val="002B13B4"/>
    <w:rsid w:val="002C232E"/>
    <w:rsid w:val="002E3ECC"/>
    <w:rsid w:val="002F016B"/>
    <w:rsid w:val="002F3288"/>
    <w:rsid w:val="0031214C"/>
    <w:rsid w:val="0031622B"/>
    <w:rsid w:val="003234A5"/>
    <w:rsid w:val="0032556E"/>
    <w:rsid w:val="00331293"/>
    <w:rsid w:val="00333EA2"/>
    <w:rsid w:val="00334E03"/>
    <w:rsid w:val="00337169"/>
    <w:rsid w:val="00343F2F"/>
    <w:rsid w:val="00350F9A"/>
    <w:rsid w:val="003518AF"/>
    <w:rsid w:val="00352F0C"/>
    <w:rsid w:val="00361CF8"/>
    <w:rsid w:val="003625C6"/>
    <w:rsid w:val="00362EA9"/>
    <w:rsid w:val="003804B5"/>
    <w:rsid w:val="0038206B"/>
    <w:rsid w:val="00393B6D"/>
    <w:rsid w:val="003B1595"/>
    <w:rsid w:val="003B26E8"/>
    <w:rsid w:val="003C5ECD"/>
    <w:rsid w:val="003C777E"/>
    <w:rsid w:val="003D1C32"/>
    <w:rsid w:val="003D4AEC"/>
    <w:rsid w:val="003D661E"/>
    <w:rsid w:val="003E01DB"/>
    <w:rsid w:val="003E0B43"/>
    <w:rsid w:val="003E40E7"/>
    <w:rsid w:val="003E7463"/>
    <w:rsid w:val="003F220A"/>
    <w:rsid w:val="003F314A"/>
    <w:rsid w:val="004120BD"/>
    <w:rsid w:val="004132E0"/>
    <w:rsid w:val="00413828"/>
    <w:rsid w:val="00413E20"/>
    <w:rsid w:val="004262C5"/>
    <w:rsid w:val="0042645F"/>
    <w:rsid w:val="00427BD7"/>
    <w:rsid w:val="00427C01"/>
    <w:rsid w:val="0044317E"/>
    <w:rsid w:val="0044372D"/>
    <w:rsid w:val="00447F3E"/>
    <w:rsid w:val="00453E3B"/>
    <w:rsid w:val="00460BD0"/>
    <w:rsid w:val="00465F99"/>
    <w:rsid w:val="00467FB3"/>
    <w:rsid w:val="00474190"/>
    <w:rsid w:val="0048570A"/>
    <w:rsid w:val="00486FAD"/>
    <w:rsid w:val="004874AB"/>
    <w:rsid w:val="00495B86"/>
    <w:rsid w:val="00496F78"/>
    <w:rsid w:val="004B602A"/>
    <w:rsid w:val="004C2ABE"/>
    <w:rsid w:val="004C4452"/>
    <w:rsid w:val="004C4FE3"/>
    <w:rsid w:val="004C6400"/>
    <w:rsid w:val="004C7567"/>
    <w:rsid w:val="004D033B"/>
    <w:rsid w:val="004D2987"/>
    <w:rsid w:val="004D3FDE"/>
    <w:rsid w:val="004E4475"/>
    <w:rsid w:val="004E7A9B"/>
    <w:rsid w:val="0050274C"/>
    <w:rsid w:val="00510674"/>
    <w:rsid w:val="00511770"/>
    <w:rsid w:val="0051413B"/>
    <w:rsid w:val="00515B48"/>
    <w:rsid w:val="0051749C"/>
    <w:rsid w:val="0053032A"/>
    <w:rsid w:val="005325CA"/>
    <w:rsid w:val="00533DE0"/>
    <w:rsid w:val="00535BFB"/>
    <w:rsid w:val="0054110D"/>
    <w:rsid w:val="00543D3E"/>
    <w:rsid w:val="0055061C"/>
    <w:rsid w:val="00570871"/>
    <w:rsid w:val="00574A6C"/>
    <w:rsid w:val="005807DC"/>
    <w:rsid w:val="005817A5"/>
    <w:rsid w:val="005A274C"/>
    <w:rsid w:val="005A449F"/>
    <w:rsid w:val="005A62D0"/>
    <w:rsid w:val="005B57D1"/>
    <w:rsid w:val="005B6723"/>
    <w:rsid w:val="005C0044"/>
    <w:rsid w:val="005D3649"/>
    <w:rsid w:val="005D6243"/>
    <w:rsid w:val="005E18FA"/>
    <w:rsid w:val="005E5609"/>
    <w:rsid w:val="005F0BCD"/>
    <w:rsid w:val="005F2081"/>
    <w:rsid w:val="006002CB"/>
    <w:rsid w:val="00603322"/>
    <w:rsid w:val="006045EC"/>
    <w:rsid w:val="0061058F"/>
    <w:rsid w:val="00627E3B"/>
    <w:rsid w:val="00630683"/>
    <w:rsid w:val="00637173"/>
    <w:rsid w:val="006425C3"/>
    <w:rsid w:val="00643F74"/>
    <w:rsid w:val="0066015E"/>
    <w:rsid w:val="006615E6"/>
    <w:rsid w:val="00666586"/>
    <w:rsid w:val="006705EF"/>
    <w:rsid w:val="006844A1"/>
    <w:rsid w:val="006861DD"/>
    <w:rsid w:val="00693846"/>
    <w:rsid w:val="006A4CC0"/>
    <w:rsid w:val="006B285F"/>
    <w:rsid w:val="006C7254"/>
    <w:rsid w:val="006C7E1D"/>
    <w:rsid w:val="006D25B6"/>
    <w:rsid w:val="006D45FA"/>
    <w:rsid w:val="006D5756"/>
    <w:rsid w:val="006E58D3"/>
    <w:rsid w:val="006F1D8F"/>
    <w:rsid w:val="006F24D3"/>
    <w:rsid w:val="00706403"/>
    <w:rsid w:val="007178A2"/>
    <w:rsid w:val="007208E8"/>
    <w:rsid w:val="00721F06"/>
    <w:rsid w:val="00732808"/>
    <w:rsid w:val="0073685C"/>
    <w:rsid w:val="00740C63"/>
    <w:rsid w:val="00740FDB"/>
    <w:rsid w:val="0074519E"/>
    <w:rsid w:val="00747ED5"/>
    <w:rsid w:val="007544CB"/>
    <w:rsid w:val="00755111"/>
    <w:rsid w:val="007626FD"/>
    <w:rsid w:val="0076585E"/>
    <w:rsid w:val="0077270A"/>
    <w:rsid w:val="00780E4F"/>
    <w:rsid w:val="007862EE"/>
    <w:rsid w:val="007863C0"/>
    <w:rsid w:val="00791FF5"/>
    <w:rsid w:val="00793016"/>
    <w:rsid w:val="007A4ADA"/>
    <w:rsid w:val="007A5177"/>
    <w:rsid w:val="007A56C3"/>
    <w:rsid w:val="007A6D2B"/>
    <w:rsid w:val="007A7E37"/>
    <w:rsid w:val="007B3323"/>
    <w:rsid w:val="007B46CB"/>
    <w:rsid w:val="007C7CA1"/>
    <w:rsid w:val="007E7CB8"/>
    <w:rsid w:val="007F0B4B"/>
    <w:rsid w:val="007F1E97"/>
    <w:rsid w:val="007F53D1"/>
    <w:rsid w:val="007F5D7A"/>
    <w:rsid w:val="007F60EC"/>
    <w:rsid w:val="007F79AC"/>
    <w:rsid w:val="00803D38"/>
    <w:rsid w:val="0081327D"/>
    <w:rsid w:val="0081624D"/>
    <w:rsid w:val="0082228C"/>
    <w:rsid w:val="00823526"/>
    <w:rsid w:val="008236D7"/>
    <w:rsid w:val="00831FBD"/>
    <w:rsid w:val="008325A9"/>
    <w:rsid w:val="008367C9"/>
    <w:rsid w:val="008434B3"/>
    <w:rsid w:val="00851E16"/>
    <w:rsid w:val="00860ED0"/>
    <w:rsid w:val="00864DB3"/>
    <w:rsid w:val="00872562"/>
    <w:rsid w:val="00873CA8"/>
    <w:rsid w:val="00874250"/>
    <w:rsid w:val="008747E5"/>
    <w:rsid w:val="00883107"/>
    <w:rsid w:val="0088447A"/>
    <w:rsid w:val="008944A5"/>
    <w:rsid w:val="00894DBA"/>
    <w:rsid w:val="008975E6"/>
    <w:rsid w:val="008A3C5C"/>
    <w:rsid w:val="008A4EB2"/>
    <w:rsid w:val="008D1F40"/>
    <w:rsid w:val="008D45BD"/>
    <w:rsid w:val="008D649F"/>
    <w:rsid w:val="008E17D2"/>
    <w:rsid w:val="008E7C55"/>
    <w:rsid w:val="008F12D2"/>
    <w:rsid w:val="009026AD"/>
    <w:rsid w:val="00907826"/>
    <w:rsid w:val="00915CDE"/>
    <w:rsid w:val="009218C6"/>
    <w:rsid w:val="009248D9"/>
    <w:rsid w:val="00930BAF"/>
    <w:rsid w:val="00937DBC"/>
    <w:rsid w:val="00946F3F"/>
    <w:rsid w:val="00953E58"/>
    <w:rsid w:val="00957C3D"/>
    <w:rsid w:val="00970272"/>
    <w:rsid w:val="009756AA"/>
    <w:rsid w:val="009804F6"/>
    <w:rsid w:val="00983934"/>
    <w:rsid w:val="00984932"/>
    <w:rsid w:val="009854FF"/>
    <w:rsid w:val="009A2B2E"/>
    <w:rsid w:val="009A482E"/>
    <w:rsid w:val="009C3BCC"/>
    <w:rsid w:val="009C7B0B"/>
    <w:rsid w:val="009E3288"/>
    <w:rsid w:val="009E713A"/>
    <w:rsid w:val="009F21DB"/>
    <w:rsid w:val="009F29FF"/>
    <w:rsid w:val="009F487D"/>
    <w:rsid w:val="00A009B9"/>
    <w:rsid w:val="00A023DE"/>
    <w:rsid w:val="00A132BE"/>
    <w:rsid w:val="00A145E0"/>
    <w:rsid w:val="00A238F7"/>
    <w:rsid w:val="00A34288"/>
    <w:rsid w:val="00A4050A"/>
    <w:rsid w:val="00A47B91"/>
    <w:rsid w:val="00A53B08"/>
    <w:rsid w:val="00A53EBF"/>
    <w:rsid w:val="00A618D5"/>
    <w:rsid w:val="00A7360B"/>
    <w:rsid w:val="00A74AEF"/>
    <w:rsid w:val="00A80FCC"/>
    <w:rsid w:val="00A813EB"/>
    <w:rsid w:val="00A81E85"/>
    <w:rsid w:val="00A83E4C"/>
    <w:rsid w:val="00A8727C"/>
    <w:rsid w:val="00A90629"/>
    <w:rsid w:val="00A91882"/>
    <w:rsid w:val="00A9703E"/>
    <w:rsid w:val="00AB44C0"/>
    <w:rsid w:val="00AC6FF9"/>
    <w:rsid w:val="00AC7AE8"/>
    <w:rsid w:val="00AE5A51"/>
    <w:rsid w:val="00AF6D51"/>
    <w:rsid w:val="00B045C6"/>
    <w:rsid w:val="00B11416"/>
    <w:rsid w:val="00B160BF"/>
    <w:rsid w:val="00B21484"/>
    <w:rsid w:val="00B327E3"/>
    <w:rsid w:val="00B329E3"/>
    <w:rsid w:val="00B338F3"/>
    <w:rsid w:val="00B440E7"/>
    <w:rsid w:val="00B45FA2"/>
    <w:rsid w:val="00B46288"/>
    <w:rsid w:val="00B50802"/>
    <w:rsid w:val="00B5366D"/>
    <w:rsid w:val="00B55B2A"/>
    <w:rsid w:val="00B6213F"/>
    <w:rsid w:val="00B638CE"/>
    <w:rsid w:val="00B641C3"/>
    <w:rsid w:val="00B76FA5"/>
    <w:rsid w:val="00B83AEE"/>
    <w:rsid w:val="00B8470B"/>
    <w:rsid w:val="00B90F1C"/>
    <w:rsid w:val="00B93CD3"/>
    <w:rsid w:val="00BA4E40"/>
    <w:rsid w:val="00BA6994"/>
    <w:rsid w:val="00BB02CF"/>
    <w:rsid w:val="00BB0E83"/>
    <w:rsid w:val="00BB306D"/>
    <w:rsid w:val="00BB5C11"/>
    <w:rsid w:val="00BC5643"/>
    <w:rsid w:val="00BD09E9"/>
    <w:rsid w:val="00BD1DBC"/>
    <w:rsid w:val="00BD7408"/>
    <w:rsid w:val="00BE060E"/>
    <w:rsid w:val="00BE1BDA"/>
    <w:rsid w:val="00BE5AC8"/>
    <w:rsid w:val="00BE649A"/>
    <w:rsid w:val="00BF7382"/>
    <w:rsid w:val="00BF7FAF"/>
    <w:rsid w:val="00C061E9"/>
    <w:rsid w:val="00C07AF4"/>
    <w:rsid w:val="00C13C55"/>
    <w:rsid w:val="00C172F6"/>
    <w:rsid w:val="00C2043D"/>
    <w:rsid w:val="00C260E0"/>
    <w:rsid w:val="00C27A72"/>
    <w:rsid w:val="00C44357"/>
    <w:rsid w:val="00C4579F"/>
    <w:rsid w:val="00C54BB7"/>
    <w:rsid w:val="00C7359B"/>
    <w:rsid w:val="00C750A6"/>
    <w:rsid w:val="00C83802"/>
    <w:rsid w:val="00C96BF1"/>
    <w:rsid w:val="00CA4007"/>
    <w:rsid w:val="00CC7CF6"/>
    <w:rsid w:val="00CD439A"/>
    <w:rsid w:val="00CD445F"/>
    <w:rsid w:val="00CD4BD0"/>
    <w:rsid w:val="00CE2939"/>
    <w:rsid w:val="00CF04A8"/>
    <w:rsid w:val="00CF3D6A"/>
    <w:rsid w:val="00CF55FA"/>
    <w:rsid w:val="00D01C45"/>
    <w:rsid w:val="00D038B6"/>
    <w:rsid w:val="00D04B55"/>
    <w:rsid w:val="00D13D68"/>
    <w:rsid w:val="00D2258F"/>
    <w:rsid w:val="00D27605"/>
    <w:rsid w:val="00D34065"/>
    <w:rsid w:val="00D534F5"/>
    <w:rsid w:val="00D609B5"/>
    <w:rsid w:val="00D65483"/>
    <w:rsid w:val="00D71392"/>
    <w:rsid w:val="00D83F55"/>
    <w:rsid w:val="00D879C2"/>
    <w:rsid w:val="00D93E20"/>
    <w:rsid w:val="00D94587"/>
    <w:rsid w:val="00DA0FC4"/>
    <w:rsid w:val="00DA64A1"/>
    <w:rsid w:val="00DB12FE"/>
    <w:rsid w:val="00DD5C56"/>
    <w:rsid w:val="00DE079F"/>
    <w:rsid w:val="00DF6798"/>
    <w:rsid w:val="00E0056F"/>
    <w:rsid w:val="00E022E5"/>
    <w:rsid w:val="00E06F4F"/>
    <w:rsid w:val="00E1086B"/>
    <w:rsid w:val="00E17E58"/>
    <w:rsid w:val="00E23895"/>
    <w:rsid w:val="00E4139A"/>
    <w:rsid w:val="00E418EE"/>
    <w:rsid w:val="00E52D0C"/>
    <w:rsid w:val="00E54055"/>
    <w:rsid w:val="00E54D08"/>
    <w:rsid w:val="00E66ACB"/>
    <w:rsid w:val="00E67292"/>
    <w:rsid w:val="00E7506B"/>
    <w:rsid w:val="00E75884"/>
    <w:rsid w:val="00E80E6E"/>
    <w:rsid w:val="00EA199D"/>
    <w:rsid w:val="00EA61FE"/>
    <w:rsid w:val="00EB2ABF"/>
    <w:rsid w:val="00EC01DC"/>
    <w:rsid w:val="00EC6959"/>
    <w:rsid w:val="00EC7398"/>
    <w:rsid w:val="00ED6E21"/>
    <w:rsid w:val="00EE38F8"/>
    <w:rsid w:val="00F167E5"/>
    <w:rsid w:val="00F226C5"/>
    <w:rsid w:val="00F31073"/>
    <w:rsid w:val="00F3129D"/>
    <w:rsid w:val="00F312EA"/>
    <w:rsid w:val="00F37AA4"/>
    <w:rsid w:val="00F408FA"/>
    <w:rsid w:val="00F435E6"/>
    <w:rsid w:val="00F46B26"/>
    <w:rsid w:val="00F511A5"/>
    <w:rsid w:val="00F56A62"/>
    <w:rsid w:val="00F62B8D"/>
    <w:rsid w:val="00F631EF"/>
    <w:rsid w:val="00F72F16"/>
    <w:rsid w:val="00F77FEB"/>
    <w:rsid w:val="00F82607"/>
    <w:rsid w:val="00F96916"/>
    <w:rsid w:val="00FA1B68"/>
    <w:rsid w:val="00FA2291"/>
    <w:rsid w:val="00FA27DF"/>
    <w:rsid w:val="00FA695D"/>
    <w:rsid w:val="00FA7816"/>
    <w:rsid w:val="00FB1761"/>
    <w:rsid w:val="00FC0811"/>
    <w:rsid w:val="00FC5130"/>
    <w:rsid w:val="00FD567A"/>
    <w:rsid w:val="00FE3E93"/>
    <w:rsid w:val="00FE575C"/>
    <w:rsid w:val="00FF071C"/>
    <w:rsid w:val="00FF2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semiHidden/>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semiHidden/>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966350573">
      <w:bodyDiv w:val="1"/>
      <w:marLeft w:val="0"/>
      <w:marRight w:val="0"/>
      <w:marTop w:val="0"/>
      <w:marBottom w:val="0"/>
      <w:divBdr>
        <w:top w:val="none" w:sz="0" w:space="0" w:color="auto"/>
        <w:left w:val="none" w:sz="0" w:space="0" w:color="auto"/>
        <w:bottom w:val="none" w:sz="0" w:space="0" w:color="auto"/>
        <w:right w:val="none" w:sz="0" w:space="0" w:color="auto"/>
      </w:divBdr>
    </w:div>
    <w:div w:id="1016930389">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zumrut.imamoglu\Desktop\EU\giyim.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zumrut.imamoglu\Desktop\EU\giyim.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zumrut.imamoglu\Desktop\EU\giyim.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ris.soybilgen\AppData\Local\Microsoft\Windows\Temporary%20Internet%20Files\Content.Outlook\QMNKESOQ\giyim.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zumrut.imamoglu\Desktop\EU\giyim.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zumrut.imamoglu\AppData\Local\Temp\Cycle%20Comparision-1.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649809199381991"/>
          <c:y val="4.7752772838879409E-2"/>
          <c:w val="0.64226256692006756"/>
          <c:h val="0.81534708468189965"/>
        </c:manualLayout>
      </c:layout>
      <c:lineChart>
        <c:grouping val="standard"/>
        <c:varyColors val="0"/>
        <c:ser>
          <c:idx val="0"/>
          <c:order val="0"/>
          <c:tx>
            <c:v>AB Toplam İthalatı</c:v>
          </c:tx>
          <c:marker>
            <c:symbol val="none"/>
          </c:marker>
          <c:cat>
            <c:numRef>
              <c:f>toplam!$B$13:$P$13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toplam!$B$16:$P$16</c:f>
              <c:numCache>
                <c:formatCode>#,##0</c:formatCode>
                <c:ptCount val="15"/>
                <c:pt idx="0">
                  <c:v>743297309894</c:v>
                </c:pt>
                <c:pt idx="1">
                  <c:v>992698001616</c:v>
                </c:pt>
                <c:pt idx="2">
                  <c:v>979144724402</c:v>
                </c:pt>
                <c:pt idx="3">
                  <c:v>936966741188</c:v>
                </c:pt>
                <c:pt idx="4">
                  <c:v>935265158923</c:v>
                </c:pt>
                <c:pt idx="5">
                  <c:v>1027521658405</c:v>
                </c:pt>
                <c:pt idx="6">
                  <c:v>1183212555639</c:v>
                </c:pt>
                <c:pt idx="7">
                  <c:v>1363881797856</c:v>
                </c:pt>
                <c:pt idx="8">
                  <c:v>1445154938918</c:v>
                </c:pt>
                <c:pt idx="9">
                  <c:v>1582931647300</c:v>
                </c:pt>
                <c:pt idx="10">
                  <c:v>1234317068746</c:v>
                </c:pt>
                <c:pt idx="11">
                  <c:v>1531022040953</c:v>
                </c:pt>
                <c:pt idx="12">
                  <c:v>1727739314329</c:v>
                </c:pt>
                <c:pt idx="13">
                  <c:v>1797643407971</c:v>
                </c:pt>
                <c:pt idx="14">
                  <c:v>1683351840863</c:v>
                </c:pt>
              </c:numCache>
            </c:numRef>
          </c:val>
          <c:smooth val="0"/>
        </c:ser>
        <c:dLbls>
          <c:showLegendKey val="0"/>
          <c:showVal val="0"/>
          <c:showCatName val="0"/>
          <c:showSerName val="0"/>
          <c:showPercent val="0"/>
          <c:showBubbleSize val="0"/>
        </c:dLbls>
        <c:marker val="1"/>
        <c:smooth val="0"/>
        <c:axId val="164723712"/>
        <c:axId val="164733696"/>
      </c:lineChart>
      <c:lineChart>
        <c:grouping val="standard"/>
        <c:varyColors val="0"/>
        <c:ser>
          <c:idx val="1"/>
          <c:order val="1"/>
          <c:tx>
            <c:v>AB'nin Türkiye'den ithalatı</c:v>
          </c:tx>
          <c:marker>
            <c:symbol val="none"/>
          </c:marker>
          <c:val>
            <c:numRef>
              <c:f>toplam!$B$14:$P$14</c:f>
              <c:numCache>
                <c:formatCode>#,##0</c:formatCode>
                <c:ptCount val="15"/>
                <c:pt idx="0">
                  <c:v>15958098232</c:v>
                </c:pt>
                <c:pt idx="1">
                  <c:v>18740248693</c:v>
                </c:pt>
                <c:pt idx="2">
                  <c:v>22084711627</c:v>
                </c:pt>
                <c:pt idx="3">
                  <c:v>24590510898</c:v>
                </c:pt>
                <c:pt idx="4">
                  <c:v>27257197235</c:v>
                </c:pt>
                <c:pt idx="5">
                  <c:v>32733450933</c:v>
                </c:pt>
                <c:pt idx="6">
                  <c:v>36026732966</c:v>
                </c:pt>
                <c:pt idx="7">
                  <c:v>41709302223</c:v>
                </c:pt>
                <c:pt idx="8">
                  <c:v>47050311807</c:v>
                </c:pt>
                <c:pt idx="9">
                  <c:v>45963273081</c:v>
                </c:pt>
                <c:pt idx="10">
                  <c:v>36227634110</c:v>
                </c:pt>
                <c:pt idx="11">
                  <c:v>42396570566</c:v>
                </c:pt>
                <c:pt idx="12">
                  <c:v>48143007783</c:v>
                </c:pt>
                <c:pt idx="13">
                  <c:v>48053953945</c:v>
                </c:pt>
                <c:pt idx="14">
                  <c:v>50039360866</c:v>
                </c:pt>
              </c:numCache>
            </c:numRef>
          </c:val>
          <c:smooth val="0"/>
        </c:ser>
        <c:dLbls>
          <c:showLegendKey val="0"/>
          <c:showVal val="0"/>
          <c:showCatName val="0"/>
          <c:showSerName val="0"/>
          <c:showPercent val="0"/>
          <c:showBubbleSize val="0"/>
        </c:dLbls>
        <c:marker val="1"/>
        <c:smooth val="0"/>
        <c:axId val="127651200"/>
        <c:axId val="127649280"/>
      </c:lineChart>
      <c:catAx>
        <c:axId val="164723712"/>
        <c:scaling>
          <c:orientation val="minMax"/>
        </c:scaling>
        <c:delete val="0"/>
        <c:axPos val="b"/>
        <c:numFmt formatCode="General" sourceLinked="1"/>
        <c:majorTickMark val="out"/>
        <c:minorTickMark val="none"/>
        <c:tickLblPos val="nextTo"/>
        <c:crossAx val="164733696"/>
        <c:crosses val="autoZero"/>
        <c:auto val="1"/>
        <c:lblAlgn val="ctr"/>
        <c:lblOffset val="100"/>
        <c:noMultiLvlLbl val="0"/>
      </c:catAx>
      <c:valAx>
        <c:axId val="164733696"/>
        <c:scaling>
          <c:orientation val="minMax"/>
        </c:scaling>
        <c:delete val="0"/>
        <c:axPos val="l"/>
        <c:majorGridlines/>
        <c:numFmt formatCode="#,##0" sourceLinked="0"/>
        <c:majorTickMark val="out"/>
        <c:minorTickMark val="none"/>
        <c:tickLblPos val="nextTo"/>
        <c:crossAx val="164723712"/>
        <c:crosses val="autoZero"/>
        <c:crossBetween val="between"/>
        <c:dispUnits>
          <c:builtInUnit val="millions"/>
        </c:dispUnits>
      </c:valAx>
      <c:valAx>
        <c:axId val="127649280"/>
        <c:scaling>
          <c:orientation val="minMax"/>
        </c:scaling>
        <c:delete val="0"/>
        <c:axPos val="r"/>
        <c:numFmt formatCode="#,##0" sourceLinked="1"/>
        <c:majorTickMark val="out"/>
        <c:minorTickMark val="none"/>
        <c:tickLblPos val="nextTo"/>
        <c:crossAx val="127651200"/>
        <c:crosses val="max"/>
        <c:crossBetween val="between"/>
        <c:dispUnits>
          <c:builtInUnit val="millions"/>
        </c:dispUnits>
      </c:valAx>
      <c:catAx>
        <c:axId val="127651200"/>
        <c:scaling>
          <c:orientation val="minMax"/>
        </c:scaling>
        <c:delete val="1"/>
        <c:axPos val="b"/>
        <c:majorTickMark val="out"/>
        <c:minorTickMark val="none"/>
        <c:tickLblPos val="none"/>
        <c:crossAx val="127649280"/>
        <c:crosses val="autoZero"/>
        <c:auto val="1"/>
        <c:lblAlgn val="ctr"/>
        <c:lblOffset val="100"/>
        <c:noMultiLvlLbl val="0"/>
      </c:catAx>
    </c:plotArea>
    <c:legend>
      <c:legendPos val="r"/>
      <c:layout>
        <c:manualLayout>
          <c:xMode val="edge"/>
          <c:yMode val="edge"/>
          <c:x val="0.38095131890897088"/>
          <c:y val="0.70890230745696658"/>
          <c:w val="0.31507190602461627"/>
          <c:h val="0.13432061939332787"/>
        </c:manualLayout>
      </c:layout>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002187226597187E-2"/>
          <c:y val="8.4942038495188082E-2"/>
          <c:w val="0.82377559055118665"/>
          <c:h val="0.72609069699620965"/>
        </c:manualLayout>
      </c:layout>
      <c:barChart>
        <c:barDir val="col"/>
        <c:grouping val="clustered"/>
        <c:varyColors val="0"/>
        <c:ser>
          <c:idx val="0"/>
          <c:order val="0"/>
          <c:tx>
            <c:strRef>
              <c:f>toplam!$A$14</c:f>
              <c:strCache>
                <c:ptCount val="1"/>
                <c:pt idx="0">
                  <c:v>TURKEY</c:v>
                </c:pt>
              </c:strCache>
            </c:strRef>
          </c:tx>
          <c:invertIfNegative val="0"/>
          <c:cat>
            <c:numRef>
              <c:f>toplam!$B$13:$P$13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toplam!$B$18:$P$18</c:f>
              <c:numCache>
                <c:formatCode>0.0</c:formatCode>
                <c:ptCount val="15"/>
                <c:pt idx="0">
                  <c:v>2.1469334033074552</c:v>
                </c:pt>
                <c:pt idx="1">
                  <c:v>1.88780965233061</c:v>
                </c:pt>
                <c:pt idx="2">
                  <c:v>2.2555104548500684</c:v>
                </c:pt>
                <c:pt idx="3">
                  <c:v>2.624480658387224</c:v>
                </c:pt>
                <c:pt idx="4">
                  <c:v>2.9143817638184992</c:v>
                </c:pt>
                <c:pt idx="5">
                  <c:v>3.1856701671681975</c:v>
                </c:pt>
                <c:pt idx="6" formatCode="0.00">
                  <c:v>3.0448234169171386</c:v>
                </c:pt>
                <c:pt idx="7">
                  <c:v>3.0581317448892227</c:v>
                </c:pt>
                <c:pt idx="8">
                  <c:v>3.2557278489618047</c:v>
                </c:pt>
                <c:pt idx="9">
                  <c:v>2.9036802163504292</c:v>
                </c:pt>
                <c:pt idx="10">
                  <c:v>2.9350346865741179</c:v>
                </c:pt>
                <c:pt idx="11">
                  <c:v>2.7691678781848212</c:v>
                </c:pt>
                <c:pt idx="12">
                  <c:v>2.7864740579627023</c:v>
                </c:pt>
                <c:pt idx="13">
                  <c:v>2.6731638617493498</c:v>
                </c:pt>
                <c:pt idx="14">
                  <c:v>2.9726026164765567</c:v>
                </c:pt>
              </c:numCache>
            </c:numRef>
          </c:val>
        </c:ser>
        <c:dLbls>
          <c:showLegendKey val="0"/>
          <c:showVal val="0"/>
          <c:showCatName val="0"/>
          <c:showSerName val="0"/>
          <c:showPercent val="0"/>
          <c:showBubbleSize val="0"/>
        </c:dLbls>
        <c:gapWidth val="150"/>
        <c:axId val="127658624"/>
        <c:axId val="127660416"/>
      </c:barChart>
      <c:catAx>
        <c:axId val="127658624"/>
        <c:scaling>
          <c:orientation val="minMax"/>
        </c:scaling>
        <c:delete val="0"/>
        <c:axPos val="b"/>
        <c:numFmt formatCode="General" sourceLinked="1"/>
        <c:majorTickMark val="out"/>
        <c:minorTickMark val="none"/>
        <c:tickLblPos val="nextTo"/>
        <c:crossAx val="127660416"/>
        <c:crosses val="autoZero"/>
        <c:auto val="1"/>
        <c:lblAlgn val="ctr"/>
        <c:lblOffset val="100"/>
        <c:noMultiLvlLbl val="0"/>
      </c:catAx>
      <c:valAx>
        <c:axId val="127660416"/>
        <c:scaling>
          <c:orientation val="minMax"/>
        </c:scaling>
        <c:delete val="0"/>
        <c:axPos val="l"/>
        <c:majorGridlines/>
        <c:numFmt formatCode="0.0" sourceLinked="1"/>
        <c:majorTickMark val="out"/>
        <c:minorTickMark val="none"/>
        <c:tickLblPos val="nextTo"/>
        <c:crossAx val="127658624"/>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085739282589702E-2"/>
          <c:y val="6.2383417826197038E-2"/>
          <c:w val="0.88120428892576719"/>
          <c:h val="0.76265632237146863"/>
        </c:manualLayout>
      </c:layout>
      <c:barChart>
        <c:barDir val="col"/>
        <c:grouping val="clustered"/>
        <c:varyColors val="0"/>
        <c:ser>
          <c:idx val="0"/>
          <c:order val="0"/>
          <c:tx>
            <c:strRef>
              <c:f>'Giyim+Tekstil+Otomotiv'!$A$17</c:f>
              <c:strCache>
                <c:ptCount val="1"/>
                <c:pt idx="0">
                  <c:v>Türkiye</c:v>
                </c:pt>
              </c:strCache>
            </c:strRef>
          </c:tx>
          <c:invertIfNegative val="0"/>
          <c:cat>
            <c:numRef>
              <c:f>'Giyim+Tekstil+Otomotiv'!$B$12:$P$12</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'Giyim+Tekstil+Otomotiv'!$B$17:$P$17</c:f>
              <c:numCache>
                <c:formatCode>0.0</c:formatCode>
                <c:ptCount val="15"/>
                <c:pt idx="0">
                  <c:v>8.9702864776425848</c:v>
                </c:pt>
                <c:pt idx="1">
                  <c:v>9.3279528263588478</c:v>
                </c:pt>
                <c:pt idx="2">
                  <c:v>11.036853429782902</c:v>
                </c:pt>
                <c:pt idx="3">
                  <c:v>12.49375253565452</c:v>
                </c:pt>
                <c:pt idx="4">
                  <c:v>13.661995545852252</c:v>
                </c:pt>
                <c:pt idx="5">
                  <c:v>14.83306959745685</c:v>
                </c:pt>
                <c:pt idx="6">
                  <c:v>15.078525866603551</c:v>
                </c:pt>
                <c:pt idx="7">
                  <c:v>14.849105555774752</c:v>
                </c:pt>
                <c:pt idx="8" formatCode="0.00">
                  <c:v>15.696703529563836</c:v>
                </c:pt>
                <c:pt idx="9" formatCode="0.00">
                  <c:v>15.172884948395344</c:v>
                </c:pt>
                <c:pt idx="10" formatCode="0.00">
                  <c:v>14.377585196899672</c:v>
                </c:pt>
                <c:pt idx="11">
                  <c:v>14.60158997833067</c:v>
                </c:pt>
                <c:pt idx="12">
                  <c:v>14.228560711035815</c:v>
                </c:pt>
                <c:pt idx="13">
                  <c:v>14.211682975843306</c:v>
                </c:pt>
                <c:pt idx="14" formatCode="0.00">
                  <c:v>15.310316491668924</c:v>
                </c:pt>
              </c:numCache>
            </c:numRef>
          </c:val>
        </c:ser>
        <c:dLbls>
          <c:showLegendKey val="0"/>
          <c:showVal val="0"/>
          <c:showCatName val="0"/>
          <c:showSerName val="0"/>
          <c:showPercent val="0"/>
          <c:showBubbleSize val="0"/>
        </c:dLbls>
        <c:gapWidth val="150"/>
        <c:axId val="130579840"/>
        <c:axId val="130581632"/>
      </c:barChart>
      <c:catAx>
        <c:axId val="130579840"/>
        <c:scaling>
          <c:orientation val="minMax"/>
        </c:scaling>
        <c:delete val="0"/>
        <c:axPos val="b"/>
        <c:numFmt formatCode="General" sourceLinked="1"/>
        <c:majorTickMark val="out"/>
        <c:minorTickMark val="none"/>
        <c:tickLblPos val="nextTo"/>
        <c:crossAx val="130581632"/>
        <c:crosses val="autoZero"/>
        <c:auto val="1"/>
        <c:lblAlgn val="ctr"/>
        <c:lblOffset val="100"/>
        <c:noMultiLvlLbl val="0"/>
      </c:catAx>
      <c:valAx>
        <c:axId val="130581632"/>
        <c:scaling>
          <c:orientation val="minMax"/>
        </c:scaling>
        <c:delete val="0"/>
        <c:axPos val="l"/>
        <c:majorGridlines/>
        <c:numFmt formatCode="0.0" sourceLinked="1"/>
        <c:majorTickMark val="out"/>
        <c:minorTickMark val="none"/>
        <c:tickLblPos val="nextTo"/>
        <c:crossAx val="13057984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Diğer!$B$12:$P$12</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Diğer!$B$11:$P$11</c:f>
              <c:numCache>
                <c:formatCode>0.0</c:formatCode>
                <c:ptCount val="15"/>
                <c:pt idx="0">
                  <c:v>50.607282613448653</c:v>
                </c:pt>
                <c:pt idx="1">
                  <c:v>50.624232865936811</c:v>
                </c:pt>
                <c:pt idx="2">
                  <c:v>50.169733506749402</c:v>
                </c:pt>
                <c:pt idx="3">
                  <c:v>48.915172116160939</c:v>
                </c:pt>
                <c:pt idx="4">
                  <c:v>48.418004243861496</c:v>
                </c:pt>
                <c:pt idx="5">
                  <c:v>49.888529453937814</c:v>
                </c:pt>
                <c:pt idx="6">
                  <c:v>50.806520789087955</c:v>
                </c:pt>
                <c:pt idx="7">
                  <c:v>52.526194240475689</c:v>
                </c:pt>
                <c:pt idx="8">
                  <c:v>52.708059705802931</c:v>
                </c:pt>
                <c:pt idx="9">
                  <c:v>53.917707301494033</c:v>
                </c:pt>
                <c:pt idx="10">
                  <c:v>52.988380681202528</c:v>
                </c:pt>
                <c:pt idx="11">
                  <c:v>53.751463367830745</c:v>
                </c:pt>
                <c:pt idx="12">
                  <c:v>55.972770439397792</c:v>
                </c:pt>
                <c:pt idx="13">
                  <c:v>57.299799309990014</c:v>
                </c:pt>
                <c:pt idx="14">
                  <c:v>55.967911420765347</c:v>
                </c:pt>
              </c:numCache>
            </c:numRef>
          </c:val>
        </c:ser>
        <c:dLbls>
          <c:showLegendKey val="0"/>
          <c:showVal val="0"/>
          <c:showCatName val="0"/>
          <c:showSerName val="0"/>
          <c:showPercent val="0"/>
          <c:showBubbleSize val="0"/>
        </c:dLbls>
        <c:gapWidth val="150"/>
        <c:axId val="130593152"/>
        <c:axId val="130594688"/>
      </c:barChart>
      <c:catAx>
        <c:axId val="130593152"/>
        <c:scaling>
          <c:orientation val="minMax"/>
        </c:scaling>
        <c:delete val="0"/>
        <c:axPos val="b"/>
        <c:numFmt formatCode="General" sourceLinked="1"/>
        <c:majorTickMark val="none"/>
        <c:minorTickMark val="none"/>
        <c:tickLblPos val="nextTo"/>
        <c:crossAx val="130594688"/>
        <c:crosses val="autoZero"/>
        <c:auto val="1"/>
        <c:lblAlgn val="ctr"/>
        <c:lblOffset val="100"/>
        <c:noMultiLvlLbl val="0"/>
      </c:catAx>
      <c:valAx>
        <c:axId val="130594688"/>
        <c:scaling>
          <c:orientation val="minMax"/>
        </c:scaling>
        <c:delete val="0"/>
        <c:axPos val="l"/>
        <c:majorGridlines/>
        <c:numFmt formatCode="0.0" sourceLinked="1"/>
        <c:majorTickMark val="none"/>
        <c:minorTickMark val="none"/>
        <c:tickLblPos val="nextTo"/>
        <c:crossAx val="13059315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20220472441051"/>
          <c:y val="5.1941612561587358E-2"/>
          <c:w val="0.81646446194225009"/>
          <c:h val="0.79069389207704965"/>
        </c:manualLayout>
      </c:layout>
      <c:lineChart>
        <c:grouping val="standard"/>
        <c:varyColors val="0"/>
        <c:ser>
          <c:idx val="0"/>
          <c:order val="0"/>
          <c:tx>
            <c:v>Diğer</c:v>
          </c:tx>
          <c:marker>
            <c:symbol val="none"/>
          </c:marker>
          <c:cat>
            <c:numRef>
              <c:f>Diğer!$B$12:$P$12</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Diğer!$B$13:$P$13</c:f>
              <c:numCache>
                <c:formatCode>#,##0</c:formatCode>
                <c:ptCount val="15"/>
                <c:pt idx="0">
                  <c:v>8075959872</c:v>
                </c:pt>
                <c:pt idx="1">
                  <c:v>9487107138</c:v>
                </c:pt>
                <c:pt idx="2">
                  <c:v>11079840969</c:v>
                </c:pt>
                <c:pt idx="3">
                  <c:v>12028490730</c:v>
                </c:pt>
                <c:pt idx="4">
                  <c:v>13197390914</c:v>
                </c:pt>
                <c:pt idx="5">
                  <c:v>16330237310</c:v>
                </c:pt>
                <c:pt idx="6">
                  <c:v>18303929574</c:v>
                </c:pt>
                <c:pt idx="7">
                  <c:v>21908309102</c:v>
                </c:pt>
                <c:pt idx="8">
                  <c:v>24799306439</c:v>
                </c:pt>
                <c:pt idx="9">
                  <c:v>24782343046</c:v>
                </c:pt>
                <c:pt idx="10">
                  <c:v>19196436674</c:v>
                </c:pt>
                <c:pt idx="11">
                  <c:v>22788777097</c:v>
                </c:pt>
                <c:pt idx="12">
                  <c:v>26946975229</c:v>
                </c:pt>
                <c:pt idx="13">
                  <c:v>27534819171</c:v>
                </c:pt>
                <c:pt idx="14">
                  <c:v>28005985165</c:v>
                </c:pt>
              </c:numCache>
            </c:numRef>
          </c:val>
          <c:smooth val="0"/>
        </c:ser>
        <c:ser>
          <c:idx val="1"/>
          <c:order val="1"/>
          <c:tx>
            <c:v>Giyim, tekstil, otomotiv</c:v>
          </c:tx>
          <c:marker>
            <c:symbol val="none"/>
          </c:marker>
          <c:val>
            <c:numRef>
              <c:f>'Giyim+Tekstil+Otomotiv'!$B$13:$P$13</c:f>
              <c:numCache>
                <c:formatCode>#,##0</c:formatCode>
                <c:ptCount val="15"/>
                <c:pt idx="0">
                  <c:v>7882138360</c:v>
                </c:pt>
                <c:pt idx="1">
                  <c:v>9253141555</c:v>
                </c:pt>
                <c:pt idx="2">
                  <c:v>11004870658</c:v>
                </c:pt>
                <c:pt idx="3">
                  <c:v>12562020168</c:v>
                </c:pt>
                <c:pt idx="4">
                  <c:v>14059806321</c:v>
                </c:pt>
                <c:pt idx="5">
                  <c:v>16403213623</c:v>
                </c:pt>
                <c:pt idx="6">
                  <c:v>17722803392</c:v>
                </c:pt>
                <c:pt idx="7">
                  <c:v>19800993121</c:v>
                </c:pt>
                <c:pt idx="8">
                  <c:v>22251005368</c:v>
                </c:pt>
                <c:pt idx="9">
                  <c:v>21180930035</c:v>
                </c:pt>
                <c:pt idx="10">
                  <c:v>17031197436</c:v>
                </c:pt>
                <c:pt idx="11">
                  <c:v>19607793469</c:v>
                </c:pt>
                <c:pt idx="12">
                  <c:v>21196032554</c:v>
                </c:pt>
                <c:pt idx="13">
                  <c:v>20519134774</c:v>
                </c:pt>
                <c:pt idx="14">
                  <c:v>22033375701</c:v>
                </c:pt>
              </c:numCache>
            </c:numRef>
          </c:val>
          <c:smooth val="0"/>
        </c:ser>
        <c:dLbls>
          <c:showLegendKey val="0"/>
          <c:showVal val="0"/>
          <c:showCatName val="0"/>
          <c:showSerName val="0"/>
          <c:showPercent val="0"/>
          <c:showBubbleSize val="0"/>
        </c:dLbls>
        <c:marker val="1"/>
        <c:smooth val="0"/>
        <c:axId val="130619264"/>
        <c:axId val="130620800"/>
      </c:lineChart>
      <c:catAx>
        <c:axId val="130619264"/>
        <c:scaling>
          <c:orientation val="minMax"/>
        </c:scaling>
        <c:delete val="0"/>
        <c:axPos val="b"/>
        <c:numFmt formatCode="General" sourceLinked="1"/>
        <c:majorTickMark val="out"/>
        <c:minorTickMark val="none"/>
        <c:tickLblPos val="nextTo"/>
        <c:crossAx val="130620800"/>
        <c:crosses val="autoZero"/>
        <c:auto val="1"/>
        <c:lblAlgn val="ctr"/>
        <c:lblOffset val="100"/>
        <c:noMultiLvlLbl val="0"/>
      </c:catAx>
      <c:valAx>
        <c:axId val="130620800"/>
        <c:scaling>
          <c:orientation val="minMax"/>
        </c:scaling>
        <c:delete val="0"/>
        <c:axPos val="l"/>
        <c:majorGridlines/>
        <c:numFmt formatCode="#,##0" sourceLinked="1"/>
        <c:majorTickMark val="out"/>
        <c:minorTickMark val="none"/>
        <c:tickLblPos val="nextTo"/>
        <c:crossAx val="130619264"/>
        <c:crosses val="autoZero"/>
        <c:crossBetween val="between"/>
        <c:dispUnits>
          <c:builtInUnit val="millions"/>
        </c:dispUnits>
      </c:valAx>
    </c:plotArea>
    <c:legend>
      <c:legendPos val="b"/>
      <c:layout>
        <c:manualLayout>
          <c:xMode val="edge"/>
          <c:yMode val="edge"/>
          <c:x val="0.34192741276192934"/>
          <c:y val="0.7095536215867756"/>
          <c:w val="0.53960651434964069"/>
          <c:h val="8.4598425196851817E-2"/>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1"/>
          <c:tx>
            <c:strRef>
              <c:f>'GDP-Exports-Reel'!$F$2</c:f>
              <c:strCache>
                <c:ptCount val="1"/>
                <c:pt idx="0">
                  <c:v>Türkiye'nin AB'ye ihracatı</c:v>
                </c:pt>
              </c:strCache>
            </c:strRef>
          </c:tx>
          <c:marker>
            <c:symbol val="none"/>
          </c:marker>
          <c:cat>
            <c:strRef>
              <c:f>'Exports-Imports-EU'!$A$3:$A$45</c:f>
              <c:strCache>
                <c:ptCount val="43"/>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strCache>
            </c:strRef>
          </c:cat>
          <c:val>
            <c:numRef>
              <c:f>'GDP-Exports-Reel'!$F$3:$F$45</c:f>
              <c:numCache>
                <c:formatCode>General</c:formatCode>
                <c:ptCount val="43"/>
                <c:pt idx="0">
                  <c:v>-6.8013869192263599E-2</c:v>
                </c:pt>
                <c:pt idx="1">
                  <c:v>-4.395947736177408E-2</c:v>
                </c:pt>
                <c:pt idx="2">
                  <c:v>-2.9891916863036216E-2</c:v>
                </c:pt>
                <c:pt idx="3">
                  <c:v>-2.245797435444357E-2</c:v>
                </c:pt>
                <c:pt idx="4">
                  <c:v>-2.8843644046348798E-2</c:v>
                </c:pt>
                <c:pt idx="5">
                  <c:v>-1.9798913915135302E-2</c:v>
                </c:pt>
                <c:pt idx="6">
                  <c:v>-9.9279346596574843E-3</c:v>
                </c:pt>
                <c:pt idx="7">
                  <c:v>6.8953273424341571E-3</c:v>
                </c:pt>
                <c:pt idx="8">
                  <c:v>1.80731906726521E-2</c:v>
                </c:pt>
                <c:pt idx="9">
                  <c:v>4.6303643329164102E-3</c:v>
                </c:pt>
                <c:pt idx="10">
                  <c:v>-7.7494484190214928E-3</c:v>
                </c:pt>
                <c:pt idx="11">
                  <c:v>-7.5655983031239823E-3</c:v>
                </c:pt>
                <c:pt idx="12">
                  <c:v>-7.6648626340904899E-3</c:v>
                </c:pt>
                <c:pt idx="13">
                  <c:v>1.60366897723065E-2</c:v>
                </c:pt>
                <c:pt idx="14">
                  <c:v>2.9466370639445499E-2</c:v>
                </c:pt>
                <c:pt idx="15">
                  <c:v>4.3567278759594402E-2</c:v>
                </c:pt>
                <c:pt idx="16" formatCode="0.00E+00">
                  <c:v>6.298690644337411E-2</c:v>
                </c:pt>
                <c:pt idx="17">
                  <c:v>8.6845346452181046E-2</c:v>
                </c:pt>
                <c:pt idx="18">
                  <c:v>0.10364417473088328</c:v>
                </c:pt>
                <c:pt idx="19">
                  <c:v>0.11488740888282378</c:v>
                </c:pt>
                <c:pt idx="20">
                  <c:v>0.11750342890214302</c:v>
                </c:pt>
                <c:pt idx="21">
                  <c:v>0.10596839015243198</c:v>
                </c:pt>
                <c:pt idx="22">
                  <c:v>8.0068568354225128E-2</c:v>
                </c:pt>
                <c:pt idx="23">
                  <c:v>1.0700438984219501E-2</c:v>
                </c:pt>
                <c:pt idx="24">
                  <c:v>-6.3432365336115723E-2</c:v>
                </c:pt>
                <c:pt idx="25">
                  <c:v>-0.1245265197596732</c:v>
                </c:pt>
                <c:pt idx="26">
                  <c:v>-0.142925584211017</c:v>
                </c:pt>
                <c:pt idx="27">
                  <c:v>-0.11074305953986401</c:v>
                </c:pt>
                <c:pt idx="28">
                  <c:v>-7.529257810579891E-2</c:v>
                </c:pt>
                <c:pt idx="29">
                  <c:v>-5.1808007856195236E-2</c:v>
                </c:pt>
                <c:pt idx="30">
                  <c:v>-4.2159398877105396E-2</c:v>
                </c:pt>
                <c:pt idx="31">
                  <c:v>-2.8049801249680997E-2</c:v>
                </c:pt>
                <c:pt idx="32">
                  <c:v>-6.9748254307686807E-3</c:v>
                </c:pt>
                <c:pt idx="33">
                  <c:v>1.5710199248559348E-2</c:v>
                </c:pt>
                <c:pt idx="34">
                  <c:v>3.1193442723127591E-2</c:v>
                </c:pt>
                <c:pt idx="35">
                  <c:v>2.1875316053233104E-2</c:v>
                </c:pt>
                <c:pt idx="36">
                  <c:v>1.3484904397479605E-2</c:v>
                </c:pt>
                <c:pt idx="37">
                  <c:v>-3.4314891580677952E-3</c:v>
                </c:pt>
                <c:pt idx="38">
                  <c:v>-2.1394029592583397E-2</c:v>
                </c:pt>
                <c:pt idx="39">
                  <c:v>-1.4323577204523335E-2</c:v>
                </c:pt>
                <c:pt idx="40">
                  <c:v>-1.0509621023841099E-2</c:v>
                </c:pt>
                <c:pt idx="41">
                  <c:v>-2.2043278447476753E-3</c:v>
                </c:pt>
                <c:pt idx="42">
                  <c:v>2.2684104051700512E-2</c:v>
                </c:pt>
              </c:numCache>
            </c:numRef>
          </c:val>
          <c:smooth val="0"/>
        </c:ser>
        <c:dLbls>
          <c:showLegendKey val="0"/>
          <c:showVal val="0"/>
          <c:showCatName val="0"/>
          <c:showSerName val="0"/>
          <c:showPercent val="0"/>
          <c:showBubbleSize val="0"/>
        </c:dLbls>
        <c:marker val="1"/>
        <c:smooth val="0"/>
        <c:axId val="130640128"/>
        <c:axId val="130641920"/>
      </c:lineChart>
      <c:lineChart>
        <c:grouping val="standard"/>
        <c:varyColors val="0"/>
        <c:ser>
          <c:idx val="0"/>
          <c:order val="0"/>
          <c:tx>
            <c:strRef>
              <c:f>'GDP-Exports-Reel'!$B$2</c:f>
              <c:strCache>
                <c:ptCount val="1"/>
                <c:pt idx="0">
                  <c:v>AB GSYH</c:v>
                </c:pt>
              </c:strCache>
            </c:strRef>
          </c:tx>
          <c:marker>
            <c:symbol val="none"/>
          </c:marker>
          <c:cat>
            <c:strRef>
              <c:f>'Exports-Imports-EU'!$A$3:$A$45</c:f>
              <c:strCache>
                <c:ptCount val="43"/>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strCache>
            </c:strRef>
          </c:cat>
          <c:val>
            <c:numRef>
              <c:f>'GDP-Exports-Reel'!$B$3:$B$45</c:f>
              <c:numCache>
                <c:formatCode>General</c:formatCode>
                <c:ptCount val="43"/>
                <c:pt idx="0">
                  <c:v>6.0093459575938488E-4</c:v>
                </c:pt>
                <c:pt idx="1">
                  <c:v>-2.6152711975910847E-3</c:v>
                </c:pt>
                <c:pt idx="2">
                  <c:v>-5.1228625750638903E-3</c:v>
                </c:pt>
                <c:pt idx="3">
                  <c:v>-6.1835705762831603E-3</c:v>
                </c:pt>
                <c:pt idx="4">
                  <c:v>-6.0174944517612499E-3</c:v>
                </c:pt>
                <c:pt idx="5">
                  <c:v>-5.2495987204004375E-3</c:v>
                </c:pt>
                <c:pt idx="6">
                  <c:v>-5.2192569670630505E-3</c:v>
                </c:pt>
                <c:pt idx="7">
                  <c:v>-6.1571117774121796E-3</c:v>
                </c:pt>
                <c:pt idx="8">
                  <c:v>-7.6993037014929846E-3</c:v>
                </c:pt>
                <c:pt idx="9">
                  <c:v>-8.4062850944946112E-3</c:v>
                </c:pt>
                <c:pt idx="10">
                  <c:v>-8.1402262468017704E-3</c:v>
                </c:pt>
                <c:pt idx="11">
                  <c:v>-6.8648635206223323E-3</c:v>
                </c:pt>
                <c:pt idx="12">
                  <c:v>-4.0773356367580496E-3</c:v>
                </c:pt>
                <c:pt idx="13">
                  <c:v>-6.035007763181019E-4</c:v>
                </c:pt>
                <c:pt idx="14">
                  <c:v>2.8733812143606472E-3</c:v>
                </c:pt>
                <c:pt idx="15">
                  <c:v>7.2118476769240753E-3</c:v>
                </c:pt>
                <c:pt idx="16">
                  <c:v>1.1899890089765136E-2</c:v>
                </c:pt>
                <c:pt idx="17">
                  <c:v>1.5894722526486001E-2</c:v>
                </c:pt>
                <c:pt idx="18">
                  <c:v>2.0612541629365249E-2</c:v>
                </c:pt>
                <c:pt idx="19">
                  <c:v>2.4444769839110501E-2</c:v>
                </c:pt>
                <c:pt idx="20">
                  <c:v>2.7785776757912852E-2</c:v>
                </c:pt>
                <c:pt idx="21">
                  <c:v>2.9115704006823499E-2</c:v>
                </c:pt>
                <c:pt idx="22">
                  <c:v>2.7270487096430401E-2</c:v>
                </c:pt>
                <c:pt idx="23">
                  <c:v>2.0040424222326398E-2</c:v>
                </c:pt>
                <c:pt idx="24">
                  <c:v>5.0632095256730875E-3</c:v>
                </c:pt>
                <c:pt idx="25">
                  <c:v>-9.6856681175197142E-3</c:v>
                </c:pt>
                <c:pt idx="26">
                  <c:v>-2.1865324337202393E-2</c:v>
                </c:pt>
                <c:pt idx="27">
                  <c:v>-2.8093821220753712E-2</c:v>
                </c:pt>
                <c:pt idx="28">
                  <c:v>-2.6084675027842567E-2</c:v>
                </c:pt>
                <c:pt idx="29">
                  <c:v>-2.089022337986891E-2</c:v>
                </c:pt>
                <c:pt idx="30">
                  <c:v>-1.5311110976352099E-2</c:v>
                </c:pt>
                <c:pt idx="31">
                  <c:v>-9.7778961271934792E-3</c:v>
                </c:pt>
                <c:pt idx="32">
                  <c:v>-3.6515876979201787E-3</c:v>
                </c:pt>
                <c:pt idx="33">
                  <c:v>3.5180663099509978E-4</c:v>
                </c:pt>
                <c:pt idx="34">
                  <c:v>3.7233914214063368E-3</c:v>
                </c:pt>
                <c:pt idx="35">
                  <c:v>5.4226513560280401E-3</c:v>
                </c:pt>
                <c:pt idx="36">
                  <c:v>5.2368139979215448E-3</c:v>
                </c:pt>
                <c:pt idx="37">
                  <c:v>4.1450377530622903E-3</c:v>
                </c:pt>
                <c:pt idx="38">
                  <c:v>2.5440480186880153E-3</c:v>
                </c:pt>
                <c:pt idx="39">
                  <c:v>3.7460954342805015E-4</c:v>
                </c:pt>
                <c:pt idx="40">
                  <c:v>-1.8236329540748336E-3</c:v>
                </c:pt>
                <c:pt idx="41">
                  <c:v>-2.4843488861598902E-3</c:v>
                </c:pt>
                <c:pt idx="42">
                  <c:v>-2.5870778945602563E-3</c:v>
                </c:pt>
              </c:numCache>
            </c:numRef>
          </c:val>
          <c:smooth val="0"/>
        </c:ser>
        <c:dLbls>
          <c:showLegendKey val="0"/>
          <c:showVal val="0"/>
          <c:showCatName val="0"/>
          <c:showSerName val="0"/>
          <c:showPercent val="0"/>
          <c:showBubbleSize val="0"/>
        </c:dLbls>
        <c:marker val="1"/>
        <c:smooth val="0"/>
        <c:axId val="130644992"/>
        <c:axId val="130643456"/>
      </c:lineChart>
      <c:catAx>
        <c:axId val="130640128"/>
        <c:scaling>
          <c:orientation val="minMax"/>
        </c:scaling>
        <c:delete val="0"/>
        <c:axPos val="b"/>
        <c:majorGridlines>
          <c:spPr>
            <a:ln>
              <a:prstDash val="dash"/>
            </a:ln>
          </c:spPr>
        </c:majorGridlines>
        <c:majorTickMark val="out"/>
        <c:minorTickMark val="none"/>
        <c:tickLblPos val="low"/>
        <c:txPr>
          <a:bodyPr rot="-5400000" vert="horz"/>
          <a:lstStyle/>
          <a:p>
            <a:pPr>
              <a:defRPr/>
            </a:pPr>
            <a:endParaRPr lang="tr-TR"/>
          </a:p>
        </c:txPr>
        <c:crossAx val="130641920"/>
        <c:crosses val="autoZero"/>
        <c:auto val="1"/>
        <c:lblAlgn val="ctr"/>
        <c:lblOffset val="100"/>
        <c:tickMarkSkip val="2"/>
        <c:noMultiLvlLbl val="0"/>
      </c:catAx>
      <c:valAx>
        <c:axId val="130641920"/>
        <c:scaling>
          <c:orientation val="minMax"/>
        </c:scaling>
        <c:delete val="0"/>
        <c:axPos val="l"/>
        <c:majorGridlines>
          <c:spPr>
            <a:ln>
              <a:prstDash val="dash"/>
            </a:ln>
          </c:spPr>
        </c:majorGridlines>
        <c:numFmt formatCode="General" sourceLinked="1"/>
        <c:majorTickMark val="out"/>
        <c:minorTickMark val="none"/>
        <c:tickLblPos val="nextTo"/>
        <c:crossAx val="130640128"/>
        <c:crosses val="autoZero"/>
        <c:crossBetween val="between"/>
      </c:valAx>
      <c:valAx>
        <c:axId val="130643456"/>
        <c:scaling>
          <c:orientation val="minMax"/>
        </c:scaling>
        <c:delete val="0"/>
        <c:axPos val="r"/>
        <c:numFmt formatCode="General" sourceLinked="1"/>
        <c:majorTickMark val="out"/>
        <c:minorTickMark val="none"/>
        <c:tickLblPos val="nextTo"/>
        <c:crossAx val="130644992"/>
        <c:crosses val="max"/>
        <c:crossBetween val="between"/>
      </c:valAx>
      <c:catAx>
        <c:axId val="130644992"/>
        <c:scaling>
          <c:orientation val="minMax"/>
        </c:scaling>
        <c:delete val="1"/>
        <c:axPos val="b"/>
        <c:majorTickMark val="out"/>
        <c:minorTickMark val="none"/>
        <c:tickLblPos val="none"/>
        <c:crossAx val="130643456"/>
        <c:crosses val="autoZero"/>
        <c:auto val="1"/>
        <c:lblAlgn val="ctr"/>
        <c:lblOffset val="100"/>
        <c:noMultiLvlLbl val="0"/>
      </c:cat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784B-BF84-4876-A033-EF7BA63A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2285</Words>
  <Characters>13030</Characters>
  <Application>Microsoft Office Word</Application>
  <DocSecurity>0</DocSecurity>
  <Lines>108</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5</cp:revision>
  <cp:lastPrinted>2014-05-23T08:39:00Z</cp:lastPrinted>
  <dcterms:created xsi:type="dcterms:W3CDTF">2014-05-23T08:32:00Z</dcterms:created>
  <dcterms:modified xsi:type="dcterms:W3CDTF">2014-05-23T08:40:00Z</dcterms:modified>
</cp:coreProperties>
</file>