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Default="009224F5"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r w:rsidR="001C6BAB">
        <w:rPr>
          <w:noProof/>
        </w:rPr>
        <mc:AlternateContent>
          <mc:Choice Requires="wps">
            <w:drawing>
              <wp:anchor distT="0" distB="0" distL="114935" distR="114935" simplePos="0" relativeHeight="251656704" behindDoc="0" locked="0" layoutInCell="1" allowOverlap="1">
                <wp:simplePos x="0" y="0"/>
                <wp:positionH relativeFrom="column">
                  <wp:posOffset>1485900</wp:posOffset>
                </wp:positionH>
                <wp:positionV relativeFrom="paragraph">
                  <wp:posOffset>-571500</wp:posOffset>
                </wp:positionV>
                <wp:extent cx="3963670" cy="5689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21E" w:rsidRPr="0026114C" w:rsidRDefault="00A1421E" w:rsidP="00024559">
                            <w:pPr>
                              <w:pStyle w:val="Heading1"/>
                              <w:rPr>
                                <w:rFonts w:ascii="Times New Roman" w:hAnsi="Times New Roman"/>
                                <w:sz w:val="40"/>
                                <w:szCs w:val="40"/>
                              </w:rPr>
                            </w:pPr>
                            <w:r>
                              <w:rPr>
                                <w:rFonts w:ascii="Times New Roman" w:hAnsi="Times New Roman"/>
                                <w:sz w:val="40"/>
                                <w:szCs w:val="40"/>
                              </w:rPr>
                              <w:t xml:space="preserve">Ekonomik Görünüm ve Tahminler: </w:t>
                            </w:r>
                            <w:r w:rsidR="00176E56">
                              <w:rPr>
                                <w:rFonts w:ascii="Times New Roman" w:hAnsi="Times New Roman"/>
                                <w:sz w:val="40"/>
                                <w:szCs w:val="40"/>
                              </w:rPr>
                              <w:t>Nisan</w:t>
                            </w:r>
                            <w:r>
                              <w:rPr>
                                <w:rFonts w:ascii="Times New Roman" w:hAnsi="Times New Roman"/>
                                <w:sz w:val="40"/>
                                <w:szCs w:val="40"/>
                              </w:rPr>
                              <w:t xml:space="preserve"> 2014</w:t>
                            </w:r>
                          </w:p>
                          <w:p w:rsidR="00A1421E" w:rsidRPr="00A75A46" w:rsidRDefault="00A1421E" w:rsidP="00024559">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45pt;width:312.1pt;height:4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7u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" stroked="f">
                <v:fill opacity="0"/>
                <v:textbox inset="0,0,0,0">
                  <w:txbxContent>
                    <w:p w:rsidR="00A1421E" w:rsidRPr="0026114C" w:rsidRDefault="00A1421E" w:rsidP="00024559">
                      <w:pPr>
                        <w:pStyle w:val="Heading1"/>
                        <w:rPr>
                          <w:rFonts w:ascii="Times New Roman" w:hAnsi="Times New Roman"/>
                          <w:sz w:val="40"/>
                          <w:szCs w:val="40"/>
                        </w:rPr>
                      </w:pPr>
                      <w:r>
                        <w:rPr>
                          <w:rFonts w:ascii="Times New Roman" w:hAnsi="Times New Roman"/>
                          <w:sz w:val="40"/>
                          <w:szCs w:val="40"/>
                        </w:rPr>
                        <w:t xml:space="preserve">Ekonomik Görünüm ve Tahminler: </w:t>
                      </w:r>
                      <w:r w:rsidR="00176E56">
                        <w:rPr>
                          <w:rFonts w:ascii="Times New Roman" w:hAnsi="Times New Roman"/>
                          <w:sz w:val="40"/>
                          <w:szCs w:val="40"/>
                        </w:rPr>
                        <w:t>Nisan</w:t>
                      </w:r>
                      <w:r>
                        <w:rPr>
                          <w:rFonts w:ascii="Times New Roman" w:hAnsi="Times New Roman"/>
                          <w:sz w:val="40"/>
                          <w:szCs w:val="40"/>
                        </w:rPr>
                        <w:t xml:space="preserve"> 2014</w:t>
                      </w:r>
                    </w:p>
                    <w:p w:rsidR="00A1421E" w:rsidRPr="00A75A46" w:rsidRDefault="00A1421E" w:rsidP="00024559">
                      <w:pPr>
                        <w:pStyle w:val="Heading2"/>
                        <w:rPr>
                          <w:b w:val="0"/>
                          <w:bCs w:val="0"/>
                          <w:i w:val="0"/>
                          <w:iCs w:val="0"/>
                          <w:lang w:val="nl-NL"/>
                        </w:rPr>
                      </w:pPr>
                    </w:p>
                  </w:txbxContent>
                </v:textbox>
              </v:shape>
            </w:pict>
          </mc:Fallback>
        </mc:AlternateContent>
      </w:r>
    </w:p>
    <w:p w:rsidR="00054BD3" w:rsidRDefault="001C6BAB" w:rsidP="001E4BF5">
      <w:pPr>
        <w:spacing w:line="360" w:lineRule="auto"/>
        <w:ind w:right="-319"/>
        <w:jc w:val="center"/>
        <w:outlineLvl w:val="0"/>
        <w:rPr>
          <w:rFonts w:ascii="Arial" w:hAnsi="Arial" w:cs="Arial"/>
          <w:b/>
          <w:bCs/>
          <w:sz w:val="32"/>
          <w:szCs w:val="32"/>
        </w:rPr>
      </w:pPr>
      <w:r>
        <w:rPr>
          <w:noProof/>
        </w:rPr>
        <w:lastRenderedPageBreak/>
        <mc:AlternateContent>
          <mc:Choice Requires="wps">
            <w:drawing>
              <wp:anchor distT="0" distB="0" distL="114935" distR="114935" simplePos="0" relativeHeight="251657728" behindDoc="0" locked="0" layoutInCell="1" allowOverlap="1">
                <wp:simplePos x="0" y="0"/>
                <wp:positionH relativeFrom="column">
                  <wp:posOffset>2010410</wp:posOffset>
                </wp:positionH>
                <wp:positionV relativeFrom="paragraph">
                  <wp:posOffset>228600</wp:posOffset>
                </wp:positionV>
                <wp:extent cx="1148715" cy="3486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21E" w:rsidRPr="00DB7229" w:rsidRDefault="00702823" w:rsidP="00024559">
                            <w:pPr>
                              <w:pStyle w:val="Heading3"/>
                              <w:rPr>
                                <w:color w:val="FFFFFF"/>
                                <w:sz w:val="22"/>
                                <w:szCs w:val="22"/>
                              </w:rPr>
                            </w:pPr>
                            <w:r>
                              <w:rPr>
                                <w:color w:val="FFFFFF"/>
                                <w:sz w:val="22"/>
                                <w:szCs w:val="22"/>
                              </w:rPr>
                              <w:t xml:space="preserve">         </w:t>
                            </w:r>
                            <w:r>
                              <w:rPr>
                                <w:color w:val="FFFFFF"/>
                                <w:sz w:val="22"/>
                                <w:szCs w:val="22"/>
                              </w:rPr>
                              <w:t>11</w:t>
                            </w:r>
                            <w:r w:rsidR="00A1421E">
                              <w:rPr>
                                <w:color w:val="FFFFFF"/>
                                <w:sz w:val="22"/>
                                <w:szCs w:val="22"/>
                              </w:rPr>
                              <w:t>.</w:t>
                            </w:r>
                            <w:r>
                              <w:rPr>
                                <w:color w:val="FFFFFF"/>
                                <w:sz w:val="22"/>
                                <w:szCs w:val="22"/>
                              </w:rPr>
                              <w:t>04</w:t>
                            </w:r>
                            <w:r w:rsidR="00A1421E">
                              <w:rPr>
                                <w:color w:val="FFFFFF"/>
                                <w:sz w:val="22"/>
                                <w:szCs w:val="22"/>
                              </w:rPr>
                              <w:t>.2014</w:t>
                            </w:r>
                          </w:p>
                          <w:p w:rsidR="00A1421E" w:rsidRDefault="00A1421E" w:rsidP="00024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3pt;margin-top:18pt;width:90.45pt;height:27.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RjQIAACM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" stroked="f">
                <v:fill opacity="0"/>
                <v:textbox inset="0,0,0,0">
                  <w:txbxContent>
                    <w:p w:rsidR="00A1421E" w:rsidRPr="00DB7229" w:rsidRDefault="00702823" w:rsidP="00024559">
                      <w:pPr>
                        <w:pStyle w:val="Heading3"/>
                        <w:rPr>
                          <w:color w:val="FFFFFF"/>
                          <w:sz w:val="22"/>
                          <w:szCs w:val="22"/>
                        </w:rPr>
                      </w:pPr>
                      <w:r>
                        <w:rPr>
                          <w:color w:val="FFFFFF"/>
                          <w:sz w:val="22"/>
                          <w:szCs w:val="22"/>
                        </w:rPr>
                        <w:t xml:space="preserve">         </w:t>
                      </w:r>
                      <w:r>
                        <w:rPr>
                          <w:color w:val="FFFFFF"/>
                          <w:sz w:val="22"/>
                          <w:szCs w:val="22"/>
                        </w:rPr>
                        <w:t>11</w:t>
                      </w:r>
                      <w:r w:rsidR="00A1421E">
                        <w:rPr>
                          <w:color w:val="FFFFFF"/>
                          <w:sz w:val="22"/>
                          <w:szCs w:val="22"/>
                        </w:rPr>
                        <w:t>.</w:t>
                      </w:r>
                      <w:r>
                        <w:rPr>
                          <w:color w:val="FFFFFF"/>
                          <w:sz w:val="22"/>
                          <w:szCs w:val="22"/>
                        </w:rPr>
                        <w:t>04</w:t>
                      </w:r>
                      <w:r w:rsidR="00A1421E">
                        <w:rPr>
                          <w:color w:val="FFFFFF"/>
                          <w:sz w:val="22"/>
                          <w:szCs w:val="22"/>
                        </w:rPr>
                        <w:t>.2014</w:t>
                      </w:r>
                    </w:p>
                    <w:p w:rsidR="00A1421E" w:rsidRDefault="00A1421E" w:rsidP="00024559"/>
                  </w:txbxContent>
                </v:textbox>
              </v:shape>
            </w:pict>
          </mc:Fallback>
        </mc:AlternateContent>
      </w:r>
    </w:p>
    <w:p w:rsidR="00054BD3" w:rsidRDefault="00054BD3" w:rsidP="001E4BF5">
      <w:pPr>
        <w:spacing w:line="360" w:lineRule="auto"/>
        <w:ind w:right="-319"/>
        <w:jc w:val="center"/>
        <w:outlineLvl w:val="0"/>
        <w:rPr>
          <w:rFonts w:ascii="Arial" w:hAnsi="Arial" w:cs="Arial"/>
          <w:b/>
          <w:bCs/>
          <w:sz w:val="32"/>
          <w:szCs w:val="32"/>
        </w:rPr>
        <w:sectPr w:rsidR="00054BD3" w:rsidSect="00357ECC">
          <w:footerReference w:type="default" r:id="rId10"/>
          <w:pgSz w:w="11906" w:h="16838"/>
          <w:pgMar w:top="1417" w:right="1417" w:bottom="1417" w:left="1417" w:header="708" w:footer="708" w:gutter="0"/>
          <w:cols w:num="2" w:space="708" w:equalWidth="0">
            <w:col w:w="4182" w:space="708"/>
            <w:col w:w="4182"/>
          </w:cols>
          <w:docGrid w:linePitch="360"/>
        </w:sectPr>
      </w:pPr>
    </w:p>
    <w:p w:rsidR="00054BD3" w:rsidRDefault="00054BD3" w:rsidP="001E4BF5">
      <w:pPr>
        <w:spacing w:line="360" w:lineRule="auto"/>
        <w:ind w:right="-319"/>
        <w:outlineLvl w:val="0"/>
        <w:rPr>
          <w:rFonts w:ascii="Arial" w:hAnsi="Arial" w:cs="Arial"/>
          <w:b/>
          <w:bCs/>
          <w:sz w:val="32"/>
          <w:szCs w:val="32"/>
        </w:rPr>
      </w:pPr>
    </w:p>
    <w:p w:rsidR="00702823" w:rsidRDefault="00702823" w:rsidP="00702823">
      <w:pPr>
        <w:ind w:right="-317"/>
        <w:jc w:val="center"/>
        <w:outlineLvl w:val="0"/>
        <w:rPr>
          <w:rFonts w:ascii="Arial" w:hAnsi="Arial" w:cs="Arial"/>
          <w:b/>
          <w:bCs/>
          <w:caps/>
          <w:sz w:val="28"/>
          <w:szCs w:val="28"/>
        </w:rPr>
      </w:pPr>
      <w:bookmarkStart w:id="0" w:name="_GoBack"/>
      <w:r>
        <w:rPr>
          <w:rFonts w:ascii="Arial" w:hAnsi="Arial" w:cs="Arial"/>
          <w:b/>
          <w:bCs/>
          <w:caps/>
          <w:sz w:val="28"/>
          <w:szCs w:val="28"/>
        </w:rPr>
        <w:t>İhracat destekli büyüme</w:t>
      </w:r>
    </w:p>
    <w:bookmarkEnd w:id="0"/>
    <w:p w:rsidR="00702823" w:rsidRDefault="00702823" w:rsidP="00702823">
      <w:pPr>
        <w:ind w:right="-317"/>
        <w:jc w:val="center"/>
        <w:outlineLvl w:val="0"/>
        <w:rPr>
          <w:rFonts w:ascii="Arial" w:hAnsi="Arial" w:cs="Arial"/>
          <w:b/>
          <w:bCs/>
          <w:caps/>
          <w:sz w:val="28"/>
          <w:szCs w:val="28"/>
        </w:rPr>
      </w:pPr>
    </w:p>
    <w:p w:rsidR="00702823" w:rsidRPr="00D63675" w:rsidRDefault="00702823" w:rsidP="0070282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Pr>
          <w:rFonts w:ascii="Arial" w:hAnsi="Arial" w:cs="Arial"/>
          <w:b/>
          <w:bCs/>
          <w:sz w:val="21"/>
          <w:szCs w:val="21"/>
          <w:vertAlign w:val="superscript"/>
        </w:rPr>
        <w:t>**</w:t>
      </w:r>
    </w:p>
    <w:p w:rsidR="00702823" w:rsidRDefault="00702823" w:rsidP="00702823">
      <w:pPr>
        <w:spacing w:line="360" w:lineRule="auto"/>
        <w:ind w:right="-319"/>
        <w:jc w:val="center"/>
        <w:outlineLvl w:val="0"/>
        <w:rPr>
          <w:rFonts w:ascii="Arial" w:hAnsi="Arial" w:cs="Arial"/>
          <w:sz w:val="22"/>
          <w:szCs w:val="22"/>
          <w:vertAlign w:val="superscript"/>
        </w:rPr>
      </w:pPr>
    </w:p>
    <w:p w:rsidR="00702823" w:rsidRPr="004A7FE6" w:rsidRDefault="00702823" w:rsidP="00702823">
      <w:pPr>
        <w:spacing w:line="360" w:lineRule="auto"/>
        <w:ind w:right="-319"/>
        <w:jc w:val="center"/>
        <w:outlineLvl w:val="0"/>
        <w:rPr>
          <w:rFonts w:ascii="Arial" w:hAnsi="Arial" w:cs="Arial"/>
          <w:sz w:val="22"/>
          <w:szCs w:val="22"/>
          <w:vertAlign w:val="superscript"/>
        </w:rPr>
        <w:sectPr w:rsidR="00702823" w:rsidRPr="004A7FE6" w:rsidSect="008651A8">
          <w:type w:val="continuous"/>
          <w:pgSz w:w="11906" w:h="16838"/>
          <w:pgMar w:top="1417" w:right="1417" w:bottom="1417" w:left="1417" w:header="708" w:footer="708" w:gutter="0"/>
          <w:cols w:space="708"/>
          <w:docGrid w:linePitch="360"/>
        </w:sectPr>
      </w:pPr>
    </w:p>
    <w:p w:rsidR="00702823" w:rsidRDefault="00702823" w:rsidP="00702823">
      <w:pPr>
        <w:spacing w:line="360" w:lineRule="auto"/>
        <w:ind w:left="-360" w:right="42" w:firstLine="360"/>
        <w:jc w:val="center"/>
        <w:rPr>
          <w:b/>
          <w:bCs/>
          <w:sz w:val="22"/>
          <w:szCs w:val="22"/>
        </w:rPr>
      </w:pPr>
      <w:r w:rsidRPr="004A7FE6">
        <w:rPr>
          <w:b/>
          <w:bCs/>
          <w:sz w:val="22"/>
          <w:szCs w:val="22"/>
        </w:rPr>
        <w:lastRenderedPageBreak/>
        <w:t>Yönetici Özeti</w:t>
      </w:r>
    </w:p>
    <w:p w:rsidR="00702823" w:rsidRPr="002B6972" w:rsidRDefault="00702823" w:rsidP="00702823">
      <w:pPr>
        <w:spacing w:line="360" w:lineRule="auto"/>
        <w:ind w:left="-360" w:right="42" w:firstLine="360"/>
        <w:jc w:val="center"/>
        <w:rPr>
          <w:b/>
          <w:bCs/>
          <w:sz w:val="22"/>
          <w:szCs w:val="22"/>
        </w:rPr>
      </w:pPr>
    </w:p>
    <w:p w:rsidR="00702823" w:rsidRDefault="00702823" w:rsidP="00702823">
      <w:pPr>
        <w:spacing w:line="360" w:lineRule="auto"/>
        <w:ind w:left="-360" w:right="40"/>
        <w:jc w:val="both"/>
        <w:rPr>
          <w:sz w:val="22"/>
          <w:szCs w:val="22"/>
        </w:rPr>
      </w:pPr>
      <w:r>
        <w:rPr>
          <w:sz w:val="22"/>
          <w:szCs w:val="22"/>
        </w:rPr>
        <w:t>Mevsim ve takvim etkisinden arındırılmış Sanayi Üretim Endeksi (SÜE) Şubat ayında bir önceki aya göre yüzde 0,1 azaldı. İ</w:t>
      </w:r>
      <w:r w:rsidRPr="00A41035">
        <w:rPr>
          <w:sz w:val="22"/>
          <w:szCs w:val="22"/>
        </w:rPr>
        <w:t xml:space="preserve">hracat miktar endeksi yüzde </w:t>
      </w:r>
      <w:r>
        <w:rPr>
          <w:sz w:val="22"/>
          <w:szCs w:val="22"/>
        </w:rPr>
        <w:t>3</w:t>
      </w:r>
      <w:r w:rsidRPr="00A41035">
        <w:rPr>
          <w:sz w:val="22"/>
          <w:szCs w:val="22"/>
        </w:rPr>
        <w:t>,</w:t>
      </w:r>
      <w:r>
        <w:rPr>
          <w:sz w:val="22"/>
          <w:szCs w:val="22"/>
        </w:rPr>
        <w:t>7 artarken,</w:t>
      </w:r>
      <w:r w:rsidRPr="00A41035">
        <w:rPr>
          <w:sz w:val="22"/>
          <w:szCs w:val="22"/>
        </w:rPr>
        <w:t xml:space="preserve"> ithalat miktar endeksi yüzde </w:t>
      </w:r>
      <w:r>
        <w:rPr>
          <w:sz w:val="22"/>
          <w:szCs w:val="22"/>
        </w:rPr>
        <w:t>4,3 azaldı</w:t>
      </w:r>
      <w:r w:rsidRPr="00A41035">
        <w:rPr>
          <w:sz w:val="22"/>
          <w:szCs w:val="22"/>
        </w:rPr>
        <w:t>.</w:t>
      </w:r>
      <w:r>
        <w:rPr>
          <w:sz w:val="22"/>
          <w:szCs w:val="22"/>
        </w:rPr>
        <w:t xml:space="preserve"> Şubat ayında artan dış talep, azalan iç talebin sanayi üretimi üzerindeki etkisini dengeledi ve endeks yatay seyretti. Tüketim ve yatırım göstergeleri ilk çeyrek için, geçen ay olduğu gibi, iç talepte daralmaya işaret ediyor. Yerel seçimlerin ve yurtdışı gelişmelerin  getirdiği olumlu hava ikinci çeyrek büyümesine katkıda bulanacak. Sanayi üretiminin yatay seyretmesiyle Betam birinci çeyreğe dair geçen ayki büyüme tahminini korudu. Ekonominin geçen çeyreğe kıyasla yüzde 0,5 oranında büyüyeceğini, önceki yılın aynı çeyreğine göre yıllık büyümenin ise yüzde 3,8 olacağını tahmin ediyoruz. </w:t>
      </w:r>
    </w:p>
    <w:p w:rsidR="00702823" w:rsidRDefault="00702823" w:rsidP="00702823">
      <w:pPr>
        <w:spacing w:line="360" w:lineRule="auto"/>
        <w:ind w:left="-360" w:right="40"/>
        <w:jc w:val="both"/>
        <w:rPr>
          <w:sz w:val="22"/>
          <w:szCs w:val="22"/>
        </w:rPr>
      </w:pPr>
    </w:p>
    <w:p w:rsidR="00702823" w:rsidRDefault="00702823" w:rsidP="00702823">
      <w:pPr>
        <w:spacing w:line="360" w:lineRule="auto"/>
        <w:ind w:left="-360" w:right="40"/>
        <w:jc w:val="both"/>
        <w:rPr>
          <w:sz w:val="22"/>
          <w:szCs w:val="22"/>
        </w:rPr>
      </w:pPr>
      <w:r>
        <w:rPr>
          <w:sz w:val="22"/>
          <w:szCs w:val="22"/>
        </w:rPr>
        <w:t>Öte yandan cari açık azalmaya devam ediyor. Şubat ayı cari açığı 3,2 milyar dolar olarak açıklandı. 12 aylık cari açık toplamı, geçen aya kıyasla, 1,9 milyar dolar düşerek 62,2 milyar dolar oldu. Cari açığın GSYH’a oranının ilk çeyrek sonunda yüzde 7,5’e düşeceğini</w:t>
      </w:r>
      <w:r w:rsidR="00E8692E">
        <w:rPr>
          <w:sz w:val="22"/>
          <w:szCs w:val="22"/>
        </w:rPr>
        <w:t xml:space="preserve"> tahmin</w:t>
      </w:r>
      <w:r>
        <w:rPr>
          <w:sz w:val="22"/>
          <w:szCs w:val="22"/>
        </w:rPr>
        <w:t xml:space="preserve"> ediyoruz. Altın hariç cari açık beklentimiz ise yüzde 6,3.</w:t>
      </w:r>
    </w:p>
    <w:p w:rsidR="00702823" w:rsidRDefault="001C6BAB" w:rsidP="00702823">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05FQ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gyQNOR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702823" w:rsidRPr="00C2696C" w:rsidRDefault="00702823" w:rsidP="00702823">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702823" w:rsidRDefault="000311C6" w:rsidP="00702823">
      <w:pPr>
        <w:spacing w:line="288" w:lineRule="auto"/>
        <w:ind w:left="-360" w:right="-318"/>
        <w:jc w:val="both"/>
        <w:rPr>
          <w:rFonts w:ascii="Arial" w:hAnsi="Arial" w:cs="Arial"/>
          <w:sz w:val="16"/>
          <w:szCs w:val="16"/>
          <w:vertAlign w:val="superscript"/>
        </w:rPr>
      </w:pPr>
      <w:hyperlink r:id="rId11" w:history="1">
        <w:r w:rsidR="00702823" w:rsidRPr="005E1D9A">
          <w:rPr>
            <w:rStyle w:val="Hyperlink"/>
            <w:rFonts w:ascii="Arial" w:hAnsi="Arial" w:cs="Arial"/>
            <w:sz w:val="16"/>
            <w:szCs w:val="16"/>
          </w:rPr>
          <w:t>zumrut.imamoglu@bahcesehir.edu.tr</w:t>
        </w:r>
      </w:hyperlink>
    </w:p>
    <w:p w:rsidR="00702823" w:rsidRPr="00C2696C" w:rsidRDefault="00702823" w:rsidP="00702823">
      <w:pPr>
        <w:spacing w:line="288" w:lineRule="auto"/>
        <w:ind w:left="-360" w:right="-318"/>
        <w:jc w:val="both"/>
        <w:rPr>
          <w:rFonts w:ascii="Arial" w:hAnsi="Arial" w:cs="Arial"/>
          <w:sz w:val="16"/>
          <w:szCs w:val="16"/>
        </w:rPr>
      </w:pPr>
      <w:r w:rsidRPr="00C2696C">
        <w:rPr>
          <w:rFonts w:ascii="Arial" w:hAnsi="Arial" w:cs="Arial"/>
          <w:sz w:val="16"/>
          <w:szCs w:val="16"/>
        </w:rPr>
        <w:t>*</w:t>
      </w:r>
      <w:r>
        <w:rPr>
          <w:rFonts w:ascii="Arial" w:hAnsi="Arial" w:cs="Arial"/>
          <w:sz w:val="16"/>
          <w:szCs w:val="16"/>
        </w:rPr>
        <w:t xml:space="preserve">* </w:t>
      </w:r>
      <w:r w:rsidRPr="00C2696C">
        <w:rPr>
          <w:rFonts w:ascii="Arial" w:hAnsi="Arial" w:cs="Arial"/>
          <w:sz w:val="16"/>
          <w:szCs w:val="16"/>
        </w:rPr>
        <w:t>Barış Soybilgen, Betam, Araştırma Görevlisi</w:t>
      </w:r>
    </w:p>
    <w:p w:rsidR="00702823" w:rsidRDefault="000311C6" w:rsidP="00702823">
      <w:pPr>
        <w:ind w:left="-360"/>
        <w:rPr>
          <w:rFonts w:ascii="Arial" w:hAnsi="Arial" w:cs="Arial"/>
          <w:sz w:val="16"/>
          <w:szCs w:val="16"/>
        </w:rPr>
      </w:pPr>
      <w:hyperlink r:id="rId12" w:history="1">
        <w:r w:rsidR="00702823" w:rsidRPr="005E1D9A">
          <w:rPr>
            <w:rStyle w:val="Hyperlink"/>
            <w:rFonts w:ascii="Arial" w:hAnsi="Arial" w:cs="Arial"/>
            <w:sz w:val="16"/>
            <w:szCs w:val="16"/>
          </w:rPr>
          <w:t>baris.soybilgen@bahcesehir.edu.tr</w:t>
        </w:r>
      </w:hyperlink>
    </w:p>
    <w:p w:rsidR="00702823" w:rsidRDefault="00702823" w:rsidP="00702823">
      <w:pPr>
        <w:ind w:right="42"/>
        <w:rPr>
          <w:b/>
          <w:bCs/>
          <w:sz w:val="22"/>
          <w:szCs w:val="22"/>
        </w:rPr>
      </w:pPr>
    </w:p>
    <w:p w:rsidR="00702823" w:rsidRDefault="00702823" w:rsidP="00702823">
      <w:pPr>
        <w:outlineLvl w:val="0"/>
        <w:rPr>
          <w:b/>
          <w:bCs/>
          <w:sz w:val="22"/>
          <w:szCs w:val="22"/>
        </w:rPr>
      </w:pPr>
    </w:p>
    <w:p w:rsidR="00702823" w:rsidRDefault="00702823" w:rsidP="00702823">
      <w:pPr>
        <w:outlineLvl w:val="0"/>
        <w:rPr>
          <w:b/>
          <w:bCs/>
          <w:sz w:val="22"/>
          <w:szCs w:val="22"/>
        </w:rPr>
      </w:pPr>
    </w:p>
    <w:p w:rsidR="00702823" w:rsidRDefault="00702823" w:rsidP="00702823">
      <w:pPr>
        <w:outlineLvl w:val="0"/>
        <w:rPr>
          <w:b/>
          <w:bCs/>
          <w:sz w:val="22"/>
          <w:szCs w:val="22"/>
        </w:rPr>
      </w:pPr>
    </w:p>
    <w:p w:rsidR="00702823" w:rsidRPr="004A7FE6" w:rsidRDefault="00702823" w:rsidP="00702823">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362"/>
      </w:tblGrid>
      <w:tr w:rsidR="00702823" w:rsidRPr="003118F7" w:rsidTr="007E14F6">
        <w:trPr>
          <w:trHeight w:val="986"/>
        </w:trPr>
        <w:tc>
          <w:tcPr>
            <w:tcW w:w="3185" w:type="dxa"/>
            <w:tcMar>
              <w:left w:w="28" w:type="dxa"/>
              <w:right w:w="28" w:type="dxa"/>
            </w:tcMar>
            <w:vAlign w:val="center"/>
          </w:tcPr>
          <w:p w:rsidR="00702823" w:rsidRPr="00180C8C" w:rsidRDefault="00702823" w:rsidP="007E14F6">
            <w:pPr>
              <w:ind w:right="42"/>
              <w:jc w:val="center"/>
              <w:rPr>
                <w:sz w:val="20"/>
                <w:szCs w:val="20"/>
              </w:rPr>
            </w:pPr>
          </w:p>
        </w:tc>
        <w:tc>
          <w:tcPr>
            <w:tcW w:w="1362" w:type="dxa"/>
            <w:vAlign w:val="center"/>
          </w:tcPr>
          <w:p w:rsidR="00702823" w:rsidRPr="00180C8C" w:rsidRDefault="00702823" w:rsidP="007E14F6">
            <w:pPr>
              <w:ind w:right="40"/>
              <w:jc w:val="center"/>
              <w:rPr>
                <w:b/>
                <w:bCs/>
                <w:sz w:val="20"/>
                <w:szCs w:val="20"/>
              </w:rPr>
            </w:pPr>
            <w:r w:rsidRPr="00180C8C">
              <w:rPr>
                <w:b/>
                <w:bCs/>
                <w:sz w:val="20"/>
                <w:szCs w:val="20"/>
              </w:rPr>
              <w:t>201</w:t>
            </w:r>
            <w:r>
              <w:rPr>
                <w:b/>
                <w:bCs/>
                <w:sz w:val="20"/>
                <w:szCs w:val="20"/>
              </w:rPr>
              <w:t>4</w:t>
            </w:r>
          </w:p>
          <w:p w:rsidR="00702823" w:rsidRPr="00180C8C" w:rsidRDefault="00702823" w:rsidP="007E14F6">
            <w:pPr>
              <w:ind w:right="40"/>
              <w:jc w:val="center"/>
              <w:rPr>
                <w:b/>
                <w:bCs/>
                <w:sz w:val="20"/>
                <w:szCs w:val="20"/>
              </w:rPr>
            </w:pPr>
            <w:r>
              <w:rPr>
                <w:b/>
                <w:bCs/>
                <w:sz w:val="20"/>
                <w:szCs w:val="20"/>
              </w:rPr>
              <w:t>1</w:t>
            </w:r>
            <w:r w:rsidRPr="00180C8C">
              <w:rPr>
                <w:b/>
                <w:bCs/>
                <w:sz w:val="20"/>
                <w:szCs w:val="20"/>
              </w:rPr>
              <w:t>. Çeyrek</w:t>
            </w:r>
          </w:p>
          <w:p w:rsidR="00702823" w:rsidRDefault="00702823" w:rsidP="007E14F6">
            <w:pPr>
              <w:ind w:right="40"/>
              <w:jc w:val="center"/>
              <w:rPr>
                <w:b/>
                <w:bCs/>
                <w:sz w:val="20"/>
                <w:szCs w:val="20"/>
              </w:rPr>
            </w:pPr>
            <w:r w:rsidRPr="00180C8C">
              <w:rPr>
                <w:b/>
                <w:bCs/>
                <w:sz w:val="20"/>
                <w:szCs w:val="20"/>
              </w:rPr>
              <w:t>Tahmin</w:t>
            </w:r>
          </w:p>
          <w:p w:rsidR="00702823" w:rsidRPr="00180C8C" w:rsidRDefault="00702823" w:rsidP="007E14F6">
            <w:pPr>
              <w:ind w:right="40"/>
              <w:jc w:val="center"/>
              <w:rPr>
                <w:b/>
                <w:bCs/>
                <w:sz w:val="20"/>
                <w:szCs w:val="20"/>
              </w:rPr>
            </w:pPr>
            <w:r>
              <w:rPr>
                <w:b/>
                <w:bCs/>
                <w:sz w:val="20"/>
                <w:szCs w:val="20"/>
              </w:rPr>
              <w:t>(%)</w:t>
            </w:r>
          </w:p>
        </w:tc>
      </w:tr>
      <w:tr w:rsidR="00702823" w:rsidRPr="003118F7" w:rsidTr="007E14F6">
        <w:trPr>
          <w:trHeight w:val="771"/>
        </w:trPr>
        <w:tc>
          <w:tcPr>
            <w:tcW w:w="3185" w:type="dxa"/>
            <w:tcMar>
              <w:left w:w="28" w:type="dxa"/>
              <w:right w:w="28" w:type="dxa"/>
            </w:tcMar>
            <w:vAlign w:val="center"/>
          </w:tcPr>
          <w:p w:rsidR="00702823" w:rsidRPr="00180C8C" w:rsidRDefault="00702823" w:rsidP="007E14F6">
            <w:pPr>
              <w:ind w:right="42"/>
              <w:rPr>
                <w:sz w:val="20"/>
                <w:szCs w:val="20"/>
              </w:rPr>
            </w:pPr>
            <w:r w:rsidRPr="00180C8C">
              <w:rPr>
                <w:sz w:val="20"/>
                <w:szCs w:val="20"/>
              </w:rPr>
              <w:t>GSYH büyüme, reel</w:t>
            </w:r>
          </w:p>
          <w:p w:rsidR="00702823" w:rsidRPr="00180C8C" w:rsidRDefault="00702823" w:rsidP="007E14F6">
            <w:pPr>
              <w:ind w:right="42"/>
              <w:rPr>
                <w:sz w:val="20"/>
                <w:szCs w:val="20"/>
              </w:rPr>
            </w:pPr>
            <w:r w:rsidRPr="00180C8C">
              <w:rPr>
                <w:sz w:val="20"/>
                <w:szCs w:val="20"/>
              </w:rPr>
              <w:t>(bir önceki çeyreğe göre, mea*)</w:t>
            </w:r>
          </w:p>
        </w:tc>
        <w:tc>
          <w:tcPr>
            <w:tcW w:w="1362" w:type="dxa"/>
            <w:vAlign w:val="center"/>
          </w:tcPr>
          <w:p w:rsidR="00702823" w:rsidRPr="00180C8C" w:rsidRDefault="00702823" w:rsidP="007E14F6">
            <w:pPr>
              <w:ind w:right="42"/>
              <w:jc w:val="center"/>
              <w:rPr>
                <w:sz w:val="20"/>
                <w:szCs w:val="20"/>
              </w:rPr>
            </w:pPr>
            <w:r w:rsidRPr="00180C8C">
              <w:rPr>
                <w:sz w:val="20"/>
                <w:szCs w:val="20"/>
              </w:rPr>
              <w:t>0,</w:t>
            </w:r>
            <w:r>
              <w:rPr>
                <w:sz w:val="20"/>
                <w:szCs w:val="20"/>
              </w:rPr>
              <w:t>5</w:t>
            </w:r>
          </w:p>
        </w:tc>
      </w:tr>
      <w:tr w:rsidR="00702823" w:rsidRPr="003118F7" w:rsidTr="007E14F6">
        <w:trPr>
          <w:trHeight w:val="756"/>
        </w:trPr>
        <w:tc>
          <w:tcPr>
            <w:tcW w:w="3185" w:type="dxa"/>
            <w:tcMar>
              <w:left w:w="28" w:type="dxa"/>
              <w:right w:w="28" w:type="dxa"/>
            </w:tcMar>
            <w:vAlign w:val="center"/>
          </w:tcPr>
          <w:p w:rsidR="00702823" w:rsidRPr="00180C8C" w:rsidRDefault="00702823" w:rsidP="007E14F6">
            <w:pPr>
              <w:ind w:right="42"/>
              <w:rPr>
                <w:sz w:val="20"/>
                <w:szCs w:val="20"/>
              </w:rPr>
            </w:pPr>
            <w:r w:rsidRPr="00180C8C">
              <w:rPr>
                <w:sz w:val="20"/>
                <w:szCs w:val="20"/>
              </w:rPr>
              <w:t>GSYH büyüme, reel (geçen yılın aynı çeyreğine göre, tea**)</w:t>
            </w:r>
          </w:p>
        </w:tc>
        <w:tc>
          <w:tcPr>
            <w:tcW w:w="1362" w:type="dxa"/>
            <w:vAlign w:val="center"/>
          </w:tcPr>
          <w:p w:rsidR="00702823" w:rsidRPr="00180C8C" w:rsidRDefault="00702823" w:rsidP="007E14F6">
            <w:pPr>
              <w:ind w:right="42"/>
              <w:jc w:val="center"/>
              <w:rPr>
                <w:sz w:val="20"/>
                <w:szCs w:val="20"/>
              </w:rPr>
            </w:pPr>
            <w:r>
              <w:rPr>
                <w:sz w:val="20"/>
                <w:szCs w:val="20"/>
              </w:rPr>
              <w:t>3</w:t>
            </w:r>
            <w:r w:rsidRPr="00180C8C">
              <w:rPr>
                <w:sz w:val="20"/>
                <w:szCs w:val="20"/>
              </w:rPr>
              <w:t>,</w:t>
            </w:r>
            <w:r>
              <w:rPr>
                <w:sz w:val="20"/>
                <w:szCs w:val="20"/>
              </w:rPr>
              <w:t>8</w:t>
            </w:r>
          </w:p>
        </w:tc>
      </w:tr>
      <w:tr w:rsidR="00702823" w:rsidRPr="003118F7" w:rsidTr="007E14F6">
        <w:trPr>
          <w:trHeight w:val="583"/>
        </w:trPr>
        <w:tc>
          <w:tcPr>
            <w:tcW w:w="3185" w:type="dxa"/>
            <w:tcMar>
              <w:left w:w="28" w:type="dxa"/>
              <w:right w:w="28" w:type="dxa"/>
            </w:tcMar>
            <w:vAlign w:val="center"/>
          </w:tcPr>
          <w:p w:rsidR="00702823" w:rsidRPr="00180C8C" w:rsidRDefault="00702823" w:rsidP="007E14F6">
            <w:pPr>
              <w:ind w:right="40"/>
              <w:rPr>
                <w:sz w:val="20"/>
                <w:szCs w:val="20"/>
              </w:rPr>
            </w:pPr>
            <w:r>
              <w:rPr>
                <w:sz w:val="20"/>
                <w:szCs w:val="20"/>
              </w:rPr>
              <w:t>Cari a</w:t>
            </w:r>
            <w:r w:rsidRPr="00180C8C">
              <w:rPr>
                <w:sz w:val="20"/>
                <w:szCs w:val="20"/>
              </w:rPr>
              <w:t>çık (yıllık)</w:t>
            </w:r>
          </w:p>
        </w:tc>
        <w:tc>
          <w:tcPr>
            <w:tcW w:w="1362" w:type="dxa"/>
            <w:vAlign w:val="center"/>
          </w:tcPr>
          <w:p w:rsidR="00702823" w:rsidRPr="00180C8C" w:rsidRDefault="00702823" w:rsidP="007E14F6">
            <w:pPr>
              <w:ind w:right="40"/>
              <w:jc w:val="center"/>
              <w:rPr>
                <w:sz w:val="20"/>
                <w:szCs w:val="20"/>
              </w:rPr>
            </w:pPr>
            <w:r w:rsidRPr="00180C8C">
              <w:rPr>
                <w:sz w:val="20"/>
                <w:szCs w:val="20"/>
              </w:rPr>
              <w:t>7,</w:t>
            </w:r>
            <w:r>
              <w:rPr>
                <w:sz w:val="20"/>
                <w:szCs w:val="20"/>
              </w:rPr>
              <w:t>5</w:t>
            </w:r>
          </w:p>
        </w:tc>
      </w:tr>
      <w:tr w:rsidR="00702823" w:rsidRPr="003118F7" w:rsidTr="007E14F6">
        <w:trPr>
          <w:trHeight w:val="583"/>
        </w:trPr>
        <w:tc>
          <w:tcPr>
            <w:tcW w:w="3185" w:type="dxa"/>
            <w:tcMar>
              <w:left w:w="28" w:type="dxa"/>
              <w:right w:w="28" w:type="dxa"/>
            </w:tcMar>
            <w:vAlign w:val="center"/>
          </w:tcPr>
          <w:p w:rsidR="00702823" w:rsidRPr="00180C8C" w:rsidRDefault="00702823" w:rsidP="007E14F6">
            <w:pPr>
              <w:ind w:right="40"/>
              <w:rPr>
                <w:sz w:val="20"/>
                <w:szCs w:val="20"/>
              </w:rPr>
            </w:pPr>
            <w:r>
              <w:rPr>
                <w:sz w:val="20"/>
                <w:szCs w:val="20"/>
              </w:rPr>
              <w:t>Altın hariç cari açık (yıllık)</w:t>
            </w:r>
          </w:p>
        </w:tc>
        <w:tc>
          <w:tcPr>
            <w:tcW w:w="1362" w:type="dxa"/>
            <w:vAlign w:val="center"/>
          </w:tcPr>
          <w:p w:rsidR="00702823" w:rsidRPr="00180C8C" w:rsidRDefault="00702823" w:rsidP="007E14F6">
            <w:pPr>
              <w:ind w:right="40"/>
              <w:jc w:val="center"/>
              <w:rPr>
                <w:sz w:val="20"/>
                <w:szCs w:val="20"/>
              </w:rPr>
            </w:pPr>
            <w:r>
              <w:rPr>
                <w:sz w:val="20"/>
                <w:szCs w:val="20"/>
              </w:rPr>
              <w:t>6,3</w:t>
            </w:r>
          </w:p>
        </w:tc>
      </w:tr>
    </w:tbl>
    <w:p w:rsidR="00702823" w:rsidRPr="0070556E" w:rsidRDefault="00702823" w:rsidP="00702823">
      <w:pPr>
        <w:ind w:left="-360" w:right="40"/>
        <w:rPr>
          <w:sz w:val="4"/>
          <w:szCs w:val="4"/>
        </w:rPr>
      </w:pPr>
    </w:p>
    <w:p w:rsidR="00702823" w:rsidRPr="00C674EC" w:rsidRDefault="00702823" w:rsidP="00702823">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702823" w:rsidRDefault="00702823" w:rsidP="00702823">
      <w:pPr>
        <w:spacing w:line="360" w:lineRule="auto"/>
        <w:ind w:right="42"/>
        <w:rPr>
          <w:b/>
          <w:bCs/>
          <w:sz w:val="22"/>
          <w:szCs w:val="22"/>
        </w:rPr>
      </w:pPr>
    </w:p>
    <w:p w:rsidR="00702823" w:rsidRDefault="00702823" w:rsidP="00702823">
      <w:pPr>
        <w:ind w:left="-360"/>
        <w:rPr>
          <w:rFonts w:ascii="Arial" w:hAnsi="Arial" w:cs="Arial"/>
          <w:sz w:val="16"/>
          <w:szCs w:val="16"/>
        </w:rPr>
      </w:pPr>
    </w:p>
    <w:p w:rsidR="00702823" w:rsidRDefault="00702823" w:rsidP="00702823">
      <w:pPr>
        <w:spacing w:line="360" w:lineRule="auto"/>
        <w:ind w:left="-360"/>
        <w:jc w:val="center"/>
        <w:rPr>
          <w:b/>
          <w:bCs/>
          <w:sz w:val="22"/>
          <w:szCs w:val="22"/>
        </w:rPr>
      </w:pPr>
      <w:r>
        <w:rPr>
          <w:b/>
          <w:bCs/>
          <w:sz w:val="22"/>
          <w:szCs w:val="22"/>
        </w:rPr>
        <w:t>Sanayi üretimi ihracatla devam etti</w:t>
      </w:r>
    </w:p>
    <w:p w:rsidR="00702823" w:rsidRDefault="00702823" w:rsidP="00702823">
      <w:pPr>
        <w:spacing w:line="360" w:lineRule="auto"/>
        <w:ind w:left="-360"/>
        <w:jc w:val="center"/>
        <w:rPr>
          <w:b/>
          <w:bCs/>
          <w:sz w:val="22"/>
          <w:szCs w:val="22"/>
        </w:rPr>
      </w:pPr>
    </w:p>
    <w:p w:rsidR="00702823" w:rsidRDefault="00702823" w:rsidP="00702823">
      <w:pPr>
        <w:spacing w:line="360" w:lineRule="auto"/>
        <w:ind w:left="-360" w:right="42"/>
        <w:jc w:val="both"/>
        <w:rPr>
          <w:sz w:val="22"/>
          <w:szCs w:val="22"/>
        </w:rPr>
      </w:pPr>
      <w:r>
        <w:rPr>
          <w:sz w:val="22"/>
          <w:szCs w:val="22"/>
        </w:rPr>
        <w:t>Sanayi üretiminde beklediğimiz gibi Şubat ayında yüzde -0,1'lik küçük bir düşüş gerçekleşti. Geçen çeyreğe kıyasla ise üretim</w:t>
      </w:r>
      <w:r w:rsidR="00E8692E">
        <w:rPr>
          <w:sz w:val="22"/>
          <w:szCs w:val="22"/>
        </w:rPr>
        <w:t>, yüzde 1,7 ile</w:t>
      </w:r>
      <w:r>
        <w:rPr>
          <w:sz w:val="22"/>
          <w:szCs w:val="22"/>
        </w:rPr>
        <w:t xml:space="preserve"> oldukça yüksek denilebilecek bir artış gösterdi. Son çeyrekte sanayi üretimi yüzde 1,0 oranında artmıştı. Yüksek sanayi üretimi, geçen ay yayınladığımız yıllık bazda yüzde 3,8'lik büyümeyi teyit etti. </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 xml:space="preserve">Sanayinin alt kalemleri üretimdeki artışın iç talepten ziyade dış talep kaynaklı olduğunu gösteriyor. Nitekim ihracat miktar endeksi Şubat </w:t>
      </w:r>
      <w:r>
        <w:rPr>
          <w:sz w:val="22"/>
          <w:szCs w:val="22"/>
        </w:rPr>
        <w:lastRenderedPageBreak/>
        <w:t xml:space="preserve">ayında yüzde 3,6 arttı. İthalatta ise azalış sürüyor. Azalışın önemli kısmı altından kaynaklansa da, altın hariç ithalatta da azalış gözlemliyoruz. Tüketim, yatırım ve aramalı ithalatlarının tümünde önemli ölçüde düşüş var. Öncü gösterge olarak kullandığımız ithalat rakamlarında iki aydır görülen düşüş, iç talepte yavaşlama olduğuna dair önemli bir işaret. </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Öte yandan Mart ayında beklenti göstergelerinde bir miktar düzelme görülüyor. 17 Aralık öncesi seviyelere henüz geri dönmüş olmasa da tüketici güven endeksi ve reel güven endeksi baharı artışla karşıladı. Seçim sonuçlarını takiben Nisan'da olumlu havanın devam edeceğini tahmin ediyoruz.</w:t>
      </w:r>
    </w:p>
    <w:p w:rsidR="00702823" w:rsidRDefault="00702823" w:rsidP="00702823">
      <w:pPr>
        <w:spacing w:line="360" w:lineRule="auto"/>
        <w:ind w:left="-360" w:right="42"/>
        <w:jc w:val="both"/>
        <w:rPr>
          <w:sz w:val="22"/>
          <w:szCs w:val="22"/>
        </w:rPr>
      </w:pPr>
      <w:r>
        <w:rPr>
          <w:sz w:val="22"/>
          <w:szCs w:val="22"/>
        </w:rPr>
        <w:t>Borsa İstanbul'da reel olarak kayıplar sürse de Şubat ve Mart aylarında sermaye girişinin güçlendiği görülüyor.</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 xml:space="preserve">Şubat ayına dair açıklanan veriler, geçtiğimiz ay olduğu gibi, büyümenin ihracat ağırlıklı devam ettiğini, iç talepte daralma olsa dahi dış talebin bunu telafi edecek güçte olduğunu gösteriyor.  Bu durumda geçen ay yaptığımız büyüme tahminlerini koruyoruz. Çeyrekten çeyreğe büyüme tahminimiz yüzde 0,5. Geçtiğimiz yılın aynı çeyreğine göre büyümeyi ise yüzde 3,8 olarak öngörüyoruz. </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Altın ithalatının hızlı bir şekilde azalmaya başlamış olması nedeniyle, ilk çeyrek sonunda cari açığın GSYH'a oranının yüzde 7,9'dan yüzde 7,5'e düşmesini bekliyoruz. Altın hariç cari açık oranının ise yüzde 6,5'ten yüzde 6,3'e ineceğini tahmin ediyoruz.</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p>
    <w:p w:rsidR="00702823" w:rsidRPr="00495192" w:rsidRDefault="00702823" w:rsidP="00702823">
      <w:pPr>
        <w:spacing w:line="360" w:lineRule="auto"/>
        <w:ind w:left="-360" w:right="42"/>
        <w:jc w:val="center"/>
        <w:rPr>
          <w:b/>
          <w:sz w:val="22"/>
          <w:szCs w:val="22"/>
        </w:rPr>
      </w:pPr>
      <w:r>
        <w:rPr>
          <w:b/>
          <w:sz w:val="22"/>
          <w:szCs w:val="22"/>
        </w:rPr>
        <w:lastRenderedPageBreak/>
        <w:t>Bahar havasına kapılmamak lazım</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31 Mart seçimlerinin geride kalmasıyla beraber piyasalarda adeta bir bahar havası esmeye başladı. Seçimlerden iktidar partisine çıkan destek siyasi belirsizlikleri tümüyle ortadan kaldırmasa da azalttı. TL dolar karşısında yaklaşık yüzde 5 oranında değer kazandı.</w:t>
      </w:r>
      <w:r w:rsidR="00E24C8A">
        <w:rPr>
          <w:rStyle w:val="FootnoteReference"/>
          <w:sz w:val="22"/>
          <w:szCs w:val="22"/>
        </w:rPr>
        <w:footnoteReference w:id="1"/>
      </w:r>
      <w:r>
        <w:rPr>
          <w:sz w:val="22"/>
          <w:szCs w:val="22"/>
        </w:rPr>
        <w:t xml:space="preserve"> Borsa İstanbul 73 binin üzerine çıktı, gösterge faiz yüzde 10'un altına indi ve Merkez Bankası'ndan faizin düşürülmesi yönünde beklentiler oluştu.</w:t>
      </w:r>
      <w:r w:rsidR="00E24C8A">
        <w:rPr>
          <w:sz w:val="22"/>
          <w:szCs w:val="22"/>
        </w:rPr>
        <w:t xml:space="preserve"> </w:t>
      </w:r>
    </w:p>
    <w:p w:rsidR="00E24C8A" w:rsidRDefault="00E24C8A"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İçeride yaşanan siyasi belirsizlik ve seçim atmosferi, Türkiye ekonomisinin küresel konjonktüre bağlı olarak dış dünyadan ne kadar  etkilendiğini bir kez daha unutturmuş görünüyor. 18 Aralık'ta Amerikan Merkez Bankası (FED)'in tahvil alımlarını azaltmasıyla başlayan süreç halen devam ediyor. Sermaye giriş çıkışları, tüm gelişmekte olan ülkelerde, ABD kaynaklı verilere ve küresel gelişmelere bağlı olarak dalgalanıyor.</w:t>
      </w:r>
      <w:r w:rsidR="00E24C8A">
        <w:rPr>
          <w:sz w:val="22"/>
          <w:szCs w:val="22"/>
        </w:rPr>
        <w:t xml:space="preserve"> </w:t>
      </w:r>
      <w:r>
        <w:rPr>
          <w:sz w:val="22"/>
          <w:szCs w:val="22"/>
        </w:rPr>
        <w:t xml:space="preserve"> </w:t>
      </w:r>
    </w:p>
    <w:p w:rsidR="00702823" w:rsidRDefault="00702823" w:rsidP="00702823">
      <w:pPr>
        <w:spacing w:line="360" w:lineRule="auto"/>
        <w:ind w:left="-360" w:right="42"/>
        <w:jc w:val="both"/>
        <w:rPr>
          <w:sz w:val="22"/>
          <w:szCs w:val="22"/>
        </w:rPr>
      </w:pPr>
      <w:r>
        <w:rPr>
          <w:sz w:val="22"/>
          <w:szCs w:val="22"/>
        </w:rPr>
        <w:t xml:space="preserve">İçeride artan siyasi belirsizlik Türkiye için bu ortamda ciddi bir risk unsuruydu. Bunun bir miktar azalmış olmasının etkileri özellikle tüketim davranışı üzerinde olumlu olacaktır. Ancak küresel koşullar normalleşmeden, Türkiye ekonomisinin normalleşmesi beklenemez. </w:t>
      </w:r>
    </w:p>
    <w:p w:rsidR="00702823" w:rsidRDefault="00702823" w:rsidP="00702823">
      <w:pPr>
        <w:spacing w:line="360" w:lineRule="auto"/>
        <w:ind w:left="-360" w:right="42"/>
        <w:jc w:val="both"/>
        <w:rPr>
          <w:sz w:val="22"/>
          <w:szCs w:val="22"/>
        </w:rPr>
      </w:pPr>
    </w:p>
    <w:p w:rsidR="00702823" w:rsidRDefault="00702823" w:rsidP="00702823">
      <w:pPr>
        <w:spacing w:line="360" w:lineRule="auto"/>
        <w:ind w:left="-360" w:right="42"/>
        <w:jc w:val="both"/>
        <w:rPr>
          <w:sz w:val="22"/>
          <w:szCs w:val="22"/>
        </w:rPr>
      </w:pPr>
      <w:r>
        <w:rPr>
          <w:sz w:val="22"/>
          <w:szCs w:val="22"/>
        </w:rPr>
        <w:t xml:space="preserve">Maalesef bu durum politika seçenekleri açısından Merkez Bankası'nın elini kısıtlıyor. Yalnızca 2014 değil 2015 yılı da Türkiye'nin para politikasını sıkı tutması gereken bir yıl olacak. Verilerle dalgalanan bir artıp bir azalan sermaye akımlarına karşı büyük politika faizi tepkileri vermek uzun vadede hatalı bir politika olacaktır. Oysa ki </w:t>
      </w:r>
      <w:r w:rsidR="00E8692E">
        <w:rPr>
          <w:sz w:val="22"/>
          <w:szCs w:val="22"/>
        </w:rPr>
        <w:lastRenderedPageBreak/>
        <w:t>tüketim ve yatırımların</w:t>
      </w:r>
      <w:r>
        <w:rPr>
          <w:sz w:val="22"/>
          <w:szCs w:val="22"/>
        </w:rPr>
        <w:t xml:space="preserve"> canlanması için kısa vadeli faydalar yerine uzun vadeli, istikrarlı politikalar benimsemek gerekir.</w:t>
      </w:r>
    </w:p>
    <w:p w:rsidR="00306265" w:rsidRDefault="00306265" w:rsidP="00306265">
      <w:pPr>
        <w:spacing w:line="360" w:lineRule="auto"/>
        <w:ind w:left="-360" w:right="42"/>
        <w:jc w:val="both"/>
        <w:rPr>
          <w:sz w:val="22"/>
          <w:szCs w:val="22"/>
        </w:rPr>
      </w:pPr>
    </w:p>
    <w:p w:rsidR="003A5C17" w:rsidRDefault="0024030B" w:rsidP="003A5C17">
      <w:pPr>
        <w:spacing w:line="360" w:lineRule="auto"/>
        <w:ind w:left="-360" w:right="42"/>
        <w:jc w:val="center"/>
        <w:rPr>
          <w:b/>
          <w:bCs/>
          <w:sz w:val="22"/>
          <w:szCs w:val="22"/>
        </w:rPr>
      </w:pPr>
      <w:r>
        <w:rPr>
          <w:b/>
          <w:bCs/>
          <w:sz w:val="22"/>
          <w:szCs w:val="22"/>
        </w:rPr>
        <w:t>Özel tüketim negatifte</w:t>
      </w:r>
    </w:p>
    <w:p w:rsidR="003A5C17" w:rsidRDefault="003A5C17" w:rsidP="003A5C17">
      <w:pPr>
        <w:spacing w:line="360" w:lineRule="auto"/>
        <w:ind w:left="-360" w:right="42"/>
        <w:jc w:val="both"/>
        <w:rPr>
          <w:sz w:val="22"/>
          <w:szCs w:val="22"/>
        </w:rPr>
      </w:pPr>
    </w:p>
    <w:p w:rsidR="00A1421E" w:rsidRDefault="0024030B" w:rsidP="003A5C17">
      <w:pPr>
        <w:spacing w:line="360" w:lineRule="auto"/>
        <w:ind w:left="-360" w:right="42"/>
        <w:jc w:val="both"/>
        <w:rPr>
          <w:sz w:val="22"/>
          <w:szCs w:val="22"/>
        </w:rPr>
      </w:pPr>
      <w:r>
        <w:rPr>
          <w:sz w:val="22"/>
          <w:szCs w:val="22"/>
        </w:rPr>
        <w:t>Şubat</w:t>
      </w:r>
      <w:r w:rsidR="00DC014C">
        <w:rPr>
          <w:sz w:val="22"/>
          <w:szCs w:val="22"/>
        </w:rPr>
        <w:t xml:space="preserve"> ayınd</w:t>
      </w:r>
      <w:r>
        <w:rPr>
          <w:sz w:val="22"/>
          <w:szCs w:val="22"/>
        </w:rPr>
        <w:t>a bir önceki aya göre dayanıklı</w:t>
      </w:r>
      <w:r w:rsidR="00DC014C">
        <w:rPr>
          <w:sz w:val="22"/>
          <w:szCs w:val="22"/>
        </w:rPr>
        <w:t xml:space="preserve"> tüketim malı imalatı yüzde </w:t>
      </w:r>
      <w:r>
        <w:rPr>
          <w:sz w:val="22"/>
          <w:szCs w:val="22"/>
        </w:rPr>
        <w:t>3,3</w:t>
      </w:r>
      <w:r w:rsidR="00DC014C">
        <w:rPr>
          <w:sz w:val="22"/>
          <w:szCs w:val="22"/>
        </w:rPr>
        <w:t xml:space="preserve"> </w:t>
      </w:r>
      <w:r w:rsidR="00E8692E">
        <w:rPr>
          <w:sz w:val="22"/>
          <w:szCs w:val="22"/>
        </w:rPr>
        <w:t>arttı. Bu artışta dış pazarlara yönelik otomobil üretiminin de etkisi oldu.</w:t>
      </w:r>
      <w:r w:rsidR="007F525C">
        <w:rPr>
          <w:sz w:val="22"/>
          <w:szCs w:val="22"/>
        </w:rPr>
        <w:t xml:space="preserve"> Buna karşın aynı dönemde</w:t>
      </w:r>
      <w:r w:rsidR="00DC014C">
        <w:rPr>
          <w:sz w:val="22"/>
          <w:szCs w:val="22"/>
        </w:rPr>
        <w:t xml:space="preserve"> </w:t>
      </w:r>
      <w:r w:rsidR="007F525C">
        <w:rPr>
          <w:sz w:val="22"/>
          <w:szCs w:val="22"/>
        </w:rPr>
        <w:t>d</w:t>
      </w:r>
      <w:r>
        <w:rPr>
          <w:sz w:val="22"/>
          <w:szCs w:val="22"/>
        </w:rPr>
        <w:t>ayanıksız tüketim malı imalatı</w:t>
      </w:r>
      <w:r w:rsidR="007F525C">
        <w:rPr>
          <w:sz w:val="22"/>
          <w:szCs w:val="22"/>
        </w:rPr>
        <w:t xml:space="preserve"> ve tüketim malı ithalatı sırasıyla</w:t>
      </w:r>
      <w:r>
        <w:rPr>
          <w:sz w:val="22"/>
          <w:szCs w:val="22"/>
        </w:rPr>
        <w:t xml:space="preserve"> yüzde 1,2</w:t>
      </w:r>
      <w:r w:rsidR="007F525C">
        <w:rPr>
          <w:sz w:val="22"/>
          <w:szCs w:val="22"/>
        </w:rPr>
        <w:t xml:space="preserve"> ve yüzde 4,</w:t>
      </w:r>
      <w:r>
        <w:rPr>
          <w:sz w:val="22"/>
          <w:szCs w:val="22"/>
        </w:rPr>
        <w:t xml:space="preserve">9 azaldı. </w:t>
      </w:r>
    </w:p>
    <w:p w:rsidR="00A1421E" w:rsidRDefault="00A1421E" w:rsidP="003A5C17">
      <w:pPr>
        <w:spacing w:line="360" w:lineRule="auto"/>
        <w:ind w:left="-360" w:right="42"/>
        <w:jc w:val="both"/>
        <w:rPr>
          <w:sz w:val="22"/>
          <w:szCs w:val="22"/>
        </w:rPr>
      </w:pPr>
    </w:p>
    <w:p w:rsidR="0024030B" w:rsidRDefault="0024030B" w:rsidP="003A5C17">
      <w:pPr>
        <w:spacing w:line="360" w:lineRule="auto"/>
        <w:ind w:left="-360" w:right="42"/>
        <w:jc w:val="both"/>
        <w:rPr>
          <w:sz w:val="22"/>
          <w:szCs w:val="22"/>
        </w:rPr>
      </w:pPr>
      <w:r>
        <w:rPr>
          <w:sz w:val="22"/>
          <w:szCs w:val="22"/>
        </w:rPr>
        <w:t xml:space="preserve">Şubat ayında Tüketici güven son 4 yıldaki en düşük noktayı görmüştü. Mart ayında </w:t>
      </w:r>
      <w:r w:rsidR="007F525C">
        <w:rPr>
          <w:sz w:val="22"/>
          <w:szCs w:val="22"/>
        </w:rPr>
        <w:t>ise bir önceki aya göre yüzde 5,</w:t>
      </w:r>
      <w:r>
        <w:rPr>
          <w:sz w:val="22"/>
          <w:szCs w:val="22"/>
        </w:rPr>
        <w:t xml:space="preserve">1 artarak güçlü bir toparlanma gösterdi. Buna karşılık </w:t>
      </w:r>
      <w:r w:rsidR="009D2B42">
        <w:rPr>
          <w:sz w:val="22"/>
          <w:szCs w:val="22"/>
        </w:rPr>
        <w:t>tüketici güven endeksi, tüketim malı ithalatı ve dayanıklı tüketim malı imalatı çeyreklik bazda hala negatif. Bu nedenle özel tüketim harcamalarının</w:t>
      </w:r>
      <w:r w:rsidR="00A1421E">
        <w:rPr>
          <w:sz w:val="22"/>
          <w:szCs w:val="22"/>
        </w:rPr>
        <w:t xml:space="preserve"> 2014.</w:t>
      </w:r>
      <w:r w:rsidR="007F525C">
        <w:rPr>
          <w:sz w:val="22"/>
          <w:szCs w:val="22"/>
        </w:rPr>
        <w:t xml:space="preserve"> ilk</w:t>
      </w:r>
      <w:r w:rsidR="00A1421E">
        <w:rPr>
          <w:sz w:val="22"/>
          <w:szCs w:val="22"/>
        </w:rPr>
        <w:t xml:space="preserve"> ç</w:t>
      </w:r>
      <w:r w:rsidR="009D2B42">
        <w:rPr>
          <w:sz w:val="22"/>
          <w:szCs w:val="22"/>
        </w:rPr>
        <w:t xml:space="preserve">eyrekte reel GSYH'a negatif katkı yapmasını bekliyoruz. </w:t>
      </w:r>
    </w:p>
    <w:p w:rsidR="003A5C17" w:rsidRDefault="003A5C17" w:rsidP="003A5C17">
      <w:pPr>
        <w:spacing w:line="360" w:lineRule="auto"/>
        <w:ind w:right="42"/>
        <w:rPr>
          <w:b/>
          <w:bCs/>
          <w:sz w:val="22"/>
          <w:szCs w:val="22"/>
        </w:rPr>
      </w:pPr>
    </w:p>
    <w:p w:rsidR="003A5C17" w:rsidRDefault="00306265" w:rsidP="003A5C17">
      <w:pPr>
        <w:spacing w:line="360" w:lineRule="auto"/>
        <w:ind w:left="-360" w:right="42"/>
        <w:jc w:val="center"/>
        <w:rPr>
          <w:b/>
          <w:bCs/>
          <w:sz w:val="22"/>
          <w:szCs w:val="22"/>
        </w:rPr>
      </w:pPr>
      <w:r>
        <w:rPr>
          <w:b/>
          <w:bCs/>
          <w:sz w:val="22"/>
          <w:szCs w:val="22"/>
        </w:rPr>
        <w:t>Yatırım yatay devam ediyor</w:t>
      </w:r>
    </w:p>
    <w:p w:rsidR="003A5C17" w:rsidRDefault="003A5C17" w:rsidP="003A5C17">
      <w:pPr>
        <w:spacing w:line="360" w:lineRule="auto"/>
        <w:ind w:right="42"/>
        <w:jc w:val="both"/>
        <w:rPr>
          <w:bCs/>
          <w:sz w:val="22"/>
          <w:szCs w:val="22"/>
        </w:rPr>
      </w:pPr>
    </w:p>
    <w:p w:rsidR="00A1421E" w:rsidRDefault="009D2B42" w:rsidP="00A1421E">
      <w:pPr>
        <w:spacing w:line="360" w:lineRule="auto"/>
        <w:ind w:left="-360" w:right="43"/>
        <w:jc w:val="both"/>
        <w:rPr>
          <w:bCs/>
          <w:sz w:val="22"/>
          <w:szCs w:val="22"/>
        </w:rPr>
      </w:pPr>
      <w:r>
        <w:rPr>
          <w:bCs/>
          <w:sz w:val="22"/>
          <w:szCs w:val="22"/>
        </w:rPr>
        <w:t>Şubat</w:t>
      </w:r>
      <w:r w:rsidR="00786067">
        <w:rPr>
          <w:bCs/>
          <w:sz w:val="22"/>
          <w:szCs w:val="22"/>
        </w:rPr>
        <w:t xml:space="preserve"> ayında bir önceki aya göre</w:t>
      </w:r>
      <w:r w:rsidR="00DC2094">
        <w:rPr>
          <w:bCs/>
          <w:sz w:val="22"/>
          <w:szCs w:val="22"/>
        </w:rPr>
        <w:t xml:space="preserve"> </w:t>
      </w:r>
      <w:r>
        <w:rPr>
          <w:bCs/>
          <w:sz w:val="22"/>
          <w:szCs w:val="22"/>
        </w:rPr>
        <w:t xml:space="preserve">hem </w:t>
      </w:r>
      <w:r w:rsidR="00DC2094">
        <w:rPr>
          <w:bCs/>
          <w:sz w:val="22"/>
          <w:szCs w:val="22"/>
        </w:rPr>
        <w:t xml:space="preserve">ara malı ithalatı ve </w:t>
      </w:r>
      <w:r>
        <w:rPr>
          <w:bCs/>
          <w:sz w:val="22"/>
          <w:szCs w:val="22"/>
        </w:rPr>
        <w:t xml:space="preserve">hem de </w:t>
      </w:r>
      <w:r w:rsidR="00DC2094">
        <w:rPr>
          <w:bCs/>
          <w:sz w:val="22"/>
          <w:szCs w:val="22"/>
        </w:rPr>
        <w:t>yatırım malı ithalatı</w:t>
      </w:r>
      <w:r>
        <w:rPr>
          <w:bCs/>
          <w:sz w:val="22"/>
          <w:szCs w:val="22"/>
        </w:rPr>
        <w:t xml:space="preserve"> yüzde 5,1 azaldı</w:t>
      </w:r>
      <w:r w:rsidR="00DC2094">
        <w:rPr>
          <w:bCs/>
          <w:sz w:val="22"/>
          <w:szCs w:val="22"/>
        </w:rPr>
        <w:t xml:space="preserve">. Yatırım malı imalatı </w:t>
      </w:r>
      <w:r>
        <w:rPr>
          <w:bCs/>
          <w:sz w:val="22"/>
          <w:szCs w:val="22"/>
        </w:rPr>
        <w:t>ise</w:t>
      </w:r>
      <w:r w:rsidR="00DC2094">
        <w:rPr>
          <w:bCs/>
          <w:sz w:val="22"/>
          <w:szCs w:val="22"/>
        </w:rPr>
        <w:t xml:space="preserve"> aynı dönemde yüzde </w:t>
      </w:r>
      <w:r w:rsidR="007F525C">
        <w:rPr>
          <w:bCs/>
          <w:sz w:val="22"/>
          <w:szCs w:val="22"/>
        </w:rPr>
        <w:t>1,</w:t>
      </w:r>
      <w:r>
        <w:rPr>
          <w:bCs/>
          <w:sz w:val="22"/>
          <w:szCs w:val="22"/>
        </w:rPr>
        <w:t>6 arttı</w:t>
      </w:r>
      <w:r w:rsidR="00DC2094">
        <w:rPr>
          <w:bCs/>
          <w:sz w:val="22"/>
          <w:szCs w:val="22"/>
        </w:rPr>
        <w:t>.</w:t>
      </w:r>
      <w:r w:rsidR="00A1421E">
        <w:rPr>
          <w:bCs/>
          <w:sz w:val="22"/>
          <w:szCs w:val="22"/>
        </w:rPr>
        <w:t xml:space="preserve"> Buna karşılık dayanıksız ve ara malı imalatındaki düşüşe paralel olarak SÜE Şubat ayında yüzde 0,1 azaldı.</w:t>
      </w:r>
    </w:p>
    <w:p w:rsidR="00A1421E" w:rsidRDefault="00A1421E" w:rsidP="00A1421E">
      <w:pPr>
        <w:spacing w:line="360" w:lineRule="auto"/>
        <w:ind w:left="-360" w:right="43"/>
        <w:jc w:val="both"/>
        <w:rPr>
          <w:bCs/>
          <w:sz w:val="22"/>
          <w:szCs w:val="22"/>
        </w:rPr>
      </w:pPr>
    </w:p>
    <w:p w:rsidR="00A1421E" w:rsidRDefault="009D2B42" w:rsidP="00A1421E">
      <w:pPr>
        <w:spacing w:line="360" w:lineRule="auto"/>
        <w:ind w:left="-360" w:right="43"/>
        <w:jc w:val="both"/>
        <w:rPr>
          <w:bCs/>
          <w:sz w:val="22"/>
          <w:szCs w:val="22"/>
        </w:rPr>
      </w:pPr>
      <w:r>
        <w:rPr>
          <w:bCs/>
          <w:sz w:val="22"/>
          <w:szCs w:val="22"/>
        </w:rPr>
        <w:t>KKO son 3 aydır düşmeye d</w:t>
      </w:r>
      <w:r w:rsidR="00A1421E">
        <w:rPr>
          <w:bCs/>
          <w:sz w:val="22"/>
          <w:szCs w:val="22"/>
        </w:rPr>
        <w:t>evam ediyor. En son Mart ayında 0,1 yüzde puan daha düştü.</w:t>
      </w:r>
      <w:r>
        <w:rPr>
          <w:bCs/>
          <w:sz w:val="22"/>
          <w:szCs w:val="22"/>
        </w:rPr>
        <w:t xml:space="preserve"> </w:t>
      </w:r>
      <w:r w:rsidR="00A1421E">
        <w:rPr>
          <w:bCs/>
          <w:sz w:val="22"/>
          <w:szCs w:val="22"/>
        </w:rPr>
        <w:t xml:space="preserve">Reel Kesim Güven Endeksi ise toparlanma eğilimini sürdürdü. Mart ayında bir önceki aya göre yüzde 1,0 arttı. Genel olarak Özel yatırım harcamalarının </w:t>
      </w:r>
      <w:r w:rsidR="00A1421E">
        <w:rPr>
          <w:bCs/>
          <w:sz w:val="22"/>
          <w:szCs w:val="22"/>
        </w:rPr>
        <w:lastRenderedPageBreak/>
        <w:t xml:space="preserve">2014 </w:t>
      </w:r>
      <w:r w:rsidR="007F525C">
        <w:rPr>
          <w:bCs/>
          <w:sz w:val="22"/>
          <w:szCs w:val="22"/>
        </w:rPr>
        <w:t>ilk</w:t>
      </w:r>
      <w:r w:rsidR="00A1421E">
        <w:rPr>
          <w:bCs/>
          <w:sz w:val="22"/>
          <w:szCs w:val="22"/>
        </w:rPr>
        <w:t xml:space="preserve"> çeyrekte bir önceki çeyrekte olduğu gibi yatay bir seyir izlemesini bekliyoruz. </w:t>
      </w:r>
    </w:p>
    <w:p w:rsidR="009D2B42" w:rsidRDefault="009D2B42" w:rsidP="003A5C17">
      <w:pPr>
        <w:spacing w:line="360" w:lineRule="auto"/>
        <w:ind w:left="-360" w:right="43"/>
        <w:jc w:val="both"/>
        <w:rPr>
          <w:bCs/>
          <w:sz w:val="22"/>
          <w:szCs w:val="22"/>
        </w:rPr>
      </w:pPr>
    </w:p>
    <w:p w:rsidR="003A5C17" w:rsidRDefault="008E4B91" w:rsidP="003A5C17">
      <w:pPr>
        <w:spacing w:line="360" w:lineRule="auto"/>
        <w:ind w:left="-360" w:right="43"/>
        <w:jc w:val="center"/>
        <w:rPr>
          <w:b/>
          <w:bCs/>
          <w:sz w:val="22"/>
          <w:szCs w:val="22"/>
        </w:rPr>
      </w:pPr>
      <w:r>
        <w:rPr>
          <w:b/>
          <w:bCs/>
          <w:sz w:val="22"/>
          <w:szCs w:val="22"/>
        </w:rPr>
        <w:t xml:space="preserve">İlk </w:t>
      </w:r>
      <w:r w:rsidR="00A1421E">
        <w:rPr>
          <w:b/>
          <w:bCs/>
          <w:sz w:val="22"/>
          <w:szCs w:val="22"/>
        </w:rPr>
        <w:t>çeyreğin taşıyıcısı net ihracat olacak</w:t>
      </w:r>
      <w:r w:rsidR="003A5C17">
        <w:rPr>
          <w:b/>
          <w:bCs/>
          <w:sz w:val="22"/>
          <w:szCs w:val="22"/>
        </w:rPr>
        <w:br/>
      </w:r>
    </w:p>
    <w:p w:rsidR="003A5C17" w:rsidRDefault="003A5C17" w:rsidP="003A5C17">
      <w:pPr>
        <w:spacing w:line="360" w:lineRule="auto"/>
        <w:ind w:left="-360" w:right="43"/>
        <w:jc w:val="both"/>
        <w:rPr>
          <w:sz w:val="22"/>
          <w:szCs w:val="22"/>
        </w:rPr>
      </w:pPr>
      <w:r>
        <w:rPr>
          <w:sz w:val="22"/>
          <w:szCs w:val="22"/>
        </w:rPr>
        <w:t xml:space="preserve">Şekil 2 TÜİK’in açıkladığı mevsim ve takvim etkisinden arındırılmış ihracat ve ithalat miktar endekslerini gösteriyor. </w:t>
      </w:r>
      <w:r w:rsidR="00A1421E">
        <w:rPr>
          <w:sz w:val="22"/>
          <w:szCs w:val="22"/>
        </w:rPr>
        <w:t>Şubat</w:t>
      </w:r>
      <w:r>
        <w:rPr>
          <w:sz w:val="22"/>
          <w:szCs w:val="22"/>
        </w:rPr>
        <w:t xml:space="preserve"> ayında bir önceki aya göre ihracat miktar endeksi yüzde </w:t>
      </w:r>
      <w:r w:rsidR="00A1421E">
        <w:rPr>
          <w:sz w:val="22"/>
          <w:szCs w:val="22"/>
        </w:rPr>
        <w:t>3,7</w:t>
      </w:r>
      <w:r>
        <w:rPr>
          <w:sz w:val="22"/>
          <w:szCs w:val="22"/>
        </w:rPr>
        <w:t xml:space="preserve"> </w:t>
      </w:r>
      <w:r w:rsidR="00FD6CC6">
        <w:rPr>
          <w:sz w:val="22"/>
          <w:szCs w:val="22"/>
        </w:rPr>
        <w:t>artarken</w:t>
      </w:r>
      <w:r>
        <w:rPr>
          <w:sz w:val="22"/>
          <w:szCs w:val="22"/>
        </w:rPr>
        <w:t xml:space="preserve">, ithalat miktar endeksi yüzde </w:t>
      </w:r>
      <w:r w:rsidR="00A1421E">
        <w:rPr>
          <w:sz w:val="22"/>
          <w:szCs w:val="22"/>
        </w:rPr>
        <w:t>4,3</w:t>
      </w:r>
      <w:r>
        <w:rPr>
          <w:sz w:val="22"/>
          <w:szCs w:val="22"/>
        </w:rPr>
        <w:t xml:space="preserve"> </w:t>
      </w:r>
      <w:r w:rsidR="00FD6CC6">
        <w:rPr>
          <w:sz w:val="22"/>
          <w:szCs w:val="22"/>
        </w:rPr>
        <w:t>azaldı</w:t>
      </w:r>
      <w:r>
        <w:rPr>
          <w:sz w:val="22"/>
          <w:szCs w:val="22"/>
        </w:rPr>
        <w:t>. Aynı döne</w:t>
      </w:r>
      <w:r w:rsidR="00FD6CC6">
        <w:rPr>
          <w:sz w:val="22"/>
          <w:szCs w:val="22"/>
        </w:rPr>
        <w:t xml:space="preserve">mde altın dışı ihracat ve altın dışı ithalat sırasıyla yüzde </w:t>
      </w:r>
      <w:r w:rsidR="00A1421E">
        <w:rPr>
          <w:sz w:val="22"/>
          <w:szCs w:val="22"/>
        </w:rPr>
        <w:t>2,1</w:t>
      </w:r>
      <w:r>
        <w:rPr>
          <w:sz w:val="22"/>
          <w:szCs w:val="22"/>
        </w:rPr>
        <w:t xml:space="preserve"> </w:t>
      </w:r>
      <w:r w:rsidR="00FD6CC6">
        <w:rPr>
          <w:sz w:val="22"/>
          <w:szCs w:val="22"/>
        </w:rPr>
        <w:t xml:space="preserve">ve yüzde </w:t>
      </w:r>
      <w:r w:rsidR="00A1421E">
        <w:rPr>
          <w:sz w:val="22"/>
          <w:szCs w:val="22"/>
        </w:rPr>
        <w:t>4,1</w:t>
      </w:r>
      <w:r w:rsidR="00FD6CC6">
        <w:rPr>
          <w:sz w:val="22"/>
          <w:szCs w:val="22"/>
        </w:rPr>
        <w:t xml:space="preserve"> </w:t>
      </w:r>
      <w:r w:rsidR="00A1421E">
        <w:rPr>
          <w:sz w:val="22"/>
          <w:szCs w:val="22"/>
        </w:rPr>
        <w:t>azaldı</w:t>
      </w:r>
      <w:r w:rsidR="00FD6CC6">
        <w:rPr>
          <w:sz w:val="22"/>
          <w:szCs w:val="22"/>
        </w:rPr>
        <w:t xml:space="preserve">. Bu veriler ışığında net ihracatın 2014 </w:t>
      </w:r>
      <w:r w:rsidR="007F525C">
        <w:rPr>
          <w:sz w:val="22"/>
          <w:szCs w:val="22"/>
        </w:rPr>
        <w:t>ilk</w:t>
      </w:r>
      <w:r w:rsidR="00FD6CC6">
        <w:rPr>
          <w:sz w:val="22"/>
          <w:szCs w:val="22"/>
        </w:rPr>
        <w:t xml:space="preserve"> çeyrekte </w:t>
      </w:r>
      <w:r w:rsidR="00A1421E">
        <w:rPr>
          <w:sz w:val="22"/>
          <w:szCs w:val="22"/>
        </w:rPr>
        <w:t>büyümenin ana taşıyıcısı olmasını bekliyoruz.</w:t>
      </w:r>
    </w:p>
    <w:p w:rsidR="003A5C17" w:rsidRDefault="003A5C17" w:rsidP="003A5C17">
      <w:pPr>
        <w:spacing w:line="360" w:lineRule="auto"/>
        <w:ind w:left="-360" w:right="43"/>
        <w:jc w:val="both"/>
        <w:rPr>
          <w:sz w:val="22"/>
          <w:szCs w:val="22"/>
        </w:rPr>
      </w:pPr>
    </w:p>
    <w:p w:rsidR="00702823" w:rsidRDefault="00702823" w:rsidP="00702823">
      <w:pPr>
        <w:spacing w:line="360" w:lineRule="auto"/>
        <w:ind w:left="-360" w:right="43"/>
        <w:jc w:val="center"/>
        <w:rPr>
          <w:b/>
          <w:bCs/>
          <w:sz w:val="22"/>
          <w:szCs w:val="22"/>
        </w:rPr>
      </w:pPr>
      <w:r>
        <w:rPr>
          <w:b/>
          <w:bCs/>
          <w:sz w:val="22"/>
          <w:szCs w:val="22"/>
        </w:rPr>
        <w:t>Cari açık azalmaya devam ediyor</w:t>
      </w:r>
    </w:p>
    <w:p w:rsidR="00702823" w:rsidRDefault="00702823" w:rsidP="00702823">
      <w:pPr>
        <w:spacing w:line="360" w:lineRule="auto"/>
        <w:ind w:left="-360" w:right="43"/>
        <w:jc w:val="center"/>
        <w:rPr>
          <w:b/>
          <w:bCs/>
          <w:sz w:val="22"/>
          <w:szCs w:val="22"/>
        </w:rPr>
      </w:pPr>
    </w:p>
    <w:p w:rsidR="00702823" w:rsidRDefault="00702823" w:rsidP="00702823">
      <w:pPr>
        <w:spacing w:line="360" w:lineRule="auto"/>
        <w:ind w:left="-360" w:right="43"/>
        <w:jc w:val="both"/>
        <w:rPr>
          <w:sz w:val="22"/>
          <w:szCs w:val="22"/>
        </w:rPr>
      </w:pPr>
      <w:r>
        <w:rPr>
          <w:sz w:val="22"/>
          <w:szCs w:val="22"/>
        </w:rPr>
        <w:t xml:space="preserve">Şubat ayında cari açık 3,2 milyar dolar olarak gerçekleşti. Geçtiğimiz yılın aynı ayında cari açık 5,1 milyar dolardı. Böylece 12 aylık toplam cari açık 64,1 milyar dolardan 62,2 milyar dolara düştü. Altın hariç cari açık ise 52,4'den 51,6 milyar dolara indi. </w:t>
      </w:r>
    </w:p>
    <w:p w:rsidR="00702823" w:rsidRDefault="00702823" w:rsidP="00702823">
      <w:pPr>
        <w:spacing w:line="360" w:lineRule="auto"/>
        <w:ind w:left="-360" w:right="43"/>
        <w:jc w:val="both"/>
        <w:rPr>
          <w:sz w:val="22"/>
          <w:szCs w:val="22"/>
        </w:rPr>
      </w:pPr>
    </w:p>
    <w:p w:rsidR="00702823" w:rsidRDefault="00702823" w:rsidP="00702823">
      <w:pPr>
        <w:spacing w:line="360" w:lineRule="auto"/>
        <w:ind w:left="-360" w:right="43"/>
        <w:jc w:val="both"/>
        <w:rPr>
          <w:sz w:val="22"/>
          <w:szCs w:val="22"/>
        </w:rPr>
      </w:pPr>
      <w:r>
        <w:rPr>
          <w:sz w:val="22"/>
          <w:szCs w:val="22"/>
        </w:rPr>
        <w:t xml:space="preserve">Ocak ayının aksine Şubat ayında Türkiye'ye sermaye girişleri arttı ve Merkez Bankası rezervlerine 1,6 milyar eklendi. Doğrudan yatırımlar 0,9 milyar dolar arttı, portföy yatırımları tahvilden çıkış nedeniyle 1,5 milyar dolar düştü, diğer yatırımlar ise krediler kaynaklı 3,2 milyar dolar arttı. Toplamda 2,6 milyar net sermaye girişi gerçekleşti. Net hata ve noksan kalemi ise 2,2 milyar dolar kaynağı belirsiz girişe işaret etti. </w:t>
      </w:r>
    </w:p>
    <w:p w:rsidR="00965C0E" w:rsidRDefault="00702823" w:rsidP="00E24C8A">
      <w:pPr>
        <w:spacing w:line="360" w:lineRule="auto"/>
        <w:ind w:left="-360" w:right="43"/>
        <w:jc w:val="both"/>
        <w:rPr>
          <w:sz w:val="22"/>
          <w:szCs w:val="22"/>
        </w:rPr>
        <w:sectPr w:rsidR="00965C0E" w:rsidSect="000F0C2B">
          <w:type w:val="continuous"/>
          <w:pgSz w:w="11906" w:h="16838"/>
          <w:pgMar w:top="1417" w:right="1417" w:bottom="1417" w:left="1417" w:header="708" w:footer="708" w:gutter="0"/>
          <w:cols w:num="2" w:space="708" w:equalWidth="0">
            <w:col w:w="4182" w:space="708"/>
            <w:col w:w="4182"/>
          </w:cols>
          <w:docGrid w:linePitch="360"/>
        </w:sectPr>
      </w:pPr>
      <w:r>
        <w:rPr>
          <w:sz w:val="22"/>
          <w:szCs w:val="22"/>
        </w:rPr>
        <w:t>İlk çeyrek sonunda cari açık oranının yüzde 7,9'dan yüzde 7,5'e düşeceğini, altın hariç cari açık oranının ise yüzde 6,5'ten 6,3'e ineceğini tahmin ediyoruz.</w:t>
      </w:r>
    </w:p>
    <w:p w:rsidR="00392A7C" w:rsidRPr="009B33E7" w:rsidRDefault="00392A7C" w:rsidP="00392A7C">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10620"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098"/>
        <w:gridCol w:w="925"/>
        <w:gridCol w:w="1073"/>
        <w:gridCol w:w="1138"/>
        <w:gridCol w:w="1069"/>
        <w:gridCol w:w="960"/>
        <w:gridCol w:w="960"/>
      </w:tblGrid>
      <w:tr w:rsidR="00AD323C" w:rsidTr="00786067">
        <w:trPr>
          <w:trHeight w:val="607"/>
        </w:trPr>
        <w:tc>
          <w:tcPr>
            <w:tcW w:w="3397" w:type="dxa"/>
            <w:vAlign w:val="center"/>
          </w:tcPr>
          <w:p w:rsidR="00AD323C" w:rsidRPr="00261A05" w:rsidRDefault="00AD323C" w:rsidP="00A1421E">
            <w:pPr>
              <w:ind w:right="42"/>
              <w:jc w:val="center"/>
              <w:rPr>
                <w:b/>
                <w:bCs/>
              </w:rPr>
            </w:pPr>
            <w:r w:rsidRPr="00261A05">
              <w:rPr>
                <w:b/>
                <w:bCs/>
                <w:sz w:val="22"/>
                <w:szCs w:val="22"/>
              </w:rPr>
              <w:t>Ekonomik Göstergeler</w:t>
            </w:r>
          </w:p>
        </w:tc>
        <w:tc>
          <w:tcPr>
            <w:tcW w:w="1098" w:type="dxa"/>
            <w:vAlign w:val="center"/>
          </w:tcPr>
          <w:p w:rsidR="00AD323C" w:rsidRPr="00261A05" w:rsidRDefault="00AD323C" w:rsidP="00A1421E">
            <w:pPr>
              <w:ind w:right="42"/>
              <w:jc w:val="center"/>
              <w:rPr>
                <w:b/>
                <w:bCs/>
              </w:rPr>
            </w:pPr>
            <w:r>
              <w:rPr>
                <w:b/>
                <w:bCs/>
              </w:rPr>
              <w:t>Kasım</w:t>
            </w:r>
          </w:p>
        </w:tc>
        <w:tc>
          <w:tcPr>
            <w:tcW w:w="925" w:type="dxa"/>
            <w:vAlign w:val="center"/>
          </w:tcPr>
          <w:p w:rsidR="00AD323C" w:rsidRPr="00261A05" w:rsidRDefault="00AD323C" w:rsidP="00A1421E">
            <w:pPr>
              <w:ind w:right="42"/>
              <w:jc w:val="center"/>
              <w:rPr>
                <w:b/>
                <w:bCs/>
              </w:rPr>
            </w:pPr>
            <w:r>
              <w:rPr>
                <w:b/>
                <w:bCs/>
              </w:rPr>
              <w:t>Aralık</w:t>
            </w:r>
          </w:p>
        </w:tc>
        <w:tc>
          <w:tcPr>
            <w:tcW w:w="1073" w:type="dxa"/>
            <w:vAlign w:val="center"/>
          </w:tcPr>
          <w:p w:rsidR="00AD323C" w:rsidRPr="00261A05" w:rsidRDefault="00AD323C" w:rsidP="00A1421E">
            <w:pPr>
              <w:ind w:right="42"/>
              <w:jc w:val="center"/>
              <w:rPr>
                <w:b/>
                <w:bCs/>
              </w:rPr>
            </w:pPr>
            <w:r>
              <w:rPr>
                <w:b/>
                <w:bCs/>
              </w:rPr>
              <w:t>Ocak</w:t>
            </w:r>
          </w:p>
        </w:tc>
        <w:tc>
          <w:tcPr>
            <w:tcW w:w="1138" w:type="dxa"/>
            <w:vAlign w:val="center"/>
          </w:tcPr>
          <w:p w:rsidR="00AD323C" w:rsidRPr="00261A05" w:rsidRDefault="00AD323C" w:rsidP="00A1421E">
            <w:pPr>
              <w:ind w:right="42"/>
              <w:jc w:val="center"/>
              <w:rPr>
                <w:b/>
                <w:bCs/>
              </w:rPr>
            </w:pPr>
            <w:r>
              <w:rPr>
                <w:b/>
                <w:bCs/>
              </w:rPr>
              <w:t>Şubat</w:t>
            </w:r>
          </w:p>
        </w:tc>
        <w:tc>
          <w:tcPr>
            <w:tcW w:w="1069" w:type="dxa"/>
            <w:tcBorders>
              <w:right w:val="double" w:sz="4" w:space="0" w:color="auto"/>
            </w:tcBorders>
            <w:vAlign w:val="center"/>
          </w:tcPr>
          <w:p w:rsidR="00AD323C" w:rsidRPr="00261A05" w:rsidRDefault="00AD323C" w:rsidP="00A1421E">
            <w:pPr>
              <w:ind w:right="42"/>
              <w:jc w:val="center"/>
              <w:rPr>
                <w:b/>
                <w:bCs/>
              </w:rPr>
            </w:pPr>
            <w:r>
              <w:rPr>
                <w:b/>
                <w:bCs/>
              </w:rPr>
              <w:t>Mart</w:t>
            </w:r>
          </w:p>
        </w:tc>
        <w:tc>
          <w:tcPr>
            <w:tcW w:w="960" w:type="dxa"/>
            <w:tcBorders>
              <w:left w:val="double" w:sz="4" w:space="0" w:color="auto"/>
            </w:tcBorders>
            <w:vAlign w:val="center"/>
          </w:tcPr>
          <w:p w:rsidR="00AD323C" w:rsidRPr="00261A05" w:rsidRDefault="00AD323C" w:rsidP="00A1421E">
            <w:pPr>
              <w:ind w:right="42"/>
              <w:jc w:val="center"/>
              <w:rPr>
                <w:b/>
                <w:bCs/>
              </w:rPr>
            </w:pPr>
            <w:r>
              <w:rPr>
                <w:b/>
                <w:bCs/>
                <w:sz w:val="22"/>
                <w:szCs w:val="22"/>
              </w:rPr>
              <w:t>2013 4</w:t>
            </w:r>
            <w:r w:rsidRPr="00261A05">
              <w:rPr>
                <w:b/>
                <w:bCs/>
                <w:sz w:val="22"/>
                <w:szCs w:val="22"/>
              </w:rPr>
              <w:t>. Çeyrek</w:t>
            </w:r>
          </w:p>
        </w:tc>
        <w:tc>
          <w:tcPr>
            <w:tcW w:w="960" w:type="dxa"/>
            <w:vAlign w:val="center"/>
          </w:tcPr>
          <w:p w:rsidR="00AD323C" w:rsidRPr="00261A05" w:rsidRDefault="00AD323C" w:rsidP="007440DB">
            <w:pPr>
              <w:ind w:right="42"/>
              <w:jc w:val="center"/>
              <w:rPr>
                <w:b/>
                <w:bCs/>
              </w:rPr>
            </w:pPr>
            <w:r>
              <w:rPr>
                <w:b/>
                <w:bCs/>
                <w:sz w:val="22"/>
                <w:szCs w:val="22"/>
              </w:rPr>
              <w:t>2014 1</w:t>
            </w:r>
            <w:r w:rsidRPr="00261A05">
              <w:rPr>
                <w:b/>
                <w:bCs/>
                <w:sz w:val="22"/>
                <w:szCs w:val="22"/>
              </w:rPr>
              <w:t>. Çeyrek</w:t>
            </w:r>
          </w:p>
        </w:tc>
      </w:tr>
      <w:tr w:rsidR="00AD323C" w:rsidTr="00786067">
        <w:trPr>
          <w:trHeight w:val="370"/>
        </w:trPr>
        <w:tc>
          <w:tcPr>
            <w:tcW w:w="3397" w:type="dxa"/>
            <w:vAlign w:val="center"/>
          </w:tcPr>
          <w:p w:rsidR="00AD323C" w:rsidRPr="00261A05" w:rsidRDefault="00AD323C" w:rsidP="00A1421E">
            <w:pPr>
              <w:ind w:right="42"/>
              <w:jc w:val="center"/>
              <w:rPr>
                <w:b/>
                <w:bCs/>
              </w:rPr>
            </w:pPr>
            <w:r w:rsidRPr="00261A05">
              <w:rPr>
                <w:b/>
                <w:bCs/>
                <w:sz w:val="22"/>
                <w:szCs w:val="22"/>
              </w:rPr>
              <w:t>İhracat</w:t>
            </w:r>
            <w:r>
              <w:rPr>
                <w:b/>
                <w:bCs/>
                <w:sz w:val="22"/>
                <w:szCs w:val="22"/>
              </w:rPr>
              <w:t>*</w:t>
            </w:r>
          </w:p>
        </w:tc>
        <w:tc>
          <w:tcPr>
            <w:tcW w:w="1098" w:type="dxa"/>
            <w:vAlign w:val="center"/>
          </w:tcPr>
          <w:p w:rsidR="00AD323C" w:rsidRPr="00261A05" w:rsidRDefault="00777955" w:rsidP="00A1421E">
            <w:pPr>
              <w:ind w:right="42"/>
              <w:jc w:val="center"/>
              <w:rPr>
                <w:b/>
                <w:bCs/>
              </w:rPr>
            </w:pPr>
            <w:r>
              <w:rPr>
                <w:b/>
                <w:bCs/>
              </w:rPr>
              <w:t>2</w:t>
            </w:r>
            <w:r w:rsidR="00A1421E">
              <w:rPr>
                <w:b/>
                <w:bCs/>
              </w:rPr>
              <w:t>,</w:t>
            </w:r>
            <w:r>
              <w:rPr>
                <w:b/>
                <w:bCs/>
              </w:rPr>
              <w:t>7</w:t>
            </w:r>
          </w:p>
        </w:tc>
        <w:tc>
          <w:tcPr>
            <w:tcW w:w="925" w:type="dxa"/>
            <w:vAlign w:val="center"/>
          </w:tcPr>
          <w:p w:rsidR="00AD323C" w:rsidRPr="00261A05" w:rsidRDefault="00777955" w:rsidP="00A1421E">
            <w:pPr>
              <w:ind w:right="42"/>
              <w:jc w:val="center"/>
              <w:rPr>
                <w:b/>
                <w:bCs/>
              </w:rPr>
            </w:pPr>
            <w:r>
              <w:rPr>
                <w:b/>
                <w:bCs/>
              </w:rPr>
              <w:t>-1</w:t>
            </w:r>
            <w:r w:rsidR="00A1421E">
              <w:rPr>
                <w:b/>
                <w:bCs/>
              </w:rPr>
              <w:t>,</w:t>
            </w:r>
            <w:r>
              <w:rPr>
                <w:b/>
                <w:bCs/>
              </w:rPr>
              <w:t>7</w:t>
            </w:r>
          </w:p>
        </w:tc>
        <w:tc>
          <w:tcPr>
            <w:tcW w:w="1073" w:type="dxa"/>
            <w:vAlign w:val="center"/>
          </w:tcPr>
          <w:p w:rsidR="00AD323C" w:rsidRPr="00261A05" w:rsidRDefault="00777955" w:rsidP="00A1421E">
            <w:pPr>
              <w:ind w:right="42"/>
              <w:jc w:val="center"/>
              <w:rPr>
                <w:b/>
                <w:bCs/>
              </w:rPr>
            </w:pPr>
            <w:r>
              <w:rPr>
                <w:b/>
                <w:bCs/>
              </w:rPr>
              <w:t>2</w:t>
            </w:r>
            <w:r w:rsidR="00A1421E">
              <w:rPr>
                <w:b/>
                <w:bCs/>
              </w:rPr>
              <w:t>,</w:t>
            </w:r>
            <w:r>
              <w:rPr>
                <w:b/>
                <w:bCs/>
              </w:rPr>
              <w:t>0</w:t>
            </w:r>
          </w:p>
        </w:tc>
        <w:tc>
          <w:tcPr>
            <w:tcW w:w="1138" w:type="dxa"/>
            <w:vAlign w:val="center"/>
          </w:tcPr>
          <w:p w:rsidR="00AD323C" w:rsidRPr="00261A05" w:rsidRDefault="00777955" w:rsidP="00A1421E">
            <w:pPr>
              <w:ind w:right="42"/>
              <w:jc w:val="center"/>
              <w:rPr>
                <w:b/>
                <w:bCs/>
              </w:rPr>
            </w:pPr>
            <w:r>
              <w:rPr>
                <w:b/>
                <w:bCs/>
              </w:rPr>
              <w:t>3</w:t>
            </w:r>
            <w:r w:rsidR="00A1421E">
              <w:rPr>
                <w:b/>
                <w:bCs/>
              </w:rPr>
              <w:t>,</w:t>
            </w:r>
            <w:r>
              <w:rPr>
                <w:b/>
                <w:bCs/>
              </w:rPr>
              <w:t>7</w:t>
            </w:r>
          </w:p>
        </w:tc>
        <w:tc>
          <w:tcPr>
            <w:tcW w:w="1069" w:type="dxa"/>
            <w:tcBorders>
              <w:right w:val="double" w:sz="4" w:space="0" w:color="auto"/>
            </w:tcBorders>
            <w:vAlign w:val="center"/>
          </w:tcPr>
          <w:p w:rsidR="00AD323C" w:rsidRPr="00261A05" w:rsidRDefault="00777955" w:rsidP="00A1421E">
            <w:pPr>
              <w:ind w:right="42"/>
              <w:jc w:val="center"/>
            </w:pPr>
            <w:r>
              <w:t>**</w:t>
            </w:r>
          </w:p>
        </w:tc>
        <w:tc>
          <w:tcPr>
            <w:tcW w:w="960" w:type="dxa"/>
            <w:tcBorders>
              <w:left w:val="double" w:sz="4" w:space="0" w:color="auto"/>
            </w:tcBorders>
            <w:vAlign w:val="center"/>
          </w:tcPr>
          <w:p w:rsidR="00AD323C" w:rsidRPr="00261A05" w:rsidRDefault="00777955" w:rsidP="00A1421E">
            <w:pPr>
              <w:ind w:right="42"/>
              <w:jc w:val="center"/>
              <w:rPr>
                <w:b/>
                <w:bCs/>
              </w:rPr>
            </w:pPr>
            <w:r>
              <w:rPr>
                <w:b/>
                <w:bCs/>
              </w:rPr>
              <w:t>5</w:t>
            </w:r>
            <w:r w:rsidR="00A1421E">
              <w:rPr>
                <w:b/>
                <w:bCs/>
              </w:rPr>
              <w:t>,</w:t>
            </w:r>
            <w:r>
              <w:rPr>
                <w:b/>
                <w:bCs/>
              </w:rPr>
              <w:t>0</w:t>
            </w:r>
          </w:p>
        </w:tc>
        <w:tc>
          <w:tcPr>
            <w:tcW w:w="960" w:type="dxa"/>
            <w:vAlign w:val="center"/>
          </w:tcPr>
          <w:p w:rsidR="00AD323C" w:rsidRPr="00261A05" w:rsidRDefault="00777955" w:rsidP="00A1421E">
            <w:pPr>
              <w:ind w:right="42"/>
              <w:jc w:val="center"/>
              <w:rPr>
                <w:b/>
                <w:bCs/>
              </w:rPr>
            </w:pPr>
            <w:r>
              <w:rPr>
                <w:b/>
                <w:bCs/>
              </w:rPr>
              <w:t>3</w:t>
            </w:r>
            <w:r w:rsidR="00A1421E">
              <w:rPr>
                <w:b/>
                <w:bCs/>
              </w:rPr>
              <w:t>,</w:t>
            </w:r>
            <w:r>
              <w:rPr>
                <w:b/>
                <w:bCs/>
              </w:rPr>
              <w:t>6</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İthalat</w:t>
            </w:r>
            <w:r>
              <w:rPr>
                <w:b/>
                <w:bCs/>
                <w:sz w:val="22"/>
                <w:szCs w:val="22"/>
              </w:rPr>
              <w:t>*</w:t>
            </w:r>
          </w:p>
        </w:tc>
        <w:tc>
          <w:tcPr>
            <w:tcW w:w="1098" w:type="dxa"/>
            <w:tcBorders>
              <w:bottom w:val="nil"/>
            </w:tcBorders>
            <w:vAlign w:val="center"/>
          </w:tcPr>
          <w:p w:rsidR="00AD323C" w:rsidRPr="00261A05" w:rsidRDefault="00777955" w:rsidP="00A1421E">
            <w:pPr>
              <w:ind w:right="42"/>
              <w:jc w:val="center"/>
              <w:rPr>
                <w:b/>
                <w:bCs/>
              </w:rPr>
            </w:pPr>
            <w:r>
              <w:rPr>
                <w:b/>
                <w:bCs/>
              </w:rPr>
              <w:t>-2</w:t>
            </w:r>
            <w:r w:rsidR="00A1421E">
              <w:rPr>
                <w:b/>
                <w:bCs/>
              </w:rPr>
              <w:t>,</w:t>
            </w:r>
            <w:r>
              <w:rPr>
                <w:b/>
                <w:bCs/>
              </w:rPr>
              <w:t>0</w:t>
            </w:r>
          </w:p>
        </w:tc>
        <w:tc>
          <w:tcPr>
            <w:tcW w:w="925" w:type="dxa"/>
            <w:tcBorders>
              <w:bottom w:val="nil"/>
            </w:tcBorders>
            <w:vAlign w:val="center"/>
          </w:tcPr>
          <w:p w:rsidR="00AD323C" w:rsidRPr="00261A05" w:rsidRDefault="00777955" w:rsidP="00A1421E">
            <w:pPr>
              <w:ind w:right="42"/>
              <w:jc w:val="center"/>
              <w:rPr>
                <w:b/>
                <w:bCs/>
              </w:rPr>
            </w:pPr>
            <w:r>
              <w:rPr>
                <w:b/>
                <w:bCs/>
              </w:rPr>
              <w:t>0</w:t>
            </w:r>
            <w:r w:rsidR="00A1421E">
              <w:rPr>
                <w:b/>
                <w:bCs/>
              </w:rPr>
              <w:t>,</w:t>
            </w:r>
            <w:r>
              <w:rPr>
                <w:b/>
                <w:bCs/>
              </w:rPr>
              <w:t>9</w:t>
            </w:r>
          </w:p>
        </w:tc>
        <w:tc>
          <w:tcPr>
            <w:tcW w:w="1073" w:type="dxa"/>
            <w:tcBorders>
              <w:bottom w:val="nil"/>
            </w:tcBorders>
            <w:vAlign w:val="center"/>
          </w:tcPr>
          <w:p w:rsidR="00AD323C" w:rsidRPr="00261A05" w:rsidRDefault="00777955" w:rsidP="00A1421E">
            <w:pPr>
              <w:ind w:right="42"/>
              <w:jc w:val="center"/>
              <w:rPr>
                <w:b/>
                <w:bCs/>
              </w:rPr>
            </w:pPr>
            <w:r>
              <w:rPr>
                <w:b/>
                <w:bCs/>
              </w:rPr>
              <w:t>-0</w:t>
            </w:r>
            <w:r w:rsidR="00A1421E">
              <w:rPr>
                <w:b/>
                <w:bCs/>
              </w:rPr>
              <w:t>,</w:t>
            </w:r>
            <w:r>
              <w:rPr>
                <w:b/>
                <w:bCs/>
              </w:rPr>
              <w:t>7</w:t>
            </w:r>
          </w:p>
        </w:tc>
        <w:tc>
          <w:tcPr>
            <w:tcW w:w="1138" w:type="dxa"/>
            <w:tcBorders>
              <w:bottom w:val="nil"/>
            </w:tcBorders>
            <w:vAlign w:val="center"/>
          </w:tcPr>
          <w:p w:rsidR="00AD323C" w:rsidRPr="00261A05" w:rsidRDefault="00777955" w:rsidP="00A1421E">
            <w:pPr>
              <w:ind w:right="42"/>
              <w:jc w:val="center"/>
              <w:rPr>
                <w:b/>
                <w:bCs/>
              </w:rPr>
            </w:pPr>
            <w:r>
              <w:rPr>
                <w:b/>
                <w:bCs/>
              </w:rPr>
              <w:t>-4</w:t>
            </w:r>
            <w:r w:rsidR="00A1421E">
              <w:rPr>
                <w:b/>
                <w:bCs/>
              </w:rPr>
              <w:t>,</w:t>
            </w:r>
            <w:r>
              <w:rPr>
                <w:b/>
                <w:bCs/>
              </w:rPr>
              <w:t>3</w:t>
            </w:r>
          </w:p>
        </w:tc>
        <w:tc>
          <w:tcPr>
            <w:tcW w:w="1069" w:type="dxa"/>
            <w:tcBorders>
              <w:bottom w:val="nil"/>
              <w:right w:val="double" w:sz="4" w:space="0" w:color="auto"/>
            </w:tcBorders>
            <w:vAlign w:val="center"/>
          </w:tcPr>
          <w:p w:rsidR="00AD323C" w:rsidRPr="00261A05" w:rsidRDefault="00777955" w:rsidP="00A1421E">
            <w:pPr>
              <w:ind w:right="42"/>
              <w:jc w:val="center"/>
            </w:pPr>
            <w:r>
              <w:t>**</w:t>
            </w:r>
          </w:p>
        </w:tc>
        <w:tc>
          <w:tcPr>
            <w:tcW w:w="960" w:type="dxa"/>
            <w:tcBorders>
              <w:left w:val="double" w:sz="4" w:space="0" w:color="auto"/>
              <w:bottom w:val="nil"/>
            </w:tcBorders>
            <w:vAlign w:val="center"/>
          </w:tcPr>
          <w:p w:rsidR="00AD323C" w:rsidRPr="00261A05" w:rsidRDefault="00777955" w:rsidP="00A1421E">
            <w:pPr>
              <w:ind w:right="42"/>
              <w:jc w:val="center"/>
              <w:rPr>
                <w:b/>
                <w:bCs/>
              </w:rPr>
            </w:pPr>
            <w:r>
              <w:rPr>
                <w:b/>
                <w:bCs/>
              </w:rPr>
              <w:t>5</w:t>
            </w:r>
            <w:r w:rsidR="00A1421E">
              <w:rPr>
                <w:b/>
                <w:bCs/>
              </w:rPr>
              <w:t>,</w:t>
            </w:r>
            <w:r>
              <w:rPr>
                <w:b/>
                <w:bCs/>
              </w:rPr>
              <w:t>3</w:t>
            </w:r>
          </w:p>
        </w:tc>
        <w:tc>
          <w:tcPr>
            <w:tcW w:w="960" w:type="dxa"/>
            <w:tcBorders>
              <w:bottom w:val="nil"/>
            </w:tcBorders>
            <w:vAlign w:val="center"/>
          </w:tcPr>
          <w:p w:rsidR="00AD323C" w:rsidRPr="00261A05" w:rsidRDefault="00777955" w:rsidP="00A1421E">
            <w:pPr>
              <w:ind w:right="42"/>
              <w:jc w:val="center"/>
              <w:rPr>
                <w:b/>
                <w:bCs/>
              </w:rPr>
            </w:pPr>
            <w:r>
              <w:rPr>
                <w:b/>
                <w:bCs/>
              </w:rPr>
              <w:t>-2</w:t>
            </w:r>
            <w:r w:rsidR="00A1421E">
              <w:rPr>
                <w:b/>
                <w:bCs/>
              </w:rPr>
              <w:t>,</w:t>
            </w:r>
            <w:r>
              <w:rPr>
                <w:b/>
                <w:bCs/>
              </w:rPr>
              <w:t>9</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Ara malı ithalatı</w:t>
            </w:r>
          </w:p>
        </w:tc>
        <w:tc>
          <w:tcPr>
            <w:tcW w:w="1098" w:type="dxa"/>
            <w:tcBorders>
              <w:top w:val="nil"/>
              <w:bottom w:val="nil"/>
            </w:tcBorders>
            <w:vAlign w:val="center"/>
          </w:tcPr>
          <w:p w:rsidR="00AD323C" w:rsidRPr="00261A05" w:rsidRDefault="009B23C3" w:rsidP="00A1421E">
            <w:pPr>
              <w:ind w:right="42"/>
              <w:jc w:val="center"/>
            </w:pPr>
            <w:r>
              <w:t>0</w:t>
            </w:r>
            <w:r w:rsidR="00A1421E">
              <w:t>,</w:t>
            </w:r>
            <w:r>
              <w:t>8</w:t>
            </w:r>
          </w:p>
        </w:tc>
        <w:tc>
          <w:tcPr>
            <w:tcW w:w="925" w:type="dxa"/>
            <w:tcBorders>
              <w:top w:val="nil"/>
              <w:bottom w:val="nil"/>
            </w:tcBorders>
            <w:vAlign w:val="center"/>
          </w:tcPr>
          <w:p w:rsidR="00AD323C" w:rsidRPr="00261A05" w:rsidRDefault="009B23C3" w:rsidP="00A1421E">
            <w:pPr>
              <w:ind w:right="42"/>
              <w:jc w:val="center"/>
            </w:pPr>
            <w:r>
              <w:t>4</w:t>
            </w:r>
            <w:r w:rsidR="00A1421E">
              <w:t>,</w:t>
            </w:r>
            <w:r>
              <w:t>7</w:t>
            </w:r>
          </w:p>
        </w:tc>
        <w:tc>
          <w:tcPr>
            <w:tcW w:w="1073" w:type="dxa"/>
            <w:tcBorders>
              <w:top w:val="nil"/>
              <w:bottom w:val="nil"/>
            </w:tcBorders>
            <w:vAlign w:val="center"/>
          </w:tcPr>
          <w:p w:rsidR="00AD323C" w:rsidRPr="00261A05" w:rsidRDefault="009B23C3" w:rsidP="00A1421E">
            <w:pPr>
              <w:ind w:right="42"/>
              <w:jc w:val="center"/>
            </w:pPr>
            <w:r>
              <w:t>-3</w:t>
            </w:r>
            <w:r w:rsidR="00A1421E">
              <w:t>,</w:t>
            </w:r>
            <w:r>
              <w:t>2</w:t>
            </w:r>
          </w:p>
        </w:tc>
        <w:tc>
          <w:tcPr>
            <w:tcW w:w="1138" w:type="dxa"/>
            <w:tcBorders>
              <w:top w:val="nil"/>
              <w:bottom w:val="nil"/>
            </w:tcBorders>
            <w:vAlign w:val="center"/>
          </w:tcPr>
          <w:p w:rsidR="00AD323C" w:rsidRPr="00261A05" w:rsidRDefault="009B23C3" w:rsidP="00A1421E">
            <w:pPr>
              <w:ind w:right="42"/>
              <w:jc w:val="center"/>
            </w:pPr>
            <w:r>
              <w:t>-5</w:t>
            </w:r>
            <w:r w:rsidR="00A1421E">
              <w:t>,</w:t>
            </w:r>
            <w:r>
              <w:t>1</w:t>
            </w:r>
          </w:p>
        </w:tc>
        <w:tc>
          <w:tcPr>
            <w:tcW w:w="1069" w:type="dxa"/>
            <w:tcBorders>
              <w:top w:val="nil"/>
              <w:bottom w:val="nil"/>
              <w:right w:val="double" w:sz="4" w:space="0" w:color="auto"/>
            </w:tcBorders>
            <w:vAlign w:val="center"/>
          </w:tcPr>
          <w:p w:rsidR="00AD323C" w:rsidRPr="00261A05" w:rsidRDefault="009B23C3" w:rsidP="00A1421E">
            <w:pPr>
              <w:ind w:right="42"/>
              <w:jc w:val="center"/>
            </w:pPr>
            <w:r>
              <w:t>**</w:t>
            </w:r>
          </w:p>
        </w:tc>
        <w:tc>
          <w:tcPr>
            <w:tcW w:w="960" w:type="dxa"/>
            <w:tcBorders>
              <w:top w:val="nil"/>
              <w:left w:val="double" w:sz="4" w:space="0" w:color="auto"/>
              <w:bottom w:val="nil"/>
            </w:tcBorders>
            <w:vAlign w:val="center"/>
          </w:tcPr>
          <w:p w:rsidR="00AD323C" w:rsidRPr="00261A05" w:rsidRDefault="009B23C3" w:rsidP="00A1421E">
            <w:pPr>
              <w:ind w:right="42"/>
              <w:jc w:val="center"/>
            </w:pPr>
            <w:r>
              <w:t>3</w:t>
            </w:r>
            <w:r w:rsidR="00A1421E">
              <w:t>,</w:t>
            </w:r>
            <w:r>
              <w:t>5</w:t>
            </w:r>
          </w:p>
        </w:tc>
        <w:tc>
          <w:tcPr>
            <w:tcW w:w="960" w:type="dxa"/>
            <w:tcBorders>
              <w:top w:val="nil"/>
              <w:bottom w:val="nil"/>
            </w:tcBorders>
            <w:vAlign w:val="center"/>
          </w:tcPr>
          <w:p w:rsidR="00AD323C" w:rsidRPr="00261A05" w:rsidRDefault="009B23C3" w:rsidP="00A1421E">
            <w:pPr>
              <w:ind w:right="42"/>
              <w:jc w:val="center"/>
            </w:pPr>
            <w:r>
              <w:t>-2</w:t>
            </w:r>
            <w:r w:rsidR="00A1421E">
              <w:t>,</w:t>
            </w:r>
            <w:r>
              <w:t>5</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Tüketim malı ithalatı</w:t>
            </w:r>
          </w:p>
        </w:tc>
        <w:tc>
          <w:tcPr>
            <w:tcW w:w="1098" w:type="dxa"/>
            <w:tcBorders>
              <w:top w:val="nil"/>
              <w:bottom w:val="nil"/>
            </w:tcBorders>
            <w:vAlign w:val="center"/>
          </w:tcPr>
          <w:p w:rsidR="00AD323C" w:rsidRPr="00611D03" w:rsidRDefault="009B23C3" w:rsidP="00A1421E">
            <w:pPr>
              <w:ind w:right="42"/>
              <w:jc w:val="center"/>
              <w:rPr>
                <w:bCs/>
              </w:rPr>
            </w:pPr>
            <w:r>
              <w:rPr>
                <w:bCs/>
              </w:rPr>
              <w:t>3</w:t>
            </w:r>
            <w:r w:rsidR="00A1421E">
              <w:rPr>
                <w:bCs/>
              </w:rPr>
              <w:t>,</w:t>
            </w:r>
            <w:r>
              <w:rPr>
                <w:bCs/>
              </w:rPr>
              <w:t>1</w:t>
            </w:r>
          </w:p>
        </w:tc>
        <w:tc>
          <w:tcPr>
            <w:tcW w:w="925" w:type="dxa"/>
            <w:tcBorders>
              <w:top w:val="nil"/>
              <w:bottom w:val="nil"/>
            </w:tcBorders>
            <w:vAlign w:val="center"/>
          </w:tcPr>
          <w:p w:rsidR="00AD323C" w:rsidRPr="00611D03" w:rsidRDefault="009B23C3" w:rsidP="00A1421E">
            <w:pPr>
              <w:ind w:right="42"/>
              <w:jc w:val="center"/>
              <w:rPr>
                <w:bCs/>
              </w:rPr>
            </w:pPr>
            <w:r>
              <w:rPr>
                <w:bCs/>
              </w:rPr>
              <w:t>-2</w:t>
            </w:r>
            <w:r w:rsidR="00A1421E">
              <w:rPr>
                <w:bCs/>
              </w:rPr>
              <w:t>,</w:t>
            </w:r>
            <w:r>
              <w:rPr>
                <w:bCs/>
              </w:rPr>
              <w:t>3</w:t>
            </w:r>
          </w:p>
        </w:tc>
        <w:tc>
          <w:tcPr>
            <w:tcW w:w="1073" w:type="dxa"/>
            <w:tcBorders>
              <w:top w:val="nil"/>
              <w:bottom w:val="nil"/>
            </w:tcBorders>
            <w:vAlign w:val="center"/>
          </w:tcPr>
          <w:p w:rsidR="00AD323C" w:rsidRPr="00611D03" w:rsidRDefault="009B23C3" w:rsidP="00A1421E">
            <w:pPr>
              <w:ind w:right="42"/>
              <w:jc w:val="center"/>
              <w:rPr>
                <w:bCs/>
              </w:rPr>
            </w:pPr>
            <w:r>
              <w:rPr>
                <w:bCs/>
              </w:rPr>
              <w:t>-1</w:t>
            </w:r>
            <w:r w:rsidR="00A1421E">
              <w:rPr>
                <w:bCs/>
              </w:rPr>
              <w:t>,</w:t>
            </w:r>
            <w:r>
              <w:rPr>
                <w:bCs/>
              </w:rPr>
              <w:t>7</w:t>
            </w:r>
          </w:p>
        </w:tc>
        <w:tc>
          <w:tcPr>
            <w:tcW w:w="1138" w:type="dxa"/>
            <w:tcBorders>
              <w:top w:val="nil"/>
              <w:bottom w:val="nil"/>
            </w:tcBorders>
            <w:vAlign w:val="center"/>
          </w:tcPr>
          <w:p w:rsidR="00AD323C" w:rsidRPr="00611D03" w:rsidRDefault="009B23C3" w:rsidP="00A1421E">
            <w:pPr>
              <w:ind w:right="42"/>
              <w:jc w:val="center"/>
              <w:rPr>
                <w:bCs/>
              </w:rPr>
            </w:pPr>
            <w:r>
              <w:rPr>
                <w:bCs/>
              </w:rPr>
              <w:t>-4</w:t>
            </w:r>
            <w:r w:rsidR="00A1421E">
              <w:rPr>
                <w:bCs/>
              </w:rPr>
              <w:t>,</w:t>
            </w:r>
            <w:r>
              <w:rPr>
                <w:bCs/>
              </w:rPr>
              <w:t>9</w:t>
            </w:r>
          </w:p>
        </w:tc>
        <w:tc>
          <w:tcPr>
            <w:tcW w:w="1069" w:type="dxa"/>
            <w:tcBorders>
              <w:top w:val="nil"/>
              <w:bottom w:val="nil"/>
              <w:right w:val="double" w:sz="4" w:space="0" w:color="auto"/>
            </w:tcBorders>
            <w:vAlign w:val="center"/>
          </w:tcPr>
          <w:p w:rsidR="00AD323C" w:rsidRPr="00611D03" w:rsidRDefault="009B23C3" w:rsidP="00A1421E">
            <w:pPr>
              <w:ind w:right="42"/>
              <w:jc w:val="center"/>
            </w:pPr>
            <w:r>
              <w:t>**</w:t>
            </w:r>
          </w:p>
        </w:tc>
        <w:tc>
          <w:tcPr>
            <w:tcW w:w="960" w:type="dxa"/>
            <w:tcBorders>
              <w:top w:val="nil"/>
              <w:left w:val="double" w:sz="4" w:space="0" w:color="auto"/>
              <w:bottom w:val="nil"/>
            </w:tcBorders>
            <w:vAlign w:val="center"/>
          </w:tcPr>
          <w:p w:rsidR="00AD323C" w:rsidRPr="00261A05" w:rsidRDefault="009B23C3" w:rsidP="00A1421E">
            <w:pPr>
              <w:ind w:right="42"/>
              <w:jc w:val="center"/>
            </w:pPr>
            <w:r>
              <w:t>0</w:t>
            </w:r>
            <w:r w:rsidR="00A1421E">
              <w:t>,</w:t>
            </w:r>
            <w:r>
              <w:t>6</w:t>
            </w:r>
          </w:p>
        </w:tc>
        <w:tc>
          <w:tcPr>
            <w:tcW w:w="960" w:type="dxa"/>
            <w:tcBorders>
              <w:top w:val="nil"/>
              <w:bottom w:val="nil"/>
            </w:tcBorders>
            <w:vAlign w:val="center"/>
          </w:tcPr>
          <w:p w:rsidR="00AD323C" w:rsidRPr="00261A05" w:rsidRDefault="009B23C3" w:rsidP="00A1421E">
            <w:pPr>
              <w:ind w:right="42"/>
              <w:jc w:val="center"/>
            </w:pPr>
            <w:r>
              <w:t>-4</w:t>
            </w:r>
            <w:r w:rsidR="00A1421E">
              <w:t>,</w:t>
            </w:r>
            <w:r>
              <w:t>6</w:t>
            </w: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sidRPr="00261A05">
              <w:rPr>
                <w:sz w:val="22"/>
                <w:szCs w:val="22"/>
              </w:rPr>
              <w:t>Yatırım malı ithalatı</w:t>
            </w:r>
          </w:p>
        </w:tc>
        <w:tc>
          <w:tcPr>
            <w:tcW w:w="1098" w:type="dxa"/>
            <w:tcBorders>
              <w:top w:val="nil"/>
            </w:tcBorders>
            <w:vAlign w:val="center"/>
          </w:tcPr>
          <w:p w:rsidR="00AD323C" w:rsidRPr="00261A05" w:rsidRDefault="009B23C3" w:rsidP="00A1421E">
            <w:pPr>
              <w:ind w:right="42"/>
              <w:jc w:val="center"/>
            </w:pPr>
            <w:r>
              <w:t>6</w:t>
            </w:r>
            <w:r w:rsidR="00A1421E">
              <w:t>,</w:t>
            </w:r>
            <w:r>
              <w:t>1</w:t>
            </w:r>
          </w:p>
        </w:tc>
        <w:tc>
          <w:tcPr>
            <w:tcW w:w="925" w:type="dxa"/>
            <w:tcBorders>
              <w:top w:val="nil"/>
            </w:tcBorders>
            <w:vAlign w:val="center"/>
          </w:tcPr>
          <w:p w:rsidR="00AD323C" w:rsidRPr="00261A05" w:rsidRDefault="009B23C3" w:rsidP="00A1421E">
            <w:pPr>
              <w:ind w:right="42"/>
              <w:jc w:val="center"/>
            </w:pPr>
            <w:r>
              <w:t>3</w:t>
            </w:r>
            <w:r w:rsidR="00A1421E">
              <w:t>,</w:t>
            </w:r>
            <w:r>
              <w:t>1</w:t>
            </w:r>
          </w:p>
        </w:tc>
        <w:tc>
          <w:tcPr>
            <w:tcW w:w="1073" w:type="dxa"/>
            <w:tcBorders>
              <w:top w:val="nil"/>
            </w:tcBorders>
            <w:vAlign w:val="center"/>
          </w:tcPr>
          <w:p w:rsidR="00AD323C" w:rsidRPr="00261A05" w:rsidRDefault="009B23C3" w:rsidP="00A1421E">
            <w:pPr>
              <w:ind w:right="42"/>
              <w:jc w:val="center"/>
            </w:pPr>
            <w:r>
              <w:t>-3</w:t>
            </w:r>
            <w:r w:rsidR="00A1421E">
              <w:t>,</w:t>
            </w:r>
            <w:r>
              <w:t>7</w:t>
            </w:r>
          </w:p>
        </w:tc>
        <w:tc>
          <w:tcPr>
            <w:tcW w:w="1138" w:type="dxa"/>
            <w:tcBorders>
              <w:top w:val="nil"/>
            </w:tcBorders>
            <w:vAlign w:val="center"/>
          </w:tcPr>
          <w:p w:rsidR="00AD323C" w:rsidRPr="00261A05" w:rsidRDefault="009B23C3" w:rsidP="00A1421E">
            <w:pPr>
              <w:ind w:right="42"/>
              <w:jc w:val="center"/>
            </w:pPr>
            <w:r>
              <w:t>-5</w:t>
            </w:r>
            <w:r w:rsidR="00A1421E">
              <w:t>,</w:t>
            </w:r>
            <w:r>
              <w:t>1</w:t>
            </w:r>
          </w:p>
        </w:tc>
        <w:tc>
          <w:tcPr>
            <w:tcW w:w="1069" w:type="dxa"/>
            <w:tcBorders>
              <w:top w:val="nil"/>
              <w:right w:val="double" w:sz="4" w:space="0" w:color="auto"/>
            </w:tcBorders>
            <w:vAlign w:val="center"/>
          </w:tcPr>
          <w:p w:rsidR="00AD323C" w:rsidRPr="00261A05" w:rsidRDefault="009B23C3" w:rsidP="00A1421E">
            <w:pPr>
              <w:ind w:right="42"/>
              <w:jc w:val="center"/>
            </w:pPr>
            <w:r>
              <w:t>**</w:t>
            </w:r>
          </w:p>
        </w:tc>
        <w:tc>
          <w:tcPr>
            <w:tcW w:w="960" w:type="dxa"/>
            <w:tcBorders>
              <w:top w:val="nil"/>
              <w:left w:val="double" w:sz="4" w:space="0" w:color="auto"/>
            </w:tcBorders>
            <w:vAlign w:val="center"/>
          </w:tcPr>
          <w:p w:rsidR="00AD323C" w:rsidRPr="00261A05" w:rsidRDefault="009B23C3" w:rsidP="00A1421E">
            <w:pPr>
              <w:ind w:right="42"/>
              <w:jc w:val="center"/>
            </w:pPr>
            <w:r>
              <w:t>0</w:t>
            </w:r>
            <w:r w:rsidR="00A1421E">
              <w:t>,</w:t>
            </w:r>
            <w:r>
              <w:t>5</w:t>
            </w:r>
          </w:p>
        </w:tc>
        <w:tc>
          <w:tcPr>
            <w:tcW w:w="960" w:type="dxa"/>
            <w:tcBorders>
              <w:top w:val="nil"/>
            </w:tcBorders>
            <w:vAlign w:val="center"/>
          </w:tcPr>
          <w:p w:rsidR="00AD323C" w:rsidRPr="00261A05" w:rsidRDefault="009B23C3" w:rsidP="00A1421E">
            <w:pPr>
              <w:ind w:right="42"/>
              <w:jc w:val="center"/>
            </w:pPr>
            <w:r>
              <w:t>-2</w:t>
            </w:r>
            <w:r w:rsidR="00A1421E">
              <w:t>,</w:t>
            </w:r>
            <w:r>
              <w:t>4</w:t>
            </w:r>
          </w:p>
        </w:tc>
      </w:tr>
      <w:tr w:rsidR="00AD323C" w:rsidTr="00786067">
        <w:trPr>
          <w:trHeight w:val="370"/>
        </w:trPr>
        <w:tc>
          <w:tcPr>
            <w:tcW w:w="3397" w:type="dxa"/>
            <w:vAlign w:val="center"/>
          </w:tcPr>
          <w:p w:rsidR="00AD323C" w:rsidRPr="00261A05" w:rsidRDefault="00AD323C" w:rsidP="00A1421E">
            <w:pPr>
              <w:ind w:right="42"/>
              <w:jc w:val="center"/>
              <w:rPr>
                <w:b/>
                <w:bCs/>
              </w:rPr>
            </w:pPr>
            <w:r w:rsidRPr="00261A05">
              <w:rPr>
                <w:b/>
                <w:bCs/>
                <w:sz w:val="22"/>
                <w:szCs w:val="22"/>
              </w:rPr>
              <w:t>Altın hariç ihracat</w:t>
            </w:r>
            <w:r>
              <w:rPr>
                <w:b/>
                <w:bCs/>
                <w:sz w:val="22"/>
                <w:szCs w:val="22"/>
              </w:rPr>
              <w:t>***</w:t>
            </w:r>
          </w:p>
        </w:tc>
        <w:tc>
          <w:tcPr>
            <w:tcW w:w="1098" w:type="dxa"/>
            <w:vAlign w:val="center"/>
          </w:tcPr>
          <w:p w:rsidR="00AD323C" w:rsidRPr="00261A05" w:rsidRDefault="001C7C05" w:rsidP="00A1421E">
            <w:pPr>
              <w:ind w:right="42"/>
              <w:jc w:val="center"/>
              <w:rPr>
                <w:b/>
                <w:bCs/>
              </w:rPr>
            </w:pPr>
            <w:r>
              <w:rPr>
                <w:b/>
                <w:bCs/>
              </w:rPr>
              <w:t>6</w:t>
            </w:r>
            <w:r w:rsidR="00A1421E">
              <w:rPr>
                <w:b/>
                <w:bCs/>
              </w:rPr>
              <w:t>,</w:t>
            </w:r>
            <w:r>
              <w:rPr>
                <w:b/>
                <w:bCs/>
              </w:rPr>
              <w:t>9</w:t>
            </w:r>
          </w:p>
        </w:tc>
        <w:tc>
          <w:tcPr>
            <w:tcW w:w="925" w:type="dxa"/>
            <w:vAlign w:val="center"/>
          </w:tcPr>
          <w:p w:rsidR="00AD323C" w:rsidRPr="00261A05" w:rsidRDefault="001C7C05" w:rsidP="00A1421E">
            <w:pPr>
              <w:ind w:right="42"/>
              <w:jc w:val="center"/>
              <w:rPr>
                <w:b/>
                <w:bCs/>
              </w:rPr>
            </w:pPr>
            <w:r>
              <w:rPr>
                <w:b/>
                <w:bCs/>
              </w:rPr>
              <w:t>-3</w:t>
            </w:r>
            <w:r w:rsidR="00A1421E">
              <w:rPr>
                <w:b/>
                <w:bCs/>
              </w:rPr>
              <w:t>,</w:t>
            </w:r>
            <w:r>
              <w:rPr>
                <w:b/>
                <w:bCs/>
              </w:rPr>
              <w:t>8</w:t>
            </w:r>
          </w:p>
        </w:tc>
        <w:tc>
          <w:tcPr>
            <w:tcW w:w="1073" w:type="dxa"/>
            <w:vAlign w:val="center"/>
          </w:tcPr>
          <w:p w:rsidR="00AD323C" w:rsidRPr="00261A05" w:rsidRDefault="001C7C05" w:rsidP="00A1421E">
            <w:pPr>
              <w:ind w:right="42"/>
              <w:jc w:val="center"/>
              <w:rPr>
                <w:b/>
                <w:bCs/>
              </w:rPr>
            </w:pPr>
            <w:r>
              <w:rPr>
                <w:b/>
                <w:bCs/>
              </w:rPr>
              <w:t>3</w:t>
            </w:r>
            <w:r w:rsidR="00A1421E">
              <w:rPr>
                <w:b/>
                <w:bCs/>
              </w:rPr>
              <w:t>,</w:t>
            </w:r>
            <w:r>
              <w:rPr>
                <w:b/>
                <w:bCs/>
              </w:rPr>
              <w:t>8</w:t>
            </w:r>
          </w:p>
        </w:tc>
        <w:tc>
          <w:tcPr>
            <w:tcW w:w="1138" w:type="dxa"/>
            <w:vAlign w:val="center"/>
          </w:tcPr>
          <w:p w:rsidR="00AD323C" w:rsidRPr="00261A05" w:rsidRDefault="001C7C05" w:rsidP="00A1421E">
            <w:pPr>
              <w:ind w:right="42"/>
              <w:jc w:val="center"/>
              <w:rPr>
                <w:b/>
                <w:bCs/>
              </w:rPr>
            </w:pPr>
            <w:r>
              <w:rPr>
                <w:b/>
                <w:bCs/>
              </w:rPr>
              <w:t>-2</w:t>
            </w:r>
            <w:r w:rsidR="00A1421E">
              <w:rPr>
                <w:b/>
                <w:bCs/>
              </w:rPr>
              <w:t>,</w:t>
            </w:r>
            <w:r>
              <w:rPr>
                <w:b/>
                <w:bCs/>
              </w:rPr>
              <w:t>1</w:t>
            </w:r>
          </w:p>
        </w:tc>
        <w:tc>
          <w:tcPr>
            <w:tcW w:w="1069" w:type="dxa"/>
            <w:tcBorders>
              <w:right w:val="double" w:sz="4" w:space="0" w:color="auto"/>
            </w:tcBorders>
            <w:vAlign w:val="center"/>
          </w:tcPr>
          <w:p w:rsidR="00AD323C" w:rsidRPr="00261A05" w:rsidRDefault="001C7C05" w:rsidP="00A1421E">
            <w:pPr>
              <w:ind w:right="42"/>
              <w:jc w:val="center"/>
            </w:pPr>
            <w:r>
              <w:t>**</w:t>
            </w:r>
          </w:p>
        </w:tc>
        <w:tc>
          <w:tcPr>
            <w:tcW w:w="960" w:type="dxa"/>
            <w:tcBorders>
              <w:left w:val="double" w:sz="4" w:space="0" w:color="auto"/>
            </w:tcBorders>
            <w:vAlign w:val="center"/>
          </w:tcPr>
          <w:p w:rsidR="00AD323C" w:rsidRPr="00261A05" w:rsidRDefault="001C7C05" w:rsidP="00A1421E">
            <w:pPr>
              <w:ind w:right="42"/>
              <w:jc w:val="center"/>
              <w:rPr>
                <w:b/>
                <w:bCs/>
              </w:rPr>
            </w:pPr>
            <w:r>
              <w:rPr>
                <w:b/>
                <w:bCs/>
              </w:rPr>
              <w:t>1</w:t>
            </w:r>
            <w:r w:rsidR="00A1421E">
              <w:rPr>
                <w:b/>
                <w:bCs/>
              </w:rPr>
              <w:t>,</w:t>
            </w:r>
            <w:r>
              <w:rPr>
                <w:b/>
                <w:bCs/>
              </w:rPr>
              <w:t>2</w:t>
            </w:r>
          </w:p>
        </w:tc>
        <w:tc>
          <w:tcPr>
            <w:tcW w:w="960" w:type="dxa"/>
            <w:vAlign w:val="center"/>
          </w:tcPr>
          <w:p w:rsidR="00AD323C" w:rsidRPr="00261A05" w:rsidRDefault="001C7C05" w:rsidP="00A1421E">
            <w:pPr>
              <w:ind w:right="42"/>
              <w:jc w:val="center"/>
              <w:rPr>
                <w:b/>
                <w:bCs/>
              </w:rPr>
            </w:pPr>
            <w:r>
              <w:rPr>
                <w:b/>
                <w:bCs/>
              </w:rPr>
              <w:t>2</w:t>
            </w:r>
            <w:r w:rsidR="00A1421E">
              <w:rPr>
                <w:b/>
                <w:bCs/>
              </w:rPr>
              <w:t>,</w:t>
            </w:r>
            <w:r>
              <w:rPr>
                <w:b/>
                <w:bCs/>
              </w:rPr>
              <w:t>7</w:t>
            </w:r>
          </w:p>
        </w:tc>
      </w:tr>
      <w:tr w:rsidR="00AD323C" w:rsidTr="00786067">
        <w:trPr>
          <w:trHeight w:val="370"/>
        </w:trPr>
        <w:tc>
          <w:tcPr>
            <w:tcW w:w="3397" w:type="dxa"/>
            <w:vAlign w:val="center"/>
          </w:tcPr>
          <w:p w:rsidR="00AD323C" w:rsidRPr="00261A05" w:rsidRDefault="00AD323C" w:rsidP="00A1421E">
            <w:pPr>
              <w:ind w:right="42"/>
              <w:jc w:val="center"/>
              <w:rPr>
                <w:b/>
                <w:bCs/>
              </w:rPr>
            </w:pPr>
            <w:r w:rsidRPr="00261A05">
              <w:rPr>
                <w:b/>
                <w:bCs/>
                <w:sz w:val="22"/>
                <w:szCs w:val="22"/>
              </w:rPr>
              <w:t>Altın hariç ithalat</w:t>
            </w:r>
            <w:r>
              <w:rPr>
                <w:b/>
                <w:bCs/>
                <w:sz w:val="22"/>
                <w:szCs w:val="22"/>
              </w:rPr>
              <w:t>***</w:t>
            </w:r>
          </w:p>
        </w:tc>
        <w:tc>
          <w:tcPr>
            <w:tcW w:w="1098" w:type="dxa"/>
            <w:vAlign w:val="center"/>
          </w:tcPr>
          <w:p w:rsidR="00AD323C" w:rsidRPr="00261A05" w:rsidRDefault="001C7C05" w:rsidP="00A1421E">
            <w:pPr>
              <w:ind w:right="42"/>
              <w:jc w:val="center"/>
              <w:rPr>
                <w:b/>
                <w:bCs/>
              </w:rPr>
            </w:pPr>
            <w:r>
              <w:rPr>
                <w:b/>
                <w:bCs/>
              </w:rPr>
              <w:t>-3</w:t>
            </w:r>
            <w:r w:rsidR="00A1421E">
              <w:rPr>
                <w:b/>
                <w:bCs/>
              </w:rPr>
              <w:t>,</w:t>
            </w:r>
            <w:r>
              <w:rPr>
                <w:b/>
                <w:bCs/>
              </w:rPr>
              <w:t>7</w:t>
            </w:r>
          </w:p>
        </w:tc>
        <w:tc>
          <w:tcPr>
            <w:tcW w:w="925" w:type="dxa"/>
            <w:vAlign w:val="center"/>
          </w:tcPr>
          <w:p w:rsidR="00AD323C" w:rsidRPr="00261A05" w:rsidRDefault="001C7C05" w:rsidP="00A1421E">
            <w:pPr>
              <w:ind w:right="42"/>
              <w:jc w:val="center"/>
              <w:rPr>
                <w:b/>
                <w:bCs/>
              </w:rPr>
            </w:pPr>
            <w:r>
              <w:rPr>
                <w:b/>
                <w:bCs/>
              </w:rPr>
              <w:t>-0</w:t>
            </w:r>
            <w:r w:rsidR="00A1421E">
              <w:rPr>
                <w:b/>
                <w:bCs/>
              </w:rPr>
              <w:t>,</w:t>
            </w:r>
            <w:r>
              <w:rPr>
                <w:b/>
                <w:bCs/>
              </w:rPr>
              <w:t>9</w:t>
            </w:r>
          </w:p>
        </w:tc>
        <w:tc>
          <w:tcPr>
            <w:tcW w:w="1073" w:type="dxa"/>
            <w:vAlign w:val="center"/>
          </w:tcPr>
          <w:p w:rsidR="00AD323C" w:rsidRPr="00261A05" w:rsidRDefault="001C7C05" w:rsidP="00A1421E">
            <w:pPr>
              <w:ind w:right="42"/>
              <w:jc w:val="center"/>
              <w:rPr>
                <w:b/>
                <w:bCs/>
              </w:rPr>
            </w:pPr>
            <w:r>
              <w:rPr>
                <w:b/>
                <w:bCs/>
              </w:rPr>
              <w:t>-0</w:t>
            </w:r>
            <w:r w:rsidR="00A1421E">
              <w:rPr>
                <w:b/>
                <w:bCs/>
              </w:rPr>
              <w:t>,</w:t>
            </w:r>
            <w:r>
              <w:rPr>
                <w:b/>
                <w:bCs/>
              </w:rPr>
              <w:t>4</w:t>
            </w:r>
          </w:p>
        </w:tc>
        <w:tc>
          <w:tcPr>
            <w:tcW w:w="1138" w:type="dxa"/>
            <w:vAlign w:val="center"/>
          </w:tcPr>
          <w:p w:rsidR="00AD323C" w:rsidRPr="00261A05" w:rsidRDefault="001C7C05" w:rsidP="00A1421E">
            <w:pPr>
              <w:ind w:right="42"/>
              <w:jc w:val="center"/>
              <w:rPr>
                <w:b/>
                <w:bCs/>
              </w:rPr>
            </w:pPr>
            <w:r>
              <w:rPr>
                <w:b/>
                <w:bCs/>
              </w:rPr>
              <w:t>-4</w:t>
            </w:r>
            <w:r w:rsidR="00A1421E">
              <w:rPr>
                <w:b/>
                <w:bCs/>
              </w:rPr>
              <w:t>,</w:t>
            </w:r>
            <w:r>
              <w:rPr>
                <w:b/>
                <w:bCs/>
              </w:rPr>
              <w:t>1</w:t>
            </w:r>
          </w:p>
        </w:tc>
        <w:tc>
          <w:tcPr>
            <w:tcW w:w="1069" w:type="dxa"/>
            <w:tcBorders>
              <w:right w:val="double" w:sz="4" w:space="0" w:color="auto"/>
            </w:tcBorders>
            <w:vAlign w:val="center"/>
          </w:tcPr>
          <w:p w:rsidR="00AD323C" w:rsidRPr="00261A05" w:rsidRDefault="001C7C05" w:rsidP="00A1421E">
            <w:pPr>
              <w:ind w:right="42"/>
              <w:jc w:val="center"/>
            </w:pPr>
            <w:r>
              <w:t>**</w:t>
            </w:r>
          </w:p>
        </w:tc>
        <w:tc>
          <w:tcPr>
            <w:tcW w:w="960" w:type="dxa"/>
            <w:tcBorders>
              <w:left w:val="double" w:sz="4" w:space="0" w:color="auto"/>
            </w:tcBorders>
            <w:vAlign w:val="center"/>
          </w:tcPr>
          <w:p w:rsidR="00AD323C" w:rsidRPr="00261A05" w:rsidRDefault="001C7C05" w:rsidP="00A1421E">
            <w:pPr>
              <w:ind w:right="42"/>
              <w:jc w:val="center"/>
              <w:rPr>
                <w:b/>
                <w:bCs/>
              </w:rPr>
            </w:pPr>
            <w:r>
              <w:rPr>
                <w:b/>
                <w:bCs/>
              </w:rPr>
              <w:t>-2</w:t>
            </w:r>
            <w:r w:rsidR="00A1421E">
              <w:rPr>
                <w:b/>
                <w:bCs/>
              </w:rPr>
              <w:t>,</w:t>
            </w:r>
            <w:r>
              <w:rPr>
                <w:b/>
                <w:bCs/>
              </w:rPr>
              <w:t>5</w:t>
            </w:r>
          </w:p>
        </w:tc>
        <w:tc>
          <w:tcPr>
            <w:tcW w:w="960" w:type="dxa"/>
            <w:vAlign w:val="center"/>
          </w:tcPr>
          <w:p w:rsidR="00AD323C" w:rsidRPr="00261A05" w:rsidRDefault="001C7C05" w:rsidP="00A1421E">
            <w:pPr>
              <w:ind w:right="42"/>
              <w:jc w:val="center"/>
              <w:rPr>
                <w:b/>
                <w:bCs/>
              </w:rPr>
            </w:pPr>
            <w:r>
              <w:rPr>
                <w:b/>
                <w:bCs/>
              </w:rPr>
              <w:t>-3</w:t>
            </w:r>
            <w:r w:rsidR="00A1421E">
              <w:rPr>
                <w:b/>
                <w:bCs/>
              </w:rPr>
              <w:t>,</w:t>
            </w:r>
            <w:r>
              <w:rPr>
                <w:b/>
                <w:bCs/>
              </w:rPr>
              <w:t>5</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Sanayi üretim endeksi (SÜE)</w:t>
            </w:r>
            <w:r>
              <w:rPr>
                <w:b/>
                <w:bCs/>
                <w:sz w:val="22"/>
                <w:szCs w:val="22"/>
              </w:rPr>
              <w:t>*</w:t>
            </w:r>
          </w:p>
        </w:tc>
        <w:tc>
          <w:tcPr>
            <w:tcW w:w="1098" w:type="dxa"/>
            <w:tcBorders>
              <w:bottom w:val="nil"/>
            </w:tcBorders>
            <w:vAlign w:val="center"/>
          </w:tcPr>
          <w:p w:rsidR="00AD323C" w:rsidRPr="00261A05" w:rsidRDefault="00AD323C" w:rsidP="00A1421E">
            <w:pPr>
              <w:ind w:right="42"/>
              <w:jc w:val="center"/>
              <w:rPr>
                <w:b/>
                <w:bCs/>
              </w:rPr>
            </w:pPr>
            <w:r>
              <w:rPr>
                <w:b/>
                <w:bCs/>
              </w:rPr>
              <w:t>2</w:t>
            </w:r>
            <w:r w:rsidR="00A1421E">
              <w:rPr>
                <w:b/>
                <w:bCs/>
              </w:rPr>
              <w:t>,</w:t>
            </w:r>
            <w:r>
              <w:rPr>
                <w:b/>
                <w:bCs/>
              </w:rPr>
              <w:t>1</w:t>
            </w:r>
          </w:p>
        </w:tc>
        <w:tc>
          <w:tcPr>
            <w:tcW w:w="925" w:type="dxa"/>
            <w:tcBorders>
              <w:bottom w:val="nil"/>
            </w:tcBorders>
            <w:vAlign w:val="center"/>
          </w:tcPr>
          <w:p w:rsidR="00AD323C" w:rsidRPr="00261A05" w:rsidRDefault="00AD323C" w:rsidP="00A1421E">
            <w:pPr>
              <w:ind w:right="42"/>
              <w:jc w:val="center"/>
              <w:rPr>
                <w:b/>
                <w:bCs/>
              </w:rPr>
            </w:pPr>
            <w:r>
              <w:rPr>
                <w:b/>
                <w:bCs/>
              </w:rPr>
              <w:t>0</w:t>
            </w:r>
            <w:r w:rsidR="00A1421E">
              <w:rPr>
                <w:b/>
                <w:bCs/>
              </w:rPr>
              <w:t>,</w:t>
            </w:r>
            <w:r>
              <w:rPr>
                <w:b/>
                <w:bCs/>
              </w:rPr>
              <w:t>1</w:t>
            </w:r>
          </w:p>
        </w:tc>
        <w:tc>
          <w:tcPr>
            <w:tcW w:w="1073" w:type="dxa"/>
            <w:tcBorders>
              <w:bottom w:val="nil"/>
            </w:tcBorders>
            <w:vAlign w:val="center"/>
          </w:tcPr>
          <w:p w:rsidR="00AD323C" w:rsidRPr="00261A05" w:rsidRDefault="00AD323C" w:rsidP="00A1421E">
            <w:pPr>
              <w:ind w:right="42"/>
              <w:jc w:val="center"/>
              <w:rPr>
                <w:b/>
                <w:bCs/>
              </w:rPr>
            </w:pPr>
            <w:r>
              <w:rPr>
                <w:b/>
                <w:bCs/>
              </w:rPr>
              <w:t>1</w:t>
            </w:r>
            <w:r w:rsidR="00A1421E">
              <w:rPr>
                <w:b/>
                <w:bCs/>
              </w:rPr>
              <w:t>,</w:t>
            </w:r>
            <w:r>
              <w:rPr>
                <w:b/>
                <w:bCs/>
              </w:rPr>
              <w:t>0</w:t>
            </w:r>
          </w:p>
        </w:tc>
        <w:tc>
          <w:tcPr>
            <w:tcW w:w="1138" w:type="dxa"/>
            <w:tcBorders>
              <w:bottom w:val="nil"/>
            </w:tcBorders>
            <w:vAlign w:val="center"/>
          </w:tcPr>
          <w:p w:rsidR="00AD323C" w:rsidRPr="00261A05" w:rsidRDefault="00AD323C" w:rsidP="00A1421E">
            <w:pPr>
              <w:ind w:right="42"/>
              <w:jc w:val="center"/>
              <w:rPr>
                <w:b/>
                <w:bCs/>
              </w:rPr>
            </w:pPr>
            <w:r>
              <w:rPr>
                <w:b/>
                <w:bCs/>
              </w:rPr>
              <w:t>-0</w:t>
            </w:r>
            <w:r w:rsidR="00A1421E">
              <w:rPr>
                <w:b/>
                <w:bCs/>
              </w:rPr>
              <w:t>,</w:t>
            </w:r>
            <w:r>
              <w:rPr>
                <w:b/>
                <w:bCs/>
              </w:rPr>
              <w:t>1</w:t>
            </w:r>
          </w:p>
        </w:tc>
        <w:tc>
          <w:tcPr>
            <w:tcW w:w="1069" w:type="dxa"/>
            <w:tcBorders>
              <w:bottom w:val="nil"/>
              <w:right w:val="double" w:sz="4" w:space="0" w:color="auto"/>
            </w:tcBorders>
            <w:vAlign w:val="center"/>
          </w:tcPr>
          <w:p w:rsidR="00AD323C" w:rsidRPr="00261A05" w:rsidRDefault="00AD323C" w:rsidP="00A1421E">
            <w:pPr>
              <w:ind w:right="42"/>
              <w:jc w:val="center"/>
            </w:pPr>
            <w:r>
              <w:t>**</w:t>
            </w:r>
          </w:p>
        </w:tc>
        <w:tc>
          <w:tcPr>
            <w:tcW w:w="960" w:type="dxa"/>
            <w:tcBorders>
              <w:left w:val="double" w:sz="4" w:space="0" w:color="auto"/>
              <w:bottom w:val="nil"/>
            </w:tcBorders>
            <w:vAlign w:val="center"/>
          </w:tcPr>
          <w:p w:rsidR="00AD323C" w:rsidRPr="00261A05" w:rsidRDefault="00AD323C" w:rsidP="00A1421E">
            <w:pPr>
              <w:ind w:right="42"/>
              <w:jc w:val="center"/>
              <w:rPr>
                <w:b/>
                <w:bCs/>
              </w:rPr>
            </w:pPr>
            <w:r>
              <w:rPr>
                <w:b/>
                <w:bCs/>
              </w:rPr>
              <w:t>1</w:t>
            </w:r>
            <w:r w:rsidR="00A1421E">
              <w:rPr>
                <w:b/>
                <w:bCs/>
              </w:rPr>
              <w:t>,</w:t>
            </w:r>
            <w:r>
              <w:rPr>
                <w:b/>
                <w:bCs/>
              </w:rPr>
              <w:t>0</w:t>
            </w:r>
          </w:p>
        </w:tc>
        <w:tc>
          <w:tcPr>
            <w:tcW w:w="960" w:type="dxa"/>
            <w:tcBorders>
              <w:bottom w:val="nil"/>
            </w:tcBorders>
            <w:vAlign w:val="center"/>
          </w:tcPr>
          <w:p w:rsidR="00AD323C" w:rsidRPr="00261A05" w:rsidRDefault="00AD323C" w:rsidP="00A1421E">
            <w:pPr>
              <w:ind w:right="42"/>
              <w:jc w:val="center"/>
              <w:rPr>
                <w:b/>
                <w:bCs/>
              </w:rPr>
            </w:pPr>
            <w:r>
              <w:rPr>
                <w:b/>
                <w:bCs/>
              </w:rPr>
              <w:t>1</w:t>
            </w:r>
            <w:r w:rsidR="00A1421E">
              <w:rPr>
                <w:b/>
                <w:bCs/>
              </w:rPr>
              <w:t>,</w:t>
            </w:r>
            <w:r>
              <w:rPr>
                <w:b/>
                <w:bCs/>
              </w:rPr>
              <w:t>7</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Dayanıksız tüketim malı imalatı</w:t>
            </w:r>
            <w:r>
              <w:rPr>
                <w:sz w:val="22"/>
                <w:szCs w:val="22"/>
              </w:rPr>
              <w:t>*</w:t>
            </w:r>
          </w:p>
        </w:tc>
        <w:tc>
          <w:tcPr>
            <w:tcW w:w="1098" w:type="dxa"/>
            <w:tcBorders>
              <w:top w:val="nil"/>
              <w:bottom w:val="nil"/>
            </w:tcBorders>
            <w:vAlign w:val="center"/>
          </w:tcPr>
          <w:p w:rsidR="00AD323C" w:rsidRPr="00261A05" w:rsidRDefault="00AD323C" w:rsidP="00A1421E">
            <w:pPr>
              <w:ind w:right="42"/>
              <w:jc w:val="center"/>
            </w:pPr>
            <w:r>
              <w:t>1</w:t>
            </w:r>
            <w:r w:rsidR="00A1421E">
              <w:t>,</w:t>
            </w:r>
            <w:r>
              <w:t>8</w:t>
            </w:r>
          </w:p>
        </w:tc>
        <w:tc>
          <w:tcPr>
            <w:tcW w:w="925" w:type="dxa"/>
            <w:tcBorders>
              <w:top w:val="nil"/>
              <w:bottom w:val="nil"/>
            </w:tcBorders>
            <w:vAlign w:val="center"/>
          </w:tcPr>
          <w:p w:rsidR="00AD323C" w:rsidRPr="00261A05" w:rsidRDefault="00AD323C" w:rsidP="00A1421E">
            <w:pPr>
              <w:ind w:right="42"/>
              <w:jc w:val="center"/>
            </w:pPr>
            <w:r>
              <w:t>1</w:t>
            </w:r>
            <w:r w:rsidR="00A1421E">
              <w:t>,</w:t>
            </w:r>
            <w:r>
              <w:t>4</w:t>
            </w:r>
          </w:p>
        </w:tc>
        <w:tc>
          <w:tcPr>
            <w:tcW w:w="1073" w:type="dxa"/>
            <w:tcBorders>
              <w:top w:val="nil"/>
              <w:bottom w:val="nil"/>
            </w:tcBorders>
            <w:vAlign w:val="center"/>
          </w:tcPr>
          <w:p w:rsidR="00AD323C" w:rsidRPr="00261A05" w:rsidRDefault="00AD323C" w:rsidP="00A1421E">
            <w:pPr>
              <w:ind w:right="42"/>
              <w:jc w:val="center"/>
            </w:pPr>
            <w:r>
              <w:t>1</w:t>
            </w:r>
            <w:r w:rsidR="00A1421E">
              <w:t>,</w:t>
            </w:r>
            <w:r>
              <w:t>8</w:t>
            </w:r>
          </w:p>
        </w:tc>
        <w:tc>
          <w:tcPr>
            <w:tcW w:w="1138" w:type="dxa"/>
            <w:tcBorders>
              <w:top w:val="nil"/>
              <w:bottom w:val="nil"/>
            </w:tcBorders>
            <w:vAlign w:val="center"/>
          </w:tcPr>
          <w:p w:rsidR="00AD323C" w:rsidRPr="00261A05" w:rsidRDefault="00AD323C" w:rsidP="00A1421E">
            <w:pPr>
              <w:ind w:right="42"/>
              <w:jc w:val="center"/>
            </w:pPr>
            <w:r>
              <w:t>-1</w:t>
            </w:r>
            <w:r w:rsidR="00A1421E">
              <w:t>,</w:t>
            </w:r>
            <w:r>
              <w:t>2</w:t>
            </w:r>
          </w:p>
        </w:tc>
        <w:tc>
          <w:tcPr>
            <w:tcW w:w="1069" w:type="dxa"/>
            <w:tcBorders>
              <w:top w:val="nil"/>
              <w:bottom w:val="nil"/>
              <w:right w:val="double" w:sz="4" w:space="0" w:color="auto"/>
            </w:tcBorders>
            <w:vAlign w:val="center"/>
          </w:tcPr>
          <w:p w:rsidR="00AD323C" w:rsidRPr="00261A05" w:rsidRDefault="00AD323C" w:rsidP="00A1421E">
            <w:pPr>
              <w:ind w:right="42"/>
              <w:jc w:val="center"/>
            </w:pPr>
            <w:r>
              <w:t>**</w:t>
            </w:r>
          </w:p>
        </w:tc>
        <w:tc>
          <w:tcPr>
            <w:tcW w:w="960" w:type="dxa"/>
            <w:tcBorders>
              <w:top w:val="nil"/>
              <w:left w:val="double" w:sz="4" w:space="0" w:color="auto"/>
              <w:bottom w:val="nil"/>
            </w:tcBorders>
            <w:vAlign w:val="center"/>
          </w:tcPr>
          <w:p w:rsidR="00AD323C" w:rsidRPr="00261A05" w:rsidRDefault="00AD323C" w:rsidP="00A1421E">
            <w:pPr>
              <w:ind w:right="42"/>
              <w:jc w:val="center"/>
            </w:pPr>
            <w:r>
              <w:t>0</w:t>
            </w:r>
            <w:r w:rsidR="00A1421E">
              <w:t>,</w:t>
            </w:r>
            <w:r>
              <w:t>5</w:t>
            </w:r>
          </w:p>
        </w:tc>
        <w:tc>
          <w:tcPr>
            <w:tcW w:w="960" w:type="dxa"/>
            <w:tcBorders>
              <w:top w:val="nil"/>
              <w:bottom w:val="nil"/>
            </w:tcBorders>
            <w:vAlign w:val="center"/>
          </w:tcPr>
          <w:p w:rsidR="00AD323C" w:rsidRPr="00261A05" w:rsidRDefault="00AD323C" w:rsidP="00A1421E">
            <w:pPr>
              <w:ind w:right="42"/>
              <w:jc w:val="center"/>
            </w:pPr>
            <w:r>
              <w:t>2</w:t>
            </w:r>
            <w:r w:rsidR="00A1421E">
              <w:t>,</w:t>
            </w:r>
            <w:r>
              <w:t>9</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rPr>
                <w:b/>
                <w:bCs/>
              </w:rPr>
            </w:pPr>
            <w:r w:rsidRPr="00261A05">
              <w:rPr>
                <w:sz w:val="22"/>
                <w:szCs w:val="22"/>
              </w:rPr>
              <w:t>Dayanıklı tüketim malı imalatı</w:t>
            </w:r>
            <w:r>
              <w:rPr>
                <w:sz w:val="22"/>
                <w:szCs w:val="22"/>
              </w:rPr>
              <w:t>*</w:t>
            </w:r>
          </w:p>
        </w:tc>
        <w:tc>
          <w:tcPr>
            <w:tcW w:w="1098" w:type="dxa"/>
            <w:tcBorders>
              <w:top w:val="nil"/>
              <w:bottom w:val="nil"/>
            </w:tcBorders>
            <w:vAlign w:val="center"/>
          </w:tcPr>
          <w:p w:rsidR="00AD323C" w:rsidRPr="00261A05" w:rsidRDefault="00AD323C" w:rsidP="00A1421E">
            <w:pPr>
              <w:ind w:right="42"/>
              <w:jc w:val="center"/>
            </w:pPr>
            <w:r>
              <w:t>2</w:t>
            </w:r>
            <w:r w:rsidR="00A1421E">
              <w:t>,</w:t>
            </w:r>
            <w:r>
              <w:t>1</w:t>
            </w:r>
          </w:p>
        </w:tc>
        <w:tc>
          <w:tcPr>
            <w:tcW w:w="925" w:type="dxa"/>
            <w:tcBorders>
              <w:top w:val="nil"/>
              <w:bottom w:val="nil"/>
            </w:tcBorders>
            <w:vAlign w:val="center"/>
          </w:tcPr>
          <w:p w:rsidR="00AD323C" w:rsidRPr="00261A05" w:rsidRDefault="00AD323C" w:rsidP="00A1421E">
            <w:pPr>
              <w:ind w:right="42"/>
              <w:jc w:val="center"/>
            </w:pPr>
            <w:r>
              <w:t>-0</w:t>
            </w:r>
            <w:r w:rsidR="00A1421E">
              <w:t>,</w:t>
            </w:r>
            <w:r>
              <w:t>3</w:t>
            </w:r>
          </w:p>
        </w:tc>
        <w:tc>
          <w:tcPr>
            <w:tcW w:w="1073" w:type="dxa"/>
            <w:tcBorders>
              <w:top w:val="nil"/>
              <w:bottom w:val="nil"/>
            </w:tcBorders>
            <w:vAlign w:val="center"/>
          </w:tcPr>
          <w:p w:rsidR="00AD323C" w:rsidRPr="00261A05" w:rsidRDefault="00AD323C" w:rsidP="00A1421E">
            <w:pPr>
              <w:ind w:right="42"/>
              <w:jc w:val="center"/>
            </w:pPr>
            <w:r>
              <w:t>-3</w:t>
            </w:r>
            <w:r w:rsidR="00A1421E">
              <w:t>,</w:t>
            </w:r>
            <w:r>
              <w:t>6</w:t>
            </w:r>
          </w:p>
        </w:tc>
        <w:tc>
          <w:tcPr>
            <w:tcW w:w="1138" w:type="dxa"/>
            <w:tcBorders>
              <w:top w:val="nil"/>
              <w:bottom w:val="nil"/>
            </w:tcBorders>
            <w:vAlign w:val="center"/>
          </w:tcPr>
          <w:p w:rsidR="00AD323C" w:rsidRPr="00261A05" w:rsidRDefault="00AD323C" w:rsidP="00A1421E">
            <w:pPr>
              <w:ind w:right="42"/>
              <w:jc w:val="center"/>
            </w:pPr>
            <w:r>
              <w:t>3</w:t>
            </w:r>
            <w:r w:rsidR="00A1421E">
              <w:t>,</w:t>
            </w:r>
            <w:r>
              <w:t>3</w:t>
            </w:r>
          </w:p>
        </w:tc>
        <w:tc>
          <w:tcPr>
            <w:tcW w:w="1069" w:type="dxa"/>
            <w:tcBorders>
              <w:top w:val="nil"/>
              <w:bottom w:val="nil"/>
              <w:right w:val="double" w:sz="4" w:space="0" w:color="auto"/>
            </w:tcBorders>
            <w:vAlign w:val="center"/>
          </w:tcPr>
          <w:p w:rsidR="00AD323C" w:rsidRPr="00261A05" w:rsidRDefault="00AD323C" w:rsidP="00A1421E">
            <w:pPr>
              <w:ind w:right="42"/>
              <w:jc w:val="center"/>
            </w:pPr>
            <w:r>
              <w:t>**</w:t>
            </w:r>
          </w:p>
        </w:tc>
        <w:tc>
          <w:tcPr>
            <w:tcW w:w="960" w:type="dxa"/>
            <w:tcBorders>
              <w:top w:val="nil"/>
              <w:left w:val="double" w:sz="4" w:space="0" w:color="auto"/>
              <w:bottom w:val="nil"/>
            </w:tcBorders>
            <w:vAlign w:val="center"/>
          </w:tcPr>
          <w:p w:rsidR="00AD323C" w:rsidRPr="00261A05" w:rsidRDefault="00AD323C" w:rsidP="00A1421E">
            <w:pPr>
              <w:ind w:right="42"/>
              <w:jc w:val="center"/>
            </w:pPr>
            <w:r>
              <w:t>-0</w:t>
            </w:r>
            <w:r w:rsidR="00A1421E">
              <w:t>,</w:t>
            </w:r>
            <w:r>
              <w:t>7</w:t>
            </w:r>
          </w:p>
        </w:tc>
        <w:tc>
          <w:tcPr>
            <w:tcW w:w="960" w:type="dxa"/>
            <w:tcBorders>
              <w:top w:val="nil"/>
              <w:bottom w:val="nil"/>
            </w:tcBorders>
            <w:vAlign w:val="center"/>
          </w:tcPr>
          <w:p w:rsidR="00AD323C" w:rsidRPr="00261A05" w:rsidRDefault="00AD323C" w:rsidP="00A1421E">
            <w:pPr>
              <w:ind w:right="42"/>
              <w:jc w:val="center"/>
            </w:pPr>
            <w:r>
              <w:t>-2</w:t>
            </w:r>
            <w:r w:rsidR="00A1421E">
              <w:t>,</w:t>
            </w:r>
            <w:r>
              <w:t>0</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Ara malı imalatı</w:t>
            </w:r>
            <w:r>
              <w:rPr>
                <w:sz w:val="22"/>
                <w:szCs w:val="22"/>
              </w:rPr>
              <w:t>*</w:t>
            </w:r>
          </w:p>
        </w:tc>
        <w:tc>
          <w:tcPr>
            <w:tcW w:w="1098" w:type="dxa"/>
            <w:tcBorders>
              <w:top w:val="nil"/>
              <w:bottom w:val="nil"/>
            </w:tcBorders>
            <w:vAlign w:val="center"/>
          </w:tcPr>
          <w:p w:rsidR="00AD323C" w:rsidRPr="00261A05" w:rsidRDefault="00AD323C" w:rsidP="00A1421E">
            <w:pPr>
              <w:ind w:right="42"/>
              <w:jc w:val="center"/>
            </w:pPr>
            <w:r>
              <w:t>3</w:t>
            </w:r>
            <w:r w:rsidR="00A1421E">
              <w:t>,</w:t>
            </w:r>
            <w:r>
              <w:t>4</w:t>
            </w:r>
          </w:p>
        </w:tc>
        <w:tc>
          <w:tcPr>
            <w:tcW w:w="925" w:type="dxa"/>
            <w:tcBorders>
              <w:top w:val="nil"/>
              <w:bottom w:val="nil"/>
            </w:tcBorders>
            <w:vAlign w:val="center"/>
          </w:tcPr>
          <w:p w:rsidR="00AD323C" w:rsidRPr="00261A05" w:rsidRDefault="00AD323C" w:rsidP="00A1421E">
            <w:pPr>
              <w:ind w:right="42"/>
              <w:jc w:val="center"/>
            </w:pPr>
            <w:r>
              <w:t>-1</w:t>
            </w:r>
            <w:r w:rsidR="00A1421E">
              <w:t>,</w:t>
            </w:r>
            <w:r>
              <w:t>7</w:t>
            </w:r>
          </w:p>
        </w:tc>
        <w:tc>
          <w:tcPr>
            <w:tcW w:w="1073" w:type="dxa"/>
            <w:tcBorders>
              <w:top w:val="nil"/>
              <w:bottom w:val="nil"/>
            </w:tcBorders>
            <w:vAlign w:val="center"/>
          </w:tcPr>
          <w:p w:rsidR="00AD323C" w:rsidRPr="00261A05" w:rsidRDefault="00AD323C" w:rsidP="00A1421E">
            <w:pPr>
              <w:ind w:right="42"/>
              <w:jc w:val="center"/>
            </w:pPr>
            <w:r>
              <w:t>3</w:t>
            </w:r>
            <w:r w:rsidR="00A1421E">
              <w:t>,</w:t>
            </w:r>
            <w:r>
              <w:t>3</w:t>
            </w:r>
          </w:p>
        </w:tc>
        <w:tc>
          <w:tcPr>
            <w:tcW w:w="1138" w:type="dxa"/>
            <w:tcBorders>
              <w:top w:val="nil"/>
              <w:bottom w:val="nil"/>
            </w:tcBorders>
            <w:vAlign w:val="center"/>
          </w:tcPr>
          <w:p w:rsidR="00AD323C" w:rsidRPr="00261A05" w:rsidRDefault="00AD323C" w:rsidP="00A1421E">
            <w:pPr>
              <w:ind w:right="42"/>
              <w:jc w:val="center"/>
            </w:pPr>
            <w:r>
              <w:t>-0</w:t>
            </w:r>
            <w:r w:rsidR="00A1421E">
              <w:t>,</w:t>
            </w:r>
            <w:r>
              <w:t>9</w:t>
            </w:r>
          </w:p>
        </w:tc>
        <w:tc>
          <w:tcPr>
            <w:tcW w:w="1069" w:type="dxa"/>
            <w:tcBorders>
              <w:top w:val="nil"/>
              <w:bottom w:val="nil"/>
              <w:right w:val="double" w:sz="4" w:space="0" w:color="auto"/>
            </w:tcBorders>
            <w:vAlign w:val="center"/>
          </w:tcPr>
          <w:p w:rsidR="00AD323C" w:rsidRPr="00261A05" w:rsidRDefault="00AD323C" w:rsidP="00A1421E">
            <w:pPr>
              <w:ind w:right="42"/>
              <w:jc w:val="center"/>
            </w:pPr>
            <w:r>
              <w:t>**</w:t>
            </w:r>
          </w:p>
        </w:tc>
        <w:tc>
          <w:tcPr>
            <w:tcW w:w="960" w:type="dxa"/>
            <w:tcBorders>
              <w:top w:val="nil"/>
              <w:left w:val="double" w:sz="4" w:space="0" w:color="auto"/>
              <w:bottom w:val="nil"/>
            </w:tcBorders>
            <w:vAlign w:val="center"/>
          </w:tcPr>
          <w:p w:rsidR="00AD323C" w:rsidRPr="00261A05" w:rsidRDefault="00AD323C" w:rsidP="00A1421E">
            <w:pPr>
              <w:ind w:right="42"/>
              <w:jc w:val="center"/>
            </w:pPr>
            <w:r>
              <w:t>1</w:t>
            </w:r>
            <w:r w:rsidR="00A1421E">
              <w:t>,</w:t>
            </w:r>
            <w:r>
              <w:t>7</w:t>
            </w:r>
          </w:p>
        </w:tc>
        <w:tc>
          <w:tcPr>
            <w:tcW w:w="960" w:type="dxa"/>
            <w:tcBorders>
              <w:top w:val="nil"/>
              <w:bottom w:val="nil"/>
            </w:tcBorders>
            <w:vAlign w:val="center"/>
          </w:tcPr>
          <w:p w:rsidR="00AD323C" w:rsidRPr="00261A05" w:rsidRDefault="00AD323C" w:rsidP="00A1421E">
            <w:pPr>
              <w:ind w:right="42"/>
              <w:jc w:val="center"/>
            </w:pPr>
            <w:r>
              <w:t>3</w:t>
            </w:r>
            <w:r w:rsidR="00A1421E">
              <w:t>,</w:t>
            </w:r>
            <w:r>
              <w:t>0</w:t>
            </w: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sidRPr="00261A05">
              <w:rPr>
                <w:sz w:val="22"/>
                <w:szCs w:val="22"/>
              </w:rPr>
              <w:t>Yatırım malı imalatı</w:t>
            </w:r>
            <w:r>
              <w:rPr>
                <w:sz w:val="22"/>
                <w:szCs w:val="22"/>
              </w:rPr>
              <w:t>*</w:t>
            </w:r>
          </w:p>
        </w:tc>
        <w:tc>
          <w:tcPr>
            <w:tcW w:w="1098" w:type="dxa"/>
            <w:tcBorders>
              <w:top w:val="nil"/>
            </w:tcBorders>
            <w:vAlign w:val="center"/>
          </w:tcPr>
          <w:p w:rsidR="00AD323C" w:rsidRPr="00261A05" w:rsidRDefault="00AD323C" w:rsidP="00A1421E">
            <w:pPr>
              <w:ind w:right="42"/>
              <w:jc w:val="center"/>
            </w:pPr>
            <w:r>
              <w:t>2</w:t>
            </w:r>
            <w:r w:rsidR="00A1421E">
              <w:t>,</w:t>
            </w:r>
            <w:r>
              <w:t>4</w:t>
            </w:r>
          </w:p>
        </w:tc>
        <w:tc>
          <w:tcPr>
            <w:tcW w:w="925" w:type="dxa"/>
            <w:tcBorders>
              <w:top w:val="nil"/>
            </w:tcBorders>
            <w:vAlign w:val="center"/>
          </w:tcPr>
          <w:p w:rsidR="00AD323C" w:rsidRPr="00261A05" w:rsidRDefault="00AD323C" w:rsidP="00A1421E">
            <w:pPr>
              <w:ind w:right="42"/>
              <w:jc w:val="center"/>
            </w:pPr>
            <w:r>
              <w:t>-0</w:t>
            </w:r>
            <w:r w:rsidR="00A1421E">
              <w:t>,</w:t>
            </w:r>
            <w:r>
              <w:t>1</w:t>
            </w:r>
          </w:p>
        </w:tc>
        <w:tc>
          <w:tcPr>
            <w:tcW w:w="1073" w:type="dxa"/>
            <w:tcBorders>
              <w:top w:val="nil"/>
            </w:tcBorders>
            <w:vAlign w:val="center"/>
          </w:tcPr>
          <w:p w:rsidR="00AD323C" w:rsidRPr="00261A05" w:rsidRDefault="00AD323C" w:rsidP="00A1421E">
            <w:pPr>
              <w:ind w:right="42"/>
              <w:jc w:val="center"/>
            </w:pPr>
            <w:r>
              <w:t>-2</w:t>
            </w:r>
            <w:r w:rsidR="00A1421E">
              <w:t>,</w:t>
            </w:r>
            <w:r>
              <w:t>5</w:t>
            </w:r>
          </w:p>
        </w:tc>
        <w:tc>
          <w:tcPr>
            <w:tcW w:w="1138" w:type="dxa"/>
            <w:tcBorders>
              <w:top w:val="nil"/>
            </w:tcBorders>
            <w:vAlign w:val="center"/>
          </w:tcPr>
          <w:p w:rsidR="00AD323C" w:rsidRPr="00261A05" w:rsidRDefault="00AD323C" w:rsidP="00A1421E">
            <w:pPr>
              <w:ind w:right="42"/>
              <w:jc w:val="center"/>
            </w:pPr>
            <w:r>
              <w:t>1</w:t>
            </w:r>
            <w:r w:rsidR="00A1421E">
              <w:t>,</w:t>
            </w:r>
            <w:r>
              <w:t>6</w:t>
            </w:r>
          </w:p>
        </w:tc>
        <w:tc>
          <w:tcPr>
            <w:tcW w:w="1069" w:type="dxa"/>
            <w:tcBorders>
              <w:top w:val="nil"/>
              <w:right w:val="double" w:sz="4" w:space="0" w:color="auto"/>
            </w:tcBorders>
            <w:vAlign w:val="center"/>
          </w:tcPr>
          <w:p w:rsidR="00AD323C" w:rsidRPr="00261A05" w:rsidRDefault="00AD323C" w:rsidP="00A1421E">
            <w:pPr>
              <w:ind w:right="42"/>
              <w:jc w:val="center"/>
            </w:pPr>
            <w:r>
              <w:t>**</w:t>
            </w:r>
          </w:p>
        </w:tc>
        <w:tc>
          <w:tcPr>
            <w:tcW w:w="960" w:type="dxa"/>
            <w:tcBorders>
              <w:top w:val="nil"/>
              <w:left w:val="double" w:sz="4" w:space="0" w:color="auto"/>
            </w:tcBorders>
            <w:vAlign w:val="center"/>
          </w:tcPr>
          <w:p w:rsidR="00AD323C" w:rsidRPr="00261A05" w:rsidRDefault="00AD323C" w:rsidP="00A1421E">
            <w:pPr>
              <w:ind w:right="42"/>
              <w:jc w:val="center"/>
            </w:pPr>
            <w:r>
              <w:t>0</w:t>
            </w:r>
            <w:r w:rsidR="00A1421E">
              <w:t>,</w:t>
            </w:r>
            <w:r>
              <w:t>7</w:t>
            </w:r>
          </w:p>
        </w:tc>
        <w:tc>
          <w:tcPr>
            <w:tcW w:w="960" w:type="dxa"/>
            <w:tcBorders>
              <w:top w:val="nil"/>
            </w:tcBorders>
            <w:vAlign w:val="center"/>
          </w:tcPr>
          <w:p w:rsidR="00AD323C" w:rsidRPr="00261A05" w:rsidRDefault="00AD323C" w:rsidP="00A1421E">
            <w:pPr>
              <w:ind w:right="42"/>
              <w:jc w:val="center"/>
            </w:pPr>
            <w:r>
              <w:t>-1</w:t>
            </w:r>
            <w:r w:rsidR="00A1421E">
              <w:t>,</w:t>
            </w:r>
            <w:r>
              <w:t>3</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Kapasite kullanım oranı (KKO)</w:t>
            </w:r>
            <w:r>
              <w:rPr>
                <w:b/>
                <w:bCs/>
                <w:sz w:val="22"/>
                <w:szCs w:val="22"/>
              </w:rPr>
              <w:t>*</w:t>
            </w:r>
          </w:p>
        </w:tc>
        <w:tc>
          <w:tcPr>
            <w:tcW w:w="1098" w:type="dxa"/>
            <w:tcBorders>
              <w:bottom w:val="nil"/>
            </w:tcBorders>
            <w:vAlign w:val="center"/>
          </w:tcPr>
          <w:p w:rsidR="00AD323C" w:rsidRPr="00261A05" w:rsidRDefault="00AD323C" w:rsidP="00A1421E">
            <w:pPr>
              <w:ind w:right="42"/>
              <w:jc w:val="center"/>
              <w:rPr>
                <w:b/>
                <w:bCs/>
              </w:rPr>
            </w:pPr>
            <w:r>
              <w:rPr>
                <w:b/>
                <w:bCs/>
              </w:rPr>
              <w:t>-0</w:t>
            </w:r>
            <w:r w:rsidR="00A1421E">
              <w:rPr>
                <w:b/>
                <w:bCs/>
              </w:rPr>
              <w:t>,</w:t>
            </w:r>
            <w:r>
              <w:rPr>
                <w:b/>
                <w:bCs/>
              </w:rPr>
              <w:t>8</w:t>
            </w:r>
          </w:p>
        </w:tc>
        <w:tc>
          <w:tcPr>
            <w:tcW w:w="925" w:type="dxa"/>
            <w:tcBorders>
              <w:bottom w:val="nil"/>
            </w:tcBorders>
            <w:vAlign w:val="center"/>
          </w:tcPr>
          <w:p w:rsidR="00AD323C" w:rsidRPr="00261A05" w:rsidRDefault="00AD323C" w:rsidP="00A1421E">
            <w:pPr>
              <w:ind w:right="42"/>
              <w:jc w:val="center"/>
              <w:rPr>
                <w:b/>
                <w:bCs/>
              </w:rPr>
            </w:pPr>
            <w:r>
              <w:rPr>
                <w:b/>
                <w:bCs/>
              </w:rPr>
              <w:t>0</w:t>
            </w:r>
            <w:r w:rsidR="00A1421E">
              <w:rPr>
                <w:b/>
                <w:bCs/>
              </w:rPr>
              <w:t>,</w:t>
            </w:r>
            <w:r>
              <w:rPr>
                <w:b/>
                <w:bCs/>
              </w:rPr>
              <w:t>9</w:t>
            </w:r>
          </w:p>
        </w:tc>
        <w:tc>
          <w:tcPr>
            <w:tcW w:w="1073" w:type="dxa"/>
            <w:tcBorders>
              <w:bottom w:val="nil"/>
            </w:tcBorders>
            <w:vAlign w:val="center"/>
          </w:tcPr>
          <w:p w:rsidR="00AD323C" w:rsidRPr="00261A05" w:rsidRDefault="00AD323C" w:rsidP="00A1421E">
            <w:pPr>
              <w:ind w:right="42"/>
              <w:jc w:val="center"/>
              <w:rPr>
                <w:b/>
                <w:bCs/>
              </w:rPr>
            </w:pPr>
            <w:r>
              <w:rPr>
                <w:b/>
                <w:bCs/>
              </w:rPr>
              <w:t>-1</w:t>
            </w:r>
            <w:r w:rsidR="00A1421E">
              <w:rPr>
                <w:b/>
                <w:bCs/>
              </w:rPr>
              <w:t>,</w:t>
            </w:r>
            <w:r>
              <w:rPr>
                <w:b/>
                <w:bCs/>
              </w:rPr>
              <w:t>4</w:t>
            </w:r>
          </w:p>
        </w:tc>
        <w:tc>
          <w:tcPr>
            <w:tcW w:w="1138" w:type="dxa"/>
            <w:tcBorders>
              <w:bottom w:val="nil"/>
            </w:tcBorders>
            <w:vAlign w:val="center"/>
          </w:tcPr>
          <w:p w:rsidR="00AD323C" w:rsidRPr="00261A05" w:rsidRDefault="00AD323C" w:rsidP="00A1421E">
            <w:pPr>
              <w:ind w:right="42"/>
              <w:jc w:val="center"/>
              <w:rPr>
                <w:b/>
                <w:bCs/>
              </w:rPr>
            </w:pPr>
            <w:r>
              <w:rPr>
                <w:b/>
                <w:bCs/>
              </w:rPr>
              <w:t>-0</w:t>
            </w:r>
            <w:r w:rsidR="00A1421E">
              <w:rPr>
                <w:b/>
                <w:bCs/>
              </w:rPr>
              <w:t>,</w:t>
            </w:r>
            <w:r>
              <w:rPr>
                <w:b/>
                <w:bCs/>
              </w:rPr>
              <w:t>1</w:t>
            </w:r>
          </w:p>
        </w:tc>
        <w:tc>
          <w:tcPr>
            <w:tcW w:w="1069" w:type="dxa"/>
            <w:tcBorders>
              <w:bottom w:val="nil"/>
              <w:right w:val="double" w:sz="4" w:space="0" w:color="auto"/>
            </w:tcBorders>
            <w:vAlign w:val="center"/>
          </w:tcPr>
          <w:p w:rsidR="00AD323C" w:rsidRPr="00261A05" w:rsidRDefault="00AD323C" w:rsidP="00A1421E">
            <w:pPr>
              <w:ind w:right="42"/>
              <w:jc w:val="center"/>
              <w:rPr>
                <w:b/>
                <w:bCs/>
              </w:rPr>
            </w:pPr>
            <w:r>
              <w:rPr>
                <w:b/>
                <w:bCs/>
              </w:rPr>
              <w:t>-0</w:t>
            </w:r>
            <w:r w:rsidR="00A1421E">
              <w:rPr>
                <w:b/>
                <w:bCs/>
              </w:rPr>
              <w:t>,</w:t>
            </w:r>
            <w:r>
              <w:rPr>
                <w:b/>
                <w:bCs/>
              </w:rPr>
              <w:t>1</w:t>
            </w:r>
          </w:p>
        </w:tc>
        <w:tc>
          <w:tcPr>
            <w:tcW w:w="960" w:type="dxa"/>
            <w:tcBorders>
              <w:left w:val="double" w:sz="4" w:space="0" w:color="auto"/>
              <w:bottom w:val="nil"/>
            </w:tcBorders>
            <w:vAlign w:val="center"/>
          </w:tcPr>
          <w:p w:rsidR="00AD323C" w:rsidRPr="00261A05" w:rsidRDefault="00AD323C" w:rsidP="00A1421E">
            <w:pPr>
              <w:ind w:right="42"/>
              <w:jc w:val="center"/>
              <w:rPr>
                <w:b/>
                <w:bCs/>
              </w:rPr>
            </w:pPr>
            <w:r>
              <w:rPr>
                <w:b/>
                <w:bCs/>
              </w:rPr>
              <w:t>0</w:t>
            </w:r>
            <w:r w:rsidR="00A1421E">
              <w:rPr>
                <w:b/>
                <w:bCs/>
              </w:rPr>
              <w:t>,</w:t>
            </w:r>
            <w:r>
              <w:rPr>
                <w:b/>
                <w:bCs/>
              </w:rPr>
              <w:t>6</w:t>
            </w:r>
          </w:p>
        </w:tc>
        <w:tc>
          <w:tcPr>
            <w:tcW w:w="960" w:type="dxa"/>
            <w:tcBorders>
              <w:bottom w:val="nil"/>
            </w:tcBorders>
            <w:vAlign w:val="center"/>
          </w:tcPr>
          <w:p w:rsidR="00AD323C" w:rsidRPr="00261A05" w:rsidRDefault="00AD323C" w:rsidP="00A1421E">
            <w:pPr>
              <w:ind w:right="42"/>
              <w:jc w:val="center"/>
              <w:rPr>
                <w:b/>
                <w:bCs/>
              </w:rPr>
            </w:pPr>
            <w:r>
              <w:rPr>
                <w:b/>
                <w:bCs/>
              </w:rPr>
              <w:t>-1</w:t>
            </w:r>
            <w:r w:rsidR="00A1421E">
              <w:rPr>
                <w:b/>
                <w:bCs/>
              </w:rPr>
              <w:t>,</w:t>
            </w:r>
            <w:r>
              <w:rPr>
                <w:b/>
                <w:bCs/>
              </w:rPr>
              <w:t>2</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Dayanıksız tüketim malı imalatı</w:t>
            </w:r>
          </w:p>
        </w:tc>
        <w:tc>
          <w:tcPr>
            <w:tcW w:w="1098" w:type="dxa"/>
            <w:tcBorders>
              <w:top w:val="nil"/>
              <w:bottom w:val="nil"/>
            </w:tcBorders>
            <w:vAlign w:val="center"/>
          </w:tcPr>
          <w:p w:rsidR="00AD323C" w:rsidRPr="00261A05" w:rsidRDefault="00AD323C" w:rsidP="00A1421E">
            <w:pPr>
              <w:ind w:right="42"/>
              <w:jc w:val="center"/>
            </w:pPr>
            <w:r>
              <w:t>-0</w:t>
            </w:r>
            <w:r w:rsidR="00A1421E">
              <w:t>,</w:t>
            </w:r>
            <w:r>
              <w:t>2</w:t>
            </w:r>
          </w:p>
        </w:tc>
        <w:tc>
          <w:tcPr>
            <w:tcW w:w="925" w:type="dxa"/>
            <w:tcBorders>
              <w:top w:val="nil"/>
              <w:bottom w:val="nil"/>
            </w:tcBorders>
            <w:vAlign w:val="center"/>
          </w:tcPr>
          <w:p w:rsidR="00AD323C" w:rsidRPr="00261A05" w:rsidRDefault="00AD323C" w:rsidP="00A1421E">
            <w:pPr>
              <w:ind w:right="42"/>
              <w:jc w:val="center"/>
            </w:pPr>
            <w:r>
              <w:t>-0</w:t>
            </w:r>
            <w:r w:rsidR="00A1421E">
              <w:t>,</w:t>
            </w:r>
            <w:r>
              <w:t>1</w:t>
            </w:r>
          </w:p>
        </w:tc>
        <w:tc>
          <w:tcPr>
            <w:tcW w:w="1073" w:type="dxa"/>
            <w:tcBorders>
              <w:top w:val="nil"/>
              <w:bottom w:val="nil"/>
            </w:tcBorders>
            <w:vAlign w:val="center"/>
          </w:tcPr>
          <w:p w:rsidR="00AD323C" w:rsidRPr="00261A05" w:rsidRDefault="00AD323C" w:rsidP="00A1421E">
            <w:pPr>
              <w:ind w:right="42"/>
              <w:jc w:val="center"/>
            </w:pPr>
            <w:r>
              <w:t>-0</w:t>
            </w:r>
            <w:r w:rsidR="00A1421E">
              <w:t>,</w:t>
            </w:r>
            <w:r>
              <w:t>1</w:t>
            </w:r>
          </w:p>
        </w:tc>
        <w:tc>
          <w:tcPr>
            <w:tcW w:w="1138" w:type="dxa"/>
            <w:tcBorders>
              <w:top w:val="nil"/>
              <w:bottom w:val="nil"/>
            </w:tcBorders>
            <w:vAlign w:val="center"/>
          </w:tcPr>
          <w:p w:rsidR="00AD323C" w:rsidRPr="00261A05" w:rsidRDefault="00AD323C" w:rsidP="00A1421E">
            <w:pPr>
              <w:ind w:right="42"/>
              <w:jc w:val="center"/>
            </w:pPr>
            <w:r>
              <w:t>0</w:t>
            </w:r>
            <w:r w:rsidR="00A1421E">
              <w:t>,</w:t>
            </w:r>
            <w:r>
              <w:t>0</w:t>
            </w:r>
          </w:p>
        </w:tc>
        <w:tc>
          <w:tcPr>
            <w:tcW w:w="1069" w:type="dxa"/>
            <w:tcBorders>
              <w:top w:val="nil"/>
              <w:bottom w:val="nil"/>
              <w:right w:val="double" w:sz="4" w:space="0" w:color="auto"/>
            </w:tcBorders>
            <w:vAlign w:val="center"/>
          </w:tcPr>
          <w:p w:rsidR="00AD323C" w:rsidRPr="00261A05" w:rsidRDefault="00AD323C" w:rsidP="00A1421E">
            <w:pPr>
              <w:ind w:right="42"/>
              <w:jc w:val="center"/>
            </w:pPr>
            <w:r>
              <w:t>-0</w:t>
            </w:r>
            <w:r w:rsidR="00A1421E">
              <w:t>,</w:t>
            </w:r>
            <w:r>
              <w:t>2</w:t>
            </w:r>
          </w:p>
        </w:tc>
        <w:tc>
          <w:tcPr>
            <w:tcW w:w="960" w:type="dxa"/>
            <w:tcBorders>
              <w:top w:val="nil"/>
              <w:left w:val="double" w:sz="4" w:space="0" w:color="auto"/>
              <w:bottom w:val="nil"/>
            </w:tcBorders>
            <w:vAlign w:val="center"/>
          </w:tcPr>
          <w:p w:rsidR="00AD323C" w:rsidRPr="00261A05" w:rsidRDefault="00AD323C" w:rsidP="00A1421E">
            <w:pPr>
              <w:ind w:right="42"/>
              <w:jc w:val="center"/>
            </w:pPr>
            <w:r>
              <w:t>0</w:t>
            </w:r>
            <w:r w:rsidR="00A1421E">
              <w:t>,</w:t>
            </w:r>
            <w:r>
              <w:t>1</w:t>
            </w:r>
          </w:p>
        </w:tc>
        <w:tc>
          <w:tcPr>
            <w:tcW w:w="960" w:type="dxa"/>
            <w:tcBorders>
              <w:top w:val="nil"/>
              <w:bottom w:val="nil"/>
            </w:tcBorders>
            <w:vAlign w:val="center"/>
          </w:tcPr>
          <w:p w:rsidR="00AD323C" w:rsidRPr="00261A05" w:rsidRDefault="00AD323C" w:rsidP="00A1421E">
            <w:pPr>
              <w:ind w:right="42"/>
              <w:jc w:val="center"/>
            </w:pPr>
            <w:r>
              <w:t>-0</w:t>
            </w:r>
            <w:r w:rsidR="00A1421E">
              <w:t>,</w:t>
            </w:r>
            <w:r>
              <w:t>3</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rPr>
                <w:b/>
                <w:bCs/>
              </w:rPr>
            </w:pPr>
            <w:r w:rsidRPr="00261A05">
              <w:rPr>
                <w:sz w:val="22"/>
                <w:szCs w:val="22"/>
              </w:rPr>
              <w:t>Dayanıklı tüketim malı imalatı</w:t>
            </w:r>
          </w:p>
        </w:tc>
        <w:tc>
          <w:tcPr>
            <w:tcW w:w="1098" w:type="dxa"/>
            <w:tcBorders>
              <w:top w:val="nil"/>
              <w:bottom w:val="nil"/>
            </w:tcBorders>
            <w:vAlign w:val="center"/>
          </w:tcPr>
          <w:p w:rsidR="00AD323C" w:rsidRPr="00261A05" w:rsidRDefault="00AD323C" w:rsidP="00A1421E">
            <w:pPr>
              <w:ind w:right="42"/>
              <w:jc w:val="center"/>
            </w:pPr>
            <w:r>
              <w:t>-0</w:t>
            </w:r>
            <w:r w:rsidR="00A1421E">
              <w:t>,</w:t>
            </w:r>
            <w:r>
              <w:t>7</w:t>
            </w:r>
          </w:p>
        </w:tc>
        <w:tc>
          <w:tcPr>
            <w:tcW w:w="925" w:type="dxa"/>
            <w:tcBorders>
              <w:top w:val="nil"/>
              <w:bottom w:val="nil"/>
            </w:tcBorders>
            <w:vAlign w:val="center"/>
          </w:tcPr>
          <w:p w:rsidR="00AD323C" w:rsidRPr="00261A05" w:rsidRDefault="00AD323C" w:rsidP="00A1421E">
            <w:pPr>
              <w:ind w:right="42"/>
              <w:jc w:val="center"/>
            </w:pPr>
            <w:r>
              <w:t>-0</w:t>
            </w:r>
            <w:r w:rsidR="00A1421E">
              <w:t>,</w:t>
            </w:r>
            <w:r>
              <w:t>1</w:t>
            </w:r>
          </w:p>
        </w:tc>
        <w:tc>
          <w:tcPr>
            <w:tcW w:w="1073" w:type="dxa"/>
            <w:tcBorders>
              <w:top w:val="nil"/>
              <w:bottom w:val="nil"/>
            </w:tcBorders>
            <w:vAlign w:val="center"/>
          </w:tcPr>
          <w:p w:rsidR="00AD323C" w:rsidRPr="00261A05" w:rsidRDefault="00AD323C" w:rsidP="00A1421E">
            <w:pPr>
              <w:ind w:right="42"/>
              <w:jc w:val="center"/>
            </w:pPr>
            <w:r>
              <w:t>-4</w:t>
            </w:r>
            <w:r w:rsidR="00A1421E">
              <w:t>,</w:t>
            </w:r>
            <w:r>
              <w:t>3</w:t>
            </w:r>
          </w:p>
        </w:tc>
        <w:tc>
          <w:tcPr>
            <w:tcW w:w="1138" w:type="dxa"/>
            <w:tcBorders>
              <w:top w:val="nil"/>
              <w:bottom w:val="nil"/>
            </w:tcBorders>
            <w:vAlign w:val="center"/>
          </w:tcPr>
          <w:p w:rsidR="00AD323C" w:rsidRPr="00261A05" w:rsidRDefault="00AD323C" w:rsidP="00A1421E">
            <w:pPr>
              <w:ind w:right="42"/>
              <w:jc w:val="center"/>
            </w:pPr>
            <w:r>
              <w:t>1</w:t>
            </w:r>
            <w:r w:rsidR="00A1421E">
              <w:t>,</w:t>
            </w:r>
            <w:r>
              <w:t>8</w:t>
            </w:r>
          </w:p>
        </w:tc>
        <w:tc>
          <w:tcPr>
            <w:tcW w:w="1069" w:type="dxa"/>
            <w:tcBorders>
              <w:top w:val="nil"/>
              <w:bottom w:val="nil"/>
              <w:right w:val="double" w:sz="4" w:space="0" w:color="auto"/>
            </w:tcBorders>
            <w:vAlign w:val="center"/>
          </w:tcPr>
          <w:p w:rsidR="00AD323C" w:rsidRPr="00261A05" w:rsidRDefault="00AD323C" w:rsidP="00A1421E">
            <w:pPr>
              <w:ind w:right="42"/>
              <w:jc w:val="center"/>
            </w:pPr>
            <w:r>
              <w:t>0</w:t>
            </w:r>
            <w:r w:rsidR="00A1421E">
              <w:t>,</w:t>
            </w:r>
            <w:r>
              <w:t>2</w:t>
            </w:r>
          </w:p>
        </w:tc>
        <w:tc>
          <w:tcPr>
            <w:tcW w:w="960" w:type="dxa"/>
            <w:tcBorders>
              <w:top w:val="nil"/>
              <w:left w:val="double" w:sz="4" w:space="0" w:color="auto"/>
              <w:bottom w:val="nil"/>
            </w:tcBorders>
            <w:vAlign w:val="center"/>
          </w:tcPr>
          <w:p w:rsidR="00AD323C" w:rsidRPr="00261A05" w:rsidRDefault="00AD323C" w:rsidP="00A1421E">
            <w:pPr>
              <w:ind w:right="42"/>
              <w:jc w:val="center"/>
            </w:pPr>
            <w:r>
              <w:t>0</w:t>
            </w:r>
            <w:r w:rsidR="00A1421E">
              <w:t>,</w:t>
            </w:r>
            <w:r>
              <w:t>4</w:t>
            </w:r>
          </w:p>
        </w:tc>
        <w:tc>
          <w:tcPr>
            <w:tcW w:w="960" w:type="dxa"/>
            <w:tcBorders>
              <w:top w:val="nil"/>
              <w:bottom w:val="nil"/>
            </w:tcBorders>
            <w:vAlign w:val="center"/>
          </w:tcPr>
          <w:p w:rsidR="00AD323C" w:rsidRPr="00261A05" w:rsidRDefault="00AD323C" w:rsidP="00A1421E">
            <w:pPr>
              <w:ind w:right="42"/>
              <w:jc w:val="center"/>
            </w:pPr>
            <w:r>
              <w:t>-3</w:t>
            </w:r>
            <w:r w:rsidR="00A1421E">
              <w:t>,</w:t>
            </w:r>
            <w:r>
              <w:t>3</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Ara malı imalatı</w:t>
            </w:r>
          </w:p>
        </w:tc>
        <w:tc>
          <w:tcPr>
            <w:tcW w:w="1098" w:type="dxa"/>
            <w:tcBorders>
              <w:top w:val="nil"/>
              <w:bottom w:val="nil"/>
            </w:tcBorders>
            <w:vAlign w:val="center"/>
          </w:tcPr>
          <w:p w:rsidR="00AD323C" w:rsidRPr="00261A05" w:rsidRDefault="00AD323C" w:rsidP="00A1421E">
            <w:pPr>
              <w:ind w:right="42"/>
              <w:jc w:val="center"/>
            </w:pPr>
            <w:r>
              <w:t>-0</w:t>
            </w:r>
            <w:r w:rsidR="00A1421E">
              <w:t>,</w:t>
            </w:r>
            <w:r>
              <w:t>8</w:t>
            </w:r>
          </w:p>
        </w:tc>
        <w:tc>
          <w:tcPr>
            <w:tcW w:w="925" w:type="dxa"/>
            <w:tcBorders>
              <w:top w:val="nil"/>
              <w:bottom w:val="nil"/>
            </w:tcBorders>
            <w:vAlign w:val="center"/>
          </w:tcPr>
          <w:p w:rsidR="00AD323C" w:rsidRPr="00261A05" w:rsidRDefault="00AD323C" w:rsidP="00A1421E">
            <w:pPr>
              <w:ind w:right="42"/>
              <w:jc w:val="center"/>
            </w:pPr>
            <w:r>
              <w:t>0</w:t>
            </w:r>
            <w:r w:rsidR="00A1421E">
              <w:t>,</w:t>
            </w:r>
            <w:r>
              <w:t>5</w:t>
            </w:r>
          </w:p>
        </w:tc>
        <w:tc>
          <w:tcPr>
            <w:tcW w:w="1073" w:type="dxa"/>
            <w:tcBorders>
              <w:top w:val="nil"/>
              <w:bottom w:val="nil"/>
            </w:tcBorders>
            <w:vAlign w:val="center"/>
          </w:tcPr>
          <w:p w:rsidR="00AD323C" w:rsidRPr="00261A05" w:rsidRDefault="00AD323C" w:rsidP="00A1421E">
            <w:pPr>
              <w:ind w:right="42"/>
              <w:jc w:val="center"/>
            </w:pPr>
            <w:r>
              <w:t>-2</w:t>
            </w:r>
            <w:r w:rsidR="00A1421E">
              <w:t>,</w:t>
            </w:r>
            <w:r>
              <w:t>1</w:t>
            </w:r>
          </w:p>
        </w:tc>
        <w:tc>
          <w:tcPr>
            <w:tcW w:w="1138" w:type="dxa"/>
            <w:tcBorders>
              <w:top w:val="nil"/>
              <w:bottom w:val="nil"/>
            </w:tcBorders>
            <w:vAlign w:val="center"/>
          </w:tcPr>
          <w:p w:rsidR="00AD323C" w:rsidRPr="00261A05" w:rsidRDefault="00AD323C" w:rsidP="00A1421E">
            <w:pPr>
              <w:ind w:right="42"/>
              <w:jc w:val="center"/>
            </w:pPr>
            <w:r>
              <w:t>0</w:t>
            </w:r>
            <w:r w:rsidR="00A1421E">
              <w:t>,</w:t>
            </w:r>
            <w:r>
              <w:t>4</w:t>
            </w:r>
          </w:p>
        </w:tc>
        <w:tc>
          <w:tcPr>
            <w:tcW w:w="1069" w:type="dxa"/>
            <w:tcBorders>
              <w:top w:val="nil"/>
              <w:bottom w:val="nil"/>
              <w:right w:val="double" w:sz="4" w:space="0" w:color="auto"/>
            </w:tcBorders>
            <w:vAlign w:val="center"/>
          </w:tcPr>
          <w:p w:rsidR="00AD323C" w:rsidRPr="00261A05" w:rsidRDefault="00AD323C" w:rsidP="00A1421E">
            <w:pPr>
              <w:ind w:right="42"/>
              <w:jc w:val="center"/>
            </w:pPr>
            <w:r>
              <w:t>-0</w:t>
            </w:r>
            <w:r w:rsidR="00A1421E">
              <w:t>,</w:t>
            </w:r>
            <w:r>
              <w:t>2</w:t>
            </w:r>
          </w:p>
        </w:tc>
        <w:tc>
          <w:tcPr>
            <w:tcW w:w="960" w:type="dxa"/>
            <w:tcBorders>
              <w:top w:val="nil"/>
              <w:left w:val="double" w:sz="4" w:space="0" w:color="auto"/>
              <w:bottom w:val="nil"/>
            </w:tcBorders>
            <w:vAlign w:val="center"/>
          </w:tcPr>
          <w:p w:rsidR="00AD323C" w:rsidRPr="00261A05" w:rsidRDefault="00AD323C" w:rsidP="00A1421E">
            <w:pPr>
              <w:ind w:right="42"/>
              <w:jc w:val="center"/>
            </w:pPr>
            <w:r>
              <w:t>0</w:t>
            </w:r>
            <w:r w:rsidR="00A1421E">
              <w:t>,</w:t>
            </w:r>
            <w:r>
              <w:t>1</w:t>
            </w:r>
          </w:p>
        </w:tc>
        <w:tc>
          <w:tcPr>
            <w:tcW w:w="960" w:type="dxa"/>
            <w:tcBorders>
              <w:top w:val="nil"/>
              <w:bottom w:val="nil"/>
            </w:tcBorders>
            <w:vAlign w:val="center"/>
          </w:tcPr>
          <w:p w:rsidR="00AD323C" w:rsidRPr="00261A05" w:rsidRDefault="00AD323C" w:rsidP="00A1421E">
            <w:pPr>
              <w:ind w:right="42"/>
              <w:jc w:val="center"/>
            </w:pPr>
            <w:r>
              <w:t>-1</w:t>
            </w:r>
            <w:r w:rsidR="00A1421E">
              <w:t>,</w:t>
            </w:r>
            <w:r>
              <w:t>8</w:t>
            </w: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sidRPr="00261A05">
              <w:rPr>
                <w:sz w:val="22"/>
                <w:szCs w:val="22"/>
              </w:rPr>
              <w:t>Yatırım malı imalatı</w:t>
            </w:r>
          </w:p>
        </w:tc>
        <w:tc>
          <w:tcPr>
            <w:tcW w:w="1098" w:type="dxa"/>
            <w:tcBorders>
              <w:top w:val="nil"/>
            </w:tcBorders>
            <w:vAlign w:val="center"/>
          </w:tcPr>
          <w:p w:rsidR="00AD323C" w:rsidRPr="00261A05" w:rsidRDefault="00AD323C" w:rsidP="00A1421E">
            <w:pPr>
              <w:ind w:right="42"/>
              <w:jc w:val="center"/>
            </w:pPr>
            <w:r>
              <w:t>-0</w:t>
            </w:r>
            <w:r w:rsidR="00A1421E">
              <w:t>,</w:t>
            </w:r>
            <w:r>
              <w:t>7</w:t>
            </w:r>
          </w:p>
        </w:tc>
        <w:tc>
          <w:tcPr>
            <w:tcW w:w="925" w:type="dxa"/>
            <w:tcBorders>
              <w:top w:val="nil"/>
            </w:tcBorders>
            <w:vAlign w:val="center"/>
          </w:tcPr>
          <w:p w:rsidR="00AD323C" w:rsidRPr="00261A05" w:rsidRDefault="00AD323C" w:rsidP="00A1421E">
            <w:pPr>
              <w:ind w:right="42"/>
              <w:jc w:val="center"/>
            </w:pPr>
            <w:r>
              <w:t>1</w:t>
            </w:r>
            <w:r w:rsidR="00A1421E">
              <w:t>,</w:t>
            </w:r>
            <w:r>
              <w:t>2</w:t>
            </w:r>
          </w:p>
        </w:tc>
        <w:tc>
          <w:tcPr>
            <w:tcW w:w="1073" w:type="dxa"/>
            <w:tcBorders>
              <w:top w:val="nil"/>
            </w:tcBorders>
            <w:vAlign w:val="center"/>
          </w:tcPr>
          <w:p w:rsidR="00AD323C" w:rsidRPr="00261A05" w:rsidRDefault="00AD323C" w:rsidP="00A1421E">
            <w:pPr>
              <w:ind w:right="42"/>
              <w:jc w:val="center"/>
            </w:pPr>
            <w:r>
              <w:t>-2</w:t>
            </w:r>
            <w:r w:rsidR="00A1421E">
              <w:t>,</w:t>
            </w:r>
            <w:r>
              <w:t>4</w:t>
            </w:r>
          </w:p>
        </w:tc>
        <w:tc>
          <w:tcPr>
            <w:tcW w:w="1138" w:type="dxa"/>
            <w:tcBorders>
              <w:top w:val="nil"/>
            </w:tcBorders>
            <w:vAlign w:val="center"/>
          </w:tcPr>
          <w:p w:rsidR="00AD323C" w:rsidRPr="00261A05" w:rsidRDefault="00AD323C" w:rsidP="00A1421E">
            <w:pPr>
              <w:ind w:right="42"/>
              <w:jc w:val="center"/>
            </w:pPr>
            <w:r>
              <w:t>-2</w:t>
            </w:r>
            <w:r w:rsidR="00A1421E">
              <w:t>,</w:t>
            </w:r>
            <w:r>
              <w:t>8</w:t>
            </w:r>
          </w:p>
        </w:tc>
        <w:tc>
          <w:tcPr>
            <w:tcW w:w="1069" w:type="dxa"/>
            <w:tcBorders>
              <w:top w:val="nil"/>
              <w:right w:val="double" w:sz="4" w:space="0" w:color="auto"/>
            </w:tcBorders>
            <w:vAlign w:val="center"/>
          </w:tcPr>
          <w:p w:rsidR="00AD323C" w:rsidRPr="00261A05" w:rsidRDefault="00AD323C" w:rsidP="00A1421E">
            <w:pPr>
              <w:ind w:right="42"/>
              <w:jc w:val="center"/>
            </w:pPr>
            <w:r>
              <w:t>0</w:t>
            </w:r>
            <w:r w:rsidR="00A1421E">
              <w:t>,</w:t>
            </w:r>
            <w:r>
              <w:t>3</w:t>
            </w:r>
          </w:p>
        </w:tc>
        <w:tc>
          <w:tcPr>
            <w:tcW w:w="960" w:type="dxa"/>
            <w:tcBorders>
              <w:top w:val="nil"/>
              <w:left w:val="double" w:sz="4" w:space="0" w:color="auto"/>
            </w:tcBorders>
            <w:vAlign w:val="center"/>
          </w:tcPr>
          <w:p w:rsidR="00AD323C" w:rsidRPr="00261A05" w:rsidRDefault="00AD323C" w:rsidP="00A1421E">
            <w:pPr>
              <w:ind w:right="42"/>
              <w:jc w:val="center"/>
            </w:pPr>
            <w:r>
              <w:t>0</w:t>
            </w:r>
            <w:r w:rsidR="00A1421E">
              <w:t>,</w:t>
            </w:r>
            <w:r>
              <w:t>3</w:t>
            </w:r>
          </w:p>
        </w:tc>
        <w:tc>
          <w:tcPr>
            <w:tcW w:w="960" w:type="dxa"/>
            <w:tcBorders>
              <w:top w:val="nil"/>
            </w:tcBorders>
            <w:vAlign w:val="center"/>
          </w:tcPr>
          <w:p w:rsidR="00AD323C" w:rsidRPr="00261A05" w:rsidRDefault="00AD323C" w:rsidP="00A1421E">
            <w:pPr>
              <w:ind w:right="42"/>
              <w:jc w:val="center"/>
            </w:pPr>
            <w:r>
              <w:t>-3</w:t>
            </w:r>
            <w:r w:rsidR="00A1421E">
              <w:t>,</w:t>
            </w:r>
            <w:r>
              <w:t>6</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Beklenti göstergeleri</w:t>
            </w:r>
          </w:p>
        </w:tc>
        <w:tc>
          <w:tcPr>
            <w:tcW w:w="1098" w:type="dxa"/>
            <w:tcBorders>
              <w:bottom w:val="nil"/>
            </w:tcBorders>
            <w:vAlign w:val="center"/>
          </w:tcPr>
          <w:p w:rsidR="00AD323C" w:rsidRPr="00261A05" w:rsidRDefault="00AD323C" w:rsidP="00A1421E">
            <w:pPr>
              <w:ind w:right="42"/>
              <w:jc w:val="center"/>
              <w:rPr>
                <w:b/>
                <w:bCs/>
              </w:rPr>
            </w:pPr>
          </w:p>
        </w:tc>
        <w:tc>
          <w:tcPr>
            <w:tcW w:w="925" w:type="dxa"/>
            <w:tcBorders>
              <w:bottom w:val="nil"/>
            </w:tcBorders>
            <w:vAlign w:val="center"/>
          </w:tcPr>
          <w:p w:rsidR="00AD323C" w:rsidRPr="00261A05" w:rsidRDefault="00AD323C" w:rsidP="00A1421E">
            <w:pPr>
              <w:ind w:right="42"/>
              <w:jc w:val="center"/>
              <w:rPr>
                <w:b/>
                <w:bCs/>
              </w:rPr>
            </w:pPr>
          </w:p>
        </w:tc>
        <w:tc>
          <w:tcPr>
            <w:tcW w:w="1073" w:type="dxa"/>
            <w:tcBorders>
              <w:bottom w:val="nil"/>
            </w:tcBorders>
            <w:vAlign w:val="center"/>
          </w:tcPr>
          <w:p w:rsidR="00AD323C" w:rsidRPr="00261A05" w:rsidRDefault="00AD323C" w:rsidP="00A1421E">
            <w:pPr>
              <w:ind w:right="42"/>
              <w:jc w:val="center"/>
              <w:rPr>
                <w:b/>
                <w:bCs/>
              </w:rPr>
            </w:pPr>
          </w:p>
        </w:tc>
        <w:tc>
          <w:tcPr>
            <w:tcW w:w="1138" w:type="dxa"/>
            <w:tcBorders>
              <w:bottom w:val="nil"/>
            </w:tcBorders>
            <w:vAlign w:val="center"/>
          </w:tcPr>
          <w:p w:rsidR="00AD323C" w:rsidRPr="00261A05" w:rsidRDefault="00AD323C" w:rsidP="00A1421E">
            <w:pPr>
              <w:ind w:right="42"/>
              <w:jc w:val="center"/>
              <w:rPr>
                <w:b/>
                <w:bCs/>
              </w:rPr>
            </w:pPr>
          </w:p>
        </w:tc>
        <w:tc>
          <w:tcPr>
            <w:tcW w:w="1069" w:type="dxa"/>
            <w:tcBorders>
              <w:bottom w:val="nil"/>
              <w:right w:val="double" w:sz="4" w:space="0" w:color="auto"/>
            </w:tcBorders>
            <w:vAlign w:val="center"/>
          </w:tcPr>
          <w:p w:rsidR="00AD323C" w:rsidRPr="00261A05" w:rsidRDefault="00AD323C" w:rsidP="00A1421E">
            <w:pPr>
              <w:ind w:right="42"/>
              <w:jc w:val="center"/>
              <w:rPr>
                <w:b/>
                <w:bCs/>
              </w:rPr>
            </w:pPr>
          </w:p>
        </w:tc>
        <w:tc>
          <w:tcPr>
            <w:tcW w:w="960" w:type="dxa"/>
            <w:tcBorders>
              <w:left w:val="double" w:sz="4" w:space="0" w:color="auto"/>
              <w:bottom w:val="nil"/>
            </w:tcBorders>
            <w:vAlign w:val="center"/>
          </w:tcPr>
          <w:p w:rsidR="00AD323C" w:rsidRPr="00261A05" w:rsidRDefault="00AD323C" w:rsidP="00A1421E">
            <w:pPr>
              <w:ind w:right="42"/>
              <w:jc w:val="center"/>
              <w:rPr>
                <w:b/>
                <w:bCs/>
              </w:rPr>
            </w:pPr>
          </w:p>
        </w:tc>
        <w:tc>
          <w:tcPr>
            <w:tcW w:w="960" w:type="dxa"/>
            <w:tcBorders>
              <w:bottom w:val="nil"/>
            </w:tcBorders>
            <w:vAlign w:val="center"/>
          </w:tcPr>
          <w:p w:rsidR="00AD323C" w:rsidRPr="00261A05" w:rsidRDefault="00AD323C" w:rsidP="00A1421E">
            <w:pPr>
              <w:ind w:right="42"/>
              <w:jc w:val="center"/>
              <w:rPr>
                <w:b/>
                <w:bCs/>
              </w:rPr>
            </w:pP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Tüketici güven endeksi (TÜİK)</w:t>
            </w:r>
          </w:p>
        </w:tc>
        <w:tc>
          <w:tcPr>
            <w:tcW w:w="1098" w:type="dxa"/>
            <w:tcBorders>
              <w:top w:val="nil"/>
              <w:bottom w:val="nil"/>
            </w:tcBorders>
            <w:vAlign w:val="center"/>
          </w:tcPr>
          <w:p w:rsidR="00AD323C" w:rsidRPr="00261A05" w:rsidRDefault="001251CC" w:rsidP="00A1421E">
            <w:pPr>
              <w:ind w:right="42"/>
              <w:jc w:val="center"/>
            </w:pPr>
            <w:r>
              <w:t>3</w:t>
            </w:r>
            <w:r w:rsidR="00A1421E">
              <w:t>,</w:t>
            </w:r>
            <w:r>
              <w:t>0</w:t>
            </w:r>
          </w:p>
        </w:tc>
        <w:tc>
          <w:tcPr>
            <w:tcW w:w="925" w:type="dxa"/>
            <w:tcBorders>
              <w:top w:val="nil"/>
              <w:bottom w:val="nil"/>
            </w:tcBorders>
            <w:vAlign w:val="center"/>
          </w:tcPr>
          <w:p w:rsidR="00AD323C" w:rsidRPr="00261A05" w:rsidRDefault="001251CC" w:rsidP="00A1421E">
            <w:pPr>
              <w:ind w:right="42"/>
              <w:jc w:val="center"/>
            </w:pPr>
            <w:r>
              <w:t>-4</w:t>
            </w:r>
            <w:r w:rsidR="00A1421E">
              <w:t>,</w:t>
            </w:r>
            <w:r>
              <w:t>0</w:t>
            </w:r>
          </w:p>
        </w:tc>
        <w:tc>
          <w:tcPr>
            <w:tcW w:w="1073" w:type="dxa"/>
            <w:tcBorders>
              <w:top w:val="nil"/>
              <w:bottom w:val="nil"/>
            </w:tcBorders>
            <w:vAlign w:val="center"/>
          </w:tcPr>
          <w:p w:rsidR="00AD323C" w:rsidRPr="00261A05" w:rsidRDefault="001251CC" w:rsidP="00A1421E">
            <w:pPr>
              <w:ind w:right="42"/>
              <w:jc w:val="center"/>
            </w:pPr>
            <w:r>
              <w:t>-3</w:t>
            </w:r>
            <w:r w:rsidR="00A1421E">
              <w:t>,</w:t>
            </w:r>
            <w:r>
              <w:t>9</w:t>
            </w:r>
          </w:p>
        </w:tc>
        <w:tc>
          <w:tcPr>
            <w:tcW w:w="1138" w:type="dxa"/>
            <w:tcBorders>
              <w:top w:val="nil"/>
              <w:bottom w:val="nil"/>
            </w:tcBorders>
            <w:vAlign w:val="center"/>
          </w:tcPr>
          <w:p w:rsidR="00AD323C" w:rsidRPr="00261A05" w:rsidRDefault="001251CC" w:rsidP="00A1421E">
            <w:pPr>
              <w:ind w:right="42"/>
              <w:jc w:val="center"/>
            </w:pPr>
            <w:r>
              <w:t>-4</w:t>
            </w:r>
            <w:r w:rsidR="00A1421E">
              <w:t>,</w:t>
            </w:r>
            <w:r>
              <w:t>7</w:t>
            </w:r>
          </w:p>
        </w:tc>
        <w:tc>
          <w:tcPr>
            <w:tcW w:w="1069" w:type="dxa"/>
            <w:tcBorders>
              <w:top w:val="nil"/>
              <w:bottom w:val="nil"/>
              <w:right w:val="double" w:sz="4" w:space="0" w:color="auto"/>
            </w:tcBorders>
            <w:vAlign w:val="center"/>
          </w:tcPr>
          <w:p w:rsidR="00AD323C" w:rsidRPr="00261A05" w:rsidRDefault="001251CC" w:rsidP="00A1421E">
            <w:pPr>
              <w:ind w:right="42"/>
              <w:jc w:val="center"/>
            </w:pPr>
            <w:r>
              <w:t>5</w:t>
            </w:r>
            <w:r w:rsidR="00A1421E">
              <w:t>,</w:t>
            </w:r>
            <w:r>
              <w:t>1</w:t>
            </w:r>
          </w:p>
        </w:tc>
        <w:tc>
          <w:tcPr>
            <w:tcW w:w="960" w:type="dxa"/>
            <w:tcBorders>
              <w:top w:val="nil"/>
              <w:left w:val="double" w:sz="4" w:space="0" w:color="auto"/>
              <w:bottom w:val="nil"/>
            </w:tcBorders>
            <w:vAlign w:val="center"/>
          </w:tcPr>
          <w:p w:rsidR="00AD323C" w:rsidRPr="00261A05" w:rsidRDefault="001251CC" w:rsidP="00A1421E">
            <w:pPr>
              <w:ind w:right="42"/>
              <w:jc w:val="center"/>
            </w:pPr>
            <w:r>
              <w:t>1</w:t>
            </w:r>
            <w:r w:rsidR="00A1421E">
              <w:t>,</w:t>
            </w:r>
            <w:r>
              <w:t>3</w:t>
            </w:r>
          </w:p>
        </w:tc>
        <w:tc>
          <w:tcPr>
            <w:tcW w:w="960" w:type="dxa"/>
            <w:tcBorders>
              <w:top w:val="nil"/>
              <w:bottom w:val="nil"/>
            </w:tcBorders>
            <w:vAlign w:val="center"/>
          </w:tcPr>
          <w:p w:rsidR="00AD323C" w:rsidRPr="00261A05" w:rsidRDefault="001251CC" w:rsidP="00A1421E">
            <w:pPr>
              <w:ind w:right="42"/>
              <w:jc w:val="center"/>
            </w:pPr>
            <w:r>
              <w:t>-7</w:t>
            </w:r>
            <w:r w:rsidR="00A1421E">
              <w:t>,</w:t>
            </w:r>
            <w:r>
              <w:t>0</w:t>
            </w: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sidRPr="00261A05">
              <w:rPr>
                <w:sz w:val="22"/>
                <w:szCs w:val="22"/>
              </w:rPr>
              <w:t>Reel kesim güven endeksi</w:t>
            </w:r>
            <w:r w:rsidRPr="00944BB8">
              <w:rPr>
                <w:sz w:val="22"/>
                <w:szCs w:val="22"/>
                <w:vertAlign w:val="superscript"/>
              </w:rPr>
              <w:t>†</w:t>
            </w:r>
          </w:p>
        </w:tc>
        <w:tc>
          <w:tcPr>
            <w:tcW w:w="1098" w:type="dxa"/>
            <w:tcBorders>
              <w:top w:val="nil"/>
            </w:tcBorders>
            <w:vAlign w:val="center"/>
          </w:tcPr>
          <w:p w:rsidR="00AD323C" w:rsidRPr="00261A05" w:rsidRDefault="00EE7B54" w:rsidP="00A1421E">
            <w:pPr>
              <w:ind w:right="42"/>
              <w:jc w:val="center"/>
            </w:pPr>
            <w:r>
              <w:t>-0</w:t>
            </w:r>
            <w:r w:rsidR="00A1421E">
              <w:t>,</w:t>
            </w:r>
            <w:r>
              <w:t>5</w:t>
            </w:r>
          </w:p>
        </w:tc>
        <w:tc>
          <w:tcPr>
            <w:tcW w:w="925" w:type="dxa"/>
            <w:tcBorders>
              <w:top w:val="nil"/>
            </w:tcBorders>
            <w:vAlign w:val="center"/>
          </w:tcPr>
          <w:p w:rsidR="00AD323C" w:rsidRPr="00261A05" w:rsidRDefault="00EE7B54" w:rsidP="00A1421E">
            <w:pPr>
              <w:ind w:right="42"/>
              <w:jc w:val="center"/>
            </w:pPr>
            <w:r>
              <w:t>-0</w:t>
            </w:r>
            <w:r w:rsidR="00A1421E">
              <w:t>,</w:t>
            </w:r>
            <w:r>
              <w:t>5</w:t>
            </w:r>
          </w:p>
        </w:tc>
        <w:tc>
          <w:tcPr>
            <w:tcW w:w="1073" w:type="dxa"/>
            <w:tcBorders>
              <w:top w:val="nil"/>
            </w:tcBorders>
            <w:vAlign w:val="center"/>
          </w:tcPr>
          <w:p w:rsidR="00AD323C" w:rsidRPr="00261A05" w:rsidRDefault="00EE7B54" w:rsidP="00A1421E">
            <w:pPr>
              <w:ind w:right="42"/>
              <w:jc w:val="center"/>
            </w:pPr>
            <w:r>
              <w:t>-5</w:t>
            </w:r>
            <w:r w:rsidR="00A1421E">
              <w:t>,</w:t>
            </w:r>
            <w:r>
              <w:t>5</w:t>
            </w:r>
          </w:p>
        </w:tc>
        <w:tc>
          <w:tcPr>
            <w:tcW w:w="1138" w:type="dxa"/>
            <w:tcBorders>
              <w:top w:val="nil"/>
            </w:tcBorders>
            <w:vAlign w:val="center"/>
          </w:tcPr>
          <w:p w:rsidR="00AD323C" w:rsidRPr="00261A05" w:rsidRDefault="00EE7B54" w:rsidP="00A1421E">
            <w:pPr>
              <w:ind w:right="42"/>
              <w:jc w:val="center"/>
            </w:pPr>
            <w:r>
              <w:t>0</w:t>
            </w:r>
            <w:r w:rsidR="00A1421E">
              <w:t>,</w:t>
            </w:r>
            <w:r>
              <w:t>4</w:t>
            </w:r>
          </w:p>
        </w:tc>
        <w:tc>
          <w:tcPr>
            <w:tcW w:w="1069" w:type="dxa"/>
            <w:tcBorders>
              <w:top w:val="nil"/>
              <w:right w:val="double" w:sz="4" w:space="0" w:color="auto"/>
            </w:tcBorders>
            <w:vAlign w:val="center"/>
          </w:tcPr>
          <w:p w:rsidR="00AD323C" w:rsidRPr="00261A05" w:rsidRDefault="00EE7B54" w:rsidP="00A1421E">
            <w:pPr>
              <w:ind w:right="42"/>
              <w:jc w:val="center"/>
            </w:pPr>
            <w:r>
              <w:t>1</w:t>
            </w:r>
            <w:r w:rsidR="00A1421E">
              <w:t>,</w:t>
            </w:r>
            <w:r>
              <w:t>0</w:t>
            </w:r>
          </w:p>
        </w:tc>
        <w:tc>
          <w:tcPr>
            <w:tcW w:w="960" w:type="dxa"/>
            <w:tcBorders>
              <w:top w:val="nil"/>
              <w:left w:val="double" w:sz="4" w:space="0" w:color="auto"/>
            </w:tcBorders>
            <w:vAlign w:val="center"/>
          </w:tcPr>
          <w:p w:rsidR="00AD323C" w:rsidRPr="00261A05" w:rsidRDefault="00EE7B54" w:rsidP="00A1421E">
            <w:pPr>
              <w:ind w:right="42"/>
              <w:jc w:val="center"/>
            </w:pPr>
            <w:r>
              <w:t>3</w:t>
            </w:r>
            <w:r w:rsidR="00A1421E">
              <w:t>,</w:t>
            </w:r>
            <w:r>
              <w:t>6</w:t>
            </w:r>
          </w:p>
        </w:tc>
        <w:tc>
          <w:tcPr>
            <w:tcW w:w="960" w:type="dxa"/>
            <w:tcBorders>
              <w:top w:val="nil"/>
            </w:tcBorders>
            <w:vAlign w:val="center"/>
          </w:tcPr>
          <w:p w:rsidR="00AD323C" w:rsidRPr="00261A05" w:rsidRDefault="00EE7B54" w:rsidP="00A1421E">
            <w:pPr>
              <w:ind w:right="42"/>
              <w:jc w:val="center"/>
            </w:pPr>
            <w:r>
              <w:t>-5</w:t>
            </w:r>
            <w:r w:rsidR="00A1421E">
              <w:t>,</w:t>
            </w:r>
            <w:r>
              <w:t>5</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Finansal göstergeler</w:t>
            </w:r>
          </w:p>
        </w:tc>
        <w:tc>
          <w:tcPr>
            <w:tcW w:w="1098" w:type="dxa"/>
            <w:tcBorders>
              <w:bottom w:val="nil"/>
            </w:tcBorders>
            <w:vAlign w:val="center"/>
          </w:tcPr>
          <w:p w:rsidR="00AD323C" w:rsidRPr="00261A05" w:rsidRDefault="00AD323C" w:rsidP="00A1421E">
            <w:pPr>
              <w:ind w:right="42"/>
              <w:jc w:val="center"/>
            </w:pPr>
          </w:p>
        </w:tc>
        <w:tc>
          <w:tcPr>
            <w:tcW w:w="925" w:type="dxa"/>
            <w:tcBorders>
              <w:bottom w:val="nil"/>
            </w:tcBorders>
            <w:vAlign w:val="center"/>
          </w:tcPr>
          <w:p w:rsidR="00AD323C" w:rsidRPr="00261A05" w:rsidRDefault="00AD323C" w:rsidP="00A1421E">
            <w:pPr>
              <w:ind w:right="42"/>
              <w:jc w:val="center"/>
              <w:rPr>
                <w:b/>
                <w:bCs/>
              </w:rPr>
            </w:pPr>
          </w:p>
        </w:tc>
        <w:tc>
          <w:tcPr>
            <w:tcW w:w="1073" w:type="dxa"/>
            <w:tcBorders>
              <w:bottom w:val="nil"/>
            </w:tcBorders>
            <w:vAlign w:val="center"/>
          </w:tcPr>
          <w:p w:rsidR="00AD323C" w:rsidRPr="00261A05" w:rsidRDefault="00AD323C" w:rsidP="00A1421E">
            <w:pPr>
              <w:ind w:right="42"/>
              <w:jc w:val="center"/>
              <w:rPr>
                <w:b/>
                <w:bCs/>
              </w:rPr>
            </w:pPr>
          </w:p>
        </w:tc>
        <w:tc>
          <w:tcPr>
            <w:tcW w:w="1138" w:type="dxa"/>
            <w:tcBorders>
              <w:bottom w:val="nil"/>
            </w:tcBorders>
            <w:vAlign w:val="center"/>
          </w:tcPr>
          <w:p w:rsidR="00AD323C" w:rsidRPr="00261A05" w:rsidRDefault="00AD323C" w:rsidP="00A1421E">
            <w:pPr>
              <w:ind w:right="42"/>
              <w:jc w:val="center"/>
              <w:rPr>
                <w:b/>
                <w:bCs/>
              </w:rPr>
            </w:pPr>
          </w:p>
        </w:tc>
        <w:tc>
          <w:tcPr>
            <w:tcW w:w="1069" w:type="dxa"/>
            <w:tcBorders>
              <w:bottom w:val="nil"/>
              <w:right w:val="double" w:sz="4" w:space="0" w:color="auto"/>
            </w:tcBorders>
            <w:vAlign w:val="center"/>
          </w:tcPr>
          <w:p w:rsidR="00AD323C" w:rsidRPr="00261A05" w:rsidRDefault="00AD323C" w:rsidP="00A1421E">
            <w:pPr>
              <w:ind w:right="42"/>
              <w:jc w:val="center"/>
              <w:rPr>
                <w:b/>
                <w:bCs/>
              </w:rPr>
            </w:pPr>
          </w:p>
        </w:tc>
        <w:tc>
          <w:tcPr>
            <w:tcW w:w="960" w:type="dxa"/>
            <w:tcBorders>
              <w:left w:val="double" w:sz="4" w:space="0" w:color="auto"/>
              <w:bottom w:val="nil"/>
            </w:tcBorders>
            <w:vAlign w:val="center"/>
          </w:tcPr>
          <w:p w:rsidR="00AD323C" w:rsidRPr="00261A05" w:rsidRDefault="00AD323C" w:rsidP="00A1421E">
            <w:pPr>
              <w:ind w:right="42"/>
              <w:jc w:val="center"/>
              <w:rPr>
                <w:b/>
                <w:bCs/>
              </w:rPr>
            </w:pPr>
          </w:p>
        </w:tc>
        <w:tc>
          <w:tcPr>
            <w:tcW w:w="960" w:type="dxa"/>
            <w:tcBorders>
              <w:bottom w:val="nil"/>
            </w:tcBorders>
            <w:vAlign w:val="center"/>
          </w:tcPr>
          <w:p w:rsidR="00AD323C" w:rsidRPr="00261A05" w:rsidRDefault="00AD323C" w:rsidP="00A1421E">
            <w:pPr>
              <w:ind w:right="42"/>
              <w:jc w:val="center"/>
              <w:rPr>
                <w:b/>
                <w:bCs/>
              </w:rPr>
            </w:pP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Pr>
                <w:sz w:val="22"/>
                <w:szCs w:val="22"/>
              </w:rPr>
              <w:t>BİST</w:t>
            </w:r>
            <w:r w:rsidRPr="00261A05">
              <w:rPr>
                <w:sz w:val="22"/>
                <w:szCs w:val="22"/>
              </w:rPr>
              <w:t xml:space="preserve"> 100</w:t>
            </w:r>
          </w:p>
        </w:tc>
        <w:tc>
          <w:tcPr>
            <w:tcW w:w="1098" w:type="dxa"/>
            <w:tcBorders>
              <w:top w:val="nil"/>
            </w:tcBorders>
            <w:vAlign w:val="center"/>
          </w:tcPr>
          <w:p w:rsidR="00AD323C" w:rsidRPr="00261A05" w:rsidRDefault="001251CC" w:rsidP="00A1421E">
            <w:pPr>
              <w:ind w:right="42"/>
              <w:jc w:val="center"/>
            </w:pPr>
            <w:r>
              <w:t>-1</w:t>
            </w:r>
            <w:r w:rsidR="00A1421E">
              <w:t>,</w:t>
            </w:r>
            <w:r>
              <w:t>0</w:t>
            </w:r>
          </w:p>
        </w:tc>
        <w:tc>
          <w:tcPr>
            <w:tcW w:w="925" w:type="dxa"/>
            <w:tcBorders>
              <w:top w:val="nil"/>
            </w:tcBorders>
            <w:vAlign w:val="center"/>
          </w:tcPr>
          <w:p w:rsidR="00AD323C" w:rsidRPr="00261A05" w:rsidRDefault="001251CC" w:rsidP="00A1421E">
            <w:pPr>
              <w:ind w:right="42"/>
              <w:jc w:val="center"/>
            </w:pPr>
            <w:r>
              <w:t>-6</w:t>
            </w:r>
            <w:r w:rsidR="00A1421E">
              <w:t>,</w:t>
            </w:r>
            <w:r>
              <w:t>5</w:t>
            </w:r>
          </w:p>
        </w:tc>
        <w:tc>
          <w:tcPr>
            <w:tcW w:w="1073" w:type="dxa"/>
            <w:tcBorders>
              <w:top w:val="nil"/>
            </w:tcBorders>
            <w:vAlign w:val="center"/>
          </w:tcPr>
          <w:p w:rsidR="00AD323C" w:rsidRPr="00261A05" w:rsidRDefault="001251CC" w:rsidP="00A1421E">
            <w:pPr>
              <w:ind w:right="42"/>
              <w:jc w:val="center"/>
            </w:pPr>
            <w:r>
              <w:t>-8</w:t>
            </w:r>
            <w:r w:rsidR="00A1421E">
              <w:t>,</w:t>
            </w:r>
            <w:r>
              <w:t>7</w:t>
            </w:r>
          </w:p>
        </w:tc>
        <w:tc>
          <w:tcPr>
            <w:tcW w:w="1138" w:type="dxa"/>
            <w:tcBorders>
              <w:top w:val="nil"/>
            </w:tcBorders>
            <w:vAlign w:val="center"/>
          </w:tcPr>
          <w:p w:rsidR="00AD323C" w:rsidRPr="00261A05" w:rsidRDefault="001251CC" w:rsidP="00A1421E">
            <w:pPr>
              <w:ind w:right="42"/>
              <w:jc w:val="center"/>
            </w:pPr>
            <w:r>
              <w:t>-2</w:t>
            </w:r>
            <w:r w:rsidR="00A1421E">
              <w:t>,</w:t>
            </w:r>
            <w:r>
              <w:t>8</w:t>
            </w:r>
          </w:p>
        </w:tc>
        <w:tc>
          <w:tcPr>
            <w:tcW w:w="1069" w:type="dxa"/>
            <w:tcBorders>
              <w:top w:val="nil"/>
              <w:right w:val="double" w:sz="4" w:space="0" w:color="auto"/>
            </w:tcBorders>
            <w:vAlign w:val="center"/>
          </w:tcPr>
          <w:p w:rsidR="00AD323C" w:rsidRPr="00261A05" w:rsidRDefault="001251CC" w:rsidP="00A1421E">
            <w:pPr>
              <w:ind w:right="42"/>
              <w:jc w:val="center"/>
            </w:pPr>
            <w:r>
              <w:t>-0</w:t>
            </w:r>
            <w:r w:rsidR="00A1421E">
              <w:t>,</w:t>
            </w:r>
            <w:r>
              <w:t>2</w:t>
            </w:r>
          </w:p>
        </w:tc>
        <w:tc>
          <w:tcPr>
            <w:tcW w:w="960" w:type="dxa"/>
            <w:tcBorders>
              <w:top w:val="nil"/>
              <w:left w:val="double" w:sz="4" w:space="0" w:color="auto"/>
            </w:tcBorders>
            <w:vAlign w:val="center"/>
          </w:tcPr>
          <w:p w:rsidR="00AD323C" w:rsidRPr="00261A05" w:rsidRDefault="001251CC" w:rsidP="00A1421E">
            <w:pPr>
              <w:ind w:right="42"/>
              <w:jc w:val="center"/>
            </w:pPr>
            <w:r>
              <w:t>-1</w:t>
            </w:r>
            <w:r w:rsidR="00A1421E">
              <w:t>,</w:t>
            </w:r>
            <w:r>
              <w:t>7</w:t>
            </w:r>
          </w:p>
        </w:tc>
        <w:tc>
          <w:tcPr>
            <w:tcW w:w="960" w:type="dxa"/>
            <w:tcBorders>
              <w:top w:val="nil"/>
            </w:tcBorders>
            <w:vAlign w:val="center"/>
          </w:tcPr>
          <w:p w:rsidR="00AD323C" w:rsidRPr="00261A05" w:rsidRDefault="001251CC" w:rsidP="00A1421E">
            <w:pPr>
              <w:ind w:right="42"/>
              <w:jc w:val="center"/>
            </w:pPr>
            <w:r>
              <w:t>-14</w:t>
            </w:r>
            <w:r w:rsidR="00A1421E">
              <w:t>,</w:t>
            </w:r>
            <w:r>
              <w:t>7</w:t>
            </w:r>
          </w:p>
        </w:tc>
      </w:tr>
      <w:tr w:rsidR="00AD323C" w:rsidTr="00786067">
        <w:trPr>
          <w:trHeight w:val="370"/>
        </w:trPr>
        <w:tc>
          <w:tcPr>
            <w:tcW w:w="3397" w:type="dxa"/>
            <w:tcBorders>
              <w:bottom w:val="nil"/>
            </w:tcBorders>
            <w:vAlign w:val="center"/>
          </w:tcPr>
          <w:p w:rsidR="00AD323C" w:rsidRPr="00261A05" w:rsidRDefault="00AD323C" w:rsidP="00A1421E">
            <w:pPr>
              <w:ind w:right="42"/>
              <w:jc w:val="center"/>
              <w:rPr>
                <w:b/>
                <w:bCs/>
              </w:rPr>
            </w:pPr>
            <w:r w:rsidRPr="00261A05">
              <w:rPr>
                <w:b/>
                <w:bCs/>
                <w:sz w:val="22"/>
                <w:szCs w:val="22"/>
              </w:rPr>
              <w:t>Diğerleri</w:t>
            </w:r>
          </w:p>
        </w:tc>
        <w:tc>
          <w:tcPr>
            <w:tcW w:w="1098" w:type="dxa"/>
            <w:tcBorders>
              <w:bottom w:val="nil"/>
            </w:tcBorders>
            <w:vAlign w:val="center"/>
          </w:tcPr>
          <w:p w:rsidR="00AD323C" w:rsidRPr="00261A05" w:rsidRDefault="00AD323C" w:rsidP="00A1421E">
            <w:pPr>
              <w:ind w:right="42"/>
              <w:jc w:val="center"/>
            </w:pPr>
          </w:p>
        </w:tc>
        <w:tc>
          <w:tcPr>
            <w:tcW w:w="925" w:type="dxa"/>
            <w:tcBorders>
              <w:bottom w:val="nil"/>
            </w:tcBorders>
            <w:vAlign w:val="center"/>
          </w:tcPr>
          <w:p w:rsidR="00AD323C" w:rsidRPr="00261A05" w:rsidRDefault="00AD323C" w:rsidP="00A1421E">
            <w:pPr>
              <w:ind w:right="42"/>
              <w:jc w:val="center"/>
            </w:pPr>
          </w:p>
        </w:tc>
        <w:tc>
          <w:tcPr>
            <w:tcW w:w="1073" w:type="dxa"/>
            <w:tcBorders>
              <w:bottom w:val="nil"/>
            </w:tcBorders>
            <w:vAlign w:val="center"/>
          </w:tcPr>
          <w:p w:rsidR="00AD323C" w:rsidRPr="00261A05" w:rsidRDefault="00AD323C" w:rsidP="00A1421E">
            <w:pPr>
              <w:ind w:right="42"/>
              <w:jc w:val="center"/>
            </w:pPr>
          </w:p>
        </w:tc>
        <w:tc>
          <w:tcPr>
            <w:tcW w:w="1138" w:type="dxa"/>
            <w:tcBorders>
              <w:bottom w:val="nil"/>
            </w:tcBorders>
            <w:vAlign w:val="center"/>
          </w:tcPr>
          <w:p w:rsidR="00AD323C" w:rsidRPr="00261A05" w:rsidRDefault="00AD323C" w:rsidP="00A1421E">
            <w:pPr>
              <w:ind w:right="42"/>
              <w:jc w:val="center"/>
            </w:pPr>
          </w:p>
        </w:tc>
        <w:tc>
          <w:tcPr>
            <w:tcW w:w="1069" w:type="dxa"/>
            <w:tcBorders>
              <w:bottom w:val="nil"/>
              <w:right w:val="double" w:sz="4" w:space="0" w:color="auto"/>
            </w:tcBorders>
            <w:vAlign w:val="center"/>
          </w:tcPr>
          <w:p w:rsidR="00AD323C" w:rsidRPr="00261A05" w:rsidRDefault="00AD323C" w:rsidP="00A1421E">
            <w:pPr>
              <w:ind w:right="42"/>
              <w:jc w:val="center"/>
            </w:pPr>
          </w:p>
        </w:tc>
        <w:tc>
          <w:tcPr>
            <w:tcW w:w="960" w:type="dxa"/>
            <w:tcBorders>
              <w:left w:val="double" w:sz="4" w:space="0" w:color="auto"/>
              <w:bottom w:val="nil"/>
            </w:tcBorders>
            <w:vAlign w:val="center"/>
          </w:tcPr>
          <w:p w:rsidR="00AD323C" w:rsidRPr="00261A05" w:rsidRDefault="00AD323C" w:rsidP="00A1421E">
            <w:pPr>
              <w:ind w:right="42"/>
              <w:jc w:val="center"/>
            </w:pPr>
          </w:p>
        </w:tc>
        <w:tc>
          <w:tcPr>
            <w:tcW w:w="960" w:type="dxa"/>
            <w:tcBorders>
              <w:bottom w:val="nil"/>
            </w:tcBorders>
            <w:vAlign w:val="center"/>
          </w:tcPr>
          <w:p w:rsidR="00AD323C" w:rsidRPr="00261A05" w:rsidRDefault="00AD323C" w:rsidP="00A1421E">
            <w:pPr>
              <w:ind w:right="42"/>
              <w:jc w:val="center"/>
            </w:pP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Özel tüketim vergisi (ÖTV)</w:t>
            </w:r>
          </w:p>
        </w:tc>
        <w:tc>
          <w:tcPr>
            <w:tcW w:w="1098" w:type="dxa"/>
            <w:tcBorders>
              <w:top w:val="nil"/>
              <w:bottom w:val="nil"/>
            </w:tcBorders>
            <w:vAlign w:val="center"/>
          </w:tcPr>
          <w:p w:rsidR="00AD323C" w:rsidRPr="00261A05" w:rsidRDefault="001251CC" w:rsidP="00A1421E">
            <w:pPr>
              <w:ind w:right="42"/>
              <w:jc w:val="center"/>
            </w:pPr>
            <w:r>
              <w:t>0</w:t>
            </w:r>
            <w:r w:rsidR="00A1421E">
              <w:t>,</w:t>
            </w:r>
            <w:r>
              <w:t>5</w:t>
            </w:r>
          </w:p>
        </w:tc>
        <w:tc>
          <w:tcPr>
            <w:tcW w:w="925" w:type="dxa"/>
            <w:tcBorders>
              <w:top w:val="nil"/>
              <w:bottom w:val="nil"/>
            </w:tcBorders>
            <w:vAlign w:val="center"/>
          </w:tcPr>
          <w:p w:rsidR="00AD323C" w:rsidRPr="00261A05" w:rsidRDefault="001251CC" w:rsidP="00A1421E">
            <w:pPr>
              <w:ind w:right="42"/>
              <w:jc w:val="center"/>
            </w:pPr>
            <w:r>
              <w:t>1</w:t>
            </w:r>
            <w:r w:rsidR="00A1421E">
              <w:t>,</w:t>
            </w:r>
            <w:r>
              <w:t>3</w:t>
            </w:r>
          </w:p>
        </w:tc>
        <w:tc>
          <w:tcPr>
            <w:tcW w:w="1073" w:type="dxa"/>
            <w:tcBorders>
              <w:top w:val="nil"/>
              <w:bottom w:val="nil"/>
            </w:tcBorders>
            <w:vAlign w:val="center"/>
          </w:tcPr>
          <w:p w:rsidR="00AD323C" w:rsidRPr="00261A05" w:rsidRDefault="001251CC" w:rsidP="00A1421E">
            <w:pPr>
              <w:ind w:right="42"/>
              <w:jc w:val="center"/>
            </w:pPr>
            <w:r>
              <w:t>-0</w:t>
            </w:r>
            <w:r w:rsidR="00A1421E">
              <w:t>,</w:t>
            </w:r>
            <w:r>
              <w:t>3</w:t>
            </w:r>
          </w:p>
        </w:tc>
        <w:tc>
          <w:tcPr>
            <w:tcW w:w="1138" w:type="dxa"/>
            <w:tcBorders>
              <w:top w:val="nil"/>
              <w:bottom w:val="nil"/>
            </w:tcBorders>
            <w:vAlign w:val="center"/>
          </w:tcPr>
          <w:p w:rsidR="00AD323C" w:rsidRPr="00261A05" w:rsidRDefault="001251CC" w:rsidP="00A1421E">
            <w:pPr>
              <w:ind w:right="42"/>
              <w:jc w:val="center"/>
            </w:pPr>
            <w:r>
              <w:t>0</w:t>
            </w:r>
            <w:r w:rsidR="00A1421E">
              <w:t>,</w:t>
            </w:r>
            <w:r>
              <w:t>4</w:t>
            </w:r>
          </w:p>
        </w:tc>
        <w:tc>
          <w:tcPr>
            <w:tcW w:w="1069" w:type="dxa"/>
            <w:tcBorders>
              <w:top w:val="nil"/>
              <w:bottom w:val="nil"/>
              <w:right w:val="double" w:sz="4" w:space="0" w:color="auto"/>
            </w:tcBorders>
            <w:vAlign w:val="center"/>
          </w:tcPr>
          <w:p w:rsidR="00AD323C" w:rsidRPr="00261A05" w:rsidRDefault="001251CC" w:rsidP="00A1421E">
            <w:pPr>
              <w:ind w:right="42"/>
              <w:jc w:val="center"/>
            </w:pPr>
            <w:r>
              <w:t>**</w:t>
            </w:r>
          </w:p>
        </w:tc>
        <w:tc>
          <w:tcPr>
            <w:tcW w:w="960" w:type="dxa"/>
            <w:tcBorders>
              <w:top w:val="nil"/>
              <w:left w:val="double" w:sz="4" w:space="0" w:color="auto"/>
              <w:bottom w:val="nil"/>
            </w:tcBorders>
            <w:vAlign w:val="center"/>
          </w:tcPr>
          <w:p w:rsidR="00AD323C" w:rsidRPr="00261A05" w:rsidRDefault="001251CC" w:rsidP="00A1421E">
            <w:pPr>
              <w:ind w:right="42"/>
              <w:jc w:val="center"/>
            </w:pPr>
            <w:r>
              <w:t>-1</w:t>
            </w:r>
            <w:r w:rsidR="00A1421E">
              <w:t>,</w:t>
            </w:r>
            <w:r>
              <w:t>9</w:t>
            </w:r>
          </w:p>
        </w:tc>
        <w:tc>
          <w:tcPr>
            <w:tcW w:w="960" w:type="dxa"/>
            <w:tcBorders>
              <w:top w:val="nil"/>
              <w:bottom w:val="nil"/>
            </w:tcBorders>
            <w:vAlign w:val="center"/>
          </w:tcPr>
          <w:p w:rsidR="00AD323C" w:rsidRPr="00261A05" w:rsidRDefault="001251CC" w:rsidP="00A1421E">
            <w:pPr>
              <w:ind w:right="42"/>
              <w:jc w:val="center"/>
            </w:pPr>
            <w:r>
              <w:t>1</w:t>
            </w:r>
            <w:r w:rsidR="00A1421E">
              <w:t>,</w:t>
            </w:r>
            <w:r>
              <w:t>0</w:t>
            </w:r>
          </w:p>
        </w:tc>
      </w:tr>
      <w:tr w:rsidR="00AD323C" w:rsidTr="00786067">
        <w:trPr>
          <w:trHeight w:val="370"/>
        </w:trPr>
        <w:tc>
          <w:tcPr>
            <w:tcW w:w="3397" w:type="dxa"/>
            <w:tcBorders>
              <w:top w:val="nil"/>
              <w:bottom w:val="nil"/>
            </w:tcBorders>
            <w:vAlign w:val="center"/>
          </w:tcPr>
          <w:p w:rsidR="00AD323C" w:rsidRPr="00261A05" w:rsidRDefault="00AD323C" w:rsidP="00A1421E">
            <w:pPr>
              <w:ind w:right="42"/>
              <w:jc w:val="center"/>
            </w:pPr>
            <w:r w:rsidRPr="00261A05">
              <w:rPr>
                <w:sz w:val="22"/>
                <w:szCs w:val="22"/>
              </w:rPr>
              <w:t>Binek otomobil üretimi</w:t>
            </w:r>
          </w:p>
        </w:tc>
        <w:tc>
          <w:tcPr>
            <w:tcW w:w="1098" w:type="dxa"/>
            <w:tcBorders>
              <w:top w:val="nil"/>
              <w:bottom w:val="nil"/>
            </w:tcBorders>
            <w:vAlign w:val="center"/>
          </w:tcPr>
          <w:p w:rsidR="00AD323C" w:rsidRPr="00261A05" w:rsidRDefault="001251CC" w:rsidP="00A1421E">
            <w:pPr>
              <w:ind w:right="42"/>
              <w:jc w:val="center"/>
            </w:pPr>
            <w:r>
              <w:t>12</w:t>
            </w:r>
            <w:r w:rsidR="00A1421E">
              <w:t>,</w:t>
            </w:r>
            <w:r>
              <w:t>2</w:t>
            </w:r>
          </w:p>
        </w:tc>
        <w:tc>
          <w:tcPr>
            <w:tcW w:w="925" w:type="dxa"/>
            <w:tcBorders>
              <w:top w:val="nil"/>
              <w:bottom w:val="nil"/>
            </w:tcBorders>
            <w:vAlign w:val="center"/>
          </w:tcPr>
          <w:p w:rsidR="00AD323C" w:rsidRPr="00261A05" w:rsidRDefault="001251CC" w:rsidP="00A1421E">
            <w:pPr>
              <w:ind w:right="42"/>
              <w:jc w:val="center"/>
            </w:pPr>
            <w:r>
              <w:t>-10</w:t>
            </w:r>
            <w:r w:rsidR="00A1421E">
              <w:t>,</w:t>
            </w:r>
            <w:r>
              <w:t>1</w:t>
            </w:r>
          </w:p>
        </w:tc>
        <w:tc>
          <w:tcPr>
            <w:tcW w:w="1073" w:type="dxa"/>
            <w:tcBorders>
              <w:top w:val="nil"/>
              <w:bottom w:val="nil"/>
            </w:tcBorders>
            <w:vAlign w:val="center"/>
          </w:tcPr>
          <w:p w:rsidR="00AD323C" w:rsidRPr="00261A05" w:rsidRDefault="001251CC" w:rsidP="00A1421E">
            <w:pPr>
              <w:ind w:right="42"/>
              <w:jc w:val="center"/>
            </w:pPr>
            <w:r>
              <w:t>7</w:t>
            </w:r>
            <w:r w:rsidR="00A1421E">
              <w:t>,</w:t>
            </w:r>
            <w:r>
              <w:t>4</w:t>
            </w:r>
          </w:p>
        </w:tc>
        <w:tc>
          <w:tcPr>
            <w:tcW w:w="1138" w:type="dxa"/>
            <w:tcBorders>
              <w:top w:val="nil"/>
              <w:bottom w:val="nil"/>
            </w:tcBorders>
            <w:vAlign w:val="center"/>
          </w:tcPr>
          <w:p w:rsidR="00AD323C" w:rsidRPr="00261A05" w:rsidRDefault="001251CC" w:rsidP="00A1421E">
            <w:pPr>
              <w:ind w:right="42"/>
              <w:jc w:val="center"/>
            </w:pPr>
            <w:r>
              <w:t>-5</w:t>
            </w:r>
            <w:r w:rsidR="00A1421E">
              <w:t>,</w:t>
            </w:r>
            <w:r>
              <w:t>2</w:t>
            </w:r>
          </w:p>
        </w:tc>
        <w:tc>
          <w:tcPr>
            <w:tcW w:w="1069" w:type="dxa"/>
            <w:tcBorders>
              <w:top w:val="nil"/>
              <w:bottom w:val="nil"/>
              <w:right w:val="double" w:sz="4" w:space="0" w:color="auto"/>
            </w:tcBorders>
            <w:vAlign w:val="center"/>
          </w:tcPr>
          <w:p w:rsidR="00AD323C" w:rsidRPr="00261A05" w:rsidRDefault="001251CC" w:rsidP="00A1421E">
            <w:pPr>
              <w:ind w:right="42"/>
              <w:jc w:val="center"/>
            </w:pPr>
            <w:r>
              <w:t>2</w:t>
            </w:r>
            <w:r w:rsidR="00A1421E">
              <w:t>,</w:t>
            </w:r>
            <w:r>
              <w:t>9</w:t>
            </w:r>
          </w:p>
        </w:tc>
        <w:tc>
          <w:tcPr>
            <w:tcW w:w="960" w:type="dxa"/>
            <w:tcBorders>
              <w:top w:val="nil"/>
              <w:left w:val="double" w:sz="4" w:space="0" w:color="auto"/>
              <w:bottom w:val="nil"/>
            </w:tcBorders>
            <w:vAlign w:val="center"/>
          </w:tcPr>
          <w:p w:rsidR="00AD323C" w:rsidRPr="00261A05" w:rsidRDefault="001251CC" w:rsidP="00A1421E">
            <w:pPr>
              <w:ind w:right="42"/>
              <w:jc w:val="center"/>
            </w:pPr>
            <w:r>
              <w:t>-4</w:t>
            </w:r>
            <w:r w:rsidR="00A1421E">
              <w:t>,</w:t>
            </w:r>
            <w:r>
              <w:t>7</w:t>
            </w:r>
          </w:p>
        </w:tc>
        <w:tc>
          <w:tcPr>
            <w:tcW w:w="960" w:type="dxa"/>
            <w:tcBorders>
              <w:top w:val="nil"/>
              <w:bottom w:val="nil"/>
            </w:tcBorders>
            <w:vAlign w:val="center"/>
          </w:tcPr>
          <w:p w:rsidR="00AD323C" w:rsidRPr="00261A05" w:rsidRDefault="001251CC" w:rsidP="00A1421E">
            <w:pPr>
              <w:ind w:right="42"/>
              <w:jc w:val="center"/>
            </w:pPr>
            <w:r>
              <w:t>1</w:t>
            </w:r>
            <w:r w:rsidR="00A1421E">
              <w:t>,</w:t>
            </w:r>
            <w:r>
              <w:t>2</w:t>
            </w:r>
          </w:p>
        </w:tc>
      </w:tr>
      <w:tr w:rsidR="00AD323C" w:rsidTr="00786067">
        <w:trPr>
          <w:trHeight w:val="370"/>
        </w:trPr>
        <w:tc>
          <w:tcPr>
            <w:tcW w:w="3397" w:type="dxa"/>
            <w:tcBorders>
              <w:top w:val="nil"/>
            </w:tcBorders>
            <w:vAlign w:val="center"/>
          </w:tcPr>
          <w:p w:rsidR="00AD323C" w:rsidRPr="00261A05" w:rsidRDefault="00AD323C" w:rsidP="00A1421E">
            <w:pPr>
              <w:ind w:right="42"/>
              <w:jc w:val="center"/>
            </w:pPr>
            <w:r w:rsidRPr="00261A05">
              <w:rPr>
                <w:sz w:val="22"/>
                <w:szCs w:val="22"/>
              </w:rPr>
              <w:t>Binek olmayan otomobil üretimi</w:t>
            </w:r>
          </w:p>
        </w:tc>
        <w:tc>
          <w:tcPr>
            <w:tcW w:w="1098" w:type="dxa"/>
            <w:tcBorders>
              <w:top w:val="nil"/>
            </w:tcBorders>
            <w:vAlign w:val="center"/>
          </w:tcPr>
          <w:p w:rsidR="00AD323C" w:rsidRPr="00261A05" w:rsidRDefault="001251CC" w:rsidP="00A1421E">
            <w:pPr>
              <w:ind w:right="42"/>
              <w:jc w:val="center"/>
            </w:pPr>
            <w:r>
              <w:t>0</w:t>
            </w:r>
            <w:r w:rsidR="00A1421E">
              <w:t>,</w:t>
            </w:r>
            <w:r>
              <w:t>3</w:t>
            </w:r>
          </w:p>
        </w:tc>
        <w:tc>
          <w:tcPr>
            <w:tcW w:w="925" w:type="dxa"/>
            <w:tcBorders>
              <w:top w:val="nil"/>
            </w:tcBorders>
            <w:vAlign w:val="center"/>
          </w:tcPr>
          <w:p w:rsidR="00AD323C" w:rsidRPr="00261A05" w:rsidRDefault="001251CC" w:rsidP="00A1421E">
            <w:pPr>
              <w:ind w:right="42"/>
              <w:jc w:val="center"/>
            </w:pPr>
            <w:r>
              <w:t>-14</w:t>
            </w:r>
            <w:r w:rsidR="00A1421E">
              <w:t>,</w:t>
            </w:r>
            <w:r>
              <w:t>5</w:t>
            </w:r>
          </w:p>
        </w:tc>
        <w:tc>
          <w:tcPr>
            <w:tcW w:w="1073" w:type="dxa"/>
            <w:tcBorders>
              <w:top w:val="nil"/>
            </w:tcBorders>
            <w:vAlign w:val="center"/>
          </w:tcPr>
          <w:p w:rsidR="00AD323C" w:rsidRPr="00261A05" w:rsidRDefault="001251CC" w:rsidP="00A1421E">
            <w:pPr>
              <w:ind w:right="42"/>
              <w:jc w:val="center"/>
            </w:pPr>
            <w:r>
              <w:t>3</w:t>
            </w:r>
            <w:r w:rsidR="00A1421E">
              <w:t>,</w:t>
            </w:r>
            <w:r>
              <w:t>9</w:t>
            </w:r>
          </w:p>
        </w:tc>
        <w:tc>
          <w:tcPr>
            <w:tcW w:w="1138" w:type="dxa"/>
            <w:tcBorders>
              <w:top w:val="nil"/>
            </w:tcBorders>
            <w:vAlign w:val="center"/>
          </w:tcPr>
          <w:p w:rsidR="00AD323C" w:rsidRPr="00261A05" w:rsidRDefault="001251CC" w:rsidP="00A1421E">
            <w:pPr>
              <w:ind w:right="42"/>
              <w:jc w:val="center"/>
            </w:pPr>
            <w:r>
              <w:t>3</w:t>
            </w:r>
            <w:r w:rsidR="00A1421E">
              <w:t>,</w:t>
            </w:r>
            <w:r>
              <w:t>2</w:t>
            </w:r>
          </w:p>
        </w:tc>
        <w:tc>
          <w:tcPr>
            <w:tcW w:w="1069" w:type="dxa"/>
            <w:tcBorders>
              <w:top w:val="nil"/>
              <w:right w:val="double" w:sz="4" w:space="0" w:color="auto"/>
            </w:tcBorders>
            <w:vAlign w:val="center"/>
          </w:tcPr>
          <w:p w:rsidR="00AD323C" w:rsidRPr="00261A05" w:rsidRDefault="001251CC" w:rsidP="00A1421E">
            <w:pPr>
              <w:ind w:right="42"/>
              <w:jc w:val="center"/>
            </w:pPr>
            <w:r>
              <w:t>-2</w:t>
            </w:r>
            <w:r w:rsidR="00A1421E">
              <w:t>,</w:t>
            </w:r>
            <w:r>
              <w:t>4</w:t>
            </w:r>
          </w:p>
        </w:tc>
        <w:tc>
          <w:tcPr>
            <w:tcW w:w="960" w:type="dxa"/>
            <w:tcBorders>
              <w:top w:val="nil"/>
              <w:left w:val="double" w:sz="4" w:space="0" w:color="auto"/>
            </w:tcBorders>
            <w:vAlign w:val="center"/>
          </w:tcPr>
          <w:p w:rsidR="00AD323C" w:rsidRPr="00261A05" w:rsidRDefault="001251CC" w:rsidP="00A1421E">
            <w:pPr>
              <w:ind w:right="42"/>
              <w:jc w:val="center"/>
            </w:pPr>
            <w:r>
              <w:t>-8</w:t>
            </w:r>
            <w:r w:rsidR="00A1421E">
              <w:t>,</w:t>
            </w:r>
            <w:r>
              <w:t>3</w:t>
            </w:r>
          </w:p>
        </w:tc>
        <w:tc>
          <w:tcPr>
            <w:tcW w:w="960" w:type="dxa"/>
            <w:tcBorders>
              <w:top w:val="nil"/>
            </w:tcBorders>
            <w:vAlign w:val="center"/>
          </w:tcPr>
          <w:p w:rsidR="00AD323C" w:rsidRPr="00261A05" w:rsidRDefault="001251CC" w:rsidP="00A1421E">
            <w:pPr>
              <w:ind w:right="42"/>
              <w:jc w:val="center"/>
            </w:pPr>
            <w:r>
              <w:t>-5</w:t>
            </w:r>
            <w:r w:rsidR="00A1421E">
              <w:t>,</w:t>
            </w:r>
            <w:r>
              <w:t>4</w:t>
            </w:r>
          </w:p>
        </w:tc>
      </w:tr>
    </w:tbl>
    <w:p w:rsidR="00392A7C" w:rsidRDefault="00392A7C" w:rsidP="00392A7C">
      <w:pPr>
        <w:ind w:left="-720" w:right="43" w:firstLine="360"/>
        <w:jc w:val="both"/>
        <w:rPr>
          <w:sz w:val="18"/>
          <w:szCs w:val="18"/>
        </w:rPr>
      </w:pPr>
      <w:r>
        <w:rPr>
          <w:sz w:val="18"/>
          <w:szCs w:val="18"/>
        </w:rPr>
        <w:t>Kaynak: TÜİK</w:t>
      </w:r>
      <w:r w:rsidRPr="008C6E50">
        <w:rPr>
          <w:sz w:val="18"/>
          <w:szCs w:val="18"/>
        </w:rPr>
        <w:t xml:space="preserve">, TCMB, </w:t>
      </w:r>
      <w:r>
        <w:rPr>
          <w:sz w:val="18"/>
          <w:szCs w:val="18"/>
        </w:rPr>
        <w:t>BIST</w:t>
      </w:r>
      <w:r w:rsidRPr="008C6E50">
        <w:rPr>
          <w:sz w:val="18"/>
          <w:szCs w:val="18"/>
        </w:rPr>
        <w:t>,</w:t>
      </w:r>
      <w:r>
        <w:rPr>
          <w:sz w:val="18"/>
          <w:szCs w:val="18"/>
        </w:rPr>
        <w:t xml:space="preserve"> TDM,</w:t>
      </w:r>
      <w:r w:rsidRPr="008C6E50">
        <w:rPr>
          <w:sz w:val="18"/>
          <w:szCs w:val="18"/>
        </w:rPr>
        <w:t xml:space="preserve"> BETAM</w:t>
      </w:r>
      <w:r>
        <w:rPr>
          <w:sz w:val="18"/>
          <w:szCs w:val="18"/>
        </w:rPr>
        <w:t>.</w:t>
      </w:r>
    </w:p>
    <w:p w:rsidR="00392A7C" w:rsidRDefault="00392A7C" w:rsidP="00392A7C">
      <w:pPr>
        <w:ind w:left="-720" w:right="43" w:firstLine="360"/>
        <w:jc w:val="both"/>
        <w:rPr>
          <w:sz w:val="18"/>
          <w:szCs w:val="18"/>
        </w:rPr>
      </w:pPr>
      <w:r w:rsidRPr="00944BB8">
        <w:rPr>
          <w:sz w:val="18"/>
          <w:szCs w:val="18"/>
          <w:vertAlign w:val="superscript"/>
        </w:rPr>
        <w:t xml:space="preserve">† </w:t>
      </w:r>
      <w:r w:rsidRPr="00944BB8">
        <w:rPr>
          <w:sz w:val="18"/>
          <w:szCs w:val="18"/>
        </w:rPr>
        <w:t>TCMB tarafından mevsimsellikten arındırılmıştır.</w:t>
      </w:r>
    </w:p>
    <w:p w:rsidR="00392A7C" w:rsidRDefault="00392A7C" w:rsidP="00392A7C">
      <w:pPr>
        <w:ind w:left="-720" w:right="43" w:firstLine="360"/>
        <w:jc w:val="both"/>
        <w:rPr>
          <w:sz w:val="18"/>
          <w:szCs w:val="18"/>
        </w:rPr>
      </w:pPr>
      <w:r>
        <w:rPr>
          <w:sz w:val="18"/>
          <w:szCs w:val="18"/>
        </w:rPr>
        <w:t xml:space="preserve">*TÜİK tarafından mevsimsellikten arındırılmıştır. Diğer tüm veriler Betam tarafından mevsimsellikten arındırılmıştır. </w:t>
      </w:r>
    </w:p>
    <w:p w:rsidR="00392A7C" w:rsidRDefault="00392A7C" w:rsidP="00392A7C">
      <w:pPr>
        <w:ind w:left="-720" w:right="43" w:firstLine="360"/>
        <w:jc w:val="both"/>
        <w:rPr>
          <w:sz w:val="18"/>
          <w:szCs w:val="18"/>
        </w:rPr>
      </w:pPr>
      <w:r>
        <w:rPr>
          <w:sz w:val="18"/>
          <w:szCs w:val="18"/>
        </w:rPr>
        <w:t>**Bu aya dair veri henüz açıklanmamıştır.</w:t>
      </w:r>
    </w:p>
    <w:p w:rsidR="00392A7C" w:rsidRDefault="00392A7C" w:rsidP="00392A7C">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 Betam tarafından mevsimsellikten arındırılmıştır.</w:t>
      </w:r>
    </w:p>
    <w:p w:rsidR="009165ED" w:rsidRDefault="009165ED" w:rsidP="009165ED">
      <w:pPr>
        <w:spacing w:line="360" w:lineRule="auto"/>
        <w:ind w:right="42"/>
        <w:jc w:val="both"/>
        <w:rPr>
          <w:sz w:val="22"/>
          <w:szCs w:val="22"/>
        </w:rPr>
      </w:pPr>
    </w:p>
    <w:p w:rsidR="00392A7C" w:rsidRDefault="00392A7C" w:rsidP="009165ED">
      <w:pPr>
        <w:spacing w:line="360" w:lineRule="auto"/>
        <w:ind w:right="42"/>
        <w:jc w:val="both"/>
        <w:rPr>
          <w:sz w:val="22"/>
          <w:szCs w:val="22"/>
        </w:rPr>
        <w:sectPr w:rsidR="00392A7C" w:rsidSect="008651A8">
          <w:type w:val="continuous"/>
          <w:pgSz w:w="11906" w:h="16838"/>
          <w:pgMar w:top="1417" w:right="1417" w:bottom="1417" w:left="1417" w:header="708" w:footer="708" w:gutter="0"/>
          <w:cols w:space="708"/>
          <w:docGrid w:linePitch="360"/>
        </w:sect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392A7C" w:rsidRDefault="00392A7C" w:rsidP="009165ED">
      <w:pPr>
        <w:ind w:left="-360" w:right="42"/>
        <w:jc w:val="both"/>
        <w:rPr>
          <w:b/>
          <w:bCs/>
          <w:sz w:val="22"/>
          <w:szCs w:val="22"/>
        </w:rPr>
      </w:pPr>
    </w:p>
    <w:p w:rsidR="009165ED" w:rsidRDefault="009165ED" w:rsidP="009165ED">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165ED" w:rsidRPr="007067F4" w:rsidRDefault="009165ED" w:rsidP="009165ED">
      <w:pPr>
        <w:ind w:left="-360" w:right="42"/>
        <w:jc w:val="both"/>
        <w:rPr>
          <w:b/>
          <w:bCs/>
          <w:sz w:val="8"/>
          <w:szCs w:val="8"/>
        </w:rPr>
      </w:pPr>
    </w:p>
    <w:p w:rsidR="009165ED" w:rsidRPr="00CE2137" w:rsidRDefault="00731730" w:rsidP="009165ED">
      <w:pPr>
        <w:ind w:left="-360" w:right="42"/>
        <w:jc w:val="both"/>
      </w:pPr>
      <w:r w:rsidRPr="00731730">
        <w:rPr>
          <w:noProof/>
        </w:rPr>
        <w:drawing>
          <wp:inline distT="0" distB="0" distL="0" distR="0">
            <wp:extent cx="2655570" cy="22411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55570" cy="2241117"/>
                    </a:xfrm>
                    <a:prstGeom prst="rect">
                      <a:avLst/>
                    </a:prstGeom>
                    <a:noFill/>
                    <a:ln w="9525">
                      <a:noFill/>
                      <a:miter lim="800000"/>
                      <a:headEnd/>
                      <a:tailEnd/>
                    </a:ln>
                  </pic:spPr>
                </pic:pic>
              </a:graphicData>
            </a:graphic>
          </wp:inline>
        </w:drawing>
      </w:r>
    </w:p>
    <w:p w:rsidR="009165ED" w:rsidRDefault="00DB4284" w:rsidP="009165ED">
      <w:pPr>
        <w:ind w:left="-360" w:right="42"/>
        <w:jc w:val="both"/>
        <w:rPr>
          <w:sz w:val="18"/>
          <w:szCs w:val="18"/>
        </w:rPr>
      </w:pPr>
      <w:r>
        <w:rPr>
          <w:sz w:val="18"/>
          <w:szCs w:val="18"/>
        </w:rPr>
        <w:t>Kaynak : TÜİ</w:t>
      </w:r>
      <w:r w:rsidR="009165ED">
        <w:rPr>
          <w:sz w:val="18"/>
          <w:szCs w:val="18"/>
        </w:rPr>
        <w:t xml:space="preserve">K </w:t>
      </w:r>
      <w:r w:rsidR="009165ED" w:rsidRPr="008C6E50">
        <w:rPr>
          <w:sz w:val="18"/>
          <w:szCs w:val="18"/>
        </w:rPr>
        <w:t xml:space="preserve">(sol taraf KKO ekseni, sağ taraf SÜE </w:t>
      </w:r>
    </w:p>
    <w:p w:rsidR="009165ED" w:rsidRPr="008C6E50" w:rsidRDefault="009165ED" w:rsidP="009165ED">
      <w:pPr>
        <w:ind w:left="-360" w:right="42"/>
        <w:jc w:val="both"/>
        <w:rPr>
          <w:sz w:val="18"/>
          <w:szCs w:val="18"/>
        </w:rPr>
      </w:pPr>
      <w:r w:rsidRPr="008C6E50">
        <w:rPr>
          <w:sz w:val="18"/>
          <w:szCs w:val="18"/>
        </w:rPr>
        <w:t>ekseni)</w:t>
      </w:r>
      <w:r>
        <w:rPr>
          <w:sz w:val="18"/>
          <w:szCs w:val="18"/>
        </w:rPr>
        <w:t>.</w:t>
      </w:r>
    </w:p>
    <w:p w:rsidR="008E4B91" w:rsidRDefault="008E4B91" w:rsidP="00DB4284">
      <w:pPr>
        <w:ind w:left="-360" w:right="42"/>
        <w:jc w:val="both"/>
        <w:rPr>
          <w:b/>
          <w:bCs/>
          <w:sz w:val="10"/>
          <w:szCs w:val="10"/>
        </w:rPr>
      </w:pPr>
    </w:p>
    <w:p w:rsidR="00DB4284" w:rsidRDefault="009165ED" w:rsidP="00DB4284">
      <w:pPr>
        <w:ind w:left="-360" w:right="42"/>
        <w:jc w:val="both"/>
        <w:rPr>
          <w:b/>
          <w:bCs/>
          <w:sz w:val="22"/>
          <w:szCs w:val="22"/>
        </w:rPr>
      </w:pPr>
      <w:r>
        <w:rPr>
          <w:b/>
          <w:bCs/>
          <w:sz w:val="22"/>
          <w:szCs w:val="22"/>
        </w:rPr>
        <w:br/>
      </w:r>
      <w:r w:rsidR="00DB4284">
        <w:rPr>
          <w:b/>
          <w:bCs/>
          <w:sz w:val="22"/>
          <w:szCs w:val="22"/>
        </w:rPr>
        <w:t>Şekil 3</w:t>
      </w:r>
      <w:r w:rsidR="00DB4284" w:rsidRPr="008C6E50">
        <w:rPr>
          <w:b/>
          <w:bCs/>
          <w:sz w:val="22"/>
          <w:szCs w:val="22"/>
        </w:rPr>
        <w:t xml:space="preserve">: </w:t>
      </w:r>
      <w:r w:rsidR="00DB4284">
        <w:rPr>
          <w:b/>
          <w:bCs/>
          <w:sz w:val="22"/>
          <w:szCs w:val="22"/>
        </w:rPr>
        <w:t>Altın dahil cari açığın GSYH'a oranı, 12 aylık</w:t>
      </w:r>
    </w:p>
    <w:p w:rsidR="00DB4284" w:rsidRPr="007067F4" w:rsidRDefault="00DB4284" w:rsidP="00DB4284">
      <w:pPr>
        <w:ind w:left="-360" w:right="42"/>
        <w:jc w:val="both"/>
        <w:rPr>
          <w:b/>
          <w:bCs/>
          <w:sz w:val="8"/>
          <w:szCs w:val="8"/>
        </w:rPr>
      </w:pPr>
    </w:p>
    <w:p w:rsidR="00DB4284" w:rsidRPr="00CE2137" w:rsidRDefault="00702823" w:rsidP="00DB4284">
      <w:pPr>
        <w:ind w:left="-360" w:right="42"/>
        <w:jc w:val="both"/>
      </w:pPr>
      <w:r w:rsidRPr="00702823">
        <w:rPr>
          <w:noProof/>
        </w:rPr>
        <w:drawing>
          <wp:inline distT="0" distB="0" distL="0" distR="0">
            <wp:extent cx="2655570" cy="2228782"/>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55570" cy="2228782"/>
                    </a:xfrm>
                    <a:prstGeom prst="rect">
                      <a:avLst/>
                    </a:prstGeom>
                    <a:noFill/>
                    <a:ln w="9525">
                      <a:noFill/>
                      <a:miter lim="800000"/>
                      <a:headEnd/>
                      <a:tailEnd/>
                    </a:ln>
                  </pic:spPr>
                </pic:pic>
              </a:graphicData>
            </a:graphic>
          </wp:inline>
        </w:drawing>
      </w:r>
    </w:p>
    <w:p w:rsidR="00DB4284" w:rsidRPr="008C6E50" w:rsidRDefault="00DB4284" w:rsidP="00DB4284">
      <w:pPr>
        <w:ind w:left="-360" w:right="42"/>
        <w:jc w:val="both"/>
        <w:rPr>
          <w:sz w:val="18"/>
          <w:szCs w:val="18"/>
        </w:rPr>
      </w:pPr>
      <w:r>
        <w:rPr>
          <w:sz w:val="18"/>
          <w:szCs w:val="18"/>
        </w:rPr>
        <w:t>Kaynak : TCMB,TÜİK, Betam.</w:t>
      </w:r>
    </w:p>
    <w:p w:rsidR="00DB4284" w:rsidRDefault="00DB4284" w:rsidP="00DB4284">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DB4284" w:rsidRPr="007067F4" w:rsidRDefault="00DB4284" w:rsidP="00DB4284">
      <w:pPr>
        <w:spacing w:line="360" w:lineRule="auto"/>
        <w:ind w:left="-360" w:right="42"/>
        <w:jc w:val="both"/>
        <w:rPr>
          <w:sz w:val="4"/>
          <w:szCs w:val="4"/>
        </w:rPr>
      </w:pPr>
    </w:p>
    <w:p w:rsidR="00DB4284" w:rsidRPr="00CE2137" w:rsidRDefault="008E4B91" w:rsidP="00DB4284">
      <w:pPr>
        <w:ind w:left="-360" w:right="42"/>
        <w:jc w:val="both"/>
      </w:pPr>
      <w:r w:rsidRPr="008E4B91">
        <w:rPr>
          <w:noProof/>
        </w:rPr>
        <w:drawing>
          <wp:inline distT="0" distB="0" distL="0" distR="0">
            <wp:extent cx="2655570" cy="2306651"/>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DB4284" w:rsidRDefault="00DB4284" w:rsidP="00DB4284">
      <w:pPr>
        <w:ind w:left="-360" w:right="42"/>
        <w:jc w:val="both"/>
        <w:rPr>
          <w:sz w:val="18"/>
          <w:szCs w:val="18"/>
        </w:rPr>
      </w:pPr>
      <w:r>
        <w:rPr>
          <w:sz w:val="18"/>
          <w:szCs w:val="18"/>
        </w:rPr>
        <w:t>Kaynak : TÜİK.</w:t>
      </w:r>
    </w:p>
    <w:p w:rsidR="000678F9" w:rsidRDefault="000678F9" w:rsidP="009165ED">
      <w:pPr>
        <w:ind w:left="-360" w:right="42"/>
        <w:jc w:val="both"/>
        <w:rPr>
          <w:b/>
          <w:bCs/>
          <w:sz w:val="18"/>
          <w:szCs w:val="18"/>
        </w:rPr>
      </w:pPr>
    </w:p>
    <w:p w:rsidR="009165ED" w:rsidRDefault="009165ED" w:rsidP="009165ED">
      <w:pPr>
        <w:ind w:left="-360" w:right="42"/>
        <w:jc w:val="both"/>
        <w:rPr>
          <w:b/>
          <w:bCs/>
          <w:sz w:val="22"/>
          <w:szCs w:val="22"/>
        </w:rPr>
      </w:pPr>
      <w:r>
        <w:rPr>
          <w:b/>
          <w:bCs/>
          <w:sz w:val="22"/>
          <w:szCs w:val="22"/>
        </w:rPr>
        <w:br/>
      </w:r>
      <w:r w:rsidR="00DB4284">
        <w:rPr>
          <w:b/>
          <w:bCs/>
          <w:sz w:val="22"/>
          <w:szCs w:val="22"/>
        </w:rPr>
        <w:t>Şekil 4</w:t>
      </w:r>
      <w:r w:rsidRPr="008C6E50">
        <w:rPr>
          <w:b/>
          <w:bCs/>
          <w:sz w:val="22"/>
          <w:szCs w:val="22"/>
        </w:rPr>
        <w:t xml:space="preserve">: </w:t>
      </w:r>
      <w:r w:rsidR="00DB4284">
        <w:rPr>
          <w:b/>
          <w:bCs/>
          <w:sz w:val="22"/>
          <w:szCs w:val="22"/>
        </w:rPr>
        <w:t>Altın hariç cari açığın GSYH'a oranı, 12 aylık</w:t>
      </w:r>
    </w:p>
    <w:p w:rsidR="009165ED" w:rsidRPr="007067F4" w:rsidRDefault="009165ED" w:rsidP="009165ED">
      <w:pPr>
        <w:spacing w:line="360" w:lineRule="auto"/>
        <w:ind w:left="-360" w:right="42"/>
        <w:jc w:val="both"/>
        <w:rPr>
          <w:sz w:val="4"/>
          <w:szCs w:val="4"/>
        </w:rPr>
      </w:pPr>
    </w:p>
    <w:p w:rsidR="009165ED" w:rsidRPr="00CE2137" w:rsidRDefault="00702823" w:rsidP="009165ED">
      <w:pPr>
        <w:ind w:left="-360" w:right="42"/>
        <w:jc w:val="both"/>
      </w:pPr>
      <w:r w:rsidRPr="00702823">
        <w:rPr>
          <w:noProof/>
        </w:rPr>
        <w:drawing>
          <wp:inline distT="0" distB="0" distL="0" distR="0">
            <wp:extent cx="2655570" cy="2250079"/>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655570" cy="2250079"/>
                    </a:xfrm>
                    <a:prstGeom prst="rect">
                      <a:avLst/>
                    </a:prstGeom>
                    <a:noFill/>
                    <a:ln w="9525">
                      <a:noFill/>
                      <a:miter lim="800000"/>
                      <a:headEnd/>
                      <a:tailEnd/>
                    </a:ln>
                  </pic:spPr>
                </pic:pic>
              </a:graphicData>
            </a:graphic>
          </wp:inline>
        </w:drawing>
      </w:r>
    </w:p>
    <w:p w:rsidR="009165ED" w:rsidRPr="008C6E50" w:rsidRDefault="009165ED" w:rsidP="009165ED">
      <w:pPr>
        <w:ind w:left="-360" w:right="42"/>
        <w:jc w:val="both"/>
        <w:rPr>
          <w:sz w:val="18"/>
          <w:szCs w:val="18"/>
        </w:rPr>
      </w:pPr>
      <w:r>
        <w:rPr>
          <w:sz w:val="18"/>
          <w:szCs w:val="18"/>
        </w:rPr>
        <w:t xml:space="preserve">Kaynak : </w:t>
      </w:r>
      <w:r w:rsidR="00DB4284">
        <w:rPr>
          <w:sz w:val="18"/>
          <w:szCs w:val="18"/>
        </w:rPr>
        <w:t>TCMB, TÜİK, Betam.</w:t>
      </w:r>
    </w:p>
    <w:p w:rsidR="009165ED" w:rsidRDefault="009165ED" w:rsidP="009165ED">
      <w:pPr>
        <w:spacing w:line="360" w:lineRule="auto"/>
        <w:ind w:right="42"/>
        <w:jc w:val="both"/>
        <w:rPr>
          <w:sz w:val="22"/>
          <w:szCs w:val="22"/>
        </w:rPr>
        <w:sectPr w:rsidR="009165ED" w:rsidSect="007067F4">
          <w:type w:val="continuous"/>
          <w:pgSz w:w="11906" w:h="16838"/>
          <w:pgMar w:top="1417" w:right="1417" w:bottom="1417" w:left="1417" w:header="708" w:footer="708" w:gutter="0"/>
          <w:cols w:num="2" w:space="708" w:equalWidth="0">
            <w:col w:w="4182" w:space="708"/>
            <w:col w:w="4182"/>
          </w:cols>
          <w:docGrid w:linePitch="360"/>
        </w:sectPr>
      </w:pPr>
    </w:p>
    <w:p w:rsidR="009165ED" w:rsidRDefault="009165ED" w:rsidP="009165ED">
      <w:pPr>
        <w:spacing w:line="360" w:lineRule="auto"/>
        <w:ind w:left="-360" w:right="42"/>
        <w:jc w:val="both"/>
        <w:rPr>
          <w:b/>
          <w:bCs/>
          <w:sz w:val="22"/>
          <w:szCs w:val="22"/>
        </w:rPr>
      </w:pPr>
    </w:p>
    <w:p w:rsidR="009165ED" w:rsidRPr="00143024" w:rsidRDefault="009165ED" w:rsidP="009165ED">
      <w:pPr>
        <w:ind w:left="-360" w:right="42"/>
      </w:pPr>
      <w:r>
        <w:rPr>
          <w:sz w:val="18"/>
          <w:szCs w:val="18"/>
        </w:rPr>
        <w:tab/>
      </w:r>
      <w:r>
        <w:rPr>
          <w:sz w:val="18"/>
          <w:szCs w:val="18"/>
        </w:rPr>
        <w:tab/>
      </w:r>
      <w:r>
        <w:rPr>
          <w:sz w:val="18"/>
          <w:szCs w:val="18"/>
        </w:rPr>
        <w:tab/>
      </w:r>
    </w:p>
    <w:p w:rsidR="009165ED" w:rsidRDefault="009165ED" w:rsidP="009165ED">
      <w:pPr>
        <w:ind w:left="-360" w:right="42"/>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Pr="00EC248D" w:rsidRDefault="00DB4284" w:rsidP="009165ED">
      <w:pPr>
        <w:spacing w:line="360" w:lineRule="auto"/>
        <w:ind w:left="-360" w:right="42"/>
        <w:jc w:val="both"/>
        <w:rPr>
          <w:b/>
          <w:bCs/>
          <w:sz w:val="22"/>
          <w:szCs w:val="22"/>
        </w:rPr>
      </w:pPr>
      <w:r>
        <w:rPr>
          <w:b/>
          <w:bCs/>
          <w:sz w:val="22"/>
          <w:szCs w:val="22"/>
        </w:rPr>
        <w:lastRenderedPageBreak/>
        <w:t>Şekil 5</w:t>
      </w:r>
      <w:r w:rsidR="009165ED">
        <w:rPr>
          <w:b/>
          <w:bCs/>
          <w:sz w:val="22"/>
          <w:szCs w:val="22"/>
        </w:rPr>
        <w:t>: B</w:t>
      </w:r>
      <w:r w:rsidR="009165ED" w:rsidRPr="00EC248D">
        <w:rPr>
          <w:b/>
          <w:bCs/>
          <w:sz w:val="22"/>
          <w:szCs w:val="22"/>
        </w:rPr>
        <w:t>ankalarca TL üzerinden açılan kredilere uygulanan ort</w:t>
      </w:r>
      <w:r w:rsidR="009165ED">
        <w:rPr>
          <w:b/>
          <w:bCs/>
          <w:sz w:val="22"/>
          <w:szCs w:val="22"/>
        </w:rPr>
        <w:t>a</w:t>
      </w:r>
      <w:r w:rsidR="009165ED" w:rsidRPr="00EC248D">
        <w:rPr>
          <w:b/>
          <w:bCs/>
          <w:sz w:val="22"/>
          <w:szCs w:val="22"/>
        </w:rPr>
        <w:t>lama faiz oranları</w:t>
      </w:r>
    </w:p>
    <w:p w:rsidR="009165ED" w:rsidRDefault="00731730" w:rsidP="00731730">
      <w:pPr>
        <w:ind w:left="-360" w:right="42"/>
        <w:rPr>
          <w:noProof/>
          <w:sz w:val="20"/>
          <w:szCs w:val="20"/>
        </w:rPr>
      </w:pPr>
      <w:r w:rsidRPr="00731730">
        <w:rPr>
          <w:noProof/>
          <w:szCs w:val="20"/>
        </w:rPr>
        <w:drawing>
          <wp:inline distT="0" distB="0" distL="0" distR="0">
            <wp:extent cx="5760720" cy="2973849"/>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60720" cy="2973849"/>
                    </a:xfrm>
                    <a:prstGeom prst="rect">
                      <a:avLst/>
                    </a:prstGeom>
                    <a:noFill/>
                    <a:ln w="9525">
                      <a:noFill/>
                      <a:miter lim="800000"/>
                      <a:headEnd/>
                      <a:tailEnd/>
                    </a:ln>
                  </pic:spPr>
                </pic:pic>
              </a:graphicData>
            </a:graphic>
          </wp:inline>
        </w:drawing>
      </w:r>
    </w:p>
    <w:p w:rsidR="009165ED" w:rsidRDefault="009165ED" w:rsidP="009165ED">
      <w:pPr>
        <w:ind w:left="-360" w:right="42"/>
        <w:rPr>
          <w:sz w:val="18"/>
          <w:szCs w:val="18"/>
        </w:rPr>
      </w:pPr>
      <w:r w:rsidRPr="00CC41EB">
        <w:rPr>
          <w:sz w:val="18"/>
          <w:szCs w:val="18"/>
        </w:rPr>
        <w:t xml:space="preserve">Kaynak : </w:t>
      </w:r>
      <w:r>
        <w:rPr>
          <w:sz w:val="18"/>
          <w:szCs w:val="18"/>
        </w:rPr>
        <w:t>TCMB.</w:t>
      </w:r>
    </w:p>
    <w:p w:rsidR="000678F9" w:rsidRDefault="000678F9" w:rsidP="000678F9">
      <w:pPr>
        <w:spacing w:line="360" w:lineRule="auto"/>
        <w:ind w:left="-360" w:right="42"/>
        <w:jc w:val="both"/>
        <w:rPr>
          <w:b/>
          <w:bCs/>
          <w:sz w:val="22"/>
          <w:szCs w:val="22"/>
        </w:rPr>
      </w:pPr>
    </w:p>
    <w:sectPr w:rsidR="000678F9"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C6" w:rsidRDefault="000311C6">
      <w:r>
        <w:separator/>
      </w:r>
    </w:p>
  </w:endnote>
  <w:endnote w:type="continuationSeparator" w:id="0">
    <w:p w:rsidR="000311C6" w:rsidRDefault="0003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E" w:rsidRDefault="00A1421E" w:rsidP="00D830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E56">
      <w:rPr>
        <w:rStyle w:val="PageNumber"/>
        <w:noProof/>
      </w:rPr>
      <w:t>1</w:t>
    </w:r>
    <w:r>
      <w:rPr>
        <w:rStyle w:val="PageNumber"/>
      </w:rPr>
      <w:fldChar w:fldCharType="end"/>
    </w:r>
  </w:p>
  <w:p w:rsidR="00A1421E" w:rsidRPr="007B51E3" w:rsidRDefault="00A1421E"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C6" w:rsidRDefault="000311C6">
      <w:r>
        <w:separator/>
      </w:r>
    </w:p>
  </w:footnote>
  <w:footnote w:type="continuationSeparator" w:id="0">
    <w:p w:rsidR="000311C6" w:rsidRDefault="000311C6">
      <w:r>
        <w:continuationSeparator/>
      </w:r>
    </w:p>
  </w:footnote>
  <w:footnote w:id="1">
    <w:p w:rsidR="00E24C8A" w:rsidRDefault="00E24C8A" w:rsidP="00E24C8A">
      <w:pPr>
        <w:pStyle w:val="FootnoteText"/>
        <w:ind w:left="-284"/>
      </w:pPr>
      <w:r>
        <w:rPr>
          <w:rStyle w:val="FootnoteReference"/>
        </w:rPr>
        <w:footnoteRef/>
      </w:r>
      <w:r>
        <w:t xml:space="preserve"> Aynı dönemde (Mart-Nisan) G.Afrika randı yüzde 3,5, Brezilya real'i yüzde 6 değer kazandı.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4860"/>
    <w:rsid w:val="00004B78"/>
    <w:rsid w:val="0000507C"/>
    <w:rsid w:val="0000704D"/>
    <w:rsid w:val="0001121A"/>
    <w:rsid w:val="000117B7"/>
    <w:rsid w:val="000144EB"/>
    <w:rsid w:val="00017809"/>
    <w:rsid w:val="000205A1"/>
    <w:rsid w:val="000208EA"/>
    <w:rsid w:val="000212AC"/>
    <w:rsid w:val="000224B9"/>
    <w:rsid w:val="000233A7"/>
    <w:rsid w:val="00024559"/>
    <w:rsid w:val="000262EC"/>
    <w:rsid w:val="00026F21"/>
    <w:rsid w:val="00027FC3"/>
    <w:rsid w:val="000311C6"/>
    <w:rsid w:val="00031D72"/>
    <w:rsid w:val="0003248D"/>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3005"/>
    <w:rsid w:val="00064636"/>
    <w:rsid w:val="0006518B"/>
    <w:rsid w:val="00065B3C"/>
    <w:rsid w:val="000678F9"/>
    <w:rsid w:val="000716BA"/>
    <w:rsid w:val="000716CA"/>
    <w:rsid w:val="0007202B"/>
    <w:rsid w:val="00072407"/>
    <w:rsid w:val="00074648"/>
    <w:rsid w:val="00077A9D"/>
    <w:rsid w:val="00077FF4"/>
    <w:rsid w:val="00081E3F"/>
    <w:rsid w:val="00082FE4"/>
    <w:rsid w:val="000833C7"/>
    <w:rsid w:val="0008631D"/>
    <w:rsid w:val="0009059A"/>
    <w:rsid w:val="000925B3"/>
    <w:rsid w:val="00096B4E"/>
    <w:rsid w:val="00097E2B"/>
    <w:rsid w:val="000A292B"/>
    <w:rsid w:val="000A399E"/>
    <w:rsid w:val="000A687F"/>
    <w:rsid w:val="000A6907"/>
    <w:rsid w:val="000A701D"/>
    <w:rsid w:val="000A79A0"/>
    <w:rsid w:val="000B16FB"/>
    <w:rsid w:val="000B2409"/>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5B7E"/>
    <w:rsid w:val="000C7B42"/>
    <w:rsid w:val="000D0C5A"/>
    <w:rsid w:val="000D17A2"/>
    <w:rsid w:val="000D1F14"/>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07B5"/>
    <w:rsid w:val="00106470"/>
    <w:rsid w:val="001075D1"/>
    <w:rsid w:val="00107FF7"/>
    <w:rsid w:val="001105B2"/>
    <w:rsid w:val="001117C6"/>
    <w:rsid w:val="0011236C"/>
    <w:rsid w:val="0011279B"/>
    <w:rsid w:val="00113C74"/>
    <w:rsid w:val="00114BC7"/>
    <w:rsid w:val="00117A11"/>
    <w:rsid w:val="00121ABE"/>
    <w:rsid w:val="0012262F"/>
    <w:rsid w:val="00123E71"/>
    <w:rsid w:val="001251CC"/>
    <w:rsid w:val="00125FC6"/>
    <w:rsid w:val="001260D7"/>
    <w:rsid w:val="001261A8"/>
    <w:rsid w:val="001267DF"/>
    <w:rsid w:val="00130959"/>
    <w:rsid w:val="0013240F"/>
    <w:rsid w:val="00132E7B"/>
    <w:rsid w:val="001331CB"/>
    <w:rsid w:val="0013381D"/>
    <w:rsid w:val="00135B92"/>
    <w:rsid w:val="001360D1"/>
    <w:rsid w:val="001408D6"/>
    <w:rsid w:val="00140E1E"/>
    <w:rsid w:val="00141B1A"/>
    <w:rsid w:val="00141B88"/>
    <w:rsid w:val="00141B93"/>
    <w:rsid w:val="00143024"/>
    <w:rsid w:val="00143828"/>
    <w:rsid w:val="00143A92"/>
    <w:rsid w:val="00144285"/>
    <w:rsid w:val="00151BCF"/>
    <w:rsid w:val="0015370A"/>
    <w:rsid w:val="00154503"/>
    <w:rsid w:val="00154510"/>
    <w:rsid w:val="001553F2"/>
    <w:rsid w:val="0015586B"/>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6E56"/>
    <w:rsid w:val="00177FE3"/>
    <w:rsid w:val="0018034E"/>
    <w:rsid w:val="00180C8C"/>
    <w:rsid w:val="00181B5A"/>
    <w:rsid w:val="00182F2B"/>
    <w:rsid w:val="00183507"/>
    <w:rsid w:val="00183896"/>
    <w:rsid w:val="00186DB6"/>
    <w:rsid w:val="00190F20"/>
    <w:rsid w:val="0019159E"/>
    <w:rsid w:val="001938A7"/>
    <w:rsid w:val="0019538C"/>
    <w:rsid w:val="00197ACB"/>
    <w:rsid w:val="001A054B"/>
    <w:rsid w:val="001A2051"/>
    <w:rsid w:val="001A2B3D"/>
    <w:rsid w:val="001A319A"/>
    <w:rsid w:val="001A4381"/>
    <w:rsid w:val="001A45BC"/>
    <w:rsid w:val="001A528A"/>
    <w:rsid w:val="001A6188"/>
    <w:rsid w:val="001A6206"/>
    <w:rsid w:val="001A772F"/>
    <w:rsid w:val="001B0683"/>
    <w:rsid w:val="001B0EF9"/>
    <w:rsid w:val="001B1CE5"/>
    <w:rsid w:val="001B2F96"/>
    <w:rsid w:val="001B30E0"/>
    <w:rsid w:val="001B34B5"/>
    <w:rsid w:val="001B3B49"/>
    <w:rsid w:val="001B3C7B"/>
    <w:rsid w:val="001B6AFA"/>
    <w:rsid w:val="001C184E"/>
    <w:rsid w:val="001C62D3"/>
    <w:rsid w:val="001C6BAB"/>
    <w:rsid w:val="001C7334"/>
    <w:rsid w:val="001C7C05"/>
    <w:rsid w:val="001D09B1"/>
    <w:rsid w:val="001D129A"/>
    <w:rsid w:val="001D1F1B"/>
    <w:rsid w:val="001D2615"/>
    <w:rsid w:val="001D436C"/>
    <w:rsid w:val="001E0274"/>
    <w:rsid w:val="001E115E"/>
    <w:rsid w:val="001E27F8"/>
    <w:rsid w:val="001E2EE8"/>
    <w:rsid w:val="001E30C3"/>
    <w:rsid w:val="001E4BF5"/>
    <w:rsid w:val="001E5387"/>
    <w:rsid w:val="001E739D"/>
    <w:rsid w:val="001E75C8"/>
    <w:rsid w:val="001E7720"/>
    <w:rsid w:val="001E7744"/>
    <w:rsid w:val="001F276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387C"/>
    <w:rsid w:val="002168E5"/>
    <w:rsid w:val="0021766E"/>
    <w:rsid w:val="002176C5"/>
    <w:rsid w:val="00217D35"/>
    <w:rsid w:val="00220B5E"/>
    <w:rsid w:val="00221184"/>
    <w:rsid w:val="00223A5B"/>
    <w:rsid w:val="002242A1"/>
    <w:rsid w:val="00224908"/>
    <w:rsid w:val="00226D50"/>
    <w:rsid w:val="002272CB"/>
    <w:rsid w:val="00231E92"/>
    <w:rsid w:val="00232243"/>
    <w:rsid w:val="0023312F"/>
    <w:rsid w:val="00233D56"/>
    <w:rsid w:val="00237255"/>
    <w:rsid w:val="0024030B"/>
    <w:rsid w:val="00241A67"/>
    <w:rsid w:val="00243212"/>
    <w:rsid w:val="00245B1F"/>
    <w:rsid w:val="00251885"/>
    <w:rsid w:val="00251DE2"/>
    <w:rsid w:val="00251E82"/>
    <w:rsid w:val="00252FAF"/>
    <w:rsid w:val="00253D39"/>
    <w:rsid w:val="00254A99"/>
    <w:rsid w:val="002569EA"/>
    <w:rsid w:val="0026114C"/>
    <w:rsid w:val="002614C1"/>
    <w:rsid w:val="00261A05"/>
    <w:rsid w:val="00262020"/>
    <w:rsid w:val="00264335"/>
    <w:rsid w:val="002654A6"/>
    <w:rsid w:val="00265BC9"/>
    <w:rsid w:val="002670FE"/>
    <w:rsid w:val="00267EB4"/>
    <w:rsid w:val="00273E62"/>
    <w:rsid w:val="00277E58"/>
    <w:rsid w:val="002802F2"/>
    <w:rsid w:val="002816C6"/>
    <w:rsid w:val="00281D8F"/>
    <w:rsid w:val="002820F1"/>
    <w:rsid w:val="00284A28"/>
    <w:rsid w:val="00285656"/>
    <w:rsid w:val="002871E8"/>
    <w:rsid w:val="00291C79"/>
    <w:rsid w:val="0029480C"/>
    <w:rsid w:val="00295AFF"/>
    <w:rsid w:val="00297710"/>
    <w:rsid w:val="00297712"/>
    <w:rsid w:val="002A05DB"/>
    <w:rsid w:val="002A1FA0"/>
    <w:rsid w:val="002A3EDD"/>
    <w:rsid w:val="002A49A3"/>
    <w:rsid w:val="002A4AF7"/>
    <w:rsid w:val="002A5D22"/>
    <w:rsid w:val="002A66ED"/>
    <w:rsid w:val="002B3129"/>
    <w:rsid w:val="002B3644"/>
    <w:rsid w:val="002B626B"/>
    <w:rsid w:val="002C236E"/>
    <w:rsid w:val="002C25CE"/>
    <w:rsid w:val="002C2DA3"/>
    <w:rsid w:val="002C4200"/>
    <w:rsid w:val="002C49EC"/>
    <w:rsid w:val="002C5F2D"/>
    <w:rsid w:val="002C7D04"/>
    <w:rsid w:val="002D1908"/>
    <w:rsid w:val="002D2F1A"/>
    <w:rsid w:val="002D3C8B"/>
    <w:rsid w:val="002D4158"/>
    <w:rsid w:val="002D584B"/>
    <w:rsid w:val="002E02BA"/>
    <w:rsid w:val="002E0E16"/>
    <w:rsid w:val="002E1EA4"/>
    <w:rsid w:val="002E205D"/>
    <w:rsid w:val="002E41FC"/>
    <w:rsid w:val="002E6E82"/>
    <w:rsid w:val="002E6F28"/>
    <w:rsid w:val="002E6F87"/>
    <w:rsid w:val="002E7357"/>
    <w:rsid w:val="002E7860"/>
    <w:rsid w:val="002F150B"/>
    <w:rsid w:val="002F21C6"/>
    <w:rsid w:val="002F3718"/>
    <w:rsid w:val="002F3940"/>
    <w:rsid w:val="002F4648"/>
    <w:rsid w:val="002F467E"/>
    <w:rsid w:val="002F5134"/>
    <w:rsid w:val="002F5C24"/>
    <w:rsid w:val="002F61A9"/>
    <w:rsid w:val="003001AF"/>
    <w:rsid w:val="0030120F"/>
    <w:rsid w:val="00303A3C"/>
    <w:rsid w:val="003044A5"/>
    <w:rsid w:val="003051E6"/>
    <w:rsid w:val="00306265"/>
    <w:rsid w:val="00306F51"/>
    <w:rsid w:val="0031043B"/>
    <w:rsid w:val="003118F7"/>
    <w:rsid w:val="00312DB8"/>
    <w:rsid w:val="00312EB0"/>
    <w:rsid w:val="003134C3"/>
    <w:rsid w:val="003142BA"/>
    <w:rsid w:val="003146E6"/>
    <w:rsid w:val="0031673E"/>
    <w:rsid w:val="0031682C"/>
    <w:rsid w:val="00316CE9"/>
    <w:rsid w:val="00316DB4"/>
    <w:rsid w:val="003208B4"/>
    <w:rsid w:val="00320F7D"/>
    <w:rsid w:val="003223B0"/>
    <w:rsid w:val="00323169"/>
    <w:rsid w:val="00323CA6"/>
    <w:rsid w:val="00324A91"/>
    <w:rsid w:val="00324C15"/>
    <w:rsid w:val="003269F7"/>
    <w:rsid w:val="003270D6"/>
    <w:rsid w:val="0033129D"/>
    <w:rsid w:val="00332DBD"/>
    <w:rsid w:val="00333B98"/>
    <w:rsid w:val="00337AE5"/>
    <w:rsid w:val="0034025B"/>
    <w:rsid w:val="00341195"/>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5B7D"/>
    <w:rsid w:val="00366A30"/>
    <w:rsid w:val="00375126"/>
    <w:rsid w:val="00375CC6"/>
    <w:rsid w:val="00376AC1"/>
    <w:rsid w:val="00376F93"/>
    <w:rsid w:val="00382F97"/>
    <w:rsid w:val="0038488E"/>
    <w:rsid w:val="00385F45"/>
    <w:rsid w:val="00390136"/>
    <w:rsid w:val="00392A7C"/>
    <w:rsid w:val="00394F60"/>
    <w:rsid w:val="00395F95"/>
    <w:rsid w:val="00396CE9"/>
    <w:rsid w:val="00397518"/>
    <w:rsid w:val="003A2B60"/>
    <w:rsid w:val="003A2C52"/>
    <w:rsid w:val="003A31B2"/>
    <w:rsid w:val="003A3575"/>
    <w:rsid w:val="003A3A61"/>
    <w:rsid w:val="003A5C17"/>
    <w:rsid w:val="003A78A3"/>
    <w:rsid w:val="003B00C3"/>
    <w:rsid w:val="003B0F7E"/>
    <w:rsid w:val="003B199A"/>
    <w:rsid w:val="003B1BE8"/>
    <w:rsid w:val="003B2FC4"/>
    <w:rsid w:val="003B472B"/>
    <w:rsid w:val="003B5209"/>
    <w:rsid w:val="003B65FB"/>
    <w:rsid w:val="003B757A"/>
    <w:rsid w:val="003C2B2A"/>
    <w:rsid w:val="003C2BAF"/>
    <w:rsid w:val="003C3188"/>
    <w:rsid w:val="003C640D"/>
    <w:rsid w:val="003C6C41"/>
    <w:rsid w:val="003C7051"/>
    <w:rsid w:val="003C7C35"/>
    <w:rsid w:val="003D0AB6"/>
    <w:rsid w:val="003D0E64"/>
    <w:rsid w:val="003D1BAD"/>
    <w:rsid w:val="003D7D0B"/>
    <w:rsid w:val="003D7E7F"/>
    <w:rsid w:val="003E4DF6"/>
    <w:rsid w:val="003E5EC3"/>
    <w:rsid w:val="003F1E42"/>
    <w:rsid w:val="003F503B"/>
    <w:rsid w:val="003F60C0"/>
    <w:rsid w:val="003F6C96"/>
    <w:rsid w:val="003F7185"/>
    <w:rsid w:val="003F7D4B"/>
    <w:rsid w:val="0040061A"/>
    <w:rsid w:val="00402158"/>
    <w:rsid w:val="00402270"/>
    <w:rsid w:val="004074ED"/>
    <w:rsid w:val="00412C49"/>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527"/>
    <w:rsid w:val="00435FF5"/>
    <w:rsid w:val="0043681C"/>
    <w:rsid w:val="00440820"/>
    <w:rsid w:val="004441AD"/>
    <w:rsid w:val="00444DA6"/>
    <w:rsid w:val="00445C19"/>
    <w:rsid w:val="004466EA"/>
    <w:rsid w:val="00446A31"/>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F0"/>
    <w:rsid w:val="00482771"/>
    <w:rsid w:val="00483180"/>
    <w:rsid w:val="00483C58"/>
    <w:rsid w:val="00484222"/>
    <w:rsid w:val="00485F46"/>
    <w:rsid w:val="00494345"/>
    <w:rsid w:val="00495192"/>
    <w:rsid w:val="004A0D43"/>
    <w:rsid w:val="004A1818"/>
    <w:rsid w:val="004A4E4F"/>
    <w:rsid w:val="004A56E7"/>
    <w:rsid w:val="004A7750"/>
    <w:rsid w:val="004A7FE6"/>
    <w:rsid w:val="004B02B9"/>
    <w:rsid w:val="004B0B90"/>
    <w:rsid w:val="004B30FB"/>
    <w:rsid w:val="004B3F80"/>
    <w:rsid w:val="004B40EE"/>
    <w:rsid w:val="004B4A27"/>
    <w:rsid w:val="004C0A8D"/>
    <w:rsid w:val="004C2024"/>
    <w:rsid w:val="004C25F6"/>
    <w:rsid w:val="004C62C6"/>
    <w:rsid w:val="004D100D"/>
    <w:rsid w:val="004D3901"/>
    <w:rsid w:val="004D3F5D"/>
    <w:rsid w:val="004D67C5"/>
    <w:rsid w:val="004D6E34"/>
    <w:rsid w:val="004D7E65"/>
    <w:rsid w:val="004E00D0"/>
    <w:rsid w:val="004E07DC"/>
    <w:rsid w:val="004E0851"/>
    <w:rsid w:val="004E0939"/>
    <w:rsid w:val="004E1AB5"/>
    <w:rsid w:val="004E1AE2"/>
    <w:rsid w:val="004E5446"/>
    <w:rsid w:val="004F059F"/>
    <w:rsid w:val="004F1352"/>
    <w:rsid w:val="004F2868"/>
    <w:rsid w:val="004F55F8"/>
    <w:rsid w:val="004F6ACE"/>
    <w:rsid w:val="004F7447"/>
    <w:rsid w:val="004F76D9"/>
    <w:rsid w:val="00501F2F"/>
    <w:rsid w:val="00505141"/>
    <w:rsid w:val="005066A2"/>
    <w:rsid w:val="00506CD9"/>
    <w:rsid w:val="00511EF3"/>
    <w:rsid w:val="00512AE9"/>
    <w:rsid w:val="00513FBF"/>
    <w:rsid w:val="00516576"/>
    <w:rsid w:val="0051750C"/>
    <w:rsid w:val="00522063"/>
    <w:rsid w:val="00522ED0"/>
    <w:rsid w:val="00523C58"/>
    <w:rsid w:val="005253A2"/>
    <w:rsid w:val="0052557E"/>
    <w:rsid w:val="00526CC9"/>
    <w:rsid w:val="0052770E"/>
    <w:rsid w:val="005310F8"/>
    <w:rsid w:val="0053163F"/>
    <w:rsid w:val="00534CA7"/>
    <w:rsid w:val="00535BAD"/>
    <w:rsid w:val="00536008"/>
    <w:rsid w:val="00536B3B"/>
    <w:rsid w:val="00537DBB"/>
    <w:rsid w:val="005429D2"/>
    <w:rsid w:val="005435C8"/>
    <w:rsid w:val="00543E56"/>
    <w:rsid w:val="00544A5C"/>
    <w:rsid w:val="005470EC"/>
    <w:rsid w:val="00552380"/>
    <w:rsid w:val="00556328"/>
    <w:rsid w:val="00563399"/>
    <w:rsid w:val="0056591F"/>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1E77"/>
    <w:rsid w:val="005A2B2E"/>
    <w:rsid w:val="005A3E49"/>
    <w:rsid w:val="005A4714"/>
    <w:rsid w:val="005A47EC"/>
    <w:rsid w:val="005B551F"/>
    <w:rsid w:val="005B5D93"/>
    <w:rsid w:val="005B66C8"/>
    <w:rsid w:val="005C0A9A"/>
    <w:rsid w:val="005C11DE"/>
    <w:rsid w:val="005C28BC"/>
    <w:rsid w:val="005C4EA4"/>
    <w:rsid w:val="005D0287"/>
    <w:rsid w:val="005D0AD6"/>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B5F"/>
    <w:rsid w:val="00600FFC"/>
    <w:rsid w:val="006015A3"/>
    <w:rsid w:val="00601C31"/>
    <w:rsid w:val="00602BC6"/>
    <w:rsid w:val="00602EB0"/>
    <w:rsid w:val="00603311"/>
    <w:rsid w:val="00603C6D"/>
    <w:rsid w:val="006040ED"/>
    <w:rsid w:val="00604415"/>
    <w:rsid w:val="006079B9"/>
    <w:rsid w:val="00613A11"/>
    <w:rsid w:val="00613B72"/>
    <w:rsid w:val="0061706E"/>
    <w:rsid w:val="0062291A"/>
    <w:rsid w:val="00622AA8"/>
    <w:rsid w:val="00623B31"/>
    <w:rsid w:val="00623C7E"/>
    <w:rsid w:val="0062575D"/>
    <w:rsid w:val="0063164E"/>
    <w:rsid w:val="006335A2"/>
    <w:rsid w:val="00635FF5"/>
    <w:rsid w:val="00636375"/>
    <w:rsid w:val="0064166F"/>
    <w:rsid w:val="00643C4C"/>
    <w:rsid w:val="00644764"/>
    <w:rsid w:val="0064549C"/>
    <w:rsid w:val="0064601A"/>
    <w:rsid w:val="00647676"/>
    <w:rsid w:val="00647DB4"/>
    <w:rsid w:val="006502E3"/>
    <w:rsid w:val="00653E7B"/>
    <w:rsid w:val="00655823"/>
    <w:rsid w:val="00660F48"/>
    <w:rsid w:val="0066619C"/>
    <w:rsid w:val="006704F7"/>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688D"/>
    <w:rsid w:val="0069776E"/>
    <w:rsid w:val="006A2CBF"/>
    <w:rsid w:val="006A507F"/>
    <w:rsid w:val="006A53AA"/>
    <w:rsid w:val="006A7193"/>
    <w:rsid w:val="006B08B4"/>
    <w:rsid w:val="006B12C5"/>
    <w:rsid w:val="006B1F6D"/>
    <w:rsid w:val="006B2978"/>
    <w:rsid w:val="006B30D5"/>
    <w:rsid w:val="006B4323"/>
    <w:rsid w:val="006B6367"/>
    <w:rsid w:val="006C034B"/>
    <w:rsid w:val="006C2AB7"/>
    <w:rsid w:val="006C372B"/>
    <w:rsid w:val="006C38D6"/>
    <w:rsid w:val="006C4184"/>
    <w:rsid w:val="006C6C6F"/>
    <w:rsid w:val="006C74FB"/>
    <w:rsid w:val="006D416F"/>
    <w:rsid w:val="006E0C79"/>
    <w:rsid w:val="006E3384"/>
    <w:rsid w:val="006E4051"/>
    <w:rsid w:val="006E480B"/>
    <w:rsid w:val="006E5E68"/>
    <w:rsid w:val="006F0B18"/>
    <w:rsid w:val="006F1A82"/>
    <w:rsid w:val="006F2049"/>
    <w:rsid w:val="006F278A"/>
    <w:rsid w:val="006F33D4"/>
    <w:rsid w:val="006F3608"/>
    <w:rsid w:val="006F3ECA"/>
    <w:rsid w:val="006F7FE6"/>
    <w:rsid w:val="00701A0C"/>
    <w:rsid w:val="00702823"/>
    <w:rsid w:val="00702DFC"/>
    <w:rsid w:val="007037E4"/>
    <w:rsid w:val="0070556E"/>
    <w:rsid w:val="00705CE7"/>
    <w:rsid w:val="007067F4"/>
    <w:rsid w:val="0070704B"/>
    <w:rsid w:val="007103A2"/>
    <w:rsid w:val="00710B36"/>
    <w:rsid w:val="00712041"/>
    <w:rsid w:val="007169B6"/>
    <w:rsid w:val="00724574"/>
    <w:rsid w:val="00725236"/>
    <w:rsid w:val="0072768C"/>
    <w:rsid w:val="00731730"/>
    <w:rsid w:val="007323C8"/>
    <w:rsid w:val="007343EE"/>
    <w:rsid w:val="0073536D"/>
    <w:rsid w:val="007357A6"/>
    <w:rsid w:val="0074346F"/>
    <w:rsid w:val="007440DB"/>
    <w:rsid w:val="00745E22"/>
    <w:rsid w:val="0074648A"/>
    <w:rsid w:val="00747A9B"/>
    <w:rsid w:val="0075074A"/>
    <w:rsid w:val="007522D9"/>
    <w:rsid w:val="00752330"/>
    <w:rsid w:val="00753469"/>
    <w:rsid w:val="0075405B"/>
    <w:rsid w:val="00755D28"/>
    <w:rsid w:val="0075696F"/>
    <w:rsid w:val="00761767"/>
    <w:rsid w:val="007633AA"/>
    <w:rsid w:val="007652AE"/>
    <w:rsid w:val="00767D6E"/>
    <w:rsid w:val="00770580"/>
    <w:rsid w:val="00770D1C"/>
    <w:rsid w:val="007750EF"/>
    <w:rsid w:val="00776484"/>
    <w:rsid w:val="00777955"/>
    <w:rsid w:val="007806C4"/>
    <w:rsid w:val="00781E83"/>
    <w:rsid w:val="00781ECE"/>
    <w:rsid w:val="00783C9A"/>
    <w:rsid w:val="00783CDF"/>
    <w:rsid w:val="00785375"/>
    <w:rsid w:val="00786067"/>
    <w:rsid w:val="007906E2"/>
    <w:rsid w:val="00790FFD"/>
    <w:rsid w:val="0079170E"/>
    <w:rsid w:val="007956C2"/>
    <w:rsid w:val="007975D4"/>
    <w:rsid w:val="00797B31"/>
    <w:rsid w:val="007A311A"/>
    <w:rsid w:val="007A35F3"/>
    <w:rsid w:val="007A36DD"/>
    <w:rsid w:val="007A6307"/>
    <w:rsid w:val="007A69DC"/>
    <w:rsid w:val="007B14EF"/>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5E9A"/>
    <w:rsid w:val="007E6A0D"/>
    <w:rsid w:val="007F1E8F"/>
    <w:rsid w:val="007F4136"/>
    <w:rsid w:val="007F4F91"/>
    <w:rsid w:val="007F50E5"/>
    <w:rsid w:val="007F525C"/>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5B7"/>
    <w:rsid w:val="00830339"/>
    <w:rsid w:val="008322F7"/>
    <w:rsid w:val="008332DD"/>
    <w:rsid w:val="00833B68"/>
    <w:rsid w:val="00833EB5"/>
    <w:rsid w:val="00835E44"/>
    <w:rsid w:val="008372B3"/>
    <w:rsid w:val="008400B9"/>
    <w:rsid w:val="00842957"/>
    <w:rsid w:val="0084320B"/>
    <w:rsid w:val="008432FC"/>
    <w:rsid w:val="00843330"/>
    <w:rsid w:val="00844517"/>
    <w:rsid w:val="008446FE"/>
    <w:rsid w:val="00850769"/>
    <w:rsid w:val="0085533A"/>
    <w:rsid w:val="00856509"/>
    <w:rsid w:val="00860D72"/>
    <w:rsid w:val="00860E25"/>
    <w:rsid w:val="00860E50"/>
    <w:rsid w:val="00862B92"/>
    <w:rsid w:val="00864323"/>
    <w:rsid w:val="008646F5"/>
    <w:rsid w:val="008651A8"/>
    <w:rsid w:val="00870A39"/>
    <w:rsid w:val="00872D6D"/>
    <w:rsid w:val="0088522E"/>
    <w:rsid w:val="00885634"/>
    <w:rsid w:val="00885D0C"/>
    <w:rsid w:val="0089029A"/>
    <w:rsid w:val="00890713"/>
    <w:rsid w:val="00892423"/>
    <w:rsid w:val="00893282"/>
    <w:rsid w:val="008937F7"/>
    <w:rsid w:val="00893BD5"/>
    <w:rsid w:val="00893EE3"/>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6252"/>
    <w:rsid w:val="008C6E50"/>
    <w:rsid w:val="008D28DD"/>
    <w:rsid w:val="008D3976"/>
    <w:rsid w:val="008E2216"/>
    <w:rsid w:val="008E252E"/>
    <w:rsid w:val="008E31DD"/>
    <w:rsid w:val="008E339A"/>
    <w:rsid w:val="008E4779"/>
    <w:rsid w:val="008E4B91"/>
    <w:rsid w:val="008E4DDE"/>
    <w:rsid w:val="008E63CB"/>
    <w:rsid w:val="008E7B64"/>
    <w:rsid w:val="008F208D"/>
    <w:rsid w:val="008F4166"/>
    <w:rsid w:val="008F6889"/>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2513"/>
    <w:rsid w:val="00934BE6"/>
    <w:rsid w:val="00934EC4"/>
    <w:rsid w:val="00935355"/>
    <w:rsid w:val="0093560C"/>
    <w:rsid w:val="00936426"/>
    <w:rsid w:val="00936733"/>
    <w:rsid w:val="00937243"/>
    <w:rsid w:val="00944BB8"/>
    <w:rsid w:val="00946534"/>
    <w:rsid w:val="00947DB1"/>
    <w:rsid w:val="00952B02"/>
    <w:rsid w:val="00953B15"/>
    <w:rsid w:val="00953CFA"/>
    <w:rsid w:val="00953ED7"/>
    <w:rsid w:val="00963350"/>
    <w:rsid w:val="00963AB5"/>
    <w:rsid w:val="00964F65"/>
    <w:rsid w:val="00965891"/>
    <w:rsid w:val="00965C0E"/>
    <w:rsid w:val="00966E7C"/>
    <w:rsid w:val="00970E4E"/>
    <w:rsid w:val="00971D26"/>
    <w:rsid w:val="009725C8"/>
    <w:rsid w:val="00973503"/>
    <w:rsid w:val="0097445D"/>
    <w:rsid w:val="00974C42"/>
    <w:rsid w:val="00977548"/>
    <w:rsid w:val="0097770C"/>
    <w:rsid w:val="009805A1"/>
    <w:rsid w:val="00982D1E"/>
    <w:rsid w:val="00983748"/>
    <w:rsid w:val="00985758"/>
    <w:rsid w:val="00985C16"/>
    <w:rsid w:val="00985C5E"/>
    <w:rsid w:val="00987648"/>
    <w:rsid w:val="00990455"/>
    <w:rsid w:val="00991D31"/>
    <w:rsid w:val="00993CD6"/>
    <w:rsid w:val="009946C1"/>
    <w:rsid w:val="00995F40"/>
    <w:rsid w:val="00995FA5"/>
    <w:rsid w:val="00996D4F"/>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C3A"/>
    <w:rsid w:val="009C1700"/>
    <w:rsid w:val="009C3D1C"/>
    <w:rsid w:val="009C5A53"/>
    <w:rsid w:val="009C5B58"/>
    <w:rsid w:val="009D1323"/>
    <w:rsid w:val="009D24A5"/>
    <w:rsid w:val="009D2B42"/>
    <w:rsid w:val="009D30C5"/>
    <w:rsid w:val="009D3B55"/>
    <w:rsid w:val="009D42E8"/>
    <w:rsid w:val="009D54DD"/>
    <w:rsid w:val="009D7D1D"/>
    <w:rsid w:val="009E001E"/>
    <w:rsid w:val="009E04AB"/>
    <w:rsid w:val="009E2A57"/>
    <w:rsid w:val="009E4B4A"/>
    <w:rsid w:val="009F0111"/>
    <w:rsid w:val="009F1D45"/>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421E"/>
    <w:rsid w:val="00A15634"/>
    <w:rsid w:val="00A158E0"/>
    <w:rsid w:val="00A15C76"/>
    <w:rsid w:val="00A17B41"/>
    <w:rsid w:val="00A208D0"/>
    <w:rsid w:val="00A21872"/>
    <w:rsid w:val="00A22568"/>
    <w:rsid w:val="00A23750"/>
    <w:rsid w:val="00A24179"/>
    <w:rsid w:val="00A24957"/>
    <w:rsid w:val="00A26C29"/>
    <w:rsid w:val="00A302B8"/>
    <w:rsid w:val="00A31CEE"/>
    <w:rsid w:val="00A3472C"/>
    <w:rsid w:val="00A35FDD"/>
    <w:rsid w:val="00A36846"/>
    <w:rsid w:val="00A4176C"/>
    <w:rsid w:val="00A42300"/>
    <w:rsid w:val="00A42E31"/>
    <w:rsid w:val="00A43507"/>
    <w:rsid w:val="00A440D7"/>
    <w:rsid w:val="00A44366"/>
    <w:rsid w:val="00A47817"/>
    <w:rsid w:val="00A50B48"/>
    <w:rsid w:val="00A52995"/>
    <w:rsid w:val="00A5424F"/>
    <w:rsid w:val="00A56A82"/>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5A27"/>
    <w:rsid w:val="00AC6123"/>
    <w:rsid w:val="00AD16EF"/>
    <w:rsid w:val="00AD17F9"/>
    <w:rsid w:val="00AD261F"/>
    <w:rsid w:val="00AD323C"/>
    <w:rsid w:val="00AD3B9A"/>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12C4"/>
    <w:rsid w:val="00B14A7B"/>
    <w:rsid w:val="00B14F53"/>
    <w:rsid w:val="00B15E16"/>
    <w:rsid w:val="00B169C6"/>
    <w:rsid w:val="00B16F1E"/>
    <w:rsid w:val="00B1799D"/>
    <w:rsid w:val="00B17F4D"/>
    <w:rsid w:val="00B20A56"/>
    <w:rsid w:val="00B20E32"/>
    <w:rsid w:val="00B22E31"/>
    <w:rsid w:val="00B25C94"/>
    <w:rsid w:val="00B260EF"/>
    <w:rsid w:val="00B26538"/>
    <w:rsid w:val="00B32405"/>
    <w:rsid w:val="00B33409"/>
    <w:rsid w:val="00B35D10"/>
    <w:rsid w:val="00B3606E"/>
    <w:rsid w:val="00B377EE"/>
    <w:rsid w:val="00B37C34"/>
    <w:rsid w:val="00B41700"/>
    <w:rsid w:val="00B503A1"/>
    <w:rsid w:val="00B54539"/>
    <w:rsid w:val="00B546A7"/>
    <w:rsid w:val="00B63DCD"/>
    <w:rsid w:val="00B64FED"/>
    <w:rsid w:val="00B65E49"/>
    <w:rsid w:val="00B66C47"/>
    <w:rsid w:val="00B678AE"/>
    <w:rsid w:val="00B734A4"/>
    <w:rsid w:val="00B7373D"/>
    <w:rsid w:val="00B73B5E"/>
    <w:rsid w:val="00B7481B"/>
    <w:rsid w:val="00B7575B"/>
    <w:rsid w:val="00B75E88"/>
    <w:rsid w:val="00B76583"/>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893"/>
    <w:rsid w:val="00BB7F10"/>
    <w:rsid w:val="00BC30A4"/>
    <w:rsid w:val="00BC6253"/>
    <w:rsid w:val="00BD003A"/>
    <w:rsid w:val="00BD0A78"/>
    <w:rsid w:val="00BD2DA9"/>
    <w:rsid w:val="00BD2F15"/>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0466"/>
    <w:rsid w:val="00C01643"/>
    <w:rsid w:val="00C038A5"/>
    <w:rsid w:val="00C04333"/>
    <w:rsid w:val="00C05A89"/>
    <w:rsid w:val="00C144C8"/>
    <w:rsid w:val="00C15A9A"/>
    <w:rsid w:val="00C15AAA"/>
    <w:rsid w:val="00C16CFB"/>
    <w:rsid w:val="00C22309"/>
    <w:rsid w:val="00C2241D"/>
    <w:rsid w:val="00C229E0"/>
    <w:rsid w:val="00C2696C"/>
    <w:rsid w:val="00C27D3C"/>
    <w:rsid w:val="00C33A1C"/>
    <w:rsid w:val="00C34369"/>
    <w:rsid w:val="00C37220"/>
    <w:rsid w:val="00C378F1"/>
    <w:rsid w:val="00C37AB3"/>
    <w:rsid w:val="00C41CA4"/>
    <w:rsid w:val="00C43F2E"/>
    <w:rsid w:val="00C45538"/>
    <w:rsid w:val="00C45FC0"/>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4078"/>
    <w:rsid w:val="00C75E2D"/>
    <w:rsid w:val="00C7614F"/>
    <w:rsid w:val="00C76273"/>
    <w:rsid w:val="00C76560"/>
    <w:rsid w:val="00C76DE9"/>
    <w:rsid w:val="00C7749D"/>
    <w:rsid w:val="00C82CE3"/>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888"/>
    <w:rsid w:val="00CB0283"/>
    <w:rsid w:val="00CB0B83"/>
    <w:rsid w:val="00CB1C91"/>
    <w:rsid w:val="00CB3A7D"/>
    <w:rsid w:val="00CB4CD5"/>
    <w:rsid w:val="00CB6117"/>
    <w:rsid w:val="00CB630B"/>
    <w:rsid w:val="00CB6878"/>
    <w:rsid w:val="00CC26C6"/>
    <w:rsid w:val="00CC41EB"/>
    <w:rsid w:val="00CC6F25"/>
    <w:rsid w:val="00CC706E"/>
    <w:rsid w:val="00CD11E2"/>
    <w:rsid w:val="00CD3014"/>
    <w:rsid w:val="00CD3056"/>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799D"/>
    <w:rsid w:val="00D1089B"/>
    <w:rsid w:val="00D10B1E"/>
    <w:rsid w:val="00D126AA"/>
    <w:rsid w:val="00D13D16"/>
    <w:rsid w:val="00D15819"/>
    <w:rsid w:val="00D15B3C"/>
    <w:rsid w:val="00D16600"/>
    <w:rsid w:val="00D177CB"/>
    <w:rsid w:val="00D26305"/>
    <w:rsid w:val="00D312D4"/>
    <w:rsid w:val="00D32E5E"/>
    <w:rsid w:val="00D33A36"/>
    <w:rsid w:val="00D402FC"/>
    <w:rsid w:val="00D406B0"/>
    <w:rsid w:val="00D4227C"/>
    <w:rsid w:val="00D42BF0"/>
    <w:rsid w:val="00D42C68"/>
    <w:rsid w:val="00D434D2"/>
    <w:rsid w:val="00D43E2F"/>
    <w:rsid w:val="00D513DF"/>
    <w:rsid w:val="00D5298B"/>
    <w:rsid w:val="00D535DB"/>
    <w:rsid w:val="00D5377E"/>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000A"/>
    <w:rsid w:val="00D91A6A"/>
    <w:rsid w:val="00D93383"/>
    <w:rsid w:val="00D9393A"/>
    <w:rsid w:val="00D96D85"/>
    <w:rsid w:val="00D9715E"/>
    <w:rsid w:val="00D97A66"/>
    <w:rsid w:val="00DA1DAD"/>
    <w:rsid w:val="00DA32F2"/>
    <w:rsid w:val="00DA4490"/>
    <w:rsid w:val="00DA46BF"/>
    <w:rsid w:val="00DA726A"/>
    <w:rsid w:val="00DA764E"/>
    <w:rsid w:val="00DB00CB"/>
    <w:rsid w:val="00DB1E70"/>
    <w:rsid w:val="00DB3357"/>
    <w:rsid w:val="00DB4284"/>
    <w:rsid w:val="00DB7229"/>
    <w:rsid w:val="00DC014C"/>
    <w:rsid w:val="00DC0405"/>
    <w:rsid w:val="00DC091F"/>
    <w:rsid w:val="00DC1D93"/>
    <w:rsid w:val="00DC2094"/>
    <w:rsid w:val="00DC3ED6"/>
    <w:rsid w:val="00DC549D"/>
    <w:rsid w:val="00DC56E7"/>
    <w:rsid w:val="00DC77CA"/>
    <w:rsid w:val="00DD0735"/>
    <w:rsid w:val="00DD2B14"/>
    <w:rsid w:val="00DD473D"/>
    <w:rsid w:val="00DD531F"/>
    <w:rsid w:val="00DD6811"/>
    <w:rsid w:val="00DD7BD2"/>
    <w:rsid w:val="00DE24A1"/>
    <w:rsid w:val="00DE3816"/>
    <w:rsid w:val="00DE4389"/>
    <w:rsid w:val="00DF296A"/>
    <w:rsid w:val="00DF327C"/>
    <w:rsid w:val="00DF3B71"/>
    <w:rsid w:val="00DF47BE"/>
    <w:rsid w:val="00DF4B59"/>
    <w:rsid w:val="00DF5714"/>
    <w:rsid w:val="00DF681E"/>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23E58"/>
    <w:rsid w:val="00E24026"/>
    <w:rsid w:val="00E24C8A"/>
    <w:rsid w:val="00E27C39"/>
    <w:rsid w:val="00E33043"/>
    <w:rsid w:val="00E37886"/>
    <w:rsid w:val="00E37BD2"/>
    <w:rsid w:val="00E47905"/>
    <w:rsid w:val="00E4792B"/>
    <w:rsid w:val="00E52E9E"/>
    <w:rsid w:val="00E5304A"/>
    <w:rsid w:val="00E53644"/>
    <w:rsid w:val="00E5462B"/>
    <w:rsid w:val="00E55275"/>
    <w:rsid w:val="00E567CB"/>
    <w:rsid w:val="00E57110"/>
    <w:rsid w:val="00E577D3"/>
    <w:rsid w:val="00E60FC8"/>
    <w:rsid w:val="00E6437E"/>
    <w:rsid w:val="00E651A3"/>
    <w:rsid w:val="00E651DE"/>
    <w:rsid w:val="00E666C1"/>
    <w:rsid w:val="00E66C6F"/>
    <w:rsid w:val="00E702BA"/>
    <w:rsid w:val="00E70A5E"/>
    <w:rsid w:val="00E72307"/>
    <w:rsid w:val="00E72EB0"/>
    <w:rsid w:val="00E74B0A"/>
    <w:rsid w:val="00E76174"/>
    <w:rsid w:val="00E7627C"/>
    <w:rsid w:val="00E764C2"/>
    <w:rsid w:val="00E810FC"/>
    <w:rsid w:val="00E817A2"/>
    <w:rsid w:val="00E82487"/>
    <w:rsid w:val="00E82B03"/>
    <w:rsid w:val="00E84728"/>
    <w:rsid w:val="00E84CB8"/>
    <w:rsid w:val="00E84EE0"/>
    <w:rsid w:val="00E8610D"/>
    <w:rsid w:val="00E8692E"/>
    <w:rsid w:val="00E90C78"/>
    <w:rsid w:val="00E9147A"/>
    <w:rsid w:val="00E91C99"/>
    <w:rsid w:val="00E91E27"/>
    <w:rsid w:val="00E9281F"/>
    <w:rsid w:val="00E9440E"/>
    <w:rsid w:val="00E94945"/>
    <w:rsid w:val="00E94A60"/>
    <w:rsid w:val="00E95868"/>
    <w:rsid w:val="00E96583"/>
    <w:rsid w:val="00E97382"/>
    <w:rsid w:val="00E974A7"/>
    <w:rsid w:val="00E97567"/>
    <w:rsid w:val="00EA22D5"/>
    <w:rsid w:val="00EA33CB"/>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45C"/>
    <w:rsid w:val="00ED64F0"/>
    <w:rsid w:val="00ED678E"/>
    <w:rsid w:val="00ED72CE"/>
    <w:rsid w:val="00ED7A5F"/>
    <w:rsid w:val="00EE1CD9"/>
    <w:rsid w:val="00EE22FB"/>
    <w:rsid w:val="00EE435F"/>
    <w:rsid w:val="00EE777A"/>
    <w:rsid w:val="00EE7B54"/>
    <w:rsid w:val="00EF1239"/>
    <w:rsid w:val="00EF1FB2"/>
    <w:rsid w:val="00EF5035"/>
    <w:rsid w:val="00F00700"/>
    <w:rsid w:val="00F03E8D"/>
    <w:rsid w:val="00F049A0"/>
    <w:rsid w:val="00F0528A"/>
    <w:rsid w:val="00F062AF"/>
    <w:rsid w:val="00F06960"/>
    <w:rsid w:val="00F101F2"/>
    <w:rsid w:val="00F104FE"/>
    <w:rsid w:val="00F12CB3"/>
    <w:rsid w:val="00F12FF6"/>
    <w:rsid w:val="00F312EE"/>
    <w:rsid w:val="00F34491"/>
    <w:rsid w:val="00F37B3A"/>
    <w:rsid w:val="00F437F0"/>
    <w:rsid w:val="00F44D42"/>
    <w:rsid w:val="00F472CC"/>
    <w:rsid w:val="00F5252A"/>
    <w:rsid w:val="00F545F3"/>
    <w:rsid w:val="00F55025"/>
    <w:rsid w:val="00F56F34"/>
    <w:rsid w:val="00F57028"/>
    <w:rsid w:val="00F5769D"/>
    <w:rsid w:val="00F632BB"/>
    <w:rsid w:val="00F65107"/>
    <w:rsid w:val="00F651A0"/>
    <w:rsid w:val="00F6557A"/>
    <w:rsid w:val="00F6592D"/>
    <w:rsid w:val="00F742C9"/>
    <w:rsid w:val="00F75BFF"/>
    <w:rsid w:val="00F8193B"/>
    <w:rsid w:val="00F83188"/>
    <w:rsid w:val="00F837BB"/>
    <w:rsid w:val="00F83E3C"/>
    <w:rsid w:val="00F853BF"/>
    <w:rsid w:val="00F8597D"/>
    <w:rsid w:val="00F86020"/>
    <w:rsid w:val="00F92104"/>
    <w:rsid w:val="00F93DEC"/>
    <w:rsid w:val="00F97DA6"/>
    <w:rsid w:val="00FA01C6"/>
    <w:rsid w:val="00FA1735"/>
    <w:rsid w:val="00FA6BA4"/>
    <w:rsid w:val="00FA7063"/>
    <w:rsid w:val="00FA79B3"/>
    <w:rsid w:val="00FB4B87"/>
    <w:rsid w:val="00FC0700"/>
    <w:rsid w:val="00FC0B9A"/>
    <w:rsid w:val="00FC2F6E"/>
    <w:rsid w:val="00FC2FA5"/>
    <w:rsid w:val="00FC36DC"/>
    <w:rsid w:val="00FC4DB4"/>
    <w:rsid w:val="00FC611D"/>
    <w:rsid w:val="00FC7134"/>
    <w:rsid w:val="00FC7EAB"/>
    <w:rsid w:val="00FD02FB"/>
    <w:rsid w:val="00FD213A"/>
    <w:rsid w:val="00FD37B4"/>
    <w:rsid w:val="00FD3AB3"/>
    <w:rsid w:val="00FD3BC9"/>
    <w:rsid w:val="00FD5861"/>
    <w:rsid w:val="00FD5A33"/>
    <w:rsid w:val="00FD5F80"/>
    <w:rsid w:val="00FD6745"/>
    <w:rsid w:val="00FD6CC6"/>
    <w:rsid w:val="00FE0BEA"/>
    <w:rsid w:val="00FE1C93"/>
    <w:rsid w:val="00FF3905"/>
    <w:rsid w:val="00FF5608"/>
    <w:rsid w:val="00FF5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C3992-5A3B-4DEE-8335-5132DCC9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2014-04-11T10:49:00Z</cp:lastPrinted>
  <dcterms:created xsi:type="dcterms:W3CDTF">2014-04-11T11:31:00Z</dcterms:created>
  <dcterms:modified xsi:type="dcterms:W3CDTF">2014-04-11T11:31:00Z</dcterms:modified>
</cp:coreProperties>
</file>