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60" w:rsidRDefault="007A7A86" w:rsidP="00AE0BBB">
      <w:pPr>
        <w:spacing w:line="288" w:lineRule="auto"/>
        <w:ind w:right="-319"/>
        <w:jc w:val="center"/>
        <w:rPr>
          <w:rFonts w:ascii="Arial" w:hAnsi="Arial" w:cs="Arial"/>
          <w:b/>
          <w:sz w:val="20"/>
          <w:szCs w:val="20"/>
        </w:rPr>
      </w:pPr>
      <w:r>
        <w:rPr>
          <w:rFonts w:ascii="Arial" w:hAnsi="Arial" w:cs="Arial"/>
          <w:b/>
          <w:noProof/>
          <w:sz w:val="20"/>
          <w:szCs w:val="20"/>
        </w:rPr>
        <mc:AlternateContent>
          <mc:Choice Requires="wps">
            <w:drawing>
              <wp:anchor distT="0" distB="0" distL="114935" distR="114935" simplePos="0" relativeHeight="251657216" behindDoc="0" locked="0" layoutInCell="1" allowOverlap="1">
                <wp:simplePos x="0" y="0"/>
                <wp:positionH relativeFrom="column">
                  <wp:posOffset>1943100</wp:posOffset>
                </wp:positionH>
                <wp:positionV relativeFrom="paragraph">
                  <wp:posOffset>-114300</wp:posOffset>
                </wp:positionV>
                <wp:extent cx="3200400" cy="568960"/>
                <wp:effectExtent l="0" t="0" r="0" b="25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27" w:rsidRPr="009060B6" w:rsidRDefault="009060B6" w:rsidP="007750EF">
                            <w:pPr>
                              <w:pStyle w:val="Heading1"/>
                              <w:rPr>
                                <w:rFonts w:ascii="Times New Roman" w:hAnsi="Times New Roman"/>
                                <w:sz w:val="40"/>
                                <w:szCs w:val="40"/>
                              </w:rPr>
                            </w:pPr>
                            <w:r w:rsidRPr="009060B6">
                              <w:rPr>
                                <w:rFonts w:ascii="Times New Roman" w:hAnsi="Times New Roman"/>
                                <w:sz w:val="40"/>
                                <w:szCs w:val="40"/>
                              </w:rPr>
                              <w:t>Büyüme Değerlendirmesi</w:t>
                            </w:r>
                            <w:r w:rsidR="00CD6206">
                              <w:rPr>
                                <w:rFonts w:ascii="Times New Roman" w:hAnsi="Times New Roman"/>
                                <w:sz w:val="40"/>
                                <w:szCs w:val="40"/>
                              </w:rPr>
                              <w:t>: 2013</w:t>
                            </w:r>
                            <w:r>
                              <w:rPr>
                                <w:rFonts w:ascii="Times New Roman" w:hAnsi="Times New Roman"/>
                                <w:sz w:val="40"/>
                                <w:szCs w:val="40"/>
                              </w:rPr>
                              <w:t xml:space="preserve"> </w:t>
                            </w:r>
                            <w:r w:rsidR="00EE5804">
                              <w:rPr>
                                <w:rFonts w:ascii="Times New Roman" w:hAnsi="Times New Roman"/>
                                <w:sz w:val="40"/>
                                <w:szCs w:val="40"/>
                              </w:rPr>
                              <w:t xml:space="preserve">4. </w:t>
                            </w:r>
                            <w:r>
                              <w:rPr>
                                <w:rFonts w:ascii="Times New Roman" w:hAnsi="Times New Roman"/>
                                <w:sz w:val="40"/>
                                <w:szCs w:val="40"/>
                              </w:rPr>
                              <w:t>Çeyrek</w:t>
                            </w:r>
                          </w:p>
                          <w:p w:rsidR="00F66727" w:rsidRPr="00526178" w:rsidRDefault="00F66727" w:rsidP="007750EF">
                            <w:pPr>
                              <w:pStyle w:val="Heading2"/>
                              <w:rPr>
                                <w:b w:val="0"/>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3pt;margin-top:-9pt;width:252pt;height:4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9BiwIAAB0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" stroked="f">
                <v:fill opacity="0"/>
                <v:textbox inset="0,0,0,0">
                  <w:txbxContent>
                    <w:p w:rsidR="00F66727" w:rsidRPr="009060B6" w:rsidRDefault="009060B6" w:rsidP="007750EF">
                      <w:pPr>
                        <w:pStyle w:val="Heading1"/>
                        <w:rPr>
                          <w:rFonts w:ascii="Times New Roman" w:hAnsi="Times New Roman"/>
                          <w:sz w:val="40"/>
                          <w:szCs w:val="40"/>
                        </w:rPr>
                      </w:pPr>
                      <w:r w:rsidRPr="009060B6">
                        <w:rPr>
                          <w:rFonts w:ascii="Times New Roman" w:hAnsi="Times New Roman"/>
                          <w:sz w:val="40"/>
                          <w:szCs w:val="40"/>
                        </w:rPr>
                        <w:t>Büyüme Değerlendirmesi</w:t>
                      </w:r>
                      <w:r w:rsidR="00CD6206">
                        <w:rPr>
                          <w:rFonts w:ascii="Times New Roman" w:hAnsi="Times New Roman"/>
                          <w:sz w:val="40"/>
                          <w:szCs w:val="40"/>
                        </w:rPr>
                        <w:t>: 2013</w:t>
                      </w:r>
                      <w:r>
                        <w:rPr>
                          <w:rFonts w:ascii="Times New Roman" w:hAnsi="Times New Roman"/>
                          <w:sz w:val="40"/>
                          <w:szCs w:val="40"/>
                        </w:rPr>
                        <w:t xml:space="preserve"> </w:t>
                      </w:r>
                      <w:r w:rsidR="00EE5804">
                        <w:rPr>
                          <w:rFonts w:ascii="Times New Roman" w:hAnsi="Times New Roman"/>
                          <w:sz w:val="40"/>
                          <w:szCs w:val="40"/>
                        </w:rPr>
                        <w:t xml:space="preserve">4. </w:t>
                      </w:r>
                      <w:r>
                        <w:rPr>
                          <w:rFonts w:ascii="Times New Roman" w:hAnsi="Times New Roman"/>
                          <w:sz w:val="40"/>
                          <w:szCs w:val="40"/>
                        </w:rPr>
                        <w:t>Çeyrek</w:t>
                      </w:r>
                    </w:p>
                    <w:p w:rsidR="00F66727" w:rsidRPr="00526178" w:rsidRDefault="00F66727" w:rsidP="007750EF">
                      <w:pPr>
                        <w:pStyle w:val="Heading2"/>
                        <w:rPr>
                          <w:b w:val="0"/>
                          <w:i w:val="0"/>
                        </w:rPr>
                      </w:pPr>
                    </w:p>
                  </w:txbxContent>
                </v:textbox>
              </v:shape>
            </w:pict>
          </mc:Fallback>
        </mc:AlternateContent>
      </w:r>
      <w:r w:rsidR="00E10719">
        <w:rPr>
          <w:rFonts w:ascii="Arial" w:hAnsi="Arial" w:cs="Arial"/>
          <w:b/>
          <w:noProof/>
          <w:sz w:val="20"/>
          <w:szCs w:val="20"/>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1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Pr="0015266B" w:rsidRDefault="007A7A86" w:rsidP="00AE0BBB">
      <w:pPr>
        <w:spacing w:line="288" w:lineRule="auto"/>
        <w:ind w:right="-319"/>
        <w:jc w:val="center"/>
        <w:rPr>
          <w:rFonts w:ascii="Arial" w:hAnsi="Arial" w:cs="Arial"/>
          <w:b/>
          <w:sz w:val="20"/>
          <w:szCs w:val="20"/>
        </w:rPr>
      </w:pPr>
      <w:r>
        <w:rPr>
          <w:rFonts w:ascii="Arial" w:hAnsi="Arial" w:cs="Arial"/>
          <w:b/>
          <w:noProof/>
          <w:sz w:val="20"/>
          <w:szCs w:val="20"/>
        </w:rPr>
        <mc:AlternateContent>
          <mc:Choice Requires="wps">
            <w:drawing>
              <wp:anchor distT="0" distB="0" distL="114935" distR="114935" simplePos="0" relativeHeight="251658240" behindDoc="0" locked="0" layoutInCell="1" allowOverlap="1">
                <wp:simplePos x="0" y="0"/>
                <wp:positionH relativeFrom="column">
                  <wp:posOffset>5212715</wp:posOffset>
                </wp:positionH>
                <wp:positionV relativeFrom="paragraph">
                  <wp:posOffset>13970</wp:posOffset>
                </wp:positionV>
                <wp:extent cx="1711960" cy="454660"/>
                <wp:effectExtent l="2540" t="4445" r="0" b="762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27" w:rsidRDefault="00F66727" w:rsidP="007750EF">
                            <w:pPr>
                              <w:pStyle w:val="Heading3"/>
                              <w:rPr>
                                <w:color w:val="FFFFFF"/>
                                <w:sz w:val="22"/>
                                <w:szCs w:val="22"/>
                                <w:lang w:val="tr-TR"/>
                              </w:rPr>
                            </w:pPr>
                            <w:r>
                              <w:rPr>
                                <w:color w:val="FFFFFF"/>
                                <w:sz w:val="22"/>
                                <w:szCs w:val="22"/>
                              </w:rPr>
                              <w:t xml:space="preserve">           </w:t>
                            </w:r>
                            <w:r w:rsidR="00B010E1">
                              <w:rPr>
                                <w:color w:val="FFFFFF"/>
                                <w:sz w:val="22"/>
                                <w:szCs w:val="22"/>
                              </w:rPr>
                              <w:t>3</w:t>
                            </w:r>
                            <w:r w:rsidR="007E62B1">
                              <w:rPr>
                                <w:color w:val="FFFFFF"/>
                                <w:sz w:val="22"/>
                                <w:szCs w:val="22"/>
                              </w:rPr>
                              <w:t>1</w:t>
                            </w:r>
                            <w:r>
                              <w:rPr>
                                <w:color w:val="FFFFFF"/>
                                <w:sz w:val="22"/>
                                <w:szCs w:val="22"/>
                              </w:rPr>
                              <w:t>.</w:t>
                            </w:r>
                            <w:r w:rsidR="008C35D8">
                              <w:rPr>
                                <w:color w:val="FFFFFF"/>
                                <w:sz w:val="22"/>
                                <w:szCs w:val="22"/>
                              </w:rPr>
                              <w:t>0</w:t>
                            </w:r>
                            <w:r w:rsidR="00B010E1">
                              <w:rPr>
                                <w:color w:val="FFFFFF"/>
                                <w:sz w:val="22"/>
                                <w:szCs w:val="22"/>
                              </w:rPr>
                              <w:t>3</w:t>
                            </w:r>
                            <w:r>
                              <w:rPr>
                                <w:color w:val="FFFFFF"/>
                                <w:sz w:val="22"/>
                                <w:szCs w:val="22"/>
                              </w:rPr>
                              <w:t>.</w:t>
                            </w:r>
                            <w:r w:rsidR="008C35D8">
                              <w:rPr>
                                <w:color w:val="FFFFFF"/>
                                <w:sz w:val="22"/>
                                <w:szCs w:val="22"/>
                                <w:lang w:val="tr-TR"/>
                              </w:rPr>
                              <w:t>201</w:t>
                            </w:r>
                            <w:r w:rsidR="00C411C6">
                              <w:rPr>
                                <w:color w:val="FFFFFF"/>
                                <w:sz w:val="22"/>
                                <w:szCs w:val="22"/>
                                <w:lang w:val="tr-TR"/>
                              </w:rPr>
                              <w:t>4</w:t>
                            </w:r>
                          </w:p>
                          <w:p w:rsidR="00F66727" w:rsidRDefault="00F66727"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10.45pt;margin-top:1.1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" stroked="f">
                <v:fill opacity="0"/>
                <v:textbox inset="0,0,0,0">
                  <w:txbxContent>
                    <w:p w:rsidR="00F66727" w:rsidRDefault="00F66727" w:rsidP="007750EF">
                      <w:pPr>
                        <w:pStyle w:val="Heading3"/>
                        <w:rPr>
                          <w:color w:val="FFFFFF"/>
                          <w:sz w:val="22"/>
                          <w:szCs w:val="22"/>
                          <w:lang w:val="tr-TR"/>
                        </w:rPr>
                      </w:pPr>
                      <w:r>
                        <w:rPr>
                          <w:color w:val="FFFFFF"/>
                          <w:sz w:val="22"/>
                          <w:szCs w:val="22"/>
                        </w:rPr>
                        <w:t xml:space="preserve">           </w:t>
                      </w:r>
                      <w:r w:rsidR="00B010E1">
                        <w:rPr>
                          <w:color w:val="FFFFFF"/>
                          <w:sz w:val="22"/>
                          <w:szCs w:val="22"/>
                        </w:rPr>
                        <w:t>3</w:t>
                      </w:r>
                      <w:r w:rsidR="007E62B1">
                        <w:rPr>
                          <w:color w:val="FFFFFF"/>
                          <w:sz w:val="22"/>
                          <w:szCs w:val="22"/>
                        </w:rPr>
                        <w:t>1</w:t>
                      </w:r>
                      <w:r>
                        <w:rPr>
                          <w:color w:val="FFFFFF"/>
                          <w:sz w:val="22"/>
                          <w:szCs w:val="22"/>
                        </w:rPr>
                        <w:t>.</w:t>
                      </w:r>
                      <w:r w:rsidR="008C35D8">
                        <w:rPr>
                          <w:color w:val="FFFFFF"/>
                          <w:sz w:val="22"/>
                          <w:szCs w:val="22"/>
                        </w:rPr>
                        <w:t>0</w:t>
                      </w:r>
                      <w:r w:rsidR="00B010E1">
                        <w:rPr>
                          <w:color w:val="FFFFFF"/>
                          <w:sz w:val="22"/>
                          <w:szCs w:val="22"/>
                        </w:rPr>
                        <w:t>3</w:t>
                      </w:r>
                      <w:r>
                        <w:rPr>
                          <w:color w:val="FFFFFF"/>
                          <w:sz w:val="22"/>
                          <w:szCs w:val="22"/>
                        </w:rPr>
                        <w:t>.</w:t>
                      </w:r>
                      <w:r w:rsidR="008C35D8">
                        <w:rPr>
                          <w:color w:val="FFFFFF"/>
                          <w:sz w:val="22"/>
                          <w:szCs w:val="22"/>
                          <w:lang w:val="tr-TR"/>
                        </w:rPr>
                        <w:t>201</w:t>
                      </w:r>
                      <w:r w:rsidR="00C411C6">
                        <w:rPr>
                          <w:color w:val="FFFFFF"/>
                          <w:sz w:val="22"/>
                          <w:szCs w:val="22"/>
                          <w:lang w:val="tr-TR"/>
                        </w:rPr>
                        <w:t>4</w:t>
                      </w:r>
                    </w:p>
                    <w:p w:rsidR="00F66727" w:rsidRDefault="00F66727" w:rsidP="007750EF"/>
                  </w:txbxContent>
                </v:textbox>
              </v:shape>
            </w:pict>
          </mc:Fallback>
        </mc:AlternateContent>
      </w:r>
    </w:p>
    <w:p w:rsidR="007750EF" w:rsidRDefault="007750EF" w:rsidP="00C805B9">
      <w:pPr>
        <w:spacing w:line="288" w:lineRule="auto"/>
        <w:ind w:right="-319"/>
        <w:jc w:val="center"/>
        <w:outlineLvl w:val="0"/>
        <w:rPr>
          <w:rFonts w:ascii="Arial" w:hAnsi="Arial" w:cs="Arial"/>
          <w:b/>
          <w:sz w:val="28"/>
          <w:szCs w:val="28"/>
        </w:rPr>
      </w:pPr>
    </w:p>
    <w:p w:rsidR="007750EF" w:rsidRPr="005171AD" w:rsidRDefault="007750EF" w:rsidP="007750EF">
      <w:pPr>
        <w:spacing w:line="288" w:lineRule="auto"/>
        <w:ind w:right="-319"/>
        <w:outlineLvl w:val="0"/>
        <w:rPr>
          <w:rFonts w:ascii="Arial" w:hAnsi="Arial" w:cs="Arial"/>
          <w:b/>
          <w:sz w:val="28"/>
          <w:szCs w:val="28"/>
        </w:rPr>
      </w:pPr>
    </w:p>
    <w:p w:rsidR="00AE0BBB" w:rsidRDefault="00052C71" w:rsidP="00B00EBD">
      <w:pPr>
        <w:spacing w:line="288" w:lineRule="auto"/>
        <w:ind w:right="-319"/>
        <w:jc w:val="center"/>
        <w:outlineLvl w:val="0"/>
        <w:rPr>
          <w:rFonts w:ascii="Arial" w:hAnsi="Arial" w:cs="Arial"/>
          <w:b/>
          <w:color w:val="000000"/>
          <w:sz w:val="28"/>
          <w:szCs w:val="28"/>
        </w:rPr>
      </w:pPr>
      <w:r>
        <w:rPr>
          <w:rFonts w:ascii="Arial" w:hAnsi="Arial" w:cs="Arial"/>
          <w:b/>
          <w:color w:val="000000"/>
          <w:sz w:val="28"/>
          <w:szCs w:val="28"/>
        </w:rPr>
        <w:t xml:space="preserve">YATIRIMSIZ </w:t>
      </w:r>
      <w:r w:rsidR="005C0522">
        <w:rPr>
          <w:rFonts w:ascii="Arial" w:hAnsi="Arial" w:cs="Arial"/>
          <w:b/>
          <w:color w:val="000000"/>
          <w:sz w:val="28"/>
          <w:szCs w:val="28"/>
        </w:rPr>
        <w:t>BÜYÜ</w:t>
      </w:r>
      <w:r w:rsidR="00B207BA">
        <w:rPr>
          <w:rFonts w:ascii="Arial" w:hAnsi="Arial" w:cs="Arial"/>
          <w:b/>
          <w:color w:val="000000"/>
          <w:sz w:val="28"/>
          <w:szCs w:val="28"/>
        </w:rPr>
        <w:t>ME</w:t>
      </w:r>
    </w:p>
    <w:p w:rsidR="00AD49B2" w:rsidRDefault="00AD49B2" w:rsidP="00C805B9">
      <w:pPr>
        <w:spacing w:line="288" w:lineRule="auto"/>
        <w:ind w:right="-319"/>
        <w:jc w:val="center"/>
        <w:outlineLvl w:val="0"/>
        <w:rPr>
          <w:rFonts w:ascii="Arial" w:hAnsi="Arial" w:cs="Arial"/>
          <w:b/>
          <w:sz w:val="22"/>
          <w:szCs w:val="22"/>
        </w:rPr>
      </w:pPr>
    </w:p>
    <w:p w:rsidR="005C0522" w:rsidRDefault="005C0522" w:rsidP="00C805B9">
      <w:pPr>
        <w:spacing w:line="288" w:lineRule="auto"/>
        <w:ind w:right="-319"/>
        <w:jc w:val="center"/>
        <w:outlineLvl w:val="0"/>
        <w:rPr>
          <w:rFonts w:ascii="Arial" w:hAnsi="Arial" w:cs="Arial"/>
          <w:b/>
          <w:sz w:val="22"/>
          <w:szCs w:val="22"/>
        </w:rPr>
      </w:pPr>
    </w:p>
    <w:p w:rsidR="00AE0BBB" w:rsidRPr="007750EF" w:rsidRDefault="000C5C8B" w:rsidP="00C805B9">
      <w:pPr>
        <w:spacing w:line="288" w:lineRule="auto"/>
        <w:ind w:right="-319"/>
        <w:jc w:val="center"/>
        <w:outlineLvl w:val="0"/>
        <w:rPr>
          <w:rFonts w:ascii="Arial" w:hAnsi="Arial" w:cs="Arial"/>
          <w:b/>
          <w:sz w:val="22"/>
          <w:szCs w:val="22"/>
        </w:rPr>
      </w:pPr>
      <w:r>
        <w:rPr>
          <w:rFonts w:ascii="Arial" w:hAnsi="Arial" w:cs="Arial"/>
          <w:b/>
          <w:sz w:val="22"/>
          <w:szCs w:val="22"/>
        </w:rPr>
        <w:t xml:space="preserve">Seyfettin Gürsel*, </w:t>
      </w:r>
      <w:r w:rsidR="00AE0BBB" w:rsidRPr="007750EF">
        <w:rPr>
          <w:rFonts w:ascii="Arial" w:hAnsi="Arial" w:cs="Arial"/>
          <w:b/>
          <w:sz w:val="22"/>
          <w:szCs w:val="22"/>
        </w:rPr>
        <w:t>Zümrüt İmamoğlu</w:t>
      </w:r>
      <w:r w:rsidR="00AE0BBB" w:rsidRPr="007750EF">
        <w:rPr>
          <w:rFonts w:ascii="Arial" w:hAnsi="Arial" w:cs="Arial"/>
          <w:b/>
          <w:sz w:val="22"/>
          <w:szCs w:val="22"/>
          <w:vertAlign w:val="superscript"/>
        </w:rPr>
        <w:t>†</w:t>
      </w:r>
      <w:r>
        <w:rPr>
          <w:rFonts w:ascii="Arial" w:hAnsi="Arial" w:cs="Arial"/>
          <w:b/>
          <w:sz w:val="22"/>
          <w:szCs w:val="22"/>
        </w:rPr>
        <w:t xml:space="preserve">, </w:t>
      </w:r>
      <w:r w:rsidR="00AE0BBB" w:rsidRPr="007750EF">
        <w:rPr>
          <w:rFonts w:ascii="Arial" w:hAnsi="Arial" w:cs="Arial"/>
          <w:b/>
          <w:sz w:val="22"/>
          <w:szCs w:val="22"/>
        </w:rPr>
        <w:t xml:space="preserve">ve </w:t>
      </w:r>
      <w:r w:rsidR="00A75D44">
        <w:rPr>
          <w:rFonts w:ascii="Arial" w:hAnsi="Arial" w:cs="Arial"/>
          <w:b/>
          <w:sz w:val="22"/>
          <w:szCs w:val="22"/>
        </w:rPr>
        <w:t>Barış Soybilgen</w:t>
      </w:r>
      <w:r w:rsidR="00CA5BA6" w:rsidRPr="007750EF">
        <w:rPr>
          <w:rFonts w:ascii="Arial" w:hAnsi="Arial" w:cs="Arial"/>
          <w:b/>
          <w:sz w:val="22"/>
          <w:szCs w:val="22"/>
          <w:vertAlign w:val="superscript"/>
        </w:rPr>
        <w:t>‡</w:t>
      </w:r>
    </w:p>
    <w:p w:rsidR="00B00EBD" w:rsidRDefault="00B00EBD" w:rsidP="00AE0BBB">
      <w:pPr>
        <w:spacing w:line="288" w:lineRule="auto"/>
        <w:ind w:right="-318"/>
        <w:jc w:val="both"/>
        <w:rPr>
          <w:rFonts w:ascii="Arial" w:hAnsi="Arial" w:cs="Arial"/>
          <w:b/>
          <w:sz w:val="20"/>
          <w:szCs w:val="20"/>
        </w:rPr>
      </w:pPr>
    </w:p>
    <w:p w:rsidR="00AD49B2" w:rsidRDefault="00AD49B2" w:rsidP="00AE0BBB">
      <w:pPr>
        <w:spacing w:line="288" w:lineRule="auto"/>
        <w:ind w:right="-318"/>
        <w:jc w:val="both"/>
        <w:rPr>
          <w:rFonts w:ascii="Arial" w:hAnsi="Arial" w:cs="Arial"/>
          <w:b/>
          <w:sz w:val="20"/>
          <w:szCs w:val="20"/>
        </w:rPr>
      </w:pPr>
    </w:p>
    <w:p w:rsidR="00AD49B2" w:rsidRPr="0015266B" w:rsidRDefault="00AD49B2" w:rsidP="00AE0BBB">
      <w:pPr>
        <w:spacing w:line="288" w:lineRule="auto"/>
        <w:ind w:right="-318"/>
        <w:jc w:val="both"/>
        <w:rPr>
          <w:rFonts w:ascii="Arial" w:hAnsi="Arial" w:cs="Arial"/>
          <w:b/>
          <w:sz w:val="20"/>
          <w:szCs w:val="20"/>
        </w:rPr>
        <w:sectPr w:rsidR="00AD49B2" w:rsidRPr="0015266B" w:rsidSect="007750EF">
          <w:footerReference w:type="even" r:id="rId10"/>
          <w:footerReference w:type="default" r:id="rId11"/>
          <w:footnotePr>
            <w:numFmt w:val="chicago"/>
          </w:footnotePr>
          <w:pgSz w:w="11906" w:h="16838"/>
          <w:pgMar w:top="719" w:right="1417" w:bottom="1417" w:left="1417" w:header="708" w:footer="708" w:gutter="0"/>
          <w:cols w:space="709"/>
          <w:docGrid w:linePitch="360"/>
        </w:sectPr>
      </w:pPr>
    </w:p>
    <w:p w:rsidR="00B213B6" w:rsidRPr="00F428BE" w:rsidRDefault="00B213B6" w:rsidP="00337278">
      <w:pPr>
        <w:pStyle w:val="NormalWeb"/>
        <w:spacing w:before="0" w:beforeAutospacing="0" w:after="0" w:afterAutospacing="0"/>
        <w:jc w:val="center"/>
        <w:rPr>
          <w:rFonts w:ascii="Arial" w:hAnsi="Arial" w:cs="Arial"/>
          <w:b/>
          <w:sz w:val="22"/>
          <w:szCs w:val="22"/>
        </w:rPr>
      </w:pPr>
      <w:r w:rsidRPr="00F428BE">
        <w:rPr>
          <w:rFonts w:ascii="Arial" w:hAnsi="Arial" w:cs="Arial"/>
          <w:b/>
          <w:sz w:val="22"/>
          <w:szCs w:val="22"/>
        </w:rPr>
        <w:lastRenderedPageBreak/>
        <w:t>Yönetici Özeti</w:t>
      </w:r>
    </w:p>
    <w:p w:rsidR="00F428BE" w:rsidRDefault="00F428BE" w:rsidP="00110EBA">
      <w:pPr>
        <w:pStyle w:val="NormalWeb"/>
        <w:spacing w:before="0" w:beforeAutospacing="0" w:after="0" w:afterAutospacing="0"/>
        <w:jc w:val="both"/>
        <w:rPr>
          <w:sz w:val="22"/>
          <w:szCs w:val="22"/>
        </w:rPr>
      </w:pPr>
    </w:p>
    <w:p w:rsidR="006955AD" w:rsidRDefault="006955AD" w:rsidP="006955AD">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 xml:space="preserve">e </w:t>
      </w:r>
      <w:r w:rsidR="009920D0">
        <w:rPr>
          <w:rFonts w:ascii="Arial" w:hAnsi="Arial" w:cs="Arial"/>
          <w:sz w:val="20"/>
          <w:szCs w:val="20"/>
        </w:rPr>
        <w:t>Türkiye ekonomisi 2013 yılında yüzde 4 oranında büyüdü. Dördüncü çeyrekte Gayri safi Yurtiçi Hasıla (GSYH) bir önceki çeyreğe göre yüzde 0,5 artarken, geçtiğimiz yılın aynı çeyreğine göre ise artış yüzde 4,4 oldu.</w:t>
      </w:r>
      <w:r w:rsidRPr="00DD51D1">
        <w:rPr>
          <w:rFonts w:ascii="Arial" w:hAnsi="Arial" w:cs="Arial"/>
          <w:sz w:val="20"/>
          <w:szCs w:val="20"/>
        </w:rPr>
        <w:t xml:space="preserve"> </w:t>
      </w:r>
      <w:r>
        <w:rPr>
          <w:rFonts w:ascii="Arial" w:hAnsi="Arial" w:cs="Arial"/>
          <w:sz w:val="20"/>
          <w:szCs w:val="20"/>
        </w:rPr>
        <w:t>Ekonomi 2012 yılında</w:t>
      </w:r>
      <w:r w:rsidR="00B207BA">
        <w:rPr>
          <w:rFonts w:ascii="Arial" w:hAnsi="Arial" w:cs="Arial"/>
          <w:sz w:val="20"/>
          <w:szCs w:val="20"/>
        </w:rPr>
        <w:t xml:space="preserve"> ise</w:t>
      </w:r>
      <w:r>
        <w:rPr>
          <w:rFonts w:ascii="Arial" w:hAnsi="Arial" w:cs="Arial"/>
          <w:sz w:val="20"/>
          <w:szCs w:val="20"/>
        </w:rPr>
        <w:t xml:space="preserve"> yüzde 2,1 büyümüştü. </w:t>
      </w:r>
      <w:r w:rsidR="009920D0">
        <w:rPr>
          <w:rFonts w:ascii="Arial" w:hAnsi="Arial" w:cs="Arial"/>
          <w:sz w:val="20"/>
          <w:szCs w:val="20"/>
        </w:rPr>
        <w:t>Ekonomi yılın ilk yarısında önemli ölçüde canlanırken,</w:t>
      </w:r>
      <w:r>
        <w:rPr>
          <w:rFonts w:ascii="Arial" w:hAnsi="Arial" w:cs="Arial"/>
          <w:sz w:val="20"/>
          <w:szCs w:val="20"/>
        </w:rPr>
        <w:t xml:space="preserve"> ikinci </w:t>
      </w:r>
      <w:r w:rsidR="009920D0">
        <w:rPr>
          <w:rFonts w:ascii="Arial" w:hAnsi="Arial" w:cs="Arial"/>
          <w:sz w:val="20"/>
          <w:szCs w:val="20"/>
        </w:rPr>
        <w:t>yarıda büyüme hızı kademeli olarak yavaşladı</w:t>
      </w:r>
      <w:r>
        <w:rPr>
          <w:rFonts w:ascii="Arial" w:hAnsi="Arial" w:cs="Arial"/>
          <w:sz w:val="20"/>
          <w:szCs w:val="20"/>
        </w:rPr>
        <w:t xml:space="preserve">. </w:t>
      </w:r>
    </w:p>
    <w:p w:rsidR="006955AD" w:rsidRPr="00DD51D1" w:rsidRDefault="006955AD" w:rsidP="006955AD">
      <w:pPr>
        <w:pStyle w:val="NormalWeb"/>
        <w:spacing w:before="0" w:beforeAutospacing="0" w:after="0" w:afterAutospacing="0" w:line="300" w:lineRule="atLeast"/>
        <w:jc w:val="both"/>
        <w:rPr>
          <w:rFonts w:ascii="Arial" w:hAnsi="Arial" w:cs="Arial"/>
          <w:sz w:val="20"/>
          <w:szCs w:val="20"/>
        </w:rPr>
      </w:pPr>
    </w:p>
    <w:p w:rsidR="006955AD" w:rsidRDefault="006955AD" w:rsidP="006955AD">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2013'te büyümenin ana kaynağı tüketim ve kamu harcamaları oldu. Özel yatırım ve ihracat büyümeye yok denilecek kadar az</w:t>
      </w:r>
      <w:r w:rsidR="00354A04">
        <w:rPr>
          <w:rFonts w:ascii="Arial" w:hAnsi="Arial" w:cs="Arial"/>
          <w:sz w:val="20"/>
          <w:szCs w:val="20"/>
        </w:rPr>
        <w:t xml:space="preserve"> katkı yaparken</w:t>
      </w:r>
      <w:r>
        <w:rPr>
          <w:rFonts w:ascii="Arial" w:hAnsi="Arial" w:cs="Arial"/>
          <w:sz w:val="20"/>
          <w:szCs w:val="20"/>
        </w:rPr>
        <w:t>,</w:t>
      </w:r>
      <w:r w:rsidR="00354A04">
        <w:rPr>
          <w:rFonts w:ascii="Arial" w:hAnsi="Arial" w:cs="Arial"/>
          <w:sz w:val="20"/>
          <w:szCs w:val="20"/>
        </w:rPr>
        <w:t xml:space="preserve"> s</w:t>
      </w:r>
      <w:r>
        <w:rPr>
          <w:rFonts w:ascii="Arial" w:hAnsi="Arial" w:cs="Arial"/>
          <w:sz w:val="20"/>
          <w:szCs w:val="20"/>
        </w:rPr>
        <w:t>tok</w:t>
      </w:r>
      <w:r w:rsidR="00354A04">
        <w:rPr>
          <w:rFonts w:ascii="Arial" w:hAnsi="Arial" w:cs="Arial"/>
          <w:sz w:val="20"/>
          <w:szCs w:val="20"/>
        </w:rPr>
        <w:t xml:space="preserve"> değişimleri büyümeye pozitif katkı yaptı</w:t>
      </w:r>
      <w:r>
        <w:rPr>
          <w:rFonts w:ascii="Arial" w:hAnsi="Arial" w:cs="Arial"/>
          <w:sz w:val="20"/>
          <w:szCs w:val="20"/>
        </w:rPr>
        <w:t>.</w:t>
      </w:r>
      <w:r w:rsidR="00354A04">
        <w:rPr>
          <w:rFonts w:ascii="Arial" w:hAnsi="Arial" w:cs="Arial"/>
          <w:sz w:val="20"/>
          <w:szCs w:val="20"/>
        </w:rPr>
        <w:t xml:space="preserve"> İthalat katkısı ise negatif oldu.</w:t>
      </w:r>
      <w:r w:rsidR="00603643">
        <w:rPr>
          <w:rFonts w:ascii="Arial" w:hAnsi="Arial" w:cs="Arial"/>
          <w:sz w:val="20"/>
          <w:szCs w:val="20"/>
        </w:rPr>
        <w:t xml:space="preserve"> Böylece</w:t>
      </w:r>
      <w:r>
        <w:rPr>
          <w:rFonts w:ascii="Arial" w:hAnsi="Arial" w:cs="Arial"/>
          <w:sz w:val="20"/>
          <w:szCs w:val="20"/>
        </w:rPr>
        <w:t xml:space="preserve"> </w:t>
      </w:r>
      <w:r w:rsidR="00603643">
        <w:rPr>
          <w:rFonts w:ascii="Arial" w:hAnsi="Arial" w:cs="Arial"/>
          <w:sz w:val="20"/>
          <w:szCs w:val="20"/>
        </w:rPr>
        <w:t>g</w:t>
      </w:r>
      <w:r>
        <w:rPr>
          <w:rFonts w:ascii="Arial" w:hAnsi="Arial" w:cs="Arial"/>
          <w:sz w:val="20"/>
          <w:szCs w:val="20"/>
        </w:rPr>
        <w:t xml:space="preserve">eçen yıl </w:t>
      </w:r>
      <w:r w:rsidR="00603643">
        <w:rPr>
          <w:rFonts w:ascii="Arial" w:hAnsi="Arial" w:cs="Arial"/>
          <w:sz w:val="20"/>
          <w:szCs w:val="20"/>
        </w:rPr>
        <w:t>azalan</w:t>
      </w:r>
      <w:r>
        <w:rPr>
          <w:rFonts w:ascii="Arial" w:hAnsi="Arial" w:cs="Arial"/>
          <w:sz w:val="20"/>
          <w:szCs w:val="20"/>
        </w:rPr>
        <w:t xml:space="preserve"> iç talep </w:t>
      </w:r>
      <w:r w:rsidR="00354A04">
        <w:rPr>
          <w:rFonts w:ascii="Arial" w:hAnsi="Arial" w:cs="Arial"/>
          <w:sz w:val="20"/>
          <w:szCs w:val="20"/>
        </w:rPr>
        <w:t xml:space="preserve">2013'de </w:t>
      </w:r>
      <w:r>
        <w:rPr>
          <w:rFonts w:ascii="Arial" w:hAnsi="Arial" w:cs="Arial"/>
          <w:sz w:val="20"/>
          <w:szCs w:val="20"/>
        </w:rPr>
        <w:t xml:space="preserve">tekrar artışa geçti. Yine geçen yıl pozitif olan net ihracat katkısı ise altın ithalatının etkisiyle negatife döndü. Cari açığın GSYH'a oranı yüzde 6,2'den 7,9'a çıktı. Altın hariç cari açık ise geçen seneki oran olan yüzde 6,9'dan 6,5'e düştü. </w:t>
      </w:r>
    </w:p>
    <w:p w:rsidR="006955AD" w:rsidRDefault="006955AD" w:rsidP="006955AD">
      <w:pPr>
        <w:pStyle w:val="NormalWeb"/>
        <w:spacing w:before="0" w:beforeAutospacing="0" w:after="0" w:afterAutospacing="0" w:line="300" w:lineRule="atLeast"/>
        <w:jc w:val="both"/>
        <w:rPr>
          <w:rFonts w:ascii="Arial" w:hAnsi="Arial" w:cs="Arial"/>
          <w:sz w:val="20"/>
          <w:szCs w:val="20"/>
        </w:rPr>
      </w:pPr>
    </w:p>
    <w:p w:rsidR="006955AD" w:rsidRDefault="006955AD" w:rsidP="006955AD">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Betam</w:t>
      </w:r>
      <w:r>
        <w:rPr>
          <w:rFonts w:ascii="Arial" w:hAnsi="Arial" w:cs="Arial"/>
          <w:sz w:val="20"/>
          <w:szCs w:val="20"/>
        </w:rPr>
        <w:t>’ın büyümeyi alt kalemlerine ayırarak yaptığı mevsimsellikten arındırma analizine göre son çeyrek büyümesinin ana kaynağı, yılın geri kalanında olduğu gibi, yine tüketim ve kamu harcamaları oldu.</w:t>
      </w:r>
      <w:r w:rsidR="00603643">
        <w:rPr>
          <w:rFonts w:ascii="Arial" w:hAnsi="Arial" w:cs="Arial"/>
          <w:sz w:val="20"/>
          <w:szCs w:val="20"/>
        </w:rPr>
        <w:t xml:space="preserve"> Yatırım ve</w:t>
      </w:r>
      <w:r>
        <w:rPr>
          <w:rFonts w:ascii="Arial" w:hAnsi="Arial" w:cs="Arial"/>
          <w:sz w:val="20"/>
          <w:szCs w:val="20"/>
        </w:rPr>
        <w:t xml:space="preserve"> </w:t>
      </w:r>
      <w:r w:rsidR="00603643">
        <w:rPr>
          <w:rFonts w:ascii="Arial" w:hAnsi="Arial" w:cs="Arial"/>
          <w:sz w:val="20"/>
          <w:szCs w:val="20"/>
        </w:rPr>
        <w:t>i</w:t>
      </w:r>
      <w:r>
        <w:rPr>
          <w:rFonts w:ascii="Arial" w:hAnsi="Arial" w:cs="Arial"/>
          <w:sz w:val="20"/>
          <w:szCs w:val="20"/>
        </w:rPr>
        <w:t xml:space="preserve">hracat katkısının ise </w:t>
      </w:r>
      <w:r w:rsidR="00603643">
        <w:rPr>
          <w:rFonts w:ascii="Arial" w:hAnsi="Arial" w:cs="Arial"/>
          <w:sz w:val="20"/>
          <w:szCs w:val="20"/>
        </w:rPr>
        <w:t xml:space="preserve">bir miktar </w:t>
      </w:r>
      <w:r>
        <w:rPr>
          <w:rFonts w:ascii="Arial" w:hAnsi="Arial" w:cs="Arial"/>
          <w:sz w:val="20"/>
          <w:szCs w:val="20"/>
        </w:rPr>
        <w:t>arttığı görüldü.</w:t>
      </w:r>
    </w:p>
    <w:p w:rsidR="006955AD" w:rsidRDefault="006955AD" w:rsidP="006955AD">
      <w:pPr>
        <w:pStyle w:val="NormalWeb"/>
        <w:spacing w:before="0" w:beforeAutospacing="0" w:after="0" w:afterAutospacing="0" w:line="300" w:lineRule="atLeast"/>
        <w:jc w:val="both"/>
        <w:rPr>
          <w:rFonts w:ascii="Arial" w:hAnsi="Arial" w:cs="Arial"/>
          <w:sz w:val="20"/>
          <w:szCs w:val="20"/>
        </w:rPr>
      </w:pPr>
    </w:p>
    <w:p w:rsidR="00C23A83" w:rsidRDefault="00C23A83" w:rsidP="00110EBA">
      <w:pPr>
        <w:pStyle w:val="NormalWeb"/>
        <w:spacing w:before="0" w:beforeAutospacing="0" w:after="0" w:afterAutospacing="0"/>
        <w:jc w:val="both"/>
        <w:rPr>
          <w:sz w:val="22"/>
          <w:szCs w:val="22"/>
        </w:rPr>
      </w:pPr>
    </w:p>
    <w:p w:rsidR="00A75D44" w:rsidRDefault="00A75D44" w:rsidP="00110EBA">
      <w:pPr>
        <w:pStyle w:val="NormalWeb"/>
        <w:spacing w:before="0" w:beforeAutospacing="0" w:after="0" w:afterAutospacing="0"/>
        <w:jc w:val="both"/>
        <w:rPr>
          <w:sz w:val="22"/>
          <w:szCs w:val="22"/>
        </w:rPr>
      </w:pPr>
    </w:p>
    <w:p w:rsidR="009575C3" w:rsidRPr="00C335E9" w:rsidRDefault="007A7A86" w:rsidP="009575C3">
      <w:pPr>
        <w:pStyle w:val="NormalWeb"/>
        <w:spacing w:before="0" w:beforeAutospacing="0" w:after="0" w:afterAutospacing="0"/>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46355</wp:posOffset>
                </wp:positionV>
                <wp:extent cx="2971800" cy="0"/>
                <wp:effectExtent l="8255" t="8255" r="10795" b="1079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jaXrjCoio1M6G5OhZvZitpt8dUrpqiTrwSPH1YuBeFoqZvLkSNs7AA/v+s2YQQ45exzqd&#10;G9sFSKgAOkc5Lnc5+NkjCoeTxVM2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"/>
            </w:pict>
          </mc:Fallback>
        </mc:AlternateContent>
      </w:r>
    </w:p>
    <w:p w:rsidR="009575C3" w:rsidRPr="007041DF" w:rsidRDefault="009575C3" w:rsidP="009575C3">
      <w:pPr>
        <w:pStyle w:val="NormalWeb"/>
        <w:spacing w:before="0" w:beforeAutospacing="0" w:after="0" w:afterAutospacing="0"/>
        <w:jc w:val="both"/>
        <w:rPr>
          <w:sz w:val="16"/>
          <w:szCs w:val="16"/>
        </w:rPr>
      </w:pPr>
      <w:r w:rsidRPr="009377F5">
        <w:rPr>
          <w:sz w:val="20"/>
          <w:szCs w:val="20"/>
        </w:rPr>
        <w:t xml:space="preserve">* </w:t>
      </w:r>
      <w:r w:rsidRPr="007041DF">
        <w:rPr>
          <w:rFonts w:ascii="Arial" w:hAnsi="Arial" w:cs="Arial"/>
          <w:sz w:val="16"/>
          <w:szCs w:val="16"/>
        </w:rPr>
        <w:t>Prof. Dr. Seyfettin Gürsel, Betam, Direktör</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rPr>
        <w:t xml:space="preserve">  Seyfettin.gursel@bahcesehir.edu.tr</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vertAlign w:val="superscript"/>
        </w:rPr>
        <w:t xml:space="preserve">† </w:t>
      </w:r>
      <w:r w:rsidRPr="007041DF">
        <w:rPr>
          <w:rFonts w:ascii="Arial" w:hAnsi="Arial" w:cs="Arial"/>
          <w:sz w:val="16"/>
          <w:szCs w:val="16"/>
        </w:rPr>
        <w:t>Dr. Zümrüt İmamoğlu, Betam, Uzman Araştırmacı.</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rPr>
        <w:t xml:space="preserve">  </w:t>
      </w:r>
      <w:smartTag w:uri="urn:schemas-microsoft-com:office:smarttags" w:element="PersonName">
        <w:r w:rsidRPr="007041DF">
          <w:rPr>
            <w:rFonts w:ascii="Arial" w:hAnsi="Arial" w:cs="Arial"/>
            <w:sz w:val="16"/>
            <w:szCs w:val="16"/>
          </w:rPr>
          <w:t>zumrut.imamoglu@bahcesehir.edu.tr</w:t>
        </w:r>
      </w:smartTag>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vertAlign w:val="superscript"/>
        </w:rPr>
        <w:t xml:space="preserve">‡ </w:t>
      </w:r>
      <w:r w:rsidR="00A75D44">
        <w:rPr>
          <w:rFonts w:ascii="Arial" w:hAnsi="Arial" w:cs="Arial"/>
          <w:sz w:val="16"/>
          <w:szCs w:val="16"/>
        </w:rPr>
        <w:t>Barış Soybilgen</w:t>
      </w:r>
      <w:r w:rsidRPr="007041DF">
        <w:rPr>
          <w:rFonts w:ascii="Arial" w:hAnsi="Arial" w:cs="Arial"/>
          <w:sz w:val="16"/>
          <w:szCs w:val="16"/>
        </w:rPr>
        <w:t xml:space="preserve"> , Betam, Araştırma Görevlisi</w:t>
      </w:r>
    </w:p>
    <w:p w:rsidR="009575C3" w:rsidRPr="007041DF" w:rsidRDefault="00A75D44" w:rsidP="009575C3">
      <w:pPr>
        <w:spacing w:line="288" w:lineRule="auto"/>
        <w:ind w:right="-318"/>
        <w:jc w:val="both"/>
        <w:rPr>
          <w:rFonts w:ascii="Arial" w:hAnsi="Arial" w:cs="Arial"/>
          <w:b/>
          <w:sz w:val="16"/>
          <w:szCs w:val="16"/>
        </w:rPr>
      </w:pPr>
      <w:r>
        <w:rPr>
          <w:rFonts w:ascii="Arial" w:hAnsi="Arial" w:cs="Arial"/>
          <w:sz w:val="16"/>
          <w:szCs w:val="16"/>
        </w:rPr>
        <w:t xml:space="preserve">  baris.soybilgen</w:t>
      </w:r>
      <w:r w:rsidR="009575C3" w:rsidRPr="007041DF">
        <w:rPr>
          <w:rFonts w:ascii="Arial" w:hAnsi="Arial" w:cs="Arial"/>
          <w:sz w:val="16"/>
          <w:szCs w:val="16"/>
        </w:rPr>
        <w:t>@bahcesehir.edu.tr</w:t>
      </w:r>
    </w:p>
    <w:p w:rsidR="00A75D44" w:rsidRDefault="00A75D44" w:rsidP="00C335E9">
      <w:pPr>
        <w:spacing w:line="288" w:lineRule="auto"/>
        <w:ind w:right="77"/>
        <w:jc w:val="both"/>
        <w:rPr>
          <w:rFonts w:ascii="Arial" w:hAnsi="Arial" w:cs="Arial"/>
          <w:b/>
          <w:sz w:val="20"/>
          <w:szCs w:val="20"/>
        </w:rPr>
      </w:pPr>
    </w:p>
    <w:p w:rsidR="00A75D44" w:rsidRDefault="00A75D44" w:rsidP="00C335E9">
      <w:pPr>
        <w:spacing w:line="288" w:lineRule="auto"/>
        <w:ind w:right="77"/>
        <w:jc w:val="both"/>
        <w:rPr>
          <w:rFonts w:ascii="Arial" w:hAnsi="Arial" w:cs="Arial"/>
          <w:b/>
          <w:sz w:val="20"/>
          <w:szCs w:val="20"/>
        </w:rPr>
      </w:pPr>
    </w:p>
    <w:p w:rsidR="00C335E9" w:rsidRPr="00F428BE" w:rsidRDefault="00C335E9" w:rsidP="00C335E9">
      <w:pPr>
        <w:spacing w:line="288" w:lineRule="auto"/>
        <w:ind w:right="77"/>
        <w:jc w:val="both"/>
        <w:rPr>
          <w:rFonts w:ascii="Arial" w:hAnsi="Arial" w:cs="Arial"/>
          <w:b/>
          <w:sz w:val="20"/>
          <w:szCs w:val="20"/>
        </w:rPr>
      </w:pPr>
      <w:r w:rsidRPr="00F428BE">
        <w:rPr>
          <w:rFonts w:ascii="Arial" w:hAnsi="Arial" w:cs="Arial"/>
          <w:b/>
          <w:sz w:val="20"/>
          <w:szCs w:val="20"/>
        </w:rPr>
        <w:t xml:space="preserve">Şekil 1: GSYH alt kalemlerinin </w:t>
      </w:r>
      <w:r w:rsidR="00A75D44">
        <w:rPr>
          <w:rFonts w:ascii="Arial" w:hAnsi="Arial" w:cs="Arial"/>
          <w:b/>
          <w:sz w:val="20"/>
          <w:szCs w:val="20"/>
        </w:rPr>
        <w:t>yıllık (201</w:t>
      </w:r>
      <w:r w:rsidR="00EE5804">
        <w:rPr>
          <w:rFonts w:ascii="Arial" w:hAnsi="Arial" w:cs="Arial"/>
          <w:b/>
          <w:sz w:val="20"/>
          <w:szCs w:val="20"/>
        </w:rPr>
        <w:t>2</w:t>
      </w:r>
      <w:r w:rsidR="00A75D44">
        <w:rPr>
          <w:rFonts w:ascii="Arial" w:hAnsi="Arial" w:cs="Arial"/>
          <w:b/>
          <w:sz w:val="20"/>
          <w:szCs w:val="20"/>
        </w:rPr>
        <w:t xml:space="preserve"> yılından 201</w:t>
      </w:r>
      <w:r w:rsidR="00EE5804">
        <w:rPr>
          <w:rFonts w:ascii="Arial" w:hAnsi="Arial" w:cs="Arial"/>
          <w:b/>
          <w:sz w:val="20"/>
          <w:szCs w:val="20"/>
        </w:rPr>
        <w:t>3</w:t>
      </w:r>
      <w:r w:rsidR="00A75D44">
        <w:rPr>
          <w:rFonts w:ascii="Arial" w:hAnsi="Arial" w:cs="Arial"/>
          <w:b/>
          <w:sz w:val="20"/>
          <w:szCs w:val="20"/>
        </w:rPr>
        <w:t xml:space="preserve"> yılına)</w:t>
      </w:r>
      <w:r w:rsidR="007868A5">
        <w:rPr>
          <w:rFonts w:ascii="Arial" w:hAnsi="Arial" w:cs="Arial"/>
          <w:b/>
          <w:sz w:val="20"/>
          <w:szCs w:val="20"/>
        </w:rPr>
        <w:t xml:space="preserve"> </w:t>
      </w:r>
      <w:r w:rsidRPr="00F428BE">
        <w:rPr>
          <w:rFonts w:ascii="Arial" w:hAnsi="Arial" w:cs="Arial"/>
          <w:b/>
          <w:sz w:val="20"/>
          <w:szCs w:val="20"/>
        </w:rPr>
        <w:t>değişim</w:t>
      </w:r>
      <w:r w:rsidR="007868A5">
        <w:rPr>
          <w:rFonts w:ascii="Arial" w:hAnsi="Arial" w:cs="Arial"/>
          <w:b/>
          <w:sz w:val="20"/>
          <w:szCs w:val="20"/>
        </w:rPr>
        <w:t>ler</w:t>
      </w:r>
      <w:r w:rsidRPr="00F428BE">
        <w:rPr>
          <w:rFonts w:ascii="Arial" w:hAnsi="Arial" w:cs="Arial"/>
          <w:b/>
          <w:sz w:val="20"/>
          <w:szCs w:val="20"/>
        </w:rPr>
        <w:t>i</w:t>
      </w:r>
    </w:p>
    <w:p w:rsidR="00C335E9" w:rsidRPr="00A75D44" w:rsidRDefault="009920D0" w:rsidP="00C335E9">
      <w:pPr>
        <w:spacing w:line="288" w:lineRule="auto"/>
        <w:ind w:right="77"/>
        <w:jc w:val="both"/>
        <w:rPr>
          <w:rFonts w:ascii="Arial" w:hAnsi="Arial" w:cs="Arial"/>
          <w:sz w:val="20"/>
          <w:szCs w:val="20"/>
        </w:rPr>
      </w:pPr>
      <w:r w:rsidRPr="009920D0">
        <w:rPr>
          <w:noProof/>
          <w:szCs w:val="20"/>
        </w:rPr>
        <w:drawing>
          <wp:inline distT="0" distB="0" distL="0" distR="0">
            <wp:extent cx="3020695" cy="1903637"/>
            <wp:effectExtent l="19050" t="0" r="825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020695" cy="1903637"/>
                    </a:xfrm>
                    <a:prstGeom prst="rect">
                      <a:avLst/>
                    </a:prstGeom>
                    <a:noFill/>
                    <a:ln w="9525">
                      <a:noFill/>
                      <a:miter lim="800000"/>
                      <a:headEnd/>
                      <a:tailEnd/>
                    </a:ln>
                  </pic:spPr>
                </pic:pic>
              </a:graphicData>
            </a:graphic>
          </wp:inline>
        </w:drawing>
      </w:r>
    </w:p>
    <w:p w:rsidR="00C335E9" w:rsidRPr="005B3336" w:rsidRDefault="0024217A" w:rsidP="00C335E9">
      <w:pPr>
        <w:spacing w:line="288" w:lineRule="auto"/>
        <w:ind w:right="77"/>
        <w:jc w:val="both"/>
        <w:rPr>
          <w:rFonts w:ascii="Arial" w:hAnsi="Arial" w:cs="Arial"/>
          <w:sz w:val="16"/>
          <w:szCs w:val="16"/>
        </w:rPr>
      </w:pPr>
      <w:r>
        <w:rPr>
          <w:rFonts w:ascii="Arial" w:hAnsi="Arial" w:cs="Arial"/>
          <w:sz w:val="16"/>
          <w:szCs w:val="16"/>
        </w:rPr>
        <w:t>Kaynak : TÜİK.</w:t>
      </w:r>
    </w:p>
    <w:p w:rsidR="00726749" w:rsidRDefault="00726749" w:rsidP="00726749">
      <w:pPr>
        <w:spacing w:line="288" w:lineRule="auto"/>
        <w:ind w:right="77"/>
        <w:jc w:val="both"/>
        <w:rPr>
          <w:rFonts w:ascii="Arial" w:hAnsi="Arial" w:cs="Arial"/>
          <w:b/>
          <w:sz w:val="20"/>
          <w:szCs w:val="20"/>
        </w:rPr>
      </w:pPr>
    </w:p>
    <w:p w:rsidR="005C0522" w:rsidRDefault="005C0522" w:rsidP="00726749">
      <w:pPr>
        <w:spacing w:line="288" w:lineRule="auto"/>
        <w:ind w:right="77"/>
        <w:jc w:val="both"/>
        <w:rPr>
          <w:rFonts w:ascii="Arial" w:hAnsi="Arial" w:cs="Arial"/>
          <w:b/>
          <w:sz w:val="20"/>
          <w:szCs w:val="20"/>
        </w:rPr>
      </w:pPr>
    </w:p>
    <w:p w:rsidR="00726749" w:rsidRPr="00700658" w:rsidRDefault="00726749" w:rsidP="00726749">
      <w:pPr>
        <w:spacing w:line="288" w:lineRule="auto"/>
        <w:ind w:right="77"/>
        <w:jc w:val="both"/>
        <w:rPr>
          <w:rFonts w:ascii="Arial" w:hAnsi="Arial" w:cs="Arial"/>
          <w:b/>
          <w:sz w:val="20"/>
          <w:szCs w:val="20"/>
        </w:rPr>
      </w:pPr>
      <w:r>
        <w:rPr>
          <w:rFonts w:ascii="Arial" w:hAnsi="Arial" w:cs="Arial"/>
          <w:b/>
          <w:sz w:val="20"/>
          <w:szCs w:val="20"/>
        </w:rPr>
        <w:t>Şekil 2</w:t>
      </w:r>
      <w:r w:rsidRPr="00700658">
        <w:rPr>
          <w:rFonts w:ascii="Arial" w:hAnsi="Arial" w:cs="Arial"/>
          <w:b/>
          <w:sz w:val="20"/>
          <w:szCs w:val="20"/>
        </w:rPr>
        <w:t xml:space="preserve">: </w:t>
      </w:r>
      <w:r>
        <w:rPr>
          <w:rFonts w:ascii="Arial" w:hAnsi="Arial" w:cs="Arial"/>
          <w:b/>
          <w:sz w:val="20"/>
          <w:szCs w:val="20"/>
        </w:rPr>
        <w:t>Alt k</w:t>
      </w:r>
      <w:r w:rsidRPr="00700658">
        <w:rPr>
          <w:rFonts w:ascii="Arial" w:hAnsi="Arial" w:cs="Arial"/>
          <w:b/>
          <w:sz w:val="20"/>
          <w:szCs w:val="20"/>
        </w:rPr>
        <w:t>alemlerine</w:t>
      </w:r>
      <w:r>
        <w:rPr>
          <w:rFonts w:ascii="Arial" w:hAnsi="Arial" w:cs="Arial"/>
          <w:b/>
          <w:sz w:val="20"/>
          <w:szCs w:val="20"/>
        </w:rPr>
        <w:t xml:space="preserve"> göre </w:t>
      </w:r>
      <w:r w:rsidR="00A75D44">
        <w:rPr>
          <w:rFonts w:ascii="Arial" w:hAnsi="Arial" w:cs="Arial"/>
          <w:b/>
          <w:sz w:val="20"/>
          <w:szCs w:val="20"/>
        </w:rPr>
        <w:t>201</w:t>
      </w:r>
      <w:r w:rsidR="00EE5804">
        <w:rPr>
          <w:rFonts w:ascii="Arial" w:hAnsi="Arial" w:cs="Arial"/>
          <w:b/>
          <w:sz w:val="20"/>
          <w:szCs w:val="20"/>
        </w:rPr>
        <w:t>3</w:t>
      </w:r>
      <w:r w:rsidR="007868A5">
        <w:rPr>
          <w:rFonts w:ascii="Arial" w:hAnsi="Arial" w:cs="Arial"/>
          <w:b/>
          <w:sz w:val="20"/>
          <w:szCs w:val="20"/>
        </w:rPr>
        <w:t xml:space="preserve"> yılı büyümesine katkılar</w:t>
      </w:r>
    </w:p>
    <w:p w:rsidR="00726749" w:rsidRPr="00A75D44" w:rsidRDefault="009920D0" w:rsidP="00726749">
      <w:pPr>
        <w:spacing w:line="288" w:lineRule="auto"/>
        <w:ind w:right="77"/>
        <w:jc w:val="both"/>
        <w:rPr>
          <w:rFonts w:ascii="Arial" w:hAnsi="Arial" w:cs="Arial"/>
          <w:sz w:val="20"/>
          <w:szCs w:val="20"/>
        </w:rPr>
      </w:pPr>
      <w:r w:rsidRPr="009920D0">
        <w:rPr>
          <w:noProof/>
          <w:szCs w:val="20"/>
        </w:rPr>
        <w:drawing>
          <wp:inline distT="0" distB="0" distL="0" distR="0">
            <wp:extent cx="3020695" cy="2108776"/>
            <wp:effectExtent l="19050" t="0" r="825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020695" cy="2108776"/>
                    </a:xfrm>
                    <a:prstGeom prst="rect">
                      <a:avLst/>
                    </a:prstGeom>
                    <a:noFill/>
                    <a:ln w="9525">
                      <a:noFill/>
                      <a:miter lim="800000"/>
                      <a:headEnd/>
                      <a:tailEnd/>
                    </a:ln>
                  </pic:spPr>
                </pic:pic>
              </a:graphicData>
            </a:graphic>
          </wp:inline>
        </w:drawing>
      </w:r>
    </w:p>
    <w:p w:rsidR="00C402A3" w:rsidRPr="005B3336" w:rsidRDefault="0024217A" w:rsidP="00633C51">
      <w:pPr>
        <w:spacing w:line="288" w:lineRule="auto"/>
        <w:ind w:right="77"/>
        <w:jc w:val="both"/>
        <w:rPr>
          <w:rFonts w:ascii="Arial" w:hAnsi="Arial" w:cs="Arial"/>
          <w:sz w:val="16"/>
          <w:szCs w:val="16"/>
        </w:rPr>
      </w:pPr>
      <w:r>
        <w:rPr>
          <w:rFonts w:ascii="Arial" w:hAnsi="Arial" w:cs="Arial"/>
          <w:sz w:val="16"/>
          <w:szCs w:val="16"/>
        </w:rPr>
        <w:t>Kaynak : TÜİK.</w:t>
      </w:r>
    </w:p>
    <w:p w:rsidR="00E333BE" w:rsidRDefault="00E333BE" w:rsidP="009575C3">
      <w:pPr>
        <w:pStyle w:val="NormalWeb"/>
        <w:spacing w:before="0" w:beforeAutospacing="0" w:after="0" w:afterAutospacing="0"/>
        <w:jc w:val="both"/>
        <w:rPr>
          <w:b/>
          <w:sz w:val="22"/>
          <w:szCs w:val="22"/>
        </w:rPr>
      </w:pPr>
    </w:p>
    <w:p w:rsidR="007F4650" w:rsidRDefault="007F4650" w:rsidP="009575C3">
      <w:pPr>
        <w:pStyle w:val="NormalWeb"/>
        <w:spacing w:before="0" w:beforeAutospacing="0" w:after="0" w:afterAutospacing="0"/>
        <w:jc w:val="both"/>
        <w:rPr>
          <w:b/>
          <w:sz w:val="22"/>
          <w:szCs w:val="22"/>
        </w:rPr>
      </w:pPr>
    </w:p>
    <w:p w:rsidR="00B207BA" w:rsidRDefault="00B207BA" w:rsidP="00B207BA">
      <w:pPr>
        <w:pStyle w:val="NormalWeb"/>
        <w:spacing w:before="0" w:beforeAutospacing="0" w:after="0" w:afterAutospacing="0" w:line="300" w:lineRule="atLeast"/>
        <w:jc w:val="center"/>
        <w:rPr>
          <w:rFonts w:ascii="Arial" w:hAnsi="Arial" w:cs="Arial"/>
          <w:b/>
          <w:sz w:val="20"/>
          <w:szCs w:val="20"/>
        </w:rPr>
      </w:pPr>
    </w:p>
    <w:p w:rsidR="00B207BA" w:rsidRDefault="00B207BA" w:rsidP="00B207BA">
      <w:pPr>
        <w:pStyle w:val="NormalWeb"/>
        <w:spacing w:before="0" w:beforeAutospacing="0" w:after="0" w:afterAutospacing="0" w:line="300" w:lineRule="atLeast"/>
        <w:jc w:val="center"/>
        <w:rPr>
          <w:rFonts w:ascii="Arial" w:hAnsi="Arial" w:cs="Arial"/>
          <w:b/>
          <w:sz w:val="20"/>
          <w:szCs w:val="20"/>
        </w:rPr>
      </w:pPr>
    </w:p>
    <w:p w:rsidR="00B207BA" w:rsidRDefault="00B207BA" w:rsidP="00B207BA">
      <w:pPr>
        <w:pStyle w:val="NormalWeb"/>
        <w:spacing w:before="0" w:beforeAutospacing="0" w:after="0" w:afterAutospacing="0" w:line="300" w:lineRule="atLeast"/>
        <w:jc w:val="center"/>
        <w:rPr>
          <w:rFonts w:ascii="Arial" w:hAnsi="Arial" w:cs="Arial"/>
          <w:b/>
          <w:sz w:val="20"/>
          <w:szCs w:val="20"/>
        </w:rPr>
      </w:pPr>
    </w:p>
    <w:p w:rsidR="009575C3" w:rsidRPr="00B207BA" w:rsidRDefault="0072762E" w:rsidP="00B207BA">
      <w:pPr>
        <w:pStyle w:val="NormalWeb"/>
        <w:spacing w:before="0" w:beforeAutospacing="0" w:after="0" w:afterAutospacing="0" w:line="300" w:lineRule="atLeast"/>
        <w:jc w:val="center"/>
        <w:rPr>
          <w:rFonts w:ascii="Arial" w:hAnsi="Arial" w:cs="Arial"/>
          <w:b/>
          <w:sz w:val="20"/>
          <w:szCs w:val="20"/>
        </w:rPr>
      </w:pPr>
      <w:r w:rsidRPr="00B207BA">
        <w:rPr>
          <w:rFonts w:ascii="Arial" w:hAnsi="Arial" w:cs="Arial"/>
          <w:b/>
          <w:sz w:val="20"/>
          <w:szCs w:val="20"/>
        </w:rPr>
        <w:lastRenderedPageBreak/>
        <w:t>İç talep tüketim ve kamu harcamalarıyla arttı</w:t>
      </w:r>
    </w:p>
    <w:p w:rsidR="009575C3" w:rsidRPr="00B207BA" w:rsidRDefault="009575C3" w:rsidP="00B207BA">
      <w:pPr>
        <w:pStyle w:val="NormalWeb"/>
        <w:spacing w:before="0" w:beforeAutospacing="0" w:after="0" w:afterAutospacing="0" w:line="300" w:lineRule="atLeast"/>
        <w:rPr>
          <w:rFonts w:ascii="Arial" w:hAnsi="Arial" w:cs="Arial"/>
          <w:sz w:val="20"/>
          <w:szCs w:val="20"/>
        </w:rPr>
      </w:pPr>
    </w:p>
    <w:p w:rsidR="0072762E" w:rsidRPr="00B207BA" w:rsidRDefault="00BB00EA"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201</w:t>
      </w:r>
      <w:r w:rsidR="0072762E" w:rsidRPr="00B207BA">
        <w:rPr>
          <w:rFonts w:ascii="Arial" w:hAnsi="Arial" w:cs="Arial"/>
          <w:sz w:val="20"/>
          <w:szCs w:val="20"/>
        </w:rPr>
        <w:t>2</w:t>
      </w:r>
      <w:r w:rsidRPr="00B207BA">
        <w:rPr>
          <w:rFonts w:ascii="Arial" w:hAnsi="Arial" w:cs="Arial"/>
          <w:sz w:val="20"/>
          <w:szCs w:val="20"/>
        </w:rPr>
        <w:t xml:space="preserve"> yılında </w:t>
      </w:r>
      <w:r w:rsidR="0072762E" w:rsidRPr="00B207BA">
        <w:rPr>
          <w:rFonts w:ascii="Arial" w:hAnsi="Arial" w:cs="Arial"/>
          <w:sz w:val="20"/>
          <w:szCs w:val="20"/>
        </w:rPr>
        <w:t>soğuyan iç talep, 2013 yılında canlandı. Yılın ilk yarısında para politikasının gevşetil</w:t>
      </w:r>
      <w:r w:rsidR="00901601" w:rsidRPr="00B207BA">
        <w:rPr>
          <w:rFonts w:ascii="Arial" w:hAnsi="Arial" w:cs="Arial"/>
          <w:sz w:val="20"/>
          <w:szCs w:val="20"/>
        </w:rPr>
        <w:t>mesi,</w:t>
      </w:r>
      <w:r w:rsidR="0072762E" w:rsidRPr="00B207BA">
        <w:rPr>
          <w:rFonts w:ascii="Arial" w:hAnsi="Arial" w:cs="Arial"/>
          <w:sz w:val="20"/>
          <w:szCs w:val="20"/>
        </w:rPr>
        <w:t xml:space="preserve"> faizlerin daha önce görülmemiş oranlara düşmesi ve </w:t>
      </w:r>
      <w:r w:rsidR="00603643" w:rsidRPr="00B207BA">
        <w:rPr>
          <w:rFonts w:ascii="Arial" w:hAnsi="Arial" w:cs="Arial"/>
          <w:sz w:val="20"/>
          <w:szCs w:val="20"/>
        </w:rPr>
        <w:t>Mayıs sonuna kadar olan dönemde</w:t>
      </w:r>
      <w:r w:rsidR="0072762E" w:rsidRPr="00B207BA">
        <w:rPr>
          <w:rFonts w:ascii="Arial" w:hAnsi="Arial" w:cs="Arial"/>
          <w:sz w:val="20"/>
          <w:szCs w:val="20"/>
        </w:rPr>
        <w:t xml:space="preserve"> hızlanan sermaye girişleri</w:t>
      </w:r>
      <w:r w:rsidR="00603643" w:rsidRPr="00B207BA">
        <w:rPr>
          <w:rFonts w:ascii="Arial" w:hAnsi="Arial" w:cs="Arial"/>
          <w:sz w:val="20"/>
          <w:szCs w:val="20"/>
        </w:rPr>
        <w:t xml:space="preserve"> büyümeyi olumlu etkiledi. İ</w:t>
      </w:r>
      <w:r w:rsidR="0072762E" w:rsidRPr="00B207BA">
        <w:rPr>
          <w:rFonts w:ascii="Arial" w:hAnsi="Arial" w:cs="Arial"/>
          <w:sz w:val="20"/>
          <w:szCs w:val="20"/>
        </w:rPr>
        <w:t>lk iki çeyrekte</w:t>
      </w:r>
      <w:r w:rsidR="00901601" w:rsidRPr="00B207BA">
        <w:rPr>
          <w:rFonts w:ascii="Arial" w:hAnsi="Arial" w:cs="Arial"/>
          <w:sz w:val="20"/>
          <w:szCs w:val="20"/>
        </w:rPr>
        <w:t xml:space="preserve"> ekonomide</w:t>
      </w:r>
      <w:r w:rsidR="0072762E" w:rsidRPr="00B207BA">
        <w:rPr>
          <w:rFonts w:ascii="Arial" w:hAnsi="Arial" w:cs="Arial"/>
          <w:sz w:val="20"/>
          <w:szCs w:val="20"/>
        </w:rPr>
        <w:t xml:space="preserve"> </w:t>
      </w:r>
      <w:r w:rsidR="00603643" w:rsidRPr="00B207BA">
        <w:rPr>
          <w:rFonts w:ascii="Arial" w:hAnsi="Arial" w:cs="Arial"/>
          <w:sz w:val="20"/>
          <w:szCs w:val="20"/>
        </w:rPr>
        <w:t>çeyreklik büyüme oranları sırasıyla</w:t>
      </w:r>
      <w:r w:rsidR="0072762E" w:rsidRPr="00B207BA">
        <w:rPr>
          <w:rFonts w:ascii="Arial" w:hAnsi="Arial" w:cs="Arial"/>
          <w:sz w:val="20"/>
          <w:szCs w:val="20"/>
        </w:rPr>
        <w:t xml:space="preserve"> </w:t>
      </w:r>
      <w:r w:rsidR="00C67C65" w:rsidRPr="00B207BA">
        <w:rPr>
          <w:rFonts w:ascii="Arial" w:hAnsi="Arial" w:cs="Arial"/>
          <w:sz w:val="20"/>
          <w:szCs w:val="20"/>
        </w:rPr>
        <w:t xml:space="preserve">yüzde 1,4 ve 2,0 </w:t>
      </w:r>
      <w:r w:rsidR="00603643" w:rsidRPr="00B207BA">
        <w:rPr>
          <w:rFonts w:ascii="Arial" w:hAnsi="Arial" w:cs="Arial"/>
          <w:sz w:val="20"/>
          <w:szCs w:val="20"/>
        </w:rPr>
        <w:t>olarak gerçekleşti</w:t>
      </w:r>
      <w:r w:rsidR="00C67C65" w:rsidRPr="00B207BA">
        <w:rPr>
          <w:rFonts w:ascii="Arial" w:hAnsi="Arial" w:cs="Arial"/>
          <w:sz w:val="20"/>
          <w:szCs w:val="20"/>
        </w:rPr>
        <w:t>. Üçüncü ve dördüncü çeyreklerde ise çeyreklik büyüme</w:t>
      </w:r>
      <w:r w:rsidR="0072762E" w:rsidRPr="00B207BA">
        <w:rPr>
          <w:rFonts w:ascii="Arial" w:hAnsi="Arial" w:cs="Arial"/>
          <w:sz w:val="20"/>
          <w:szCs w:val="20"/>
        </w:rPr>
        <w:t xml:space="preserve"> </w:t>
      </w:r>
      <w:r w:rsidR="00C67C65" w:rsidRPr="00B207BA">
        <w:rPr>
          <w:rFonts w:ascii="Arial" w:hAnsi="Arial" w:cs="Arial"/>
          <w:sz w:val="20"/>
          <w:szCs w:val="20"/>
        </w:rPr>
        <w:t>hızı y</w:t>
      </w:r>
      <w:r w:rsidR="00615FF6" w:rsidRPr="00B207BA">
        <w:rPr>
          <w:rFonts w:ascii="Arial" w:hAnsi="Arial" w:cs="Arial"/>
          <w:sz w:val="20"/>
          <w:szCs w:val="20"/>
        </w:rPr>
        <w:t>üzde 0,8 ve 0,5</w:t>
      </w:r>
      <w:r w:rsidR="00901601" w:rsidRPr="00B207BA">
        <w:rPr>
          <w:rFonts w:ascii="Arial" w:hAnsi="Arial" w:cs="Arial"/>
          <w:sz w:val="20"/>
          <w:szCs w:val="20"/>
        </w:rPr>
        <w:t>' e düştü. Böylece büyüme yılın ikinci yarısında</w:t>
      </w:r>
      <w:r w:rsidR="00C67C65" w:rsidRPr="00B207BA">
        <w:rPr>
          <w:rFonts w:ascii="Arial" w:hAnsi="Arial" w:cs="Arial"/>
          <w:sz w:val="20"/>
          <w:szCs w:val="20"/>
        </w:rPr>
        <w:t xml:space="preserve"> kademeli</w:t>
      </w:r>
      <w:r w:rsidR="00615FF6" w:rsidRPr="00B207BA">
        <w:rPr>
          <w:rFonts w:ascii="Arial" w:hAnsi="Arial" w:cs="Arial"/>
          <w:sz w:val="20"/>
          <w:szCs w:val="20"/>
        </w:rPr>
        <w:t xml:space="preserve"> bir</w:t>
      </w:r>
      <w:r w:rsidR="00C67C65" w:rsidRPr="00B207BA">
        <w:rPr>
          <w:rFonts w:ascii="Arial" w:hAnsi="Arial" w:cs="Arial"/>
          <w:sz w:val="20"/>
          <w:szCs w:val="20"/>
        </w:rPr>
        <w:t xml:space="preserve"> yavaşla</w:t>
      </w:r>
      <w:r w:rsidR="00615FF6" w:rsidRPr="00B207BA">
        <w:rPr>
          <w:rFonts w:ascii="Arial" w:hAnsi="Arial" w:cs="Arial"/>
          <w:sz w:val="20"/>
          <w:szCs w:val="20"/>
        </w:rPr>
        <w:t>ma gösterdi</w:t>
      </w:r>
      <w:r w:rsidR="00901601" w:rsidRPr="00B207BA">
        <w:rPr>
          <w:rFonts w:ascii="Arial" w:hAnsi="Arial" w:cs="Arial"/>
          <w:sz w:val="20"/>
          <w:szCs w:val="20"/>
        </w:rPr>
        <w:t xml:space="preserve"> </w:t>
      </w:r>
      <w:r w:rsidR="007A7A86">
        <w:rPr>
          <w:rFonts w:ascii="Arial" w:hAnsi="Arial" w:cs="Arial"/>
          <w:sz w:val="20"/>
          <w:szCs w:val="20"/>
        </w:rPr>
        <w:t>(Şekil 4</w:t>
      </w:r>
      <w:r w:rsidR="00901601" w:rsidRPr="00B207BA">
        <w:rPr>
          <w:rFonts w:ascii="Arial" w:hAnsi="Arial" w:cs="Arial"/>
          <w:sz w:val="20"/>
          <w:szCs w:val="20"/>
        </w:rPr>
        <w:t>)</w:t>
      </w:r>
      <w:r w:rsidR="00C67C65" w:rsidRPr="00B207BA">
        <w:rPr>
          <w:rFonts w:ascii="Arial" w:hAnsi="Arial" w:cs="Arial"/>
          <w:sz w:val="20"/>
          <w:szCs w:val="20"/>
        </w:rPr>
        <w:t>. Yılın ikinci yarısındaki yavaşlamada Amerikan Merkez Bankası (FED)'</w:t>
      </w:r>
      <w:r w:rsidR="00197E61" w:rsidRPr="00B207BA">
        <w:rPr>
          <w:rFonts w:ascii="Arial" w:hAnsi="Arial" w:cs="Arial"/>
          <w:sz w:val="20"/>
          <w:szCs w:val="20"/>
        </w:rPr>
        <w:t>i</w:t>
      </w:r>
      <w:r w:rsidR="00C67C65" w:rsidRPr="00B207BA">
        <w:rPr>
          <w:rFonts w:ascii="Arial" w:hAnsi="Arial" w:cs="Arial"/>
          <w:sz w:val="20"/>
          <w:szCs w:val="20"/>
        </w:rPr>
        <w:t>n politikaları sonucu yükselen faiz ve yavaşlayan sermaye akımlarının etkisi oldu.</w:t>
      </w:r>
    </w:p>
    <w:p w:rsidR="0072762E" w:rsidRPr="00B207BA" w:rsidRDefault="0072762E" w:rsidP="00B207BA">
      <w:pPr>
        <w:pStyle w:val="NormalWeb"/>
        <w:spacing w:before="0" w:beforeAutospacing="0" w:after="0" w:afterAutospacing="0" w:line="300" w:lineRule="atLeast"/>
        <w:jc w:val="both"/>
        <w:rPr>
          <w:rFonts w:ascii="Arial" w:hAnsi="Arial" w:cs="Arial"/>
          <w:sz w:val="20"/>
          <w:szCs w:val="20"/>
        </w:rPr>
      </w:pPr>
    </w:p>
    <w:p w:rsidR="009D2F64" w:rsidRPr="00B207BA" w:rsidRDefault="0055334A"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Yıl boyunca hükümet kamu</w:t>
      </w:r>
      <w:r w:rsidR="00197E61" w:rsidRPr="00B207BA">
        <w:rPr>
          <w:rFonts w:ascii="Arial" w:hAnsi="Arial" w:cs="Arial"/>
          <w:sz w:val="20"/>
          <w:szCs w:val="20"/>
        </w:rPr>
        <w:t xml:space="preserve"> </w:t>
      </w:r>
      <w:r w:rsidRPr="00B207BA">
        <w:rPr>
          <w:rFonts w:ascii="Arial" w:hAnsi="Arial" w:cs="Arial"/>
          <w:sz w:val="20"/>
          <w:szCs w:val="20"/>
        </w:rPr>
        <w:t>harcamalarını artıra</w:t>
      </w:r>
      <w:r w:rsidR="00197E61" w:rsidRPr="00B207BA">
        <w:rPr>
          <w:rFonts w:ascii="Arial" w:hAnsi="Arial" w:cs="Arial"/>
          <w:sz w:val="20"/>
          <w:szCs w:val="20"/>
        </w:rPr>
        <w:t xml:space="preserve">rak </w:t>
      </w:r>
      <w:r w:rsidRPr="00B207BA">
        <w:rPr>
          <w:rFonts w:ascii="Arial" w:hAnsi="Arial" w:cs="Arial"/>
          <w:sz w:val="20"/>
          <w:szCs w:val="20"/>
        </w:rPr>
        <w:t xml:space="preserve">büyümeye </w:t>
      </w:r>
      <w:r w:rsidR="00197E61" w:rsidRPr="00B207BA">
        <w:rPr>
          <w:rFonts w:ascii="Arial" w:hAnsi="Arial" w:cs="Arial"/>
          <w:sz w:val="20"/>
          <w:szCs w:val="20"/>
        </w:rPr>
        <w:t xml:space="preserve">destek verdi. </w:t>
      </w:r>
      <w:r w:rsidR="00293567" w:rsidRPr="00B207BA">
        <w:rPr>
          <w:rFonts w:ascii="Arial" w:hAnsi="Arial" w:cs="Arial"/>
          <w:sz w:val="20"/>
          <w:szCs w:val="20"/>
        </w:rPr>
        <w:t>Yüzde 4,0 olan y</w:t>
      </w:r>
      <w:r w:rsidR="00197E61" w:rsidRPr="00B207BA">
        <w:rPr>
          <w:rFonts w:ascii="Arial" w:hAnsi="Arial" w:cs="Arial"/>
          <w:sz w:val="20"/>
          <w:szCs w:val="20"/>
        </w:rPr>
        <w:t>ıllık büyümede kamu katkısı 1,6 yüzde puan olarak gerçekleşti.</w:t>
      </w:r>
      <w:r w:rsidR="00293567" w:rsidRPr="00B207BA">
        <w:rPr>
          <w:rFonts w:ascii="Arial" w:hAnsi="Arial" w:cs="Arial"/>
          <w:sz w:val="20"/>
          <w:szCs w:val="20"/>
        </w:rPr>
        <w:t xml:space="preserve"> Canlanan tüketimin katkısı ise 3,1 yüzde puan oldu.</w:t>
      </w:r>
      <w:r w:rsidR="009D2F64" w:rsidRPr="00B207BA">
        <w:rPr>
          <w:rFonts w:ascii="Arial" w:hAnsi="Arial" w:cs="Arial"/>
          <w:sz w:val="20"/>
          <w:szCs w:val="20"/>
        </w:rPr>
        <w:t xml:space="preserve"> </w:t>
      </w:r>
      <w:r w:rsidR="003A04BD" w:rsidRPr="00B207BA">
        <w:rPr>
          <w:rFonts w:ascii="Arial" w:hAnsi="Arial" w:cs="Arial"/>
          <w:sz w:val="20"/>
          <w:szCs w:val="20"/>
        </w:rPr>
        <w:t>Stok değişimleri de büyümeye 1,6 yüzde puan katkı yaptı.</w:t>
      </w:r>
    </w:p>
    <w:p w:rsidR="009D2F64" w:rsidRPr="00B207BA" w:rsidRDefault="009D2F64" w:rsidP="00B207BA">
      <w:pPr>
        <w:pStyle w:val="NormalWeb"/>
        <w:spacing w:before="0" w:beforeAutospacing="0" w:after="0" w:afterAutospacing="0" w:line="300" w:lineRule="atLeast"/>
        <w:jc w:val="both"/>
        <w:rPr>
          <w:rFonts w:ascii="Arial" w:hAnsi="Arial" w:cs="Arial"/>
          <w:sz w:val="20"/>
          <w:szCs w:val="20"/>
        </w:rPr>
      </w:pPr>
    </w:p>
    <w:p w:rsidR="00DA6EB1" w:rsidRPr="00B207BA" w:rsidRDefault="009D2F64"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 xml:space="preserve">2012 yılında yüzde 4,9 düşen özel yatırım 2013'de yüzde 0,7 arttı </w:t>
      </w:r>
      <w:r w:rsidR="0055334A" w:rsidRPr="00B207BA">
        <w:rPr>
          <w:rFonts w:ascii="Arial" w:hAnsi="Arial" w:cs="Arial"/>
          <w:sz w:val="20"/>
          <w:szCs w:val="20"/>
        </w:rPr>
        <w:t>ancak</w:t>
      </w:r>
      <w:r w:rsidRPr="00B207BA">
        <w:rPr>
          <w:rFonts w:ascii="Arial" w:hAnsi="Arial" w:cs="Arial"/>
          <w:sz w:val="20"/>
          <w:szCs w:val="20"/>
        </w:rPr>
        <w:t xml:space="preserve"> büyümeye katkısı yalnızca 0,1 yüzde puan oldu. </w:t>
      </w:r>
      <w:r w:rsidR="003A4BEE" w:rsidRPr="00B207BA">
        <w:rPr>
          <w:rFonts w:ascii="Arial" w:hAnsi="Arial" w:cs="Arial"/>
          <w:sz w:val="20"/>
          <w:szCs w:val="20"/>
        </w:rPr>
        <w:t>Böylece ö</w:t>
      </w:r>
      <w:r w:rsidRPr="00B207BA">
        <w:rPr>
          <w:rFonts w:ascii="Arial" w:hAnsi="Arial" w:cs="Arial"/>
          <w:sz w:val="20"/>
          <w:szCs w:val="20"/>
        </w:rPr>
        <w:t xml:space="preserve">zel yatırımlar büyümeye neredeyse hiç </w:t>
      </w:r>
      <w:r w:rsidR="003A4BEE" w:rsidRPr="00B207BA">
        <w:rPr>
          <w:rFonts w:ascii="Arial" w:hAnsi="Arial" w:cs="Arial"/>
          <w:sz w:val="20"/>
          <w:szCs w:val="20"/>
        </w:rPr>
        <w:t>katkı yapmamış oldu.</w:t>
      </w:r>
    </w:p>
    <w:p w:rsidR="009D2F64" w:rsidRPr="00B207BA" w:rsidRDefault="009D2F64" w:rsidP="00B207BA">
      <w:pPr>
        <w:pStyle w:val="NormalWeb"/>
        <w:spacing w:before="0" w:beforeAutospacing="0" w:after="0" w:afterAutospacing="0" w:line="300" w:lineRule="atLeast"/>
        <w:jc w:val="both"/>
        <w:rPr>
          <w:rFonts w:ascii="Arial" w:hAnsi="Arial" w:cs="Arial"/>
          <w:sz w:val="20"/>
          <w:szCs w:val="20"/>
        </w:rPr>
      </w:pPr>
    </w:p>
    <w:p w:rsidR="00B207BA" w:rsidRDefault="009D2F64"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İhracattaki artış geçen seneye göre yüzde 0,1 düzeyinde gerçekleşti ve büyümeye katkısı sıfıra yakın oldu. İthalat ise yüzde 8,5 artarak büyümeye 2,4 yüzde puan negatif katkı yaptı. Ancak bu rakamları değerlendirirken dikkatli olmak gerekiyor. 2012'de oldukça yüksek gerçekleşen altın ihracatının 2013'de düşmüş olması ihracatın geçtiğimiz seneki katkısını yüksek, 2013 katkısını ise düşük gösteriyor. Benzer bir etki ithalatta da geçerli.</w:t>
      </w:r>
      <w:r w:rsidR="003A04BD" w:rsidRPr="00B207BA">
        <w:rPr>
          <w:rFonts w:ascii="Arial" w:hAnsi="Arial" w:cs="Arial"/>
          <w:sz w:val="20"/>
          <w:szCs w:val="20"/>
        </w:rPr>
        <w:footnoteReference w:id="1"/>
      </w:r>
      <w:r w:rsidRPr="00B207BA">
        <w:rPr>
          <w:rFonts w:ascii="Arial" w:hAnsi="Arial" w:cs="Arial"/>
          <w:sz w:val="20"/>
          <w:szCs w:val="20"/>
        </w:rPr>
        <w:t xml:space="preserve"> </w:t>
      </w:r>
      <w:r w:rsidR="003A04BD" w:rsidRPr="00B207BA">
        <w:rPr>
          <w:rFonts w:ascii="Arial" w:hAnsi="Arial" w:cs="Arial"/>
          <w:sz w:val="20"/>
          <w:szCs w:val="20"/>
        </w:rPr>
        <w:t xml:space="preserve">İhracatta altın haricinde ılımlı bir artışın olduğunu </w:t>
      </w:r>
      <w:r w:rsidR="0055334A" w:rsidRPr="00B207BA">
        <w:rPr>
          <w:rFonts w:ascii="Arial" w:hAnsi="Arial" w:cs="Arial"/>
          <w:sz w:val="20"/>
          <w:szCs w:val="20"/>
        </w:rPr>
        <w:t>ve</w:t>
      </w:r>
      <w:r w:rsidR="003A04BD" w:rsidRPr="00B207BA">
        <w:rPr>
          <w:rFonts w:ascii="Arial" w:hAnsi="Arial" w:cs="Arial"/>
          <w:sz w:val="20"/>
          <w:szCs w:val="20"/>
        </w:rPr>
        <w:t xml:space="preserve"> katkısının da sınırlı olduğunu tahmin ediyoruz.</w:t>
      </w:r>
    </w:p>
    <w:p w:rsidR="00B207BA" w:rsidRDefault="00B207BA" w:rsidP="00B207BA">
      <w:pPr>
        <w:pStyle w:val="NormalWeb"/>
        <w:spacing w:before="0" w:beforeAutospacing="0" w:after="0" w:afterAutospacing="0" w:line="300" w:lineRule="atLeast"/>
        <w:jc w:val="both"/>
        <w:rPr>
          <w:rFonts w:ascii="Arial" w:hAnsi="Arial" w:cs="Arial"/>
          <w:sz w:val="20"/>
          <w:szCs w:val="20"/>
        </w:rPr>
      </w:pPr>
    </w:p>
    <w:p w:rsidR="00B207BA" w:rsidRDefault="00B207BA" w:rsidP="00B207BA">
      <w:pPr>
        <w:pStyle w:val="NormalWeb"/>
        <w:spacing w:before="0" w:beforeAutospacing="0" w:after="0" w:afterAutospacing="0" w:line="300" w:lineRule="atLeast"/>
        <w:jc w:val="both"/>
        <w:rPr>
          <w:rFonts w:ascii="Arial" w:hAnsi="Arial" w:cs="Arial"/>
          <w:sz w:val="20"/>
          <w:szCs w:val="20"/>
        </w:rPr>
      </w:pPr>
    </w:p>
    <w:p w:rsidR="00B207BA" w:rsidRDefault="00B207BA" w:rsidP="00B207BA">
      <w:pPr>
        <w:pStyle w:val="NormalWeb"/>
        <w:spacing w:before="0" w:beforeAutospacing="0" w:after="0" w:afterAutospacing="0" w:line="300" w:lineRule="atLeast"/>
        <w:jc w:val="both"/>
        <w:rPr>
          <w:rFonts w:ascii="Arial" w:hAnsi="Arial" w:cs="Arial"/>
          <w:sz w:val="20"/>
          <w:szCs w:val="20"/>
        </w:rPr>
      </w:pPr>
    </w:p>
    <w:p w:rsidR="00B207BA" w:rsidRDefault="00B207BA" w:rsidP="00B207BA">
      <w:pPr>
        <w:pStyle w:val="NormalWeb"/>
        <w:spacing w:before="0" w:beforeAutospacing="0" w:after="0" w:afterAutospacing="0" w:line="300" w:lineRule="atLeast"/>
        <w:jc w:val="both"/>
        <w:rPr>
          <w:rFonts w:ascii="Arial" w:hAnsi="Arial" w:cs="Arial"/>
          <w:sz w:val="20"/>
          <w:szCs w:val="20"/>
        </w:rPr>
      </w:pPr>
    </w:p>
    <w:p w:rsidR="0055334A" w:rsidRPr="00B207BA" w:rsidRDefault="0055334A" w:rsidP="00337278">
      <w:pPr>
        <w:pStyle w:val="NormalWeb"/>
        <w:spacing w:before="0" w:beforeAutospacing="0" w:after="0" w:afterAutospacing="0" w:line="300" w:lineRule="atLeast"/>
        <w:jc w:val="center"/>
        <w:rPr>
          <w:rFonts w:ascii="Arial" w:hAnsi="Arial" w:cs="Arial"/>
          <w:sz w:val="20"/>
          <w:szCs w:val="20"/>
        </w:rPr>
      </w:pPr>
      <w:r w:rsidRPr="00B207BA">
        <w:rPr>
          <w:rFonts w:ascii="Arial" w:hAnsi="Arial" w:cs="Arial"/>
          <w:b/>
          <w:sz w:val="20"/>
          <w:szCs w:val="20"/>
        </w:rPr>
        <w:lastRenderedPageBreak/>
        <w:t>2013'de Türkiye yatırımsız büyüdü</w:t>
      </w:r>
    </w:p>
    <w:p w:rsidR="00DA6EB1" w:rsidRPr="00B207BA" w:rsidRDefault="00DA6EB1" w:rsidP="00B207BA">
      <w:pPr>
        <w:pStyle w:val="NormalWeb"/>
        <w:spacing w:before="0" w:beforeAutospacing="0" w:after="0" w:afterAutospacing="0" w:line="300" w:lineRule="atLeast"/>
        <w:jc w:val="both"/>
        <w:rPr>
          <w:rFonts w:ascii="Arial" w:hAnsi="Arial" w:cs="Arial"/>
          <w:sz w:val="20"/>
          <w:szCs w:val="20"/>
        </w:rPr>
      </w:pPr>
    </w:p>
    <w:p w:rsidR="00DA6EB1" w:rsidRPr="00B207BA" w:rsidRDefault="009D6D8E"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Betam’ın çeyrekten çeyreğe GSYH’ın alt</w:t>
      </w:r>
      <w:r w:rsidR="00FA07D1" w:rsidRPr="00B207BA">
        <w:rPr>
          <w:rFonts w:ascii="Arial" w:hAnsi="Arial" w:cs="Arial"/>
          <w:sz w:val="20"/>
          <w:szCs w:val="20"/>
        </w:rPr>
        <w:t xml:space="preserve"> </w:t>
      </w:r>
      <w:r w:rsidRPr="00B207BA">
        <w:rPr>
          <w:rFonts w:ascii="Arial" w:hAnsi="Arial" w:cs="Arial"/>
          <w:sz w:val="20"/>
          <w:szCs w:val="20"/>
        </w:rPr>
        <w:t xml:space="preserve">kalemlerini mevsimsellikten ayrıştırarak </w:t>
      </w:r>
      <w:r w:rsidR="0035437A" w:rsidRPr="00B207BA">
        <w:rPr>
          <w:rFonts w:ascii="Arial" w:hAnsi="Arial" w:cs="Arial"/>
          <w:sz w:val="20"/>
          <w:szCs w:val="20"/>
        </w:rPr>
        <w:t>y</w:t>
      </w:r>
      <w:r w:rsidRPr="00B207BA">
        <w:rPr>
          <w:rFonts w:ascii="Arial" w:hAnsi="Arial" w:cs="Arial"/>
          <w:sz w:val="20"/>
          <w:szCs w:val="20"/>
        </w:rPr>
        <w:t>aptığı analiz</w:t>
      </w:r>
      <w:r w:rsidR="0035437A" w:rsidRPr="00B207BA">
        <w:rPr>
          <w:rFonts w:ascii="Arial" w:hAnsi="Arial" w:cs="Arial"/>
          <w:sz w:val="20"/>
          <w:szCs w:val="20"/>
        </w:rPr>
        <w:t xml:space="preserve">in </w:t>
      </w:r>
      <w:r w:rsidRPr="00B207BA">
        <w:rPr>
          <w:rFonts w:ascii="Arial" w:hAnsi="Arial" w:cs="Arial"/>
          <w:sz w:val="20"/>
          <w:szCs w:val="20"/>
        </w:rPr>
        <w:t>de ana hatlar</w:t>
      </w:r>
      <w:r w:rsidR="0035437A" w:rsidRPr="00B207BA">
        <w:rPr>
          <w:rFonts w:ascii="Arial" w:hAnsi="Arial" w:cs="Arial"/>
          <w:sz w:val="20"/>
          <w:szCs w:val="20"/>
        </w:rPr>
        <w:t>ı</w:t>
      </w:r>
      <w:r w:rsidRPr="00B207BA">
        <w:rPr>
          <w:rFonts w:ascii="Arial" w:hAnsi="Arial" w:cs="Arial"/>
          <w:sz w:val="20"/>
          <w:szCs w:val="20"/>
        </w:rPr>
        <w:t xml:space="preserve"> çok farklı değil</w:t>
      </w:r>
      <w:r w:rsidR="003A04BD" w:rsidRPr="00B207BA">
        <w:rPr>
          <w:rFonts w:ascii="Arial" w:hAnsi="Arial" w:cs="Arial"/>
          <w:sz w:val="20"/>
          <w:szCs w:val="20"/>
        </w:rPr>
        <w:t xml:space="preserve">. Büyüme ağırlıklı olarak tüketim ve kamu harcamalarından kaynaklanıyor. </w:t>
      </w:r>
      <w:r w:rsidR="00B207BA">
        <w:rPr>
          <w:rFonts w:ascii="Arial" w:hAnsi="Arial" w:cs="Arial"/>
          <w:sz w:val="20"/>
          <w:szCs w:val="20"/>
        </w:rPr>
        <w:t>T</w:t>
      </w:r>
      <w:r w:rsidR="003A04BD" w:rsidRPr="00B207BA">
        <w:rPr>
          <w:rFonts w:ascii="Arial" w:hAnsi="Arial" w:cs="Arial"/>
          <w:sz w:val="20"/>
          <w:szCs w:val="20"/>
        </w:rPr>
        <w:t>üketim harcamaları tüm çeyreklerde artıyor ve büyümeye pozitif katkı yapıyor. Kamu harcamaları da 3. çeyrek hariç, büyümeyi artırıcı etki yapıyor.</w:t>
      </w:r>
      <w:r w:rsidRPr="00B207BA">
        <w:rPr>
          <w:rFonts w:ascii="Arial" w:hAnsi="Arial" w:cs="Arial"/>
          <w:sz w:val="20"/>
          <w:szCs w:val="20"/>
        </w:rPr>
        <w:t xml:space="preserve"> </w:t>
      </w:r>
    </w:p>
    <w:p w:rsidR="005632F3" w:rsidRPr="00B207BA" w:rsidRDefault="005632F3" w:rsidP="00B207BA">
      <w:pPr>
        <w:pStyle w:val="NormalWeb"/>
        <w:spacing w:before="0" w:beforeAutospacing="0" w:after="0" w:afterAutospacing="0" w:line="300" w:lineRule="atLeast"/>
        <w:jc w:val="both"/>
        <w:rPr>
          <w:rFonts w:ascii="Arial" w:hAnsi="Arial" w:cs="Arial"/>
          <w:sz w:val="20"/>
          <w:szCs w:val="20"/>
        </w:rPr>
      </w:pPr>
    </w:p>
    <w:p w:rsidR="00FA07D1" w:rsidRPr="00B207BA" w:rsidRDefault="00EF6749"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 xml:space="preserve">Toplamda bakıldığında </w:t>
      </w:r>
      <w:r w:rsidR="0055334A" w:rsidRPr="00B207BA">
        <w:rPr>
          <w:rFonts w:ascii="Arial" w:hAnsi="Arial" w:cs="Arial"/>
          <w:sz w:val="20"/>
          <w:szCs w:val="20"/>
        </w:rPr>
        <w:t>2013 yılında büyüme</w:t>
      </w:r>
      <w:r w:rsidR="00FA07D1" w:rsidRPr="00B207BA">
        <w:rPr>
          <w:rFonts w:ascii="Arial" w:hAnsi="Arial" w:cs="Arial"/>
          <w:sz w:val="20"/>
          <w:szCs w:val="20"/>
        </w:rPr>
        <w:t xml:space="preserve"> hükümetin Orta Vadeli Program'da belirttiği yüzde 3,6'lık beklentinin üzerinde gerçekleşti. Ancak  büyüme</w:t>
      </w:r>
      <w:r w:rsidR="00B207BA">
        <w:rPr>
          <w:rFonts w:ascii="Arial" w:hAnsi="Arial" w:cs="Arial"/>
          <w:sz w:val="20"/>
          <w:szCs w:val="20"/>
        </w:rPr>
        <w:t>ye ihracat ve yatırım katkısı</w:t>
      </w:r>
      <w:r w:rsidR="00FA07D1" w:rsidRPr="00B207BA">
        <w:rPr>
          <w:rFonts w:ascii="Arial" w:hAnsi="Arial" w:cs="Arial"/>
          <w:sz w:val="20"/>
          <w:szCs w:val="20"/>
        </w:rPr>
        <w:t xml:space="preserve"> sıfıra yakın oldu. Yatırımsız büyümenin kaliteli bir büyüme olduğunu söylemek mümkün değil. Bu açıdan hedefin üzerinde gerçekleşen büyüme olumlu olmakla beraber sürdürülebilirliği konusunda şüpheler oluşuyor. </w:t>
      </w:r>
    </w:p>
    <w:p w:rsidR="00E333BE" w:rsidRDefault="00E333BE" w:rsidP="009575C3">
      <w:pPr>
        <w:pStyle w:val="NormalWeb"/>
        <w:spacing w:before="0" w:beforeAutospacing="0" w:after="0" w:afterAutospacing="0"/>
        <w:jc w:val="both"/>
        <w:rPr>
          <w:sz w:val="22"/>
          <w:szCs w:val="22"/>
        </w:rPr>
      </w:pPr>
    </w:p>
    <w:p w:rsidR="00E333BE" w:rsidRPr="00E333BE" w:rsidRDefault="00E333BE" w:rsidP="009575C3">
      <w:pPr>
        <w:pStyle w:val="NormalWeb"/>
        <w:spacing w:before="0" w:beforeAutospacing="0" w:after="0" w:afterAutospacing="0"/>
        <w:jc w:val="both"/>
        <w:rPr>
          <w:rFonts w:ascii="Arial" w:hAnsi="Arial" w:cs="Arial"/>
          <w:b/>
          <w:sz w:val="20"/>
          <w:szCs w:val="20"/>
        </w:rPr>
      </w:pPr>
      <w:r w:rsidRPr="00E333BE">
        <w:rPr>
          <w:rFonts w:ascii="Arial" w:hAnsi="Arial" w:cs="Arial"/>
          <w:b/>
          <w:sz w:val="20"/>
          <w:szCs w:val="20"/>
        </w:rPr>
        <w:t>Şekil 3: GSYH</w:t>
      </w:r>
      <w:r w:rsidR="00512FC3">
        <w:rPr>
          <w:rFonts w:ascii="Arial" w:hAnsi="Arial" w:cs="Arial"/>
          <w:b/>
          <w:sz w:val="20"/>
          <w:szCs w:val="20"/>
        </w:rPr>
        <w:t>’nin</w:t>
      </w:r>
      <w:r w:rsidRPr="00E333BE">
        <w:rPr>
          <w:rFonts w:ascii="Arial" w:hAnsi="Arial" w:cs="Arial"/>
          <w:b/>
          <w:sz w:val="20"/>
          <w:szCs w:val="20"/>
        </w:rPr>
        <w:t xml:space="preserve"> çeyrekten çeyreğe yıllık büyüme</w:t>
      </w:r>
      <w:r w:rsidR="00512FC3">
        <w:rPr>
          <w:rFonts w:ascii="Arial" w:hAnsi="Arial" w:cs="Arial"/>
          <w:b/>
          <w:sz w:val="20"/>
          <w:szCs w:val="20"/>
        </w:rPr>
        <w:t>si</w:t>
      </w:r>
      <w:r w:rsidRPr="00E333BE">
        <w:rPr>
          <w:rFonts w:ascii="Arial" w:hAnsi="Arial" w:cs="Arial"/>
          <w:b/>
          <w:sz w:val="20"/>
          <w:szCs w:val="20"/>
        </w:rPr>
        <w:t xml:space="preserve"> ve GSYH alt kalemlerinin </w:t>
      </w:r>
      <w:r w:rsidR="00512FC3">
        <w:rPr>
          <w:rFonts w:ascii="Arial" w:hAnsi="Arial" w:cs="Arial"/>
          <w:b/>
          <w:sz w:val="20"/>
          <w:szCs w:val="20"/>
        </w:rPr>
        <w:t>çeyrekten çeyreğe yıllık</w:t>
      </w:r>
      <w:r w:rsidRPr="00E333BE">
        <w:rPr>
          <w:rFonts w:ascii="Arial" w:hAnsi="Arial" w:cs="Arial"/>
          <w:b/>
          <w:sz w:val="20"/>
          <w:szCs w:val="20"/>
        </w:rPr>
        <w:t xml:space="preserve"> büyümeye yaptığı katkılar </w:t>
      </w:r>
    </w:p>
    <w:p w:rsidR="00E333BE" w:rsidRDefault="00EE5804" w:rsidP="009575C3">
      <w:pPr>
        <w:pStyle w:val="NormalWeb"/>
        <w:spacing w:before="0" w:beforeAutospacing="0" w:after="0" w:afterAutospacing="0"/>
        <w:jc w:val="both"/>
      </w:pPr>
      <w:r w:rsidRPr="00EE5804">
        <w:rPr>
          <w:noProof/>
        </w:rPr>
        <w:drawing>
          <wp:inline distT="0" distB="0" distL="0" distR="0">
            <wp:extent cx="3020695" cy="2932371"/>
            <wp:effectExtent l="19050" t="0" r="825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020695" cy="2932371"/>
                    </a:xfrm>
                    <a:prstGeom prst="rect">
                      <a:avLst/>
                    </a:prstGeom>
                    <a:noFill/>
                    <a:ln w="9525">
                      <a:noFill/>
                      <a:miter lim="800000"/>
                      <a:headEnd/>
                      <a:tailEnd/>
                    </a:ln>
                  </pic:spPr>
                </pic:pic>
              </a:graphicData>
            </a:graphic>
          </wp:inline>
        </w:drawing>
      </w:r>
    </w:p>
    <w:p w:rsidR="0024217A" w:rsidRDefault="0024217A" w:rsidP="009575C3">
      <w:pPr>
        <w:pStyle w:val="NormalWeb"/>
        <w:spacing w:before="0" w:beforeAutospacing="0" w:after="0" w:afterAutospacing="0"/>
        <w:jc w:val="both"/>
      </w:pPr>
      <w:r>
        <w:rPr>
          <w:rFonts w:ascii="Arial" w:hAnsi="Arial" w:cs="Arial"/>
          <w:sz w:val="16"/>
          <w:szCs w:val="16"/>
        </w:rPr>
        <w:t>Kaynak: TÜİK.</w:t>
      </w:r>
    </w:p>
    <w:p w:rsidR="00E333BE" w:rsidRPr="0024217A" w:rsidRDefault="00E333BE" w:rsidP="009575C3">
      <w:pPr>
        <w:pStyle w:val="NormalWeb"/>
        <w:spacing w:before="0" w:beforeAutospacing="0" w:after="0" w:afterAutospacing="0"/>
        <w:jc w:val="both"/>
        <w:rPr>
          <w:sz w:val="16"/>
          <w:szCs w:val="16"/>
        </w:rPr>
      </w:pPr>
    </w:p>
    <w:p w:rsidR="00B207BA" w:rsidRPr="00B207BA" w:rsidRDefault="00B207BA"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 xml:space="preserve">Öte yandan iç talep dengelenmesi 2013 yılında kaba rakamlara bakıldığında sağlanmış görünmüyor. Cari açığın GSYH'a oranı 2012'de 6,2'den 2013'de 7,9'a çıktı. Ancak burada da altın ticaretinin etkisi devam ediyor. Altın hariç cari açığa bakıldığında 2012'de yüzde 6,9'dan 2013'te yüzde 6,5'e düşüş olduğu gözlemleniyor. Altın hariç tutulduğunda iç talep dengelenmesinin bir miktar gerçekleştiği söylenebilir. </w:t>
      </w:r>
      <w:r w:rsidRPr="00B207BA">
        <w:rPr>
          <w:rFonts w:ascii="Arial" w:hAnsi="Arial" w:cs="Arial"/>
          <w:sz w:val="20"/>
          <w:szCs w:val="20"/>
        </w:rPr>
        <w:lastRenderedPageBreak/>
        <w:t>Ancak altın hariç cari açıktaki düzelme çok tatmin edici değil. Türkiye, 2013 sonu itibariyle halen finansal kırılganlık yaratabilecek, yüksek bir cari açığa sahip.</w:t>
      </w:r>
    </w:p>
    <w:p w:rsidR="00B207BA" w:rsidRDefault="00B207BA" w:rsidP="00EA32A9">
      <w:pPr>
        <w:pStyle w:val="NormalWeb"/>
        <w:spacing w:before="0" w:beforeAutospacing="0" w:after="0" w:afterAutospacing="0"/>
        <w:rPr>
          <w:b/>
          <w:sz w:val="22"/>
          <w:szCs w:val="22"/>
        </w:rPr>
      </w:pPr>
    </w:p>
    <w:p w:rsidR="00EA32A9" w:rsidRPr="00EA32A9" w:rsidRDefault="00C9454F" w:rsidP="00B207BA">
      <w:pPr>
        <w:pStyle w:val="NormalWeb"/>
        <w:spacing w:before="0" w:beforeAutospacing="0" w:after="0" w:afterAutospacing="0"/>
        <w:jc w:val="center"/>
        <w:rPr>
          <w:b/>
          <w:sz w:val="22"/>
          <w:szCs w:val="22"/>
        </w:rPr>
      </w:pPr>
      <w:r>
        <w:rPr>
          <w:b/>
          <w:sz w:val="22"/>
          <w:szCs w:val="22"/>
        </w:rPr>
        <w:t>201</w:t>
      </w:r>
      <w:r w:rsidR="00545DA9">
        <w:rPr>
          <w:b/>
          <w:sz w:val="22"/>
          <w:szCs w:val="22"/>
        </w:rPr>
        <w:t>3</w:t>
      </w:r>
      <w:r>
        <w:rPr>
          <w:b/>
          <w:sz w:val="22"/>
          <w:szCs w:val="22"/>
        </w:rPr>
        <w:t xml:space="preserve"> tahminleri ve </w:t>
      </w:r>
      <w:r w:rsidR="0058720D">
        <w:rPr>
          <w:b/>
          <w:sz w:val="22"/>
          <w:szCs w:val="22"/>
        </w:rPr>
        <w:t>201</w:t>
      </w:r>
      <w:r w:rsidR="00545DA9">
        <w:rPr>
          <w:b/>
          <w:sz w:val="22"/>
          <w:szCs w:val="22"/>
        </w:rPr>
        <w:t>4</w:t>
      </w:r>
      <w:r w:rsidR="0058720D">
        <w:rPr>
          <w:b/>
          <w:sz w:val="22"/>
          <w:szCs w:val="22"/>
        </w:rPr>
        <w:t xml:space="preserve"> beklentileri</w:t>
      </w:r>
    </w:p>
    <w:p w:rsidR="00EA32A9" w:rsidRPr="00EA32A9" w:rsidRDefault="00EA32A9" w:rsidP="00EA32A9">
      <w:pPr>
        <w:pStyle w:val="NormalWeb"/>
        <w:spacing w:before="0" w:beforeAutospacing="0" w:after="0" w:afterAutospacing="0"/>
        <w:rPr>
          <w:sz w:val="22"/>
          <w:szCs w:val="22"/>
        </w:rPr>
      </w:pPr>
    </w:p>
    <w:p w:rsidR="00EC2603" w:rsidRPr="00B207BA" w:rsidRDefault="00C9454F"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 xml:space="preserve">Betam'ın Ekonomik Görünüm </w:t>
      </w:r>
      <w:r w:rsidR="00C928E2" w:rsidRPr="00B207BA">
        <w:rPr>
          <w:rFonts w:ascii="Arial" w:hAnsi="Arial" w:cs="Arial"/>
          <w:sz w:val="20"/>
          <w:szCs w:val="20"/>
        </w:rPr>
        <w:t>ve Tahminler (Ocak ve Şubat 201</w:t>
      </w:r>
      <w:r w:rsidR="00545DA9" w:rsidRPr="00B207BA">
        <w:rPr>
          <w:rFonts w:ascii="Arial" w:hAnsi="Arial" w:cs="Arial"/>
          <w:sz w:val="20"/>
          <w:szCs w:val="20"/>
        </w:rPr>
        <w:t>4</w:t>
      </w:r>
      <w:r w:rsidRPr="00B207BA">
        <w:rPr>
          <w:rFonts w:ascii="Arial" w:hAnsi="Arial" w:cs="Arial"/>
          <w:sz w:val="20"/>
          <w:szCs w:val="20"/>
        </w:rPr>
        <w:t>) not</w:t>
      </w:r>
      <w:r w:rsidR="005F1597" w:rsidRPr="00B207BA">
        <w:rPr>
          <w:rFonts w:ascii="Arial" w:hAnsi="Arial" w:cs="Arial"/>
          <w:sz w:val="20"/>
          <w:szCs w:val="20"/>
        </w:rPr>
        <w:t>larında</w:t>
      </w:r>
      <w:r w:rsidRPr="00B207BA">
        <w:rPr>
          <w:rFonts w:ascii="Arial" w:hAnsi="Arial" w:cs="Arial"/>
          <w:sz w:val="20"/>
          <w:szCs w:val="20"/>
        </w:rPr>
        <w:t xml:space="preserve"> </w:t>
      </w:r>
      <w:r w:rsidR="00C928E2" w:rsidRPr="00B207BA">
        <w:rPr>
          <w:rFonts w:ascii="Arial" w:hAnsi="Arial" w:cs="Arial"/>
          <w:sz w:val="20"/>
          <w:szCs w:val="20"/>
        </w:rPr>
        <w:t>201</w:t>
      </w:r>
      <w:r w:rsidR="00545DA9" w:rsidRPr="00B207BA">
        <w:rPr>
          <w:rFonts w:ascii="Arial" w:hAnsi="Arial" w:cs="Arial"/>
          <w:sz w:val="20"/>
          <w:szCs w:val="20"/>
        </w:rPr>
        <w:t>3</w:t>
      </w:r>
      <w:r w:rsidR="005F1597" w:rsidRPr="00B207BA">
        <w:rPr>
          <w:rFonts w:ascii="Arial" w:hAnsi="Arial" w:cs="Arial"/>
          <w:sz w:val="20"/>
          <w:szCs w:val="20"/>
        </w:rPr>
        <w:t xml:space="preserve"> yıllık büyüme tahmini</w:t>
      </w:r>
      <w:r w:rsidR="00C928E2" w:rsidRPr="00B207BA">
        <w:rPr>
          <w:rFonts w:ascii="Arial" w:hAnsi="Arial" w:cs="Arial"/>
          <w:sz w:val="20"/>
          <w:szCs w:val="20"/>
        </w:rPr>
        <w:t xml:space="preserve"> yüzde </w:t>
      </w:r>
      <w:r w:rsidR="00545DA9" w:rsidRPr="00B207BA">
        <w:rPr>
          <w:rFonts w:ascii="Arial" w:hAnsi="Arial" w:cs="Arial"/>
          <w:sz w:val="20"/>
          <w:szCs w:val="20"/>
        </w:rPr>
        <w:t>4</w:t>
      </w:r>
      <w:r w:rsidRPr="00B207BA">
        <w:rPr>
          <w:rFonts w:ascii="Arial" w:hAnsi="Arial" w:cs="Arial"/>
          <w:sz w:val="20"/>
          <w:szCs w:val="20"/>
        </w:rPr>
        <w:t>,</w:t>
      </w:r>
      <w:r w:rsidR="00545DA9" w:rsidRPr="00B207BA">
        <w:rPr>
          <w:rFonts w:ascii="Arial" w:hAnsi="Arial" w:cs="Arial"/>
          <w:sz w:val="20"/>
          <w:szCs w:val="20"/>
        </w:rPr>
        <w:t>2</w:t>
      </w:r>
      <w:r w:rsidR="005F1597" w:rsidRPr="00B207BA">
        <w:rPr>
          <w:rFonts w:ascii="Arial" w:hAnsi="Arial" w:cs="Arial"/>
          <w:sz w:val="20"/>
          <w:szCs w:val="20"/>
        </w:rPr>
        <w:t>’</w:t>
      </w:r>
      <w:r w:rsidR="00C928E2" w:rsidRPr="00B207BA">
        <w:rPr>
          <w:rFonts w:ascii="Arial" w:hAnsi="Arial" w:cs="Arial"/>
          <w:sz w:val="20"/>
          <w:szCs w:val="20"/>
        </w:rPr>
        <w:t>yd</w:t>
      </w:r>
      <w:r w:rsidR="00545DA9" w:rsidRPr="00B207BA">
        <w:rPr>
          <w:rFonts w:ascii="Arial" w:hAnsi="Arial" w:cs="Arial"/>
          <w:sz w:val="20"/>
          <w:szCs w:val="20"/>
        </w:rPr>
        <w:t>i</w:t>
      </w:r>
      <w:r w:rsidR="005F1597" w:rsidRPr="00B207BA">
        <w:rPr>
          <w:rFonts w:ascii="Arial" w:hAnsi="Arial" w:cs="Arial"/>
          <w:sz w:val="20"/>
          <w:szCs w:val="20"/>
        </w:rPr>
        <w:t xml:space="preserve">. Bu oran </w:t>
      </w:r>
      <w:r w:rsidR="00C928E2" w:rsidRPr="00B207BA">
        <w:rPr>
          <w:rFonts w:ascii="Arial" w:hAnsi="Arial" w:cs="Arial"/>
          <w:sz w:val="20"/>
          <w:szCs w:val="20"/>
        </w:rPr>
        <w:t xml:space="preserve">yüzde </w:t>
      </w:r>
      <w:r w:rsidR="00545DA9" w:rsidRPr="00B207BA">
        <w:rPr>
          <w:rFonts w:ascii="Arial" w:hAnsi="Arial" w:cs="Arial"/>
          <w:sz w:val="20"/>
          <w:szCs w:val="20"/>
        </w:rPr>
        <w:t>4</w:t>
      </w:r>
      <w:r w:rsidR="005F1597" w:rsidRPr="00B207BA">
        <w:rPr>
          <w:rFonts w:ascii="Arial" w:hAnsi="Arial" w:cs="Arial"/>
          <w:sz w:val="20"/>
          <w:szCs w:val="20"/>
        </w:rPr>
        <w:t>,</w:t>
      </w:r>
      <w:r w:rsidR="00545DA9" w:rsidRPr="00B207BA">
        <w:rPr>
          <w:rFonts w:ascii="Arial" w:hAnsi="Arial" w:cs="Arial"/>
          <w:sz w:val="20"/>
          <w:szCs w:val="20"/>
        </w:rPr>
        <w:t>0</w:t>
      </w:r>
      <w:r w:rsidR="005F1597" w:rsidRPr="00B207BA">
        <w:rPr>
          <w:rFonts w:ascii="Arial" w:hAnsi="Arial" w:cs="Arial"/>
          <w:sz w:val="20"/>
          <w:szCs w:val="20"/>
        </w:rPr>
        <w:t xml:space="preserve"> olarak gerçekleşti. </w:t>
      </w:r>
      <w:r w:rsidR="00545DA9" w:rsidRPr="00B207BA">
        <w:rPr>
          <w:rFonts w:ascii="Arial" w:hAnsi="Arial" w:cs="Arial"/>
          <w:sz w:val="20"/>
          <w:szCs w:val="20"/>
        </w:rPr>
        <w:t>Ç</w:t>
      </w:r>
      <w:r w:rsidR="005F1597" w:rsidRPr="00B207BA">
        <w:rPr>
          <w:rFonts w:ascii="Arial" w:hAnsi="Arial" w:cs="Arial"/>
          <w:sz w:val="20"/>
          <w:szCs w:val="20"/>
        </w:rPr>
        <w:t>eyrekten çeyreğe büyüme</w:t>
      </w:r>
      <w:r w:rsidR="00545DA9" w:rsidRPr="00B207BA">
        <w:rPr>
          <w:rFonts w:ascii="Arial" w:hAnsi="Arial" w:cs="Arial"/>
          <w:sz w:val="20"/>
          <w:szCs w:val="20"/>
        </w:rPr>
        <w:t xml:space="preserve"> tahminimiz ise yüzde 0,4'tü,</w:t>
      </w:r>
      <w:r w:rsidR="005F1597" w:rsidRPr="00B207BA">
        <w:rPr>
          <w:rFonts w:ascii="Arial" w:hAnsi="Arial" w:cs="Arial"/>
          <w:sz w:val="20"/>
          <w:szCs w:val="20"/>
        </w:rPr>
        <w:t xml:space="preserve"> </w:t>
      </w:r>
      <w:r w:rsidR="00545DA9" w:rsidRPr="00B207BA">
        <w:rPr>
          <w:rFonts w:ascii="Arial" w:hAnsi="Arial" w:cs="Arial"/>
          <w:sz w:val="20"/>
          <w:szCs w:val="20"/>
        </w:rPr>
        <w:t xml:space="preserve">bu oran </w:t>
      </w:r>
      <w:r w:rsidR="00BF5C6A" w:rsidRPr="00B207BA">
        <w:rPr>
          <w:rFonts w:ascii="Arial" w:hAnsi="Arial" w:cs="Arial"/>
          <w:sz w:val="20"/>
          <w:szCs w:val="20"/>
        </w:rPr>
        <w:t xml:space="preserve">da </w:t>
      </w:r>
      <w:r w:rsidR="004E36FD" w:rsidRPr="00B207BA">
        <w:rPr>
          <w:rFonts w:ascii="Arial" w:hAnsi="Arial" w:cs="Arial"/>
          <w:sz w:val="20"/>
          <w:szCs w:val="20"/>
        </w:rPr>
        <w:t xml:space="preserve">yüzde </w:t>
      </w:r>
      <w:r w:rsidR="00545DA9" w:rsidRPr="00B207BA">
        <w:rPr>
          <w:rFonts w:ascii="Arial" w:hAnsi="Arial" w:cs="Arial"/>
          <w:sz w:val="20"/>
          <w:szCs w:val="20"/>
        </w:rPr>
        <w:t>0,5 olarak gerçekleşti.</w:t>
      </w:r>
      <w:r w:rsidR="004E36FD" w:rsidRPr="00B207BA">
        <w:rPr>
          <w:rFonts w:ascii="Arial" w:hAnsi="Arial" w:cs="Arial"/>
          <w:sz w:val="20"/>
          <w:szCs w:val="20"/>
        </w:rPr>
        <w:t xml:space="preserve"> </w:t>
      </w:r>
      <w:r w:rsidR="00545DA9" w:rsidRPr="00B207BA">
        <w:rPr>
          <w:rFonts w:ascii="Arial" w:hAnsi="Arial" w:cs="Arial"/>
          <w:sz w:val="20"/>
          <w:szCs w:val="20"/>
        </w:rPr>
        <w:t>Kamu ve tüketim harcamaları beklediğimiz gibi artmaya devam etti. Yatırım ve net ihracata ilişkin gerçekleşmeler de beklentilerimizle paralel oldu.</w:t>
      </w:r>
    </w:p>
    <w:p w:rsidR="00E10BEB" w:rsidRPr="00B207BA" w:rsidRDefault="00E10BEB" w:rsidP="00B207BA">
      <w:pPr>
        <w:pStyle w:val="NormalWeb"/>
        <w:spacing w:before="0" w:beforeAutospacing="0" w:after="0" w:afterAutospacing="0" w:line="300" w:lineRule="atLeast"/>
        <w:jc w:val="both"/>
        <w:rPr>
          <w:rFonts w:ascii="Arial" w:hAnsi="Arial" w:cs="Arial"/>
          <w:sz w:val="20"/>
          <w:szCs w:val="20"/>
        </w:rPr>
      </w:pPr>
    </w:p>
    <w:p w:rsidR="00E10BEB" w:rsidRPr="00B207BA" w:rsidRDefault="00E10BEB"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2014 yılında büyümenin ağırlıklı olarak ihracat ve kamu harcamalarından kaynaklan</w:t>
      </w:r>
      <w:r w:rsidR="00BF5C6A" w:rsidRPr="00B207BA">
        <w:rPr>
          <w:rFonts w:ascii="Arial" w:hAnsi="Arial" w:cs="Arial"/>
          <w:sz w:val="20"/>
          <w:szCs w:val="20"/>
        </w:rPr>
        <w:t>masını</w:t>
      </w:r>
      <w:r w:rsidRPr="00B207BA">
        <w:rPr>
          <w:rFonts w:ascii="Arial" w:hAnsi="Arial" w:cs="Arial"/>
          <w:sz w:val="20"/>
          <w:szCs w:val="20"/>
        </w:rPr>
        <w:t>, tüketimin ılımlı seyretmesini, yatırım harcamalarının ise yatay ya da negatif yönlü olmasını bekliyoruz. İlk çeyreğe ilişkin ilk veriler net ihracat katkısının pozitif olacağını doğruluyor. İçeride yaşanan belirsizlikler ve sıkı faiz politikasının iç talebi baskıla</w:t>
      </w:r>
      <w:r w:rsidR="00914B3D" w:rsidRPr="00B207BA">
        <w:rPr>
          <w:rFonts w:ascii="Arial" w:hAnsi="Arial" w:cs="Arial"/>
          <w:sz w:val="20"/>
          <w:szCs w:val="20"/>
        </w:rPr>
        <w:t>yacağını tahmin ediyoruz. Yılın geri kalanında dair riskler ise devam ediyor.</w:t>
      </w:r>
    </w:p>
    <w:p w:rsidR="00BF5C6A" w:rsidRPr="00B207BA" w:rsidRDefault="00BF5C6A" w:rsidP="00B207BA">
      <w:pPr>
        <w:pStyle w:val="NormalWeb"/>
        <w:spacing w:before="0" w:beforeAutospacing="0" w:after="0" w:afterAutospacing="0" w:line="300" w:lineRule="atLeast"/>
        <w:jc w:val="both"/>
        <w:rPr>
          <w:rFonts w:ascii="Arial" w:hAnsi="Arial" w:cs="Arial"/>
          <w:sz w:val="20"/>
          <w:szCs w:val="20"/>
        </w:rPr>
      </w:pPr>
    </w:p>
    <w:p w:rsidR="00914B3D" w:rsidRPr="00B207BA" w:rsidRDefault="00BF5C6A" w:rsidP="00B207BA">
      <w:pPr>
        <w:pStyle w:val="NormalWeb"/>
        <w:spacing w:before="0" w:beforeAutospacing="0" w:after="0" w:afterAutospacing="0" w:line="300" w:lineRule="atLeast"/>
        <w:jc w:val="both"/>
        <w:rPr>
          <w:rFonts w:ascii="Arial" w:hAnsi="Arial" w:cs="Arial"/>
          <w:sz w:val="20"/>
          <w:szCs w:val="20"/>
        </w:rPr>
      </w:pPr>
      <w:r w:rsidRPr="00B207BA">
        <w:rPr>
          <w:rFonts w:ascii="Arial" w:hAnsi="Arial" w:cs="Arial"/>
          <w:sz w:val="20"/>
          <w:szCs w:val="20"/>
        </w:rPr>
        <w:t xml:space="preserve">Dün gerçekleşen yerel seçim sonuçları iktidar partisine destek verdi. Seçim sonuçlarını takiben hükümetin siyasi belirsizlikleri ve gerilimleri azaltacak her adımı yatırım ve tüketim davranışı üzerinde olumlu etki yapacaktır. Ancak Amerikan Merkez Bankası'nın tahvil alımlarını 2014 sonbaharında sonlandıracak olması ve sonrasında beklenen faiz artışları Türkiye ekonomisini olumsuz etkileyecektir. Enflasyon ve finansal kırılganlık endişesiyle içeride </w:t>
      </w:r>
      <w:r w:rsidRPr="00B207BA">
        <w:rPr>
          <w:rFonts w:ascii="Arial" w:hAnsi="Arial" w:cs="Arial"/>
          <w:sz w:val="20"/>
          <w:szCs w:val="20"/>
        </w:rPr>
        <w:lastRenderedPageBreak/>
        <w:t>para politikasının sıkı tutulmaya devam edilmesini bekliyoruz. Mali politikadaki marjın da hükümet tarafından</w:t>
      </w:r>
      <w:r w:rsidR="00981AF5" w:rsidRPr="00B207BA">
        <w:rPr>
          <w:rFonts w:ascii="Arial" w:hAnsi="Arial" w:cs="Arial"/>
          <w:sz w:val="20"/>
          <w:szCs w:val="20"/>
        </w:rPr>
        <w:t xml:space="preserve"> zaten</w:t>
      </w:r>
      <w:r w:rsidRPr="00B207BA">
        <w:rPr>
          <w:rFonts w:ascii="Arial" w:hAnsi="Arial" w:cs="Arial"/>
          <w:sz w:val="20"/>
          <w:szCs w:val="20"/>
        </w:rPr>
        <w:t xml:space="preserve"> iki senedir kullanıldığını </w:t>
      </w:r>
      <w:r w:rsidR="00981AF5" w:rsidRPr="00B207BA">
        <w:rPr>
          <w:rFonts w:ascii="Arial" w:hAnsi="Arial" w:cs="Arial"/>
          <w:sz w:val="20"/>
          <w:szCs w:val="20"/>
        </w:rPr>
        <w:t xml:space="preserve">görüyoruz. </w:t>
      </w:r>
      <w:r w:rsidR="00893ED6" w:rsidRPr="00B207BA">
        <w:rPr>
          <w:rFonts w:ascii="Arial" w:hAnsi="Arial" w:cs="Arial"/>
          <w:sz w:val="20"/>
          <w:szCs w:val="20"/>
        </w:rPr>
        <w:t>Bu durumda 2014 büyümesini Avrupa etkisiyle toparlanan ihracat ile içeride baskılanan tüketim talebi belirleyecektir.</w:t>
      </w:r>
    </w:p>
    <w:p w:rsidR="00716BBE" w:rsidRPr="00450ACD" w:rsidRDefault="00716BBE" w:rsidP="00C335E9">
      <w:pPr>
        <w:spacing w:line="288" w:lineRule="auto"/>
        <w:ind w:right="77"/>
        <w:jc w:val="both"/>
        <w:rPr>
          <w:rFonts w:ascii="Arial" w:hAnsi="Arial" w:cs="Arial"/>
          <w:sz w:val="22"/>
          <w:szCs w:val="22"/>
        </w:rPr>
      </w:pPr>
    </w:p>
    <w:p w:rsidR="0016522D" w:rsidRPr="00712EDE" w:rsidRDefault="00D97362" w:rsidP="00C335E9">
      <w:pPr>
        <w:spacing w:line="288" w:lineRule="auto"/>
        <w:ind w:right="77"/>
        <w:jc w:val="both"/>
        <w:rPr>
          <w:rFonts w:ascii="Arial" w:hAnsi="Arial" w:cs="Arial"/>
          <w:b/>
          <w:sz w:val="20"/>
          <w:szCs w:val="20"/>
        </w:rPr>
      </w:pPr>
      <w:r w:rsidRPr="00712EDE">
        <w:rPr>
          <w:rFonts w:ascii="Arial" w:hAnsi="Arial" w:cs="Arial"/>
          <w:b/>
          <w:sz w:val="20"/>
          <w:szCs w:val="20"/>
        </w:rPr>
        <w:t>Ş</w:t>
      </w:r>
      <w:r w:rsidR="00712EDE">
        <w:rPr>
          <w:rFonts w:ascii="Arial" w:hAnsi="Arial" w:cs="Arial"/>
          <w:b/>
          <w:sz w:val="20"/>
          <w:szCs w:val="20"/>
        </w:rPr>
        <w:t xml:space="preserve">ekil </w:t>
      </w:r>
      <w:r w:rsidR="007A7A86">
        <w:rPr>
          <w:rFonts w:ascii="Arial" w:hAnsi="Arial" w:cs="Arial"/>
          <w:b/>
          <w:sz w:val="20"/>
          <w:szCs w:val="20"/>
        </w:rPr>
        <w:t>4</w:t>
      </w:r>
      <w:bookmarkStart w:id="0" w:name="_GoBack"/>
      <w:bookmarkEnd w:id="0"/>
      <w:r w:rsidRPr="00712EDE">
        <w:rPr>
          <w:rFonts w:ascii="Arial" w:hAnsi="Arial" w:cs="Arial"/>
          <w:b/>
          <w:sz w:val="20"/>
          <w:szCs w:val="20"/>
        </w:rPr>
        <w:t>:</w:t>
      </w:r>
      <w:r w:rsidR="00712EDE">
        <w:rPr>
          <w:rFonts w:ascii="Arial" w:hAnsi="Arial" w:cs="Arial"/>
          <w:b/>
          <w:sz w:val="20"/>
          <w:szCs w:val="20"/>
        </w:rPr>
        <w:t xml:space="preserve"> </w:t>
      </w:r>
      <w:r w:rsidRPr="00712EDE">
        <w:rPr>
          <w:rFonts w:ascii="Arial" w:hAnsi="Arial" w:cs="Arial"/>
          <w:b/>
          <w:sz w:val="20"/>
          <w:szCs w:val="20"/>
        </w:rPr>
        <w:t>Önceki çeyreğe göre</w:t>
      </w:r>
      <w:r w:rsidR="002B7DE6">
        <w:rPr>
          <w:rFonts w:ascii="Arial" w:hAnsi="Arial" w:cs="Arial"/>
          <w:b/>
          <w:sz w:val="20"/>
          <w:szCs w:val="20"/>
        </w:rPr>
        <w:t xml:space="preserve"> GSYH</w:t>
      </w:r>
      <w:r w:rsidRPr="00712EDE">
        <w:rPr>
          <w:rFonts w:ascii="Arial" w:hAnsi="Arial" w:cs="Arial"/>
          <w:b/>
          <w:sz w:val="20"/>
          <w:szCs w:val="20"/>
        </w:rPr>
        <w:t xml:space="preserve"> büyüme</w:t>
      </w:r>
      <w:r w:rsidR="002B7DE6">
        <w:rPr>
          <w:rFonts w:ascii="Arial" w:hAnsi="Arial" w:cs="Arial"/>
          <w:b/>
          <w:sz w:val="20"/>
          <w:szCs w:val="20"/>
        </w:rPr>
        <w:t>si</w:t>
      </w:r>
      <w:r w:rsidR="00712EDE">
        <w:rPr>
          <w:rFonts w:ascii="Arial" w:hAnsi="Arial" w:cs="Arial"/>
          <w:b/>
          <w:sz w:val="20"/>
          <w:szCs w:val="20"/>
        </w:rPr>
        <w:t xml:space="preserve"> </w:t>
      </w:r>
      <w:r w:rsidRPr="00712EDE">
        <w:rPr>
          <w:rFonts w:ascii="Arial" w:hAnsi="Arial" w:cs="Arial"/>
          <w:b/>
          <w:sz w:val="20"/>
          <w:szCs w:val="20"/>
        </w:rPr>
        <w:t>(TÜİK)</w:t>
      </w:r>
    </w:p>
    <w:p w:rsidR="00D97362" w:rsidRPr="00A610C8" w:rsidRDefault="00E6776F" w:rsidP="00C335E9">
      <w:pPr>
        <w:pStyle w:val="NormalWeb"/>
        <w:spacing w:before="0" w:beforeAutospacing="0" w:after="0" w:afterAutospacing="0"/>
        <w:ind w:right="77"/>
        <w:rPr>
          <w:b/>
          <w:sz w:val="22"/>
          <w:szCs w:val="22"/>
        </w:rPr>
      </w:pPr>
      <w:r w:rsidRPr="00E6776F">
        <w:rPr>
          <w:noProof/>
          <w:szCs w:val="22"/>
        </w:rPr>
        <w:drawing>
          <wp:inline distT="0" distB="0" distL="0" distR="0">
            <wp:extent cx="3020695" cy="1838684"/>
            <wp:effectExtent l="19050" t="0" r="825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020695" cy="1838684"/>
                    </a:xfrm>
                    <a:prstGeom prst="rect">
                      <a:avLst/>
                    </a:prstGeom>
                    <a:noFill/>
                    <a:ln w="9525">
                      <a:noFill/>
                      <a:miter lim="800000"/>
                      <a:headEnd/>
                      <a:tailEnd/>
                    </a:ln>
                  </pic:spPr>
                </pic:pic>
              </a:graphicData>
            </a:graphic>
          </wp:inline>
        </w:drawing>
      </w:r>
    </w:p>
    <w:p w:rsidR="00C5094B" w:rsidRPr="005B3336" w:rsidRDefault="002B7DE6" w:rsidP="00C335E9">
      <w:pPr>
        <w:spacing w:line="288" w:lineRule="auto"/>
        <w:ind w:right="77"/>
        <w:jc w:val="both"/>
        <w:rPr>
          <w:rFonts w:ascii="Arial" w:hAnsi="Arial" w:cs="Arial"/>
          <w:sz w:val="16"/>
          <w:szCs w:val="16"/>
        </w:rPr>
      </w:pPr>
      <w:r>
        <w:rPr>
          <w:rFonts w:ascii="Arial" w:hAnsi="Arial" w:cs="Arial"/>
          <w:sz w:val="16"/>
          <w:szCs w:val="16"/>
        </w:rPr>
        <w:t>Kaynak : TÜİK.</w:t>
      </w:r>
    </w:p>
    <w:p w:rsidR="00C5094B" w:rsidRDefault="00C5094B"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sectPr w:rsidR="00EF6749" w:rsidSect="00C335E9">
          <w:type w:val="continuous"/>
          <w:pgSz w:w="11906" w:h="16838"/>
          <w:pgMar w:top="1417" w:right="1106" w:bottom="1417" w:left="900" w:header="708" w:footer="708" w:gutter="0"/>
          <w:cols w:num="2" w:space="386"/>
          <w:docGrid w:linePitch="360"/>
        </w:sectPr>
      </w:pPr>
    </w:p>
    <w:p w:rsidR="00121E7C" w:rsidRDefault="00121E7C" w:rsidP="00C335E9">
      <w:pPr>
        <w:pStyle w:val="NormalWeb"/>
        <w:spacing w:before="0" w:beforeAutospacing="0" w:after="0" w:afterAutospacing="0"/>
        <w:ind w:right="77"/>
        <w:rPr>
          <w:b/>
          <w:sz w:val="22"/>
          <w:szCs w:val="22"/>
        </w:rPr>
      </w:pPr>
    </w:p>
    <w:p w:rsidR="00121E7C" w:rsidRDefault="00121E7C" w:rsidP="00C335E9">
      <w:pPr>
        <w:pStyle w:val="NormalWeb"/>
        <w:spacing w:before="0" w:beforeAutospacing="0" w:after="0" w:afterAutospacing="0"/>
        <w:ind w:right="77"/>
        <w:rPr>
          <w:b/>
          <w:sz w:val="22"/>
          <w:szCs w:val="22"/>
        </w:rPr>
      </w:pPr>
    </w:p>
    <w:p w:rsidR="00121E7C" w:rsidRDefault="00121E7C" w:rsidP="00C335E9">
      <w:pPr>
        <w:pStyle w:val="NormalWeb"/>
        <w:spacing w:before="0" w:beforeAutospacing="0" w:after="0" w:afterAutospacing="0"/>
        <w:ind w:right="77"/>
        <w:rPr>
          <w:b/>
          <w:sz w:val="22"/>
          <w:szCs w:val="22"/>
        </w:rPr>
      </w:pPr>
    </w:p>
    <w:p w:rsidR="00121E7C" w:rsidRDefault="00121E7C" w:rsidP="00C335E9">
      <w:pPr>
        <w:pStyle w:val="NormalWeb"/>
        <w:spacing w:before="0" w:beforeAutospacing="0" w:after="0" w:afterAutospacing="0"/>
        <w:ind w:right="77"/>
        <w:rPr>
          <w:b/>
          <w:sz w:val="22"/>
          <w:szCs w:val="22"/>
        </w:rPr>
      </w:pPr>
    </w:p>
    <w:p w:rsidR="00121E7C" w:rsidRDefault="00121E7C" w:rsidP="00C335E9">
      <w:pPr>
        <w:pStyle w:val="NormalWeb"/>
        <w:spacing w:before="0" w:beforeAutospacing="0" w:after="0" w:afterAutospacing="0"/>
        <w:ind w:right="77"/>
        <w:rPr>
          <w:b/>
          <w:sz w:val="22"/>
          <w:szCs w:val="22"/>
        </w:rPr>
      </w:pPr>
    </w:p>
    <w:p w:rsidR="00121E7C" w:rsidRDefault="00121E7C" w:rsidP="00C335E9">
      <w:pPr>
        <w:pStyle w:val="NormalWeb"/>
        <w:spacing w:before="0" w:beforeAutospacing="0" w:after="0" w:afterAutospacing="0"/>
        <w:ind w:right="77"/>
        <w:rPr>
          <w:b/>
          <w:sz w:val="22"/>
          <w:szCs w:val="22"/>
        </w:rPr>
      </w:pPr>
    </w:p>
    <w:p w:rsidR="00121E7C" w:rsidRDefault="00121E7C" w:rsidP="00C335E9">
      <w:pPr>
        <w:pStyle w:val="NormalWeb"/>
        <w:spacing w:before="0" w:beforeAutospacing="0" w:after="0" w:afterAutospacing="0"/>
        <w:ind w:right="77"/>
        <w:rPr>
          <w:b/>
          <w:sz w:val="22"/>
          <w:szCs w:val="22"/>
        </w:rPr>
      </w:pPr>
    </w:p>
    <w:p w:rsidR="00121E7C" w:rsidRDefault="00121E7C" w:rsidP="00C335E9">
      <w:pPr>
        <w:pStyle w:val="NormalWeb"/>
        <w:spacing w:before="0" w:beforeAutospacing="0" w:after="0" w:afterAutospacing="0"/>
        <w:ind w:right="77"/>
        <w:rPr>
          <w:b/>
          <w:sz w:val="22"/>
          <w:szCs w:val="22"/>
        </w:rPr>
      </w:pPr>
    </w:p>
    <w:p w:rsidR="00EE5804" w:rsidRDefault="00EE5804" w:rsidP="00C335E9">
      <w:pPr>
        <w:pStyle w:val="NormalWeb"/>
        <w:spacing w:before="0" w:beforeAutospacing="0" w:after="0" w:afterAutospacing="0"/>
        <w:ind w:right="77"/>
        <w:rPr>
          <w:b/>
          <w:sz w:val="22"/>
          <w:szCs w:val="22"/>
        </w:rPr>
      </w:pPr>
    </w:p>
    <w:p w:rsidR="00EE5804" w:rsidRDefault="00EE5804" w:rsidP="00C335E9">
      <w:pPr>
        <w:pStyle w:val="NormalWeb"/>
        <w:spacing w:before="0" w:beforeAutospacing="0" w:after="0" w:afterAutospacing="0"/>
        <w:ind w:right="77"/>
        <w:rPr>
          <w:b/>
          <w:sz w:val="22"/>
          <w:szCs w:val="22"/>
        </w:rPr>
      </w:pPr>
    </w:p>
    <w:p w:rsidR="00EE5804" w:rsidRDefault="00EE5804" w:rsidP="00C335E9">
      <w:pPr>
        <w:pStyle w:val="NormalWeb"/>
        <w:spacing w:before="0" w:beforeAutospacing="0" w:after="0" w:afterAutospacing="0"/>
        <w:ind w:right="77"/>
        <w:rPr>
          <w:b/>
          <w:sz w:val="22"/>
          <w:szCs w:val="22"/>
        </w:rPr>
      </w:pPr>
    </w:p>
    <w:p w:rsidR="00EE5804" w:rsidRDefault="00EE5804" w:rsidP="00C335E9">
      <w:pPr>
        <w:pStyle w:val="NormalWeb"/>
        <w:spacing w:before="0" w:beforeAutospacing="0" w:after="0" w:afterAutospacing="0"/>
        <w:ind w:right="77"/>
        <w:rPr>
          <w:b/>
          <w:sz w:val="22"/>
          <w:szCs w:val="22"/>
        </w:rPr>
      </w:pPr>
    </w:p>
    <w:p w:rsidR="00EE5804" w:rsidRDefault="00EE5804" w:rsidP="00C335E9">
      <w:pPr>
        <w:pStyle w:val="NormalWeb"/>
        <w:spacing w:before="0" w:beforeAutospacing="0" w:after="0" w:afterAutospacing="0"/>
        <w:ind w:right="77"/>
        <w:rPr>
          <w:b/>
          <w:sz w:val="22"/>
          <w:szCs w:val="22"/>
        </w:rPr>
      </w:pPr>
    </w:p>
    <w:p w:rsidR="00EE5804" w:rsidRDefault="00EE5804" w:rsidP="00C335E9">
      <w:pPr>
        <w:pStyle w:val="NormalWeb"/>
        <w:spacing w:before="0" w:beforeAutospacing="0" w:after="0" w:afterAutospacing="0"/>
        <w:ind w:right="77"/>
        <w:rPr>
          <w:b/>
          <w:sz w:val="22"/>
          <w:szCs w:val="22"/>
        </w:rPr>
      </w:pPr>
    </w:p>
    <w:p w:rsidR="00EF6749" w:rsidRPr="00603DB9" w:rsidRDefault="00603DB9" w:rsidP="00C335E9">
      <w:pPr>
        <w:pStyle w:val="NormalWeb"/>
        <w:spacing w:before="0" w:beforeAutospacing="0" w:after="0" w:afterAutospacing="0"/>
        <w:ind w:right="77"/>
        <w:rPr>
          <w:b/>
          <w:sz w:val="22"/>
          <w:szCs w:val="22"/>
        </w:rPr>
      </w:pPr>
      <w:r>
        <w:rPr>
          <w:b/>
          <w:sz w:val="22"/>
          <w:szCs w:val="22"/>
        </w:rPr>
        <w:lastRenderedPageBreak/>
        <w:t>Tablo 1.</w:t>
      </w:r>
      <w:r w:rsidR="00EE5804">
        <w:rPr>
          <w:b/>
          <w:sz w:val="22"/>
          <w:szCs w:val="22"/>
        </w:rPr>
        <w:t xml:space="preserve"> 2013</w:t>
      </w:r>
      <w:r w:rsidR="00AE40FB">
        <w:rPr>
          <w:b/>
          <w:sz w:val="22"/>
          <w:szCs w:val="22"/>
        </w:rPr>
        <w:t>’de</w:t>
      </w:r>
      <w:r>
        <w:rPr>
          <w:b/>
          <w:sz w:val="22"/>
          <w:szCs w:val="22"/>
        </w:rPr>
        <w:t xml:space="preserve"> </w:t>
      </w:r>
      <w:r w:rsidR="00AE40FB">
        <w:rPr>
          <w:b/>
          <w:sz w:val="22"/>
          <w:szCs w:val="22"/>
        </w:rPr>
        <w:t>ç</w:t>
      </w:r>
      <w:r>
        <w:rPr>
          <w:b/>
          <w:sz w:val="22"/>
          <w:szCs w:val="22"/>
        </w:rPr>
        <w:t xml:space="preserve">eyrekler itibariyle </w:t>
      </w:r>
      <w:r w:rsidRPr="002B7DE6">
        <w:rPr>
          <w:b/>
          <w:sz w:val="22"/>
          <w:szCs w:val="22"/>
          <w:u w:val="single"/>
        </w:rPr>
        <w:t>bir önceki yılın aynı çeyreğine</w:t>
      </w:r>
      <w:r>
        <w:rPr>
          <w:b/>
          <w:sz w:val="22"/>
          <w:szCs w:val="22"/>
        </w:rPr>
        <w:t xml:space="preserve"> göre</w:t>
      </w:r>
      <w:r w:rsidRPr="00603DB9">
        <w:rPr>
          <w:b/>
          <w:sz w:val="22"/>
          <w:szCs w:val="22"/>
        </w:rPr>
        <w:t xml:space="preserve"> altkalemlerin katkı</w:t>
      </w:r>
      <w:r>
        <w:rPr>
          <w:b/>
          <w:sz w:val="22"/>
          <w:szCs w:val="22"/>
        </w:rPr>
        <w:t>ları ve toplam büyümeler.</w:t>
      </w:r>
    </w:p>
    <w:tbl>
      <w:tblPr>
        <w:tblW w:w="7140" w:type="dxa"/>
        <w:tblInd w:w="103" w:type="dxa"/>
        <w:tblLook w:val="04A0" w:firstRow="1" w:lastRow="0" w:firstColumn="1" w:lastColumn="0" w:noHBand="0" w:noVBand="1"/>
      </w:tblPr>
      <w:tblGrid>
        <w:gridCol w:w="2980"/>
        <w:gridCol w:w="1180"/>
        <w:gridCol w:w="940"/>
        <w:gridCol w:w="960"/>
        <w:gridCol w:w="1080"/>
      </w:tblGrid>
      <w:tr w:rsidR="00603DB9" w:rsidRPr="00603DB9">
        <w:trPr>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3DB9" w:rsidRPr="00603DB9" w:rsidRDefault="00603DB9" w:rsidP="00337278">
            <w:pPr>
              <w:rPr>
                <w:rFonts w:ascii="Arial TUR" w:hAnsi="Arial TUR" w:cs="Arial TUR"/>
                <w:b/>
                <w:bCs/>
                <w:sz w:val="20"/>
                <w:szCs w:val="20"/>
                <w:lang w:eastAsia="en-US"/>
              </w:rPr>
            </w:pPr>
            <w:r w:rsidRPr="00603DB9">
              <w:rPr>
                <w:rFonts w:ascii="Arial TUR" w:hAnsi="Arial TUR" w:cs="Arial TUR"/>
                <w:b/>
                <w:bCs/>
                <w:sz w:val="20"/>
                <w:szCs w:val="20"/>
                <w:lang w:eastAsia="en-US"/>
              </w:rPr>
              <w:t>201</w:t>
            </w:r>
            <w:r w:rsidR="00EE5804">
              <w:rPr>
                <w:rFonts w:ascii="Arial TUR" w:hAnsi="Arial TUR" w:cs="Arial TUR"/>
                <w:b/>
                <w:bCs/>
                <w:sz w:val="20"/>
                <w:szCs w:val="20"/>
                <w:lang w:eastAsia="en-US"/>
              </w:rPr>
              <w:t>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337278">
            <w:pPr>
              <w:jc w:val="center"/>
              <w:rPr>
                <w:rFonts w:ascii="Arial TUR" w:hAnsi="Arial TUR" w:cs="Arial TUR"/>
                <w:b/>
                <w:bCs/>
                <w:sz w:val="20"/>
                <w:szCs w:val="20"/>
                <w:lang w:eastAsia="en-US"/>
              </w:rPr>
            </w:pPr>
            <w:r w:rsidRPr="00603DB9">
              <w:rPr>
                <w:rFonts w:ascii="Arial TUR" w:hAnsi="Arial TUR" w:cs="Arial TUR"/>
                <w:b/>
                <w:bCs/>
                <w:sz w:val="20"/>
                <w:szCs w:val="20"/>
                <w:lang w:eastAsia="en-US"/>
              </w:rPr>
              <w:t>1.Ç.</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337278">
            <w:pPr>
              <w:jc w:val="center"/>
              <w:rPr>
                <w:rFonts w:ascii="Arial TUR" w:hAnsi="Arial TUR" w:cs="Arial TUR"/>
                <w:b/>
                <w:bCs/>
                <w:sz w:val="20"/>
                <w:szCs w:val="20"/>
                <w:lang w:eastAsia="en-US"/>
              </w:rPr>
            </w:pPr>
            <w:r w:rsidRPr="00603DB9">
              <w:rPr>
                <w:rFonts w:ascii="Arial TUR" w:hAnsi="Arial TUR" w:cs="Arial TUR"/>
                <w:b/>
                <w:bCs/>
                <w:sz w:val="20"/>
                <w:szCs w:val="20"/>
                <w:lang w:eastAsia="en-US"/>
              </w:rPr>
              <w:t>2.Ç.</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337278">
            <w:pPr>
              <w:jc w:val="center"/>
              <w:rPr>
                <w:rFonts w:ascii="Arial" w:hAnsi="Arial" w:cs="Arial"/>
                <w:b/>
                <w:bCs/>
                <w:sz w:val="20"/>
                <w:szCs w:val="20"/>
                <w:lang w:eastAsia="en-US"/>
              </w:rPr>
            </w:pPr>
            <w:r w:rsidRPr="00603DB9">
              <w:rPr>
                <w:rFonts w:ascii="Arial" w:hAnsi="Arial" w:cs="Arial"/>
                <w:b/>
                <w:bCs/>
                <w:sz w:val="20"/>
                <w:szCs w:val="20"/>
                <w:lang w:eastAsia="en-US"/>
              </w:rPr>
              <w:t>3.Ç.</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03DB9" w:rsidRPr="00603DB9" w:rsidRDefault="00603DB9" w:rsidP="00337278">
            <w:pPr>
              <w:jc w:val="center"/>
              <w:rPr>
                <w:rFonts w:ascii="Arial" w:hAnsi="Arial" w:cs="Arial"/>
                <w:b/>
                <w:bCs/>
                <w:sz w:val="20"/>
                <w:szCs w:val="20"/>
                <w:lang w:eastAsia="en-US"/>
              </w:rPr>
            </w:pPr>
            <w:r w:rsidRPr="00603DB9">
              <w:rPr>
                <w:rFonts w:ascii="Arial" w:hAnsi="Arial" w:cs="Arial"/>
                <w:b/>
                <w:bCs/>
                <w:sz w:val="20"/>
                <w:szCs w:val="20"/>
                <w:lang w:eastAsia="en-US"/>
              </w:rPr>
              <w:t>4.Ç.</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Tüketim</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4</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5</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Özel Yatırım</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9</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Kamu Harcamaları</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1</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5</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Stok Değişimi</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1</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9</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4</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Net İhracat</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2</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0</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 xml:space="preserve">    İhracat</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6</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4</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 xml:space="preserve">    İthalat</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5</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6</w:t>
            </w:r>
          </w:p>
        </w:tc>
      </w:tr>
      <w:tr w:rsidR="00EE5804" w:rsidRPr="00603DB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Toplam</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9</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4</w:t>
            </w:r>
            <w:r w:rsidR="00337278">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4</w:t>
            </w:r>
            <w:r w:rsidR="00337278">
              <w:rPr>
                <w:rFonts w:ascii="Arial" w:hAnsi="Arial" w:cs="Arial"/>
                <w:sz w:val="20"/>
                <w:szCs w:val="20"/>
              </w:rPr>
              <w:t>,</w:t>
            </w:r>
            <w:r>
              <w:rPr>
                <w:rFonts w:ascii="Arial" w:hAnsi="Arial" w:cs="Arial"/>
                <w:sz w:val="20"/>
                <w:szCs w:val="20"/>
              </w:rPr>
              <w:t>3</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4</w:t>
            </w:r>
            <w:r w:rsidR="00337278">
              <w:rPr>
                <w:rFonts w:ascii="Arial" w:hAnsi="Arial" w:cs="Arial"/>
                <w:sz w:val="20"/>
                <w:szCs w:val="20"/>
              </w:rPr>
              <w:t>,</w:t>
            </w:r>
            <w:r>
              <w:rPr>
                <w:rFonts w:ascii="Arial" w:hAnsi="Arial" w:cs="Arial"/>
                <w:sz w:val="20"/>
                <w:szCs w:val="20"/>
              </w:rPr>
              <w:t>4</w:t>
            </w:r>
          </w:p>
        </w:tc>
      </w:tr>
    </w:tbl>
    <w:p w:rsidR="00EF6749" w:rsidRDefault="002B7DE6" w:rsidP="00C335E9">
      <w:pPr>
        <w:pStyle w:val="NormalWeb"/>
        <w:spacing w:before="0" w:beforeAutospacing="0" w:after="0" w:afterAutospacing="0"/>
        <w:ind w:right="77"/>
        <w:rPr>
          <w:sz w:val="18"/>
          <w:szCs w:val="18"/>
        </w:rPr>
      </w:pPr>
      <w:r w:rsidRPr="002B7DE6">
        <w:rPr>
          <w:sz w:val="18"/>
          <w:szCs w:val="18"/>
        </w:rPr>
        <w:t>Kaynak: TÜİK.</w:t>
      </w:r>
    </w:p>
    <w:p w:rsidR="002B7DE6" w:rsidRPr="002B7DE6" w:rsidRDefault="002B7DE6" w:rsidP="00C335E9">
      <w:pPr>
        <w:pStyle w:val="NormalWeb"/>
        <w:spacing w:before="0" w:beforeAutospacing="0" w:after="0" w:afterAutospacing="0"/>
        <w:ind w:right="77"/>
        <w:rPr>
          <w:sz w:val="18"/>
          <w:szCs w:val="18"/>
        </w:rPr>
      </w:pPr>
    </w:p>
    <w:p w:rsidR="00EF6749" w:rsidRDefault="00603DB9" w:rsidP="002B7DE6">
      <w:pPr>
        <w:pStyle w:val="NormalWeb"/>
        <w:spacing w:before="0" w:beforeAutospacing="0" w:after="0" w:afterAutospacing="0" w:line="276" w:lineRule="auto"/>
        <w:ind w:right="77"/>
        <w:rPr>
          <w:b/>
          <w:sz w:val="22"/>
          <w:szCs w:val="22"/>
        </w:rPr>
      </w:pPr>
      <w:r>
        <w:rPr>
          <w:b/>
          <w:sz w:val="22"/>
          <w:szCs w:val="22"/>
        </w:rPr>
        <w:t>Tablo 2.</w:t>
      </w:r>
      <w:r w:rsidR="00EE5804">
        <w:rPr>
          <w:b/>
          <w:sz w:val="22"/>
          <w:szCs w:val="22"/>
        </w:rPr>
        <w:t xml:space="preserve"> 2013</w:t>
      </w:r>
      <w:r w:rsidR="00AE40FB">
        <w:rPr>
          <w:b/>
          <w:sz w:val="22"/>
          <w:szCs w:val="22"/>
        </w:rPr>
        <w:t>’de</w:t>
      </w:r>
      <w:r>
        <w:rPr>
          <w:b/>
          <w:sz w:val="22"/>
          <w:szCs w:val="22"/>
        </w:rPr>
        <w:t xml:space="preserve"> </w:t>
      </w:r>
      <w:r w:rsidR="00AE40FB">
        <w:rPr>
          <w:b/>
          <w:sz w:val="22"/>
          <w:szCs w:val="22"/>
        </w:rPr>
        <w:t>ç</w:t>
      </w:r>
      <w:r>
        <w:rPr>
          <w:b/>
          <w:sz w:val="22"/>
          <w:szCs w:val="22"/>
        </w:rPr>
        <w:t xml:space="preserve">eyrekler itibariyle </w:t>
      </w:r>
      <w:r w:rsidRPr="002B7DE6">
        <w:rPr>
          <w:b/>
          <w:sz w:val="22"/>
          <w:szCs w:val="22"/>
          <w:u w:val="single"/>
        </w:rPr>
        <w:t>bir önceki çeyreğe</w:t>
      </w:r>
      <w:r>
        <w:rPr>
          <w:b/>
          <w:sz w:val="22"/>
          <w:szCs w:val="22"/>
        </w:rPr>
        <w:t xml:space="preserve"> göre</w:t>
      </w:r>
      <w:r w:rsidRPr="00603DB9">
        <w:rPr>
          <w:b/>
          <w:sz w:val="22"/>
          <w:szCs w:val="22"/>
        </w:rPr>
        <w:t xml:space="preserve"> altkalemlerin katkı</w:t>
      </w:r>
      <w:r>
        <w:rPr>
          <w:b/>
          <w:sz w:val="22"/>
          <w:szCs w:val="22"/>
        </w:rPr>
        <w:t>ları ve toplam büyümeler.</w:t>
      </w:r>
    </w:p>
    <w:tbl>
      <w:tblPr>
        <w:tblW w:w="7140" w:type="dxa"/>
        <w:tblInd w:w="103" w:type="dxa"/>
        <w:tblLook w:val="04A0" w:firstRow="1" w:lastRow="0" w:firstColumn="1" w:lastColumn="0" w:noHBand="0" w:noVBand="1"/>
      </w:tblPr>
      <w:tblGrid>
        <w:gridCol w:w="2980"/>
        <w:gridCol w:w="1180"/>
        <w:gridCol w:w="940"/>
        <w:gridCol w:w="960"/>
        <w:gridCol w:w="1080"/>
      </w:tblGrid>
      <w:tr w:rsidR="00603DB9" w:rsidRPr="00EF6749">
        <w:trPr>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3DB9" w:rsidRPr="00EF6749" w:rsidRDefault="00603DB9" w:rsidP="00337278">
            <w:pPr>
              <w:rPr>
                <w:rFonts w:ascii="Arial TUR" w:hAnsi="Arial TUR" w:cs="Arial TUR"/>
                <w:b/>
                <w:bCs/>
                <w:sz w:val="20"/>
                <w:szCs w:val="20"/>
                <w:lang w:val="en-US" w:eastAsia="en-US"/>
              </w:rPr>
            </w:pPr>
            <w:r w:rsidRPr="00EF6749">
              <w:rPr>
                <w:rFonts w:ascii="Arial TUR" w:hAnsi="Arial TUR" w:cs="Arial TUR"/>
                <w:b/>
                <w:bCs/>
                <w:sz w:val="20"/>
                <w:szCs w:val="20"/>
                <w:lang w:val="en-US" w:eastAsia="en-US"/>
              </w:rPr>
              <w:t>201</w:t>
            </w:r>
            <w:r w:rsidR="00EE5804">
              <w:rPr>
                <w:rFonts w:ascii="Arial TUR" w:hAnsi="Arial TUR" w:cs="Arial TUR"/>
                <w:b/>
                <w:bCs/>
                <w:sz w:val="20"/>
                <w:szCs w:val="20"/>
                <w:lang w:val="en-US" w:eastAsia="en-US"/>
              </w:rPr>
              <w:t>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337278">
            <w:pPr>
              <w:jc w:val="center"/>
              <w:rPr>
                <w:rFonts w:ascii="Arial TUR" w:hAnsi="Arial TUR" w:cs="Arial TUR"/>
                <w:b/>
                <w:bCs/>
                <w:sz w:val="20"/>
                <w:szCs w:val="20"/>
                <w:lang w:val="en-US" w:eastAsia="en-US"/>
              </w:rPr>
            </w:pPr>
            <w:r w:rsidRPr="00EF6749">
              <w:rPr>
                <w:rFonts w:ascii="Arial TUR" w:hAnsi="Arial TUR" w:cs="Arial TUR"/>
                <w:b/>
                <w:bCs/>
                <w:sz w:val="20"/>
                <w:szCs w:val="20"/>
                <w:lang w:val="en-US" w:eastAsia="en-US"/>
              </w:rPr>
              <w:t>1.Ç.</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337278">
            <w:pPr>
              <w:jc w:val="center"/>
              <w:rPr>
                <w:rFonts w:ascii="Arial TUR" w:hAnsi="Arial TUR" w:cs="Arial TUR"/>
                <w:b/>
                <w:bCs/>
                <w:sz w:val="20"/>
                <w:szCs w:val="20"/>
                <w:lang w:val="en-US" w:eastAsia="en-US"/>
              </w:rPr>
            </w:pPr>
            <w:r w:rsidRPr="00EF6749">
              <w:rPr>
                <w:rFonts w:ascii="Arial TUR" w:hAnsi="Arial TUR" w:cs="Arial TUR"/>
                <w:b/>
                <w:bCs/>
                <w:sz w:val="20"/>
                <w:szCs w:val="20"/>
                <w:lang w:val="en-US" w:eastAsia="en-US"/>
              </w:rPr>
              <w:t>2.Ç.</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337278">
            <w:pPr>
              <w:jc w:val="center"/>
              <w:rPr>
                <w:rFonts w:ascii="Arial" w:hAnsi="Arial" w:cs="Arial"/>
                <w:b/>
                <w:bCs/>
                <w:sz w:val="20"/>
                <w:szCs w:val="20"/>
                <w:lang w:val="en-US" w:eastAsia="en-US"/>
              </w:rPr>
            </w:pPr>
            <w:r w:rsidRPr="00EF6749">
              <w:rPr>
                <w:rFonts w:ascii="Arial" w:hAnsi="Arial" w:cs="Arial"/>
                <w:b/>
                <w:bCs/>
                <w:sz w:val="20"/>
                <w:szCs w:val="20"/>
                <w:lang w:val="en-US" w:eastAsia="en-US"/>
              </w:rPr>
              <w:t>3.Ç.</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03DB9" w:rsidRPr="00EF6749" w:rsidRDefault="00603DB9" w:rsidP="00337278">
            <w:pPr>
              <w:jc w:val="center"/>
              <w:rPr>
                <w:rFonts w:ascii="Arial" w:hAnsi="Arial" w:cs="Arial"/>
                <w:b/>
                <w:bCs/>
                <w:sz w:val="20"/>
                <w:szCs w:val="20"/>
                <w:lang w:val="en-US" w:eastAsia="en-US"/>
              </w:rPr>
            </w:pPr>
            <w:r w:rsidRPr="00EF6749">
              <w:rPr>
                <w:rFonts w:ascii="Arial" w:hAnsi="Arial" w:cs="Arial"/>
                <w:b/>
                <w:bCs/>
                <w:sz w:val="20"/>
                <w:szCs w:val="20"/>
                <w:lang w:val="en-US" w:eastAsia="en-US"/>
              </w:rPr>
              <w:t>4.Ç.</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Tüketim</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8</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Özel Yatırım</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6</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2</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Kamu Harcamaları</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4</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3</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0</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Stok Değişimi</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1</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Net İhracat</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4</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3</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 xml:space="preserve">    İhracat</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 xml:space="preserve">    İthalat</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7</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4</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4</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337278">
            <w:pPr>
              <w:rPr>
                <w:rFonts w:ascii="Arial TUR" w:hAnsi="Arial TUR" w:cs="Arial TUR"/>
                <w:b/>
                <w:bCs/>
                <w:sz w:val="20"/>
                <w:szCs w:val="20"/>
              </w:rPr>
            </w:pPr>
            <w:r>
              <w:rPr>
                <w:rFonts w:ascii="Arial TUR" w:hAnsi="Arial TUR" w:cs="Arial TUR"/>
                <w:b/>
                <w:bCs/>
                <w:sz w:val="20"/>
                <w:szCs w:val="20"/>
              </w:rPr>
              <w:t xml:space="preserve">Betam </w:t>
            </w:r>
            <w:r w:rsidR="00EE5804">
              <w:rPr>
                <w:rFonts w:ascii="Arial TUR" w:hAnsi="Arial TUR" w:cs="Arial TUR"/>
                <w:b/>
                <w:bCs/>
                <w:sz w:val="20"/>
                <w:szCs w:val="20"/>
              </w:rPr>
              <w:t>Toplam</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1</w:t>
            </w:r>
          </w:p>
        </w:tc>
      </w:tr>
      <w:tr w:rsidR="00EE5804" w:rsidRPr="00EF6749">
        <w:trPr>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TUIK Toplam</w:t>
            </w:r>
          </w:p>
        </w:tc>
        <w:tc>
          <w:tcPr>
            <w:tcW w:w="11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4</w:t>
            </w:r>
          </w:p>
        </w:tc>
        <w:tc>
          <w:tcPr>
            <w:tcW w:w="94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8</w:t>
            </w:r>
          </w:p>
        </w:tc>
        <w:tc>
          <w:tcPr>
            <w:tcW w:w="108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5</w:t>
            </w:r>
          </w:p>
        </w:tc>
      </w:tr>
    </w:tbl>
    <w:p w:rsidR="002B7DE6" w:rsidRDefault="002B7DE6" w:rsidP="002B7DE6">
      <w:pPr>
        <w:pStyle w:val="NormalWeb"/>
        <w:spacing w:before="0" w:beforeAutospacing="0" w:after="0" w:afterAutospacing="0"/>
        <w:ind w:right="77"/>
        <w:rPr>
          <w:sz w:val="18"/>
          <w:szCs w:val="18"/>
        </w:rPr>
      </w:pPr>
      <w:r>
        <w:rPr>
          <w:sz w:val="18"/>
          <w:szCs w:val="18"/>
        </w:rPr>
        <w:t xml:space="preserve">Kaynak: TÜİK, Betam. </w:t>
      </w:r>
      <w:r w:rsidRPr="002B7DE6">
        <w:rPr>
          <w:sz w:val="18"/>
          <w:szCs w:val="18"/>
        </w:rPr>
        <w:t>Çeyreklik göstergeler mevsim ve takvim etkisinden arındırılmıştır.</w:t>
      </w:r>
    </w:p>
    <w:p w:rsidR="002B7DE6" w:rsidRDefault="002B7DE6" w:rsidP="00C335E9">
      <w:pPr>
        <w:pStyle w:val="NormalWeb"/>
        <w:spacing w:before="0" w:beforeAutospacing="0" w:after="0" w:afterAutospacing="0"/>
        <w:ind w:right="77"/>
        <w:rPr>
          <w:b/>
          <w:sz w:val="22"/>
          <w:szCs w:val="22"/>
        </w:rPr>
      </w:pPr>
    </w:p>
    <w:p w:rsidR="00337278" w:rsidRDefault="00337278" w:rsidP="00C335E9">
      <w:pPr>
        <w:pStyle w:val="NormalWeb"/>
        <w:spacing w:before="0" w:beforeAutospacing="0" w:after="0" w:afterAutospacing="0"/>
        <w:ind w:right="77"/>
        <w:rPr>
          <w:b/>
          <w:sz w:val="22"/>
          <w:szCs w:val="22"/>
        </w:rPr>
        <w:sectPr w:rsidR="00337278" w:rsidSect="00EF6749">
          <w:type w:val="continuous"/>
          <w:pgSz w:w="11906" w:h="16838"/>
          <w:pgMar w:top="1417" w:right="1106" w:bottom="1417" w:left="900" w:header="708" w:footer="708" w:gutter="0"/>
          <w:cols w:space="386"/>
          <w:docGrid w:linePitch="360"/>
        </w:sectPr>
      </w:pPr>
    </w:p>
    <w:p w:rsidR="002B7DE6" w:rsidRDefault="002B7DE6" w:rsidP="00C335E9">
      <w:pPr>
        <w:pStyle w:val="NormalWeb"/>
        <w:spacing w:before="0" w:beforeAutospacing="0" w:after="0" w:afterAutospacing="0"/>
        <w:ind w:right="77"/>
        <w:rPr>
          <w:b/>
          <w:sz w:val="22"/>
          <w:szCs w:val="22"/>
        </w:rPr>
      </w:pPr>
    </w:p>
    <w:p w:rsidR="00603DB9" w:rsidRDefault="00603DB9" w:rsidP="002B7DE6">
      <w:pPr>
        <w:pStyle w:val="NormalWeb"/>
        <w:spacing w:before="0" w:beforeAutospacing="0" w:after="0" w:afterAutospacing="0" w:line="276" w:lineRule="auto"/>
        <w:ind w:right="77"/>
        <w:rPr>
          <w:b/>
          <w:sz w:val="22"/>
          <w:szCs w:val="22"/>
        </w:rPr>
      </w:pPr>
      <w:r>
        <w:rPr>
          <w:b/>
          <w:sz w:val="22"/>
          <w:szCs w:val="22"/>
        </w:rPr>
        <w:t>Tablo 3</w:t>
      </w:r>
      <w:r w:rsidR="00E333BE">
        <w:rPr>
          <w:b/>
          <w:sz w:val="22"/>
          <w:szCs w:val="22"/>
        </w:rPr>
        <w:t xml:space="preserve">. </w:t>
      </w:r>
      <w:r w:rsidR="00EE5804">
        <w:rPr>
          <w:b/>
          <w:sz w:val="22"/>
          <w:szCs w:val="22"/>
        </w:rPr>
        <w:t>2013 ve 2012</w:t>
      </w:r>
      <w:r>
        <w:rPr>
          <w:b/>
          <w:sz w:val="22"/>
          <w:szCs w:val="22"/>
        </w:rPr>
        <w:t xml:space="preserve">’de GSYH altkalemlerinin </w:t>
      </w:r>
      <w:r w:rsidRPr="00002CEE">
        <w:rPr>
          <w:b/>
          <w:sz w:val="22"/>
          <w:szCs w:val="22"/>
          <w:u w:val="single"/>
        </w:rPr>
        <w:t xml:space="preserve">yıllık </w:t>
      </w:r>
      <w:r>
        <w:rPr>
          <w:b/>
          <w:sz w:val="22"/>
          <w:szCs w:val="22"/>
        </w:rPr>
        <w:t>değişimleri ve büyümeye katkıları</w:t>
      </w:r>
    </w:p>
    <w:tbl>
      <w:tblPr>
        <w:tblW w:w="4500" w:type="dxa"/>
        <w:tblInd w:w="70" w:type="dxa"/>
        <w:tblLayout w:type="fixed"/>
        <w:tblCellMar>
          <w:left w:w="70" w:type="dxa"/>
          <w:right w:w="70" w:type="dxa"/>
        </w:tblCellMar>
        <w:tblLook w:val="0000" w:firstRow="0" w:lastRow="0" w:firstColumn="0" w:lastColumn="0" w:noHBand="0" w:noVBand="0"/>
      </w:tblPr>
      <w:tblGrid>
        <w:gridCol w:w="1980"/>
        <w:gridCol w:w="1260"/>
        <w:gridCol w:w="1260"/>
      </w:tblGrid>
      <w:tr w:rsidR="00EE5804">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2013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TUR" w:hAnsi="Arial TUR" w:cs="Arial TUR"/>
                <w:b/>
                <w:bCs/>
                <w:sz w:val="20"/>
                <w:szCs w:val="20"/>
              </w:rPr>
            </w:pPr>
            <w:r>
              <w:rPr>
                <w:rFonts w:ascii="Arial TUR" w:hAnsi="Arial TUR" w:cs="Arial TUR"/>
                <w:b/>
                <w:bCs/>
                <w:sz w:val="20"/>
                <w:szCs w:val="20"/>
              </w:rPr>
              <w:t>Katkılar</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4</w:t>
            </w:r>
            <w:r w:rsidR="00337278">
              <w:rPr>
                <w:rFonts w:ascii="Arial" w:hAnsi="Arial" w:cs="Arial"/>
                <w:sz w:val="20"/>
                <w:szCs w:val="20"/>
              </w:rPr>
              <w:t>,</w:t>
            </w:r>
            <w:r>
              <w:rPr>
                <w:rFonts w:ascii="Arial" w:hAnsi="Arial" w:cs="Arial"/>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1</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1</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10</w:t>
            </w:r>
            <w:r w:rsidR="00337278">
              <w:rPr>
                <w:rFonts w:ascii="Arial" w:hAnsi="Arial" w:cs="Arial"/>
                <w:sz w:val="20"/>
                <w:szCs w:val="20"/>
              </w:rPr>
              <w:t>,</w:t>
            </w:r>
            <w:r>
              <w:rPr>
                <w:rFonts w:ascii="Arial" w:hAnsi="Arial" w:cs="Arial"/>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6</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337278" w:rsidP="00337278">
            <w:pPr>
              <w:jc w:val="center"/>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6</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0</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8</w:t>
            </w:r>
            <w:r w:rsidR="00337278">
              <w:rPr>
                <w:rFonts w:ascii="Arial" w:hAnsi="Arial" w:cs="Arial"/>
                <w:sz w:val="20"/>
                <w:szCs w:val="20"/>
              </w:rPr>
              <w:t>,</w:t>
            </w:r>
            <w:r>
              <w:rPr>
                <w:rFonts w:ascii="Arial" w:hAnsi="Arial" w:cs="Arial"/>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-2</w:t>
            </w:r>
            <w:r w:rsidR="00337278">
              <w:rPr>
                <w:rFonts w:ascii="Arial" w:hAnsi="Arial" w:cs="Arial"/>
                <w:sz w:val="20"/>
                <w:szCs w:val="20"/>
              </w:rPr>
              <w:t>,</w:t>
            </w:r>
            <w:r>
              <w:rPr>
                <w:rFonts w:ascii="Arial" w:hAnsi="Arial" w:cs="Arial"/>
                <w:sz w:val="20"/>
                <w:szCs w:val="20"/>
              </w:rPr>
              <w:t>4</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2012</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TUR" w:hAnsi="Arial TUR" w:cs="Arial TUR"/>
                <w:b/>
                <w:bCs/>
                <w:sz w:val="20"/>
                <w:szCs w:val="20"/>
              </w:rPr>
            </w:pPr>
            <w:r>
              <w:rPr>
                <w:rFonts w:ascii="Arial TUR" w:hAnsi="Arial TUR" w:cs="Arial TUR"/>
                <w:b/>
                <w:bCs/>
                <w:sz w:val="20"/>
                <w:szCs w:val="20"/>
              </w:rPr>
              <w:t>Katkılar</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3</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-4</w:t>
            </w:r>
            <w:r w:rsidR="00337278">
              <w:rPr>
                <w:rFonts w:ascii="Arial" w:hAnsi="Arial" w:cs="Arial"/>
                <w:sz w:val="20"/>
                <w:szCs w:val="20"/>
              </w:rPr>
              <w:t>,</w:t>
            </w:r>
            <w:r>
              <w:rPr>
                <w:rFonts w:ascii="Arial" w:hAnsi="Arial" w:cs="Arial"/>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1</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7</w:t>
            </w:r>
            <w:r w:rsidR="00337278">
              <w:rPr>
                <w:rFonts w:ascii="Arial" w:hAnsi="Arial" w:cs="Arial"/>
                <w:sz w:val="20"/>
                <w:szCs w:val="20"/>
              </w:rPr>
              <w:t>,</w:t>
            </w:r>
            <w:r>
              <w:rPr>
                <w:rFonts w:ascii="Arial" w:hAnsi="Arial" w:cs="Arial"/>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0</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337278" w:rsidP="00337278">
            <w:pPr>
              <w:jc w:val="center"/>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w:t>
            </w:r>
            <w:r w:rsidR="00337278">
              <w:rPr>
                <w:rFonts w:ascii="Arial" w:hAnsi="Arial" w:cs="Arial"/>
                <w:sz w:val="20"/>
                <w:szCs w:val="20"/>
              </w:rPr>
              <w:t>,</w:t>
            </w:r>
            <w:r>
              <w:rPr>
                <w:rFonts w:ascii="Arial" w:hAnsi="Arial" w:cs="Arial"/>
                <w:sz w:val="20"/>
                <w:szCs w:val="20"/>
              </w:rPr>
              <w:t>5</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16</w:t>
            </w:r>
            <w:r w:rsidR="00337278">
              <w:rPr>
                <w:rFonts w:ascii="Arial" w:hAnsi="Arial" w:cs="Arial"/>
                <w:sz w:val="20"/>
                <w:szCs w:val="20"/>
              </w:rPr>
              <w:t>,</w:t>
            </w:r>
            <w:r>
              <w:rPr>
                <w:rFonts w:ascii="Arial" w:hAnsi="Arial" w:cs="Arial"/>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3</w:t>
            </w:r>
            <w:r w:rsidR="00337278">
              <w:rPr>
                <w:rFonts w:ascii="Arial" w:hAnsi="Arial" w:cs="Arial"/>
                <w:sz w:val="20"/>
                <w:szCs w:val="20"/>
              </w:rPr>
              <w:t>,</w:t>
            </w:r>
            <w:r>
              <w:rPr>
                <w:rFonts w:ascii="Arial" w:hAnsi="Arial" w:cs="Arial"/>
                <w:sz w:val="20"/>
                <w:szCs w:val="20"/>
              </w:rPr>
              <w:t>9</w:t>
            </w:r>
          </w:p>
        </w:tc>
      </w:tr>
      <w:tr w:rsidR="00EE5804">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EE5804" w:rsidRDefault="00EE5804">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rsidR="00EE5804" w:rsidRDefault="00EE5804" w:rsidP="00337278">
            <w:pPr>
              <w:jc w:val="center"/>
              <w:rPr>
                <w:rFonts w:ascii="Arial" w:hAnsi="Arial" w:cs="Arial"/>
                <w:sz w:val="20"/>
                <w:szCs w:val="20"/>
              </w:rPr>
            </w:pPr>
            <w:r>
              <w:rPr>
                <w:rFonts w:ascii="Arial" w:hAnsi="Arial" w:cs="Arial"/>
                <w:sz w:val="20"/>
                <w:szCs w:val="20"/>
              </w:rPr>
              <w:t>0</w:t>
            </w:r>
            <w:r w:rsidR="00337278">
              <w:rPr>
                <w:rFonts w:ascii="Arial" w:hAnsi="Arial" w:cs="Arial"/>
                <w:sz w:val="20"/>
                <w:szCs w:val="20"/>
              </w:rPr>
              <w:t>,</w:t>
            </w:r>
            <w:r>
              <w:rPr>
                <w:rFonts w:ascii="Arial" w:hAnsi="Arial" w:cs="Arial"/>
                <w:sz w:val="20"/>
                <w:szCs w:val="20"/>
              </w:rPr>
              <w:t>1</w:t>
            </w:r>
          </w:p>
        </w:tc>
      </w:tr>
    </w:tbl>
    <w:p w:rsidR="00C6738C" w:rsidRDefault="002B7DE6" w:rsidP="00C335E9">
      <w:pPr>
        <w:pStyle w:val="NormalWeb"/>
        <w:spacing w:before="0" w:beforeAutospacing="0" w:after="0" w:afterAutospacing="0"/>
        <w:ind w:right="77"/>
        <w:rPr>
          <w:b/>
          <w:sz w:val="22"/>
          <w:szCs w:val="22"/>
        </w:rPr>
      </w:pPr>
      <w:r>
        <w:rPr>
          <w:sz w:val="18"/>
          <w:szCs w:val="18"/>
        </w:rPr>
        <w:t>Kaynak: TÜİK.</w:t>
      </w:r>
    </w:p>
    <w:p w:rsidR="002B7DE6" w:rsidRDefault="002B7DE6" w:rsidP="00C335E9">
      <w:pPr>
        <w:pStyle w:val="NormalWeb"/>
        <w:spacing w:before="0" w:beforeAutospacing="0" w:after="0" w:afterAutospacing="0"/>
        <w:ind w:right="77"/>
        <w:rPr>
          <w:b/>
          <w:sz w:val="22"/>
          <w:szCs w:val="22"/>
        </w:rPr>
      </w:pPr>
    </w:p>
    <w:p w:rsidR="002B7DE6" w:rsidRDefault="002B7DE6" w:rsidP="002B7DE6">
      <w:pPr>
        <w:pStyle w:val="NormalWeb"/>
        <w:spacing w:before="0" w:beforeAutospacing="0" w:after="0" w:afterAutospacing="0" w:line="276" w:lineRule="auto"/>
        <w:ind w:right="77"/>
        <w:rPr>
          <w:b/>
          <w:sz w:val="22"/>
          <w:szCs w:val="22"/>
        </w:rPr>
      </w:pPr>
    </w:p>
    <w:p w:rsidR="002B7DE6" w:rsidRDefault="002B7DE6" w:rsidP="002B7DE6">
      <w:pPr>
        <w:pStyle w:val="NormalWeb"/>
        <w:spacing w:before="0" w:beforeAutospacing="0" w:after="0" w:afterAutospacing="0" w:line="276" w:lineRule="auto"/>
        <w:ind w:right="77"/>
        <w:rPr>
          <w:b/>
          <w:sz w:val="22"/>
          <w:szCs w:val="22"/>
        </w:rPr>
      </w:pPr>
    </w:p>
    <w:p w:rsidR="00337278" w:rsidRDefault="00337278" w:rsidP="002B7DE6">
      <w:pPr>
        <w:pStyle w:val="NormalWeb"/>
        <w:spacing w:before="0" w:beforeAutospacing="0" w:after="0" w:afterAutospacing="0" w:line="276" w:lineRule="auto"/>
        <w:ind w:right="77"/>
        <w:rPr>
          <w:b/>
          <w:sz w:val="22"/>
          <w:szCs w:val="22"/>
        </w:rPr>
      </w:pPr>
    </w:p>
    <w:p w:rsidR="00603DB9" w:rsidRDefault="00603DB9" w:rsidP="002B7DE6">
      <w:pPr>
        <w:pStyle w:val="NormalWeb"/>
        <w:spacing w:before="0" w:beforeAutospacing="0" w:after="0" w:afterAutospacing="0" w:line="276" w:lineRule="auto"/>
        <w:ind w:right="77"/>
        <w:rPr>
          <w:b/>
          <w:sz w:val="22"/>
          <w:szCs w:val="22"/>
        </w:rPr>
      </w:pPr>
      <w:r>
        <w:rPr>
          <w:b/>
          <w:sz w:val="22"/>
          <w:szCs w:val="22"/>
        </w:rPr>
        <w:t>Tablo 4</w:t>
      </w:r>
      <w:r w:rsidR="00C258F7">
        <w:rPr>
          <w:b/>
          <w:sz w:val="22"/>
          <w:szCs w:val="22"/>
        </w:rPr>
        <w:t xml:space="preserve">. </w:t>
      </w:r>
      <w:r>
        <w:rPr>
          <w:b/>
          <w:sz w:val="22"/>
          <w:szCs w:val="22"/>
        </w:rPr>
        <w:t>201</w:t>
      </w:r>
      <w:r w:rsidR="00337278">
        <w:rPr>
          <w:b/>
          <w:sz w:val="22"/>
          <w:szCs w:val="22"/>
        </w:rPr>
        <w:t>3</w:t>
      </w:r>
      <w:r>
        <w:rPr>
          <w:b/>
          <w:sz w:val="22"/>
          <w:szCs w:val="22"/>
        </w:rPr>
        <w:t xml:space="preserve"> 4. çeyrekte ve 3. çeyrekte GSYH altkalemlerinin, </w:t>
      </w:r>
      <w:r w:rsidRPr="00002CEE">
        <w:rPr>
          <w:b/>
          <w:sz w:val="22"/>
          <w:szCs w:val="22"/>
          <w:u w:val="single"/>
        </w:rPr>
        <w:t>bir önceki çeyreğe</w:t>
      </w:r>
      <w:r>
        <w:rPr>
          <w:b/>
          <w:sz w:val="22"/>
          <w:szCs w:val="22"/>
        </w:rPr>
        <w:t xml:space="preserve"> göre değişimleri ve büyümeye katkıları</w:t>
      </w:r>
    </w:p>
    <w:tbl>
      <w:tblPr>
        <w:tblW w:w="4500" w:type="dxa"/>
        <w:tblInd w:w="70" w:type="dxa"/>
        <w:tblLayout w:type="fixed"/>
        <w:tblCellMar>
          <w:left w:w="70" w:type="dxa"/>
          <w:right w:w="70" w:type="dxa"/>
        </w:tblCellMar>
        <w:tblLook w:val="0000" w:firstRow="0" w:lastRow="0" w:firstColumn="0" w:lastColumn="0" w:noHBand="0" w:noVBand="0"/>
      </w:tblPr>
      <w:tblGrid>
        <w:gridCol w:w="1980"/>
        <w:gridCol w:w="1260"/>
        <w:gridCol w:w="1260"/>
      </w:tblGrid>
      <w:tr w:rsidR="00C258F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201</w:t>
            </w:r>
            <w:r w:rsidR="00337278">
              <w:rPr>
                <w:rFonts w:ascii="Arial TUR" w:hAnsi="Arial TUR" w:cs="Arial TUR"/>
                <w:b/>
                <w:bCs/>
                <w:sz w:val="20"/>
                <w:szCs w:val="20"/>
              </w:rPr>
              <w:t>3</w:t>
            </w:r>
            <w:r w:rsidR="002040C5">
              <w:rPr>
                <w:rFonts w:ascii="Arial TUR" w:hAnsi="Arial TUR" w:cs="Arial TUR"/>
                <w:b/>
                <w:bCs/>
                <w:sz w:val="20"/>
                <w:szCs w:val="20"/>
              </w:rPr>
              <w:t>-Q4</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258F7" w:rsidRDefault="00C258F7" w:rsidP="00337278">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258F7" w:rsidRDefault="00C258F7" w:rsidP="00337278">
            <w:pPr>
              <w:jc w:val="center"/>
              <w:rPr>
                <w:rFonts w:ascii="Arial TUR" w:hAnsi="Arial TUR" w:cs="Arial TUR"/>
                <w:b/>
                <w:bCs/>
                <w:sz w:val="20"/>
                <w:szCs w:val="20"/>
              </w:rPr>
            </w:pPr>
            <w:r>
              <w:rPr>
                <w:rFonts w:ascii="Arial TUR" w:hAnsi="Arial TUR" w:cs="Arial TUR"/>
                <w:b/>
                <w:bCs/>
                <w:sz w:val="20"/>
                <w:szCs w:val="20"/>
              </w:rPr>
              <w:t>Katkılar</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5,3</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3,5</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4,9</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0,9</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8,2</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1,5</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1,4</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-1,5</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-0,4</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9,3</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-2,6</w:t>
            </w: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337278">
            <w:pPr>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337278">
            <w:pPr>
              <w:jc w:val="center"/>
              <w:rPr>
                <w:rFonts w:ascii="Arial" w:hAnsi="Arial" w:cs="Arial"/>
                <w:sz w:val="20"/>
                <w:szCs w:val="20"/>
              </w:rPr>
            </w:pPr>
          </w:p>
        </w:tc>
      </w:tr>
      <w:tr w:rsidR="00C258F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C258F7" w:rsidRDefault="00C258F7" w:rsidP="00DE1039">
            <w:pPr>
              <w:rPr>
                <w:rFonts w:ascii="Arial TUR" w:hAnsi="Arial TUR" w:cs="Arial TUR"/>
                <w:b/>
                <w:bCs/>
                <w:sz w:val="20"/>
                <w:szCs w:val="20"/>
              </w:rPr>
            </w:pPr>
            <w:r>
              <w:rPr>
                <w:rFonts w:ascii="Arial TUR" w:hAnsi="Arial TUR" w:cs="Arial TUR"/>
                <w:b/>
                <w:bCs/>
                <w:sz w:val="20"/>
                <w:szCs w:val="20"/>
              </w:rPr>
              <w:t>201</w:t>
            </w:r>
            <w:r w:rsidR="00337278">
              <w:rPr>
                <w:rFonts w:ascii="Arial TUR" w:hAnsi="Arial TUR" w:cs="Arial TUR"/>
                <w:b/>
                <w:bCs/>
                <w:sz w:val="20"/>
                <w:szCs w:val="20"/>
              </w:rPr>
              <w:t>3</w:t>
            </w:r>
            <w:r w:rsidR="002040C5">
              <w:rPr>
                <w:rFonts w:ascii="Arial TUR" w:hAnsi="Arial TUR" w:cs="Arial TUR"/>
                <w:b/>
                <w:bCs/>
                <w:sz w:val="20"/>
                <w:szCs w:val="20"/>
              </w:rPr>
              <w:t>-Q3</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337278">
            <w:pPr>
              <w:jc w:val="center"/>
              <w:rPr>
                <w:rFonts w:ascii="Arial TUR" w:hAnsi="Arial TUR" w:cs="Arial TUR"/>
                <w:b/>
                <w:bCs/>
                <w:sz w:val="20"/>
                <w:szCs w:val="20"/>
              </w:rPr>
            </w:pPr>
            <w:r>
              <w:rPr>
                <w:rFonts w:ascii="Arial TUR" w:hAnsi="Arial TUR" w:cs="Arial TUR"/>
                <w:b/>
                <w:bCs/>
                <w:sz w:val="20"/>
                <w:szCs w:val="20"/>
              </w:rPr>
              <w:t>Degişim</w:t>
            </w:r>
          </w:p>
        </w:tc>
        <w:tc>
          <w:tcPr>
            <w:tcW w:w="1260" w:type="dxa"/>
            <w:tcBorders>
              <w:top w:val="nil"/>
              <w:left w:val="nil"/>
              <w:bottom w:val="single" w:sz="4" w:space="0" w:color="auto"/>
              <w:right w:val="single" w:sz="4" w:space="0" w:color="auto"/>
            </w:tcBorders>
            <w:shd w:val="clear" w:color="auto" w:fill="auto"/>
            <w:noWrap/>
            <w:vAlign w:val="bottom"/>
          </w:tcPr>
          <w:p w:rsidR="00C258F7" w:rsidRDefault="00C258F7" w:rsidP="00337278">
            <w:pPr>
              <w:jc w:val="center"/>
              <w:rPr>
                <w:rFonts w:ascii="Arial TUR" w:hAnsi="Arial TUR" w:cs="Arial TUR"/>
                <w:b/>
                <w:bCs/>
                <w:sz w:val="20"/>
                <w:szCs w:val="20"/>
              </w:rPr>
            </w:pPr>
            <w:r>
              <w:rPr>
                <w:rFonts w:ascii="Arial TUR" w:hAnsi="Arial TUR" w:cs="Arial TUR"/>
                <w:b/>
                <w:bCs/>
                <w:sz w:val="20"/>
                <w:szCs w:val="20"/>
              </w:rPr>
              <w:t>Katkılar</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Tüketim</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4,7</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3,1</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Özel Yatırım</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3,6</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0,7</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Kamu Harcamaları</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6,1</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0,8</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Stok Değişimi</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1,9</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İhracat</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-2,3</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-0,6</w:t>
            </w:r>
          </w:p>
        </w:tc>
      </w:tr>
      <w:tr w:rsidR="00337278">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337278" w:rsidRDefault="00337278" w:rsidP="00DE1039">
            <w:pPr>
              <w:rPr>
                <w:rFonts w:ascii="Arial TUR" w:hAnsi="Arial TUR" w:cs="Arial TUR"/>
                <w:b/>
                <w:bCs/>
                <w:sz w:val="20"/>
                <w:szCs w:val="20"/>
              </w:rPr>
            </w:pPr>
            <w:r>
              <w:rPr>
                <w:rFonts w:ascii="Arial TUR" w:hAnsi="Arial TUR" w:cs="Arial TUR"/>
                <w:b/>
                <w:bCs/>
                <w:sz w:val="20"/>
                <w:szCs w:val="20"/>
              </w:rPr>
              <w:t>İthalat</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5,8</w:t>
            </w:r>
          </w:p>
        </w:tc>
        <w:tc>
          <w:tcPr>
            <w:tcW w:w="1260" w:type="dxa"/>
            <w:tcBorders>
              <w:top w:val="nil"/>
              <w:left w:val="nil"/>
              <w:bottom w:val="single" w:sz="4" w:space="0" w:color="auto"/>
              <w:right w:val="single" w:sz="4" w:space="0" w:color="auto"/>
            </w:tcBorders>
            <w:shd w:val="clear" w:color="auto" w:fill="auto"/>
            <w:noWrap/>
            <w:vAlign w:val="bottom"/>
          </w:tcPr>
          <w:p w:rsidR="00337278" w:rsidRDefault="00337278" w:rsidP="00337278">
            <w:pPr>
              <w:jc w:val="center"/>
              <w:rPr>
                <w:rFonts w:ascii="Arial" w:hAnsi="Arial" w:cs="Arial"/>
                <w:sz w:val="20"/>
                <w:szCs w:val="20"/>
              </w:rPr>
            </w:pPr>
            <w:r>
              <w:rPr>
                <w:rFonts w:ascii="Arial" w:hAnsi="Arial" w:cs="Arial"/>
                <w:sz w:val="20"/>
                <w:szCs w:val="20"/>
              </w:rPr>
              <w:t>-1,5</w:t>
            </w:r>
          </w:p>
        </w:tc>
      </w:tr>
    </w:tbl>
    <w:p w:rsidR="002B7DE6" w:rsidRDefault="002B7DE6" w:rsidP="002B7DE6">
      <w:pPr>
        <w:pStyle w:val="NormalWeb"/>
        <w:spacing w:before="0" w:beforeAutospacing="0" w:after="0" w:afterAutospacing="0"/>
        <w:ind w:right="77"/>
        <w:rPr>
          <w:sz w:val="18"/>
          <w:szCs w:val="18"/>
        </w:rPr>
      </w:pPr>
      <w:r>
        <w:rPr>
          <w:sz w:val="18"/>
          <w:szCs w:val="18"/>
        </w:rPr>
        <w:t xml:space="preserve">Kaynak: TÜİK, Betam. </w:t>
      </w:r>
      <w:r w:rsidRPr="002B7DE6">
        <w:rPr>
          <w:sz w:val="18"/>
          <w:szCs w:val="18"/>
        </w:rPr>
        <w:t>Çeyreklik göstergeler mevsim ve takvim etkisinden arındırılmıştır.</w:t>
      </w:r>
    </w:p>
    <w:p w:rsidR="00603DB9" w:rsidRDefault="002B7DE6" w:rsidP="00C335E9">
      <w:pPr>
        <w:pStyle w:val="NormalWeb"/>
        <w:spacing w:before="0" w:beforeAutospacing="0" w:after="0" w:afterAutospacing="0"/>
        <w:ind w:right="77"/>
        <w:rPr>
          <w:b/>
          <w:sz w:val="22"/>
          <w:szCs w:val="22"/>
        </w:rPr>
        <w:sectPr w:rsidR="00603DB9" w:rsidSect="00603DB9">
          <w:type w:val="continuous"/>
          <w:pgSz w:w="11906" w:h="16838"/>
          <w:pgMar w:top="1417" w:right="1106" w:bottom="1417" w:left="900" w:header="708" w:footer="708" w:gutter="0"/>
          <w:cols w:num="2" w:space="386"/>
          <w:docGrid w:linePitch="360"/>
        </w:sectPr>
      </w:pPr>
      <w:r>
        <w:rPr>
          <w:b/>
          <w:sz w:val="22"/>
          <w:szCs w:val="22"/>
        </w:rPr>
        <w:br/>
      </w:r>
    </w:p>
    <w:p w:rsidR="00C258F7" w:rsidRDefault="00C258F7" w:rsidP="00C335E9">
      <w:pPr>
        <w:pStyle w:val="NormalWeb"/>
        <w:spacing w:before="0" w:beforeAutospacing="0" w:after="0" w:afterAutospacing="0"/>
        <w:ind w:right="77"/>
        <w:rPr>
          <w:b/>
          <w:sz w:val="22"/>
          <w:szCs w:val="22"/>
        </w:rPr>
      </w:pPr>
    </w:p>
    <w:p w:rsidR="009F5135" w:rsidRDefault="009F5135" w:rsidP="00C335E9">
      <w:pPr>
        <w:pStyle w:val="NormalWeb"/>
        <w:spacing w:before="0" w:beforeAutospacing="0" w:after="0" w:afterAutospacing="0"/>
        <w:ind w:right="77"/>
        <w:rPr>
          <w:b/>
          <w:sz w:val="22"/>
          <w:szCs w:val="22"/>
        </w:rPr>
      </w:pPr>
    </w:p>
    <w:p w:rsidR="009F5135" w:rsidRDefault="009F5135" w:rsidP="00C335E9">
      <w:pPr>
        <w:pStyle w:val="NormalWeb"/>
        <w:spacing w:before="0" w:beforeAutospacing="0" w:after="0" w:afterAutospacing="0"/>
        <w:ind w:right="77"/>
        <w:rPr>
          <w:b/>
          <w:sz w:val="22"/>
          <w:szCs w:val="22"/>
        </w:rPr>
      </w:pPr>
    </w:p>
    <w:p w:rsidR="00603DB9" w:rsidRDefault="00603DB9" w:rsidP="00C335E9">
      <w:pPr>
        <w:pStyle w:val="NormalWeb"/>
        <w:spacing w:before="0" w:beforeAutospacing="0" w:after="0" w:afterAutospacing="0"/>
        <w:ind w:right="77"/>
        <w:rPr>
          <w:b/>
          <w:sz w:val="22"/>
          <w:szCs w:val="22"/>
        </w:rPr>
        <w:sectPr w:rsidR="00603DB9" w:rsidSect="00EF6749">
          <w:type w:val="continuous"/>
          <w:pgSz w:w="11906" w:h="16838"/>
          <w:pgMar w:top="1417" w:right="1106" w:bottom="1417" w:left="900" w:header="708" w:footer="708" w:gutter="0"/>
          <w:cols w:space="386"/>
          <w:docGrid w:linePitch="360"/>
        </w:sectPr>
      </w:pPr>
    </w:p>
    <w:p w:rsidR="00603DB9" w:rsidRDefault="00603DB9" w:rsidP="00C335E9">
      <w:pPr>
        <w:pStyle w:val="NormalWeb"/>
        <w:spacing w:before="0" w:beforeAutospacing="0" w:after="0" w:afterAutospacing="0"/>
        <w:ind w:right="77"/>
        <w:rPr>
          <w:b/>
          <w:sz w:val="22"/>
          <w:szCs w:val="22"/>
        </w:rPr>
      </w:pPr>
    </w:p>
    <w:p w:rsidR="002040C5" w:rsidRDefault="002040C5" w:rsidP="002B7DE6">
      <w:pPr>
        <w:pStyle w:val="NormalWeb"/>
        <w:spacing w:before="0" w:beforeAutospacing="0" w:after="0" w:afterAutospacing="0"/>
        <w:ind w:right="77"/>
        <w:rPr>
          <w:b/>
          <w:bCs/>
          <w:sz w:val="22"/>
          <w:szCs w:val="22"/>
        </w:rPr>
      </w:pPr>
    </w:p>
    <w:p w:rsidR="002B7DE6" w:rsidRPr="00F13CED" w:rsidRDefault="002B7DE6" w:rsidP="002B7DE6">
      <w:pPr>
        <w:pStyle w:val="NormalWeb"/>
        <w:spacing w:before="0" w:beforeAutospacing="0" w:after="0" w:afterAutospacing="0"/>
        <w:ind w:right="77"/>
        <w:rPr>
          <w:sz w:val="22"/>
          <w:szCs w:val="22"/>
        </w:rPr>
      </w:pPr>
      <w:r>
        <w:rPr>
          <w:b/>
          <w:bCs/>
          <w:sz w:val="22"/>
          <w:szCs w:val="22"/>
        </w:rPr>
        <w:lastRenderedPageBreak/>
        <w:t>Ek 1</w:t>
      </w:r>
      <w:r w:rsidRPr="00E06534">
        <w:rPr>
          <w:b/>
          <w:bCs/>
          <w:sz w:val="22"/>
          <w:szCs w:val="22"/>
        </w:rPr>
        <w:t>:</w:t>
      </w:r>
      <w:r w:rsidRPr="00F13CED">
        <w:rPr>
          <w:sz w:val="22"/>
          <w:szCs w:val="22"/>
        </w:rPr>
        <w:t xml:space="preserve">  </w:t>
      </w:r>
      <w:r w:rsidRPr="00E06534">
        <w:rPr>
          <w:b/>
          <w:bCs/>
          <w:sz w:val="22"/>
          <w:szCs w:val="22"/>
        </w:rPr>
        <w:t>GSYH değişimi ve alt kalemlerin büyümeye katkılarının hesaplanması:</w:t>
      </w:r>
    </w:p>
    <w:p w:rsidR="002B7DE6" w:rsidRDefault="002B7DE6" w:rsidP="002B7DE6">
      <w:pPr>
        <w:pStyle w:val="NormalWeb"/>
        <w:spacing w:before="0" w:beforeAutospacing="0" w:after="0" w:afterAutospacing="0"/>
        <w:ind w:right="77"/>
        <w:jc w:val="both"/>
        <w:rPr>
          <w:sz w:val="22"/>
          <w:szCs w:val="22"/>
        </w:rPr>
      </w:pPr>
      <w:r>
        <w:rPr>
          <w:sz w:val="22"/>
          <w:szCs w:val="22"/>
        </w:rPr>
        <w:t>Alt kalemler 3 grup altında toplanmıştı</w:t>
      </w:r>
      <w:r w:rsidRPr="00F13CED">
        <w:rPr>
          <w:sz w:val="22"/>
          <w:szCs w:val="22"/>
        </w:rPr>
        <w:t>r :</w:t>
      </w:r>
    </w:p>
    <w:p w:rsidR="002B7DE6" w:rsidRPr="008D711C" w:rsidRDefault="002B7DE6" w:rsidP="002B7DE6">
      <w:pPr>
        <w:pStyle w:val="NormalWeb"/>
        <w:spacing w:before="0" w:beforeAutospacing="0" w:after="0" w:afterAutospacing="0"/>
        <w:ind w:right="77"/>
        <w:jc w:val="both"/>
        <w:rPr>
          <w:sz w:val="10"/>
          <w:szCs w:val="10"/>
        </w:rPr>
      </w:pPr>
    </w:p>
    <w:p w:rsidR="002B7DE6" w:rsidRDefault="002B7DE6" w:rsidP="002B7DE6">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Nihai iç talep, yerleşik hanehalklarını</w:t>
      </w:r>
      <w:r w:rsidRPr="00F13CED">
        <w:rPr>
          <w:sz w:val="22"/>
          <w:szCs w:val="22"/>
        </w:rPr>
        <w:t>n tüketimi (tüketim), de</w:t>
      </w:r>
      <w:r>
        <w:rPr>
          <w:sz w:val="22"/>
          <w:szCs w:val="22"/>
        </w:rPr>
        <w:t>vletin nihai tüketim harcamaları ve yatırım harcamaları toplamı (kamu harcamaları), özel sektörün yatırı</w:t>
      </w:r>
      <w:r w:rsidRPr="00F13CED">
        <w:rPr>
          <w:sz w:val="22"/>
          <w:szCs w:val="22"/>
        </w:rPr>
        <w:t>m harcamalar (yat</w:t>
      </w:r>
      <w:r>
        <w:rPr>
          <w:sz w:val="22"/>
          <w:szCs w:val="22"/>
        </w:rPr>
        <w:t>ırım) oluşmaktadı</w:t>
      </w:r>
      <w:r w:rsidRPr="00F13CED">
        <w:rPr>
          <w:sz w:val="22"/>
          <w:szCs w:val="22"/>
        </w:rPr>
        <w:t>r.</w:t>
      </w:r>
    </w:p>
    <w:p w:rsidR="002B7DE6" w:rsidRPr="008D711C" w:rsidRDefault="002B7DE6" w:rsidP="002B7DE6">
      <w:pPr>
        <w:pStyle w:val="NormalWeb"/>
        <w:spacing w:before="0" w:beforeAutospacing="0" w:after="0" w:afterAutospacing="0"/>
        <w:ind w:left="180" w:right="77"/>
        <w:jc w:val="both"/>
        <w:rPr>
          <w:sz w:val="10"/>
          <w:szCs w:val="10"/>
        </w:rPr>
      </w:pPr>
    </w:p>
    <w:p w:rsidR="002B7DE6" w:rsidRDefault="002B7DE6" w:rsidP="002B7DE6">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Net dış talepteki değiş</w:t>
      </w:r>
      <w:r w:rsidRPr="00F13CED">
        <w:rPr>
          <w:sz w:val="22"/>
          <w:szCs w:val="22"/>
        </w:rPr>
        <w:t>im, ihrac</w:t>
      </w:r>
      <w:r>
        <w:rPr>
          <w:sz w:val="22"/>
          <w:szCs w:val="22"/>
        </w:rPr>
        <w:t>at ve ithalat kalemleri arasındaki farkı</w:t>
      </w:r>
      <w:r w:rsidRPr="00F13CED">
        <w:rPr>
          <w:sz w:val="22"/>
          <w:szCs w:val="22"/>
        </w:rPr>
        <w:t xml:space="preserve"> göstermektedir.</w:t>
      </w:r>
    </w:p>
    <w:p w:rsidR="002B7DE6" w:rsidRPr="008D711C" w:rsidRDefault="002B7DE6" w:rsidP="002B7DE6">
      <w:pPr>
        <w:pStyle w:val="NormalWeb"/>
        <w:spacing w:before="0" w:beforeAutospacing="0" w:after="0" w:afterAutospacing="0"/>
        <w:ind w:right="77"/>
        <w:jc w:val="both"/>
        <w:rPr>
          <w:sz w:val="10"/>
          <w:szCs w:val="10"/>
        </w:rPr>
      </w:pPr>
    </w:p>
    <w:p w:rsidR="002B7DE6" w:rsidRPr="00F13CED" w:rsidRDefault="002B7DE6" w:rsidP="002B7DE6">
      <w:pPr>
        <w:pStyle w:val="NormalWeb"/>
        <w:numPr>
          <w:ilvl w:val="0"/>
          <w:numId w:val="4"/>
        </w:numPr>
        <w:tabs>
          <w:tab w:val="clear" w:pos="720"/>
          <w:tab w:val="num" w:pos="360"/>
        </w:tabs>
        <w:spacing w:before="0" w:beforeAutospacing="0" w:after="0" w:afterAutospacing="0"/>
        <w:ind w:left="360" w:right="77" w:hanging="180"/>
        <w:jc w:val="both"/>
        <w:rPr>
          <w:sz w:val="22"/>
          <w:szCs w:val="22"/>
        </w:rPr>
      </w:pPr>
      <w:r>
        <w:rPr>
          <w:sz w:val="22"/>
          <w:szCs w:val="22"/>
        </w:rPr>
        <w:t>Stok değişimi kalemi ise, stokların bir önceki döneme göre nasıl değiştiğini göstermektedir (Ayrıntı</w:t>
      </w:r>
      <w:r w:rsidRPr="00F13CED">
        <w:rPr>
          <w:sz w:val="22"/>
          <w:szCs w:val="22"/>
        </w:rPr>
        <w:t>lar için bkz Ek-2.)</w:t>
      </w:r>
    </w:p>
    <w:p w:rsidR="002B7DE6" w:rsidRPr="00F13CED" w:rsidRDefault="002B7DE6" w:rsidP="002B7DE6">
      <w:pPr>
        <w:pStyle w:val="NormalWeb"/>
        <w:spacing w:before="0" w:beforeAutospacing="0" w:after="0" w:afterAutospacing="0"/>
        <w:ind w:right="77"/>
        <w:rPr>
          <w:sz w:val="22"/>
          <w:szCs w:val="22"/>
        </w:rPr>
      </w:pPr>
    </w:p>
    <w:p w:rsidR="002B7DE6" w:rsidRPr="00F13CED" w:rsidRDefault="002B7DE6" w:rsidP="002B7DE6">
      <w:pPr>
        <w:pStyle w:val="NormalWeb"/>
        <w:spacing w:before="0" w:beforeAutospacing="0" w:after="0" w:afterAutospacing="0"/>
        <w:ind w:right="77"/>
        <w:jc w:val="both"/>
        <w:rPr>
          <w:sz w:val="22"/>
          <w:szCs w:val="22"/>
        </w:rPr>
      </w:pPr>
      <w:r>
        <w:rPr>
          <w:sz w:val="22"/>
          <w:szCs w:val="22"/>
        </w:rPr>
        <w:t>GSYH'daki yüzde değişimi bulmak iç</w:t>
      </w:r>
      <w:r w:rsidRPr="00F13CED">
        <w:rPr>
          <w:sz w:val="22"/>
          <w:szCs w:val="22"/>
        </w:rPr>
        <w:t>in, her bir alt bi</w:t>
      </w:r>
      <w:r>
        <w:rPr>
          <w:sz w:val="22"/>
          <w:szCs w:val="22"/>
        </w:rPr>
        <w:t>leşenin önceki döneme göre değiş</w:t>
      </w:r>
      <w:r w:rsidRPr="00F13CED">
        <w:rPr>
          <w:sz w:val="22"/>
          <w:szCs w:val="22"/>
        </w:rPr>
        <w:t xml:space="preserve">imi, bir önceki </w:t>
      </w:r>
      <w:r>
        <w:rPr>
          <w:sz w:val="22"/>
          <w:szCs w:val="22"/>
        </w:rPr>
        <w:t>döneme ait GSYH rakamı</w:t>
      </w:r>
      <w:r w:rsidRPr="00F13CED">
        <w:rPr>
          <w:sz w:val="22"/>
          <w:szCs w:val="22"/>
        </w:rPr>
        <w:t xml:space="preserve">na (GSYH </w:t>
      </w:r>
      <w:r w:rsidRPr="00F13CED">
        <w:rPr>
          <w:i/>
          <w:iCs/>
          <w:sz w:val="22"/>
          <w:szCs w:val="22"/>
          <w:vertAlign w:val="subscript"/>
        </w:rPr>
        <w:t xml:space="preserve">t </w:t>
      </w:r>
      <w:r w:rsidRPr="00F13CED">
        <w:rPr>
          <w:sz w:val="22"/>
          <w:szCs w:val="22"/>
          <w:vertAlign w:val="subscript"/>
        </w:rPr>
        <w:t>-1</w:t>
      </w:r>
      <w:r>
        <w:rPr>
          <w:sz w:val="22"/>
          <w:szCs w:val="22"/>
        </w:rPr>
        <w:t>) oranlanmış ve böylece her bir bileş</w:t>
      </w:r>
      <w:r w:rsidRPr="00F13CED">
        <w:rPr>
          <w:sz w:val="22"/>
          <w:szCs w:val="22"/>
        </w:rPr>
        <w:t>enin o GSYH büyüme</w:t>
      </w:r>
      <w:r>
        <w:rPr>
          <w:sz w:val="22"/>
          <w:szCs w:val="22"/>
        </w:rPr>
        <w:t>sine olan katkısı bulunmuş</w:t>
      </w:r>
      <w:r w:rsidRPr="00F13CED">
        <w:rPr>
          <w:sz w:val="22"/>
          <w:szCs w:val="22"/>
        </w:rPr>
        <w:t>tur.</w:t>
      </w:r>
    </w:p>
    <w:p w:rsidR="002B7DE6" w:rsidRDefault="002B7DE6" w:rsidP="002B7DE6">
      <w:pPr>
        <w:pStyle w:val="NormalWeb"/>
        <w:spacing w:before="0" w:beforeAutospacing="0" w:after="0" w:afterAutospacing="0"/>
        <w:ind w:right="77"/>
        <w:rPr>
          <w:sz w:val="22"/>
          <w:szCs w:val="22"/>
        </w:rPr>
      </w:pPr>
    </w:p>
    <w:p w:rsidR="002B7DE6" w:rsidRPr="00F13CED" w:rsidRDefault="002B7DE6" w:rsidP="002B7DE6">
      <w:pPr>
        <w:pStyle w:val="NormalWeb"/>
        <w:spacing w:before="0" w:beforeAutospacing="0" w:after="0" w:afterAutospacing="0"/>
        <w:ind w:right="77"/>
        <w:rPr>
          <w:sz w:val="22"/>
          <w:szCs w:val="22"/>
        </w:rPr>
      </w:pPr>
      <w:r>
        <w:rPr>
          <w:sz w:val="22"/>
          <w:szCs w:val="22"/>
        </w:rPr>
        <w:t>Baş</w:t>
      </w:r>
      <w:r w:rsidRPr="00F13CED">
        <w:rPr>
          <w:sz w:val="22"/>
          <w:szCs w:val="22"/>
        </w:rPr>
        <w:t>ka bir ifadeyle,</w:t>
      </w:r>
    </w:p>
    <w:p w:rsidR="002B7DE6" w:rsidRPr="00F13CED" w:rsidRDefault="002B7DE6" w:rsidP="002B7DE6">
      <w:pPr>
        <w:pStyle w:val="NormalWeb"/>
        <w:spacing w:before="0" w:beforeAutospacing="0" w:after="0" w:afterAutospacing="0"/>
        <w:ind w:right="77"/>
        <w:rPr>
          <w:sz w:val="22"/>
          <w:szCs w:val="22"/>
        </w:rPr>
      </w:pPr>
      <w:r w:rsidRPr="00F13CED">
        <w:rPr>
          <w:sz w:val="22"/>
          <w:szCs w:val="22"/>
        </w:rPr>
        <w:t>X</w:t>
      </w:r>
      <w:r>
        <w:rPr>
          <w:sz w:val="22"/>
          <w:szCs w:val="22"/>
        </w:rPr>
        <w:t xml:space="preserve"> </w:t>
      </w:r>
      <w:r w:rsidRPr="00F13CED">
        <w:rPr>
          <w:sz w:val="22"/>
          <w:szCs w:val="22"/>
        </w:rPr>
        <w:t>: GSYH alt kalemi</w:t>
      </w:r>
    </w:p>
    <w:p w:rsidR="002B7DE6" w:rsidRPr="00F13CED" w:rsidRDefault="002B7DE6" w:rsidP="002B7DE6">
      <w:pPr>
        <w:pStyle w:val="NormalWeb"/>
        <w:spacing w:before="0" w:beforeAutospacing="0" w:after="0" w:afterAutospacing="0"/>
        <w:ind w:right="77"/>
        <w:rPr>
          <w:sz w:val="22"/>
          <w:szCs w:val="22"/>
        </w:rPr>
      </w:pPr>
      <w:r>
        <w:rPr>
          <w:sz w:val="22"/>
          <w:szCs w:val="22"/>
        </w:rPr>
        <w:t>X'in değ</w:t>
      </w:r>
      <w:r w:rsidRPr="00F13CED">
        <w:rPr>
          <w:sz w:val="22"/>
          <w:szCs w:val="22"/>
        </w:rPr>
        <w:t>i</w:t>
      </w:r>
      <w:r>
        <w:rPr>
          <w:sz w:val="22"/>
          <w:szCs w:val="22"/>
        </w:rPr>
        <w:t>şimin t zamandaki büyümeye katkısı</w:t>
      </w:r>
      <w:r w:rsidRPr="00F13CED">
        <w:rPr>
          <w:sz w:val="22"/>
          <w:szCs w:val="22"/>
        </w:rPr>
        <w:t xml:space="preserve"> </w:t>
      </w:r>
      <w:r>
        <w:rPr>
          <w:sz w:val="22"/>
          <w:szCs w:val="22"/>
        </w:rPr>
        <w:t>:</w:t>
      </w:r>
    </w:p>
    <w:p w:rsidR="002B7DE6" w:rsidRPr="00F13CED" w:rsidRDefault="002B7DE6" w:rsidP="002B7DE6">
      <w:pPr>
        <w:pStyle w:val="NormalWeb"/>
        <w:spacing w:before="0" w:beforeAutospacing="0" w:after="0" w:afterAutospacing="0"/>
        <w:ind w:right="77"/>
        <w:rPr>
          <w:sz w:val="22"/>
          <w:szCs w:val="22"/>
        </w:rPr>
      </w:pPr>
      <w:r>
        <w:rPr>
          <w:sz w:val="22"/>
          <w:szCs w:val="22"/>
        </w:rPr>
        <w:t xml:space="preserve">     = (X</w:t>
      </w:r>
      <w:r w:rsidRPr="00A76BDF">
        <w:rPr>
          <w:i/>
          <w:iCs/>
          <w:sz w:val="22"/>
          <w:szCs w:val="22"/>
          <w:vertAlign w:val="subscript"/>
        </w:rPr>
        <w:t>t</w:t>
      </w:r>
      <w:r w:rsidRPr="00A76BDF">
        <w:rPr>
          <w:sz w:val="22"/>
          <w:szCs w:val="22"/>
          <w:vertAlign w:val="subscript"/>
        </w:rPr>
        <w:t xml:space="preserve"> </w:t>
      </w:r>
      <w:r w:rsidRPr="00F13CED">
        <w:rPr>
          <w:sz w:val="22"/>
          <w:szCs w:val="22"/>
        </w:rPr>
        <w:t>– X</w:t>
      </w:r>
      <w:r w:rsidRPr="00A76BDF">
        <w:rPr>
          <w:i/>
          <w:iCs/>
          <w:sz w:val="22"/>
          <w:szCs w:val="22"/>
          <w:vertAlign w:val="subscript"/>
        </w:rPr>
        <w:t>t</w:t>
      </w:r>
      <w:r w:rsidRPr="00A76BDF">
        <w:rPr>
          <w:sz w:val="22"/>
          <w:szCs w:val="22"/>
          <w:vertAlign w:val="subscript"/>
        </w:rPr>
        <w:t>-1</w:t>
      </w:r>
      <w:r w:rsidRPr="00F13CED">
        <w:rPr>
          <w:sz w:val="22"/>
          <w:szCs w:val="22"/>
        </w:rPr>
        <w:t>) / GSYH</w:t>
      </w:r>
      <w:r w:rsidRPr="00A76BDF">
        <w:rPr>
          <w:i/>
          <w:iCs/>
          <w:sz w:val="22"/>
          <w:szCs w:val="22"/>
          <w:vertAlign w:val="subscript"/>
        </w:rPr>
        <w:t>t</w:t>
      </w:r>
      <w:r w:rsidRPr="00A76BDF">
        <w:rPr>
          <w:sz w:val="22"/>
          <w:szCs w:val="22"/>
          <w:vertAlign w:val="subscript"/>
        </w:rPr>
        <w:t>-1</w:t>
      </w:r>
    </w:p>
    <w:p w:rsidR="002B7DE6" w:rsidRPr="00F13CED" w:rsidRDefault="002B7DE6" w:rsidP="002B7DE6">
      <w:pPr>
        <w:pStyle w:val="NormalWeb"/>
        <w:spacing w:before="0" w:beforeAutospacing="0" w:after="0" w:afterAutospacing="0"/>
        <w:ind w:right="77"/>
        <w:rPr>
          <w:sz w:val="22"/>
          <w:szCs w:val="22"/>
        </w:rPr>
      </w:pPr>
      <w:r w:rsidRPr="00F13CED">
        <w:rPr>
          <w:sz w:val="22"/>
          <w:szCs w:val="22"/>
        </w:rPr>
        <w:t>formülünü kullanarak hesaplanabilir.</w:t>
      </w:r>
    </w:p>
    <w:p w:rsidR="002B7DE6" w:rsidRDefault="002B7DE6" w:rsidP="002B7DE6">
      <w:pPr>
        <w:ind w:right="77"/>
        <w:jc w:val="both"/>
      </w:pPr>
    </w:p>
    <w:p w:rsidR="002B7DE6" w:rsidRPr="00E172B6" w:rsidRDefault="002B7DE6" w:rsidP="002B7DE6">
      <w:pPr>
        <w:ind w:right="77"/>
        <w:jc w:val="both"/>
        <w:rPr>
          <w:b/>
          <w:bCs/>
          <w:sz w:val="22"/>
          <w:szCs w:val="22"/>
        </w:rPr>
      </w:pPr>
      <w:r w:rsidRPr="00E172B6">
        <w:rPr>
          <w:b/>
          <w:bCs/>
          <w:sz w:val="22"/>
          <w:szCs w:val="22"/>
        </w:rPr>
        <w:t>TÜİK</w:t>
      </w:r>
      <w:r>
        <w:rPr>
          <w:b/>
          <w:bCs/>
          <w:sz w:val="22"/>
          <w:szCs w:val="22"/>
        </w:rPr>
        <w:t xml:space="preserve"> </w:t>
      </w:r>
      <w:r w:rsidRPr="00E172B6">
        <w:rPr>
          <w:b/>
          <w:bCs/>
          <w:sz w:val="22"/>
          <w:szCs w:val="22"/>
        </w:rPr>
        <w:t>ve BETAM’ın yöntemleri arasındaki fark</w:t>
      </w:r>
    </w:p>
    <w:p w:rsidR="002B7DE6" w:rsidRDefault="002B7DE6" w:rsidP="002B7DE6">
      <w:pPr>
        <w:ind w:right="77"/>
        <w:jc w:val="both"/>
      </w:pPr>
      <w:r>
        <w:t>TÜİK, GSYH serisini mevsim ve takvim etkisinden arındırmak için alt kalemleri tek tek almak yerine, bunların toplamını kullanmaktadır. Ancak GSYH’yı oluşturan her bir alt kalemin farklı mevsimsel döngüleri olabileceği göz önüne alındığında, her bir alt kalemi ayrı ayrı ele alıp, mevsim ve takvim etkilerinden arındırmak ve bunların toplamını mevsim ve takvim etkisinden arındırılmış GSYH serisi olarak almak daha sağlıklıdır. Bu iki yöntem farklı sonuçlar verse de, ilgili literatürde her iki yöntem de kabul görmekte ve yaygın olarak kullanılmaktadır.</w:t>
      </w:r>
    </w:p>
    <w:p w:rsidR="002B7DE6" w:rsidRDefault="002B7DE6" w:rsidP="002B7DE6">
      <w:pPr>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spacing w:line="288" w:lineRule="auto"/>
        <w:ind w:right="77"/>
        <w:jc w:val="both"/>
      </w:pPr>
    </w:p>
    <w:p w:rsidR="002B7DE6" w:rsidRDefault="002B7DE6" w:rsidP="002B7DE6">
      <w:pPr>
        <w:ind w:right="77"/>
        <w:jc w:val="both"/>
        <w:rPr>
          <w:b/>
          <w:bCs/>
          <w:sz w:val="22"/>
          <w:szCs w:val="22"/>
        </w:rPr>
      </w:pPr>
    </w:p>
    <w:p w:rsidR="002B7DE6" w:rsidRPr="00B75A4B" w:rsidRDefault="002B7DE6" w:rsidP="002B7DE6">
      <w:pPr>
        <w:ind w:right="77"/>
        <w:jc w:val="both"/>
        <w:rPr>
          <w:rFonts w:ascii="Arial" w:hAnsi="Arial" w:cs="Arial"/>
          <w:b/>
          <w:bCs/>
          <w:sz w:val="22"/>
          <w:szCs w:val="22"/>
        </w:rPr>
      </w:pPr>
      <w:r w:rsidRPr="00B75A4B">
        <w:rPr>
          <w:b/>
          <w:bCs/>
          <w:sz w:val="22"/>
          <w:szCs w:val="22"/>
        </w:rPr>
        <w:lastRenderedPageBreak/>
        <w:t>Ek</w:t>
      </w:r>
      <w:r>
        <w:rPr>
          <w:b/>
          <w:bCs/>
          <w:sz w:val="22"/>
          <w:szCs w:val="22"/>
        </w:rPr>
        <w:t xml:space="preserve"> 2</w:t>
      </w:r>
      <w:r w:rsidRPr="00B75A4B">
        <w:rPr>
          <w:b/>
          <w:bCs/>
          <w:sz w:val="22"/>
          <w:szCs w:val="22"/>
        </w:rPr>
        <w:t>: Stok değişimi kaleminin ve büyümeye katkısının hesaplanması</w:t>
      </w:r>
    </w:p>
    <w:p w:rsidR="002B7DE6" w:rsidRPr="00B75A4B" w:rsidRDefault="002B7DE6" w:rsidP="002B7DE6">
      <w:pPr>
        <w:ind w:right="77"/>
        <w:jc w:val="both"/>
        <w:rPr>
          <w:rFonts w:ascii="Arial" w:hAnsi="Arial" w:cs="Arial"/>
          <w:sz w:val="22"/>
          <w:szCs w:val="22"/>
        </w:rPr>
      </w:pPr>
      <w:r w:rsidRPr="00B75A4B">
        <w:rPr>
          <w:sz w:val="22"/>
          <w:szCs w:val="22"/>
        </w:rPr>
        <w:t>'Stok değişimi' kalemi, GSYH'nin harcamalar yöntemiyle hesaplanan bölümünde yer alır ve stokların bir önceki döneme göre nasıl değiştiğini gösterir.</w:t>
      </w:r>
    </w:p>
    <w:p w:rsidR="002B7DE6" w:rsidRPr="00E416B0" w:rsidRDefault="002B7DE6" w:rsidP="002B7DE6">
      <w:pPr>
        <w:ind w:left="-360" w:right="77"/>
        <w:jc w:val="both"/>
        <w:rPr>
          <w:sz w:val="10"/>
          <w:szCs w:val="10"/>
        </w:rPr>
      </w:pPr>
    </w:p>
    <w:p w:rsidR="002B7DE6" w:rsidRPr="00B75A4B" w:rsidRDefault="002B7DE6" w:rsidP="002B7DE6">
      <w:pPr>
        <w:ind w:right="77"/>
        <w:jc w:val="both"/>
        <w:rPr>
          <w:sz w:val="22"/>
          <w:szCs w:val="22"/>
          <w:vertAlign w:val="subscript"/>
        </w:rPr>
      </w:pPr>
      <w:r w:rsidRPr="00B75A4B">
        <w:rPr>
          <w:sz w:val="22"/>
          <w:szCs w:val="22"/>
        </w:rPr>
        <w:t xml:space="preserve">Stok değişimi </w:t>
      </w:r>
      <w:r w:rsidRPr="00B75A4B">
        <w:rPr>
          <w:i/>
          <w:iCs/>
          <w:sz w:val="22"/>
          <w:szCs w:val="22"/>
          <w:vertAlign w:val="subscript"/>
        </w:rPr>
        <w:t>t</w:t>
      </w:r>
      <w:r w:rsidRPr="00B75A4B">
        <w:rPr>
          <w:sz w:val="22"/>
          <w:szCs w:val="22"/>
        </w:rPr>
        <w:t xml:space="preserve"> = 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p>
    <w:p w:rsidR="002B7DE6" w:rsidRPr="008517F6" w:rsidRDefault="002B7DE6" w:rsidP="002B7DE6">
      <w:pPr>
        <w:ind w:right="77"/>
        <w:jc w:val="both"/>
        <w:rPr>
          <w:rFonts w:ascii="Arial" w:hAnsi="Arial" w:cs="Arial"/>
          <w:sz w:val="10"/>
          <w:szCs w:val="10"/>
        </w:rPr>
      </w:pPr>
    </w:p>
    <w:p w:rsidR="002B7DE6" w:rsidRPr="00B75A4B" w:rsidRDefault="002B7DE6" w:rsidP="002B7DE6">
      <w:pPr>
        <w:pStyle w:val="NormalWeb"/>
        <w:spacing w:before="0" w:beforeAutospacing="0" w:after="0" w:afterAutospacing="0"/>
        <w:ind w:right="77"/>
        <w:jc w:val="both"/>
        <w:rPr>
          <w:sz w:val="22"/>
          <w:szCs w:val="22"/>
        </w:rPr>
      </w:pPr>
      <w:r w:rsidRPr="00B75A4B">
        <w:rPr>
          <w:sz w:val="22"/>
          <w:szCs w:val="22"/>
        </w:rPr>
        <w:t>Dolayısıyla stok değişimi kalemindeki</w:t>
      </w:r>
      <w:r>
        <w:rPr>
          <w:sz w:val="22"/>
          <w:szCs w:val="22"/>
        </w:rPr>
        <w:t xml:space="preserve"> </w:t>
      </w:r>
      <w:r w:rsidRPr="00B75A4B">
        <w:rPr>
          <w:sz w:val="22"/>
          <w:szCs w:val="22"/>
        </w:rPr>
        <w:t>artış</w:t>
      </w:r>
      <w:r>
        <w:rPr>
          <w:sz w:val="22"/>
          <w:szCs w:val="22"/>
        </w:rPr>
        <w:t xml:space="preserve"> </w:t>
      </w:r>
      <w:r w:rsidRPr="00B75A4B">
        <w:rPr>
          <w:sz w:val="22"/>
          <w:szCs w:val="22"/>
        </w:rPr>
        <w:t>(azalış), stoklardaki artıştan (azalıştan)</w:t>
      </w:r>
      <w:r>
        <w:rPr>
          <w:sz w:val="22"/>
          <w:szCs w:val="22"/>
        </w:rPr>
        <w:t xml:space="preserve"> </w:t>
      </w:r>
      <w:r w:rsidRPr="00B75A4B">
        <w:rPr>
          <w:sz w:val="22"/>
          <w:szCs w:val="22"/>
        </w:rPr>
        <w:t>ziyade iki dönem stokları arasındaki farkı</w:t>
      </w:r>
      <w:r>
        <w:rPr>
          <w:sz w:val="22"/>
          <w:szCs w:val="22"/>
        </w:rPr>
        <w:t>n artısından (azalış</w:t>
      </w:r>
      <w:r w:rsidRPr="00B75A4B">
        <w:rPr>
          <w:sz w:val="22"/>
          <w:szCs w:val="22"/>
        </w:rPr>
        <w:t>ından) kaynaklanmaktadır.</w:t>
      </w:r>
    </w:p>
    <w:p w:rsidR="002B7DE6" w:rsidRPr="00B75A4B" w:rsidRDefault="002B7DE6" w:rsidP="002B7DE6">
      <w:pPr>
        <w:ind w:right="77"/>
        <w:jc w:val="both"/>
        <w:rPr>
          <w:sz w:val="22"/>
          <w:szCs w:val="22"/>
        </w:rPr>
      </w:pPr>
    </w:p>
    <w:p w:rsidR="002B7DE6" w:rsidRDefault="002B7DE6" w:rsidP="002B7DE6">
      <w:pPr>
        <w:ind w:right="77"/>
        <w:jc w:val="both"/>
        <w:rPr>
          <w:sz w:val="22"/>
          <w:szCs w:val="22"/>
        </w:rPr>
      </w:pPr>
      <w:r w:rsidRPr="00B75A4B">
        <w:rPr>
          <w:sz w:val="22"/>
          <w:szCs w:val="22"/>
        </w:rPr>
        <w:t>Ancak TÜİK, üretim ve tüketim yöntemine göre hesaplanan GSYH rakamları arasında fark olması durumunda, bu farkı da stok değişimi kaleminin içinde göstermektedir.</w:t>
      </w:r>
    </w:p>
    <w:p w:rsidR="002B7DE6" w:rsidRDefault="002B7DE6" w:rsidP="002B7DE6">
      <w:pPr>
        <w:ind w:right="77"/>
        <w:jc w:val="both"/>
        <w:rPr>
          <w:sz w:val="22"/>
          <w:szCs w:val="22"/>
        </w:rPr>
      </w:pPr>
    </w:p>
    <w:p w:rsidR="002B7DE6" w:rsidRDefault="002B7DE6" w:rsidP="002B7DE6">
      <w:pPr>
        <w:ind w:right="77"/>
        <w:jc w:val="both"/>
        <w:rPr>
          <w:sz w:val="22"/>
          <w:szCs w:val="22"/>
        </w:rPr>
      </w:pPr>
      <w:r>
        <w:rPr>
          <w:sz w:val="22"/>
          <w:szCs w:val="22"/>
        </w:rPr>
        <w:t>İki farklı</w:t>
      </w:r>
      <w:r w:rsidRPr="002F27AE">
        <w:rPr>
          <w:sz w:val="22"/>
          <w:szCs w:val="22"/>
        </w:rPr>
        <w:t xml:space="preserve"> yöntem</w:t>
      </w:r>
      <w:r>
        <w:rPr>
          <w:sz w:val="22"/>
          <w:szCs w:val="22"/>
        </w:rPr>
        <w:t>e göre hesaplanan GSYH rakamları arası</w:t>
      </w:r>
      <w:r w:rsidRPr="002F27AE">
        <w:rPr>
          <w:sz w:val="22"/>
          <w:szCs w:val="22"/>
        </w:rPr>
        <w:t>nd</w:t>
      </w:r>
      <w:r>
        <w:rPr>
          <w:sz w:val="22"/>
          <w:szCs w:val="22"/>
        </w:rPr>
        <w:t xml:space="preserve">a farkı </w:t>
      </w:r>
      <w:r>
        <w:rPr>
          <w:sz w:val="22"/>
          <w:szCs w:val="22"/>
        </w:rPr>
        <w:sym w:font="Symbol" w:char="F065"/>
      </w:r>
      <w:r w:rsidRPr="002F27AE">
        <w:rPr>
          <w:i/>
          <w:iCs/>
          <w:sz w:val="22"/>
          <w:szCs w:val="22"/>
          <w:vertAlign w:val="subscript"/>
        </w:rPr>
        <w:t>t</w:t>
      </w:r>
      <w:r w:rsidRPr="002F27AE">
        <w:rPr>
          <w:sz w:val="22"/>
          <w:szCs w:val="22"/>
          <w:vertAlign w:val="subscript"/>
        </w:rPr>
        <w:t>-1</w:t>
      </w:r>
      <w:r w:rsidRPr="002F27AE">
        <w:rPr>
          <w:sz w:val="22"/>
          <w:szCs w:val="22"/>
        </w:rPr>
        <w:t xml:space="preserve"> ile gösterecek olursak, </w:t>
      </w:r>
      <w:r w:rsidRPr="002F27AE">
        <w:rPr>
          <w:i/>
          <w:iCs/>
          <w:sz w:val="22"/>
          <w:szCs w:val="22"/>
        </w:rPr>
        <w:t>t</w:t>
      </w:r>
      <w:r>
        <w:rPr>
          <w:sz w:val="22"/>
          <w:szCs w:val="22"/>
        </w:rPr>
        <w:t xml:space="preserve"> zamanındaki 'stok değişimi' kalemini su ş</w:t>
      </w:r>
      <w:r w:rsidRPr="002F27AE">
        <w:rPr>
          <w:sz w:val="22"/>
          <w:szCs w:val="22"/>
        </w:rPr>
        <w:t>ekilde ifade edebiliriz:</w:t>
      </w:r>
    </w:p>
    <w:p w:rsidR="002B7DE6" w:rsidRPr="00E416B0" w:rsidRDefault="002B7DE6" w:rsidP="002B7DE6">
      <w:pPr>
        <w:ind w:right="77"/>
        <w:jc w:val="both"/>
        <w:rPr>
          <w:sz w:val="10"/>
          <w:szCs w:val="10"/>
        </w:rPr>
      </w:pPr>
    </w:p>
    <w:p w:rsidR="002B7DE6" w:rsidRPr="006878CD" w:rsidRDefault="002B7DE6" w:rsidP="002B7DE6">
      <w:pPr>
        <w:ind w:right="77"/>
        <w:jc w:val="both"/>
        <w:rPr>
          <w:sz w:val="22"/>
          <w:szCs w:val="22"/>
        </w:rPr>
      </w:pPr>
      <w:r w:rsidRPr="00B75A4B">
        <w:rPr>
          <w:sz w:val="22"/>
          <w:szCs w:val="22"/>
        </w:rPr>
        <w:t xml:space="preserve">Stok değişimi </w:t>
      </w:r>
      <w:r w:rsidRPr="00B75A4B">
        <w:rPr>
          <w:i/>
          <w:iCs/>
          <w:sz w:val="22"/>
          <w:szCs w:val="22"/>
          <w:vertAlign w:val="subscript"/>
        </w:rPr>
        <w:t>t</w:t>
      </w:r>
      <w:r w:rsidRPr="00B75A4B">
        <w:rPr>
          <w:sz w:val="22"/>
          <w:szCs w:val="22"/>
        </w:rPr>
        <w:t xml:space="preserve"> = </w:t>
      </w:r>
      <w:bookmarkStart w:id="1" w:name="OLE_LINK1"/>
      <w:bookmarkStart w:id="2" w:name="OLE_LINK2"/>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vertAlign w:val="subscript"/>
        </w:rPr>
        <w:t xml:space="preserve"> </w:t>
      </w:r>
      <w:bookmarkEnd w:id="1"/>
      <w:bookmarkEnd w:id="2"/>
      <w:r>
        <w:rPr>
          <w:sz w:val="22"/>
          <w:szCs w:val="22"/>
        </w:rPr>
        <w:t xml:space="preserve">+ </w:t>
      </w:r>
      <w:r>
        <w:rPr>
          <w:sz w:val="22"/>
          <w:szCs w:val="22"/>
        </w:rPr>
        <w:sym w:font="Symbol" w:char="F065"/>
      </w:r>
      <w:r w:rsidRPr="002F27AE">
        <w:rPr>
          <w:i/>
          <w:iCs/>
          <w:sz w:val="22"/>
          <w:szCs w:val="22"/>
          <w:vertAlign w:val="subscript"/>
        </w:rPr>
        <w:t>t</w:t>
      </w:r>
      <w:r w:rsidRPr="002F27AE">
        <w:rPr>
          <w:sz w:val="22"/>
          <w:szCs w:val="22"/>
          <w:vertAlign w:val="subscript"/>
        </w:rPr>
        <w:t>-1</w:t>
      </w:r>
    </w:p>
    <w:p w:rsidR="002B7DE6" w:rsidRPr="00E416B0" w:rsidRDefault="002B7DE6" w:rsidP="002B7DE6">
      <w:pPr>
        <w:ind w:right="77"/>
        <w:jc w:val="both"/>
        <w:rPr>
          <w:sz w:val="22"/>
          <w:szCs w:val="22"/>
        </w:rPr>
      </w:pPr>
    </w:p>
    <w:p w:rsidR="002B7DE6" w:rsidRDefault="002B7DE6" w:rsidP="002B7DE6">
      <w:pPr>
        <w:spacing w:line="288" w:lineRule="auto"/>
        <w:ind w:right="77"/>
        <w:jc w:val="both"/>
        <w:rPr>
          <w:sz w:val="22"/>
          <w:szCs w:val="22"/>
        </w:rPr>
      </w:pPr>
      <w:r>
        <w:rPr>
          <w:sz w:val="22"/>
          <w:szCs w:val="22"/>
        </w:rPr>
        <w:t>Stok değişimi kalemindeki değişimin büyümeye katkısını ise şu şekilde bulabiliriz :</w:t>
      </w:r>
    </w:p>
    <w:p w:rsidR="002B7DE6" w:rsidRDefault="002B7DE6" w:rsidP="002B7DE6">
      <w:pPr>
        <w:spacing w:line="288" w:lineRule="auto"/>
        <w:ind w:right="77"/>
        <w:jc w:val="both"/>
        <w:rPr>
          <w:sz w:val="22"/>
          <w:szCs w:val="22"/>
        </w:rPr>
      </w:pPr>
      <w:r>
        <w:rPr>
          <w:sz w:val="22"/>
          <w:szCs w:val="22"/>
        </w:rPr>
        <w:t>‘Stok değişiminin’ büyümeye katkısı t</w:t>
      </w:r>
    </w:p>
    <w:p w:rsidR="002B7DE6" w:rsidRDefault="002B7DE6" w:rsidP="002B7DE6">
      <w:pPr>
        <w:spacing w:line="288" w:lineRule="auto"/>
        <w:ind w:right="77"/>
        <w:jc w:val="both"/>
        <w:rPr>
          <w:sz w:val="22"/>
          <w:szCs w:val="22"/>
        </w:rPr>
      </w:pPr>
      <w:r>
        <w:rPr>
          <w:sz w:val="22"/>
          <w:szCs w:val="22"/>
        </w:rPr>
        <w:t>= (</w:t>
      </w:r>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rPr>
        <w:t xml:space="preserve">) / GSYH </w:t>
      </w:r>
      <w:r w:rsidRPr="009F61FA">
        <w:rPr>
          <w:i/>
          <w:iCs/>
          <w:sz w:val="22"/>
          <w:szCs w:val="22"/>
          <w:vertAlign w:val="subscript"/>
        </w:rPr>
        <w:t>t</w:t>
      </w:r>
      <w:r w:rsidRPr="009F61FA">
        <w:rPr>
          <w:sz w:val="22"/>
          <w:szCs w:val="22"/>
          <w:vertAlign w:val="subscript"/>
        </w:rPr>
        <w:t>-1</w:t>
      </w:r>
    </w:p>
    <w:p w:rsidR="002B7DE6" w:rsidRPr="00E416B0" w:rsidRDefault="002B7DE6" w:rsidP="002B7DE6">
      <w:pPr>
        <w:spacing w:line="288" w:lineRule="auto"/>
        <w:ind w:right="77"/>
        <w:jc w:val="both"/>
        <w:rPr>
          <w:sz w:val="10"/>
          <w:szCs w:val="10"/>
        </w:rPr>
      </w:pPr>
    </w:p>
    <w:p w:rsidR="002B7DE6" w:rsidRDefault="002B7DE6" w:rsidP="002B7DE6">
      <w:pPr>
        <w:spacing w:line="288" w:lineRule="auto"/>
        <w:ind w:right="77"/>
        <w:jc w:val="both"/>
        <w:rPr>
          <w:sz w:val="22"/>
          <w:szCs w:val="22"/>
        </w:rPr>
      </w:pPr>
      <w:r>
        <w:rPr>
          <w:sz w:val="22"/>
          <w:szCs w:val="22"/>
        </w:rPr>
        <w:t>Veya</w:t>
      </w:r>
    </w:p>
    <w:p w:rsidR="002B7DE6" w:rsidRPr="00E416B0" w:rsidRDefault="002B7DE6" w:rsidP="002B7DE6">
      <w:pPr>
        <w:spacing w:line="288" w:lineRule="auto"/>
        <w:ind w:right="77"/>
        <w:jc w:val="both"/>
        <w:rPr>
          <w:sz w:val="10"/>
          <w:szCs w:val="10"/>
        </w:rPr>
      </w:pPr>
    </w:p>
    <w:p w:rsidR="002B7DE6" w:rsidRDefault="002B7DE6" w:rsidP="002B7DE6">
      <w:pPr>
        <w:spacing w:line="288" w:lineRule="auto"/>
        <w:ind w:right="77"/>
        <w:jc w:val="both"/>
        <w:rPr>
          <w:sz w:val="22"/>
          <w:szCs w:val="22"/>
        </w:rPr>
      </w:pPr>
      <w:r>
        <w:rPr>
          <w:sz w:val="22"/>
          <w:szCs w:val="22"/>
        </w:rPr>
        <w:t>‘Stok değişiminin’ büyümeye katkısı t</w:t>
      </w:r>
    </w:p>
    <w:p w:rsidR="002B7DE6" w:rsidRDefault="002B7DE6" w:rsidP="002B7DE6">
      <w:pPr>
        <w:spacing w:line="288" w:lineRule="auto"/>
        <w:ind w:right="77"/>
        <w:jc w:val="both"/>
        <w:rPr>
          <w:sz w:val="22"/>
          <w:szCs w:val="22"/>
        </w:rPr>
      </w:pPr>
      <w:r>
        <w:rPr>
          <w:sz w:val="22"/>
          <w:szCs w:val="22"/>
        </w:rPr>
        <w:t>= ((</w:t>
      </w:r>
      <w:r w:rsidRPr="00B75A4B">
        <w:rPr>
          <w:sz w:val="22"/>
          <w:szCs w:val="22"/>
        </w:rPr>
        <w:t xml:space="preserve">Stok </w:t>
      </w:r>
      <w:r w:rsidRPr="00B75A4B">
        <w:rPr>
          <w:i/>
          <w:iCs/>
          <w:sz w:val="22"/>
          <w:szCs w:val="22"/>
          <w:vertAlign w:val="subscript"/>
        </w:rPr>
        <w:t>t</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-1</w:t>
      </w:r>
      <w:r>
        <w:rPr>
          <w:sz w:val="22"/>
          <w:szCs w:val="22"/>
          <w:vertAlign w:val="subscript"/>
        </w:rPr>
        <w:t xml:space="preserve"> </w:t>
      </w:r>
      <w:r>
        <w:rPr>
          <w:sz w:val="22"/>
          <w:szCs w:val="22"/>
        </w:rPr>
        <w:t xml:space="preserve">+ </w:t>
      </w:r>
      <w:r>
        <w:rPr>
          <w:sz w:val="22"/>
          <w:szCs w:val="22"/>
        </w:rPr>
        <w:sym w:font="Symbol" w:char="F065"/>
      </w:r>
      <w:r w:rsidRPr="002F27AE">
        <w:rPr>
          <w:i/>
          <w:iCs/>
          <w:sz w:val="22"/>
          <w:szCs w:val="22"/>
          <w:vertAlign w:val="subscript"/>
        </w:rPr>
        <w:t>t</w:t>
      </w:r>
      <w:r>
        <w:rPr>
          <w:sz w:val="22"/>
          <w:szCs w:val="22"/>
          <w:vertAlign w:val="subscript"/>
        </w:rPr>
        <w:t xml:space="preserve"> </w:t>
      </w:r>
      <w:r>
        <w:rPr>
          <w:sz w:val="22"/>
          <w:szCs w:val="22"/>
        </w:rPr>
        <w:t>) – (</w:t>
      </w:r>
      <w:r w:rsidRPr="00B75A4B">
        <w:rPr>
          <w:sz w:val="22"/>
          <w:szCs w:val="22"/>
        </w:rPr>
        <w:t xml:space="preserve">Stok </w:t>
      </w:r>
      <w:r w:rsidRPr="00B75A4B">
        <w:rPr>
          <w:i/>
          <w:iCs/>
          <w:sz w:val="22"/>
          <w:szCs w:val="22"/>
          <w:vertAlign w:val="subscript"/>
        </w:rPr>
        <w:t>t</w:t>
      </w:r>
      <w:r>
        <w:rPr>
          <w:sz w:val="22"/>
          <w:szCs w:val="22"/>
          <w:vertAlign w:val="subscript"/>
        </w:rPr>
        <w:t>-1</w:t>
      </w:r>
      <w:r w:rsidRPr="00B75A4B">
        <w:rPr>
          <w:sz w:val="22"/>
          <w:szCs w:val="22"/>
          <w:vertAlign w:val="subscript"/>
        </w:rPr>
        <w:t xml:space="preserve"> </w:t>
      </w:r>
      <w:r w:rsidRPr="00B75A4B">
        <w:rPr>
          <w:sz w:val="22"/>
          <w:szCs w:val="22"/>
        </w:rPr>
        <w:t xml:space="preserve">– Stok </w:t>
      </w:r>
      <w:r w:rsidRPr="00B75A4B">
        <w:rPr>
          <w:i/>
          <w:iCs/>
          <w:sz w:val="22"/>
          <w:szCs w:val="22"/>
          <w:vertAlign w:val="subscript"/>
        </w:rPr>
        <w:t>t</w:t>
      </w:r>
      <w:r w:rsidRPr="00B75A4B">
        <w:rPr>
          <w:sz w:val="22"/>
          <w:szCs w:val="22"/>
          <w:vertAlign w:val="subscript"/>
        </w:rPr>
        <w:t>-</w:t>
      </w:r>
      <w:r>
        <w:rPr>
          <w:sz w:val="22"/>
          <w:szCs w:val="22"/>
          <w:vertAlign w:val="subscript"/>
        </w:rPr>
        <w:t xml:space="preserve">2 </w:t>
      </w:r>
      <w:r>
        <w:rPr>
          <w:sz w:val="22"/>
          <w:szCs w:val="22"/>
        </w:rPr>
        <w:t xml:space="preserve">+ </w:t>
      </w:r>
      <w:r>
        <w:rPr>
          <w:sz w:val="22"/>
          <w:szCs w:val="22"/>
        </w:rPr>
        <w:sym w:font="Symbol" w:char="F065"/>
      </w:r>
      <w:r w:rsidRPr="002F27AE">
        <w:rPr>
          <w:i/>
          <w:iCs/>
          <w:sz w:val="22"/>
          <w:szCs w:val="22"/>
          <w:vertAlign w:val="subscript"/>
        </w:rPr>
        <w:t>t</w:t>
      </w:r>
      <w:r w:rsidRPr="002F27AE">
        <w:rPr>
          <w:sz w:val="22"/>
          <w:szCs w:val="22"/>
          <w:vertAlign w:val="subscript"/>
        </w:rPr>
        <w:t>-1</w:t>
      </w:r>
      <w:r>
        <w:rPr>
          <w:sz w:val="22"/>
          <w:szCs w:val="22"/>
        </w:rPr>
        <w:t>))</w:t>
      </w:r>
    </w:p>
    <w:p w:rsidR="002B7DE6" w:rsidRDefault="002B7DE6" w:rsidP="002B7DE6">
      <w:pPr>
        <w:spacing w:line="288" w:lineRule="auto"/>
        <w:ind w:right="77"/>
        <w:jc w:val="both"/>
        <w:rPr>
          <w:sz w:val="22"/>
          <w:szCs w:val="22"/>
        </w:rPr>
      </w:pPr>
      <w:r>
        <w:rPr>
          <w:sz w:val="22"/>
          <w:szCs w:val="22"/>
        </w:rPr>
        <w:t xml:space="preserve">    / GSYH </w:t>
      </w:r>
      <w:r w:rsidRPr="002D2C9F">
        <w:rPr>
          <w:i/>
          <w:iCs/>
          <w:sz w:val="22"/>
          <w:szCs w:val="22"/>
          <w:vertAlign w:val="subscript"/>
        </w:rPr>
        <w:t>t</w:t>
      </w:r>
      <w:r w:rsidRPr="002D2C9F">
        <w:rPr>
          <w:sz w:val="22"/>
          <w:szCs w:val="22"/>
          <w:vertAlign w:val="subscript"/>
        </w:rPr>
        <w:t>-1</w:t>
      </w:r>
    </w:p>
    <w:p w:rsidR="00952683" w:rsidRDefault="00952683" w:rsidP="00AE0BBB">
      <w:pPr>
        <w:spacing w:line="288" w:lineRule="auto"/>
        <w:ind w:right="-318"/>
        <w:jc w:val="both"/>
        <w:rPr>
          <w:rFonts w:ascii="Arial" w:hAnsi="Arial" w:cs="Arial"/>
          <w:sz w:val="20"/>
          <w:szCs w:val="20"/>
        </w:rPr>
      </w:pPr>
    </w:p>
    <w:p w:rsidR="00952683" w:rsidRDefault="00952683" w:rsidP="00AE0BBB">
      <w:pPr>
        <w:spacing w:line="288" w:lineRule="auto"/>
        <w:ind w:right="-318"/>
        <w:jc w:val="both"/>
        <w:rPr>
          <w:rFonts w:ascii="Arial" w:hAnsi="Arial" w:cs="Arial"/>
          <w:sz w:val="20"/>
          <w:szCs w:val="20"/>
        </w:rPr>
      </w:pPr>
    </w:p>
    <w:p w:rsidR="00952683" w:rsidRDefault="00952683" w:rsidP="00AE0BBB">
      <w:pPr>
        <w:spacing w:line="288" w:lineRule="auto"/>
        <w:ind w:right="-318"/>
        <w:jc w:val="both"/>
        <w:rPr>
          <w:rFonts w:ascii="Arial" w:hAnsi="Arial" w:cs="Arial"/>
          <w:sz w:val="20"/>
          <w:szCs w:val="20"/>
        </w:rPr>
      </w:pPr>
    </w:p>
    <w:p w:rsidR="00952683" w:rsidRDefault="00952683" w:rsidP="00AE0BBB">
      <w:pPr>
        <w:spacing w:line="288" w:lineRule="auto"/>
        <w:ind w:right="-318"/>
        <w:jc w:val="both"/>
        <w:rPr>
          <w:rFonts w:ascii="Arial" w:hAnsi="Arial" w:cs="Arial"/>
          <w:sz w:val="20"/>
          <w:szCs w:val="20"/>
        </w:rPr>
      </w:pPr>
    </w:p>
    <w:p w:rsidR="00952683" w:rsidRDefault="00952683" w:rsidP="00952683">
      <w:pPr>
        <w:autoSpaceDE w:val="0"/>
        <w:autoSpaceDN w:val="0"/>
        <w:adjustRightInd w:val="0"/>
        <w:rPr>
          <w:rFonts w:ascii="CMBX10" w:hAnsi="CMBX10" w:cs="CMBX10"/>
          <w:sz w:val="22"/>
          <w:szCs w:val="22"/>
        </w:rPr>
      </w:pPr>
    </w:p>
    <w:p w:rsidR="00952683" w:rsidRDefault="00952683" w:rsidP="00952683">
      <w:pPr>
        <w:autoSpaceDE w:val="0"/>
        <w:autoSpaceDN w:val="0"/>
        <w:adjustRightInd w:val="0"/>
        <w:rPr>
          <w:rFonts w:ascii="CMBX10" w:hAnsi="CMBX10" w:cs="CMBX10"/>
          <w:sz w:val="22"/>
          <w:szCs w:val="22"/>
        </w:rPr>
      </w:pPr>
    </w:p>
    <w:p w:rsidR="00952683" w:rsidRDefault="00952683" w:rsidP="00952683">
      <w:pPr>
        <w:autoSpaceDE w:val="0"/>
        <w:autoSpaceDN w:val="0"/>
        <w:adjustRightInd w:val="0"/>
        <w:rPr>
          <w:rFonts w:ascii="CMBX10" w:hAnsi="CMBX10" w:cs="CMBX10"/>
          <w:sz w:val="22"/>
          <w:szCs w:val="22"/>
        </w:rPr>
      </w:pPr>
    </w:p>
    <w:p w:rsidR="00717B60" w:rsidRPr="0015266B" w:rsidRDefault="00717B60" w:rsidP="00CA5BA6">
      <w:pPr>
        <w:spacing w:line="288" w:lineRule="auto"/>
        <w:ind w:right="-318"/>
        <w:jc w:val="both"/>
        <w:rPr>
          <w:rFonts w:ascii="Arial" w:hAnsi="Arial" w:cs="Arial"/>
          <w:sz w:val="20"/>
          <w:szCs w:val="20"/>
        </w:rPr>
      </w:pPr>
    </w:p>
    <w:sectPr w:rsidR="00717B60" w:rsidRPr="0015266B" w:rsidSect="00C335E9">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F7" w:rsidRDefault="00E864F7">
      <w:r>
        <w:separator/>
      </w:r>
    </w:p>
  </w:endnote>
  <w:endnote w:type="continuationSeparator" w:id="0">
    <w:p w:rsidR="00E864F7" w:rsidRDefault="00E8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MBX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27" w:rsidRDefault="00D258E0"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end"/>
    </w:r>
  </w:p>
  <w:p w:rsidR="00F66727" w:rsidRDefault="00F66727" w:rsidP="00B723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27" w:rsidRDefault="00D258E0"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separate"/>
    </w:r>
    <w:r w:rsidR="007A7A86">
      <w:rPr>
        <w:rStyle w:val="PageNumber"/>
        <w:noProof/>
      </w:rPr>
      <w:t>3</w:t>
    </w:r>
    <w:r>
      <w:rPr>
        <w:rStyle w:val="PageNumber"/>
      </w:rPr>
      <w:fldChar w:fldCharType="end"/>
    </w:r>
  </w:p>
  <w:p w:rsidR="00F66727" w:rsidRPr="007750EF" w:rsidRDefault="00F66727" w:rsidP="00017426">
    <w:pPr>
      <w:pStyle w:val="Footer"/>
      <w:ind w:right="360"/>
      <w:jc w:val="center"/>
      <w:rPr>
        <w:rFonts w:ascii="Arial" w:hAnsi="Arial" w:cs="Arial"/>
        <w:b/>
        <w:i/>
        <w:sz w:val="20"/>
        <w:szCs w:val="20"/>
      </w:rPr>
    </w:pPr>
    <w:r w:rsidRPr="007750EF">
      <w:rPr>
        <w:rFonts w:ascii="Arial" w:hAnsi="Arial" w:cs="Arial"/>
        <w:b/>
        <w:i/>
        <w:sz w:val="20"/>
        <w:szCs w:val="20"/>
      </w:rPr>
      <w:t>www.betam.bahcesehir.edu.tr</w:t>
    </w:r>
  </w:p>
  <w:p w:rsidR="00F66727" w:rsidRDefault="00F66727"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F7" w:rsidRDefault="00E864F7">
      <w:r>
        <w:separator/>
      </w:r>
    </w:p>
  </w:footnote>
  <w:footnote w:type="continuationSeparator" w:id="0">
    <w:p w:rsidR="00E864F7" w:rsidRDefault="00E864F7">
      <w:r>
        <w:continuationSeparator/>
      </w:r>
    </w:p>
  </w:footnote>
  <w:footnote w:id="1">
    <w:p w:rsidR="003A04BD" w:rsidRPr="00B207BA" w:rsidRDefault="003A04BD" w:rsidP="00B207BA">
      <w:pPr>
        <w:pStyle w:val="FootnoteText"/>
        <w:spacing w:line="300" w:lineRule="atLeast"/>
        <w:rPr>
          <w:rFonts w:ascii="Arial" w:hAnsi="Arial" w:cs="Arial"/>
          <w:sz w:val="16"/>
          <w:szCs w:val="16"/>
        </w:rPr>
      </w:pPr>
      <w:r w:rsidRPr="00B207BA">
        <w:rPr>
          <w:rStyle w:val="FootnoteReference"/>
          <w:rFonts w:ascii="Arial" w:hAnsi="Arial" w:cs="Arial"/>
          <w:sz w:val="16"/>
          <w:szCs w:val="16"/>
        </w:rPr>
        <w:footnoteRef/>
      </w:r>
      <w:r w:rsidRPr="00B207BA">
        <w:rPr>
          <w:rFonts w:ascii="Arial" w:hAnsi="Arial" w:cs="Arial"/>
          <w:sz w:val="16"/>
          <w:szCs w:val="16"/>
        </w:rPr>
        <w:t xml:space="preserve"> Altın ticaretinin büyümeye toplam etkisi sıfırdır, yalnızca alt kalem kırılımlarında farklılıklara neden olmaktadır.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2CEE"/>
    <w:rsid w:val="0000598D"/>
    <w:rsid w:val="00017426"/>
    <w:rsid w:val="000301E5"/>
    <w:rsid w:val="00034ECF"/>
    <w:rsid w:val="0003542C"/>
    <w:rsid w:val="000511DE"/>
    <w:rsid w:val="00052C71"/>
    <w:rsid w:val="00054DF2"/>
    <w:rsid w:val="00086F83"/>
    <w:rsid w:val="000A3710"/>
    <w:rsid w:val="000A4010"/>
    <w:rsid w:val="000A4BD1"/>
    <w:rsid w:val="000A701D"/>
    <w:rsid w:val="000B2FDA"/>
    <w:rsid w:val="000C5B7E"/>
    <w:rsid w:val="000C5C8B"/>
    <w:rsid w:val="000D4F14"/>
    <w:rsid w:val="000E10A3"/>
    <w:rsid w:val="000F4941"/>
    <w:rsid w:val="00107363"/>
    <w:rsid w:val="0010795F"/>
    <w:rsid w:val="001105B2"/>
    <w:rsid w:val="00110EBA"/>
    <w:rsid w:val="00111AD6"/>
    <w:rsid w:val="00121E7C"/>
    <w:rsid w:val="00131052"/>
    <w:rsid w:val="00141A2F"/>
    <w:rsid w:val="00150C5D"/>
    <w:rsid w:val="0015266B"/>
    <w:rsid w:val="0016522D"/>
    <w:rsid w:val="001660A6"/>
    <w:rsid w:val="00176C3C"/>
    <w:rsid w:val="00177D70"/>
    <w:rsid w:val="00177FE3"/>
    <w:rsid w:val="00196F0F"/>
    <w:rsid w:val="00197E61"/>
    <w:rsid w:val="001A0A58"/>
    <w:rsid w:val="001B0683"/>
    <w:rsid w:val="001B2067"/>
    <w:rsid w:val="001E1BE7"/>
    <w:rsid w:val="001E5D74"/>
    <w:rsid w:val="001F0A81"/>
    <w:rsid w:val="002040C5"/>
    <w:rsid w:val="00206831"/>
    <w:rsid w:val="002111EE"/>
    <w:rsid w:val="002304FE"/>
    <w:rsid w:val="00240B3E"/>
    <w:rsid w:val="0024217A"/>
    <w:rsid w:val="00256199"/>
    <w:rsid w:val="00263147"/>
    <w:rsid w:val="00271F72"/>
    <w:rsid w:val="00280275"/>
    <w:rsid w:val="002829AF"/>
    <w:rsid w:val="0029115A"/>
    <w:rsid w:val="00293567"/>
    <w:rsid w:val="0029571B"/>
    <w:rsid w:val="002A66ED"/>
    <w:rsid w:val="002A6FA1"/>
    <w:rsid w:val="002B63ED"/>
    <w:rsid w:val="002B7DE6"/>
    <w:rsid w:val="002C0A44"/>
    <w:rsid w:val="002D2C9F"/>
    <w:rsid w:val="002E4EBB"/>
    <w:rsid w:val="002F27AE"/>
    <w:rsid w:val="002F5134"/>
    <w:rsid w:val="00303668"/>
    <w:rsid w:val="00305165"/>
    <w:rsid w:val="00306448"/>
    <w:rsid w:val="0031043B"/>
    <w:rsid w:val="003119E8"/>
    <w:rsid w:val="003142BA"/>
    <w:rsid w:val="00325CF1"/>
    <w:rsid w:val="00337278"/>
    <w:rsid w:val="0034543C"/>
    <w:rsid w:val="0035437A"/>
    <w:rsid w:val="00354A04"/>
    <w:rsid w:val="00396382"/>
    <w:rsid w:val="00397F47"/>
    <w:rsid w:val="003A04BD"/>
    <w:rsid w:val="003A0ECD"/>
    <w:rsid w:val="003A4BEE"/>
    <w:rsid w:val="003C0C43"/>
    <w:rsid w:val="003D7E7F"/>
    <w:rsid w:val="003E3634"/>
    <w:rsid w:val="00405EC6"/>
    <w:rsid w:val="0041456D"/>
    <w:rsid w:val="004254C3"/>
    <w:rsid w:val="004409F6"/>
    <w:rsid w:val="004458F8"/>
    <w:rsid w:val="00450ACD"/>
    <w:rsid w:val="004947B8"/>
    <w:rsid w:val="004A3A86"/>
    <w:rsid w:val="004A4704"/>
    <w:rsid w:val="004D3CAD"/>
    <w:rsid w:val="004E272F"/>
    <w:rsid w:val="004E36FD"/>
    <w:rsid w:val="00512FC3"/>
    <w:rsid w:val="00514BF6"/>
    <w:rsid w:val="0051655D"/>
    <w:rsid w:val="005171AD"/>
    <w:rsid w:val="00517CBA"/>
    <w:rsid w:val="00522EDB"/>
    <w:rsid w:val="005267B9"/>
    <w:rsid w:val="00542058"/>
    <w:rsid w:val="00544885"/>
    <w:rsid w:val="00545DA9"/>
    <w:rsid w:val="0055334A"/>
    <w:rsid w:val="00553F87"/>
    <w:rsid w:val="005632F3"/>
    <w:rsid w:val="0058720D"/>
    <w:rsid w:val="005B3336"/>
    <w:rsid w:val="005C0522"/>
    <w:rsid w:val="005D2927"/>
    <w:rsid w:val="005D47AA"/>
    <w:rsid w:val="005E13DC"/>
    <w:rsid w:val="005E4EF0"/>
    <w:rsid w:val="005E763B"/>
    <w:rsid w:val="005F1597"/>
    <w:rsid w:val="005F31BE"/>
    <w:rsid w:val="005F50B6"/>
    <w:rsid w:val="005F51ED"/>
    <w:rsid w:val="00603643"/>
    <w:rsid w:val="00603DB9"/>
    <w:rsid w:val="00615FF6"/>
    <w:rsid w:val="00633C51"/>
    <w:rsid w:val="00651F13"/>
    <w:rsid w:val="00663B4C"/>
    <w:rsid w:val="006640A7"/>
    <w:rsid w:val="0067731E"/>
    <w:rsid w:val="006878CD"/>
    <w:rsid w:val="006955AD"/>
    <w:rsid w:val="00695EB7"/>
    <w:rsid w:val="006C64A0"/>
    <w:rsid w:val="006C7D7F"/>
    <w:rsid w:val="006C7FF7"/>
    <w:rsid w:val="006D3857"/>
    <w:rsid w:val="006E0CBB"/>
    <w:rsid w:val="006F3223"/>
    <w:rsid w:val="006F4A63"/>
    <w:rsid w:val="00700658"/>
    <w:rsid w:val="007041DF"/>
    <w:rsid w:val="00704A5C"/>
    <w:rsid w:val="007065C1"/>
    <w:rsid w:val="00710DCF"/>
    <w:rsid w:val="00712EDE"/>
    <w:rsid w:val="00716BBE"/>
    <w:rsid w:val="00717B60"/>
    <w:rsid w:val="00720EA3"/>
    <w:rsid w:val="00726749"/>
    <w:rsid w:val="0072762E"/>
    <w:rsid w:val="007344A9"/>
    <w:rsid w:val="00743F70"/>
    <w:rsid w:val="0074601C"/>
    <w:rsid w:val="0075696F"/>
    <w:rsid w:val="007619A4"/>
    <w:rsid w:val="0076354F"/>
    <w:rsid w:val="007750EF"/>
    <w:rsid w:val="007777F0"/>
    <w:rsid w:val="0078038A"/>
    <w:rsid w:val="007818BA"/>
    <w:rsid w:val="007868A5"/>
    <w:rsid w:val="00787484"/>
    <w:rsid w:val="007972B3"/>
    <w:rsid w:val="007A35F3"/>
    <w:rsid w:val="007A4941"/>
    <w:rsid w:val="007A7A86"/>
    <w:rsid w:val="007B5709"/>
    <w:rsid w:val="007B71AC"/>
    <w:rsid w:val="007B75C5"/>
    <w:rsid w:val="007C2C17"/>
    <w:rsid w:val="007D27BC"/>
    <w:rsid w:val="007E62B1"/>
    <w:rsid w:val="007E773F"/>
    <w:rsid w:val="007F4650"/>
    <w:rsid w:val="007F50E5"/>
    <w:rsid w:val="008178BE"/>
    <w:rsid w:val="00817902"/>
    <w:rsid w:val="008231D3"/>
    <w:rsid w:val="008372E2"/>
    <w:rsid w:val="008517F6"/>
    <w:rsid w:val="00855C13"/>
    <w:rsid w:val="008664F4"/>
    <w:rsid w:val="0086687F"/>
    <w:rsid w:val="0087093F"/>
    <w:rsid w:val="00872BDE"/>
    <w:rsid w:val="00880504"/>
    <w:rsid w:val="008870E7"/>
    <w:rsid w:val="00893ED6"/>
    <w:rsid w:val="008A2487"/>
    <w:rsid w:val="008B2AB7"/>
    <w:rsid w:val="008C2E84"/>
    <w:rsid w:val="008C35D8"/>
    <w:rsid w:val="008C5984"/>
    <w:rsid w:val="008D5294"/>
    <w:rsid w:val="008D711C"/>
    <w:rsid w:val="008F4857"/>
    <w:rsid w:val="00901601"/>
    <w:rsid w:val="009060B6"/>
    <w:rsid w:val="0091445B"/>
    <w:rsid w:val="00914B3D"/>
    <w:rsid w:val="009177F6"/>
    <w:rsid w:val="00923AE7"/>
    <w:rsid w:val="00925014"/>
    <w:rsid w:val="00930D19"/>
    <w:rsid w:val="009334C7"/>
    <w:rsid w:val="009344D3"/>
    <w:rsid w:val="009377F5"/>
    <w:rsid w:val="00937D5B"/>
    <w:rsid w:val="009443ED"/>
    <w:rsid w:val="00952683"/>
    <w:rsid w:val="009575C3"/>
    <w:rsid w:val="00970251"/>
    <w:rsid w:val="00981AF5"/>
    <w:rsid w:val="00983059"/>
    <w:rsid w:val="009876C6"/>
    <w:rsid w:val="009920D0"/>
    <w:rsid w:val="00995F40"/>
    <w:rsid w:val="009A3A23"/>
    <w:rsid w:val="009A5CBE"/>
    <w:rsid w:val="009D2F64"/>
    <w:rsid w:val="009D6D8E"/>
    <w:rsid w:val="009E0021"/>
    <w:rsid w:val="009E0068"/>
    <w:rsid w:val="009F1285"/>
    <w:rsid w:val="009F5135"/>
    <w:rsid w:val="009F61FA"/>
    <w:rsid w:val="00A06590"/>
    <w:rsid w:val="00A13AC7"/>
    <w:rsid w:val="00A208D0"/>
    <w:rsid w:val="00A27158"/>
    <w:rsid w:val="00A31015"/>
    <w:rsid w:val="00A3171E"/>
    <w:rsid w:val="00A54173"/>
    <w:rsid w:val="00A57199"/>
    <w:rsid w:val="00A610C8"/>
    <w:rsid w:val="00A70CB2"/>
    <w:rsid w:val="00A75D44"/>
    <w:rsid w:val="00A76BDF"/>
    <w:rsid w:val="00A94AA1"/>
    <w:rsid w:val="00A96520"/>
    <w:rsid w:val="00AB4A1C"/>
    <w:rsid w:val="00AD49B2"/>
    <w:rsid w:val="00AE0BBB"/>
    <w:rsid w:val="00AE2554"/>
    <w:rsid w:val="00AE40FB"/>
    <w:rsid w:val="00AF26BD"/>
    <w:rsid w:val="00AF2D7A"/>
    <w:rsid w:val="00B00EBD"/>
    <w:rsid w:val="00B010E1"/>
    <w:rsid w:val="00B10A46"/>
    <w:rsid w:val="00B14F53"/>
    <w:rsid w:val="00B207BA"/>
    <w:rsid w:val="00B213B6"/>
    <w:rsid w:val="00B23C9A"/>
    <w:rsid w:val="00B276E9"/>
    <w:rsid w:val="00B30B41"/>
    <w:rsid w:val="00B3427A"/>
    <w:rsid w:val="00B34AC5"/>
    <w:rsid w:val="00B7120C"/>
    <w:rsid w:val="00B72337"/>
    <w:rsid w:val="00B7456E"/>
    <w:rsid w:val="00B75A4B"/>
    <w:rsid w:val="00B818B6"/>
    <w:rsid w:val="00BB00EA"/>
    <w:rsid w:val="00BC2E4D"/>
    <w:rsid w:val="00BC704B"/>
    <w:rsid w:val="00BD3858"/>
    <w:rsid w:val="00BF5C6A"/>
    <w:rsid w:val="00C23A83"/>
    <w:rsid w:val="00C258F7"/>
    <w:rsid w:val="00C2731D"/>
    <w:rsid w:val="00C32546"/>
    <w:rsid w:val="00C335E9"/>
    <w:rsid w:val="00C33984"/>
    <w:rsid w:val="00C402A3"/>
    <w:rsid w:val="00C411C6"/>
    <w:rsid w:val="00C5094B"/>
    <w:rsid w:val="00C6121C"/>
    <w:rsid w:val="00C61305"/>
    <w:rsid w:val="00C6738C"/>
    <w:rsid w:val="00C67C65"/>
    <w:rsid w:val="00C7235A"/>
    <w:rsid w:val="00C72659"/>
    <w:rsid w:val="00C76F10"/>
    <w:rsid w:val="00C805B9"/>
    <w:rsid w:val="00C8511A"/>
    <w:rsid w:val="00C91E59"/>
    <w:rsid w:val="00C928E2"/>
    <w:rsid w:val="00C9454F"/>
    <w:rsid w:val="00CA5BA6"/>
    <w:rsid w:val="00CD6206"/>
    <w:rsid w:val="00CE6B6D"/>
    <w:rsid w:val="00CF1794"/>
    <w:rsid w:val="00D04A88"/>
    <w:rsid w:val="00D06FDE"/>
    <w:rsid w:val="00D139DF"/>
    <w:rsid w:val="00D258E0"/>
    <w:rsid w:val="00D46FA0"/>
    <w:rsid w:val="00D705E1"/>
    <w:rsid w:val="00D74F52"/>
    <w:rsid w:val="00D76E36"/>
    <w:rsid w:val="00D771C3"/>
    <w:rsid w:val="00D77718"/>
    <w:rsid w:val="00D87EC4"/>
    <w:rsid w:val="00D92377"/>
    <w:rsid w:val="00D97362"/>
    <w:rsid w:val="00DA4A6D"/>
    <w:rsid w:val="00DA6EB1"/>
    <w:rsid w:val="00DB1158"/>
    <w:rsid w:val="00DE1039"/>
    <w:rsid w:val="00DE3FDF"/>
    <w:rsid w:val="00DF6453"/>
    <w:rsid w:val="00E04A42"/>
    <w:rsid w:val="00E06534"/>
    <w:rsid w:val="00E10719"/>
    <w:rsid w:val="00E10BEB"/>
    <w:rsid w:val="00E159A6"/>
    <w:rsid w:val="00E172A0"/>
    <w:rsid w:val="00E172B6"/>
    <w:rsid w:val="00E20174"/>
    <w:rsid w:val="00E2274D"/>
    <w:rsid w:val="00E333BE"/>
    <w:rsid w:val="00E416B0"/>
    <w:rsid w:val="00E663A9"/>
    <w:rsid w:val="00E6776F"/>
    <w:rsid w:val="00E74CCB"/>
    <w:rsid w:val="00E82AB6"/>
    <w:rsid w:val="00E864F7"/>
    <w:rsid w:val="00E96583"/>
    <w:rsid w:val="00EA32A9"/>
    <w:rsid w:val="00EA55F1"/>
    <w:rsid w:val="00EB2FE3"/>
    <w:rsid w:val="00EB5E9B"/>
    <w:rsid w:val="00EC2603"/>
    <w:rsid w:val="00ED17CA"/>
    <w:rsid w:val="00ED3519"/>
    <w:rsid w:val="00ED759D"/>
    <w:rsid w:val="00EE5804"/>
    <w:rsid w:val="00EF6749"/>
    <w:rsid w:val="00F04250"/>
    <w:rsid w:val="00F13CED"/>
    <w:rsid w:val="00F26121"/>
    <w:rsid w:val="00F27DE2"/>
    <w:rsid w:val="00F36524"/>
    <w:rsid w:val="00F428BE"/>
    <w:rsid w:val="00F50073"/>
    <w:rsid w:val="00F66727"/>
    <w:rsid w:val="00F70C3E"/>
    <w:rsid w:val="00F86020"/>
    <w:rsid w:val="00FA01C6"/>
    <w:rsid w:val="00FA0645"/>
    <w:rsid w:val="00FA07D1"/>
    <w:rsid w:val="00FB3BC1"/>
    <w:rsid w:val="00FC532D"/>
    <w:rsid w:val="00FD70DC"/>
    <w:rsid w:val="00FF0FE7"/>
    <w:rsid w:val="00FF1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778">
      <w:bodyDiv w:val="1"/>
      <w:marLeft w:val="0"/>
      <w:marRight w:val="0"/>
      <w:marTop w:val="0"/>
      <w:marBottom w:val="0"/>
      <w:divBdr>
        <w:top w:val="none" w:sz="0" w:space="0" w:color="auto"/>
        <w:left w:val="none" w:sz="0" w:space="0" w:color="auto"/>
        <w:bottom w:val="none" w:sz="0" w:space="0" w:color="auto"/>
        <w:right w:val="none" w:sz="0" w:space="0" w:color="auto"/>
      </w:divBdr>
    </w:div>
    <w:div w:id="27684325">
      <w:bodyDiv w:val="1"/>
      <w:marLeft w:val="0"/>
      <w:marRight w:val="0"/>
      <w:marTop w:val="0"/>
      <w:marBottom w:val="0"/>
      <w:divBdr>
        <w:top w:val="none" w:sz="0" w:space="0" w:color="auto"/>
        <w:left w:val="none" w:sz="0" w:space="0" w:color="auto"/>
        <w:bottom w:val="none" w:sz="0" w:space="0" w:color="auto"/>
        <w:right w:val="none" w:sz="0" w:space="0" w:color="auto"/>
      </w:divBdr>
    </w:div>
    <w:div w:id="39013648">
      <w:bodyDiv w:val="1"/>
      <w:marLeft w:val="0"/>
      <w:marRight w:val="0"/>
      <w:marTop w:val="0"/>
      <w:marBottom w:val="0"/>
      <w:divBdr>
        <w:top w:val="none" w:sz="0" w:space="0" w:color="auto"/>
        <w:left w:val="none" w:sz="0" w:space="0" w:color="auto"/>
        <w:bottom w:val="none" w:sz="0" w:space="0" w:color="auto"/>
        <w:right w:val="none" w:sz="0" w:space="0" w:color="auto"/>
      </w:divBdr>
    </w:div>
    <w:div w:id="178545549">
      <w:bodyDiv w:val="1"/>
      <w:marLeft w:val="0"/>
      <w:marRight w:val="0"/>
      <w:marTop w:val="0"/>
      <w:marBottom w:val="0"/>
      <w:divBdr>
        <w:top w:val="none" w:sz="0" w:space="0" w:color="auto"/>
        <w:left w:val="none" w:sz="0" w:space="0" w:color="auto"/>
        <w:bottom w:val="none" w:sz="0" w:space="0" w:color="auto"/>
        <w:right w:val="none" w:sz="0" w:space="0" w:color="auto"/>
      </w:divBdr>
    </w:div>
    <w:div w:id="1002779988">
      <w:bodyDiv w:val="1"/>
      <w:marLeft w:val="0"/>
      <w:marRight w:val="0"/>
      <w:marTop w:val="0"/>
      <w:marBottom w:val="0"/>
      <w:divBdr>
        <w:top w:val="none" w:sz="0" w:space="0" w:color="auto"/>
        <w:left w:val="none" w:sz="0" w:space="0" w:color="auto"/>
        <w:bottom w:val="none" w:sz="0" w:space="0" w:color="auto"/>
        <w:right w:val="none" w:sz="0" w:space="0" w:color="auto"/>
      </w:divBdr>
    </w:div>
    <w:div w:id="1067342627">
      <w:bodyDiv w:val="1"/>
      <w:marLeft w:val="0"/>
      <w:marRight w:val="0"/>
      <w:marTop w:val="0"/>
      <w:marBottom w:val="0"/>
      <w:divBdr>
        <w:top w:val="none" w:sz="0" w:space="0" w:color="auto"/>
        <w:left w:val="none" w:sz="0" w:space="0" w:color="auto"/>
        <w:bottom w:val="none" w:sz="0" w:space="0" w:color="auto"/>
        <w:right w:val="none" w:sz="0" w:space="0" w:color="auto"/>
      </w:divBdr>
    </w:div>
    <w:div w:id="1372457704">
      <w:bodyDiv w:val="1"/>
      <w:marLeft w:val="0"/>
      <w:marRight w:val="0"/>
      <w:marTop w:val="0"/>
      <w:marBottom w:val="0"/>
      <w:divBdr>
        <w:top w:val="none" w:sz="0" w:space="0" w:color="auto"/>
        <w:left w:val="none" w:sz="0" w:space="0" w:color="auto"/>
        <w:bottom w:val="none" w:sz="0" w:space="0" w:color="auto"/>
        <w:right w:val="none" w:sz="0" w:space="0" w:color="auto"/>
      </w:divBdr>
    </w:div>
    <w:div w:id="17270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16BD1-2C23-40D3-9D29-82FCE3AB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2014-03-31T10:59:00Z</cp:lastPrinted>
  <dcterms:created xsi:type="dcterms:W3CDTF">2014-03-31T11:28:00Z</dcterms:created>
  <dcterms:modified xsi:type="dcterms:W3CDTF">2014-03-31T11:28:00Z</dcterms:modified>
</cp:coreProperties>
</file>