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D3" w:rsidRDefault="009224F5" w:rsidP="001E4BF5">
      <w:pPr>
        <w:spacing w:line="360" w:lineRule="auto"/>
        <w:ind w:right="-319"/>
        <w:jc w:val="center"/>
        <w:outlineLvl w:val="0"/>
        <w:rPr>
          <w:rFonts w:ascii="Arial" w:hAnsi="Arial" w:cs="Arial"/>
          <w:b/>
          <w:bCs/>
          <w:sz w:val="32"/>
          <w:szCs w:val="32"/>
        </w:rPr>
      </w:pPr>
      <w:r>
        <w:rPr>
          <w:noProof/>
        </w:rPr>
        <w:drawing>
          <wp:anchor distT="0" distB="0" distL="114300" distR="114300" simplePos="0" relativeHeight="251655680" behindDoc="1" locked="0" layoutInCell="1" allowOverlap="1">
            <wp:simplePos x="0" y="0"/>
            <wp:positionH relativeFrom="column">
              <wp:posOffset>-571500</wp:posOffset>
            </wp:positionH>
            <wp:positionV relativeFrom="paragraph">
              <wp:posOffset>-685800</wp:posOffset>
            </wp:positionV>
            <wp:extent cx="6858000" cy="1261745"/>
            <wp:effectExtent l="19050" t="0" r="0" b="0"/>
            <wp:wrapNone/>
            <wp:docPr id="8" name="Picture 1" descr="Description: :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TUR).jpg"/>
                    <pic:cNvPicPr>
                      <a:picLocks noChangeAspect="1" noChangeArrowheads="1"/>
                    </pic:cNvPicPr>
                  </pic:nvPicPr>
                  <pic:blipFill>
                    <a:blip r:embed="rId9"/>
                    <a:srcRect/>
                    <a:stretch>
                      <a:fillRect/>
                    </a:stretch>
                  </pic:blipFill>
                  <pic:spPr bwMode="auto">
                    <a:xfrm>
                      <a:off x="0" y="0"/>
                      <a:ext cx="6858000" cy="1261745"/>
                    </a:xfrm>
                    <a:prstGeom prst="rect">
                      <a:avLst/>
                    </a:prstGeom>
                    <a:noFill/>
                    <a:ln w="9525">
                      <a:noFill/>
                      <a:miter lim="800000"/>
                      <a:headEnd/>
                      <a:tailEnd/>
                    </a:ln>
                  </pic:spPr>
                </pic:pic>
              </a:graphicData>
            </a:graphic>
          </wp:anchor>
        </w:drawing>
      </w:r>
      <w:r w:rsidR="00C7749D">
        <w:rPr>
          <w:noProof/>
        </w:rPr>
        <mc:AlternateContent>
          <mc:Choice Requires="wps">
            <w:drawing>
              <wp:anchor distT="0" distB="0" distL="114935" distR="114935" simplePos="0" relativeHeight="251656704" behindDoc="0" locked="0" layoutInCell="1" allowOverlap="1">
                <wp:simplePos x="0" y="0"/>
                <wp:positionH relativeFrom="column">
                  <wp:posOffset>1485900</wp:posOffset>
                </wp:positionH>
                <wp:positionV relativeFrom="paragraph">
                  <wp:posOffset>-571500</wp:posOffset>
                </wp:positionV>
                <wp:extent cx="3963670" cy="5689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BD3" w:rsidRPr="0026114C" w:rsidRDefault="00054BD3" w:rsidP="00024559">
                            <w:pPr>
                              <w:pStyle w:val="Heading1"/>
                              <w:rPr>
                                <w:rFonts w:ascii="Times New Roman" w:hAnsi="Times New Roman"/>
                                <w:sz w:val="40"/>
                                <w:szCs w:val="40"/>
                              </w:rPr>
                            </w:pPr>
                            <w:r>
                              <w:rPr>
                                <w:rFonts w:ascii="Times New Roman" w:hAnsi="Times New Roman"/>
                                <w:sz w:val="40"/>
                                <w:szCs w:val="40"/>
                              </w:rPr>
                              <w:t xml:space="preserve">Ekonomik Görünüm ve Tahminler: </w:t>
                            </w:r>
                            <w:r w:rsidR="00306265">
                              <w:rPr>
                                <w:rFonts w:ascii="Times New Roman" w:hAnsi="Times New Roman"/>
                                <w:sz w:val="40"/>
                                <w:szCs w:val="40"/>
                              </w:rPr>
                              <w:t>Mart</w:t>
                            </w:r>
                            <w:r w:rsidR="0026114C">
                              <w:rPr>
                                <w:rFonts w:ascii="Times New Roman" w:hAnsi="Times New Roman"/>
                                <w:sz w:val="40"/>
                                <w:szCs w:val="40"/>
                              </w:rPr>
                              <w:t xml:space="preserve"> 2014</w:t>
                            </w:r>
                          </w:p>
                          <w:p w:rsidR="00054BD3" w:rsidRPr="00A75A46" w:rsidRDefault="00054BD3" w:rsidP="00024559">
                            <w:pPr>
                              <w:pStyle w:val="Heading2"/>
                              <w:rPr>
                                <w:b w:val="0"/>
                                <w:bCs w:val="0"/>
                                <w:i w:val="0"/>
                                <w:iCs w:val="0"/>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pt;margin-top:-45pt;width:312.1pt;height:44.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" stroked="f">
                <v:fill opacity="0"/>
                <v:textbox inset="0,0,0,0">
                  <w:txbxContent>
                    <w:p w:rsidR="00054BD3" w:rsidRPr="0026114C" w:rsidRDefault="00054BD3" w:rsidP="00024559">
                      <w:pPr>
                        <w:pStyle w:val="Heading1"/>
                        <w:rPr>
                          <w:rFonts w:ascii="Times New Roman" w:hAnsi="Times New Roman"/>
                          <w:sz w:val="40"/>
                          <w:szCs w:val="40"/>
                        </w:rPr>
                      </w:pPr>
                      <w:r>
                        <w:rPr>
                          <w:rFonts w:ascii="Times New Roman" w:hAnsi="Times New Roman"/>
                          <w:sz w:val="40"/>
                          <w:szCs w:val="40"/>
                        </w:rPr>
                        <w:t xml:space="preserve">Ekonomik Görünüm ve Tahminler: </w:t>
                      </w:r>
                      <w:r w:rsidR="00306265">
                        <w:rPr>
                          <w:rFonts w:ascii="Times New Roman" w:hAnsi="Times New Roman"/>
                          <w:sz w:val="40"/>
                          <w:szCs w:val="40"/>
                        </w:rPr>
                        <w:t>Mart</w:t>
                      </w:r>
                      <w:r w:rsidR="0026114C">
                        <w:rPr>
                          <w:rFonts w:ascii="Times New Roman" w:hAnsi="Times New Roman"/>
                          <w:sz w:val="40"/>
                          <w:szCs w:val="40"/>
                        </w:rPr>
                        <w:t xml:space="preserve"> 2014</w:t>
                      </w:r>
                    </w:p>
                    <w:p w:rsidR="00054BD3" w:rsidRPr="00A75A46" w:rsidRDefault="00054BD3" w:rsidP="00024559">
                      <w:pPr>
                        <w:pStyle w:val="Heading2"/>
                        <w:rPr>
                          <w:b w:val="0"/>
                          <w:bCs w:val="0"/>
                          <w:i w:val="0"/>
                          <w:iCs w:val="0"/>
                          <w:lang w:val="nl-NL"/>
                        </w:rPr>
                      </w:pPr>
                    </w:p>
                  </w:txbxContent>
                </v:textbox>
              </v:shape>
            </w:pict>
          </mc:Fallback>
        </mc:AlternateContent>
      </w:r>
    </w:p>
    <w:p w:rsidR="00054BD3" w:rsidRDefault="00C7749D" w:rsidP="001E4BF5">
      <w:pPr>
        <w:spacing w:line="360" w:lineRule="auto"/>
        <w:ind w:right="-319"/>
        <w:jc w:val="center"/>
        <w:outlineLvl w:val="0"/>
        <w:rPr>
          <w:rFonts w:ascii="Arial" w:hAnsi="Arial" w:cs="Arial"/>
          <w:b/>
          <w:bCs/>
          <w:sz w:val="32"/>
          <w:szCs w:val="32"/>
        </w:rPr>
      </w:pPr>
      <w:r>
        <w:rPr>
          <w:noProof/>
        </w:rPr>
        <w:lastRenderedPageBreak/>
        <mc:AlternateContent>
          <mc:Choice Requires="wps">
            <w:drawing>
              <wp:anchor distT="0" distB="0" distL="114935" distR="114935" simplePos="0" relativeHeight="251657728" behindDoc="0" locked="0" layoutInCell="1" allowOverlap="1">
                <wp:simplePos x="0" y="0"/>
                <wp:positionH relativeFrom="column">
                  <wp:posOffset>2010410</wp:posOffset>
                </wp:positionH>
                <wp:positionV relativeFrom="paragraph">
                  <wp:posOffset>228600</wp:posOffset>
                </wp:positionV>
                <wp:extent cx="1148715" cy="34861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BD3" w:rsidRPr="00DB7229" w:rsidRDefault="00306265" w:rsidP="00024559">
                            <w:pPr>
                              <w:pStyle w:val="Heading3"/>
                              <w:rPr>
                                <w:color w:val="FFFFFF"/>
                                <w:sz w:val="22"/>
                                <w:szCs w:val="22"/>
                              </w:rPr>
                            </w:pPr>
                            <w:r>
                              <w:rPr>
                                <w:color w:val="FFFFFF"/>
                                <w:sz w:val="22"/>
                                <w:szCs w:val="22"/>
                              </w:rPr>
                              <w:t xml:space="preserve">         13</w:t>
                            </w:r>
                            <w:r w:rsidR="00144285">
                              <w:rPr>
                                <w:color w:val="FFFFFF"/>
                                <w:sz w:val="22"/>
                                <w:szCs w:val="22"/>
                              </w:rPr>
                              <w:t>.</w:t>
                            </w:r>
                            <w:r>
                              <w:rPr>
                                <w:color w:val="FFFFFF"/>
                                <w:sz w:val="22"/>
                                <w:szCs w:val="22"/>
                              </w:rPr>
                              <w:t>03</w:t>
                            </w:r>
                            <w:r w:rsidR="00DB7229">
                              <w:rPr>
                                <w:color w:val="FFFFFF"/>
                                <w:sz w:val="22"/>
                                <w:szCs w:val="22"/>
                              </w:rPr>
                              <w:t>.2014</w:t>
                            </w:r>
                          </w:p>
                          <w:p w:rsidR="00054BD3" w:rsidRDefault="00054BD3" w:rsidP="000245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58.3pt;margin-top:18pt;width:90.45pt;height:27.4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" stroked="f">
                <v:fill opacity="0"/>
                <v:textbox inset="0,0,0,0">
                  <w:txbxContent>
                    <w:p w:rsidR="00054BD3" w:rsidRPr="00DB7229" w:rsidRDefault="00306265" w:rsidP="00024559">
                      <w:pPr>
                        <w:pStyle w:val="Heading3"/>
                        <w:rPr>
                          <w:color w:val="FFFFFF"/>
                          <w:sz w:val="22"/>
                          <w:szCs w:val="22"/>
                        </w:rPr>
                      </w:pPr>
                      <w:r>
                        <w:rPr>
                          <w:color w:val="FFFFFF"/>
                          <w:sz w:val="22"/>
                          <w:szCs w:val="22"/>
                        </w:rPr>
                        <w:t xml:space="preserve">         13</w:t>
                      </w:r>
                      <w:r w:rsidR="00144285">
                        <w:rPr>
                          <w:color w:val="FFFFFF"/>
                          <w:sz w:val="22"/>
                          <w:szCs w:val="22"/>
                        </w:rPr>
                        <w:t>.</w:t>
                      </w:r>
                      <w:r>
                        <w:rPr>
                          <w:color w:val="FFFFFF"/>
                          <w:sz w:val="22"/>
                          <w:szCs w:val="22"/>
                        </w:rPr>
                        <w:t>03</w:t>
                      </w:r>
                      <w:r w:rsidR="00DB7229">
                        <w:rPr>
                          <w:color w:val="FFFFFF"/>
                          <w:sz w:val="22"/>
                          <w:szCs w:val="22"/>
                        </w:rPr>
                        <w:t>.2014</w:t>
                      </w:r>
                    </w:p>
                    <w:p w:rsidR="00054BD3" w:rsidRDefault="00054BD3" w:rsidP="00024559"/>
                  </w:txbxContent>
                </v:textbox>
              </v:shape>
            </w:pict>
          </mc:Fallback>
        </mc:AlternateContent>
      </w:r>
    </w:p>
    <w:p w:rsidR="00054BD3" w:rsidRDefault="00054BD3" w:rsidP="001E4BF5">
      <w:pPr>
        <w:spacing w:line="360" w:lineRule="auto"/>
        <w:ind w:right="-319"/>
        <w:jc w:val="center"/>
        <w:outlineLvl w:val="0"/>
        <w:rPr>
          <w:rFonts w:ascii="Arial" w:hAnsi="Arial" w:cs="Arial"/>
          <w:b/>
          <w:bCs/>
          <w:sz w:val="32"/>
          <w:szCs w:val="32"/>
        </w:rPr>
        <w:sectPr w:rsidR="00054BD3" w:rsidSect="00357ECC">
          <w:footerReference w:type="default" r:id="rId10"/>
          <w:pgSz w:w="11906" w:h="16838"/>
          <w:pgMar w:top="1417" w:right="1417" w:bottom="1417" w:left="1417" w:header="708" w:footer="708" w:gutter="0"/>
          <w:cols w:num="2" w:space="708" w:equalWidth="0">
            <w:col w:w="4182" w:space="708"/>
            <w:col w:w="4182"/>
          </w:cols>
          <w:docGrid w:linePitch="360"/>
        </w:sectPr>
      </w:pPr>
    </w:p>
    <w:p w:rsidR="00054BD3" w:rsidRDefault="00054BD3" w:rsidP="001E4BF5">
      <w:pPr>
        <w:spacing w:line="360" w:lineRule="auto"/>
        <w:ind w:right="-319"/>
        <w:outlineLvl w:val="0"/>
        <w:rPr>
          <w:rFonts w:ascii="Arial" w:hAnsi="Arial" w:cs="Arial"/>
          <w:b/>
          <w:bCs/>
          <w:sz w:val="32"/>
          <w:szCs w:val="32"/>
        </w:rPr>
      </w:pPr>
    </w:p>
    <w:p w:rsidR="00306265" w:rsidRDefault="00306265" w:rsidP="00306265">
      <w:pPr>
        <w:ind w:right="-317"/>
        <w:jc w:val="center"/>
        <w:outlineLvl w:val="0"/>
        <w:rPr>
          <w:rFonts w:ascii="Arial" w:hAnsi="Arial" w:cs="Arial"/>
          <w:b/>
          <w:bCs/>
          <w:caps/>
          <w:sz w:val="28"/>
          <w:szCs w:val="28"/>
        </w:rPr>
      </w:pPr>
      <w:bookmarkStart w:id="0" w:name="_GoBack"/>
      <w:r>
        <w:rPr>
          <w:rFonts w:ascii="Arial" w:hAnsi="Arial" w:cs="Arial"/>
          <w:b/>
          <w:bCs/>
          <w:caps/>
          <w:sz w:val="28"/>
          <w:szCs w:val="28"/>
        </w:rPr>
        <w:t xml:space="preserve">iç talep </w:t>
      </w:r>
      <w:r w:rsidR="00995FA5">
        <w:rPr>
          <w:rFonts w:ascii="Arial" w:hAnsi="Arial" w:cs="Arial"/>
          <w:b/>
          <w:bCs/>
          <w:caps/>
          <w:sz w:val="28"/>
          <w:szCs w:val="28"/>
        </w:rPr>
        <w:t>Baskı altında</w:t>
      </w:r>
    </w:p>
    <w:bookmarkEnd w:id="0"/>
    <w:p w:rsidR="00306265" w:rsidRDefault="00306265" w:rsidP="00306265">
      <w:pPr>
        <w:ind w:right="-317"/>
        <w:jc w:val="center"/>
        <w:outlineLvl w:val="0"/>
        <w:rPr>
          <w:rFonts w:ascii="Arial" w:hAnsi="Arial" w:cs="Arial"/>
          <w:b/>
          <w:bCs/>
          <w:caps/>
          <w:sz w:val="28"/>
          <w:szCs w:val="28"/>
        </w:rPr>
      </w:pPr>
    </w:p>
    <w:p w:rsidR="00306265" w:rsidRPr="00D63675" w:rsidRDefault="00306265" w:rsidP="00306265">
      <w:pPr>
        <w:ind w:right="-317"/>
        <w:jc w:val="center"/>
        <w:outlineLvl w:val="0"/>
        <w:rPr>
          <w:rFonts w:ascii="Arial" w:hAnsi="Arial" w:cs="Arial"/>
          <w:b/>
          <w:bCs/>
          <w:sz w:val="21"/>
          <w:szCs w:val="21"/>
          <w:vertAlign w:val="superscript"/>
        </w:rPr>
      </w:pPr>
      <w:r w:rsidRPr="00D63675">
        <w:rPr>
          <w:rFonts w:ascii="Arial" w:hAnsi="Arial" w:cs="Arial"/>
          <w:b/>
          <w:bCs/>
          <w:sz w:val="21"/>
          <w:szCs w:val="21"/>
        </w:rPr>
        <w:t>Zümrüt İmamoğlu* ve Barış Soybilgen</w:t>
      </w:r>
      <w:r>
        <w:rPr>
          <w:rFonts w:ascii="Arial" w:hAnsi="Arial" w:cs="Arial"/>
          <w:b/>
          <w:bCs/>
          <w:sz w:val="21"/>
          <w:szCs w:val="21"/>
          <w:vertAlign w:val="superscript"/>
        </w:rPr>
        <w:t>**</w:t>
      </w:r>
    </w:p>
    <w:p w:rsidR="00306265" w:rsidRDefault="00306265" w:rsidP="00306265">
      <w:pPr>
        <w:spacing w:line="360" w:lineRule="auto"/>
        <w:ind w:right="-319"/>
        <w:jc w:val="center"/>
        <w:outlineLvl w:val="0"/>
        <w:rPr>
          <w:rFonts w:ascii="Arial" w:hAnsi="Arial" w:cs="Arial"/>
          <w:sz w:val="22"/>
          <w:szCs w:val="22"/>
          <w:vertAlign w:val="superscript"/>
        </w:rPr>
      </w:pPr>
    </w:p>
    <w:p w:rsidR="00306265" w:rsidRPr="004A7FE6" w:rsidRDefault="00306265" w:rsidP="00306265">
      <w:pPr>
        <w:spacing w:line="360" w:lineRule="auto"/>
        <w:ind w:right="-319"/>
        <w:jc w:val="center"/>
        <w:outlineLvl w:val="0"/>
        <w:rPr>
          <w:rFonts w:ascii="Arial" w:hAnsi="Arial" w:cs="Arial"/>
          <w:sz w:val="22"/>
          <w:szCs w:val="22"/>
          <w:vertAlign w:val="superscript"/>
        </w:rPr>
        <w:sectPr w:rsidR="00306265" w:rsidRPr="004A7FE6" w:rsidSect="008651A8">
          <w:type w:val="continuous"/>
          <w:pgSz w:w="11906" w:h="16838"/>
          <w:pgMar w:top="1417" w:right="1417" w:bottom="1417" w:left="1417" w:header="708" w:footer="708" w:gutter="0"/>
          <w:cols w:space="708"/>
          <w:docGrid w:linePitch="360"/>
        </w:sectPr>
      </w:pPr>
    </w:p>
    <w:p w:rsidR="00306265" w:rsidRDefault="00306265" w:rsidP="00306265">
      <w:pPr>
        <w:spacing w:line="360" w:lineRule="auto"/>
        <w:ind w:left="-360" w:right="42" w:firstLine="360"/>
        <w:jc w:val="center"/>
        <w:rPr>
          <w:b/>
          <w:bCs/>
          <w:sz w:val="22"/>
          <w:szCs w:val="22"/>
        </w:rPr>
      </w:pPr>
      <w:r w:rsidRPr="004A7FE6">
        <w:rPr>
          <w:b/>
          <w:bCs/>
          <w:sz w:val="22"/>
          <w:szCs w:val="22"/>
        </w:rPr>
        <w:lastRenderedPageBreak/>
        <w:t>Yönetici Özeti</w:t>
      </w:r>
    </w:p>
    <w:p w:rsidR="00306265" w:rsidRPr="002B6972" w:rsidRDefault="00306265" w:rsidP="00306265">
      <w:pPr>
        <w:spacing w:line="360" w:lineRule="auto"/>
        <w:ind w:left="-360" w:right="42" w:firstLine="360"/>
        <w:jc w:val="center"/>
        <w:rPr>
          <w:b/>
          <w:bCs/>
          <w:sz w:val="22"/>
          <w:szCs w:val="22"/>
        </w:rPr>
      </w:pPr>
    </w:p>
    <w:p w:rsidR="00306265" w:rsidRDefault="00306265" w:rsidP="00306265">
      <w:pPr>
        <w:spacing w:line="360" w:lineRule="auto"/>
        <w:ind w:left="-360" w:right="40"/>
        <w:jc w:val="both"/>
        <w:rPr>
          <w:sz w:val="22"/>
          <w:szCs w:val="22"/>
        </w:rPr>
      </w:pPr>
      <w:r>
        <w:rPr>
          <w:sz w:val="22"/>
          <w:szCs w:val="22"/>
        </w:rPr>
        <w:t>Mevsim ve takvim etkisinden arındırılmış Sanayi Üretim Endeksi (SÜE) Ocak ayında bir önceki aya göre yüzde 1,1 arttı. İ</w:t>
      </w:r>
      <w:r w:rsidRPr="00A41035">
        <w:rPr>
          <w:sz w:val="22"/>
          <w:szCs w:val="22"/>
        </w:rPr>
        <w:t xml:space="preserve">hracat miktar endeksi yüzde </w:t>
      </w:r>
      <w:r>
        <w:rPr>
          <w:sz w:val="22"/>
          <w:szCs w:val="22"/>
        </w:rPr>
        <w:t>1</w:t>
      </w:r>
      <w:r w:rsidRPr="00A41035">
        <w:rPr>
          <w:sz w:val="22"/>
          <w:szCs w:val="22"/>
        </w:rPr>
        <w:t>,</w:t>
      </w:r>
      <w:r>
        <w:rPr>
          <w:sz w:val="22"/>
          <w:szCs w:val="22"/>
        </w:rPr>
        <w:t>8 artarken,</w:t>
      </w:r>
      <w:r w:rsidRPr="00A41035">
        <w:rPr>
          <w:sz w:val="22"/>
          <w:szCs w:val="22"/>
        </w:rPr>
        <w:t xml:space="preserve"> ithalat miktar endeksi yüzde </w:t>
      </w:r>
      <w:r>
        <w:rPr>
          <w:sz w:val="22"/>
          <w:szCs w:val="22"/>
        </w:rPr>
        <w:t>0,5 azaldı</w:t>
      </w:r>
      <w:r w:rsidRPr="00A41035">
        <w:rPr>
          <w:sz w:val="22"/>
          <w:szCs w:val="22"/>
        </w:rPr>
        <w:t>.</w:t>
      </w:r>
      <w:r>
        <w:rPr>
          <w:sz w:val="22"/>
          <w:szCs w:val="22"/>
        </w:rPr>
        <w:t xml:space="preserve"> Toparlanmaya başlayan Avrupa ekonomisi ihracatı destekledi. Sanayi üretimi de ihracattaki hızlanma ile arttı. Ancak yatırım ve tüketime dair göstergeler yatay bir seyre işaret ediyor. İlk çeyrekte büyümenin ağırlıklı olarak net ihracat ve kamu harcamaları kaynaklı olacağını tahmin ediyoruz.</w:t>
      </w:r>
    </w:p>
    <w:p w:rsidR="00306265" w:rsidRDefault="00306265" w:rsidP="00306265">
      <w:pPr>
        <w:spacing w:line="360" w:lineRule="auto"/>
        <w:ind w:left="-360" w:right="40"/>
        <w:jc w:val="both"/>
        <w:rPr>
          <w:sz w:val="22"/>
          <w:szCs w:val="22"/>
        </w:rPr>
      </w:pPr>
    </w:p>
    <w:p w:rsidR="00306265" w:rsidRDefault="00306265" w:rsidP="00306265">
      <w:pPr>
        <w:spacing w:line="360" w:lineRule="auto"/>
        <w:ind w:left="-360" w:right="40"/>
        <w:jc w:val="both"/>
        <w:rPr>
          <w:sz w:val="22"/>
          <w:szCs w:val="22"/>
        </w:rPr>
      </w:pPr>
      <w:r>
        <w:rPr>
          <w:sz w:val="22"/>
          <w:szCs w:val="22"/>
        </w:rPr>
        <w:t>Ocak ayında olumlu gelen ihracat ve üretim verisi Betam’ın birinci çeyreğe dair ilk büyüme tahminini beklenenin üzerine taşıdı. Ekonominin geçen çeyreğe kıyasla yüzde 0,5 oranında büyüyeceğini öngörüyoruz. Önceki yılın aynı çeyreğine göre yıllık büyüme tahminimiz ise yüzde 3,8. Ocak ayı cari açığı 4,9 milyar dolar ile beklentilerin altında gerçekleşti. 12 aylık cari açık toplamı 1 milyar düşerek 64 milyar dolar oldu. Cari açığın GSYH’a oranının ilk çeyrek sonunda yüzde 7,9’da sabit kalacağını tahmin ediyoruz. Altın hariç cari açık beklentimiz ise yüzde 6,5.</w:t>
      </w:r>
    </w:p>
    <w:p w:rsidR="00995FA5" w:rsidRDefault="00995FA5" w:rsidP="00306265">
      <w:pPr>
        <w:spacing w:line="360" w:lineRule="auto"/>
        <w:ind w:left="-360" w:right="40"/>
        <w:jc w:val="both"/>
        <w:rPr>
          <w:sz w:val="22"/>
          <w:szCs w:val="22"/>
        </w:rPr>
      </w:pPr>
    </w:p>
    <w:p w:rsidR="00306265" w:rsidRDefault="00C7749D" w:rsidP="00306265">
      <w:pPr>
        <w:spacing w:line="288" w:lineRule="auto"/>
        <w:ind w:right="-318"/>
        <w:jc w:val="both"/>
        <w:rPr>
          <w:rFonts w:ascii="Arial" w:hAnsi="Arial" w:cs="Arial"/>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67945</wp:posOffset>
                </wp:positionV>
                <wp:extent cx="2514600" cy="635"/>
                <wp:effectExtent l="0" t="0" r="19050" b="3746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5.35pt" to="18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"/>
            </w:pict>
          </mc:Fallback>
        </mc:AlternateContent>
      </w:r>
      <w:r>
        <w:rPr>
          <w:rFonts w:ascii="Arial" w:hAnsi="Arial" w:cs="Arial"/>
          <w:noProof/>
          <w:sz w:val="16"/>
          <w:szCs w:val="16"/>
        </w:rPr>
        <mc:AlternateContent>
          <mc:Choice Requires="wpc">
            <w:drawing>
              <wp:inline distT="0" distB="0" distL="0" distR="0">
                <wp:extent cx="2514600" cy="45720"/>
                <wp:effectExtent l="0" t="0" r="0" b="0"/>
                <wp:docPr id="1"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9" o:spid="_x0000_s1026"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fyGow2wAAAAM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gG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X8hqMN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46;height:457;visibility:visible;mso-wrap-style:square">
                  <v:fill o:detectmouseclick="t"/>
                  <v:path o:connecttype="none"/>
                </v:shape>
                <w10:anchorlock/>
              </v:group>
            </w:pict>
          </mc:Fallback>
        </mc:AlternateContent>
      </w:r>
    </w:p>
    <w:p w:rsidR="00306265" w:rsidRPr="00C2696C" w:rsidRDefault="00306265" w:rsidP="00306265">
      <w:pPr>
        <w:spacing w:line="288" w:lineRule="auto"/>
        <w:ind w:left="-360" w:right="-318"/>
        <w:jc w:val="both"/>
        <w:rPr>
          <w:rFonts w:ascii="Arial" w:hAnsi="Arial" w:cs="Arial"/>
          <w:sz w:val="16"/>
          <w:szCs w:val="16"/>
        </w:rPr>
      </w:pPr>
      <w:r w:rsidRPr="00C2696C">
        <w:rPr>
          <w:rFonts w:ascii="Arial" w:hAnsi="Arial" w:cs="Arial"/>
          <w:sz w:val="16"/>
          <w:szCs w:val="16"/>
        </w:rPr>
        <w:t>* Dr. Zümrüt İmamoğlu, Betam, Uzman Araştırmacı.</w:t>
      </w:r>
    </w:p>
    <w:p w:rsidR="00306265" w:rsidRDefault="00761767" w:rsidP="00306265">
      <w:pPr>
        <w:spacing w:line="288" w:lineRule="auto"/>
        <w:ind w:left="-360" w:right="-318"/>
        <w:jc w:val="both"/>
        <w:rPr>
          <w:rFonts w:ascii="Arial" w:hAnsi="Arial" w:cs="Arial"/>
          <w:sz w:val="16"/>
          <w:szCs w:val="16"/>
          <w:vertAlign w:val="superscript"/>
        </w:rPr>
      </w:pPr>
      <w:hyperlink r:id="rId11" w:history="1">
        <w:r w:rsidR="00306265" w:rsidRPr="005E1D9A">
          <w:rPr>
            <w:rStyle w:val="Hyperlink"/>
            <w:rFonts w:ascii="Arial" w:hAnsi="Arial" w:cs="Arial"/>
            <w:sz w:val="16"/>
            <w:szCs w:val="16"/>
          </w:rPr>
          <w:t>zumrut.imamoglu@bahcesehir.edu.tr</w:t>
        </w:r>
      </w:hyperlink>
    </w:p>
    <w:p w:rsidR="00306265" w:rsidRPr="00C2696C" w:rsidRDefault="00306265" w:rsidP="00306265">
      <w:pPr>
        <w:spacing w:line="288" w:lineRule="auto"/>
        <w:ind w:left="-360" w:right="-318"/>
        <w:jc w:val="both"/>
        <w:rPr>
          <w:rFonts w:ascii="Arial" w:hAnsi="Arial" w:cs="Arial"/>
          <w:sz w:val="16"/>
          <w:szCs w:val="16"/>
        </w:rPr>
      </w:pPr>
      <w:r w:rsidRPr="00C2696C">
        <w:rPr>
          <w:rFonts w:ascii="Arial" w:hAnsi="Arial" w:cs="Arial"/>
          <w:sz w:val="16"/>
          <w:szCs w:val="16"/>
        </w:rPr>
        <w:t>*</w:t>
      </w:r>
      <w:r>
        <w:rPr>
          <w:rFonts w:ascii="Arial" w:hAnsi="Arial" w:cs="Arial"/>
          <w:sz w:val="16"/>
          <w:szCs w:val="16"/>
        </w:rPr>
        <w:t xml:space="preserve">* </w:t>
      </w:r>
      <w:r w:rsidRPr="00C2696C">
        <w:rPr>
          <w:rFonts w:ascii="Arial" w:hAnsi="Arial" w:cs="Arial"/>
          <w:sz w:val="16"/>
          <w:szCs w:val="16"/>
        </w:rPr>
        <w:t>Barış Soybilgen, Betam, Araştırma Görevlisi</w:t>
      </w:r>
    </w:p>
    <w:p w:rsidR="00306265" w:rsidRDefault="00761767" w:rsidP="00306265">
      <w:pPr>
        <w:ind w:left="-360"/>
        <w:rPr>
          <w:rFonts w:ascii="Arial" w:hAnsi="Arial" w:cs="Arial"/>
          <w:sz w:val="16"/>
          <w:szCs w:val="16"/>
        </w:rPr>
      </w:pPr>
      <w:hyperlink r:id="rId12" w:history="1">
        <w:r w:rsidR="00306265" w:rsidRPr="005E1D9A">
          <w:rPr>
            <w:rStyle w:val="Hyperlink"/>
            <w:rFonts w:ascii="Arial" w:hAnsi="Arial" w:cs="Arial"/>
            <w:sz w:val="16"/>
            <w:szCs w:val="16"/>
          </w:rPr>
          <w:t>baris.soybilgen@bahcesehir.edu.tr</w:t>
        </w:r>
      </w:hyperlink>
    </w:p>
    <w:p w:rsidR="00306265" w:rsidRDefault="00306265" w:rsidP="00306265">
      <w:pPr>
        <w:ind w:right="42"/>
        <w:rPr>
          <w:b/>
          <w:bCs/>
          <w:sz w:val="22"/>
          <w:szCs w:val="22"/>
        </w:rPr>
      </w:pPr>
    </w:p>
    <w:p w:rsidR="00306265" w:rsidRDefault="00306265" w:rsidP="00306265">
      <w:pPr>
        <w:outlineLvl w:val="0"/>
        <w:rPr>
          <w:b/>
          <w:bCs/>
          <w:sz w:val="22"/>
          <w:szCs w:val="22"/>
        </w:rPr>
      </w:pPr>
    </w:p>
    <w:p w:rsidR="00306265" w:rsidRDefault="00306265" w:rsidP="00306265">
      <w:pPr>
        <w:outlineLvl w:val="0"/>
        <w:rPr>
          <w:b/>
          <w:bCs/>
          <w:sz w:val="22"/>
          <w:szCs w:val="22"/>
        </w:rPr>
      </w:pPr>
    </w:p>
    <w:p w:rsidR="00306265" w:rsidRDefault="00306265" w:rsidP="00306265">
      <w:pPr>
        <w:outlineLvl w:val="0"/>
        <w:rPr>
          <w:b/>
          <w:bCs/>
          <w:sz w:val="22"/>
          <w:szCs w:val="22"/>
        </w:rPr>
      </w:pPr>
    </w:p>
    <w:p w:rsidR="00306265" w:rsidRPr="004A7FE6" w:rsidRDefault="00306265" w:rsidP="00306265">
      <w:pPr>
        <w:outlineLvl w:val="0"/>
        <w:rPr>
          <w:b/>
          <w:bCs/>
          <w:sz w:val="22"/>
          <w:szCs w:val="22"/>
        </w:rPr>
      </w:pPr>
      <w:r>
        <w:rPr>
          <w:b/>
          <w:bCs/>
          <w:sz w:val="22"/>
          <w:szCs w:val="22"/>
        </w:rPr>
        <w:t xml:space="preserve">Tablo 1. </w:t>
      </w:r>
      <w:r w:rsidRPr="008C6E50">
        <w:rPr>
          <w:b/>
          <w:bCs/>
          <w:sz w:val="22"/>
          <w:szCs w:val="22"/>
        </w:rPr>
        <w:t>B</w:t>
      </w:r>
      <w:r>
        <w:rPr>
          <w:b/>
          <w:bCs/>
          <w:sz w:val="22"/>
          <w:szCs w:val="22"/>
        </w:rPr>
        <w:t>etam</w:t>
      </w:r>
      <w:r w:rsidRPr="008C6E50">
        <w:rPr>
          <w:b/>
          <w:bCs/>
          <w:sz w:val="22"/>
          <w:szCs w:val="22"/>
        </w:rPr>
        <w:t>’ın GSYH ve Cari Açık Tahminleri</w:t>
      </w:r>
    </w:p>
    <w:tbl>
      <w:tblPr>
        <w:tblpPr w:leftFromText="141" w:rightFromText="141" w:vertAnchor="text" w:horzAnchor="margin" w:tblpXSpec="right" w:tblpY="129"/>
        <w:tblW w:w="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362"/>
        <w:gridCol w:w="1362"/>
      </w:tblGrid>
      <w:tr w:rsidR="00306265" w:rsidRPr="003118F7" w:rsidTr="00BF7550">
        <w:trPr>
          <w:trHeight w:val="986"/>
        </w:trPr>
        <w:tc>
          <w:tcPr>
            <w:tcW w:w="1964" w:type="dxa"/>
            <w:tcMar>
              <w:left w:w="28" w:type="dxa"/>
              <w:right w:w="28" w:type="dxa"/>
            </w:tcMar>
            <w:vAlign w:val="center"/>
          </w:tcPr>
          <w:p w:rsidR="00306265" w:rsidRPr="00180C8C" w:rsidRDefault="00306265" w:rsidP="00BF7550">
            <w:pPr>
              <w:ind w:right="42"/>
              <w:jc w:val="center"/>
              <w:rPr>
                <w:sz w:val="20"/>
                <w:szCs w:val="20"/>
              </w:rPr>
            </w:pPr>
          </w:p>
        </w:tc>
        <w:tc>
          <w:tcPr>
            <w:tcW w:w="1362" w:type="dxa"/>
            <w:vAlign w:val="center"/>
          </w:tcPr>
          <w:p w:rsidR="00306265" w:rsidRPr="00180C8C" w:rsidRDefault="00306265" w:rsidP="00BF7550">
            <w:pPr>
              <w:ind w:right="40"/>
              <w:jc w:val="center"/>
              <w:rPr>
                <w:b/>
                <w:bCs/>
                <w:sz w:val="20"/>
                <w:szCs w:val="20"/>
              </w:rPr>
            </w:pPr>
            <w:r w:rsidRPr="00180C8C">
              <w:rPr>
                <w:b/>
                <w:bCs/>
                <w:sz w:val="20"/>
                <w:szCs w:val="20"/>
              </w:rPr>
              <w:t>2013</w:t>
            </w:r>
          </w:p>
          <w:p w:rsidR="00306265" w:rsidRPr="00180C8C" w:rsidRDefault="00306265" w:rsidP="00BF7550">
            <w:pPr>
              <w:ind w:right="40"/>
              <w:jc w:val="center"/>
              <w:rPr>
                <w:b/>
                <w:bCs/>
                <w:sz w:val="20"/>
                <w:szCs w:val="20"/>
              </w:rPr>
            </w:pPr>
            <w:r w:rsidRPr="00180C8C">
              <w:rPr>
                <w:b/>
                <w:bCs/>
                <w:sz w:val="20"/>
                <w:szCs w:val="20"/>
              </w:rPr>
              <w:t>4. Çeyrek</w:t>
            </w:r>
          </w:p>
          <w:p w:rsidR="00306265" w:rsidRPr="00180C8C" w:rsidRDefault="00306265" w:rsidP="00BF7550">
            <w:pPr>
              <w:ind w:right="40"/>
              <w:jc w:val="center"/>
              <w:rPr>
                <w:b/>
                <w:bCs/>
                <w:sz w:val="20"/>
                <w:szCs w:val="20"/>
              </w:rPr>
            </w:pPr>
            <w:r w:rsidRPr="00180C8C">
              <w:rPr>
                <w:b/>
                <w:bCs/>
                <w:sz w:val="20"/>
                <w:szCs w:val="20"/>
              </w:rPr>
              <w:t>Tahmin</w:t>
            </w:r>
          </w:p>
        </w:tc>
        <w:tc>
          <w:tcPr>
            <w:tcW w:w="1362" w:type="dxa"/>
            <w:vAlign w:val="center"/>
          </w:tcPr>
          <w:p w:rsidR="00306265" w:rsidRPr="00180C8C" w:rsidRDefault="00306265" w:rsidP="00BF7550">
            <w:pPr>
              <w:ind w:right="40"/>
              <w:jc w:val="center"/>
              <w:rPr>
                <w:b/>
                <w:bCs/>
                <w:sz w:val="20"/>
                <w:szCs w:val="20"/>
              </w:rPr>
            </w:pPr>
            <w:r w:rsidRPr="00180C8C">
              <w:rPr>
                <w:b/>
                <w:bCs/>
                <w:sz w:val="20"/>
                <w:szCs w:val="20"/>
              </w:rPr>
              <w:t>201</w:t>
            </w:r>
            <w:r>
              <w:rPr>
                <w:b/>
                <w:bCs/>
                <w:sz w:val="20"/>
                <w:szCs w:val="20"/>
              </w:rPr>
              <w:t>4</w:t>
            </w:r>
          </w:p>
          <w:p w:rsidR="00306265" w:rsidRPr="00180C8C" w:rsidRDefault="00306265" w:rsidP="00BF7550">
            <w:pPr>
              <w:ind w:right="40"/>
              <w:jc w:val="center"/>
              <w:rPr>
                <w:b/>
                <w:bCs/>
                <w:sz w:val="20"/>
                <w:szCs w:val="20"/>
              </w:rPr>
            </w:pPr>
            <w:r>
              <w:rPr>
                <w:b/>
                <w:bCs/>
                <w:sz w:val="20"/>
                <w:szCs w:val="20"/>
              </w:rPr>
              <w:t>1</w:t>
            </w:r>
            <w:r w:rsidRPr="00180C8C">
              <w:rPr>
                <w:b/>
                <w:bCs/>
                <w:sz w:val="20"/>
                <w:szCs w:val="20"/>
              </w:rPr>
              <w:t>. Çeyrek</w:t>
            </w:r>
          </w:p>
          <w:p w:rsidR="00306265" w:rsidRPr="00180C8C" w:rsidRDefault="00306265" w:rsidP="00BF7550">
            <w:pPr>
              <w:ind w:right="40"/>
              <w:jc w:val="center"/>
              <w:rPr>
                <w:b/>
                <w:bCs/>
                <w:sz w:val="20"/>
                <w:szCs w:val="20"/>
              </w:rPr>
            </w:pPr>
            <w:r w:rsidRPr="00180C8C">
              <w:rPr>
                <w:b/>
                <w:bCs/>
                <w:sz w:val="20"/>
                <w:szCs w:val="20"/>
              </w:rPr>
              <w:t>Tahmin</w:t>
            </w:r>
          </w:p>
        </w:tc>
      </w:tr>
      <w:tr w:rsidR="00306265" w:rsidRPr="003118F7" w:rsidTr="00BF7550">
        <w:trPr>
          <w:trHeight w:val="771"/>
        </w:trPr>
        <w:tc>
          <w:tcPr>
            <w:tcW w:w="1964" w:type="dxa"/>
            <w:tcMar>
              <w:left w:w="28" w:type="dxa"/>
              <w:right w:w="28" w:type="dxa"/>
            </w:tcMar>
            <w:vAlign w:val="center"/>
          </w:tcPr>
          <w:p w:rsidR="00306265" w:rsidRPr="00180C8C" w:rsidRDefault="00306265" w:rsidP="00BF7550">
            <w:pPr>
              <w:ind w:right="42"/>
              <w:rPr>
                <w:sz w:val="20"/>
                <w:szCs w:val="20"/>
              </w:rPr>
            </w:pPr>
            <w:r w:rsidRPr="00180C8C">
              <w:rPr>
                <w:sz w:val="20"/>
                <w:szCs w:val="20"/>
              </w:rPr>
              <w:t>GSYH büyüme, reel</w:t>
            </w:r>
          </w:p>
          <w:p w:rsidR="00306265" w:rsidRPr="00180C8C" w:rsidRDefault="00306265" w:rsidP="00BF7550">
            <w:pPr>
              <w:ind w:right="42"/>
              <w:rPr>
                <w:sz w:val="20"/>
                <w:szCs w:val="20"/>
              </w:rPr>
            </w:pPr>
            <w:r w:rsidRPr="00180C8C">
              <w:rPr>
                <w:sz w:val="20"/>
                <w:szCs w:val="20"/>
              </w:rPr>
              <w:t>(bir önceki çeyreğe göre, mea*)</w:t>
            </w:r>
          </w:p>
        </w:tc>
        <w:tc>
          <w:tcPr>
            <w:tcW w:w="1362" w:type="dxa"/>
            <w:vAlign w:val="center"/>
          </w:tcPr>
          <w:p w:rsidR="00306265" w:rsidRPr="00180C8C" w:rsidRDefault="00306265" w:rsidP="00BF7550">
            <w:pPr>
              <w:ind w:right="42"/>
              <w:jc w:val="center"/>
              <w:rPr>
                <w:sz w:val="20"/>
                <w:szCs w:val="20"/>
              </w:rPr>
            </w:pPr>
            <w:r w:rsidRPr="00180C8C">
              <w:rPr>
                <w:sz w:val="20"/>
                <w:szCs w:val="20"/>
              </w:rPr>
              <w:t>0,</w:t>
            </w:r>
            <w:r>
              <w:rPr>
                <w:sz w:val="20"/>
                <w:szCs w:val="20"/>
              </w:rPr>
              <w:t>4</w:t>
            </w:r>
          </w:p>
        </w:tc>
        <w:tc>
          <w:tcPr>
            <w:tcW w:w="1362" w:type="dxa"/>
            <w:vAlign w:val="center"/>
          </w:tcPr>
          <w:p w:rsidR="00306265" w:rsidRPr="00180C8C" w:rsidRDefault="00306265" w:rsidP="00BF7550">
            <w:pPr>
              <w:ind w:right="42"/>
              <w:jc w:val="center"/>
              <w:rPr>
                <w:sz w:val="20"/>
                <w:szCs w:val="20"/>
              </w:rPr>
            </w:pPr>
            <w:r w:rsidRPr="00180C8C">
              <w:rPr>
                <w:sz w:val="20"/>
                <w:szCs w:val="20"/>
              </w:rPr>
              <w:t>0,</w:t>
            </w:r>
            <w:r>
              <w:rPr>
                <w:sz w:val="20"/>
                <w:szCs w:val="20"/>
              </w:rPr>
              <w:t>5</w:t>
            </w:r>
          </w:p>
        </w:tc>
      </w:tr>
      <w:tr w:rsidR="00306265" w:rsidRPr="003118F7" w:rsidTr="00BF7550">
        <w:trPr>
          <w:trHeight w:val="756"/>
        </w:trPr>
        <w:tc>
          <w:tcPr>
            <w:tcW w:w="1964" w:type="dxa"/>
            <w:tcMar>
              <w:left w:w="28" w:type="dxa"/>
              <w:right w:w="28" w:type="dxa"/>
            </w:tcMar>
            <w:vAlign w:val="center"/>
          </w:tcPr>
          <w:p w:rsidR="00306265" w:rsidRPr="00180C8C" w:rsidRDefault="00306265" w:rsidP="00BF7550">
            <w:pPr>
              <w:ind w:right="42"/>
              <w:rPr>
                <w:sz w:val="20"/>
                <w:szCs w:val="20"/>
              </w:rPr>
            </w:pPr>
            <w:r w:rsidRPr="00180C8C">
              <w:rPr>
                <w:sz w:val="20"/>
                <w:szCs w:val="20"/>
              </w:rPr>
              <w:t>GSYH büyüme, reel (geçen yılın aynı çeyreğine göre, tea**)</w:t>
            </w:r>
          </w:p>
        </w:tc>
        <w:tc>
          <w:tcPr>
            <w:tcW w:w="1362" w:type="dxa"/>
            <w:vAlign w:val="center"/>
          </w:tcPr>
          <w:p w:rsidR="00306265" w:rsidRPr="00180C8C" w:rsidRDefault="00306265" w:rsidP="00BF7550">
            <w:pPr>
              <w:ind w:right="42"/>
              <w:jc w:val="center"/>
              <w:rPr>
                <w:sz w:val="20"/>
                <w:szCs w:val="20"/>
              </w:rPr>
            </w:pPr>
            <w:r w:rsidRPr="00180C8C">
              <w:rPr>
                <w:sz w:val="20"/>
                <w:szCs w:val="20"/>
              </w:rPr>
              <w:t>4,</w:t>
            </w:r>
            <w:r>
              <w:rPr>
                <w:sz w:val="20"/>
                <w:szCs w:val="20"/>
              </w:rPr>
              <w:t>9</w:t>
            </w:r>
          </w:p>
        </w:tc>
        <w:tc>
          <w:tcPr>
            <w:tcW w:w="1362" w:type="dxa"/>
            <w:vAlign w:val="center"/>
          </w:tcPr>
          <w:p w:rsidR="00306265" w:rsidRPr="00180C8C" w:rsidRDefault="00306265" w:rsidP="00BF7550">
            <w:pPr>
              <w:ind w:right="42"/>
              <w:jc w:val="center"/>
              <w:rPr>
                <w:sz w:val="20"/>
                <w:szCs w:val="20"/>
              </w:rPr>
            </w:pPr>
            <w:r>
              <w:rPr>
                <w:sz w:val="20"/>
                <w:szCs w:val="20"/>
              </w:rPr>
              <w:t>3</w:t>
            </w:r>
            <w:r w:rsidRPr="00180C8C">
              <w:rPr>
                <w:sz w:val="20"/>
                <w:szCs w:val="20"/>
              </w:rPr>
              <w:t>,</w:t>
            </w:r>
            <w:r>
              <w:rPr>
                <w:sz w:val="20"/>
                <w:szCs w:val="20"/>
              </w:rPr>
              <w:t>8</w:t>
            </w:r>
          </w:p>
        </w:tc>
      </w:tr>
      <w:tr w:rsidR="00306265" w:rsidRPr="003118F7" w:rsidTr="00BF7550">
        <w:trPr>
          <w:trHeight w:val="583"/>
        </w:trPr>
        <w:tc>
          <w:tcPr>
            <w:tcW w:w="1964" w:type="dxa"/>
            <w:tcMar>
              <w:left w:w="28" w:type="dxa"/>
              <w:right w:w="28" w:type="dxa"/>
            </w:tcMar>
            <w:vAlign w:val="center"/>
          </w:tcPr>
          <w:p w:rsidR="00306265" w:rsidRPr="00180C8C" w:rsidRDefault="00306265" w:rsidP="00BF7550">
            <w:pPr>
              <w:ind w:right="40"/>
              <w:rPr>
                <w:sz w:val="20"/>
                <w:szCs w:val="20"/>
              </w:rPr>
            </w:pPr>
            <w:r w:rsidRPr="00180C8C">
              <w:rPr>
                <w:sz w:val="20"/>
                <w:szCs w:val="20"/>
              </w:rPr>
              <w:t>Cari Açık (yıllık)</w:t>
            </w:r>
          </w:p>
        </w:tc>
        <w:tc>
          <w:tcPr>
            <w:tcW w:w="1362" w:type="dxa"/>
            <w:vAlign w:val="center"/>
          </w:tcPr>
          <w:p w:rsidR="00306265" w:rsidRPr="00180C8C" w:rsidRDefault="00306265" w:rsidP="00BF7550">
            <w:pPr>
              <w:ind w:right="40"/>
              <w:jc w:val="center"/>
              <w:rPr>
                <w:sz w:val="20"/>
                <w:szCs w:val="20"/>
              </w:rPr>
            </w:pPr>
            <w:r w:rsidRPr="00180C8C">
              <w:rPr>
                <w:sz w:val="20"/>
                <w:szCs w:val="20"/>
              </w:rPr>
              <w:t>7,</w:t>
            </w:r>
            <w:r>
              <w:rPr>
                <w:sz w:val="20"/>
                <w:szCs w:val="20"/>
              </w:rPr>
              <w:t>9</w:t>
            </w:r>
          </w:p>
        </w:tc>
        <w:tc>
          <w:tcPr>
            <w:tcW w:w="1362" w:type="dxa"/>
            <w:vAlign w:val="center"/>
          </w:tcPr>
          <w:p w:rsidR="00306265" w:rsidRPr="00180C8C" w:rsidRDefault="00306265" w:rsidP="00BF7550">
            <w:pPr>
              <w:ind w:right="40"/>
              <w:jc w:val="center"/>
              <w:rPr>
                <w:sz w:val="20"/>
                <w:szCs w:val="20"/>
              </w:rPr>
            </w:pPr>
            <w:r w:rsidRPr="00180C8C">
              <w:rPr>
                <w:sz w:val="20"/>
                <w:szCs w:val="20"/>
              </w:rPr>
              <w:t>7,</w:t>
            </w:r>
            <w:r>
              <w:rPr>
                <w:sz w:val="20"/>
                <w:szCs w:val="20"/>
              </w:rPr>
              <w:t>9</w:t>
            </w:r>
          </w:p>
        </w:tc>
      </w:tr>
      <w:tr w:rsidR="00306265" w:rsidRPr="003118F7" w:rsidTr="00BF7550">
        <w:trPr>
          <w:trHeight w:val="583"/>
        </w:trPr>
        <w:tc>
          <w:tcPr>
            <w:tcW w:w="1964" w:type="dxa"/>
            <w:tcMar>
              <w:left w:w="28" w:type="dxa"/>
              <w:right w:w="28" w:type="dxa"/>
            </w:tcMar>
            <w:vAlign w:val="center"/>
          </w:tcPr>
          <w:p w:rsidR="00306265" w:rsidRPr="00180C8C" w:rsidRDefault="00306265" w:rsidP="00BF7550">
            <w:pPr>
              <w:ind w:right="40"/>
              <w:rPr>
                <w:sz w:val="20"/>
                <w:szCs w:val="20"/>
              </w:rPr>
            </w:pPr>
          </w:p>
        </w:tc>
        <w:tc>
          <w:tcPr>
            <w:tcW w:w="1362" w:type="dxa"/>
            <w:vAlign w:val="center"/>
          </w:tcPr>
          <w:p w:rsidR="00306265" w:rsidRPr="00180C8C" w:rsidRDefault="00306265" w:rsidP="00BF7550">
            <w:pPr>
              <w:ind w:right="40"/>
              <w:jc w:val="center"/>
              <w:rPr>
                <w:sz w:val="20"/>
                <w:szCs w:val="20"/>
              </w:rPr>
            </w:pPr>
            <w:r w:rsidRPr="00180C8C">
              <w:rPr>
                <w:sz w:val="20"/>
                <w:szCs w:val="20"/>
              </w:rPr>
              <w:t>2013 Yıllık Tahmin</w:t>
            </w:r>
          </w:p>
        </w:tc>
        <w:tc>
          <w:tcPr>
            <w:tcW w:w="1362" w:type="dxa"/>
            <w:vAlign w:val="center"/>
          </w:tcPr>
          <w:p w:rsidR="00306265" w:rsidRPr="00180C8C" w:rsidRDefault="00306265" w:rsidP="00BF7550">
            <w:pPr>
              <w:ind w:right="40"/>
              <w:jc w:val="center"/>
              <w:rPr>
                <w:sz w:val="20"/>
                <w:szCs w:val="20"/>
              </w:rPr>
            </w:pPr>
          </w:p>
        </w:tc>
      </w:tr>
      <w:tr w:rsidR="00306265" w:rsidRPr="003118F7" w:rsidTr="00BF7550">
        <w:trPr>
          <w:trHeight w:val="583"/>
        </w:trPr>
        <w:tc>
          <w:tcPr>
            <w:tcW w:w="1964" w:type="dxa"/>
            <w:tcMar>
              <w:left w:w="28" w:type="dxa"/>
              <w:right w:w="28" w:type="dxa"/>
            </w:tcMar>
            <w:vAlign w:val="center"/>
          </w:tcPr>
          <w:p w:rsidR="00306265" w:rsidRPr="00180C8C" w:rsidRDefault="00306265" w:rsidP="00BF7550">
            <w:pPr>
              <w:ind w:right="40"/>
              <w:rPr>
                <w:sz w:val="20"/>
                <w:szCs w:val="20"/>
              </w:rPr>
            </w:pPr>
            <w:r w:rsidRPr="00180C8C">
              <w:rPr>
                <w:sz w:val="20"/>
                <w:szCs w:val="20"/>
              </w:rPr>
              <w:t>GSYH büyüme, reel (yıllık)</w:t>
            </w:r>
          </w:p>
        </w:tc>
        <w:tc>
          <w:tcPr>
            <w:tcW w:w="1362" w:type="dxa"/>
            <w:vAlign w:val="center"/>
          </w:tcPr>
          <w:p w:rsidR="00306265" w:rsidRPr="00180C8C" w:rsidRDefault="00306265" w:rsidP="00BF7550">
            <w:pPr>
              <w:ind w:right="40"/>
              <w:jc w:val="center"/>
              <w:rPr>
                <w:sz w:val="20"/>
                <w:szCs w:val="20"/>
              </w:rPr>
            </w:pPr>
            <w:r w:rsidRPr="00180C8C">
              <w:rPr>
                <w:sz w:val="20"/>
                <w:szCs w:val="20"/>
              </w:rPr>
              <w:t>4,</w:t>
            </w:r>
            <w:r>
              <w:rPr>
                <w:sz w:val="20"/>
                <w:szCs w:val="20"/>
              </w:rPr>
              <w:t>2</w:t>
            </w:r>
          </w:p>
        </w:tc>
        <w:tc>
          <w:tcPr>
            <w:tcW w:w="1362" w:type="dxa"/>
            <w:vAlign w:val="center"/>
          </w:tcPr>
          <w:p w:rsidR="00306265" w:rsidRPr="00180C8C" w:rsidRDefault="00306265" w:rsidP="00BF7550">
            <w:pPr>
              <w:ind w:right="40"/>
              <w:jc w:val="center"/>
              <w:rPr>
                <w:sz w:val="20"/>
                <w:szCs w:val="20"/>
              </w:rPr>
            </w:pPr>
          </w:p>
        </w:tc>
      </w:tr>
    </w:tbl>
    <w:p w:rsidR="00306265" w:rsidRPr="0070556E" w:rsidRDefault="00306265" w:rsidP="00306265">
      <w:pPr>
        <w:ind w:left="-360" w:right="40"/>
        <w:rPr>
          <w:sz w:val="4"/>
          <w:szCs w:val="4"/>
        </w:rPr>
      </w:pPr>
    </w:p>
    <w:p w:rsidR="00306265" w:rsidRPr="00C674EC" w:rsidRDefault="00306265" w:rsidP="00306265">
      <w:pPr>
        <w:ind w:left="-360" w:right="40"/>
        <w:rPr>
          <w:sz w:val="18"/>
          <w:szCs w:val="18"/>
        </w:rPr>
      </w:pPr>
      <w:r w:rsidRPr="00CC41EB">
        <w:rPr>
          <w:sz w:val="18"/>
          <w:szCs w:val="18"/>
        </w:rPr>
        <w:t>Kaynak: Betam</w:t>
      </w:r>
      <w:r>
        <w:rPr>
          <w:sz w:val="18"/>
          <w:szCs w:val="18"/>
        </w:rPr>
        <w:t xml:space="preserve">. </w:t>
      </w:r>
      <w:r w:rsidRPr="00CC41EB">
        <w:rPr>
          <w:sz w:val="18"/>
          <w:szCs w:val="18"/>
        </w:rPr>
        <w:t>*mea: mevsim ve takvim etkilerinden arındırılmış</w:t>
      </w:r>
      <w:r>
        <w:rPr>
          <w:sz w:val="18"/>
          <w:szCs w:val="18"/>
        </w:rPr>
        <w:t xml:space="preserve">.  </w:t>
      </w:r>
      <w:r w:rsidRPr="00CC41EB">
        <w:rPr>
          <w:sz w:val="18"/>
          <w:szCs w:val="18"/>
        </w:rPr>
        <w:t>**tea: takvim etkilerinden arındırılmış</w:t>
      </w:r>
      <w:r>
        <w:rPr>
          <w:sz w:val="18"/>
          <w:szCs w:val="18"/>
        </w:rPr>
        <w:t>.</w:t>
      </w:r>
    </w:p>
    <w:p w:rsidR="00306265" w:rsidRDefault="00306265" w:rsidP="00306265">
      <w:pPr>
        <w:spacing w:line="360" w:lineRule="auto"/>
        <w:ind w:right="42"/>
        <w:rPr>
          <w:b/>
          <w:bCs/>
          <w:sz w:val="22"/>
          <w:szCs w:val="22"/>
        </w:rPr>
      </w:pPr>
    </w:p>
    <w:p w:rsidR="00306265" w:rsidRDefault="00306265" w:rsidP="00306265">
      <w:pPr>
        <w:ind w:left="-360"/>
        <w:rPr>
          <w:rFonts w:ascii="Arial" w:hAnsi="Arial" w:cs="Arial"/>
          <w:sz w:val="16"/>
          <w:szCs w:val="16"/>
        </w:rPr>
      </w:pPr>
    </w:p>
    <w:p w:rsidR="00306265" w:rsidRDefault="00306265" w:rsidP="00306265">
      <w:pPr>
        <w:spacing w:line="360" w:lineRule="auto"/>
        <w:ind w:left="-360"/>
        <w:jc w:val="center"/>
        <w:rPr>
          <w:b/>
          <w:bCs/>
          <w:sz w:val="22"/>
          <w:szCs w:val="22"/>
        </w:rPr>
      </w:pPr>
      <w:r>
        <w:rPr>
          <w:b/>
          <w:bCs/>
          <w:sz w:val="22"/>
          <w:szCs w:val="22"/>
        </w:rPr>
        <w:t>Ocak ayı imalat verileri olumlu</w:t>
      </w:r>
    </w:p>
    <w:p w:rsidR="00306265" w:rsidRDefault="00306265" w:rsidP="00306265">
      <w:pPr>
        <w:spacing w:line="360" w:lineRule="auto"/>
        <w:ind w:left="-360"/>
        <w:jc w:val="center"/>
        <w:rPr>
          <w:b/>
          <w:bCs/>
          <w:sz w:val="22"/>
          <w:szCs w:val="22"/>
        </w:rPr>
      </w:pPr>
    </w:p>
    <w:p w:rsidR="00306265" w:rsidRDefault="00306265" w:rsidP="00306265">
      <w:pPr>
        <w:spacing w:line="360" w:lineRule="auto"/>
        <w:ind w:left="-360" w:right="42"/>
        <w:jc w:val="both"/>
        <w:rPr>
          <w:sz w:val="22"/>
          <w:szCs w:val="22"/>
        </w:rPr>
      </w:pPr>
      <w:r>
        <w:rPr>
          <w:sz w:val="22"/>
          <w:szCs w:val="22"/>
        </w:rPr>
        <w:t xml:space="preserve">Sanayi üretimi Ocak ayında beklentilerin üzerinde artış gösterdi. Aralık ayına göre yüzde 1,1 artan endeks, geçen yıla göre baz etkisiyle yüzde 7,3 arttı. Artışta canlanan ihracat talebi etkili oldu. Otomotiv sanayi ve tekstil ürünleri ihracatının artması sanayi üretimini de olumlu etkiledi. Türkiye İhracatçılar Meclisi'nin yayınladığı öncü ihracat verileri Şubat ayında yıllık bazda artan ihracata işaret ediyor. Ancak hem Ocak hem de Şubat'ta düşen Kapasite Kullanım Oranı, sanayi </w:t>
      </w:r>
      <w:r>
        <w:rPr>
          <w:sz w:val="22"/>
          <w:szCs w:val="22"/>
        </w:rPr>
        <w:lastRenderedPageBreak/>
        <w:t>üretiminde son üç aydır devam eden artışların Şubat'ta negatife dönüşebileceği sinyalini veriyor.</w:t>
      </w:r>
    </w:p>
    <w:p w:rsidR="00306265" w:rsidRDefault="00306265" w:rsidP="00306265">
      <w:pPr>
        <w:spacing w:line="360" w:lineRule="auto"/>
        <w:ind w:left="-360" w:right="42"/>
        <w:jc w:val="both"/>
        <w:rPr>
          <w:sz w:val="22"/>
          <w:szCs w:val="22"/>
        </w:rPr>
      </w:pPr>
    </w:p>
    <w:p w:rsidR="00306265" w:rsidRDefault="00306265" w:rsidP="00306265">
      <w:pPr>
        <w:spacing w:line="360" w:lineRule="auto"/>
        <w:ind w:left="-360" w:right="42"/>
        <w:jc w:val="both"/>
        <w:rPr>
          <w:sz w:val="22"/>
          <w:szCs w:val="22"/>
        </w:rPr>
      </w:pPr>
      <w:r>
        <w:rPr>
          <w:sz w:val="22"/>
          <w:szCs w:val="22"/>
        </w:rPr>
        <w:t xml:space="preserve">İlk çeyrekte özel yatırım ve tüketime dair ilk göstergeler iç talep üzerinde baskı oluştuğunu gösteriyor. Ocak ayında dayanıklı tüketim malı ve yatırım malı imalatında azalma meydana geldi. Tüketim ve yatırım malı ithalatı da aynı dönemde düştü. Yine Ocak ayında bozulma görülen güven endekslerinden tüketici güven endeksi, Şubat ayında düşüşünü sürdürdü. Reel kesimde ise Merkez Bankası'nın faiz artırma kararı sonrası kurun istikrara kavuşması ile bir miktar güven artışı gözlemlendi. </w:t>
      </w:r>
    </w:p>
    <w:p w:rsidR="00306265" w:rsidRDefault="00306265" w:rsidP="00306265">
      <w:pPr>
        <w:spacing w:line="360" w:lineRule="auto"/>
        <w:ind w:left="-360" w:right="42"/>
        <w:jc w:val="both"/>
        <w:rPr>
          <w:sz w:val="22"/>
          <w:szCs w:val="22"/>
        </w:rPr>
      </w:pPr>
    </w:p>
    <w:p w:rsidR="00306265" w:rsidRDefault="00306265" w:rsidP="00306265">
      <w:pPr>
        <w:spacing w:line="360" w:lineRule="auto"/>
        <w:ind w:left="-360" w:right="42"/>
        <w:jc w:val="both"/>
        <w:rPr>
          <w:sz w:val="22"/>
          <w:szCs w:val="22"/>
        </w:rPr>
      </w:pPr>
      <w:r>
        <w:rPr>
          <w:sz w:val="22"/>
          <w:szCs w:val="22"/>
        </w:rPr>
        <w:t>Birinci çeyreğe dair elimizdeki sınırlı veri büyümenin ağırlıklı olarak ihracat kaynaklı olacağını gösteriyor. Çeyrekten çeyreğe ilk büyüme tahminimiz yüzde 0,5. Geçtiğimiz yılın aynı çeyreğine göre büyümeyi ise yüzde 3,8 olarak tahmin ediyoruz. İlk çeyrek sonunda cari açığın GSYH'a oranının yüzde 7,9'da sabit kalacağını tahmin ediyoruz. Altın hariç cari açık beklentimiz ise yüzde 6,5.</w:t>
      </w:r>
    </w:p>
    <w:p w:rsidR="00306265" w:rsidRDefault="00306265" w:rsidP="00306265">
      <w:pPr>
        <w:spacing w:line="360" w:lineRule="auto"/>
        <w:ind w:left="-360" w:right="42"/>
        <w:jc w:val="both"/>
        <w:rPr>
          <w:sz w:val="22"/>
          <w:szCs w:val="22"/>
        </w:rPr>
      </w:pPr>
    </w:p>
    <w:p w:rsidR="00306265" w:rsidRPr="00495192" w:rsidRDefault="00306265" w:rsidP="00306265">
      <w:pPr>
        <w:spacing w:line="360" w:lineRule="auto"/>
        <w:ind w:left="-360" w:right="42"/>
        <w:jc w:val="center"/>
        <w:rPr>
          <w:b/>
          <w:sz w:val="22"/>
          <w:szCs w:val="22"/>
        </w:rPr>
      </w:pPr>
      <w:r>
        <w:rPr>
          <w:b/>
          <w:sz w:val="22"/>
          <w:szCs w:val="22"/>
        </w:rPr>
        <w:t>Ocak verileri olumlu ama yetmeyebilir</w:t>
      </w:r>
    </w:p>
    <w:p w:rsidR="00306265" w:rsidRDefault="00306265" w:rsidP="00306265">
      <w:pPr>
        <w:spacing w:line="360" w:lineRule="auto"/>
        <w:ind w:left="-360" w:right="42"/>
        <w:jc w:val="both"/>
        <w:rPr>
          <w:sz w:val="22"/>
          <w:szCs w:val="22"/>
        </w:rPr>
      </w:pPr>
    </w:p>
    <w:p w:rsidR="003270D6" w:rsidRDefault="00306265" w:rsidP="00306265">
      <w:pPr>
        <w:spacing w:line="360" w:lineRule="auto"/>
        <w:ind w:left="-360" w:right="42"/>
        <w:jc w:val="both"/>
        <w:rPr>
          <w:sz w:val="22"/>
          <w:szCs w:val="22"/>
        </w:rPr>
      </w:pPr>
      <w:r>
        <w:rPr>
          <w:sz w:val="22"/>
          <w:szCs w:val="22"/>
        </w:rPr>
        <w:t xml:space="preserve">Ocak ayı üretim verileri ilk çeyrekte korkulanın aksine ciddi bir daralmanın olmayabileceğine dair umut veriyor. Ancak özellikle Ocak ayında kur ve beklentilerde meydana gelen bozulmaların etkisi verilere gecikmeli yansıyabilir. Bu açıdan Şubat verileri önemini koruyor. Öte yandan Merkez Bankası'nın sıkı para politikası duruşuyla kuru istikrara kavuşturmuş olması reel kesimde olumlu etki yapıyor. Amerikan Merkez Bankası'nın tahvil alımlarını yıl içerisinde sonlandıracağı </w:t>
      </w:r>
      <w:r>
        <w:rPr>
          <w:sz w:val="22"/>
          <w:szCs w:val="22"/>
        </w:rPr>
        <w:lastRenderedPageBreak/>
        <w:t>beklentisinin satın alınmış olması da piyasalarda belirsizliği sınırlandırarak reel ekonomiye olumlu etki yapıyor. Ancak yatırımların canlanması için bu gelişmeler yeterli değil. İç politikadaki belirsizlikler yatırım ve tüketim davranışlarını olumsuz etkilemeye devam ediyor.</w:t>
      </w:r>
      <w:r w:rsidR="007440DB">
        <w:rPr>
          <w:sz w:val="22"/>
          <w:szCs w:val="22"/>
        </w:rPr>
        <w:t xml:space="preserve"> Bu durumda  hükümet</w:t>
      </w:r>
      <w:r>
        <w:rPr>
          <w:sz w:val="22"/>
          <w:szCs w:val="22"/>
        </w:rPr>
        <w:t xml:space="preserve"> ilk çeyrekte, bütçe elverdiği ölçüde, kamu harcamalarını artırarak büyümeyi desteklemek isteyebilir. Bu durumda ilk çeyrek büyümesi kamu harcamaları ve ihracata dayalı olacaktır.</w:t>
      </w:r>
    </w:p>
    <w:p w:rsidR="00306265" w:rsidRDefault="00306265" w:rsidP="00306265">
      <w:pPr>
        <w:spacing w:line="360" w:lineRule="auto"/>
        <w:ind w:left="-360" w:right="42"/>
        <w:jc w:val="both"/>
        <w:rPr>
          <w:sz w:val="22"/>
          <w:szCs w:val="22"/>
        </w:rPr>
      </w:pPr>
    </w:p>
    <w:p w:rsidR="003A5C17" w:rsidRDefault="00786067" w:rsidP="003A5C17">
      <w:pPr>
        <w:spacing w:line="360" w:lineRule="auto"/>
        <w:ind w:left="-360" w:right="42"/>
        <w:jc w:val="center"/>
        <w:rPr>
          <w:b/>
          <w:bCs/>
          <w:sz w:val="22"/>
          <w:szCs w:val="22"/>
        </w:rPr>
      </w:pPr>
      <w:r>
        <w:rPr>
          <w:b/>
          <w:bCs/>
          <w:sz w:val="22"/>
          <w:szCs w:val="22"/>
        </w:rPr>
        <w:t>Özel tüketim yavaşlıyor</w:t>
      </w:r>
    </w:p>
    <w:p w:rsidR="003A5C17" w:rsidRDefault="003A5C17" w:rsidP="003A5C17">
      <w:pPr>
        <w:spacing w:line="360" w:lineRule="auto"/>
        <w:ind w:left="-360" w:right="42"/>
        <w:jc w:val="both"/>
        <w:rPr>
          <w:sz w:val="22"/>
          <w:szCs w:val="22"/>
        </w:rPr>
      </w:pPr>
    </w:p>
    <w:p w:rsidR="00DC014C" w:rsidRDefault="00DC014C" w:rsidP="003A5C17">
      <w:pPr>
        <w:spacing w:line="360" w:lineRule="auto"/>
        <w:ind w:left="-360" w:right="42"/>
        <w:jc w:val="both"/>
        <w:rPr>
          <w:sz w:val="22"/>
          <w:szCs w:val="22"/>
        </w:rPr>
      </w:pPr>
      <w:r>
        <w:rPr>
          <w:sz w:val="22"/>
          <w:szCs w:val="22"/>
        </w:rPr>
        <w:t xml:space="preserve">Ocak ayında bir önceki aya göre dayanıksız tüketim malı imalatı yüzde 1,9 arttı. Buna karşılık dayanıklı tüketim malı imalatı ve tüketim malı ithalatı sırasıyla yüzde 3,5 ve yüzde 1,5 azaldı.  Tüketim ithalatındaki düşüşe paralel olarak özel tüketim vergisi gelirleri de yüzde 0,4'lik bir düşüş gösterdi. </w:t>
      </w:r>
    </w:p>
    <w:p w:rsidR="00DC014C" w:rsidRDefault="00DC014C" w:rsidP="003A5C17">
      <w:pPr>
        <w:spacing w:line="360" w:lineRule="auto"/>
        <w:ind w:left="-360" w:right="42"/>
        <w:jc w:val="both"/>
        <w:rPr>
          <w:sz w:val="22"/>
          <w:szCs w:val="22"/>
        </w:rPr>
      </w:pPr>
    </w:p>
    <w:p w:rsidR="00DC014C" w:rsidRDefault="00DC014C" w:rsidP="003A5C17">
      <w:pPr>
        <w:spacing w:line="360" w:lineRule="auto"/>
        <w:ind w:left="-360" w:right="42"/>
        <w:jc w:val="both"/>
        <w:rPr>
          <w:sz w:val="22"/>
          <w:szCs w:val="22"/>
        </w:rPr>
      </w:pPr>
      <w:r>
        <w:rPr>
          <w:sz w:val="22"/>
          <w:szCs w:val="22"/>
        </w:rPr>
        <w:t>Tüketici güven endeksindeki kötüleşme tüm hızıyla devam ediyor. Aralık ve Ocak ayında tüketici güven endeksi iki ay üst üste yüzde 4,1 azalmıştı. Şubat ayında ise yüzde 4,9 değer kaybetti. Ocak ayıyla ilgili göstergeler 2014 1. çeyrekle ilgili iç açıcı bir tablo sergilemiyor. Genel olarak özel tüketim harca</w:t>
      </w:r>
      <w:r w:rsidR="00786067">
        <w:rPr>
          <w:sz w:val="22"/>
          <w:szCs w:val="22"/>
        </w:rPr>
        <w:t>maların 1. çeyrekte hız kese</w:t>
      </w:r>
      <w:r w:rsidR="007440DB">
        <w:rPr>
          <w:sz w:val="22"/>
          <w:szCs w:val="22"/>
        </w:rPr>
        <w:t>rek yatay bir seyir izleyeceğine</w:t>
      </w:r>
      <w:r w:rsidR="00786067">
        <w:rPr>
          <w:sz w:val="22"/>
          <w:szCs w:val="22"/>
        </w:rPr>
        <w:t xml:space="preserve"> inanıyoruz.</w:t>
      </w:r>
    </w:p>
    <w:p w:rsidR="003A5C17" w:rsidRDefault="003A5C17" w:rsidP="003A5C17">
      <w:pPr>
        <w:spacing w:line="360" w:lineRule="auto"/>
        <w:ind w:right="42"/>
        <w:rPr>
          <w:b/>
          <w:bCs/>
          <w:sz w:val="22"/>
          <w:szCs w:val="22"/>
        </w:rPr>
      </w:pPr>
    </w:p>
    <w:p w:rsidR="003A5C17" w:rsidRDefault="00306265" w:rsidP="003A5C17">
      <w:pPr>
        <w:spacing w:line="360" w:lineRule="auto"/>
        <w:ind w:left="-360" w:right="42"/>
        <w:jc w:val="center"/>
        <w:rPr>
          <w:b/>
          <w:bCs/>
          <w:sz w:val="22"/>
          <w:szCs w:val="22"/>
        </w:rPr>
      </w:pPr>
      <w:r>
        <w:rPr>
          <w:b/>
          <w:bCs/>
          <w:sz w:val="22"/>
          <w:szCs w:val="22"/>
        </w:rPr>
        <w:t>Yatırım yatay devam ediyor</w:t>
      </w:r>
    </w:p>
    <w:p w:rsidR="003A5C17" w:rsidRDefault="003A5C17" w:rsidP="003A5C17">
      <w:pPr>
        <w:spacing w:line="360" w:lineRule="auto"/>
        <w:ind w:right="42"/>
        <w:jc w:val="both"/>
        <w:rPr>
          <w:bCs/>
          <w:sz w:val="22"/>
          <w:szCs w:val="22"/>
        </w:rPr>
      </w:pPr>
    </w:p>
    <w:p w:rsidR="00786067" w:rsidRDefault="00786067" w:rsidP="003A5C17">
      <w:pPr>
        <w:spacing w:line="360" w:lineRule="auto"/>
        <w:ind w:left="-360" w:right="43"/>
        <w:jc w:val="both"/>
        <w:rPr>
          <w:bCs/>
          <w:sz w:val="22"/>
          <w:szCs w:val="22"/>
        </w:rPr>
      </w:pPr>
      <w:r>
        <w:rPr>
          <w:bCs/>
          <w:sz w:val="22"/>
          <w:szCs w:val="22"/>
        </w:rPr>
        <w:t>Ocak ayında bir önceki aya göre</w:t>
      </w:r>
      <w:r w:rsidR="00DC2094">
        <w:rPr>
          <w:bCs/>
          <w:sz w:val="22"/>
          <w:szCs w:val="22"/>
        </w:rPr>
        <w:t xml:space="preserve"> ara malı ithalatı ve yatırım malı ithalatı yüzde 3,2 ve yüzde 3,4 azaldı. Yatırım malı imalatı da aynı dönemde </w:t>
      </w:r>
      <w:r w:rsidR="00DC2094">
        <w:rPr>
          <w:bCs/>
          <w:sz w:val="22"/>
          <w:szCs w:val="22"/>
        </w:rPr>
        <w:lastRenderedPageBreak/>
        <w:t xml:space="preserve">yüzde 1,7 düştü. Buna karşılık SÜE Ocak ayında yüzde 1,1 arttı. </w:t>
      </w:r>
    </w:p>
    <w:p w:rsidR="00DC2094" w:rsidRDefault="00DC2094" w:rsidP="003A5C17">
      <w:pPr>
        <w:spacing w:line="360" w:lineRule="auto"/>
        <w:ind w:left="-360" w:right="43"/>
        <w:jc w:val="both"/>
        <w:rPr>
          <w:bCs/>
          <w:sz w:val="22"/>
          <w:szCs w:val="22"/>
        </w:rPr>
      </w:pPr>
    </w:p>
    <w:p w:rsidR="00DC2094" w:rsidRDefault="00DC2094" w:rsidP="003A5C17">
      <w:pPr>
        <w:spacing w:line="360" w:lineRule="auto"/>
        <w:ind w:left="-360" w:right="43"/>
        <w:jc w:val="both"/>
        <w:rPr>
          <w:bCs/>
          <w:sz w:val="22"/>
          <w:szCs w:val="22"/>
        </w:rPr>
      </w:pPr>
      <w:r>
        <w:rPr>
          <w:bCs/>
          <w:sz w:val="22"/>
          <w:szCs w:val="22"/>
        </w:rPr>
        <w:t>KKO Ocak ayından sonra Şubat ayında da azalmaya devam e</w:t>
      </w:r>
      <w:r w:rsidR="007440DB">
        <w:rPr>
          <w:bCs/>
          <w:sz w:val="22"/>
          <w:szCs w:val="22"/>
        </w:rPr>
        <w:t>tti</w:t>
      </w:r>
      <w:r>
        <w:rPr>
          <w:bCs/>
          <w:sz w:val="22"/>
          <w:szCs w:val="22"/>
        </w:rPr>
        <w:t xml:space="preserve">. Şubat ayında bir önceki aya göre KKO 0,2 yüzde puan azaldı. Reel Kesim güven endeksi ise son 3 aydaki düşüşün ardından Şubat ayında çok azda olsa toparlandı. Özel yatırım harcamalarının 2014 1. çeyrekte bir önceki çeyrekte olduğu gibi yatay bir seyir izlemesini bekliyoruz. </w:t>
      </w:r>
    </w:p>
    <w:p w:rsidR="003A5C17" w:rsidRDefault="003A5C17" w:rsidP="003A5C17">
      <w:pPr>
        <w:spacing w:line="360" w:lineRule="auto"/>
        <w:ind w:left="-360" w:right="43"/>
        <w:jc w:val="both"/>
        <w:rPr>
          <w:bCs/>
          <w:sz w:val="22"/>
          <w:szCs w:val="22"/>
        </w:rPr>
      </w:pPr>
    </w:p>
    <w:p w:rsidR="003A5C17" w:rsidRDefault="00FD6CC6" w:rsidP="003A5C17">
      <w:pPr>
        <w:spacing w:line="360" w:lineRule="auto"/>
        <w:ind w:left="-360" w:right="43"/>
        <w:jc w:val="center"/>
        <w:rPr>
          <w:b/>
          <w:bCs/>
          <w:sz w:val="22"/>
          <w:szCs w:val="22"/>
        </w:rPr>
      </w:pPr>
      <w:r>
        <w:rPr>
          <w:b/>
          <w:bCs/>
          <w:sz w:val="22"/>
          <w:szCs w:val="22"/>
        </w:rPr>
        <w:t>Ocak</w:t>
      </w:r>
      <w:r w:rsidR="003A5C17">
        <w:rPr>
          <w:b/>
          <w:bCs/>
          <w:sz w:val="22"/>
          <w:szCs w:val="22"/>
        </w:rPr>
        <w:t xml:space="preserve"> ayında ihracat </w:t>
      </w:r>
      <w:r>
        <w:rPr>
          <w:b/>
          <w:bCs/>
          <w:sz w:val="22"/>
          <w:szCs w:val="22"/>
        </w:rPr>
        <w:t>arttı</w:t>
      </w:r>
      <w:r w:rsidR="003A5C17">
        <w:rPr>
          <w:b/>
          <w:bCs/>
          <w:sz w:val="22"/>
          <w:szCs w:val="22"/>
        </w:rPr>
        <w:br/>
      </w:r>
    </w:p>
    <w:p w:rsidR="003A5C17" w:rsidRDefault="003A5C17" w:rsidP="003A5C17">
      <w:pPr>
        <w:spacing w:line="360" w:lineRule="auto"/>
        <w:ind w:left="-360" w:right="43"/>
        <w:jc w:val="both"/>
        <w:rPr>
          <w:sz w:val="22"/>
          <w:szCs w:val="22"/>
        </w:rPr>
      </w:pPr>
      <w:r>
        <w:rPr>
          <w:sz w:val="22"/>
          <w:szCs w:val="22"/>
        </w:rPr>
        <w:t xml:space="preserve">Şekil 2 TÜİK’in açıkladığı mevsim ve takvim etkisinden arındırılmış ihracat ve ithalat miktar endekslerini gösteriyor. </w:t>
      </w:r>
      <w:r w:rsidR="00FD6CC6">
        <w:rPr>
          <w:sz w:val="22"/>
          <w:szCs w:val="22"/>
        </w:rPr>
        <w:t>Ocak</w:t>
      </w:r>
      <w:r>
        <w:rPr>
          <w:sz w:val="22"/>
          <w:szCs w:val="22"/>
        </w:rPr>
        <w:t xml:space="preserve"> ayında bir önceki aya göre ihracat miktar endeksi yüzde </w:t>
      </w:r>
      <w:r w:rsidR="00FD6CC6">
        <w:rPr>
          <w:sz w:val="22"/>
          <w:szCs w:val="22"/>
        </w:rPr>
        <w:t>1,8</w:t>
      </w:r>
      <w:r>
        <w:rPr>
          <w:sz w:val="22"/>
          <w:szCs w:val="22"/>
        </w:rPr>
        <w:t xml:space="preserve"> </w:t>
      </w:r>
      <w:r w:rsidR="00FD6CC6">
        <w:rPr>
          <w:sz w:val="22"/>
          <w:szCs w:val="22"/>
        </w:rPr>
        <w:t>artarken</w:t>
      </w:r>
      <w:r>
        <w:rPr>
          <w:sz w:val="22"/>
          <w:szCs w:val="22"/>
        </w:rPr>
        <w:t xml:space="preserve">, ithalat miktar endeksi yüzde </w:t>
      </w:r>
      <w:r w:rsidR="00FD6CC6">
        <w:rPr>
          <w:sz w:val="22"/>
          <w:szCs w:val="22"/>
        </w:rPr>
        <w:t>0,5</w:t>
      </w:r>
      <w:r>
        <w:rPr>
          <w:sz w:val="22"/>
          <w:szCs w:val="22"/>
        </w:rPr>
        <w:t xml:space="preserve"> </w:t>
      </w:r>
      <w:r w:rsidR="00FD6CC6">
        <w:rPr>
          <w:sz w:val="22"/>
          <w:szCs w:val="22"/>
        </w:rPr>
        <w:t>azaldı</w:t>
      </w:r>
      <w:r>
        <w:rPr>
          <w:sz w:val="22"/>
          <w:szCs w:val="22"/>
        </w:rPr>
        <w:t>. Aynı döne</w:t>
      </w:r>
      <w:r w:rsidR="00FD6CC6">
        <w:rPr>
          <w:sz w:val="22"/>
          <w:szCs w:val="22"/>
        </w:rPr>
        <w:t>mde altın dışı ihracat ve altın dışı ithalat sırasıyla yüzde 3,9</w:t>
      </w:r>
      <w:r>
        <w:rPr>
          <w:sz w:val="22"/>
          <w:szCs w:val="22"/>
        </w:rPr>
        <w:t xml:space="preserve"> </w:t>
      </w:r>
      <w:r w:rsidR="00FD6CC6">
        <w:rPr>
          <w:sz w:val="22"/>
          <w:szCs w:val="22"/>
        </w:rPr>
        <w:t>ve yüzde 1,2 arttı. Bu veriler ışığında net ihracatın 2014 1. çeyrekte reel GSYH'a pozitif katkı yapmasını bekliyoruz.</w:t>
      </w:r>
    </w:p>
    <w:p w:rsidR="003A5C17" w:rsidRDefault="003A5C17" w:rsidP="003A5C17">
      <w:pPr>
        <w:spacing w:line="360" w:lineRule="auto"/>
        <w:ind w:left="-360" w:right="43"/>
        <w:jc w:val="both"/>
        <w:rPr>
          <w:sz w:val="22"/>
          <w:szCs w:val="22"/>
        </w:rPr>
      </w:pPr>
    </w:p>
    <w:p w:rsidR="00306265" w:rsidRDefault="00306265" w:rsidP="00306265">
      <w:pPr>
        <w:spacing w:line="360" w:lineRule="auto"/>
        <w:ind w:left="-360" w:right="43"/>
        <w:jc w:val="center"/>
        <w:rPr>
          <w:b/>
          <w:bCs/>
          <w:sz w:val="22"/>
          <w:szCs w:val="22"/>
        </w:rPr>
      </w:pPr>
      <w:r>
        <w:rPr>
          <w:b/>
          <w:bCs/>
          <w:sz w:val="22"/>
          <w:szCs w:val="22"/>
        </w:rPr>
        <w:lastRenderedPageBreak/>
        <w:t>Ocak'ta cari açık beklentinin altında</w:t>
      </w:r>
    </w:p>
    <w:p w:rsidR="00306265" w:rsidRDefault="00306265" w:rsidP="00306265">
      <w:pPr>
        <w:spacing w:line="360" w:lineRule="auto"/>
        <w:ind w:left="-360" w:right="43"/>
        <w:jc w:val="center"/>
        <w:rPr>
          <w:b/>
          <w:bCs/>
          <w:sz w:val="22"/>
          <w:szCs w:val="22"/>
        </w:rPr>
      </w:pPr>
    </w:p>
    <w:p w:rsidR="00306265" w:rsidRDefault="00306265" w:rsidP="00306265">
      <w:pPr>
        <w:spacing w:line="360" w:lineRule="auto"/>
        <w:ind w:left="-360" w:right="43"/>
        <w:jc w:val="both"/>
        <w:rPr>
          <w:sz w:val="22"/>
          <w:szCs w:val="22"/>
        </w:rPr>
      </w:pPr>
      <w:r>
        <w:rPr>
          <w:sz w:val="22"/>
          <w:szCs w:val="22"/>
        </w:rPr>
        <w:t xml:space="preserve">Ocak ayında cari açık 4,9 milyar dolarla beklentilerin altında gerçekleşti. Geçtiğimiz yılın aynı ayında cari açık 5,8 milyar dolardı. Böylece 12 aylık toplam cari açık 65 milyar dolardan 64 milyar dolara düştü. Altın hariç cari açık ise 53,2'den 52,3 milyar dolara indi. </w:t>
      </w:r>
    </w:p>
    <w:p w:rsidR="00306265" w:rsidRDefault="00306265" w:rsidP="00306265">
      <w:pPr>
        <w:spacing w:line="360" w:lineRule="auto"/>
        <w:ind w:left="-360" w:right="43"/>
        <w:jc w:val="both"/>
        <w:rPr>
          <w:sz w:val="22"/>
          <w:szCs w:val="22"/>
        </w:rPr>
      </w:pPr>
    </w:p>
    <w:p w:rsidR="00306265" w:rsidRDefault="00306265" w:rsidP="00306265">
      <w:pPr>
        <w:spacing w:line="360" w:lineRule="auto"/>
        <w:ind w:left="-360" w:right="43"/>
        <w:jc w:val="both"/>
        <w:rPr>
          <w:sz w:val="22"/>
          <w:szCs w:val="22"/>
        </w:rPr>
      </w:pPr>
      <w:r>
        <w:rPr>
          <w:sz w:val="22"/>
          <w:szCs w:val="22"/>
        </w:rPr>
        <w:t xml:space="preserve">Cari açığın finansmanı ağırlıklı olarak Merkez Bankası rezervlerinden kaynaklandı. Rezervler Ocak'ta 5,8 milyar dolar azaldı. Hatırlanacağı gibi Ocak ayı içerisinde Merkez Bankası yüklü miktarda döviz satımları ve doğrudan müdahalelerle kuru kontrol altına almaya çalışmıştı. Bu dönemde yaklaşık 3,1 milyar dolar net sermaye çıkışı gerçekleşti. Net hata ve noksan kalemi ise 2,2 milyar dolar kaynağı belirsiz girişe işaret etti. </w:t>
      </w:r>
    </w:p>
    <w:p w:rsidR="00306265" w:rsidRDefault="00306265" w:rsidP="00306265">
      <w:pPr>
        <w:spacing w:line="360" w:lineRule="auto"/>
        <w:ind w:left="-360" w:right="43"/>
        <w:jc w:val="both"/>
        <w:rPr>
          <w:sz w:val="22"/>
          <w:szCs w:val="22"/>
        </w:rPr>
      </w:pPr>
    </w:p>
    <w:p w:rsidR="00306265" w:rsidRDefault="00306265" w:rsidP="00306265">
      <w:pPr>
        <w:spacing w:line="360" w:lineRule="auto"/>
        <w:ind w:left="-360" w:right="43"/>
        <w:jc w:val="both"/>
        <w:rPr>
          <w:sz w:val="22"/>
          <w:szCs w:val="22"/>
        </w:rPr>
      </w:pPr>
      <w:r>
        <w:rPr>
          <w:sz w:val="22"/>
          <w:szCs w:val="22"/>
        </w:rPr>
        <w:t xml:space="preserve">Betam ilk çeyrek sonunda cari açık oranının yüzde 7,9'da sabit kalacağını, altın hariç cari açık oranının ise yüzde 6,5 olacağını tahmin ediyor. </w:t>
      </w:r>
    </w:p>
    <w:p w:rsidR="00965C0E" w:rsidRDefault="00965C0E" w:rsidP="00965C0E">
      <w:pPr>
        <w:spacing w:line="360" w:lineRule="auto"/>
        <w:ind w:left="-360" w:right="42"/>
        <w:jc w:val="center"/>
        <w:rPr>
          <w:b/>
          <w:sz w:val="22"/>
          <w:szCs w:val="22"/>
        </w:rPr>
      </w:pPr>
    </w:p>
    <w:p w:rsidR="00965C0E" w:rsidRDefault="00965C0E" w:rsidP="00965C0E">
      <w:pPr>
        <w:spacing w:line="360" w:lineRule="auto"/>
        <w:ind w:left="-360" w:right="42"/>
        <w:jc w:val="both"/>
        <w:rPr>
          <w:sz w:val="22"/>
          <w:szCs w:val="22"/>
        </w:rPr>
        <w:sectPr w:rsidR="00965C0E" w:rsidSect="000F0C2B">
          <w:type w:val="continuous"/>
          <w:pgSz w:w="11906" w:h="16838"/>
          <w:pgMar w:top="1417" w:right="1417" w:bottom="1417" w:left="1417" w:header="708" w:footer="708" w:gutter="0"/>
          <w:cols w:num="2" w:space="708" w:equalWidth="0">
            <w:col w:w="4182" w:space="708"/>
            <w:col w:w="4182"/>
          </w:cols>
          <w:docGrid w:linePitch="360"/>
        </w:sectPr>
      </w:pPr>
    </w:p>
    <w:p w:rsidR="006C38D6" w:rsidRDefault="006C38D6" w:rsidP="009165ED">
      <w:pPr>
        <w:spacing w:line="360" w:lineRule="auto"/>
        <w:ind w:right="42"/>
        <w:jc w:val="both"/>
        <w:rPr>
          <w:b/>
          <w:bCs/>
          <w:sz w:val="22"/>
          <w:szCs w:val="22"/>
        </w:rPr>
      </w:pPr>
    </w:p>
    <w:p w:rsidR="00392A7C" w:rsidRDefault="00392A7C" w:rsidP="009165ED">
      <w:pPr>
        <w:spacing w:line="360" w:lineRule="auto"/>
        <w:ind w:right="42"/>
        <w:jc w:val="both"/>
        <w:rPr>
          <w:b/>
          <w:bCs/>
          <w:sz w:val="22"/>
          <w:szCs w:val="22"/>
        </w:rPr>
      </w:pPr>
    </w:p>
    <w:p w:rsidR="00392A7C" w:rsidRDefault="00392A7C" w:rsidP="009165ED">
      <w:pPr>
        <w:spacing w:line="360" w:lineRule="auto"/>
        <w:ind w:right="42"/>
        <w:jc w:val="both"/>
        <w:rPr>
          <w:b/>
          <w:bCs/>
          <w:sz w:val="22"/>
          <w:szCs w:val="22"/>
        </w:rPr>
      </w:pPr>
    </w:p>
    <w:p w:rsidR="00392A7C" w:rsidRDefault="00392A7C" w:rsidP="009165ED">
      <w:pPr>
        <w:spacing w:line="360" w:lineRule="auto"/>
        <w:ind w:right="42"/>
        <w:jc w:val="both"/>
        <w:rPr>
          <w:b/>
          <w:bCs/>
          <w:sz w:val="22"/>
          <w:szCs w:val="22"/>
        </w:rPr>
      </w:pPr>
    </w:p>
    <w:p w:rsidR="00392A7C" w:rsidRDefault="00392A7C" w:rsidP="009165ED">
      <w:pPr>
        <w:spacing w:line="360" w:lineRule="auto"/>
        <w:ind w:right="42"/>
        <w:jc w:val="both"/>
        <w:rPr>
          <w:b/>
          <w:bCs/>
          <w:sz w:val="22"/>
          <w:szCs w:val="22"/>
        </w:rPr>
      </w:pPr>
    </w:p>
    <w:p w:rsidR="00392A7C" w:rsidRDefault="00392A7C" w:rsidP="009165ED">
      <w:pPr>
        <w:spacing w:line="360" w:lineRule="auto"/>
        <w:ind w:right="42"/>
        <w:jc w:val="both"/>
        <w:rPr>
          <w:b/>
          <w:bCs/>
          <w:sz w:val="22"/>
          <w:szCs w:val="22"/>
        </w:rPr>
      </w:pPr>
    </w:p>
    <w:p w:rsidR="00392A7C" w:rsidRDefault="00392A7C" w:rsidP="009165ED">
      <w:pPr>
        <w:spacing w:line="360" w:lineRule="auto"/>
        <w:ind w:right="42"/>
        <w:jc w:val="both"/>
        <w:rPr>
          <w:b/>
          <w:bCs/>
          <w:sz w:val="22"/>
          <w:szCs w:val="22"/>
        </w:rPr>
      </w:pPr>
    </w:p>
    <w:p w:rsidR="00392A7C" w:rsidRDefault="00392A7C" w:rsidP="009165ED">
      <w:pPr>
        <w:spacing w:line="360" w:lineRule="auto"/>
        <w:ind w:right="42"/>
        <w:jc w:val="both"/>
        <w:rPr>
          <w:b/>
          <w:bCs/>
          <w:sz w:val="22"/>
          <w:szCs w:val="22"/>
        </w:rPr>
      </w:pPr>
    </w:p>
    <w:p w:rsidR="00392A7C" w:rsidRDefault="00392A7C" w:rsidP="009165ED">
      <w:pPr>
        <w:spacing w:line="360" w:lineRule="auto"/>
        <w:ind w:right="42"/>
        <w:jc w:val="both"/>
        <w:rPr>
          <w:b/>
          <w:bCs/>
          <w:sz w:val="22"/>
          <w:szCs w:val="22"/>
        </w:rPr>
      </w:pPr>
    </w:p>
    <w:p w:rsidR="00392A7C" w:rsidRDefault="00392A7C" w:rsidP="009165ED">
      <w:pPr>
        <w:spacing w:line="360" w:lineRule="auto"/>
        <w:ind w:right="42"/>
        <w:jc w:val="both"/>
        <w:rPr>
          <w:b/>
          <w:bCs/>
          <w:sz w:val="22"/>
          <w:szCs w:val="22"/>
        </w:rPr>
      </w:pPr>
    </w:p>
    <w:p w:rsidR="00392A7C" w:rsidRDefault="00392A7C" w:rsidP="009165ED">
      <w:pPr>
        <w:spacing w:line="360" w:lineRule="auto"/>
        <w:ind w:right="42"/>
        <w:jc w:val="both"/>
        <w:rPr>
          <w:b/>
          <w:bCs/>
          <w:sz w:val="22"/>
          <w:szCs w:val="22"/>
        </w:rPr>
      </w:pPr>
    </w:p>
    <w:p w:rsidR="00601C31" w:rsidRDefault="00601C31" w:rsidP="009165ED">
      <w:pPr>
        <w:spacing w:line="360" w:lineRule="auto"/>
        <w:ind w:right="42"/>
        <w:jc w:val="both"/>
        <w:rPr>
          <w:b/>
          <w:bCs/>
          <w:sz w:val="22"/>
          <w:szCs w:val="22"/>
        </w:rPr>
      </w:pPr>
    </w:p>
    <w:p w:rsidR="00306265" w:rsidRDefault="00306265" w:rsidP="009165ED">
      <w:pPr>
        <w:spacing w:line="360" w:lineRule="auto"/>
        <w:ind w:right="42"/>
        <w:jc w:val="both"/>
        <w:rPr>
          <w:b/>
          <w:bCs/>
          <w:sz w:val="22"/>
          <w:szCs w:val="22"/>
        </w:rPr>
      </w:pPr>
    </w:p>
    <w:p w:rsidR="00392A7C" w:rsidRPr="009B33E7" w:rsidRDefault="00392A7C" w:rsidP="00392A7C">
      <w:pPr>
        <w:spacing w:line="360" w:lineRule="auto"/>
        <w:ind w:right="42"/>
        <w:jc w:val="both"/>
        <w:rPr>
          <w:sz w:val="22"/>
          <w:szCs w:val="22"/>
        </w:rPr>
      </w:pPr>
      <w:r w:rsidRPr="008C6E50">
        <w:rPr>
          <w:b/>
          <w:bCs/>
          <w:sz w:val="22"/>
          <w:szCs w:val="22"/>
        </w:rPr>
        <w:lastRenderedPageBreak/>
        <w:t>Tablo</w:t>
      </w:r>
      <w:r>
        <w:rPr>
          <w:b/>
          <w:bCs/>
          <w:sz w:val="22"/>
          <w:szCs w:val="22"/>
        </w:rPr>
        <w:t xml:space="preserve"> 2</w:t>
      </w:r>
      <w:r w:rsidRPr="008C6E50">
        <w:rPr>
          <w:b/>
          <w:bCs/>
          <w:sz w:val="22"/>
          <w:szCs w:val="22"/>
        </w:rPr>
        <w:t>. Ekonomik göstergelerin aydan aya ve çeyrekten çeyreğe değişimleri (Reel ve MEA)</w:t>
      </w:r>
    </w:p>
    <w:tbl>
      <w:tblPr>
        <w:tblW w:w="10620"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1098"/>
        <w:gridCol w:w="925"/>
        <w:gridCol w:w="1073"/>
        <w:gridCol w:w="1138"/>
        <w:gridCol w:w="1069"/>
        <w:gridCol w:w="960"/>
        <w:gridCol w:w="960"/>
      </w:tblGrid>
      <w:tr w:rsidR="002654A6" w:rsidTr="00786067">
        <w:trPr>
          <w:trHeight w:val="607"/>
        </w:trPr>
        <w:tc>
          <w:tcPr>
            <w:tcW w:w="3397" w:type="dxa"/>
            <w:vAlign w:val="center"/>
          </w:tcPr>
          <w:p w:rsidR="002654A6" w:rsidRPr="00261A05" w:rsidRDefault="002654A6" w:rsidP="00133D34">
            <w:pPr>
              <w:ind w:right="42"/>
              <w:jc w:val="center"/>
              <w:rPr>
                <w:b/>
                <w:bCs/>
              </w:rPr>
            </w:pPr>
            <w:r w:rsidRPr="00261A05">
              <w:rPr>
                <w:b/>
                <w:bCs/>
                <w:sz w:val="22"/>
                <w:szCs w:val="22"/>
              </w:rPr>
              <w:t>Ekonomik Göstergeler</w:t>
            </w:r>
          </w:p>
        </w:tc>
        <w:tc>
          <w:tcPr>
            <w:tcW w:w="1098" w:type="dxa"/>
            <w:vAlign w:val="center"/>
          </w:tcPr>
          <w:p w:rsidR="002654A6" w:rsidRPr="00261A05" w:rsidRDefault="002654A6" w:rsidP="00BF7550">
            <w:pPr>
              <w:ind w:right="42"/>
              <w:jc w:val="center"/>
              <w:rPr>
                <w:b/>
                <w:bCs/>
              </w:rPr>
            </w:pPr>
            <w:r>
              <w:rPr>
                <w:b/>
                <w:bCs/>
              </w:rPr>
              <w:t>Ekim</w:t>
            </w:r>
          </w:p>
        </w:tc>
        <w:tc>
          <w:tcPr>
            <w:tcW w:w="925" w:type="dxa"/>
            <w:vAlign w:val="center"/>
          </w:tcPr>
          <w:p w:rsidR="002654A6" w:rsidRPr="00261A05" w:rsidRDefault="002654A6" w:rsidP="00BF7550">
            <w:pPr>
              <w:ind w:right="42"/>
              <w:jc w:val="center"/>
              <w:rPr>
                <w:b/>
                <w:bCs/>
              </w:rPr>
            </w:pPr>
            <w:r>
              <w:rPr>
                <w:b/>
                <w:bCs/>
              </w:rPr>
              <w:t>Kasım</w:t>
            </w:r>
          </w:p>
        </w:tc>
        <w:tc>
          <w:tcPr>
            <w:tcW w:w="1073" w:type="dxa"/>
            <w:vAlign w:val="center"/>
          </w:tcPr>
          <w:p w:rsidR="002654A6" w:rsidRPr="00261A05" w:rsidRDefault="002654A6" w:rsidP="00BF7550">
            <w:pPr>
              <w:ind w:right="42"/>
              <w:jc w:val="center"/>
              <w:rPr>
                <w:b/>
                <w:bCs/>
              </w:rPr>
            </w:pPr>
            <w:r>
              <w:rPr>
                <w:b/>
                <w:bCs/>
              </w:rPr>
              <w:t>Aralık</w:t>
            </w:r>
          </w:p>
        </w:tc>
        <w:tc>
          <w:tcPr>
            <w:tcW w:w="1138" w:type="dxa"/>
            <w:vAlign w:val="center"/>
          </w:tcPr>
          <w:p w:rsidR="002654A6" w:rsidRPr="00261A05" w:rsidRDefault="002654A6" w:rsidP="00BF7550">
            <w:pPr>
              <w:ind w:right="42"/>
              <w:jc w:val="center"/>
              <w:rPr>
                <w:b/>
                <w:bCs/>
              </w:rPr>
            </w:pPr>
            <w:r>
              <w:rPr>
                <w:b/>
                <w:bCs/>
              </w:rPr>
              <w:t>Ocak</w:t>
            </w:r>
          </w:p>
        </w:tc>
        <w:tc>
          <w:tcPr>
            <w:tcW w:w="1069" w:type="dxa"/>
            <w:tcBorders>
              <w:right w:val="double" w:sz="4" w:space="0" w:color="auto"/>
            </w:tcBorders>
            <w:vAlign w:val="center"/>
          </w:tcPr>
          <w:p w:rsidR="002654A6" w:rsidRPr="00261A05" w:rsidRDefault="002654A6" w:rsidP="00133D34">
            <w:pPr>
              <w:ind w:right="42"/>
              <w:jc w:val="center"/>
              <w:rPr>
                <w:b/>
                <w:bCs/>
              </w:rPr>
            </w:pPr>
            <w:r>
              <w:rPr>
                <w:b/>
                <w:bCs/>
              </w:rPr>
              <w:t>Şubat</w:t>
            </w:r>
          </w:p>
        </w:tc>
        <w:tc>
          <w:tcPr>
            <w:tcW w:w="960" w:type="dxa"/>
            <w:tcBorders>
              <w:left w:val="double" w:sz="4" w:space="0" w:color="auto"/>
            </w:tcBorders>
            <w:vAlign w:val="center"/>
          </w:tcPr>
          <w:p w:rsidR="002654A6" w:rsidRPr="00261A05" w:rsidRDefault="007440DB" w:rsidP="00133D34">
            <w:pPr>
              <w:ind w:right="42"/>
              <w:jc w:val="center"/>
              <w:rPr>
                <w:b/>
                <w:bCs/>
              </w:rPr>
            </w:pPr>
            <w:r>
              <w:rPr>
                <w:b/>
                <w:bCs/>
                <w:sz w:val="22"/>
                <w:szCs w:val="22"/>
              </w:rPr>
              <w:t>2013 4</w:t>
            </w:r>
            <w:r w:rsidR="002654A6" w:rsidRPr="00261A05">
              <w:rPr>
                <w:b/>
                <w:bCs/>
                <w:sz w:val="22"/>
                <w:szCs w:val="22"/>
              </w:rPr>
              <w:t>. Çeyrek</w:t>
            </w:r>
          </w:p>
        </w:tc>
        <w:tc>
          <w:tcPr>
            <w:tcW w:w="960" w:type="dxa"/>
            <w:vAlign w:val="center"/>
          </w:tcPr>
          <w:p w:rsidR="002654A6" w:rsidRPr="00261A05" w:rsidRDefault="002654A6" w:rsidP="007440DB">
            <w:pPr>
              <w:ind w:right="42"/>
              <w:jc w:val="center"/>
              <w:rPr>
                <w:b/>
                <w:bCs/>
              </w:rPr>
            </w:pPr>
            <w:r>
              <w:rPr>
                <w:b/>
                <w:bCs/>
                <w:sz w:val="22"/>
                <w:szCs w:val="22"/>
              </w:rPr>
              <w:t>201</w:t>
            </w:r>
            <w:r w:rsidR="007440DB">
              <w:rPr>
                <w:b/>
                <w:bCs/>
                <w:sz w:val="22"/>
                <w:szCs w:val="22"/>
              </w:rPr>
              <w:t>4</w:t>
            </w:r>
            <w:r>
              <w:rPr>
                <w:b/>
                <w:bCs/>
                <w:sz w:val="22"/>
                <w:szCs w:val="22"/>
              </w:rPr>
              <w:t xml:space="preserve"> </w:t>
            </w:r>
            <w:r w:rsidR="007440DB">
              <w:rPr>
                <w:b/>
                <w:bCs/>
                <w:sz w:val="22"/>
                <w:szCs w:val="22"/>
              </w:rPr>
              <w:t>1</w:t>
            </w:r>
            <w:r w:rsidRPr="00261A05">
              <w:rPr>
                <w:b/>
                <w:bCs/>
                <w:sz w:val="22"/>
                <w:szCs w:val="22"/>
              </w:rPr>
              <w:t>. Çeyrek</w:t>
            </w:r>
          </w:p>
        </w:tc>
      </w:tr>
      <w:tr w:rsidR="002654A6" w:rsidTr="00786067">
        <w:trPr>
          <w:trHeight w:val="370"/>
        </w:trPr>
        <w:tc>
          <w:tcPr>
            <w:tcW w:w="3397" w:type="dxa"/>
            <w:vAlign w:val="center"/>
          </w:tcPr>
          <w:p w:rsidR="002654A6" w:rsidRPr="00261A05" w:rsidRDefault="002654A6" w:rsidP="00133D34">
            <w:pPr>
              <w:ind w:right="42"/>
              <w:jc w:val="center"/>
              <w:rPr>
                <w:b/>
                <w:bCs/>
              </w:rPr>
            </w:pPr>
            <w:r w:rsidRPr="00261A05">
              <w:rPr>
                <w:b/>
                <w:bCs/>
                <w:sz w:val="22"/>
                <w:szCs w:val="22"/>
              </w:rPr>
              <w:t>İhracat</w:t>
            </w:r>
            <w:r>
              <w:rPr>
                <w:b/>
                <w:bCs/>
                <w:sz w:val="22"/>
                <w:szCs w:val="22"/>
              </w:rPr>
              <w:t>*</w:t>
            </w:r>
          </w:p>
        </w:tc>
        <w:tc>
          <w:tcPr>
            <w:tcW w:w="1098" w:type="dxa"/>
            <w:vAlign w:val="center"/>
          </w:tcPr>
          <w:p w:rsidR="002654A6" w:rsidRPr="00261A05" w:rsidRDefault="00501F2F" w:rsidP="00133D34">
            <w:pPr>
              <w:ind w:right="42"/>
              <w:jc w:val="center"/>
              <w:rPr>
                <w:b/>
                <w:bCs/>
              </w:rPr>
            </w:pPr>
            <w:r>
              <w:rPr>
                <w:b/>
                <w:bCs/>
              </w:rPr>
              <w:t>-2,6</w:t>
            </w:r>
          </w:p>
        </w:tc>
        <w:tc>
          <w:tcPr>
            <w:tcW w:w="925" w:type="dxa"/>
            <w:vAlign w:val="center"/>
          </w:tcPr>
          <w:p w:rsidR="002654A6" w:rsidRPr="00261A05" w:rsidRDefault="00501F2F" w:rsidP="00133D34">
            <w:pPr>
              <w:ind w:right="42"/>
              <w:jc w:val="center"/>
              <w:rPr>
                <w:b/>
                <w:bCs/>
              </w:rPr>
            </w:pPr>
            <w:r>
              <w:rPr>
                <w:b/>
                <w:bCs/>
              </w:rPr>
              <w:t>2,7</w:t>
            </w:r>
          </w:p>
        </w:tc>
        <w:tc>
          <w:tcPr>
            <w:tcW w:w="1073" w:type="dxa"/>
            <w:vAlign w:val="center"/>
          </w:tcPr>
          <w:p w:rsidR="002654A6" w:rsidRPr="00261A05" w:rsidRDefault="00501F2F" w:rsidP="00133D34">
            <w:pPr>
              <w:ind w:right="42"/>
              <w:jc w:val="center"/>
              <w:rPr>
                <w:b/>
                <w:bCs/>
              </w:rPr>
            </w:pPr>
            <w:r>
              <w:rPr>
                <w:b/>
                <w:bCs/>
              </w:rPr>
              <w:t>-1,7</w:t>
            </w:r>
          </w:p>
        </w:tc>
        <w:tc>
          <w:tcPr>
            <w:tcW w:w="1138" w:type="dxa"/>
            <w:vAlign w:val="center"/>
          </w:tcPr>
          <w:p w:rsidR="002654A6" w:rsidRPr="00261A05" w:rsidRDefault="00501F2F" w:rsidP="00133D34">
            <w:pPr>
              <w:ind w:right="42"/>
              <w:jc w:val="center"/>
              <w:rPr>
                <w:b/>
                <w:bCs/>
              </w:rPr>
            </w:pPr>
            <w:r>
              <w:rPr>
                <w:b/>
                <w:bCs/>
              </w:rPr>
              <w:t>1,8</w:t>
            </w:r>
          </w:p>
        </w:tc>
        <w:tc>
          <w:tcPr>
            <w:tcW w:w="1069" w:type="dxa"/>
            <w:tcBorders>
              <w:right w:val="double" w:sz="4" w:space="0" w:color="auto"/>
            </w:tcBorders>
            <w:vAlign w:val="center"/>
          </w:tcPr>
          <w:p w:rsidR="002654A6" w:rsidRPr="00261A05" w:rsidRDefault="00501F2F" w:rsidP="00133D34">
            <w:pPr>
              <w:ind w:right="42"/>
              <w:jc w:val="center"/>
            </w:pPr>
            <w:r>
              <w:t>**</w:t>
            </w:r>
          </w:p>
        </w:tc>
        <w:tc>
          <w:tcPr>
            <w:tcW w:w="960" w:type="dxa"/>
            <w:tcBorders>
              <w:left w:val="double" w:sz="4" w:space="0" w:color="auto"/>
            </w:tcBorders>
            <w:vAlign w:val="center"/>
          </w:tcPr>
          <w:p w:rsidR="002654A6" w:rsidRPr="00261A05" w:rsidRDefault="00501F2F" w:rsidP="00133D34">
            <w:pPr>
              <w:ind w:right="42"/>
              <w:jc w:val="center"/>
              <w:rPr>
                <w:b/>
                <w:bCs/>
              </w:rPr>
            </w:pPr>
            <w:r>
              <w:rPr>
                <w:b/>
                <w:bCs/>
              </w:rPr>
              <w:t>5,0</w:t>
            </w:r>
          </w:p>
        </w:tc>
        <w:tc>
          <w:tcPr>
            <w:tcW w:w="960" w:type="dxa"/>
            <w:vAlign w:val="center"/>
          </w:tcPr>
          <w:p w:rsidR="002654A6" w:rsidRPr="00261A05" w:rsidRDefault="00501F2F" w:rsidP="00133D34">
            <w:pPr>
              <w:ind w:right="42"/>
              <w:jc w:val="center"/>
              <w:rPr>
                <w:b/>
                <w:bCs/>
              </w:rPr>
            </w:pPr>
            <w:r>
              <w:rPr>
                <w:b/>
                <w:bCs/>
              </w:rPr>
              <w:t>1,5</w:t>
            </w:r>
          </w:p>
        </w:tc>
      </w:tr>
      <w:tr w:rsidR="002654A6" w:rsidTr="00786067">
        <w:trPr>
          <w:trHeight w:val="370"/>
        </w:trPr>
        <w:tc>
          <w:tcPr>
            <w:tcW w:w="3397" w:type="dxa"/>
            <w:tcBorders>
              <w:bottom w:val="nil"/>
            </w:tcBorders>
            <w:vAlign w:val="center"/>
          </w:tcPr>
          <w:p w:rsidR="002654A6" w:rsidRPr="00261A05" w:rsidRDefault="002654A6" w:rsidP="00133D34">
            <w:pPr>
              <w:ind w:right="42"/>
              <w:jc w:val="center"/>
              <w:rPr>
                <w:b/>
                <w:bCs/>
              </w:rPr>
            </w:pPr>
            <w:r w:rsidRPr="00261A05">
              <w:rPr>
                <w:b/>
                <w:bCs/>
                <w:sz w:val="22"/>
                <w:szCs w:val="22"/>
              </w:rPr>
              <w:t>İthalat</w:t>
            </w:r>
            <w:r>
              <w:rPr>
                <w:b/>
                <w:bCs/>
                <w:sz w:val="22"/>
                <w:szCs w:val="22"/>
              </w:rPr>
              <w:t>*</w:t>
            </w:r>
          </w:p>
        </w:tc>
        <w:tc>
          <w:tcPr>
            <w:tcW w:w="1098" w:type="dxa"/>
            <w:tcBorders>
              <w:bottom w:val="nil"/>
            </w:tcBorders>
            <w:vAlign w:val="center"/>
          </w:tcPr>
          <w:p w:rsidR="002654A6" w:rsidRPr="00261A05" w:rsidRDefault="00501F2F" w:rsidP="00133D34">
            <w:pPr>
              <w:ind w:right="42"/>
              <w:jc w:val="center"/>
              <w:rPr>
                <w:b/>
                <w:bCs/>
              </w:rPr>
            </w:pPr>
            <w:r>
              <w:rPr>
                <w:b/>
                <w:bCs/>
              </w:rPr>
              <w:t>6,4</w:t>
            </w:r>
          </w:p>
        </w:tc>
        <w:tc>
          <w:tcPr>
            <w:tcW w:w="925" w:type="dxa"/>
            <w:tcBorders>
              <w:bottom w:val="nil"/>
            </w:tcBorders>
            <w:vAlign w:val="center"/>
          </w:tcPr>
          <w:p w:rsidR="002654A6" w:rsidRPr="00261A05" w:rsidRDefault="00501F2F" w:rsidP="00133D34">
            <w:pPr>
              <w:ind w:right="42"/>
              <w:jc w:val="center"/>
              <w:rPr>
                <w:b/>
                <w:bCs/>
              </w:rPr>
            </w:pPr>
            <w:r>
              <w:rPr>
                <w:b/>
                <w:bCs/>
              </w:rPr>
              <w:t>-1,8</w:t>
            </w:r>
          </w:p>
        </w:tc>
        <w:tc>
          <w:tcPr>
            <w:tcW w:w="1073" w:type="dxa"/>
            <w:tcBorders>
              <w:bottom w:val="nil"/>
            </w:tcBorders>
            <w:vAlign w:val="center"/>
          </w:tcPr>
          <w:p w:rsidR="002654A6" w:rsidRPr="00261A05" w:rsidRDefault="00501F2F" w:rsidP="00133D34">
            <w:pPr>
              <w:ind w:right="42"/>
              <w:jc w:val="center"/>
              <w:rPr>
                <w:b/>
                <w:bCs/>
              </w:rPr>
            </w:pPr>
            <w:r>
              <w:rPr>
                <w:b/>
                <w:bCs/>
              </w:rPr>
              <w:t>0,9</w:t>
            </w:r>
          </w:p>
        </w:tc>
        <w:tc>
          <w:tcPr>
            <w:tcW w:w="1138" w:type="dxa"/>
            <w:tcBorders>
              <w:bottom w:val="nil"/>
            </w:tcBorders>
            <w:vAlign w:val="center"/>
          </w:tcPr>
          <w:p w:rsidR="002654A6" w:rsidRPr="00261A05" w:rsidRDefault="00501F2F" w:rsidP="00133D34">
            <w:pPr>
              <w:ind w:right="42"/>
              <w:jc w:val="center"/>
              <w:rPr>
                <w:b/>
                <w:bCs/>
              </w:rPr>
            </w:pPr>
            <w:r>
              <w:rPr>
                <w:b/>
                <w:bCs/>
              </w:rPr>
              <w:t>-0,5</w:t>
            </w:r>
          </w:p>
        </w:tc>
        <w:tc>
          <w:tcPr>
            <w:tcW w:w="1069" w:type="dxa"/>
            <w:tcBorders>
              <w:bottom w:val="nil"/>
              <w:right w:val="double" w:sz="4" w:space="0" w:color="auto"/>
            </w:tcBorders>
            <w:vAlign w:val="center"/>
          </w:tcPr>
          <w:p w:rsidR="002654A6" w:rsidRPr="00261A05" w:rsidRDefault="00501F2F" w:rsidP="00133D34">
            <w:pPr>
              <w:ind w:right="42"/>
              <w:jc w:val="center"/>
            </w:pPr>
            <w:r>
              <w:t>**</w:t>
            </w:r>
          </w:p>
        </w:tc>
        <w:tc>
          <w:tcPr>
            <w:tcW w:w="960" w:type="dxa"/>
            <w:tcBorders>
              <w:left w:val="double" w:sz="4" w:space="0" w:color="auto"/>
              <w:bottom w:val="nil"/>
            </w:tcBorders>
            <w:vAlign w:val="center"/>
          </w:tcPr>
          <w:p w:rsidR="002654A6" w:rsidRPr="00261A05" w:rsidRDefault="00501F2F" w:rsidP="00133D34">
            <w:pPr>
              <w:ind w:right="42"/>
              <w:jc w:val="center"/>
              <w:rPr>
                <w:b/>
                <w:bCs/>
              </w:rPr>
            </w:pPr>
            <w:r>
              <w:rPr>
                <w:b/>
                <w:bCs/>
              </w:rPr>
              <w:t>5,5</w:t>
            </w:r>
          </w:p>
        </w:tc>
        <w:tc>
          <w:tcPr>
            <w:tcW w:w="960" w:type="dxa"/>
            <w:tcBorders>
              <w:bottom w:val="nil"/>
            </w:tcBorders>
            <w:vAlign w:val="center"/>
          </w:tcPr>
          <w:p w:rsidR="002654A6" w:rsidRPr="00261A05" w:rsidRDefault="00501F2F" w:rsidP="00133D34">
            <w:pPr>
              <w:ind w:right="42"/>
              <w:jc w:val="center"/>
              <w:rPr>
                <w:b/>
                <w:bCs/>
              </w:rPr>
            </w:pPr>
            <w:r>
              <w:rPr>
                <w:b/>
                <w:bCs/>
              </w:rPr>
              <w:t>-0,6</w:t>
            </w:r>
          </w:p>
        </w:tc>
      </w:tr>
      <w:tr w:rsidR="002654A6" w:rsidTr="00786067">
        <w:trPr>
          <w:trHeight w:val="370"/>
        </w:trPr>
        <w:tc>
          <w:tcPr>
            <w:tcW w:w="3397" w:type="dxa"/>
            <w:tcBorders>
              <w:top w:val="nil"/>
              <w:bottom w:val="nil"/>
            </w:tcBorders>
            <w:vAlign w:val="center"/>
          </w:tcPr>
          <w:p w:rsidR="002654A6" w:rsidRPr="00261A05" w:rsidRDefault="002654A6" w:rsidP="00133D34">
            <w:pPr>
              <w:ind w:right="42"/>
              <w:jc w:val="center"/>
            </w:pPr>
            <w:r w:rsidRPr="00261A05">
              <w:rPr>
                <w:sz w:val="22"/>
                <w:szCs w:val="22"/>
              </w:rPr>
              <w:t>Ara malı ithalatı</w:t>
            </w:r>
          </w:p>
        </w:tc>
        <w:tc>
          <w:tcPr>
            <w:tcW w:w="1098" w:type="dxa"/>
            <w:tcBorders>
              <w:top w:val="nil"/>
              <w:bottom w:val="nil"/>
            </w:tcBorders>
            <w:vAlign w:val="center"/>
          </w:tcPr>
          <w:p w:rsidR="002654A6" w:rsidRPr="00261A05" w:rsidRDefault="00501F2F" w:rsidP="00133D34">
            <w:pPr>
              <w:ind w:right="42"/>
              <w:jc w:val="center"/>
            </w:pPr>
            <w:r>
              <w:t>2,4</w:t>
            </w:r>
          </w:p>
        </w:tc>
        <w:tc>
          <w:tcPr>
            <w:tcW w:w="925" w:type="dxa"/>
            <w:tcBorders>
              <w:top w:val="nil"/>
              <w:bottom w:val="nil"/>
            </w:tcBorders>
            <w:vAlign w:val="center"/>
          </w:tcPr>
          <w:p w:rsidR="002654A6" w:rsidRPr="00261A05" w:rsidRDefault="00501F2F" w:rsidP="00133D34">
            <w:pPr>
              <w:ind w:right="42"/>
              <w:jc w:val="center"/>
            </w:pPr>
            <w:r>
              <w:t>0,8</w:t>
            </w:r>
          </w:p>
        </w:tc>
        <w:tc>
          <w:tcPr>
            <w:tcW w:w="1073" w:type="dxa"/>
            <w:tcBorders>
              <w:top w:val="nil"/>
              <w:bottom w:val="nil"/>
            </w:tcBorders>
            <w:vAlign w:val="center"/>
          </w:tcPr>
          <w:p w:rsidR="002654A6" w:rsidRPr="00261A05" w:rsidRDefault="00501F2F" w:rsidP="00133D34">
            <w:pPr>
              <w:ind w:right="42"/>
              <w:jc w:val="center"/>
            </w:pPr>
            <w:r>
              <w:t>5,1</w:t>
            </w:r>
          </w:p>
        </w:tc>
        <w:tc>
          <w:tcPr>
            <w:tcW w:w="1138" w:type="dxa"/>
            <w:tcBorders>
              <w:top w:val="nil"/>
              <w:bottom w:val="nil"/>
            </w:tcBorders>
            <w:vAlign w:val="center"/>
          </w:tcPr>
          <w:p w:rsidR="002654A6" w:rsidRPr="00261A05" w:rsidRDefault="00501F2F" w:rsidP="00133D34">
            <w:pPr>
              <w:ind w:right="42"/>
              <w:jc w:val="center"/>
            </w:pPr>
            <w:r>
              <w:t>-3,2</w:t>
            </w:r>
          </w:p>
        </w:tc>
        <w:tc>
          <w:tcPr>
            <w:tcW w:w="1069" w:type="dxa"/>
            <w:tcBorders>
              <w:top w:val="nil"/>
              <w:bottom w:val="nil"/>
              <w:right w:val="double" w:sz="4" w:space="0" w:color="auto"/>
            </w:tcBorders>
            <w:vAlign w:val="center"/>
          </w:tcPr>
          <w:p w:rsidR="002654A6" w:rsidRPr="00261A05" w:rsidRDefault="00501F2F" w:rsidP="00133D34">
            <w:pPr>
              <w:ind w:right="42"/>
              <w:jc w:val="center"/>
            </w:pPr>
            <w:r>
              <w:t>**</w:t>
            </w:r>
          </w:p>
        </w:tc>
        <w:tc>
          <w:tcPr>
            <w:tcW w:w="960" w:type="dxa"/>
            <w:tcBorders>
              <w:top w:val="nil"/>
              <w:left w:val="double" w:sz="4" w:space="0" w:color="auto"/>
              <w:bottom w:val="nil"/>
            </w:tcBorders>
            <w:vAlign w:val="center"/>
          </w:tcPr>
          <w:p w:rsidR="002654A6" w:rsidRPr="00261A05" w:rsidRDefault="00501F2F" w:rsidP="00133D34">
            <w:pPr>
              <w:ind w:right="42"/>
              <w:jc w:val="center"/>
            </w:pPr>
            <w:r>
              <w:t>4,2</w:t>
            </w:r>
          </w:p>
        </w:tc>
        <w:tc>
          <w:tcPr>
            <w:tcW w:w="960" w:type="dxa"/>
            <w:tcBorders>
              <w:top w:val="nil"/>
              <w:bottom w:val="nil"/>
            </w:tcBorders>
            <w:vAlign w:val="center"/>
          </w:tcPr>
          <w:p w:rsidR="002654A6" w:rsidRPr="00261A05" w:rsidRDefault="00501F2F" w:rsidP="00133D34">
            <w:pPr>
              <w:ind w:right="42"/>
              <w:jc w:val="center"/>
            </w:pPr>
            <w:r>
              <w:t>0,3</w:t>
            </w:r>
          </w:p>
        </w:tc>
      </w:tr>
      <w:tr w:rsidR="002654A6" w:rsidTr="00786067">
        <w:trPr>
          <w:trHeight w:val="370"/>
        </w:trPr>
        <w:tc>
          <w:tcPr>
            <w:tcW w:w="3397" w:type="dxa"/>
            <w:tcBorders>
              <w:top w:val="nil"/>
              <w:bottom w:val="nil"/>
            </w:tcBorders>
            <w:vAlign w:val="center"/>
          </w:tcPr>
          <w:p w:rsidR="002654A6" w:rsidRPr="00261A05" w:rsidRDefault="002654A6" w:rsidP="00133D34">
            <w:pPr>
              <w:ind w:right="42"/>
              <w:jc w:val="center"/>
            </w:pPr>
            <w:r w:rsidRPr="00261A05">
              <w:rPr>
                <w:sz w:val="22"/>
                <w:szCs w:val="22"/>
              </w:rPr>
              <w:t>Tüketim malı ithalatı</w:t>
            </w:r>
          </w:p>
        </w:tc>
        <w:tc>
          <w:tcPr>
            <w:tcW w:w="1098" w:type="dxa"/>
            <w:tcBorders>
              <w:top w:val="nil"/>
              <w:bottom w:val="nil"/>
            </w:tcBorders>
            <w:vAlign w:val="center"/>
          </w:tcPr>
          <w:p w:rsidR="002654A6" w:rsidRPr="00611D03" w:rsidRDefault="00501F2F" w:rsidP="00133D34">
            <w:pPr>
              <w:ind w:right="42"/>
              <w:jc w:val="center"/>
              <w:rPr>
                <w:bCs/>
              </w:rPr>
            </w:pPr>
            <w:r>
              <w:rPr>
                <w:bCs/>
              </w:rPr>
              <w:t>-1,9</w:t>
            </w:r>
          </w:p>
        </w:tc>
        <w:tc>
          <w:tcPr>
            <w:tcW w:w="925" w:type="dxa"/>
            <w:tcBorders>
              <w:top w:val="nil"/>
              <w:bottom w:val="nil"/>
            </w:tcBorders>
            <w:vAlign w:val="center"/>
          </w:tcPr>
          <w:p w:rsidR="002654A6" w:rsidRPr="00611D03" w:rsidRDefault="00501F2F" w:rsidP="00133D34">
            <w:pPr>
              <w:ind w:right="42"/>
              <w:jc w:val="center"/>
              <w:rPr>
                <w:bCs/>
              </w:rPr>
            </w:pPr>
            <w:r>
              <w:rPr>
                <w:bCs/>
              </w:rPr>
              <w:t>3,1</w:t>
            </w:r>
          </w:p>
        </w:tc>
        <w:tc>
          <w:tcPr>
            <w:tcW w:w="1073" w:type="dxa"/>
            <w:tcBorders>
              <w:top w:val="nil"/>
              <w:bottom w:val="nil"/>
            </w:tcBorders>
            <w:vAlign w:val="center"/>
          </w:tcPr>
          <w:p w:rsidR="002654A6" w:rsidRPr="00611D03" w:rsidRDefault="00501F2F" w:rsidP="00133D34">
            <w:pPr>
              <w:ind w:right="42"/>
              <w:jc w:val="center"/>
              <w:rPr>
                <w:bCs/>
              </w:rPr>
            </w:pPr>
            <w:r>
              <w:rPr>
                <w:bCs/>
              </w:rPr>
              <w:t>-2,0</w:t>
            </w:r>
          </w:p>
        </w:tc>
        <w:tc>
          <w:tcPr>
            <w:tcW w:w="1138" w:type="dxa"/>
            <w:tcBorders>
              <w:top w:val="nil"/>
              <w:bottom w:val="nil"/>
            </w:tcBorders>
            <w:vAlign w:val="center"/>
          </w:tcPr>
          <w:p w:rsidR="002654A6" w:rsidRPr="00611D03" w:rsidRDefault="00501F2F" w:rsidP="00133D34">
            <w:pPr>
              <w:ind w:right="42"/>
              <w:jc w:val="center"/>
              <w:rPr>
                <w:bCs/>
              </w:rPr>
            </w:pPr>
            <w:r>
              <w:rPr>
                <w:bCs/>
              </w:rPr>
              <w:t>-1,5</w:t>
            </w:r>
          </w:p>
        </w:tc>
        <w:tc>
          <w:tcPr>
            <w:tcW w:w="1069" w:type="dxa"/>
            <w:tcBorders>
              <w:top w:val="nil"/>
              <w:bottom w:val="nil"/>
              <w:right w:val="double" w:sz="4" w:space="0" w:color="auto"/>
            </w:tcBorders>
            <w:vAlign w:val="center"/>
          </w:tcPr>
          <w:p w:rsidR="002654A6" w:rsidRPr="00611D03" w:rsidRDefault="00501F2F" w:rsidP="00133D34">
            <w:pPr>
              <w:ind w:right="42"/>
              <w:jc w:val="center"/>
            </w:pPr>
            <w:r>
              <w:t>**</w:t>
            </w:r>
          </w:p>
        </w:tc>
        <w:tc>
          <w:tcPr>
            <w:tcW w:w="960" w:type="dxa"/>
            <w:tcBorders>
              <w:top w:val="nil"/>
              <w:left w:val="double" w:sz="4" w:space="0" w:color="auto"/>
              <w:bottom w:val="nil"/>
            </w:tcBorders>
            <w:vAlign w:val="center"/>
          </w:tcPr>
          <w:p w:rsidR="002654A6" w:rsidRPr="00261A05" w:rsidRDefault="00501F2F" w:rsidP="00133D34">
            <w:pPr>
              <w:ind w:right="42"/>
              <w:jc w:val="center"/>
            </w:pPr>
            <w:r>
              <w:t>0,9</w:t>
            </w:r>
          </w:p>
        </w:tc>
        <w:tc>
          <w:tcPr>
            <w:tcW w:w="960" w:type="dxa"/>
            <w:tcBorders>
              <w:top w:val="nil"/>
              <w:bottom w:val="nil"/>
            </w:tcBorders>
            <w:vAlign w:val="center"/>
          </w:tcPr>
          <w:p w:rsidR="002654A6" w:rsidRPr="00261A05" w:rsidRDefault="00501F2F" w:rsidP="00133D34">
            <w:pPr>
              <w:ind w:right="42"/>
              <w:jc w:val="center"/>
            </w:pPr>
            <w:r>
              <w:t>-1,9</w:t>
            </w:r>
          </w:p>
        </w:tc>
      </w:tr>
      <w:tr w:rsidR="002654A6" w:rsidTr="00786067">
        <w:trPr>
          <w:trHeight w:val="370"/>
        </w:trPr>
        <w:tc>
          <w:tcPr>
            <w:tcW w:w="3397" w:type="dxa"/>
            <w:tcBorders>
              <w:top w:val="nil"/>
            </w:tcBorders>
            <w:vAlign w:val="center"/>
          </w:tcPr>
          <w:p w:rsidR="002654A6" w:rsidRPr="00261A05" w:rsidRDefault="002654A6" w:rsidP="00133D34">
            <w:pPr>
              <w:ind w:right="42"/>
              <w:jc w:val="center"/>
            </w:pPr>
            <w:r w:rsidRPr="00261A05">
              <w:rPr>
                <w:sz w:val="22"/>
                <w:szCs w:val="22"/>
              </w:rPr>
              <w:t>Yatırım malı ithalatı</w:t>
            </w:r>
          </w:p>
        </w:tc>
        <w:tc>
          <w:tcPr>
            <w:tcW w:w="1098" w:type="dxa"/>
            <w:tcBorders>
              <w:top w:val="nil"/>
            </w:tcBorders>
            <w:vAlign w:val="center"/>
          </w:tcPr>
          <w:p w:rsidR="002654A6" w:rsidRPr="00261A05" w:rsidRDefault="00501F2F" w:rsidP="00133D34">
            <w:pPr>
              <w:ind w:right="42"/>
              <w:jc w:val="center"/>
            </w:pPr>
            <w:r>
              <w:t>-7,4</w:t>
            </w:r>
          </w:p>
        </w:tc>
        <w:tc>
          <w:tcPr>
            <w:tcW w:w="925" w:type="dxa"/>
            <w:tcBorders>
              <w:top w:val="nil"/>
            </w:tcBorders>
            <w:vAlign w:val="center"/>
          </w:tcPr>
          <w:p w:rsidR="002654A6" w:rsidRPr="00261A05" w:rsidRDefault="00501F2F" w:rsidP="00133D34">
            <w:pPr>
              <w:ind w:right="42"/>
              <w:jc w:val="center"/>
            </w:pPr>
            <w:r>
              <w:t>5,6</w:t>
            </w:r>
          </w:p>
        </w:tc>
        <w:tc>
          <w:tcPr>
            <w:tcW w:w="1073" w:type="dxa"/>
            <w:tcBorders>
              <w:top w:val="nil"/>
            </w:tcBorders>
            <w:vAlign w:val="center"/>
          </w:tcPr>
          <w:p w:rsidR="002654A6" w:rsidRPr="00261A05" w:rsidRDefault="00501F2F" w:rsidP="00133D34">
            <w:pPr>
              <w:ind w:right="42"/>
              <w:jc w:val="center"/>
            </w:pPr>
            <w:r>
              <w:t>3,4</w:t>
            </w:r>
          </w:p>
        </w:tc>
        <w:tc>
          <w:tcPr>
            <w:tcW w:w="1138" w:type="dxa"/>
            <w:tcBorders>
              <w:top w:val="nil"/>
            </w:tcBorders>
            <w:vAlign w:val="center"/>
          </w:tcPr>
          <w:p w:rsidR="002654A6" w:rsidRPr="00261A05" w:rsidRDefault="00501F2F" w:rsidP="00133D34">
            <w:pPr>
              <w:ind w:right="42"/>
              <w:jc w:val="center"/>
            </w:pPr>
            <w:r>
              <w:t>-3,4</w:t>
            </w:r>
          </w:p>
        </w:tc>
        <w:tc>
          <w:tcPr>
            <w:tcW w:w="1069" w:type="dxa"/>
            <w:tcBorders>
              <w:top w:val="nil"/>
              <w:right w:val="double" w:sz="4" w:space="0" w:color="auto"/>
            </w:tcBorders>
            <w:vAlign w:val="center"/>
          </w:tcPr>
          <w:p w:rsidR="002654A6" w:rsidRPr="00261A05" w:rsidRDefault="00501F2F" w:rsidP="00133D34">
            <w:pPr>
              <w:ind w:right="42"/>
              <w:jc w:val="center"/>
            </w:pPr>
            <w:r>
              <w:t>**</w:t>
            </w:r>
          </w:p>
        </w:tc>
        <w:tc>
          <w:tcPr>
            <w:tcW w:w="960" w:type="dxa"/>
            <w:tcBorders>
              <w:top w:val="nil"/>
              <w:left w:val="double" w:sz="4" w:space="0" w:color="auto"/>
            </w:tcBorders>
            <w:vAlign w:val="center"/>
          </w:tcPr>
          <w:p w:rsidR="002654A6" w:rsidRPr="00261A05" w:rsidRDefault="00501F2F" w:rsidP="00133D34">
            <w:pPr>
              <w:ind w:right="42"/>
              <w:jc w:val="center"/>
            </w:pPr>
            <w:r>
              <w:t>0,9</w:t>
            </w:r>
          </w:p>
        </w:tc>
        <w:tc>
          <w:tcPr>
            <w:tcW w:w="960" w:type="dxa"/>
            <w:tcBorders>
              <w:top w:val="nil"/>
            </w:tcBorders>
            <w:vAlign w:val="center"/>
          </w:tcPr>
          <w:p w:rsidR="002654A6" w:rsidRPr="00261A05" w:rsidRDefault="00501F2F" w:rsidP="00133D34">
            <w:pPr>
              <w:ind w:right="42"/>
              <w:jc w:val="center"/>
            </w:pPr>
            <w:r>
              <w:t>0,5</w:t>
            </w:r>
          </w:p>
        </w:tc>
      </w:tr>
      <w:tr w:rsidR="002654A6" w:rsidTr="00786067">
        <w:trPr>
          <w:trHeight w:val="370"/>
        </w:trPr>
        <w:tc>
          <w:tcPr>
            <w:tcW w:w="3397" w:type="dxa"/>
            <w:vAlign w:val="center"/>
          </w:tcPr>
          <w:p w:rsidR="002654A6" w:rsidRPr="00261A05" w:rsidRDefault="002654A6" w:rsidP="00133D34">
            <w:pPr>
              <w:ind w:right="42"/>
              <w:jc w:val="center"/>
              <w:rPr>
                <w:b/>
                <w:bCs/>
              </w:rPr>
            </w:pPr>
            <w:r w:rsidRPr="00261A05">
              <w:rPr>
                <w:b/>
                <w:bCs/>
                <w:sz w:val="22"/>
                <w:szCs w:val="22"/>
              </w:rPr>
              <w:t>Altın hariç ihracat</w:t>
            </w:r>
            <w:r>
              <w:rPr>
                <w:b/>
                <w:bCs/>
                <w:sz w:val="22"/>
                <w:szCs w:val="22"/>
              </w:rPr>
              <w:t>***</w:t>
            </w:r>
          </w:p>
        </w:tc>
        <w:tc>
          <w:tcPr>
            <w:tcW w:w="1098" w:type="dxa"/>
            <w:vAlign w:val="center"/>
          </w:tcPr>
          <w:p w:rsidR="002654A6" w:rsidRPr="00261A05" w:rsidRDefault="00450447" w:rsidP="00133D34">
            <w:pPr>
              <w:ind w:right="42"/>
              <w:jc w:val="center"/>
              <w:rPr>
                <w:b/>
                <w:bCs/>
              </w:rPr>
            </w:pPr>
            <w:r>
              <w:rPr>
                <w:b/>
                <w:bCs/>
              </w:rPr>
              <w:t>-4,2</w:t>
            </w:r>
          </w:p>
        </w:tc>
        <w:tc>
          <w:tcPr>
            <w:tcW w:w="925" w:type="dxa"/>
            <w:vAlign w:val="center"/>
          </w:tcPr>
          <w:p w:rsidR="002654A6" w:rsidRPr="00261A05" w:rsidRDefault="00450447" w:rsidP="00133D34">
            <w:pPr>
              <w:ind w:right="42"/>
              <w:jc w:val="center"/>
              <w:rPr>
                <w:b/>
                <w:bCs/>
              </w:rPr>
            </w:pPr>
            <w:r>
              <w:rPr>
                <w:b/>
                <w:bCs/>
              </w:rPr>
              <w:t>6,9</w:t>
            </w:r>
          </w:p>
        </w:tc>
        <w:tc>
          <w:tcPr>
            <w:tcW w:w="1073" w:type="dxa"/>
            <w:vAlign w:val="center"/>
          </w:tcPr>
          <w:p w:rsidR="002654A6" w:rsidRPr="00261A05" w:rsidRDefault="00450447" w:rsidP="00133D34">
            <w:pPr>
              <w:ind w:right="42"/>
              <w:jc w:val="center"/>
              <w:rPr>
                <w:b/>
                <w:bCs/>
              </w:rPr>
            </w:pPr>
            <w:r>
              <w:rPr>
                <w:b/>
                <w:bCs/>
              </w:rPr>
              <w:t>-3,7</w:t>
            </w:r>
          </w:p>
        </w:tc>
        <w:tc>
          <w:tcPr>
            <w:tcW w:w="1138" w:type="dxa"/>
            <w:vAlign w:val="center"/>
          </w:tcPr>
          <w:p w:rsidR="002654A6" w:rsidRPr="00261A05" w:rsidRDefault="00450447" w:rsidP="00133D34">
            <w:pPr>
              <w:ind w:right="42"/>
              <w:jc w:val="center"/>
              <w:rPr>
                <w:b/>
                <w:bCs/>
              </w:rPr>
            </w:pPr>
            <w:r>
              <w:rPr>
                <w:b/>
                <w:bCs/>
              </w:rPr>
              <w:t>3,9</w:t>
            </w:r>
          </w:p>
        </w:tc>
        <w:tc>
          <w:tcPr>
            <w:tcW w:w="1069" w:type="dxa"/>
            <w:tcBorders>
              <w:right w:val="double" w:sz="4" w:space="0" w:color="auto"/>
            </w:tcBorders>
            <w:vAlign w:val="center"/>
          </w:tcPr>
          <w:p w:rsidR="002654A6" w:rsidRPr="00261A05" w:rsidRDefault="00450447" w:rsidP="00133D34">
            <w:pPr>
              <w:ind w:right="42"/>
              <w:jc w:val="center"/>
            </w:pPr>
            <w:r>
              <w:t>**</w:t>
            </w:r>
          </w:p>
        </w:tc>
        <w:tc>
          <w:tcPr>
            <w:tcW w:w="960" w:type="dxa"/>
            <w:tcBorders>
              <w:left w:val="double" w:sz="4" w:space="0" w:color="auto"/>
            </w:tcBorders>
            <w:vAlign w:val="center"/>
          </w:tcPr>
          <w:p w:rsidR="002654A6" w:rsidRPr="00261A05" w:rsidRDefault="00450447" w:rsidP="00133D34">
            <w:pPr>
              <w:ind w:right="42"/>
              <w:jc w:val="center"/>
              <w:rPr>
                <w:b/>
                <w:bCs/>
              </w:rPr>
            </w:pPr>
            <w:r>
              <w:rPr>
                <w:b/>
                <w:bCs/>
              </w:rPr>
              <w:t>1,3</w:t>
            </w:r>
          </w:p>
        </w:tc>
        <w:tc>
          <w:tcPr>
            <w:tcW w:w="960" w:type="dxa"/>
            <w:vAlign w:val="center"/>
          </w:tcPr>
          <w:p w:rsidR="002654A6" w:rsidRPr="00261A05" w:rsidRDefault="00450447" w:rsidP="00133D34">
            <w:pPr>
              <w:ind w:right="42"/>
              <w:jc w:val="center"/>
              <w:rPr>
                <w:b/>
                <w:bCs/>
              </w:rPr>
            </w:pPr>
            <w:r>
              <w:rPr>
                <w:b/>
                <w:bCs/>
              </w:rPr>
              <w:t>3,6</w:t>
            </w:r>
          </w:p>
        </w:tc>
      </w:tr>
      <w:tr w:rsidR="002654A6" w:rsidTr="00786067">
        <w:trPr>
          <w:trHeight w:val="370"/>
        </w:trPr>
        <w:tc>
          <w:tcPr>
            <w:tcW w:w="3397" w:type="dxa"/>
            <w:vAlign w:val="center"/>
          </w:tcPr>
          <w:p w:rsidR="002654A6" w:rsidRPr="00261A05" w:rsidRDefault="002654A6" w:rsidP="00133D34">
            <w:pPr>
              <w:ind w:right="42"/>
              <w:jc w:val="center"/>
              <w:rPr>
                <w:b/>
                <w:bCs/>
              </w:rPr>
            </w:pPr>
            <w:r w:rsidRPr="00261A05">
              <w:rPr>
                <w:b/>
                <w:bCs/>
                <w:sz w:val="22"/>
                <w:szCs w:val="22"/>
              </w:rPr>
              <w:t>Altın hariç ithalat</w:t>
            </w:r>
            <w:r>
              <w:rPr>
                <w:b/>
                <w:bCs/>
                <w:sz w:val="22"/>
                <w:szCs w:val="22"/>
              </w:rPr>
              <w:t>***</w:t>
            </w:r>
          </w:p>
        </w:tc>
        <w:tc>
          <w:tcPr>
            <w:tcW w:w="1098" w:type="dxa"/>
            <w:vAlign w:val="center"/>
          </w:tcPr>
          <w:p w:rsidR="002654A6" w:rsidRPr="00261A05" w:rsidRDefault="00450447" w:rsidP="00133D34">
            <w:pPr>
              <w:ind w:right="42"/>
              <w:jc w:val="center"/>
              <w:rPr>
                <w:b/>
                <w:bCs/>
              </w:rPr>
            </w:pPr>
            <w:r>
              <w:rPr>
                <w:b/>
                <w:bCs/>
              </w:rPr>
              <w:t>-2,6</w:t>
            </w:r>
          </w:p>
        </w:tc>
        <w:tc>
          <w:tcPr>
            <w:tcW w:w="925" w:type="dxa"/>
            <w:vAlign w:val="center"/>
          </w:tcPr>
          <w:p w:rsidR="002654A6" w:rsidRPr="00261A05" w:rsidRDefault="00450447" w:rsidP="00133D34">
            <w:pPr>
              <w:ind w:right="42"/>
              <w:jc w:val="center"/>
              <w:rPr>
                <w:b/>
                <w:bCs/>
              </w:rPr>
            </w:pPr>
            <w:r>
              <w:rPr>
                <w:b/>
                <w:bCs/>
              </w:rPr>
              <w:t>1,6</w:t>
            </w:r>
          </w:p>
        </w:tc>
        <w:tc>
          <w:tcPr>
            <w:tcW w:w="1073" w:type="dxa"/>
            <w:vAlign w:val="center"/>
          </w:tcPr>
          <w:p w:rsidR="002654A6" w:rsidRPr="00261A05" w:rsidRDefault="00450447" w:rsidP="00133D34">
            <w:pPr>
              <w:ind w:right="42"/>
              <w:jc w:val="center"/>
              <w:rPr>
                <w:b/>
                <w:bCs/>
              </w:rPr>
            </w:pPr>
            <w:r>
              <w:rPr>
                <w:b/>
                <w:bCs/>
              </w:rPr>
              <w:t>1,5</w:t>
            </w:r>
          </w:p>
        </w:tc>
        <w:tc>
          <w:tcPr>
            <w:tcW w:w="1138" w:type="dxa"/>
            <w:vAlign w:val="center"/>
          </w:tcPr>
          <w:p w:rsidR="002654A6" w:rsidRPr="00261A05" w:rsidRDefault="00450447" w:rsidP="00133D34">
            <w:pPr>
              <w:ind w:right="42"/>
              <w:jc w:val="center"/>
              <w:rPr>
                <w:b/>
                <w:bCs/>
              </w:rPr>
            </w:pPr>
            <w:r>
              <w:rPr>
                <w:b/>
                <w:bCs/>
              </w:rPr>
              <w:t>1,2</w:t>
            </w:r>
          </w:p>
        </w:tc>
        <w:tc>
          <w:tcPr>
            <w:tcW w:w="1069" w:type="dxa"/>
            <w:tcBorders>
              <w:right w:val="double" w:sz="4" w:space="0" w:color="auto"/>
            </w:tcBorders>
            <w:vAlign w:val="center"/>
          </w:tcPr>
          <w:p w:rsidR="002654A6" w:rsidRPr="00261A05" w:rsidRDefault="00450447" w:rsidP="00133D34">
            <w:pPr>
              <w:ind w:right="42"/>
              <w:jc w:val="center"/>
            </w:pPr>
            <w:r>
              <w:t>**</w:t>
            </w:r>
          </w:p>
        </w:tc>
        <w:tc>
          <w:tcPr>
            <w:tcW w:w="960" w:type="dxa"/>
            <w:tcBorders>
              <w:left w:val="double" w:sz="4" w:space="0" w:color="auto"/>
            </w:tcBorders>
            <w:vAlign w:val="center"/>
          </w:tcPr>
          <w:p w:rsidR="002654A6" w:rsidRPr="00261A05" w:rsidRDefault="00450447" w:rsidP="00133D34">
            <w:pPr>
              <w:ind w:right="42"/>
              <w:jc w:val="center"/>
              <w:rPr>
                <w:b/>
                <w:bCs/>
              </w:rPr>
            </w:pPr>
            <w:r>
              <w:rPr>
                <w:b/>
                <w:bCs/>
              </w:rPr>
              <w:t>0,7</w:t>
            </w:r>
          </w:p>
        </w:tc>
        <w:tc>
          <w:tcPr>
            <w:tcW w:w="960" w:type="dxa"/>
            <w:vAlign w:val="center"/>
          </w:tcPr>
          <w:p w:rsidR="002654A6" w:rsidRPr="00261A05" w:rsidRDefault="00450447" w:rsidP="00133D34">
            <w:pPr>
              <w:ind w:right="42"/>
              <w:jc w:val="center"/>
              <w:rPr>
                <w:b/>
                <w:bCs/>
              </w:rPr>
            </w:pPr>
            <w:r>
              <w:rPr>
                <w:b/>
                <w:bCs/>
              </w:rPr>
              <w:t>2,8</w:t>
            </w:r>
          </w:p>
        </w:tc>
      </w:tr>
      <w:tr w:rsidR="002654A6" w:rsidTr="00786067">
        <w:trPr>
          <w:trHeight w:val="370"/>
        </w:trPr>
        <w:tc>
          <w:tcPr>
            <w:tcW w:w="3397" w:type="dxa"/>
            <w:tcBorders>
              <w:bottom w:val="nil"/>
            </w:tcBorders>
            <w:vAlign w:val="center"/>
          </w:tcPr>
          <w:p w:rsidR="002654A6" w:rsidRPr="00261A05" w:rsidRDefault="002654A6" w:rsidP="00133D34">
            <w:pPr>
              <w:ind w:right="42"/>
              <w:jc w:val="center"/>
              <w:rPr>
                <w:b/>
                <w:bCs/>
              </w:rPr>
            </w:pPr>
            <w:r w:rsidRPr="00261A05">
              <w:rPr>
                <w:b/>
                <w:bCs/>
                <w:sz w:val="22"/>
                <w:szCs w:val="22"/>
              </w:rPr>
              <w:t>Sanayi üretim endeksi (SÜE)</w:t>
            </w:r>
            <w:r>
              <w:rPr>
                <w:b/>
                <w:bCs/>
                <w:sz w:val="22"/>
                <w:szCs w:val="22"/>
              </w:rPr>
              <w:t>*</w:t>
            </w:r>
          </w:p>
        </w:tc>
        <w:tc>
          <w:tcPr>
            <w:tcW w:w="1098" w:type="dxa"/>
            <w:tcBorders>
              <w:bottom w:val="nil"/>
            </w:tcBorders>
            <w:vAlign w:val="center"/>
          </w:tcPr>
          <w:p w:rsidR="002654A6" w:rsidRPr="00261A05" w:rsidRDefault="002654A6" w:rsidP="00133D34">
            <w:pPr>
              <w:ind w:right="42"/>
              <w:jc w:val="center"/>
              <w:rPr>
                <w:b/>
                <w:bCs/>
              </w:rPr>
            </w:pPr>
            <w:r>
              <w:rPr>
                <w:b/>
                <w:bCs/>
              </w:rPr>
              <w:t>-2,8</w:t>
            </w:r>
          </w:p>
        </w:tc>
        <w:tc>
          <w:tcPr>
            <w:tcW w:w="925" w:type="dxa"/>
            <w:tcBorders>
              <w:bottom w:val="nil"/>
            </w:tcBorders>
            <w:vAlign w:val="center"/>
          </w:tcPr>
          <w:p w:rsidR="002654A6" w:rsidRPr="00261A05" w:rsidRDefault="002654A6" w:rsidP="00133D34">
            <w:pPr>
              <w:ind w:right="42"/>
              <w:jc w:val="center"/>
              <w:rPr>
                <w:b/>
                <w:bCs/>
              </w:rPr>
            </w:pPr>
            <w:r>
              <w:rPr>
                <w:b/>
                <w:bCs/>
              </w:rPr>
              <w:t>2,1</w:t>
            </w:r>
          </w:p>
        </w:tc>
        <w:tc>
          <w:tcPr>
            <w:tcW w:w="1073" w:type="dxa"/>
            <w:tcBorders>
              <w:bottom w:val="nil"/>
            </w:tcBorders>
            <w:vAlign w:val="center"/>
          </w:tcPr>
          <w:p w:rsidR="002654A6" w:rsidRPr="00261A05" w:rsidRDefault="002654A6" w:rsidP="00133D34">
            <w:pPr>
              <w:ind w:right="42"/>
              <w:jc w:val="center"/>
              <w:rPr>
                <w:b/>
                <w:bCs/>
              </w:rPr>
            </w:pPr>
            <w:r>
              <w:rPr>
                <w:b/>
                <w:bCs/>
              </w:rPr>
              <w:t>0,2</w:t>
            </w:r>
          </w:p>
        </w:tc>
        <w:tc>
          <w:tcPr>
            <w:tcW w:w="1138" w:type="dxa"/>
            <w:tcBorders>
              <w:bottom w:val="nil"/>
            </w:tcBorders>
            <w:vAlign w:val="center"/>
          </w:tcPr>
          <w:p w:rsidR="002654A6" w:rsidRPr="00261A05" w:rsidRDefault="002654A6" w:rsidP="00133D34">
            <w:pPr>
              <w:ind w:right="42"/>
              <w:jc w:val="center"/>
              <w:rPr>
                <w:b/>
                <w:bCs/>
              </w:rPr>
            </w:pPr>
            <w:r>
              <w:rPr>
                <w:b/>
                <w:bCs/>
              </w:rPr>
              <w:t>1,1</w:t>
            </w:r>
          </w:p>
        </w:tc>
        <w:tc>
          <w:tcPr>
            <w:tcW w:w="1069" w:type="dxa"/>
            <w:tcBorders>
              <w:bottom w:val="nil"/>
              <w:right w:val="double" w:sz="4" w:space="0" w:color="auto"/>
            </w:tcBorders>
            <w:vAlign w:val="center"/>
          </w:tcPr>
          <w:p w:rsidR="002654A6" w:rsidRPr="00261A05" w:rsidRDefault="002654A6" w:rsidP="00133D34">
            <w:pPr>
              <w:ind w:right="42"/>
              <w:jc w:val="center"/>
            </w:pPr>
            <w:r>
              <w:t>**</w:t>
            </w:r>
          </w:p>
        </w:tc>
        <w:tc>
          <w:tcPr>
            <w:tcW w:w="960" w:type="dxa"/>
            <w:tcBorders>
              <w:left w:val="double" w:sz="4" w:space="0" w:color="auto"/>
              <w:bottom w:val="nil"/>
            </w:tcBorders>
            <w:vAlign w:val="center"/>
          </w:tcPr>
          <w:p w:rsidR="002654A6" w:rsidRPr="00261A05" w:rsidRDefault="002654A6" w:rsidP="00133D34">
            <w:pPr>
              <w:ind w:right="42"/>
              <w:jc w:val="center"/>
              <w:rPr>
                <w:b/>
                <w:bCs/>
              </w:rPr>
            </w:pPr>
            <w:r>
              <w:rPr>
                <w:b/>
                <w:bCs/>
              </w:rPr>
              <w:t>1,1</w:t>
            </w:r>
          </w:p>
        </w:tc>
        <w:tc>
          <w:tcPr>
            <w:tcW w:w="960" w:type="dxa"/>
            <w:tcBorders>
              <w:bottom w:val="nil"/>
            </w:tcBorders>
            <w:vAlign w:val="center"/>
          </w:tcPr>
          <w:p w:rsidR="002654A6" w:rsidRPr="00261A05" w:rsidRDefault="002654A6" w:rsidP="00133D34">
            <w:pPr>
              <w:ind w:right="42"/>
              <w:jc w:val="center"/>
              <w:rPr>
                <w:b/>
                <w:bCs/>
              </w:rPr>
            </w:pPr>
            <w:r>
              <w:rPr>
                <w:b/>
                <w:bCs/>
              </w:rPr>
              <w:t>1,9</w:t>
            </w:r>
          </w:p>
        </w:tc>
      </w:tr>
      <w:tr w:rsidR="002654A6" w:rsidTr="00786067">
        <w:trPr>
          <w:trHeight w:val="370"/>
        </w:trPr>
        <w:tc>
          <w:tcPr>
            <w:tcW w:w="3397" w:type="dxa"/>
            <w:tcBorders>
              <w:top w:val="nil"/>
              <w:bottom w:val="nil"/>
            </w:tcBorders>
            <w:vAlign w:val="center"/>
          </w:tcPr>
          <w:p w:rsidR="002654A6" w:rsidRPr="00261A05" w:rsidRDefault="002654A6" w:rsidP="00133D34">
            <w:pPr>
              <w:ind w:right="42"/>
              <w:jc w:val="center"/>
            </w:pPr>
            <w:r w:rsidRPr="00261A05">
              <w:rPr>
                <w:sz w:val="22"/>
                <w:szCs w:val="22"/>
              </w:rPr>
              <w:t>Dayanıksız tüketim malı imalatı</w:t>
            </w:r>
            <w:r>
              <w:rPr>
                <w:sz w:val="22"/>
                <w:szCs w:val="22"/>
              </w:rPr>
              <w:t>*</w:t>
            </w:r>
          </w:p>
        </w:tc>
        <w:tc>
          <w:tcPr>
            <w:tcW w:w="1098" w:type="dxa"/>
            <w:tcBorders>
              <w:top w:val="nil"/>
              <w:bottom w:val="nil"/>
            </w:tcBorders>
            <w:vAlign w:val="center"/>
          </w:tcPr>
          <w:p w:rsidR="002654A6" w:rsidRPr="00261A05" w:rsidRDefault="002654A6" w:rsidP="00133D34">
            <w:pPr>
              <w:ind w:right="42"/>
              <w:jc w:val="center"/>
            </w:pPr>
            <w:r>
              <w:t>-2,7</w:t>
            </w:r>
          </w:p>
        </w:tc>
        <w:tc>
          <w:tcPr>
            <w:tcW w:w="925" w:type="dxa"/>
            <w:tcBorders>
              <w:top w:val="nil"/>
              <w:bottom w:val="nil"/>
            </w:tcBorders>
            <w:vAlign w:val="center"/>
          </w:tcPr>
          <w:p w:rsidR="002654A6" w:rsidRPr="00261A05" w:rsidRDefault="002654A6" w:rsidP="00133D34">
            <w:pPr>
              <w:ind w:right="42"/>
              <w:jc w:val="center"/>
            </w:pPr>
            <w:r>
              <w:t>1,9</w:t>
            </w:r>
          </w:p>
        </w:tc>
        <w:tc>
          <w:tcPr>
            <w:tcW w:w="1073" w:type="dxa"/>
            <w:tcBorders>
              <w:top w:val="nil"/>
              <w:bottom w:val="nil"/>
            </w:tcBorders>
            <w:vAlign w:val="center"/>
          </w:tcPr>
          <w:p w:rsidR="002654A6" w:rsidRPr="00261A05" w:rsidRDefault="002654A6" w:rsidP="00133D34">
            <w:pPr>
              <w:ind w:right="42"/>
              <w:jc w:val="center"/>
            </w:pPr>
            <w:r>
              <w:t>1,5</w:t>
            </w:r>
          </w:p>
        </w:tc>
        <w:tc>
          <w:tcPr>
            <w:tcW w:w="1138" w:type="dxa"/>
            <w:tcBorders>
              <w:top w:val="nil"/>
              <w:bottom w:val="nil"/>
            </w:tcBorders>
            <w:vAlign w:val="center"/>
          </w:tcPr>
          <w:p w:rsidR="002654A6" w:rsidRPr="00261A05" w:rsidRDefault="002654A6" w:rsidP="00133D34">
            <w:pPr>
              <w:ind w:right="42"/>
              <w:jc w:val="center"/>
            </w:pPr>
            <w:r>
              <w:t>1,9</w:t>
            </w:r>
          </w:p>
        </w:tc>
        <w:tc>
          <w:tcPr>
            <w:tcW w:w="1069" w:type="dxa"/>
            <w:tcBorders>
              <w:top w:val="nil"/>
              <w:bottom w:val="nil"/>
              <w:right w:val="double" w:sz="4" w:space="0" w:color="auto"/>
            </w:tcBorders>
            <w:vAlign w:val="center"/>
          </w:tcPr>
          <w:p w:rsidR="002654A6" w:rsidRPr="00261A05" w:rsidRDefault="002654A6" w:rsidP="00133D34">
            <w:pPr>
              <w:ind w:right="42"/>
              <w:jc w:val="center"/>
            </w:pPr>
            <w:r>
              <w:t>**</w:t>
            </w:r>
          </w:p>
        </w:tc>
        <w:tc>
          <w:tcPr>
            <w:tcW w:w="960" w:type="dxa"/>
            <w:tcBorders>
              <w:top w:val="nil"/>
              <w:left w:val="double" w:sz="4" w:space="0" w:color="auto"/>
              <w:bottom w:val="nil"/>
            </w:tcBorders>
            <w:vAlign w:val="center"/>
          </w:tcPr>
          <w:p w:rsidR="002654A6" w:rsidRPr="00261A05" w:rsidRDefault="002654A6" w:rsidP="00133D34">
            <w:pPr>
              <w:ind w:right="42"/>
              <w:jc w:val="center"/>
            </w:pPr>
            <w:r>
              <w:t>0,7</w:t>
            </w:r>
          </w:p>
        </w:tc>
        <w:tc>
          <w:tcPr>
            <w:tcW w:w="960" w:type="dxa"/>
            <w:tcBorders>
              <w:top w:val="nil"/>
              <w:bottom w:val="nil"/>
            </w:tcBorders>
            <w:vAlign w:val="center"/>
          </w:tcPr>
          <w:p w:rsidR="002654A6" w:rsidRPr="00261A05" w:rsidRDefault="002654A6" w:rsidP="00133D34">
            <w:pPr>
              <w:ind w:right="42"/>
              <w:jc w:val="center"/>
            </w:pPr>
            <w:r>
              <w:t>3,6</w:t>
            </w:r>
          </w:p>
        </w:tc>
      </w:tr>
      <w:tr w:rsidR="002654A6" w:rsidTr="00786067">
        <w:trPr>
          <w:trHeight w:val="370"/>
        </w:trPr>
        <w:tc>
          <w:tcPr>
            <w:tcW w:w="3397" w:type="dxa"/>
            <w:tcBorders>
              <w:top w:val="nil"/>
              <w:bottom w:val="nil"/>
            </w:tcBorders>
            <w:vAlign w:val="center"/>
          </w:tcPr>
          <w:p w:rsidR="002654A6" w:rsidRPr="00261A05" w:rsidRDefault="002654A6" w:rsidP="00133D34">
            <w:pPr>
              <w:ind w:right="42"/>
              <w:jc w:val="center"/>
              <w:rPr>
                <w:b/>
                <w:bCs/>
              </w:rPr>
            </w:pPr>
            <w:r w:rsidRPr="00261A05">
              <w:rPr>
                <w:sz w:val="22"/>
                <w:szCs w:val="22"/>
              </w:rPr>
              <w:t>Dayanıklı tüketim malı imalatı</w:t>
            </w:r>
            <w:r>
              <w:rPr>
                <w:sz w:val="22"/>
                <w:szCs w:val="22"/>
              </w:rPr>
              <w:t>*</w:t>
            </w:r>
          </w:p>
        </w:tc>
        <w:tc>
          <w:tcPr>
            <w:tcW w:w="1098" w:type="dxa"/>
            <w:tcBorders>
              <w:top w:val="nil"/>
              <w:bottom w:val="nil"/>
            </w:tcBorders>
            <w:vAlign w:val="center"/>
          </w:tcPr>
          <w:p w:rsidR="002654A6" w:rsidRPr="00261A05" w:rsidRDefault="002654A6" w:rsidP="00133D34">
            <w:pPr>
              <w:ind w:right="42"/>
              <w:jc w:val="center"/>
            </w:pPr>
            <w:r>
              <w:t>-6,0</w:t>
            </w:r>
          </w:p>
        </w:tc>
        <w:tc>
          <w:tcPr>
            <w:tcW w:w="925" w:type="dxa"/>
            <w:tcBorders>
              <w:top w:val="nil"/>
              <w:bottom w:val="nil"/>
            </w:tcBorders>
            <w:vAlign w:val="center"/>
          </w:tcPr>
          <w:p w:rsidR="002654A6" w:rsidRPr="00261A05" w:rsidRDefault="002654A6" w:rsidP="00133D34">
            <w:pPr>
              <w:ind w:right="42"/>
              <w:jc w:val="center"/>
            </w:pPr>
            <w:r>
              <w:t>2,1</w:t>
            </w:r>
          </w:p>
        </w:tc>
        <w:tc>
          <w:tcPr>
            <w:tcW w:w="1073" w:type="dxa"/>
            <w:tcBorders>
              <w:top w:val="nil"/>
              <w:bottom w:val="nil"/>
            </w:tcBorders>
            <w:vAlign w:val="center"/>
          </w:tcPr>
          <w:p w:rsidR="002654A6" w:rsidRPr="00261A05" w:rsidRDefault="002654A6" w:rsidP="00133D34">
            <w:pPr>
              <w:ind w:right="42"/>
              <w:jc w:val="center"/>
            </w:pPr>
            <w:r>
              <w:t>-0,2</w:t>
            </w:r>
          </w:p>
        </w:tc>
        <w:tc>
          <w:tcPr>
            <w:tcW w:w="1138" w:type="dxa"/>
            <w:tcBorders>
              <w:top w:val="nil"/>
              <w:bottom w:val="nil"/>
            </w:tcBorders>
            <w:vAlign w:val="center"/>
          </w:tcPr>
          <w:p w:rsidR="002654A6" w:rsidRPr="00261A05" w:rsidRDefault="002654A6" w:rsidP="00133D34">
            <w:pPr>
              <w:ind w:right="42"/>
              <w:jc w:val="center"/>
            </w:pPr>
            <w:r>
              <w:t>-3,5</w:t>
            </w:r>
          </w:p>
        </w:tc>
        <w:tc>
          <w:tcPr>
            <w:tcW w:w="1069" w:type="dxa"/>
            <w:tcBorders>
              <w:top w:val="nil"/>
              <w:bottom w:val="nil"/>
              <w:right w:val="double" w:sz="4" w:space="0" w:color="auto"/>
            </w:tcBorders>
            <w:vAlign w:val="center"/>
          </w:tcPr>
          <w:p w:rsidR="002654A6" w:rsidRPr="00261A05" w:rsidRDefault="002654A6" w:rsidP="00133D34">
            <w:pPr>
              <w:ind w:right="42"/>
              <w:jc w:val="center"/>
            </w:pPr>
            <w:r>
              <w:t>**</w:t>
            </w:r>
          </w:p>
        </w:tc>
        <w:tc>
          <w:tcPr>
            <w:tcW w:w="960" w:type="dxa"/>
            <w:tcBorders>
              <w:top w:val="nil"/>
              <w:left w:val="double" w:sz="4" w:space="0" w:color="auto"/>
              <w:bottom w:val="nil"/>
            </w:tcBorders>
            <w:vAlign w:val="center"/>
          </w:tcPr>
          <w:p w:rsidR="002654A6" w:rsidRPr="00261A05" w:rsidRDefault="002654A6" w:rsidP="00133D34">
            <w:pPr>
              <w:ind w:right="42"/>
              <w:jc w:val="center"/>
            </w:pPr>
            <w:r>
              <w:t>-0,7</w:t>
            </w:r>
          </w:p>
        </w:tc>
        <w:tc>
          <w:tcPr>
            <w:tcW w:w="960" w:type="dxa"/>
            <w:tcBorders>
              <w:top w:val="nil"/>
              <w:bottom w:val="nil"/>
            </w:tcBorders>
            <w:vAlign w:val="center"/>
          </w:tcPr>
          <w:p w:rsidR="002654A6" w:rsidRPr="00261A05" w:rsidRDefault="002654A6" w:rsidP="00133D34">
            <w:pPr>
              <w:ind w:right="42"/>
              <w:jc w:val="center"/>
            </w:pPr>
            <w:r>
              <w:t>-3,0</w:t>
            </w:r>
          </w:p>
        </w:tc>
      </w:tr>
      <w:tr w:rsidR="002654A6" w:rsidTr="00786067">
        <w:trPr>
          <w:trHeight w:val="370"/>
        </w:trPr>
        <w:tc>
          <w:tcPr>
            <w:tcW w:w="3397" w:type="dxa"/>
            <w:tcBorders>
              <w:top w:val="nil"/>
              <w:bottom w:val="nil"/>
            </w:tcBorders>
            <w:vAlign w:val="center"/>
          </w:tcPr>
          <w:p w:rsidR="002654A6" w:rsidRPr="00261A05" w:rsidRDefault="002654A6" w:rsidP="00133D34">
            <w:pPr>
              <w:ind w:right="42"/>
              <w:jc w:val="center"/>
            </w:pPr>
            <w:r w:rsidRPr="00261A05">
              <w:rPr>
                <w:sz w:val="22"/>
                <w:szCs w:val="22"/>
              </w:rPr>
              <w:t>Ara malı imalatı</w:t>
            </w:r>
            <w:r>
              <w:rPr>
                <w:sz w:val="22"/>
                <w:szCs w:val="22"/>
              </w:rPr>
              <w:t>*</w:t>
            </w:r>
          </w:p>
        </w:tc>
        <w:tc>
          <w:tcPr>
            <w:tcW w:w="1098" w:type="dxa"/>
            <w:tcBorders>
              <w:top w:val="nil"/>
              <w:bottom w:val="nil"/>
            </w:tcBorders>
            <w:vAlign w:val="center"/>
          </w:tcPr>
          <w:p w:rsidR="002654A6" w:rsidRPr="00261A05" w:rsidRDefault="002654A6" w:rsidP="00133D34">
            <w:pPr>
              <w:ind w:right="42"/>
              <w:jc w:val="center"/>
            </w:pPr>
            <w:r>
              <w:t>-2,2</w:t>
            </w:r>
          </w:p>
        </w:tc>
        <w:tc>
          <w:tcPr>
            <w:tcW w:w="925" w:type="dxa"/>
            <w:tcBorders>
              <w:top w:val="nil"/>
              <w:bottom w:val="nil"/>
            </w:tcBorders>
            <w:vAlign w:val="center"/>
          </w:tcPr>
          <w:p w:rsidR="002654A6" w:rsidRPr="00261A05" w:rsidRDefault="002654A6" w:rsidP="00133D34">
            <w:pPr>
              <w:ind w:right="42"/>
              <w:jc w:val="center"/>
            </w:pPr>
            <w:r>
              <w:t>3,4</w:t>
            </w:r>
          </w:p>
        </w:tc>
        <w:tc>
          <w:tcPr>
            <w:tcW w:w="1073" w:type="dxa"/>
            <w:tcBorders>
              <w:top w:val="nil"/>
              <w:bottom w:val="nil"/>
            </w:tcBorders>
            <w:vAlign w:val="center"/>
          </w:tcPr>
          <w:p w:rsidR="002654A6" w:rsidRPr="00261A05" w:rsidRDefault="002654A6" w:rsidP="00133D34">
            <w:pPr>
              <w:ind w:right="42"/>
              <w:jc w:val="center"/>
            </w:pPr>
            <w:r>
              <w:t>-1,5</w:t>
            </w:r>
          </w:p>
        </w:tc>
        <w:tc>
          <w:tcPr>
            <w:tcW w:w="1138" w:type="dxa"/>
            <w:tcBorders>
              <w:top w:val="nil"/>
              <w:bottom w:val="nil"/>
            </w:tcBorders>
            <w:vAlign w:val="center"/>
          </w:tcPr>
          <w:p w:rsidR="002654A6" w:rsidRPr="00261A05" w:rsidRDefault="002654A6" w:rsidP="00133D34">
            <w:pPr>
              <w:ind w:right="42"/>
              <w:jc w:val="center"/>
            </w:pPr>
            <w:r>
              <w:t>3,4</w:t>
            </w:r>
          </w:p>
        </w:tc>
        <w:tc>
          <w:tcPr>
            <w:tcW w:w="1069" w:type="dxa"/>
            <w:tcBorders>
              <w:top w:val="nil"/>
              <w:bottom w:val="nil"/>
              <w:right w:val="double" w:sz="4" w:space="0" w:color="auto"/>
            </w:tcBorders>
            <w:vAlign w:val="center"/>
          </w:tcPr>
          <w:p w:rsidR="002654A6" w:rsidRPr="00261A05" w:rsidRDefault="002654A6" w:rsidP="00133D34">
            <w:pPr>
              <w:ind w:right="42"/>
              <w:jc w:val="center"/>
            </w:pPr>
            <w:r>
              <w:t>**</w:t>
            </w:r>
          </w:p>
        </w:tc>
        <w:tc>
          <w:tcPr>
            <w:tcW w:w="960" w:type="dxa"/>
            <w:tcBorders>
              <w:top w:val="nil"/>
              <w:left w:val="double" w:sz="4" w:space="0" w:color="auto"/>
              <w:bottom w:val="nil"/>
            </w:tcBorders>
            <w:vAlign w:val="center"/>
          </w:tcPr>
          <w:p w:rsidR="002654A6" w:rsidRPr="00261A05" w:rsidRDefault="002654A6" w:rsidP="00133D34">
            <w:pPr>
              <w:ind w:right="42"/>
              <w:jc w:val="center"/>
            </w:pPr>
            <w:r>
              <w:t>1,8</w:t>
            </w:r>
          </w:p>
        </w:tc>
        <w:tc>
          <w:tcPr>
            <w:tcW w:w="960" w:type="dxa"/>
            <w:tcBorders>
              <w:top w:val="nil"/>
              <w:bottom w:val="nil"/>
            </w:tcBorders>
            <w:vAlign w:val="center"/>
          </w:tcPr>
          <w:p w:rsidR="002654A6" w:rsidRPr="00261A05" w:rsidRDefault="002654A6" w:rsidP="00133D34">
            <w:pPr>
              <w:ind w:right="42"/>
              <w:jc w:val="center"/>
            </w:pPr>
            <w:r>
              <w:t>3,5</w:t>
            </w:r>
          </w:p>
        </w:tc>
      </w:tr>
      <w:tr w:rsidR="002654A6" w:rsidTr="00786067">
        <w:trPr>
          <w:trHeight w:val="370"/>
        </w:trPr>
        <w:tc>
          <w:tcPr>
            <w:tcW w:w="3397" w:type="dxa"/>
            <w:tcBorders>
              <w:top w:val="nil"/>
            </w:tcBorders>
            <w:vAlign w:val="center"/>
          </w:tcPr>
          <w:p w:rsidR="002654A6" w:rsidRPr="00261A05" w:rsidRDefault="002654A6" w:rsidP="00133D34">
            <w:pPr>
              <w:ind w:right="42"/>
              <w:jc w:val="center"/>
            </w:pPr>
            <w:r w:rsidRPr="00261A05">
              <w:rPr>
                <w:sz w:val="22"/>
                <w:szCs w:val="22"/>
              </w:rPr>
              <w:t>Yatırım malı imalatı</w:t>
            </w:r>
            <w:r>
              <w:rPr>
                <w:sz w:val="22"/>
                <w:szCs w:val="22"/>
              </w:rPr>
              <w:t>*</w:t>
            </w:r>
          </w:p>
        </w:tc>
        <w:tc>
          <w:tcPr>
            <w:tcW w:w="1098" w:type="dxa"/>
            <w:tcBorders>
              <w:top w:val="nil"/>
            </w:tcBorders>
            <w:vAlign w:val="center"/>
          </w:tcPr>
          <w:p w:rsidR="002654A6" w:rsidRPr="00261A05" w:rsidRDefault="002654A6" w:rsidP="00133D34">
            <w:pPr>
              <w:ind w:right="42"/>
              <w:jc w:val="center"/>
            </w:pPr>
            <w:r>
              <w:t>-5,2</w:t>
            </w:r>
          </w:p>
        </w:tc>
        <w:tc>
          <w:tcPr>
            <w:tcW w:w="925" w:type="dxa"/>
            <w:tcBorders>
              <w:top w:val="nil"/>
            </w:tcBorders>
            <w:vAlign w:val="center"/>
          </w:tcPr>
          <w:p w:rsidR="002654A6" w:rsidRPr="00261A05" w:rsidRDefault="002654A6" w:rsidP="00133D34">
            <w:pPr>
              <w:ind w:right="42"/>
              <w:jc w:val="center"/>
            </w:pPr>
            <w:r>
              <w:t>2,4</w:t>
            </w:r>
          </w:p>
        </w:tc>
        <w:tc>
          <w:tcPr>
            <w:tcW w:w="1073" w:type="dxa"/>
            <w:tcBorders>
              <w:top w:val="nil"/>
            </w:tcBorders>
            <w:vAlign w:val="center"/>
          </w:tcPr>
          <w:p w:rsidR="002654A6" w:rsidRPr="00261A05" w:rsidRDefault="002654A6" w:rsidP="00133D34">
            <w:pPr>
              <w:ind w:right="42"/>
              <w:jc w:val="center"/>
            </w:pPr>
            <w:r>
              <w:t>0,0</w:t>
            </w:r>
          </w:p>
        </w:tc>
        <w:tc>
          <w:tcPr>
            <w:tcW w:w="1138" w:type="dxa"/>
            <w:tcBorders>
              <w:top w:val="nil"/>
            </w:tcBorders>
            <w:vAlign w:val="center"/>
          </w:tcPr>
          <w:p w:rsidR="002654A6" w:rsidRPr="00261A05" w:rsidRDefault="002654A6" w:rsidP="00133D34">
            <w:pPr>
              <w:ind w:right="42"/>
              <w:jc w:val="center"/>
            </w:pPr>
            <w:r>
              <w:t>-1,7</w:t>
            </w:r>
          </w:p>
        </w:tc>
        <w:tc>
          <w:tcPr>
            <w:tcW w:w="1069" w:type="dxa"/>
            <w:tcBorders>
              <w:top w:val="nil"/>
              <w:right w:val="double" w:sz="4" w:space="0" w:color="auto"/>
            </w:tcBorders>
            <w:vAlign w:val="center"/>
          </w:tcPr>
          <w:p w:rsidR="002654A6" w:rsidRPr="00261A05" w:rsidRDefault="002654A6" w:rsidP="00133D34">
            <w:pPr>
              <w:ind w:right="42"/>
              <w:jc w:val="center"/>
            </w:pPr>
            <w:r>
              <w:t>**</w:t>
            </w:r>
          </w:p>
        </w:tc>
        <w:tc>
          <w:tcPr>
            <w:tcW w:w="960" w:type="dxa"/>
            <w:tcBorders>
              <w:top w:val="nil"/>
              <w:left w:val="double" w:sz="4" w:space="0" w:color="auto"/>
            </w:tcBorders>
            <w:vAlign w:val="center"/>
          </w:tcPr>
          <w:p w:rsidR="002654A6" w:rsidRPr="00261A05" w:rsidRDefault="002654A6" w:rsidP="00133D34">
            <w:pPr>
              <w:ind w:right="42"/>
              <w:jc w:val="center"/>
            </w:pPr>
            <w:r>
              <w:t>0,7</w:t>
            </w:r>
          </w:p>
        </w:tc>
        <w:tc>
          <w:tcPr>
            <w:tcW w:w="960" w:type="dxa"/>
            <w:tcBorders>
              <w:top w:val="nil"/>
            </w:tcBorders>
            <w:vAlign w:val="center"/>
          </w:tcPr>
          <w:p w:rsidR="002654A6" w:rsidRPr="00261A05" w:rsidRDefault="002654A6" w:rsidP="00133D34">
            <w:pPr>
              <w:ind w:right="42"/>
              <w:jc w:val="center"/>
            </w:pPr>
            <w:r>
              <w:t>-0,9</w:t>
            </w:r>
          </w:p>
        </w:tc>
      </w:tr>
      <w:tr w:rsidR="002654A6" w:rsidTr="00786067">
        <w:trPr>
          <w:trHeight w:val="370"/>
        </w:trPr>
        <w:tc>
          <w:tcPr>
            <w:tcW w:w="3397" w:type="dxa"/>
            <w:tcBorders>
              <w:bottom w:val="nil"/>
            </w:tcBorders>
            <w:vAlign w:val="center"/>
          </w:tcPr>
          <w:p w:rsidR="002654A6" w:rsidRPr="00261A05" w:rsidRDefault="002654A6" w:rsidP="00133D34">
            <w:pPr>
              <w:ind w:right="42"/>
              <w:jc w:val="center"/>
              <w:rPr>
                <w:b/>
                <w:bCs/>
              </w:rPr>
            </w:pPr>
            <w:r w:rsidRPr="00261A05">
              <w:rPr>
                <w:b/>
                <w:bCs/>
                <w:sz w:val="22"/>
                <w:szCs w:val="22"/>
              </w:rPr>
              <w:t>Kapasite kullanım oranı (KKO)</w:t>
            </w:r>
            <w:r>
              <w:rPr>
                <w:b/>
                <w:bCs/>
                <w:sz w:val="22"/>
                <w:szCs w:val="22"/>
              </w:rPr>
              <w:t>*</w:t>
            </w:r>
          </w:p>
        </w:tc>
        <w:tc>
          <w:tcPr>
            <w:tcW w:w="1098" w:type="dxa"/>
            <w:tcBorders>
              <w:bottom w:val="nil"/>
            </w:tcBorders>
            <w:vAlign w:val="center"/>
          </w:tcPr>
          <w:p w:rsidR="002654A6" w:rsidRPr="00261A05" w:rsidRDefault="00A47817" w:rsidP="00133D34">
            <w:pPr>
              <w:ind w:right="42"/>
              <w:jc w:val="center"/>
              <w:rPr>
                <w:b/>
                <w:bCs/>
              </w:rPr>
            </w:pPr>
            <w:r>
              <w:rPr>
                <w:b/>
                <w:bCs/>
              </w:rPr>
              <w:t>0,8</w:t>
            </w:r>
          </w:p>
        </w:tc>
        <w:tc>
          <w:tcPr>
            <w:tcW w:w="925" w:type="dxa"/>
            <w:tcBorders>
              <w:bottom w:val="nil"/>
            </w:tcBorders>
            <w:vAlign w:val="center"/>
          </w:tcPr>
          <w:p w:rsidR="002654A6" w:rsidRPr="00261A05" w:rsidRDefault="00A47817" w:rsidP="00133D34">
            <w:pPr>
              <w:ind w:right="42"/>
              <w:jc w:val="center"/>
              <w:rPr>
                <w:b/>
                <w:bCs/>
              </w:rPr>
            </w:pPr>
            <w:r>
              <w:rPr>
                <w:b/>
                <w:bCs/>
              </w:rPr>
              <w:t>-0,8</w:t>
            </w:r>
          </w:p>
        </w:tc>
        <w:tc>
          <w:tcPr>
            <w:tcW w:w="1073" w:type="dxa"/>
            <w:tcBorders>
              <w:bottom w:val="nil"/>
            </w:tcBorders>
            <w:vAlign w:val="center"/>
          </w:tcPr>
          <w:p w:rsidR="002654A6" w:rsidRPr="00261A05" w:rsidRDefault="00A47817" w:rsidP="00133D34">
            <w:pPr>
              <w:ind w:right="42"/>
              <w:jc w:val="center"/>
              <w:rPr>
                <w:b/>
                <w:bCs/>
              </w:rPr>
            </w:pPr>
            <w:r>
              <w:rPr>
                <w:b/>
                <w:bCs/>
              </w:rPr>
              <w:t>0,9</w:t>
            </w:r>
          </w:p>
        </w:tc>
        <w:tc>
          <w:tcPr>
            <w:tcW w:w="1138" w:type="dxa"/>
            <w:tcBorders>
              <w:bottom w:val="nil"/>
            </w:tcBorders>
            <w:vAlign w:val="center"/>
          </w:tcPr>
          <w:p w:rsidR="002654A6" w:rsidRPr="00261A05" w:rsidRDefault="00A47817" w:rsidP="00133D34">
            <w:pPr>
              <w:ind w:right="42"/>
              <w:jc w:val="center"/>
              <w:rPr>
                <w:b/>
                <w:bCs/>
              </w:rPr>
            </w:pPr>
            <w:r>
              <w:rPr>
                <w:b/>
                <w:bCs/>
              </w:rPr>
              <w:t>-1,3</w:t>
            </w:r>
          </w:p>
        </w:tc>
        <w:tc>
          <w:tcPr>
            <w:tcW w:w="1069" w:type="dxa"/>
            <w:tcBorders>
              <w:bottom w:val="nil"/>
              <w:right w:val="double" w:sz="4" w:space="0" w:color="auto"/>
            </w:tcBorders>
            <w:vAlign w:val="center"/>
          </w:tcPr>
          <w:p w:rsidR="002654A6" w:rsidRPr="00261A05" w:rsidRDefault="00A47817" w:rsidP="00133D34">
            <w:pPr>
              <w:ind w:right="42"/>
              <w:jc w:val="center"/>
              <w:rPr>
                <w:b/>
                <w:bCs/>
              </w:rPr>
            </w:pPr>
            <w:r>
              <w:rPr>
                <w:b/>
                <w:bCs/>
              </w:rPr>
              <w:t>-0,2</w:t>
            </w:r>
          </w:p>
        </w:tc>
        <w:tc>
          <w:tcPr>
            <w:tcW w:w="960" w:type="dxa"/>
            <w:tcBorders>
              <w:left w:val="double" w:sz="4" w:space="0" w:color="auto"/>
              <w:bottom w:val="nil"/>
            </w:tcBorders>
            <w:vAlign w:val="center"/>
          </w:tcPr>
          <w:p w:rsidR="002654A6" w:rsidRPr="00261A05" w:rsidRDefault="00A47817" w:rsidP="00133D34">
            <w:pPr>
              <w:ind w:right="42"/>
              <w:jc w:val="center"/>
              <w:rPr>
                <w:b/>
                <w:bCs/>
              </w:rPr>
            </w:pPr>
            <w:r>
              <w:rPr>
                <w:b/>
                <w:bCs/>
              </w:rPr>
              <w:t>0,6</w:t>
            </w:r>
          </w:p>
        </w:tc>
        <w:tc>
          <w:tcPr>
            <w:tcW w:w="960" w:type="dxa"/>
            <w:tcBorders>
              <w:bottom w:val="nil"/>
            </w:tcBorders>
            <w:vAlign w:val="center"/>
          </w:tcPr>
          <w:p w:rsidR="002654A6" w:rsidRPr="00261A05" w:rsidRDefault="00A47817" w:rsidP="00133D34">
            <w:pPr>
              <w:ind w:right="42"/>
              <w:jc w:val="center"/>
              <w:rPr>
                <w:b/>
                <w:bCs/>
              </w:rPr>
            </w:pPr>
            <w:r>
              <w:rPr>
                <w:b/>
                <w:bCs/>
              </w:rPr>
              <w:t>-1,1</w:t>
            </w:r>
          </w:p>
        </w:tc>
      </w:tr>
      <w:tr w:rsidR="002654A6" w:rsidTr="00786067">
        <w:trPr>
          <w:trHeight w:val="370"/>
        </w:trPr>
        <w:tc>
          <w:tcPr>
            <w:tcW w:w="3397" w:type="dxa"/>
            <w:tcBorders>
              <w:top w:val="nil"/>
              <w:bottom w:val="nil"/>
            </w:tcBorders>
            <w:vAlign w:val="center"/>
          </w:tcPr>
          <w:p w:rsidR="002654A6" w:rsidRPr="00261A05" w:rsidRDefault="002654A6" w:rsidP="00133D34">
            <w:pPr>
              <w:ind w:right="42"/>
              <w:jc w:val="center"/>
            </w:pPr>
            <w:r w:rsidRPr="00261A05">
              <w:rPr>
                <w:sz w:val="22"/>
                <w:szCs w:val="22"/>
              </w:rPr>
              <w:t>Dayanıksız tüketim malı imalatı</w:t>
            </w:r>
          </w:p>
        </w:tc>
        <w:tc>
          <w:tcPr>
            <w:tcW w:w="1098" w:type="dxa"/>
            <w:tcBorders>
              <w:top w:val="nil"/>
              <w:bottom w:val="nil"/>
            </w:tcBorders>
            <w:vAlign w:val="center"/>
          </w:tcPr>
          <w:p w:rsidR="002654A6" w:rsidRPr="00261A05" w:rsidRDefault="00A47817" w:rsidP="00133D34">
            <w:pPr>
              <w:ind w:right="42"/>
              <w:jc w:val="center"/>
            </w:pPr>
            <w:r>
              <w:t>0,3</w:t>
            </w:r>
          </w:p>
        </w:tc>
        <w:tc>
          <w:tcPr>
            <w:tcW w:w="925" w:type="dxa"/>
            <w:tcBorders>
              <w:top w:val="nil"/>
              <w:bottom w:val="nil"/>
            </w:tcBorders>
            <w:vAlign w:val="center"/>
          </w:tcPr>
          <w:p w:rsidR="002654A6" w:rsidRPr="00261A05" w:rsidRDefault="00A47817" w:rsidP="00133D34">
            <w:pPr>
              <w:ind w:right="42"/>
              <w:jc w:val="center"/>
            </w:pPr>
            <w:r>
              <w:t>-0,4</w:t>
            </w:r>
          </w:p>
        </w:tc>
        <w:tc>
          <w:tcPr>
            <w:tcW w:w="1073" w:type="dxa"/>
            <w:tcBorders>
              <w:top w:val="nil"/>
              <w:bottom w:val="nil"/>
            </w:tcBorders>
            <w:vAlign w:val="center"/>
          </w:tcPr>
          <w:p w:rsidR="002654A6" w:rsidRPr="00261A05" w:rsidRDefault="00A47817" w:rsidP="00133D34">
            <w:pPr>
              <w:ind w:right="42"/>
              <w:jc w:val="center"/>
            </w:pPr>
            <w:r>
              <w:t>0,7</w:t>
            </w:r>
          </w:p>
        </w:tc>
        <w:tc>
          <w:tcPr>
            <w:tcW w:w="1138" w:type="dxa"/>
            <w:tcBorders>
              <w:top w:val="nil"/>
              <w:bottom w:val="nil"/>
            </w:tcBorders>
            <w:vAlign w:val="center"/>
          </w:tcPr>
          <w:p w:rsidR="002654A6" w:rsidRPr="00261A05" w:rsidRDefault="00A47817" w:rsidP="00133D34">
            <w:pPr>
              <w:ind w:right="42"/>
              <w:jc w:val="center"/>
            </w:pPr>
            <w:r>
              <w:t>0,1</w:t>
            </w:r>
          </w:p>
        </w:tc>
        <w:tc>
          <w:tcPr>
            <w:tcW w:w="1069" w:type="dxa"/>
            <w:tcBorders>
              <w:top w:val="nil"/>
              <w:bottom w:val="nil"/>
              <w:right w:val="double" w:sz="4" w:space="0" w:color="auto"/>
            </w:tcBorders>
            <w:vAlign w:val="center"/>
          </w:tcPr>
          <w:p w:rsidR="002654A6" w:rsidRPr="00261A05" w:rsidRDefault="00A47817" w:rsidP="00133D34">
            <w:pPr>
              <w:ind w:right="42"/>
              <w:jc w:val="center"/>
            </w:pPr>
            <w:r>
              <w:t>0,8</w:t>
            </w:r>
          </w:p>
        </w:tc>
        <w:tc>
          <w:tcPr>
            <w:tcW w:w="960" w:type="dxa"/>
            <w:tcBorders>
              <w:top w:val="nil"/>
              <w:left w:val="double" w:sz="4" w:space="0" w:color="auto"/>
              <w:bottom w:val="nil"/>
            </w:tcBorders>
            <w:vAlign w:val="center"/>
          </w:tcPr>
          <w:p w:rsidR="002654A6" w:rsidRPr="00261A05" w:rsidRDefault="00A47817" w:rsidP="00133D34">
            <w:pPr>
              <w:ind w:right="42"/>
              <w:jc w:val="center"/>
            </w:pPr>
            <w:r>
              <w:t>0,2</w:t>
            </w:r>
          </w:p>
        </w:tc>
        <w:tc>
          <w:tcPr>
            <w:tcW w:w="960" w:type="dxa"/>
            <w:tcBorders>
              <w:top w:val="nil"/>
              <w:bottom w:val="nil"/>
            </w:tcBorders>
            <w:vAlign w:val="center"/>
          </w:tcPr>
          <w:p w:rsidR="002654A6" w:rsidRPr="00261A05" w:rsidRDefault="00A47817" w:rsidP="00133D34">
            <w:pPr>
              <w:ind w:right="42"/>
              <w:jc w:val="center"/>
            </w:pPr>
            <w:r>
              <w:t>0,8</w:t>
            </w:r>
          </w:p>
        </w:tc>
      </w:tr>
      <w:tr w:rsidR="002654A6" w:rsidTr="00786067">
        <w:trPr>
          <w:trHeight w:val="370"/>
        </w:trPr>
        <w:tc>
          <w:tcPr>
            <w:tcW w:w="3397" w:type="dxa"/>
            <w:tcBorders>
              <w:top w:val="nil"/>
              <w:bottom w:val="nil"/>
            </w:tcBorders>
            <w:vAlign w:val="center"/>
          </w:tcPr>
          <w:p w:rsidR="002654A6" w:rsidRPr="00261A05" w:rsidRDefault="002654A6" w:rsidP="00133D34">
            <w:pPr>
              <w:ind w:right="42"/>
              <w:jc w:val="center"/>
              <w:rPr>
                <w:b/>
                <w:bCs/>
              </w:rPr>
            </w:pPr>
            <w:r w:rsidRPr="00261A05">
              <w:rPr>
                <w:sz w:val="22"/>
                <w:szCs w:val="22"/>
              </w:rPr>
              <w:t>Dayanıklı tüketim malı imalatı</w:t>
            </w:r>
          </w:p>
        </w:tc>
        <w:tc>
          <w:tcPr>
            <w:tcW w:w="1098" w:type="dxa"/>
            <w:tcBorders>
              <w:top w:val="nil"/>
              <w:bottom w:val="nil"/>
            </w:tcBorders>
            <w:vAlign w:val="center"/>
          </w:tcPr>
          <w:p w:rsidR="002654A6" w:rsidRPr="00261A05" w:rsidRDefault="00A47817" w:rsidP="00133D34">
            <w:pPr>
              <w:ind w:right="42"/>
              <w:jc w:val="center"/>
            </w:pPr>
            <w:r>
              <w:t>0,8</w:t>
            </w:r>
          </w:p>
        </w:tc>
        <w:tc>
          <w:tcPr>
            <w:tcW w:w="925" w:type="dxa"/>
            <w:tcBorders>
              <w:top w:val="nil"/>
              <w:bottom w:val="nil"/>
            </w:tcBorders>
            <w:vAlign w:val="center"/>
          </w:tcPr>
          <w:p w:rsidR="002654A6" w:rsidRPr="00261A05" w:rsidRDefault="00A47817" w:rsidP="00133D34">
            <w:pPr>
              <w:ind w:right="42"/>
              <w:jc w:val="center"/>
            </w:pPr>
            <w:r>
              <w:t>-0,4</w:t>
            </w:r>
          </w:p>
        </w:tc>
        <w:tc>
          <w:tcPr>
            <w:tcW w:w="1073" w:type="dxa"/>
            <w:tcBorders>
              <w:top w:val="nil"/>
              <w:bottom w:val="nil"/>
            </w:tcBorders>
            <w:vAlign w:val="center"/>
          </w:tcPr>
          <w:p w:rsidR="002654A6" w:rsidRPr="00261A05" w:rsidRDefault="00A47817" w:rsidP="00133D34">
            <w:pPr>
              <w:ind w:right="42"/>
              <w:jc w:val="center"/>
            </w:pPr>
            <w:r>
              <w:t>0,5</w:t>
            </w:r>
          </w:p>
        </w:tc>
        <w:tc>
          <w:tcPr>
            <w:tcW w:w="1138" w:type="dxa"/>
            <w:tcBorders>
              <w:top w:val="nil"/>
              <w:bottom w:val="nil"/>
            </w:tcBorders>
            <w:vAlign w:val="center"/>
          </w:tcPr>
          <w:p w:rsidR="002654A6" w:rsidRPr="00261A05" w:rsidRDefault="00A47817" w:rsidP="00133D34">
            <w:pPr>
              <w:ind w:right="42"/>
              <w:jc w:val="center"/>
            </w:pPr>
            <w:r>
              <w:t>-1,4</w:t>
            </w:r>
          </w:p>
        </w:tc>
        <w:tc>
          <w:tcPr>
            <w:tcW w:w="1069" w:type="dxa"/>
            <w:tcBorders>
              <w:top w:val="nil"/>
              <w:bottom w:val="nil"/>
              <w:right w:val="double" w:sz="4" w:space="0" w:color="auto"/>
            </w:tcBorders>
            <w:vAlign w:val="center"/>
          </w:tcPr>
          <w:p w:rsidR="002654A6" w:rsidRPr="00261A05" w:rsidRDefault="00A47817" w:rsidP="00133D34">
            <w:pPr>
              <w:ind w:right="42"/>
              <w:jc w:val="center"/>
            </w:pPr>
            <w:r>
              <w:t>0,5</w:t>
            </w:r>
          </w:p>
        </w:tc>
        <w:tc>
          <w:tcPr>
            <w:tcW w:w="960" w:type="dxa"/>
            <w:tcBorders>
              <w:top w:val="nil"/>
              <w:left w:val="double" w:sz="4" w:space="0" w:color="auto"/>
              <w:bottom w:val="nil"/>
            </w:tcBorders>
            <w:vAlign w:val="center"/>
          </w:tcPr>
          <w:p w:rsidR="002654A6" w:rsidRPr="00261A05" w:rsidRDefault="00A47817" w:rsidP="00133D34">
            <w:pPr>
              <w:ind w:right="42"/>
              <w:jc w:val="center"/>
            </w:pPr>
            <w:r>
              <w:t>0,2</w:t>
            </w:r>
          </w:p>
        </w:tc>
        <w:tc>
          <w:tcPr>
            <w:tcW w:w="960" w:type="dxa"/>
            <w:tcBorders>
              <w:top w:val="nil"/>
              <w:bottom w:val="nil"/>
            </w:tcBorders>
            <w:vAlign w:val="center"/>
          </w:tcPr>
          <w:p w:rsidR="002654A6" w:rsidRPr="00261A05" w:rsidRDefault="00A47817" w:rsidP="00133D34">
            <w:pPr>
              <w:ind w:right="42"/>
              <w:jc w:val="center"/>
            </w:pPr>
            <w:r>
              <w:t>-1,0</w:t>
            </w:r>
          </w:p>
        </w:tc>
      </w:tr>
      <w:tr w:rsidR="002654A6" w:rsidTr="00786067">
        <w:trPr>
          <w:trHeight w:val="370"/>
        </w:trPr>
        <w:tc>
          <w:tcPr>
            <w:tcW w:w="3397" w:type="dxa"/>
            <w:tcBorders>
              <w:top w:val="nil"/>
              <w:bottom w:val="nil"/>
            </w:tcBorders>
            <w:vAlign w:val="center"/>
          </w:tcPr>
          <w:p w:rsidR="002654A6" w:rsidRPr="00261A05" w:rsidRDefault="002654A6" w:rsidP="00133D34">
            <w:pPr>
              <w:ind w:right="42"/>
              <w:jc w:val="center"/>
            </w:pPr>
            <w:r w:rsidRPr="00261A05">
              <w:rPr>
                <w:sz w:val="22"/>
                <w:szCs w:val="22"/>
              </w:rPr>
              <w:t>Ara malı imalatı</w:t>
            </w:r>
          </w:p>
        </w:tc>
        <w:tc>
          <w:tcPr>
            <w:tcW w:w="1098" w:type="dxa"/>
            <w:tcBorders>
              <w:top w:val="nil"/>
              <w:bottom w:val="nil"/>
            </w:tcBorders>
            <w:vAlign w:val="center"/>
          </w:tcPr>
          <w:p w:rsidR="002654A6" w:rsidRPr="00261A05" w:rsidRDefault="00A47817" w:rsidP="00133D34">
            <w:pPr>
              <w:ind w:right="42"/>
              <w:jc w:val="center"/>
            </w:pPr>
            <w:r>
              <w:t>0,6</w:t>
            </w:r>
          </w:p>
        </w:tc>
        <w:tc>
          <w:tcPr>
            <w:tcW w:w="925" w:type="dxa"/>
            <w:tcBorders>
              <w:top w:val="nil"/>
              <w:bottom w:val="nil"/>
            </w:tcBorders>
            <w:vAlign w:val="center"/>
          </w:tcPr>
          <w:p w:rsidR="002654A6" w:rsidRPr="00261A05" w:rsidRDefault="00A47817" w:rsidP="00133D34">
            <w:pPr>
              <w:ind w:right="42"/>
              <w:jc w:val="center"/>
            </w:pPr>
            <w:r>
              <w:t>-0,1</w:t>
            </w:r>
          </w:p>
        </w:tc>
        <w:tc>
          <w:tcPr>
            <w:tcW w:w="1073" w:type="dxa"/>
            <w:tcBorders>
              <w:top w:val="nil"/>
              <w:bottom w:val="nil"/>
            </w:tcBorders>
            <w:vAlign w:val="center"/>
          </w:tcPr>
          <w:p w:rsidR="002654A6" w:rsidRPr="00261A05" w:rsidRDefault="00A47817" w:rsidP="00133D34">
            <w:pPr>
              <w:ind w:right="42"/>
              <w:jc w:val="center"/>
            </w:pPr>
            <w:r>
              <w:t>1,3</w:t>
            </w:r>
          </w:p>
        </w:tc>
        <w:tc>
          <w:tcPr>
            <w:tcW w:w="1138" w:type="dxa"/>
            <w:tcBorders>
              <w:top w:val="nil"/>
              <w:bottom w:val="nil"/>
            </w:tcBorders>
            <w:vAlign w:val="center"/>
          </w:tcPr>
          <w:p w:rsidR="002654A6" w:rsidRPr="00261A05" w:rsidRDefault="00A47817" w:rsidP="00133D34">
            <w:pPr>
              <w:ind w:right="42"/>
              <w:jc w:val="center"/>
            </w:pPr>
            <w:r>
              <w:t>-1,2</w:t>
            </w:r>
          </w:p>
        </w:tc>
        <w:tc>
          <w:tcPr>
            <w:tcW w:w="1069" w:type="dxa"/>
            <w:tcBorders>
              <w:top w:val="nil"/>
              <w:bottom w:val="nil"/>
              <w:right w:val="double" w:sz="4" w:space="0" w:color="auto"/>
            </w:tcBorders>
            <w:vAlign w:val="center"/>
          </w:tcPr>
          <w:p w:rsidR="002654A6" w:rsidRPr="00261A05" w:rsidRDefault="00A47817" w:rsidP="00133D34">
            <w:pPr>
              <w:ind w:right="42"/>
              <w:jc w:val="center"/>
            </w:pPr>
            <w:r>
              <w:t>0,6</w:t>
            </w:r>
          </w:p>
        </w:tc>
        <w:tc>
          <w:tcPr>
            <w:tcW w:w="960" w:type="dxa"/>
            <w:tcBorders>
              <w:top w:val="nil"/>
              <w:left w:val="double" w:sz="4" w:space="0" w:color="auto"/>
              <w:bottom w:val="nil"/>
            </w:tcBorders>
            <w:vAlign w:val="center"/>
          </w:tcPr>
          <w:p w:rsidR="002654A6" w:rsidRPr="00261A05" w:rsidRDefault="00A47817" w:rsidP="00133D34">
            <w:pPr>
              <w:ind w:right="42"/>
              <w:jc w:val="center"/>
            </w:pPr>
            <w:r>
              <w:t>1,0</w:t>
            </w:r>
          </w:p>
        </w:tc>
        <w:tc>
          <w:tcPr>
            <w:tcW w:w="960" w:type="dxa"/>
            <w:tcBorders>
              <w:top w:val="nil"/>
              <w:bottom w:val="nil"/>
            </w:tcBorders>
            <w:vAlign w:val="center"/>
          </w:tcPr>
          <w:p w:rsidR="002654A6" w:rsidRPr="00261A05" w:rsidRDefault="00A47817" w:rsidP="00133D34">
            <w:pPr>
              <w:ind w:right="42"/>
              <w:jc w:val="center"/>
            </w:pPr>
            <w:r>
              <w:t>-0,1</w:t>
            </w:r>
          </w:p>
        </w:tc>
      </w:tr>
      <w:tr w:rsidR="002654A6" w:rsidTr="00786067">
        <w:trPr>
          <w:trHeight w:val="370"/>
        </w:trPr>
        <w:tc>
          <w:tcPr>
            <w:tcW w:w="3397" w:type="dxa"/>
            <w:tcBorders>
              <w:top w:val="nil"/>
            </w:tcBorders>
            <w:vAlign w:val="center"/>
          </w:tcPr>
          <w:p w:rsidR="002654A6" w:rsidRPr="00261A05" w:rsidRDefault="002654A6" w:rsidP="00133D34">
            <w:pPr>
              <w:ind w:right="42"/>
              <w:jc w:val="center"/>
            </w:pPr>
            <w:r w:rsidRPr="00261A05">
              <w:rPr>
                <w:sz w:val="22"/>
                <w:szCs w:val="22"/>
              </w:rPr>
              <w:t>Yatırım malı imalatı</w:t>
            </w:r>
          </w:p>
        </w:tc>
        <w:tc>
          <w:tcPr>
            <w:tcW w:w="1098" w:type="dxa"/>
            <w:tcBorders>
              <w:top w:val="nil"/>
            </w:tcBorders>
            <w:vAlign w:val="center"/>
          </w:tcPr>
          <w:p w:rsidR="002654A6" w:rsidRPr="00261A05" w:rsidRDefault="00A47817" w:rsidP="00133D34">
            <w:pPr>
              <w:ind w:right="42"/>
              <w:jc w:val="center"/>
            </w:pPr>
            <w:r>
              <w:t>-1,5</w:t>
            </w:r>
          </w:p>
        </w:tc>
        <w:tc>
          <w:tcPr>
            <w:tcW w:w="925" w:type="dxa"/>
            <w:tcBorders>
              <w:top w:val="nil"/>
            </w:tcBorders>
            <w:vAlign w:val="center"/>
          </w:tcPr>
          <w:p w:rsidR="002654A6" w:rsidRPr="00261A05" w:rsidRDefault="00A47817" w:rsidP="00133D34">
            <w:pPr>
              <w:ind w:right="42"/>
              <w:jc w:val="center"/>
            </w:pPr>
            <w:r>
              <w:t>1,1</w:t>
            </w:r>
          </w:p>
        </w:tc>
        <w:tc>
          <w:tcPr>
            <w:tcW w:w="1073" w:type="dxa"/>
            <w:tcBorders>
              <w:top w:val="nil"/>
            </w:tcBorders>
            <w:vAlign w:val="center"/>
          </w:tcPr>
          <w:p w:rsidR="002654A6" w:rsidRPr="00261A05" w:rsidRDefault="00A47817" w:rsidP="00133D34">
            <w:pPr>
              <w:ind w:right="42"/>
              <w:jc w:val="center"/>
            </w:pPr>
            <w:r>
              <w:t>1,4</w:t>
            </w:r>
          </w:p>
        </w:tc>
        <w:tc>
          <w:tcPr>
            <w:tcW w:w="1138" w:type="dxa"/>
            <w:tcBorders>
              <w:top w:val="nil"/>
            </w:tcBorders>
            <w:vAlign w:val="center"/>
          </w:tcPr>
          <w:p w:rsidR="002654A6" w:rsidRPr="00261A05" w:rsidRDefault="00A47817" w:rsidP="00133D34">
            <w:pPr>
              <w:ind w:right="42"/>
              <w:jc w:val="center"/>
            </w:pPr>
            <w:r>
              <w:t>-1,3</w:t>
            </w:r>
          </w:p>
        </w:tc>
        <w:tc>
          <w:tcPr>
            <w:tcW w:w="1069" w:type="dxa"/>
            <w:tcBorders>
              <w:top w:val="nil"/>
              <w:right w:val="double" w:sz="4" w:space="0" w:color="auto"/>
            </w:tcBorders>
            <w:vAlign w:val="center"/>
          </w:tcPr>
          <w:p w:rsidR="002654A6" w:rsidRPr="00261A05" w:rsidRDefault="00A47817" w:rsidP="00133D34">
            <w:pPr>
              <w:ind w:right="42"/>
              <w:jc w:val="center"/>
            </w:pPr>
            <w:r>
              <w:t>-2,2</w:t>
            </w:r>
          </w:p>
        </w:tc>
        <w:tc>
          <w:tcPr>
            <w:tcW w:w="960" w:type="dxa"/>
            <w:tcBorders>
              <w:top w:val="nil"/>
              <w:left w:val="double" w:sz="4" w:space="0" w:color="auto"/>
            </w:tcBorders>
            <w:vAlign w:val="center"/>
          </w:tcPr>
          <w:p w:rsidR="002654A6" w:rsidRPr="00261A05" w:rsidRDefault="00A47817" w:rsidP="00133D34">
            <w:pPr>
              <w:ind w:right="42"/>
              <w:jc w:val="center"/>
            </w:pPr>
            <w:r>
              <w:t>0,2</w:t>
            </w:r>
          </w:p>
        </w:tc>
        <w:tc>
          <w:tcPr>
            <w:tcW w:w="960" w:type="dxa"/>
            <w:tcBorders>
              <w:top w:val="nil"/>
            </w:tcBorders>
            <w:vAlign w:val="center"/>
          </w:tcPr>
          <w:p w:rsidR="002654A6" w:rsidRPr="00261A05" w:rsidRDefault="00A47817" w:rsidP="00133D34">
            <w:pPr>
              <w:ind w:right="42"/>
              <w:jc w:val="center"/>
            </w:pPr>
            <w:r>
              <w:t>-1,0</w:t>
            </w:r>
          </w:p>
        </w:tc>
      </w:tr>
      <w:tr w:rsidR="002654A6" w:rsidTr="00786067">
        <w:trPr>
          <w:trHeight w:val="370"/>
        </w:trPr>
        <w:tc>
          <w:tcPr>
            <w:tcW w:w="3397" w:type="dxa"/>
            <w:tcBorders>
              <w:bottom w:val="nil"/>
            </w:tcBorders>
            <w:vAlign w:val="center"/>
          </w:tcPr>
          <w:p w:rsidR="002654A6" w:rsidRPr="00261A05" w:rsidRDefault="002654A6" w:rsidP="00133D34">
            <w:pPr>
              <w:ind w:right="42"/>
              <w:jc w:val="center"/>
              <w:rPr>
                <w:b/>
                <w:bCs/>
              </w:rPr>
            </w:pPr>
            <w:r w:rsidRPr="00261A05">
              <w:rPr>
                <w:b/>
                <w:bCs/>
                <w:sz w:val="22"/>
                <w:szCs w:val="22"/>
              </w:rPr>
              <w:t>Beklenti göstergeleri</w:t>
            </w:r>
          </w:p>
        </w:tc>
        <w:tc>
          <w:tcPr>
            <w:tcW w:w="1098" w:type="dxa"/>
            <w:tcBorders>
              <w:bottom w:val="nil"/>
            </w:tcBorders>
            <w:vAlign w:val="center"/>
          </w:tcPr>
          <w:p w:rsidR="002654A6" w:rsidRPr="00261A05" w:rsidRDefault="002654A6" w:rsidP="00133D34">
            <w:pPr>
              <w:ind w:right="42"/>
              <w:jc w:val="center"/>
              <w:rPr>
                <w:b/>
                <w:bCs/>
              </w:rPr>
            </w:pPr>
          </w:p>
        </w:tc>
        <w:tc>
          <w:tcPr>
            <w:tcW w:w="925" w:type="dxa"/>
            <w:tcBorders>
              <w:bottom w:val="nil"/>
            </w:tcBorders>
            <w:vAlign w:val="center"/>
          </w:tcPr>
          <w:p w:rsidR="002654A6" w:rsidRPr="00261A05" w:rsidRDefault="002654A6" w:rsidP="00133D34">
            <w:pPr>
              <w:ind w:right="42"/>
              <w:jc w:val="center"/>
              <w:rPr>
                <w:b/>
                <w:bCs/>
              </w:rPr>
            </w:pPr>
          </w:p>
        </w:tc>
        <w:tc>
          <w:tcPr>
            <w:tcW w:w="1073" w:type="dxa"/>
            <w:tcBorders>
              <w:bottom w:val="nil"/>
            </w:tcBorders>
            <w:vAlign w:val="center"/>
          </w:tcPr>
          <w:p w:rsidR="002654A6" w:rsidRPr="00261A05" w:rsidRDefault="002654A6" w:rsidP="00133D34">
            <w:pPr>
              <w:ind w:right="42"/>
              <w:jc w:val="center"/>
              <w:rPr>
                <w:b/>
                <w:bCs/>
              </w:rPr>
            </w:pPr>
          </w:p>
        </w:tc>
        <w:tc>
          <w:tcPr>
            <w:tcW w:w="1138" w:type="dxa"/>
            <w:tcBorders>
              <w:bottom w:val="nil"/>
            </w:tcBorders>
            <w:vAlign w:val="center"/>
          </w:tcPr>
          <w:p w:rsidR="002654A6" w:rsidRPr="00261A05" w:rsidRDefault="002654A6" w:rsidP="00133D34">
            <w:pPr>
              <w:ind w:right="42"/>
              <w:jc w:val="center"/>
              <w:rPr>
                <w:b/>
                <w:bCs/>
              </w:rPr>
            </w:pPr>
          </w:p>
        </w:tc>
        <w:tc>
          <w:tcPr>
            <w:tcW w:w="1069" w:type="dxa"/>
            <w:tcBorders>
              <w:bottom w:val="nil"/>
              <w:right w:val="double" w:sz="4" w:space="0" w:color="auto"/>
            </w:tcBorders>
            <w:vAlign w:val="center"/>
          </w:tcPr>
          <w:p w:rsidR="002654A6" w:rsidRPr="00261A05" w:rsidRDefault="002654A6" w:rsidP="00133D34">
            <w:pPr>
              <w:ind w:right="42"/>
              <w:jc w:val="center"/>
              <w:rPr>
                <w:b/>
                <w:bCs/>
              </w:rPr>
            </w:pPr>
          </w:p>
        </w:tc>
        <w:tc>
          <w:tcPr>
            <w:tcW w:w="960" w:type="dxa"/>
            <w:tcBorders>
              <w:left w:val="double" w:sz="4" w:space="0" w:color="auto"/>
              <w:bottom w:val="nil"/>
            </w:tcBorders>
            <w:vAlign w:val="center"/>
          </w:tcPr>
          <w:p w:rsidR="002654A6" w:rsidRPr="00261A05" w:rsidRDefault="002654A6" w:rsidP="00133D34">
            <w:pPr>
              <w:ind w:right="42"/>
              <w:jc w:val="center"/>
              <w:rPr>
                <w:b/>
                <w:bCs/>
              </w:rPr>
            </w:pPr>
          </w:p>
        </w:tc>
        <w:tc>
          <w:tcPr>
            <w:tcW w:w="960" w:type="dxa"/>
            <w:tcBorders>
              <w:bottom w:val="nil"/>
            </w:tcBorders>
            <w:vAlign w:val="center"/>
          </w:tcPr>
          <w:p w:rsidR="002654A6" w:rsidRPr="00261A05" w:rsidRDefault="002654A6" w:rsidP="00133D34">
            <w:pPr>
              <w:ind w:right="42"/>
              <w:jc w:val="center"/>
              <w:rPr>
                <w:b/>
                <w:bCs/>
              </w:rPr>
            </w:pPr>
          </w:p>
        </w:tc>
      </w:tr>
      <w:tr w:rsidR="002654A6" w:rsidTr="00786067">
        <w:trPr>
          <w:trHeight w:val="370"/>
        </w:trPr>
        <w:tc>
          <w:tcPr>
            <w:tcW w:w="3397" w:type="dxa"/>
            <w:tcBorders>
              <w:top w:val="nil"/>
              <w:bottom w:val="nil"/>
            </w:tcBorders>
            <w:vAlign w:val="center"/>
          </w:tcPr>
          <w:p w:rsidR="002654A6" w:rsidRPr="00261A05" w:rsidRDefault="002654A6" w:rsidP="00133D34">
            <w:pPr>
              <w:ind w:right="42"/>
              <w:jc w:val="center"/>
            </w:pPr>
            <w:r w:rsidRPr="00261A05">
              <w:rPr>
                <w:sz w:val="22"/>
                <w:szCs w:val="22"/>
              </w:rPr>
              <w:t>Tüketici güven endeksi (TÜİK)</w:t>
            </w:r>
          </w:p>
        </w:tc>
        <w:tc>
          <w:tcPr>
            <w:tcW w:w="1098" w:type="dxa"/>
            <w:tcBorders>
              <w:top w:val="nil"/>
              <w:bottom w:val="nil"/>
            </w:tcBorders>
            <w:vAlign w:val="center"/>
          </w:tcPr>
          <w:p w:rsidR="002654A6" w:rsidRPr="00261A05" w:rsidRDefault="00140E1E" w:rsidP="00133D34">
            <w:pPr>
              <w:ind w:right="42"/>
              <w:jc w:val="center"/>
            </w:pPr>
            <w:r>
              <w:t>5,0</w:t>
            </w:r>
          </w:p>
        </w:tc>
        <w:tc>
          <w:tcPr>
            <w:tcW w:w="925" w:type="dxa"/>
            <w:tcBorders>
              <w:top w:val="nil"/>
              <w:bottom w:val="nil"/>
            </w:tcBorders>
            <w:vAlign w:val="center"/>
          </w:tcPr>
          <w:p w:rsidR="002654A6" w:rsidRPr="00261A05" w:rsidRDefault="00140E1E" w:rsidP="00133D34">
            <w:pPr>
              <w:ind w:right="42"/>
              <w:jc w:val="center"/>
            </w:pPr>
            <w:r>
              <w:t>3,0</w:t>
            </w:r>
          </w:p>
        </w:tc>
        <w:tc>
          <w:tcPr>
            <w:tcW w:w="1073" w:type="dxa"/>
            <w:tcBorders>
              <w:top w:val="nil"/>
              <w:bottom w:val="nil"/>
            </w:tcBorders>
            <w:vAlign w:val="center"/>
          </w:tcPr>
          <w:p w:rsidR="002654A6" w:rsidRPr="00261A05" w:rsidRDefault="00140E1E" w:rsidP="00133D34">
            <w:pPr>
              <w:ind w:right="42"/>
              <w:jc w:val="center"/>
            </w:pPr>
            <w:r>
              <w:t>-4,1</w:t>
            </w:r>
          </w:p>
        </w:tc>
        <w:tc>
          <w:tcPr>
            <w:tcW w:w="1138" w:type="dxa"/>
            <w:tcBorders>
              <w:top w:val="nil"/>
              <w:bottom w:val="nil"/>
            </w:tcBorders>
            <w:vAlign w:val="center"/>
          </w:tcPr>
          <w:p w:rsidR="002654A6" w:rsidRPr="00261A05" w:rsidRDefault="00140E1E" w:rsidP="00133D34">
            <w:pPr>
              <w:ind w:right="42"/>
              <w:jc w:val="center"/>
            </w:pPr>
            <w:r>
              <w:t>-4,1</w:t>
            </w:r>
          </w:p>
        </w:tc>
        <w:tc>
          <w:tcPr>
            <w:tcW w:w="1069" w:type="dxa"/>
            <w:tcBorders>
              <w:top w:val="nil"/>
              <w:bottom w:val="nil"/>
              <w:right w:val="double" w:sz="4" w:space="0" w:color="auto"/>
            </w:tcBorders>
            <w:vAlign w:val="center"/>
          </w:tcPr>
          <w:p w:rsidR="002654A6" w:rsidRPr="00261A05" w:rsidRDefault="00140E1E" w:rsidP="00133D34">
            <w:pPr>
              <w:ind w:right="42"/>
              <w:jc w:val="center"/>
            </w:pPr>
            <w:r>
              <w:t>-4,9</w:t>
            </w:r>
          </w:p>
        </w:tc>
        <w:tc>
          <w:tcPr>
            <w:tcW w:w="960" w:type="dxa"/>
            <w:tcBorders>
              <w:top w:val="nil"/>
              <w:left w:val="double" w:sz="4" w:space="0" w:color="auto"/>
              <w:bottom w:val="nil"/>
            </w:tcBorders>
            <w:vAlign w:val="center"/>
          </w:tcPr>
          <w:p w:rsidR="002654A6" w:rsidRPr="00261A05" w:rsidRDefault="00140E1E" w:rsidP="00133D34">
            <w:pPr>
              <w:ind w:right="42"/>
              <w:jc w:val="center"/>
            </w:pPr>
            <w:r>
              <w:t>1,0</w:t>
            </w:r>
          </w:p>
        </w:tc>
        <w:tc>
          <w:tcPr>
            <w:tcW w:w="960" w:type="dxa"/>
            <w:tcBorders>
              <w:top w:val="nil"/>
              <w:bottom w:val="nil"/>
            </w:tcBorders>
            <w:vAlign w:val="center"/>
          </w:tcPr>
          <w:p w:rsidR="002654A6" w:rsidRPr="00261A05" w:rsidRDefault="00140E1E" w:rsidP="00133D34">
            <w:pPr>
              <w:ind w:right="42"/>
              <w:jc w:val="center"/>
            </w:pPr>
            <w:r>
              <w:t>-8,2</w:t>
            </w:r>
          </w:p>
        </w:tc>
      </w:tr>
      <w:tr w:rsidR="002654A6" w:rsidTr="00786067">
        <w:trPr>
          <w:trHeight w:val="370"/>
        </w:trPr>
        <w:tc>
          <w:tcPr>
            <w:tcW w:w="3397" w:type="dxa"/>
            <w:tcBorders>
              <w:top w:val="nil"/>
            </w:tcBorders>
            <w:vAlign w:val="center"/>
          </w:tcPr>
          <w:p w:rsidR="002654A6" w:rsidRPr="00261A05" w:rsidRDefault="002654A6" w:rsidP="00133D34">
            <w:pPr>
              <w:ind w:right="42"/>
              <w:jc w:val="center"/>
            </w:pPr>
            <w:r w:rsidRPr="00261A05">
              <w:rPr>
                <w:sz w:val="22"/>
                <w:szCs w:val="22"/>
              </w:rPr>
              <w:t>Reel kesim güven endeksi</w:t>
            </w:r>
            <w:r w:rsidRPr="00944BB8">
              <w:rPr>
                <w:sz w:val="22"/>
                <w:szCs w:val="22"/>
                <w:vertAlign w:val="superscript"/>
              </w:rPr>
              <w:t>†</w:t>
            </w:r>
          </w:p>
        </w:tc>
        <w:tc>
          <w:tcPr>
            <w:tcW w:w="1098" w:type="dxa"/>
            <w:tcBorders>
              <w:top w:val="nil"/>
            </w:tcBorders>
            <w:vAlign w:val="center"/>
          </w:tcPr>
          <w:p w:rsidR="002654A6" w:rsidRPr="00261A05" w:rsidRDefault="00140E1E" w:rsidP="00133D34">
            <w:pPr>
              <w:ind w:right="42"/>
              <w:jc w:val="center"/>
            </w:pPr>
            <w:r>
              <w:t>2,7</w:t>
            </w:r>
          </w:p>
        </w:tc>
        <w:tc>
          <w:tcPr>
            <w:tcW w:w="925" w:type="dxa"/>
            <w:tcBorders>
              <w:top w:val="nil"/>
            </w:tcBorders>
            <w:vAlign w:val="center"/>
          </w:tcPr>
          <w:p w:rsidR="002654A6" w:rsidRPr="00261A05" w:rsidRDefault="00140E1E" w:rsidP="00133D34">
            <w:pPr>
              <w:ind w:right="42"/>
              <w:jc w:val="center"/>
            </w:pPr>
            <w:r>
              <w:t>-0,4</w:t>
            </w:r>
          </w:p>
        </w:tc>
        <w:tc>
          <w:tcPr>
            <w:tcW w:w="1073" w:type="dxa"/>
            <w:tcBorders>
              <w:top w:val="nil"/>
            </w:tcBorders>
            <w:vAlign w:val="center"/>
          </w:tcPr>
          <w:p w:rsidR="002654A6" w:rsidRPr="00261A05" w:rsidRDefault="00140E1E" w:rsidP="00133D34">
            <w:pPr>
              <w:ind w:right="42"/>
              <w:jc w:val="center"/>
            </w:pPr>
            <w:r>
              <w:t>-0,6</w:t>
            </w:r>
          </w:p>
        </w:tc>
        <w:tc>
          <w:tcPr>
            <w:tcW w:w="1138" w:type="dxa"/>
            <w:tcBorders>
              <w:top w:val="nil"/>
            </w:tcBorders>
            <w:vAlign w:val="center"/>
          </w:tcPr>
          <w:p w:rsidR="002654A6" w:rsidRPr="00261A05" w:rsidRDefault="00140E1E" w:rsidP="00133D34">
            <w:pPr>
              <w:ind w:right="42"/>
              <w:jc w:val="center"/>
            </w:pPr>
            <w:r>
              <w:t>-5,6</w:t>
            </w:r>
          </w:p>
        </w:tc>
        <w:tc>
          <w:tcPr>
            <w:tcW w:w="1069" w:type="dxa"/>
            <w:tcBorders>
              <w:top w:val="nil"/>
              <w:right w:val="double" w:sz="4" w:space="0" w:color="auto"/>
            </w:tcBorders>
            <w:vAlign w:val="center"/>
          </w:tcPr>
          <w:p w:rsidR="002654A6" w:rsidRPr="00261A05" w:rsidRDefault="00140E1E" w:rsidP="00133D34">
            <w:pPr>
              <w:ind w:right="42"/>
              <w:jc w:val="center"/>
            </w:pPr>
            <w:r>
              <w:t>0,4</w:t>
            </w:r>
          </w:p>
        </w:tc>
        <w:tc>
          <w:tcPr>
            <w:tcW w:w="960" w:type="dxa"/>
            <w:tcBorders>
              <w:top w:val="nil"/>
              <w:left w:val="double" w:sz="4" w:space="0" w:color="auto"/>
            </w:tcBorders>
            <w:vAlign w:val="center"/>
          </w:tcPr>
          <w:p w:rsidR="002654A6" w:rsidRPr="00261A05" w:rsidRDefault="00F92104" w:rsidP="00133D34">
            <w:pPr>
              <w:ind w:right="42"/>
              <w:jc w:val="center"/>
            </w:pPr>
            <w:r>
              <w:t>3,8</w:t>
            </w:r>
          </w:p>
        </w:tc>
        <w:tc>
          <w:tcPr>
            <w:tcW w:w="960" w:type="dxa"/>
            <w:tcBorders>
              <w:top w:val="nil"/>
            </w:tcBorders>
            <w:vAlign w:val="center"/>
          </w:tcPr>
          <w:p w:rsidR="002654A6" w:rsidRPr="00261A05" w:rsidRDefault="00F92104" w:rsidP="00133D34">
            <w:pPr>
              <w:ind w:right="42"/>
              <w:jc w:val="center"/>
            </w:pPr>
            <w:r>
              <w:t>-6.0</w:t>
            </w:r>
          </w:p>
        </w:tc>
      </w:tr>
      <w:tr w:rsidR="002654A6" w:rsidTr="00786067">
        <w:trPr>
          <w:trHeight w:val="370"/>
        </w:trPr>
        <w:tc>
          <w:tcPr>
            <w:tcW w:w="3397" w:type="dxa"/>
            <w:tcBorders>
              <w:bottom w:val="nil"/>
            </w:tcBorders>
            <w:vAlign w:val="center"/>
          </w:tcPr>
          <w:p w:rsidR="002654A6" w:rsidRPr="00261A05" w:rsidRDefault="002654A6" w:rsidP="00133D34">
            <w:pPr>
              <w:ind w:right="42"/>
              <w:jc w:val="center"/>
              <w:rPr>
                <w:b/>
                <w:bCs/>
              </w:rPr>
            </w:pPr>
            <w:r w:rsidRPr="00261A05">
              <w:rPr>
                <w:b/>
                <w:bCs/>
                <w:sz w:val="22"/>
                <w:szCs w:val="22"/>
              </w:rPr>
              <w:t>Finansal göstergeler</w:t>
            </w:r>
          </w:p>
        </w:tc>
        <w:tc>
          <w:tcPr>
            <w:tcW w:w="1098" w:type="dxa"/>
            <w:tcBorders>
              <w:bottom w:val="nil"/>
            </w:tcBorders>
            <w:vAlign w:val="center"/>
          </w:tcPr>
          <w:p w:rsidR="002654A6" w:rsidRPr="00261A05" w:rsidRDefault="002654A6" w:rsidP="00133D34">
            <w:pPr>
              <w:ind w:right="42"/>
              <w:jc w:val="center"/>
            </w:pPr>
          </w:p>
        </w:tc>
        <w:tc>
          <w:tcPr>
            <w:tcW w:w="925" w:type="dxa"/>
            <w:tcBorders>
              <w:bottom w:val="nil"/>
            </w:tcBorders>
            <w:vAlign w:val="center"/>
          </w:tcPr>
          <w:p w:rsidR="002654A6" w:rsidRPr="00261A05" w:rsidRDefault="002654A6" w:rsidP="00133D34">
            <w:pPr>
              <w:ind w:right="42"/>
              <w:jc w:val="center"/>
              <w:rPr>
                <w:b/>
                <w:bCs/>
              </w:rPr>
            </w:pPr>
          </w:p>
        </w:tc>
        <w:tc>
          <w:tcPr>
            <w:tcW w:w="1073" w:type="dxa"/>
            <w:tcBorders>
              <w:bottom w:val="nil"/>
            </w:tcBorders>
            <w:vAlign w:val="center"/>
          </w:tcPr>
          <w:p w:rsidR="002654A6" w:rsidRPr="00261A05" w:rsidRDefault="002654A6" w:rsidP="00133D34">
            <w:pPr>
              <w:ind w:right="42"/>
              <w:jc w:val="center"/>
              <w:rPr>
                <w:b/>
                <w:bCs/>
              </w:rPr>
            </w:pPr>
          </w:p>
        </w:tc>
        <w:tc>
          <w:tcPr>
            <w:tcW w:w="1138" w:type="dxa"/>
            <w:tcBorders>
              <w:bottom w:val="nil"/>
            </w:tcBorders>
            <w:vAlign w:val="center"/>
          </w:tcPr>
          <w:p w:rsidR="002654A6" w:rsidRPr="00261A05" w:rsidRDefault="002654A6" w:rsidP="00133D34">
            <w:pPr>
              <w:ind w:right="42"/>
              <w:jc w:val="center"/>
              <w:rPr>
                <w:b/>
                <w:bCs/>
              </w:rPr>
            </w:pPr>
          </w:p>
        </w:tc>
        <w:tc>
          <w:tcPr>
            <w:tcW w:w="1069" w:type="dxa"/>
            <w:tcBorders>
              <w:bottom w:val="nil"/>
              <w:right w:val="double" w:sz="4" w:space="0" w:color="auto"/>
            </w:tcBorders>
            <w:vAlign w:val="center"/>
          </w:tcPr>
          <w:p w:rsidR="002654A6" w:rsidRPr="00261A05" w:rsidRDefault="002654A6" w:rsidP="00133D34">
            <w:pPr>
              <w:ind w:right="42"/>
              <w:jc w:val="center"/>
              <w:rPr>
                <w:b/>
                <w:bCs/>
              </w:rPr>
            </w:pPr>
          </w:p>
        </w:tc>
        <w:tc>
          <w:tcPr>
            <w:tcW w:w="960" w:type="dxa"/>
            <w:tcBorders>
              <w:left w:val="double" w:sz="4" w:space="0" w:color="auto"/>
              <w:bottom w:val="nil"/>
            </w:tcBorders>
            <w:vAlign w:val="center"/>
          </w:tcPr>
          <w:p w:rsidR="002654A6" w:rsidRPr="00261A05" w:rsidRDefault="002654A6" w:rsidP="00133D34">
            <w:pPr>
              <w:ind w:right="42"/>
              <w:jc w:val="center"/>
              <w:rPr>
                <w:b/>
                <w:bCs/>
              </w:rPr>
            </w:pPr>
          </w:p>
        </w:tc>
        <w:tc>
          <w:tcPr>
            <w:tcW w:w="960" w:type="dxa"/>
            <w:tcBorders>
              <w:bottom w:val="nil"/>
            </w:tcBorders>
            <w:vAlign w:val="center"/>
          </w:tcPr>
          <w:p w:rsidR="002654A6" w:rsidRPr="00261A05" w:rsidRDefault="002654A6" w:rsidP="00133D34">
            <w:pPr>
              <w:ind w:right="42"/>
              <w:jc w:val="center"/>
              <w:rPr>
                <w:b/>
                <w:bCs/>
              </w:rPr>
            </w:pPr>
          </w:p>
        </w:tc>
      </w:tr>
      <w:tr w:rsidR="00786067" w:rsidTr="00786067">
        <w:trPr>
          <w:trHeight w:val="370"/>
        </w:trPr>
        <w:tc>
          <w:tcPr>
            <w:tcW w:w="3397" w:type="dxa"/>
            <w:tcBorders>
              <w:top w:val="nil"/>
            </w:tcBorders>
            <w:vAlign w:val="center"/>
          </w:tcPr>
          <w:p w:rsidR="00786067" w:rsidRPr="00261A05" w:rsidRDefault="00786067" w:rsidP="00133D34">
            <w:pPr>
              <w:ind w:right="42"/>
              <w:jc w:val="center"/>
            </w:pPr>
            <w:r>
              <w:rPr>
                <w:sz w:val="22"/>
                <w:szCs w:val="22"/>
              </w:rPr>
              <w:t>BİST</w:t>
            </w:r>
            <w:r w:rsidRPr="00261A05">
              <w:rPr>
                <w:sz w:val="22"/>
                <w:szCs w:val="22"/>
              </w:rPr>
              <w:t xml:space="preserve"> 100</w:t>
            </w:r>
          </w:p>
        </w:tc>
        <w:tc>
          <w:tcPr>
            <w:tcW w:w="1098" w:type="dxa"/>
            <w:tcBorders>
              <w:top w:val="nil"/>
            </w:tcBorders>
            <w:vAlign w:val="center"/>
          </w:tcPr>
          <w:p w:rsidR="00786067" w:rsidRPr="00261A05" w:rsidRDefault="00786067" w:rsidP="00133D34">
            <w:pPr>
              <w:ind w:right="42"/>
              <w:jc w:val="center"/>
            </w:pPr>
            <w:r>
              <w:t>4,0</w:t>
            </w:r>
          </w:p>
        </w:tc>
        <w:tc>
          <w:tcPr>
            <w:tcW w:w="925" w:type="dxa"/>
            <w:tcBorders>
              <w:top w:val="nil"/>
            </w:tcBorders>
            <w:vAlign w:val="center"/>
          </w:tcPr>
          <w:p w:rsidR="00786067" w:rsidRPr="00261A05" w:rsidRDefault="00786067" w:rsidP="00BF7550">
            <w:pPr>
              <w:ind w:right="42"/>
              <w:jc w:val="center"/>
            </w:pPr>
            <w:r>
              <w:t>-3,0</w:t>
            </w:r>
          </w:p>
        </w:tc>
        <w:tc>
          <w:tcPr>
            <w:tcW w:w="1073" w:type="dxa"/>
            <w:tcBorders>
              <w:top w:val="nil"/>
            </w:tcBorders>
            <w:vAlign w:val="center"/>
          </w:tcPr>
          <w:p w:rsidR="00786067" w:rsidRPr="00261A05" w:rsidRDefault="00786067" w:rsidP="00BF7550">
            <w:pPr>
              <w:ind w:right="42"/>
              <w:jc w:val="center"/>
            </w:pPr>
            <w:r>
              <w:t>-5,7</w:t>
            </w:r>
          </w:p>
        </w:tc>
        <w:tc>
          <w:tcPr>
            <w:tcW w:w="1138" w:type="dxa"/>
            <w:tcBorders>
              <w:top w:val="nil"/>
            </w:tcBorders>
            <w:vAlign w:val="center"/>
          </w:tcPr>
          <w:p w:rsidR="00786067" w:rsidRPr="00261A05" w:rsidRDefault="00786067" w:rsidP="00BF7550">
            <w:pPr>
              <w:ind w:right="42"/>
              <w:jc w:val="center"/>
            </w:pPr>
            <w:r>
              <w:t>-8,7</w:t>
            </w:r>
          </w:p>
        </w:tc>
        <w:tc>
          <w:tcPr>
            <w:tcW w:w="1069" w:type="dxa"/>
            <w:tcBorders>
              <w:top w:val="nil"/>
              <w:right w:val="double" w:sz="4" w:space="0" w:color="auto"/>
            </w:tcBorders>
            <w:vAlign w:val="center"/>
          </w:tcPr>
          <w:p w:rsidR="00786067" w:rsidRPr="00261A05" w:rsidRDefault="00786067" w:rsidP="00BF7550">
            <w:pPr>
              <w:ind w:right="42"/>
              <w:jc w:val="center"/>
            </w:pPr>
            <w:r>
              <w:t>-4,2</w:t>
            </w:r>
          </w:p>
        </w:tc>
        <w:tc>
          <w:tcPr>
            <w:tcW w:w="960" w:type="dxa"/>
            <w:tcBorders>
              <w:top w:val="nil"/>
              <w:left w:val="double" w:sz="4" w:space="0" w:color="auto"/>
            </w:tcBorders>
            <w:vAlign w:val="center"/>
          </w:tcPr>
          <w:p w:rsidR="00786067" w:rsidRPr="00261A05" w:rsidRDefault="00786067" w:rsidP="00133D34">
            <w:pPr>
              <w:ind w:right="42"/>
              <w:jc w:val="center"/>
            </w:pPr>
            <w:r>
              <w:t>-0,6</w:t>
            </w:r>
          </w:p>
        </w:tc>
        <w:tc>
          <w:tcPr>
            <w:tcW w:w="960" w:type="dxa"/>
            <w:tcBorders>
              <w:top w:val="nil"/>
            </w:tcBorders>
            <w:vAlign w:val="center"/>
          </w:tcPr>
          <w:p w:rsidR="00786067" w:rsidRPr="00261A05" w:rsidRDefault="00786067" w:rsidP="00133D34">
            <w:pPr>
              <w:ind w:right="42"/>
              <w:jc w:val="center"/>
            </w:pPr>
            <w:r>
              <w:t>-14,9</w:t>
            </w:r>
          </w:p>
        </w:tc>
      </w:tr>
      <w:tr w:rsidR="00786067" w:rsidTr="00786067">
        <w:trPr>
          <w:trHeight w:val="370"/>
        </w:trPr>
        <w:tc>
          <w:tcPr>
            <w:tcW w:w="3397" w:type="dxa"/>
            <w:tcBorders>
              <w:bottom w:val="nil"/>
            </w:tcBorders>
            <w:vAlign w:val="center"/>
          </w:tcPr>
          <w:p w:rsidR="00786067" w:rsidRPr="00261A05" w:rsidRDefault="00786067" w:rsidP="00133D34">
            <w:pPr>
              <w:ind w:right="42"/>
              <w:jc w:val="center"/>
              <w:rPr>
                <w:b/>
                <w:bCs/>
              </w:rPr>
            </w:pPr>
            <w:r w:rsidRPr="00261A05">
              <w:rPr>
                <w:b/>
                <w:bCs/>
                <w:sz w:val="22"/>
                <w:szCs w:val="22"/>
              </w:rPr>
              <w:t>Diğerleri</w:t>
            </w:r>
          </w:p>
        </w:tc>
        <w:tc>
          <w:tcPr>
            <w:tcW w:w="1098" w:type="dxa"/>
            <w:tcBorders>
              <w:bottom w:val="nil"/>
            </w:tcBorders>
            <w:vAlign w:val="center"/>
          </w:tcPr>
          <w:p w:rsidR="00786067" w:rsidRPr="00261A05" w:rsidRDefault="00786067" w:rsidP="00133D34">
            <w:pPr>
              <w:ind w:right="42"/>
              <w:jc w:val="center"/>
            </w:pPr>
          </w:p>
        </w:tc>
        <w:tc>
          <w:tcPr>
            <w:tcW w:w="925" w:type="dxa"/>
            <w:tcBorders>
              <w:bottom w:val="nil"/>
            </w:tcBorders>
            <w:vAlign w:val="center"/>
          </w:tcPr>
          <w:p w:rsidR="00786067" w:rsidRPr="00261A05" w:rsidRDefault="00786067" w:rsidP="00133D34">
            <w:pPr>
              <w:ind w:right="42"/>
              <w:jc w:val="center"/>
            </w:pPr>
          </w:p>
        </w:tc>
        <w:tc>
          <w:tcPr>
            <w:tcW w:w="1073" w:type="dxa"/>
            <w:tcBorders>
              <w:bottom w:val="nil"/>
            </w:tcBorders>
            <w:vAlign w:val="center"/>
          </w:tcPr>
          <w:p w:rsidR="00786067" w:rsidRPr="00261A05" w:rsidRDefault="00786067" w:rsidP="00133D34">
            <w:pPr>
              <w:ind w:right="42"/>
              <w:jc w:val="center"/>
            </w:pPr>
          </w:p>
        </w:tc>
        <w:tc>
          <w:tcPr>
            <w:tcW w:w="1138" w:type="dxa"/>
            <w:tcBorders>
              <w:bottom w:val="nil"/>
            </w:tcBorders>
            <w:vAlign w:val="center"/>
          </w:tcPr>
          <w:p w:rsidR="00786067" w:rsidRPr="00261A05" w:rsidRDefault="00786067" w:rsidP="00133D34">
            <w:pPr>
              <w:ind w:right="42"/>
              <w:jc w:val="center"/>
            </w:pPr>
          </w:p>
        </w:tc>
        <w:tc>
          <w:tcPr>
            <w:tcW w:w="1069" w:type="dxa"/>
            <w:tcBorders>
              <w:bottom w:val="nil"/>
              <w:right w:val="double" w:sz="4" w:space="0" w:color="auto"/>
            </w:tcBorders>
            <w:vAlign w:val="center"/>
          </w:tcPr>
          <w:p w:rsidR="00786067" w:rsidRPr="00261A05" w:rsidRDefault="00786067" w:rsidP="00133D34">
            <w:pPr>
              <w:ind w:right="42"/>
              <w:jc w:val="center"/>
            </w:pPr>
          </w:p>
        </w:tc>
        <w:tc>
          <w:tcPr>
            <w:tcW w:w="960" w:type="dxa"/>
            <w:tcBorders>
              <w:left w:val="double" w:sz="4" w:space="0" w:color="auto"/>
              <w:bottom w:val="nil"/>
            </w:tcBorders>
            <w:vAlign w:val="center"/>
          </w:tcPr>
          <w:p w:rsidR="00786067" w:rsidRPr="00261A05" w:rsidRDefault="00786067" w:rsidP="00133D34">
            <w:pPr>
              <w:ind w:right="42"/>
              <w:jc w:val="center"/>
            </w:pPr>
          </w:p>
        </w:tc>
        <w:tc>
          <w:tcPr>
            <w:tcW w:w="960" w:type="dxa"/>
            <w:tcBorders>
              <w:bottom w:val="nil"/>
            </w:tcBorders>
            <w:vAlign w:val="center"/>
          </w:tcPr>
          <w:p w:rsidR="00786067" w:rsidRPr="00261A05" w:rsidRDefault="00786067" w:rsidP="00133D34">
            <w:pPr>
              <w:ind w:right="42"/>
              <w:jc w:val="center"/>
            </w:pPr>
          </w:p>
        </w:tc>
      </w:tr>
      <w:tr w:rsidR="00786067" w:rsidTr="00786067">
        <w:trPr>
          <w:trHeight w:val="370"/>
        </w:trPr>
        <w:tc>
          <w:tcPr>
            <w:tcW w:w="3397" w:type="dxa"/>
            <w:tcBorders>
              <w:top w:val="nil"/>
              <w:bottom w:val="nil"/>
            </w:tcBorders>
            <w:vAlign w:val="center"/>
          </w:tcPr>
          <w:p w:rsidR="00786067" w:rsidRPr="00261A05" w:rsidRDefault="00786067" w:rsidP="00133D34">
            <w:pPr>
              <w:ind w:right="42"/>
              <w:jc w:val="center"/>
            </w:pPr>
            <w:r w:rsidRPr="00261A05">
              <w:rPr>
                <w:sz w:val="22"/>
                <w:szCs w:val="22"/>
              </w:rPr>
              <w:t>Özel tüketim vergisi (ÖTV)</w:t>
            </w:r>
          </w:p>
        </w:tc>
        <w:tc>
          <w:tcPr>
            <w:tcW w:w="1098" w:type="dxa"/>
            <w:tcBorders>
              <w:top w:val="nil"/>
              <w:bottom w:val="nil"/>
            </w:tcBorders>
            <w:vAlign w:val="center"/>
          </w:tcPr>
          <w:p w:rsidR="00786067" w:rsidRPr="00261A05" w:rsidRDefault="00786067" w:rsidP="00133D34">
            <w:pPr>
              <w:ind w:right="42"/>
              <w:jc w:val="center"/>
            </w:pPr>
            <w:r>
              <w:t>-3,4</w:t>
            </w:r>
          </w:p>
        </w:tc>
        <w:tc>
          <w:tcPr>
            <w:tcW w:w="925" w:type="dxa"/>
            <w:tcBorders>
              <w:top w:val="nil"/>
              <w:bottom w:val="nil"/>
            </w:tcBorders>
            <w:vAlign w:val="center"/>
          </w:tcPr>
          <w:p w:rsidR="00786067" w:rsidRPr="00261A05" w:rsidRDefault="00786067" w:rsidP="00133D34">
            <w:pPr>
              <w:ind w:right="42"/>
              <w:jc w:val="center"/>
            </w:pPr>
            <w:r>
              <w:t>0,4</w:t>
            </w:r>
          </w:p>
        </w:tc>
        <w:tc>
          <w:tcPr>
            <w:tcW w:w="1073" w:type="dxa"/>
            <w:tcBorders>
              <w:top w:val="nil"/>
              <w:bottom w:val="nil"/>
            </w:tcBorders>
            <w:vAlign w:val="center"/>
          </w:tcPr>
          <w:p w:rsidR="00786067" w:rsidRPr="00261A05" w:rsidRDefault="00786067" w:rsidP="00133D34">
            <w:pPr>
              <w:ind w:right="42"/>
              <w:jc w:val="center"/>
            </w:pPr>
            <w:r>
              <w:t>1,3</w:t>
            </w:r>
          </w:p>
        </w:tc>
        <w:tc>
          <w:tcPr>
            <w:tcW w:w="1138" w:type="dxa"/>
            <w:tcBorders>
              <w:top w:val="nil"/>
              <w:bottom w:val="nil"/>
            </w:tcBorders>
            <w:vAlign w:val="center"/>
          </w:tcPr>
          <w:p w:rsidR="00786067" w:rsidRPr="00261A05" w:rsidRDefault="00786067" w:rsidP="00133D34">
            <w:pPr>
              <w:ind w:right="42"/>
              <w:jc w:val="center"/>
            </w:pPr>
            <w:r>
              <w:t>-0,4</w:t>
            </w:r>
          </w:p>
        </w:tc>
        <w:tc>
          <w:tcPr>
            <w:tcW w:w="1069" w:type="dxa"/>
            <w:tcBorders>
              <w:top w:val="nil"/>
              <w:bottom w:val="nil"/>
              <w:right w:val="double" w:sz="4" w:space="0" w:color="auto"/>
            </w:tcBorders>
            <w:vAlign w:val="center"/>
          </w:tcPr>
          <w:p w:rsidR="00786067" w:rsidRPr="00261A05" w:rsidRDefault="00786067" w:rsidP="00133D34">
            <w:pPr>
              <w:ind w:right="42"/>
              <w:jc w:val="center"/>
            </w:pPr>
            <w:r>
              <w:t>**</w:t>
            </w:r>
          </w:p>
        </w:tc>
        <w:tc>
          <w:tcPr>
            <w:tcW w:w="960" w:type="dxa"/>
            <w:tcBorders>
              <w:top w:val="nil"/>
              <w:left w:val="double" w:sz="4" w:space="0" w:color="auto"/>
              <w:bottom w:val="nil"/>
            </w:tcBorders>
            <w:vAlign w:val="center"/>
          </w:tcPr>
          <w:p w:rsidR="00786067" w:rsidRPr="00261A05" w:rsidRDefault="00786067" w:rsidP="00133D34">
            <w:pPr>
              <w:ind w:right="42"/>
              <w:jc w:val="center"/>
            </w:pPr>
            <w:r>
              <w:t>-2,1</w:t>
            </w:r>
          </w:p>
        </w:tc>
        <w:tc>
          <w:tcPr>
            <w:tcW w:w="960" w:type="dxa"/>
            <w:tcBorders>
              <w:top w:val="nil"/>
              <w:bottom w:val="nil"/>
            </w:tcBorders>
            <w:vAlign w:val="center"/>
          </w:tcPr>
          <w:p w:rsidR="00786067" w:rsidRPr="00261A05" w:rsidRDefault="00786067" w:rsidP="00133D34">
            <w:pPr>
              <w:ind w:right="42"/>
              <w:jc w:val="center"/>
            </w:pPr>
            <w:r>
              <w:t>0,6</w:t>
            </w:r>
          </w:p>
        </w:tc>
      </w:tr>
      <w:tr w:rsidR="00786067" w:rsidTr="00786067">
        <w:trPr>
          <w:trHeight w:val="370"/>
        </w:trPr>
        <w:tc>
          <w:tcPr>
            <w:tcW w:w="3397" w:type="dxa"/>
            <w:tcBorders>
              <w:top w:val="nil"/>
              <w:bottom w:val="nil"/>
            </w:tcBorders>
            <w:vAlign w:val="center"/>
          </w:tcPr>
          <w:p w:rsidR="00786067" w:rsidRPr="00261A05" w:rsidRDefault="00786067" w:rsidP="00133D34">
            <w:pPr>
              <w:ind w:right="42"/>
              <w:jc w:val="center"/>
            </w:pPr>
            <w:r w:rsidRPr="00261A05">
              <w:rPr>
                <w:sz w:val="22"/>
                <w:szCs w:val="22"/>
              </w:rPr>
              <w:t>Binek otomobil üretimi</w:t>
            </w:r>
          </w:p>
        </w:tc>
        <w:tc>
          <w:tcPr>
            <w:tcW w:w="1098" w:type="dxa"/>
            <w:tcBorders>
              <w:top w:val="nil"/>
              <w:bottom w:val="nil"/>
            </w:tcBorders>
            <w:vAlign w:val="center"/>
          </w:tcPr>
          <w:p w:rsidR="00786067" w:rsidRPr="00261A05" w:rsidRDefault="00786067" w:rsidP="00133D34">
            <w:pPr>
              <w:ind w:right="42"/>
              <w:jc w:val="center"/>
            </w:pPr>
            <w:r>
              <w:t>-0,4</w:t>
            </w:r>
          </w:p>
        </w:tc>
        <w:tc>
          <w:tcPr>
            <w:tcW w:w="925" w:type="dxa"/>
            <w:tcBorders>
              <w:top w:val="nil"/>
              <w:bottom w:val="nil"/>
            </w:tcBorders>
            <w:vAlign w:val="center"/>
          </w:tcPr>
          <w:p w:rsidR="00786067" w:rsidRPr="00261A05" w:rsidRDefault="00786067" w:rsidP="00133D34">
            <w:pPr>
              <w:ind w:right="42"/>
              <w:jc w:val="center"/>
            </w:pPr>
            <w:r>
              <w:t>2,6</w:t>
            </w:r>
          </w:p>
        </w:tc>
        <w:tc>
          <w:tcPr>
            <w:tcW w:w="1073" w:type="dxa"/>
            <w:tcBorders>
              <w:top w:val="nil"/>
              <w:bottom w:val="nil"/>
            </w:tcBorders>
            <w:vAlign w:val="center"/>
          </w:tcPr>
          <w:p w:rsidR="00786067" w:rsidRPr="00261A05" w:rsidRDefault="00786067" w:rsidP="00133D34">
            <w:pPr>
              <w:ind w:right="42"/>
              <w:jc w:val="center"/>
            </w:pPr>
            <w:r>
              <w:t>-8,5</w:t>
            </w:r>
          </w:p>
        </w:tc>
        <w:tc>
          <w:tcPr>
            <w:tcW w:w="1138" w:type="dxa"/>
            <w:tcBorders>
              <w:top w:val="nil"/>
              <w:bottom w:val="nil"/>
            </w:tcBorders>
            <w:vAlign w:val="center"/>
          </w:tcPr>
          <w:p w:rsidR="00786067" w:rsidRPr="00261A05" w:rsidRDefault="00786067" w:rsidP="00133D34">
            <w:pPr>
              <w:ind w:right="42"/>
              <w:jc w:val="center"/>
            </w:pPr>
            <w:r>
              <w:t>14,3</w:t>
            </w:r>
          </w:p>
        </w:tc>
        <w:tc>
          <w:tcPr>
            <w:tcW w:w="1069" w:type="dxa"/>
            <w:tcBorders>
              <w:top w:val="nil"/>
              <w:bottom w:val="nil"/>
              <w:right w:val="double" w:sz="4" w:space="0" w:color="auto"/>
            </w:tcBorders>
            <w:vAlign w:val="center"/>
          </w:tcPr>
          <w:p w:rsidR="00786067" w:rsidRPr="00261A05" w:rsidRDefault="00786067" w:rsidP="00133D34">
            <w:pPr>
              <w:ind w:right="42"/>
              <w:jc w:val="center"/>
            </w:pPr>
            <w:r>
              <w:t>-9,5</w:t>
            </w:r>
          </w:p>
        </w:tc>
        <w:tc>
          <w:tcPr>
            <w:tcW w:w="960" w:type="dxa"/>
            <w:tcBorders>
              <w:top w:val="nil"/>
              <w:left w:val="double" w:sz="4" w:space="0" w:color="auto"/>
              <w:bottom w:val="nil"/>
            </w:tcBorders>
            <w:vAlign w:val="center"/>
          </w:tcPr>
          <w:p w:rsidR="00786067" w:rsidRPr="00261A05" w:rsidRDefault="00786067" w:rsidP="00133D34">
            <w:pPr>
              <w:ind w:right="42"/>
              <w:jc w:val="center"/>
            </w:pPr>
            <w:r>
              <w:t>-5,4</w:t>
            </w:r>
          </w:p>
        </w:tc>
        <w:tc>
          <w:tcPr>
            <w:tcW w:w="960" w:type="dxa"/>
            <w:tcBorders>
              <w:top w:val="nil"/>
              <w:bottom w:val="nil"/>
            </w:tcBorders>
            <w:vAlign w:val="center"/>
          </w:tcPr>
          <w:p w:rsidR="00786067" w:rsidRPr="00261A05" w:rsidRDefault="00786067" w:rsidP="00133D34">
            <w:pPr>
              <w:ind w:right="42"/>
              <w:jc w:val="center"/>
            </w:pPr>
            <w:r>
              <w:t>3,5</w:t>
            </w:r>
          </w:p>
        </w:tc>
      </w:tr>
      <w:tr w:rsidR="00786067" w:rsidTr="00786067">
        <w:trPr>
          <w:trHeight w:val="370"/>
        </w:trPr>
        <w:tc>
          <w:tcPr>
            <w:tcW w:w="3397" w:type="dxa"/>
            <w:tcBorders>
              <w:top w:val="nil"/>
            </w:tcBorders>
            <w:vAlign w:val="center"/>
          </w:tcPr>
          <w:p w:rsidR="00786067" w:rsidRPr="00261A05" w:rsidRDefault="00786067" w:rsidP="00133D34">
            <w:pPr>
              <w:ind w:right="42"/>
              <w:jc w:val="center"/>
            </w:pPr>
            <w:r w:rsidRPr="00261A05">
              <w:rPr>
                <w:sz w:val="22"/>
                <w:szCs w:val="22"/>
              </w:rPr>
              <w:t>Binek olmayan otomobil üretimi</w:t>
            </w:r>
          </w:p>
        </w:tc>
        <w:tc>
          <w:tcPr>
            <w:tcW w:w="1098" w:type="dxa"/>
            <w:tcBorders>
              <w:top w:val="nil"/>
            </w:tcBorders>
            <w:vAlign w:val="center"/>
          </w:tcPr>
          <w:p w:rsidR="00786067" w:rsidRPr="00261A05" w:rsidRDefault="00786067" w:rsidP="00133D34">
            <w:pPr>
              <w:ind w:right="42"/>
              <w:jc w:val="center"/>
            </w:pPr>
            <w:r>
              <w:t>-5,8</w:t>
            </w:r>
          </w:p>
        </w:tc>
        <w:tc>
          <w:tcPr>
            <w:tcW w:w="925" w:type="dxa"/>
            <w:tcBorders>
              <w:top w:val="nil"/>
            </w:tcBorders>
            <w:vAlign w:val="center"/>
          </w:tcPr>
          <w:p w:rsidR="00786067" w:rsidRPr="00261A05" w:rsidRDefault="00786067" w:rsidP="00133D34">
            <w:pPr>
              <w:ind w:right="42"/>
              <w:jc w:val="center"/>
            </w:pPr>
            <w:r>
              <w:t>2,1</w:t>
            </w:r>
          </w:p>
        </w:tc>
        <w:tc>
          <w:tcPr>
            <w:tcW w:w="1073" w:type="dxa"/>
            <w:tcBorders>
              <w:top w:val="nil"/>
            </w:tcBorders>
            <w:vAlign w:val="center"/>
          </w:tcPr>
          <w:p w:rsidR="00786067" w:rsidRPr="00261A05" w:rsidRDefault="00786067" w:rsidP="00133D34">
            <w:pPr>
              <w:ind w:right="42"/>
              <w:jc w:val="center"/>
            </w:pPr>
            <w:r>
              <w:t>-20,4</w:t>
            </w:r>
          </w:p>
        </w:tc>
        <w:tc>
          <w:tcPr>
            <w:tcW w:w="1138" w:type="dxa"/>
            <w:tcBorders>
              <w:top w:val="nil"/>
            </w:tcBorders>
            <w:vAlign w:val="center"/>
          </w:tcPr>
          <w:p w:rsidR="00786067" w:rsidRPr="00261A05" w:rsidRDefault="00786067" w:rsidP="00133D34">
            <w:pPr>
              <w:ind w:right="42"/>
              <w:jc w:val="center"/>
            </w:pPr>
            <w:r>
              <w:t>-7,3</w:t>
            </w:r>
          </w:p>
        </w:tc>
        <w:tc>
          <w:tcPr>
            <w:tcW w:w="1069" w:type="dxa"/>
            <w:tcBorders>
              <w:top w:val="nil"/>
              <w:right w:val="double" w:sz="4" w:space="0" w:color="auto"/>
            </w:tcBorders>
            <w:vAlign w:val="center"/>
          </w:tcPr>
          <w:p w:rsidR="00786067" w:rsidRPr="00261A05" w:rsidRDefault="00786067" w:rsidP="00133D34">
            <w:pPr>
              <w:ind w:right="42"/>
              <w:jc w:val="center"/>
            </w:pPr>
            <w:r>
              <w:t>14,9</w:t>
            </w:r>
          </w:p>
        </w:tc>
        <w:tc>
          <w:tcPr>
            <w:tcW w:w="960" w:type="dxa"/>
            <w:tcBorders>
              <w:top w:val="nil"/>
              <w:left w:val="double" w:sz="4" w:space="0" w:color="auto"/>
            </w:tcBorders>
            <w:vAlign w:val="center"/>
          </w:tcPr>
          <w:p w:rsidR="00786067" w:rsidRPr="00261A05" w:rsidRDefault="00786067" w:rsidP="00133D34">
            <w:pPr>
              <w:ind w:right="42"/>
              <w:jc w:val="center"/>
            </w:pPr>
            <w:r>
              <w:t>-6,4</w:t>
            </w:r>
          </w:p>
        </w:tc>
        <w:tc>
          <w:tcPr>
            <w:tcW w:w="960" w:type="dxa"/>
            <w:tcBorders>
              <w:top w:val="nil"/>
            </w:tcBorders>
            <w:vAlign w:val="center"/>
          </w:tcPr>
          <w:p w:rsidR="00786067" w:rsidRPr="00261A05" w:rsidRDefault="00786067" w:rsidP="00133D34">
            <w:pPr>
              <w:ind w:right="42"/>
              <w:jc w:val="center"/>
            </w:pPr>
            <w:r>
              <w:t>-14,3</w:t>
            </w:r>
          </w:p>
        </w:tc>
      </w:tr>
    </w:tbl>
    <w:p w:rsidR="00392A7C" w:rsidRDefault="00392A7C" w:rsidP="00392A7C">
      <w:pPr>
        <w:ind w:left="-720" w:right="43" w:firstLine="360"/>
        <w:jc w:val="both"/>
        <w:rPr>
          <w:sz w:val="18"/>
          <w:szCs w:val="18"/>
        </w:rPr>
      </w:pPr>
      <w:r>
        <w:rPr>
          <w:sz w:val="18"/>
          <w:szCs w:val="18"/>
        </w:rPr>
        <w:t>Kaynak: TÜİK</w:t>
      </w:r>
      <w:r w:rsidRPr="008C6E50">
        <w:rPr>
          <w:sz w:val="18"/>
          <w:szCs w:val="18"/>
        </w:rPr>
        <w:t xml:space="preserve">, TCMB, </w:t>
      </w:r>
      <w:r>
        <w:rPr>
          <w:sz w:val="18"/>
          <w:szCs w:val="18"/>
        </w:rPr>
        <w:t>BIST</w:t>
      </w:r>
      <w:r w:rsidRPr="008C6E50">
        <w:rPr>
          <w:sz w:val="18"/>
          <w:szCs w:val="18"/>
        </w:rPr>
        <w:t>,</w:t>
      </w:r>
      <w:r>
        <w:rPr>
          <w:sz w:val="18"/>
          <w:szCs w:val="18"/>
        </w:rPr>
        <w:t xml:space="preserve"> TDM,</w:t>
      </w:r>
      <w:r w:rsidRPr="008C6E50">
        <w:rPr>
          <w:sz w:val="18"/>
          <w:szCs w:val="18"/>
        </w:rPr>
        <w:t xml:space="preserve"> BETAM</w:t>
      </w:r>
      <w:r>
        <w:rPr>
          <w:sz w:val="18"/>
          <w:szCs w:val="18"/>
        </w:rPr>
        <w:t>.</w:t>
      </w:r>
    </w:p>
    <w:p w:rsidR="00392A7C" w:rsidRDefault="00392A7C" w:rsidP="00392A7C">
      <w:pPr>
        <w:ind w:left="-720" w:right="43" w:firstLine="360"/>
        <w:jc w:val="both"/>
        <w:rPr>
          <w:sz w:val="18"/>
          <w:szCs w:val="18"/>
        </w:rPr>
      </w:pPr>
      <w:r w:rsidRPr="00944BB8">
        <w:rPr>
          <w:sz w:val="18"/>
          <w:szCs w:val="18"/>
          <w:vertAlign w:val="superscript"/>
        </w:rPr>
        <w:t xml:space="preserve">† </w:t>
      </w:r>
      <w:r w:rsidRPr="00944BB8">
        <w:rPr>
          <w:sz w:val="18"/>
          <w:szCs w:val="18"/>
        </w:rPr>
        <w:t>TCMB tarafından mevsimsellikten arındırılmıştır.</w:t>
      </w:r>
    </w:p>
    <w:p w:rsidR="00392A7C" w:rsidRDefault="00392A7C" w:rsidP="00392A7C">
      <w:pPr>
        <w:ind w:left="-720" w:right="43" w:firstLine="360"/>
        <w:jc w:val="both"/>
        <w:rPr>
          <w:sz w:val="18"/>
          <w:szCs w:val="18"/>
        </w:rPr>
      </w:pPr>
      <w:r>
        <w:rPr>
          <w:sz w:val="18"/>
          <w:szCs w:val="18"/>
        </w:rPr>
        <w:t xml:space="preserve">*TÜİK tarafından mevsimsellikten arındırılmıştır. Diğer tüm veriler Betam tarafından mevsimsellikten arındırılmıştır. </w:t>
      </w:r>
    </w:p>
    <w:p w:rsidR="00392A7C" w:rsidRDefault="00392A7C" w:rsidP="00392A7C">
      <w:pPr>
        <w:ind w:left="-720" w:right="43" w:firstLine="360"/>
        <w:jc w:val="both"/>
        <w:rPr>
          <w:sz w:val="18"/>
          <w:szCs w:val="18"/>
        </w:rPr>
      </w:pPr>
      <w:r>
        <w:rPr>
          <w:sz w:val="18"/>
          <w:szCs w:val="18"/>
        </w:rPr>
        <w:t>**Bu aya dair veri henüz açıklanmamıştır.</w:t>
      </w:r>
    </w:p>
    <w:p w:rsidR="00392A7C" w:rsidRDefault="00392A7C" w:rsidP="00392A7C">
      <w:pPr>
        <w:ind w:left="-360" w:right="43"/>
        <w:rPr>
          <w:sz w:val="18"/>
          <w:szCs w:val="18"/>
        </w:rPr>
      </w:pPr>
      <w:r>
        <w:rPr>
          <w:sz w:val="18"/>
          <w:szCs w:val="18"/>
        </w:rPr>
        <w:t>*** Betam hesaplamaları: Altın hariç ihracatı (ithalatı) bulmak için nominal ihracattan (ithalattan) parasal olmayan altın ihracatını (ithalatını) çıkarıp ihracat (ithalat) birim değer endeksine bölüyoruz. Betam tarafından mevsimsellikten arındırılmıştır.</w:t>
      </w:r>
    </w:p>
    <w:p w:rsidR="009165ED" w:rsidRDefault="009165ED" w:rsidP="009165ED">
      <w:pPr>
        <w:spacing w:line="360" w:lineRule="auto"/>
        <w:ind w:right="42"/>
        <w:jc w:val="both"/>
        <w:rPr>
          <w:sz w:val="22"/>
          <w:szCs w:val="22"/>
        </w:rPr>
      </w:pPr>
    </w:p>
    <w:p w:rsidR="00392A7C" w:rsidRDefault="00392A7C" w:rsidP="009165ED">
      <w:pPr>
        <w:spacing w:line="360" w:lineRule="auto"/>
        <w:ind w:right="42"/>
        <w:jc w:val="both"/>
        <w:rPr>
          <w:sz w:val="22"/>
          <w:szCs w:val="22"/>
        </w:rPr>
        <w:sectPr w:rsidR="00392A7C" w:rsidSect="008651A8">
          <w:type w:val="continuous"/>
          <w:pgSz w:w="11906" w:h="16838"/>
          <w:pgMar w:top="1417" w:right="1417" w:bottom="1417" w:left="1417" w:header="708" w:footer="708" w:gutter="0"/>
          <w:cols w:space="708"/>
          <w:docGrid w:linePitch="360"/>
        </w:sectPr>
      </w:pPr>
    </w:p>
    <w:p w:rsidR="00392A7C" w:rsidRDefault="00392A7C" w:rsidP="009165ED">
      <w:pPr>
        <w:ind w:left="-360" w:right="42"/>
        <w:jc w:val="both"/>
        <w:rPr>
          <w:b/>
          <w:bCs/>
          <w:sz w:val="22"/>
          <w:szCs w:val="22"/>
        </w:rPr>
      </w:pPr>
    </w:p>
    <w:p w:rsidR="00392A7C" w:rsidRDefault="00392A7C" w:rsidP="009165ED">
      <w:pPr>
        <w:ind w:left="-360" w:right="42"/>
        <w:jc w:val="both"/>
        <w:rPr>
          <w:b/>
          <w:bCs/>
          <w:sz w:val="22"/>
          <w:szCs w:val="22"/>
        </w:rPr>
      </w:pPr>
    </w:p>
    <w:p w:rsidR="00392A7C" w:rsidRDefault="00392A7C" w:rsidP="009165ED">
      <w:pPr>
        <w:ind w:left="-360" w:right="42"/>
        <w:jc w:val="both"/>
        <w:rPr>
          <w:b/>
          <w:bCs/>
          <w:sz w:val="22"/>
          <w:szCs w:val="22"/>
        </w:rPr>
      </w:pPr>
    </w:p>
    <w:p w:rsidR="00392A7C" w:rsidRDefault="00392A7C" w:rsidP="009165ED">
      <w:pPr>
        <w:ind w:left="-360" w:right="42"/>
        <w:jc w:val="both"/>
        <w:rPr>
          <w:b/>
          <w:bCs/>
          <w:sz w:val="22"/>
          <w:szCs w:val="22"/>
        </w:rPr>
      </w:pPr>
    </w:p>
    <w:p w:rsidR="00392A7C" w:rsidRDefault="00392A7C" w:rsidP="009165ED">
      <w:pPr>
        <w:ind w:left="-360" w:right="42"/>
        <w:jc w:val="both"/>
        <w:rPr>
          <w:b/>
          <w:bCs/>
          <w:sz w:val="22"/>
          <w:szCs w:val="22"/>
        </w:rPr>
      </w:pPr>
    </w:p>
    <w:p w:rsidR="00392A7C" w:rsidRDefault="00392A7C" w:rsidP="009165ED">
      <w:pPr>
        <w:ind w:left="-360" w:right="42"/>
        <w:jc w:val="both"/>
        <w:rPr>
          <w:b/>
          <w:bCs/>
          <w:sz w:val="22"/>
          <w:szCs w:val="22"/>
        </w:rPr>
      </w:pPr>
    </w:p>
    <w:p w:rsidR="00392A7C" w:rsidRDefault="00392A7C" w:rsidP="009165ED">
      <w:pPr>
        <w:ind w:left="-360" w:right="42"/>
        <w:jc w:val="both"/>
        <w:rPr>
          <w:b/>
          <w:bCs/>
          <w:sz w:val="22"/>
          <w:szCs w:val="22"/>
        </w:rPr>
      </w:pPr>
    </w:p>
    <w:p w:rsidR="00392A7C" w:rsidRDefault="00392A7C" w:rsidP="009165ED">
      <w:pPr>
        <w:ind w:left="-360" w:right="42"/>
        <w:jc w:val="both"/>
        <w:rPr>
          <w:b/>
          <w:bCs/>
          <w:sz w:val="22"/>
          <w:szCs w:val="22"/>
        </w:rPr>
      </w:pPr>
    </w:p>
    <w:p w:rsidR="00392A7C" w:rsidRDefault="00392A7C" w:rsidP="009165ED">
      <w:pPr>
        <w:ind w:left="-360" w:right="42"/>
        <w:jc w:val="both"/>
        <w:rPr>
          <w:b/>
          <w:bCs/>
          <w:sz w:val="22"/>
          <w:szCs w:val="22"/>
        </w:rPr>
      </w:pPr>
    </w:p>
    <w:p w:rsidR="00392A7C" w:rsidRDefault="00392A7C" w:rsidP="009165ED">
      <w:pPr>
        <w:ind w:left="-360" w:right="42"/>
        <w:jc w:val="both"/>
        <w:rPr>
          <w:b/>
          <w:bCs/>
          <w:sz w:val="22"/>
          <w:szCs w:val="22"/>
        </w:rPr>
      </w:pPr>
    </w:p>
    <w:p w:rsidR="00392A7C" w:rsidRDefault="00392A7C" w:rsidP="009165ED">
      <w:pPr>
        <w:ind w:left="-360" w:right="42"/>
        <w:jc w:val="both"/>
        <w:rPr>
          <w:b/>
          <w:bCs/>
          <w:sz w:val="22"/>
          <w:szCs w:val="22"/>
        </w:rPr>
      </w:pPr>
    </w:p>
    <w:p w:rsidR="009165ED" w:rsidRDefault="009165ED" w:rsidP="009165ED">
      <w:pPr>
        <w:ind w:left="-360" w:right="42"/>
        <w:jc w:val="both"/>
        <w:rPr>
          <w:b/>
          <w:bCs/>
          <w:sz w:val="22"/>
          <w:szCs w:val="22"/>
        </w:rPr>
      </w:pPr>
      <w:r w:rsidRPr="008C6E50">
        <w:rPr>
          <w:b/>
          <w:bCs/>
          <w:sz w:val="22"/>
          <w:szCs w:val="22"/>
        </w:rPr>
        <w:lastRenderedPageBreak/>
        <w:t xml:space="preserve">Şekil 1: Kapasite </w:t>
      </w:r>
      <w:r>
        <w:rPr>
          <w:b/>
          <w:bCs/>
          <w:sz w:val="22"/>
          <w:szCs w:val="22"/>
        </w:rPr>
        <w:t>k</w:t>
      </w:r>
      <w:r w:rsidRPr="008C6E50">
        <w:rPr>
          <w:b/>
          <w:bCs/>
          <w:sz w:val="22"/>
          <w:szCs w:val="22"/>
        </w:rPr>
        <w:t xml:space="preserve">ullanım </w:t>
      </w:r>
      <w:r>
        <w:rPr>
          <w:b/>
          <w:bCs/>
          <w:sz w:val="22"/>
          <w:szCs w:val="22"/>
        </w:rPr>
        <w:t>o</w:t>
      </w:r>
      <w:r w:rsidRPr="008C6E50">
        <w:rPr>
          <w:b/>
          <w:bCs/>
          <w:sz w:val="22"/>
          <w:szCs w:val="22"/>
        </w:rPr>
        <w:t xml:space="preserve">ranı ve </w:t>
      </w:r>
      <w:r>
        <w:rPr>
          <w:b/>
          <w:bCs/>
          <w:sz w:val="22"/>
          <w:szCs w:val="22"/>
        </w:rPr>
        <w:t>s</w:t>
      </w:r>
      <w:r w:rsidRPr="008C6E50">
        <w:rPr>
          <w:b/>
          <w:bCs/>
          <w:sz w:val="22"/>
          <w:szCs w:val="22"/>
        </w:rPr>
        <w:t xml:space="preserve">anayi </w:t>
      </w:r>
      <w:r>
        <w:rPr>
          <w:b/>
          <w:bCs/>
          <w:sz w:val="22"/>
          <w:szCs w:val="22"/>
        </w:rPr>
        <w:t>ü</w:t>
      </w:r>
      <w:r w:rsidRPr="008C6E50">
        <w:rPr>
          <w:b/>
          <w:bCs/>
          <w:sz w:val="22"/>
          <w:szCs w:val="22"/>
        </w:rPr>
        <w:t xml:space="preserve">retim </w:t>
      </w:r>
      <w:r>
        <w:rPr>
          <w:b/>
          <w:bCs/>
          <w:sz w:val="22"/>
          <w:szCs w:val="22"/>
        </w:rPr>
        <w:t>e</w:t>
      </w:r>
      <w:r w:rsidRPr="008C6E50">
        <w:rPr>
          <w:b/>
          <w:bCs/>
          <w:sz w:val="22"/>
          <w:szCs w:val="22"/>
        </w:rPr>
        <w:t>ndeksi (</w:t>
      </w:r>
      <w:r>
        <w:rPr>
          <w:b/>
          <w:bCs/>
          <w:sz w:val="22"/>
          <w:szCs w:val="22"/>
        </w:rPr>
        <w:t>mea</w:t>
      </w:r>
      <w:r w:rsidRPr="008C6E50">
        <w:rPr>
          <w:b/>
          <w:bCs/>
          <w:sz w:val="22"/>
          <w:szCs w:val="22"/>
        </w:rPr>
        <w:t>)</w:t>
      </w:r>
    </w:p>
    <w:p w:rsidR="009165ED" w:rsidRPr="007067F4" w:rsidRDefault="009165ED" w:rsidP="009165ED">
      <w:pPr>
        <w:ind w:left="-360" w:right="42"/>
        <w:jc w:val="both"/>
        <w:rPr>
          <w:b/>
          <w:bCs/>
          <w:sz w:val="8"/>
          <w:szCs w:val="8"/>
        </w:rPr>
      </w:pPr>
    </w:p>
    <w:p w:rsidR="009165ED" w:rsidRPr="00CE2137" w:rsidRDefault="00601C31" w:rsidP="009165ED">
      <w:pPr>
        <w:ind w:left="-360" w:right="42"/>
        <w:jc w:val="both"/>
      </w:pPr>
      <w:r w:rsidRPr="00601C31">
        <w:rPr>
          <w:noProof/>
        </w:rPr>
        <w:drawing>
          <wp:inline distT="0" distB="0" distL="0" distR="0">
            <wp:extent cx="2655570" cy="2241117"/>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655570" cy="2241117"/>
                    </a:xfrm>
                    <a:prstGeom prst="rect">
                      <a:avLst/>
                    </a:prstGeom>
                    <a:noFill/>
                    <a:ln w="9525">
                      <a:noFill/>
                      <a:miter lim="800000"/>
                      <a:headEnd/>
                      <a:tailEnd/>
                    </a:ln>
                  </pic:spPr>
                </pic:pic>
              </a:graphicData>
            </a:graphic>
          </wp:inline>
        </w:drawing>
      </w:r>
    </w:p>
    <w:p w:rsidR="009165ED" w:rsidRDefault="00DB4284" w:rsidP="009165ED">
      <w:pPr>
        <w:ind w:left="-360" w:right="42"/>
        <w:jc w:val="both"/>
        <w:rPr>
          <w:sz w:val="18"/>
          <w:szCs w:val="18"/>
        </w:rPr>
      </w:pPr>
      <w:r>
        <w:rPr>
          <w:sz w:val="18"/>
          <w:szCs w:val="18"/>
        </w:rPr>
        <w:t>Kaynak : TÜİ</w:t>
      </w:r>
      <w:r w:rsidR="009165ED">
        <w:rPr>
          <w:sz w:val="18"/>
          <w:szCs w:val="18"/>
        </w:rPr>
        <w:t xml:space="preserve">K </w:t>
      </w:r>
      <w:r w:rsidR="009165ED" w:rsidRPr="008C6E50">
        <w:rPr>
          <w:sz w:val="18"/>
          <w:szCs w:val="18"/>
        </w:rPr>
        <w:t xml:space="preserve">(sol taraf KKO ekseni, sağ taraf SÜE </w:t>
      </w:r>
    </w:p>
    <w:p w:rsidR="009165ED" w:rsidRPr="008C6E50" w:rsidRDefault="009165ED" w:rsidP="009165ED">
      <w:pPr>
        <w:ind w:left="-360" w:right="42"/>
        <w:jc w:val="both"/>
        <w:rPr>
          <w:sz w:val="18"/>
          <w:szCs w:val="18"/>
        </w:rPr>
      </w:pPr>
      <w:r w:rsidRPr="008C6E50">
        <w:rPr>
          <w:sz w:val="18"/>
          <w:szCs w:val="18"/>
        </w:rPr>
        <w:t>ekseni)</w:t>
      </w:r>
      <w:r>
        <w:rPr>
          <w:sz w:val="18"/>
          <w:szCs w:val="18"/>
        </w:rPr>
        <w:t>.</w:t>
      </w:r>
    </w:p>
    <w:p w:rsidR="00DB4284" w:rsidRDefault="009165ED" w:rsidP="00DB4284">
      <w:pPr>
        <w:ind w:left="-360" w:right="42"/>
        <w:jc w:val="both"/>
        <w:rPr>
          <w:b/>
          <w:bCs/>
          <w:sz w:val="22"/>
          <w:szCs w:val="22"/>
        </w:rPr>
      </w:pPr>
      <w:r>
        <w:rPr>
          <w:b/>
          <w:bCs/>
          <w:sz w:val="22"/>
          <w:szCs w:val="22"/>
        </w:rPr>
        <w:br/>
      </w:r>
      <w:r w:rsidR="00DB4284">
        <w:rPr>
          <w:b/>
          <w:bCs/>
          <w:sz w:val="22"/>
          <w:szCs w:val="22"/>
        </w:rPr>
        <w:t>Şekil 3</w:t>
      </w:r>
      <w:r w:rsidR="00DB4284" w:rsidRPr="008C6E50">
        <w:rPr>
          <w:b/>
          <w:bCs/>
          <w:sz w:val="22"/>
          <w:szCs w:val="22"/>
        </w:rPr>
        <w:t xml:space="preserve">: </w:t>
      </w:r>
      <w:r w:rsidR="00DB4284">
        <w:rPr>
          <w:b/>
          <w:bCs/>
          <w:sz w:val="22"/>
          <w:szCs w:val="22"/>
        </w:rPr>
        <w:t>Altın dahil cari açığın GSYH'a oranı, 12 aylık</w:t>
      </w:r>
    </w:p>
    <w:p w:rsidR="00DB4284" w:rsidRPr="007067F4" w:rsidRDefault="00DB4284" w:rsidP="00DB4284">
      <w:pPr>
        <w:ind w:left="-360" w:right="42"/>
        <w:jc w:val="both"/>
        <w:rPr>
          <w:b/>
          <w:bCs/>
          <w:sz w:val="8"/>
          <w:szCs w:val="8"/>
        </w:rPr>
      </w:pPr>
    </w:p>
    <w:p w:rsidR="00DB4284" w:rsidRPr="00CE2137" w:rsidRDefault="00306265" w:rsidP="00DB4284">
      <w:pPr>
        <w:ind w:left="-360" w:right="42"/>
        <w:jc w:val="both"/>
      </w:pPr>
      <w:r w:rsidRPr="00306265">
        <w:rPr>
          <w:noProof/>
        </w:rPr>
        <w:drawing>
          <wp:inline distT="0" distB="0" distL="0" distR="0">
            <wp:extent cx="2655570" cy="2228782"/>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655570" cy="2228782"/>
                    </a:xfrm>
                    <a:prstGeom prst="rect">
                      <a:avLst/>
                    </a:prstGeom>
                    <a:noFill/>
                    <a:ln w="9525">
                      <a:noFill/>
                      <a:miter lim="800000"/>
                      <a:headEnd/>
                      <a:tailEnd/>
                    </a:ln>
                  </pic:spPr>
                </pic:pic>
              </a:graphicData>
            </a:graphic>
          </wp:inline>
        </w:drawing>
      </w:r>
    </w:p>
    <w:p w:rsidR="00DB4284" w:rsidRPr="008C6E50" w:rsidRDefault="00DB4284" w:rsidP="00DB4284">
      <w:pPr>
        <w:ind w:left="-360" w:right="42"/>
        <w:jc w:val="both"/>
        <w:rPr>
          <w:sz w:val="18"/>
          <w:szCs w:val="18"/>
        </w:rPr>
      </w:pPr>
      <w:r>
        <w:rPr>
          <w:sz w:val="18"/>
          <w:szCs w:val="18"/>
        </w:rPr>
        <w:t>Kaynak : TCMB,TÜİK, Betam.</w:t>
      </w:r>
    </w:p>
    <w:p w:rsidR="00DB4284" w:rsidRDefault="00DB4284" w:rsidP="00DB4284">
      <w:pPr>
        <w:ind w:left="-360" w:right="42"/>
        <w:jc w:val="both"/>
        <w:rPr>
          <w:b/>
          <w:bCs/>
          <w:sz w:val="22"/>
          <w:szCs w:val="22"/>
        </w:rPr>
      </w:pPr>
      <w:r>
        <w:rPr>
          <w:b/>
          <w:bCs/>
          <w:sz w:val="22"/>
          <w:szCs w:val="22"/>
        </w:rPr>
        <w:br/>
      </w:r>
      <w:r>
        <w:rPr>
          <w:b/>
          <w:bCs/>
          <w:sz w:val="22"/>
          <w:szCs w:val="22"/>
        </w:rPr>
        <w:br/>
      </w:r>
      <w:r>
        <w:rPr>
          <w:b/>
          <w:bCs/>
          <w:sz w:val="22"/>
          <w:szCs w:val="22"/>
        </w:rPr>
        <w:br/>
      </w:r>
      <w:r w:rsidRPr="008C6E50">
        <w:rPr>
          <w:b/>
          <w:bCs/>
          <w:sz w:val="22"/>
          <w:szCs w:val="22"/>
        </w:rPr>
        <w:lastRenderedPageBreak/>
        <w:t>Şekil 2: İhracat ve ithalat miktar endeksleri (</w:t>
      </w:r>
      <w:r>
        <w:rPr>
          <w:b/>
          <w:bCs/>
          <w:sz w:val="22"/>
          <w:szCs w:val="22"/>
        </w:rPr>
        <w:t>mea</w:t>
      </w:r>
      <w:r w:rsidRPr="008C6E50">
        <w:rPr>
          <w:b/>
          <w:bCs/>
          <w:sz w:val="22"/>
          <w:szCs w:val="22"/>
        </w:rPr>
        <w:t>)</w:t>
      </w:r>
    </w:p>
    <w:p w:rsidR="00DB4284" w:rsidRPr="007067F4" w:rsidRDefault="00DB4284" w:rsidP="00DB4284">
      <w:pPr>
        <w:spacing w:line="360" w:lineRule="auto"/>
        <w:ind w:left="-360" w:right="42"/>
        <w:jc w:val="both"/>
        <w:rPr>
          <w:sz w:val="4"/>
          <w:szCs w:val="4"/>
        </w:rPr>
      </w:pPr>
    </w:p>
    <w:p w:rsidR="00DB4284" w:rsidRPr="00CE2137" w:rsidRDefault="00601C31" w:rsidP="00DB4284">
      <w:pPr>
        <w:ind w:left="-360" w:right="42"/>
        <w:jc w:val="both"/>
      </w:pPr>
      <w:r w:rsidRPr="00601C31">
        <w:rPr>
          <w:noProof/>
        </w:rPr>
        <w:drawing>
          <wp:inline distT="0" distB="0" distL="0" distR="0">
            <wp:extent cx="2657475" cy="2242800"/>
            <wp:effectExtent l="19050" t="0" r="9525"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657475" cy="2242800"/>
                    </a:xfrm>
                    <a:prstGeom prst="rect">
                      <a:avLst/>
                    </a:prstGeom>
                    <a:noFill/>
                    <a:ln w="9525">
                      <a:noFill/>
                      <a:miter lim="800000"/>
                      <a:headEnd/>
                      <a:tailEnd/>
                    </a:ln>
                  </pic:spPr>
                </pic:pic>
              </a:graphicData>
            </a:graphic>
          </wp:inline>
        </w:drawing>
      </w:r>
    </w:p>
    <w:p w:rsidR="00DB4284" w:rsidRDefault="00DB4284" w:rsidP="00DB4284">
      <w:pPr>
        <w:ind w:left="-360" w:right="42"/>
        <w:jc w:val="both"/>
        <w:rPr>
          <w:sz w:val="18"/>
          <w:szCs w:val="18"/>
        </w:rPr>
      </w:pPr>
      <w:r>
        <w:rPr>
          <w:sz w:val="18"/>
          <w:szCs w:val="18"/>
        </w:rPr>
        <w:t>Kaynak : TÜİK.</w:t>
      </w:r>
    </w:p>
    <w:p w:rsidR="000678F9" w:rsidRDefault="000678F9" w:rsidP="009165ED">
      <w:pPr>
        <w:ind w:left="-360" w:right="42"/>
        <w:jc w:val="both"/>
        <w:rPr>
          <w:b/>
          <w:bCs/>
          <w:sz w:val="18"/>
          <w:szCs w:val="18"/>
        </w:rPr>
      </w:pPr>
    </w:p>
    <w:p w:rsidR="009165ED" w:rsidRDefault="009165ED" w:rsidP="009165ED">
      <w:pPr>
        <w:ind w:left="-360" w:right="42"/>
        <w:jc w:val="both"/>
        <w:rPr>
          <w:b/>
          <w:bCs/>
          <w:sz w:val="22"/>
          <w:szCs w:val="22"/>
        </w:rPr>
      </w:pPr>
      <w:r>
        <w:rPr>
          <w:b/>
          <w:bCs/>
          <w:sz w:val="22"/>
          <w:szCs w:val="22"/>
        </w:rPr>
        <w:br/>
      </w:r>
      <w:r w:rsidR="00DB4284">
        <w:rPr>
          <w:b/>
          <w:bCs/>
          <w:sz w:val="22"/>
          <w:szCs w:val="22"/>
        </w:rPr>
        <w:t>Şekil 4</w:t>
      </w:r>
      <w:r w:rsidRPr="008C6E50">
        <w:rPr>
          <w:b/>
          <w:bCs/>
          <w:sz w:val="22"/>
          <w:szCs w:val="22"/>
        </w:rPr>
        <w:t xml:space="preserve">: </w:t>
      </w:r>
      <w:r w:rsidR="00DB4284">
        <w:rPr>
          <w:b/>
          <w:bCs/>
          <w:sz w:val="22"/>
          <w:szCs w:val="22"/>
        </w:rPr>
        <w:t>Altın hariç cari açığın GSYH'a oranı, 12 aylık</w:t>
      </w:r>
    </w:p>
    <w:p w:rsidR="009165ED" w:rsidRPr="007067F4" w:rsidRDefault="009165ED" w:rsidP="009165ED">
      <w:pPr>
        <w:spacing w:line="360" w:lineRule="auto"/>
        <w:ind w:left="-360" w:right="42"/>
        <w:jc w:val="both"/>
        <w:rPr>
          <w:sz w:val="4"/>
          <w:szCs w:val="4"/>
        </w:rPr>
      </w:pPr>
    </w:p>
    <w:p w:rsidR="009165ED" w:rsidRPr="00CE2137" w:rsidRDefault="00306265" w:rsidP="009165ED">
      <w:pPr>
        <w:ind w:left="-360" w:right="42"/>
        <w:jc w:val="both"/>
      </w:pPr>
      <w:r w:rsidRPr="00306265">
        <w:rPr>
          <w:noProof/>
        </w:rPr>
        <w:drawing>
          <wp:inline distT="0" distB="0" distL="0" distR="0">
            <wp:extent cx="2657475" cy="2228400"/>
            <wp:effectExtent l="19050" t="0" r="9525" b="0"/>
            <wp:docPr id="1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657475" cy="2228400"/>
                    </a:xfrm>
                    <a:prstGeom prst="rect">
                      <a:avLst/>
                    </a:prstGeom>
                    <a:noFill/>
                    <a:ln w="9525">
                      <a:noFill/>
                      <a:miter lim="800000"/>
                      <a:headEnd/>
                      <a:tailEnd/>
                    </a:ln>
                  </pic:spPr>
                </pic:pic>
              </a:graphicData>
            </a:graphic>
          </wp:inline>
        </w:drawing>
      </w:r>
    </w:p>
    <w:p w:rsidR="009165ED" w:rsidRPr="008C6E50" w:rsidRDefault="009165ED" w:rsidP="009165ED">
      <w:pPr>
        <w:ind w:left="-360" w:right="42"/>
        <w:jc w:val="both"/>
        <w:rPr>
          <w:sz w:val="18"/>
          <w:szCs w:val="18"/>
        </w:rPr>
      </w:pPr>
      <w:r>
        <w:rPr>
          <w:sz w:val="18"/>
          <w:szCs w:val="18"/>
        </w:rPr>
        <w:t xml:space="preserve">Kaynak : </w:t>
      </w:r>
      <w:r w:rsidR="00DB4284">
        <w:rPr>
          <w:sz w:val="18"/>
          <w:szCs w:val="18"/>
        </w:rPr>
        <w:t>TCMB, TÜİK, Betam.</w:t>
      </w:r>
    </w:p>
    <w:p w:rsidR="009165ED" w:rsidRDefault="009165ED" w:rsidP="009165ED">
      <w:pPr>
        <w:spacing w:line="360" w:lineRule="auto"/>
        <w:ind w:right="42"/>
        <w:jc w:val="both"/>
        <w:rPr>
          <w:sz w:val="22"/>
          <w:szCs w:val="22"/>
        </w:rPr>
        <w:sectPr w:rsidR="009165ED" w:rsidSect="007067F4">
          <w:type w:val="continuous"/>
          <w:pgSz w:w="11906" w:h="16838"/>
          <w:pgMar w:top="1417" w:right="1417" w:bottom="1417" w:left="1417" w:header="708" w:footer="708" w:gutter="0"/>
          <w:cols w:num="2" w:space="708" w:equalWidth="0">
            <w:col w:w="4182" w:space="708"/>
            <w:col w:w="4182"/>
          </w:cols>
          <w:docGrid w:linePitch="360"/>
        </w:sectPr>
      </w:pPr>
    </w:p>
    <w:p w:rsidR="009165ED" w:rsidRDefault="009165ED" w:rsidP="009165ED">
      <w:pPr>
        <w:spacing w:line="360" w:lineRule="auto"/>
        <w:ind w:left="-360" w:right="42"/>
        <w:jc w:val="both"/>
        <w:rPr>
          <w:b/>
          <w:bCs/>
          <w:sz w:val="22"/>
          <w:szCs w:val="22"/>
        </w:rPr>
      </w:pPr>
    </w:p>
    <w:p w:rsidR="009165ED" w:rsidRPr="00143024" w:rsidRDefault="009165ED" w:rsidP="009165ED">
      <w:pPr>
        <w:ind w:left="-360" w:right="42"/>
      </w:pPr>
      <w:r>
        <w:rPr>
          <w:sz w:val="18"/>
          <w:szCs w:val="18"/>
        </w:rPr>
        <w:tab/>
      </w:r>
      <w:r>
        <w:rPr>
          <w:sz w:val="18"/>
          <w:szCs w:val="18"/>
        </w:rPr>
        <w:tab/>
      </w:r>
      <w:r>
        <w:rPr>
          <w:sz w:val="18"/>
          <w:szCs w:val="18"/>
        </w:rPr>
        <w:tab/>
      </w:r>
    </w:p>
    <w:p w:rsidR="009165ED" w:rsidRDefault="009165ED" w:rsidP="009165ED">
      <w:pPr>
        <w:ind w:left="-360" w:right="42"/>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right="42"/>
        <w:jc w:val="both"/>
        <w:rPr>
          <w:b/>
          <w:bCs/>
          <w:sz w:val="22"/>
          <w:szCs w:val="22"/>
        </w:rPr>
      </w:pPr>
    </w:p>
    <w:p w:rsidR="009165ED" w:rsidRDefault="009165ED" w:rsidP="009165ED">
      <w:pPr>
        <w:spacing w:line="360" w:lineRule="auto"/>
        <w:ind w:right="42"/>
        <w:jc w:val="both"/>
        <w:rPr>
          <w:b/>
          <w:bCs/>
          <w:sz w:val="22"/>
          <w:szCs w:val="22"/>
        </w:rPr>
      </w:pPr>
    </w:p>
    <w:p w:rsidR="009165ED" w:rsidRDefault="009165ED" w:rsidP="009165ED">
      <w:pPr>
        <w:spacing w:line="360" w:lineRule="auto"/>
        <w:ind w:right="42"/>
        <w:jc w:val="both"/>
        <w:rPr>
          <w:b/>
          <w:bCs/>
          <w:sz w:val="22"/>
          <w:szCs w:val="22"/>
        </w:rPr>
      </w:pPr>
    </w:p>
    <w:p w:rsidR="009165ED" w:rsidRPr="00EC248D" w:rsidRDefault="00DB4284" w:rsidP="009165ED">
      <w:pPr>
        <w:spacing w:line="360" w:lineRule="auto"/>
        <w:ind w:left="-360" w:right="42"/>
        <w:jc w:val="both"/>
        <w:rPr>
          <w:b/>
          <w:bCs/>
          <w:sz w:val="22"/>
          <w:szCs w:val="22"/>
        </w:rPr>
      </w:pPr>
      <w:r>
        <w:rPr>
          <w:b/>
          <w:bCs/>
          <w:sz w:val="22"/>
          <w:szCs w:val="22"/>
        </w:rPr>
        <w:lastRenderedPageBreak/>
        <w:t>Şekil 5</w:t>
      </w:r>
      <w:r w:rsidR="009165ED">
        <w:rPr>
          <w:b/>
          <w:bCs/>
          <w:sz w:val="22"/>
          <w:szCs w:val="22"/>
        </w:rPr>
        <w:t>: B</w:t>
      </w:r>
      <w:r w:rsidR="009165ED" w:rsidRPr="00EC248D">
        <w:rPr>
          <w:b/>
          <w:bCs/>
          <w:sz w:val="22"/>
          <w:szCs w:val="22"/>
        </w:rPr>
        <w:t>ankalarca TL üzerinden açılan kredilere uygulanan ort</w:t>
      </w:r>
      <w:r w:rsidR="009165ED">
        <w:rPr>
          <w:b/>
          <w:bCs/>
          <w:sz w:val="22"/>
          <w:szCs w:val="22"/>
        </w:rPr>
        <w:t>a</w:t>
      </w:r>
      <w:r w:rsidR="009165ED" w:rsidRPr="00EC248D">
        <w:rPr>
          <w:b/>
          <w:bCs/>
          <w:sz w:val="22"/>
          <w:szCs w:val="22"/>
        </w:rPr>
        <w:t>lama faiz oranları</w:t>
      </w:r>
    </w:p>
    <w:p w:rsidR="009165ED" w:rsidRDefault="00601C31" w:rsidP="009165ED">
      <w:pPr>
        <w:ind w:left="-360" w:right="42"/>
        <w:rPr>
          <w:noProof/>
          <w:sz w:val="20"/>
          <w:szCs w:val="20"/>
        </w:rPr>
      </w:pPr>
      <w:r w:rsidRPr="00601C31">
        <w:rPr>
          <w:noProof/>
          <w:szCs w:val="20"/>
        </w:rPr>
        <w:drawing>
          <wp:inline distT="0" distB="0" distL="0" distR="0">
            <wp:extent cx="5760720" cy="2933536"/>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5760720" cy="2933536"/>
                    </a:xfrm>
                    <a:prstGeom prst="rect">
                      <a:avLst/>
                    </a:prstGeom>
                    <a:noFill/>
                    <a:ln w="9525">
                      <a:noFill/>
                      <a:miter lim="800000"/>
                      <a:headEnd/>
                      <a:tailEnd/>
                    </a:ln>
                  </pic:spPr>
                </pic:pic>
              </a:graphicData>
            </a:graphic>
          </wp:inline>
        </w:drawing>
      </w:r>
    </w:p>
    <w:p w:rsidR="009165ED" w:rsidRDefault="009165ED" w:rsidP="009165ED">
      <w:pPr>
        <w:ind w:left="-360" w:right="42"/>
        <w:rPr>
          <w:sz w:val="18"/>
          <w:szCs w:val="18"/>
        </w:rPr>
      </w:pPr>
      <w:r w:rsidRPr="00CC41EB">
        <w:rPr>
          <w:sz w:val="18"/>
          <w:szCs w:val="18"/>
        </w:rPr>
        <w:t xml:space="preserve">Kaynak : </w:t>
      </w:r>
      <w:r>
        <w:rPr>
          <w:sz w:val="18"/>
          <w:szCs w:val="18"/>
        </w:rPr>
        <w:t>TCMB.</w:t>
      </w:r>
    </w:p>
    <w:p w:rsidR="000678F9" w:rsidRDefault="000678F9" w:rsidP="000678F9">
      <w:pPr>
        <w:spacing w:line="360" w:lineRule="auto"/>
        <w:ind w:left="-360" w:right="42"/>
        <w:jc w:val="both"/>
        <w:rPr>
          <w:b/>
          <w:bCs/>
          <w:sz w:val="22"/>
          <w:szCs w:val="22"/>
        </w:rPr>
      </w:pPr>
    </w:p>
    <w:sectPr w:rsidR="000678F9" w:rsidSect="00E9738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767" w:rsidRDefault="00761767">
      <w:r>
        <w:separator/>
      </w:r>
    </w:p>
  </w:endnote>
  <w:endnote w:type="continuationSeparator" w:id="0">
    <w:p w:rsidR="00761767" w:rsidRDefault="0076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D3" w:rsidRDefault="001E115E" w:rsidP="00D830C4">
    <w:pPr>
      <w:pStyle w:val="Footer"/>
      <w:framePr w:wrap="auto" w:vAnchor="text" w:hAnchor="margin" w:xAlign="right" w:y="1"/>
      <w:rPr>
        <w:rStyle w:val="PageNumber"/>
      </w:rPr>
    </w:pPr>
    <w:r>
      <w:rPr>
        <w:rStyle w:val="PageNumber"/>
      </w:rPr>
      <w:fldChar w:fldCharType="begin"/>
    </w:r>
    <w:r w:rsidR="00054BD3">
      <w:rPr>
        <w:rStyle w:val="PageNumber"/>
      </w:rPr>
      <w:instrText xml:space="preserve">PAGE  </w:instrText>
    </w:r>
    <w:r>
      <w:rPr>
        <w:rStyle w:val="PageNumber"/>
      </w:rPr>
      <w:fldChar w:fldCharType="separate"/>
    </w:r>
    <w:r w:rsidR="00C7749D">
      <w:rPr>
        <w:rStyle w:val="PageNumber"/>
        <w:noProof/>
      </w:rPr>
      <w:t>1</w:t>
    </w:r>
    <w:r>
      <w:rPr>
        <w:rStyle w:val="PageNumber"/>
      </w:rPr>
      <w:fldChar w:fldCharType="end"/>
    </w:r>
  </w:p>
  <w:p w:rsidR="00054BD3" w:rsidRPr="007B51E3" w:rsidRDefault="00054BD3" w:rsidP="007B51E3">
    <w:pPr>
      <w:pStyle w:val="Footer"/>
      <w:ind w:right="360"/>
      <w:jc w:val="center"/>
      <w:rPr>
        <w:b/>
        <w:bCs/>
        <w:i/>
        <w:iCs/>
      </w:rPr>
    </w:pPr>
    <w:r w:rsidRPr="007B51E3">
      <w:rPr>
        <w:b/>
        <w:bCs/>
        <w:i/>
        <w:iCs/>
      </w:rPr>
      <w:t>www.betam.bahcesehir.edu.tr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767" w:rsidRDefault="00761767">
      <w:r>
        <w:separator/>
      </w:r>
    </w:p>
  </w:footnote>
  <w:footnote w:type="continuationSeparator" w:id="0">
    <w:p w:rsidR="00761767" w:rsidRDefault="00761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DA43944"/>
    <w:multiLevelType w:val="hybridMultilevel"/>
    <w:tmpl w:val="3DD222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CC"/>
    <w:rsid w:val="0000014A"/>
    <w:rsid w:val="000015B4"/>
    <w:rsid w:val="00001CF9"/>
    <w:rsid w:val="0000230B"/>
    <w:rsid w:val="00004860"/>
    <w:rsid w:val="00004B78"/>
    <w:rsid w:val="0000507C"/>
    <w:rsid w:val="0000704D"/>
    <w:rsid w:val="0001121A"/>
    <w:rsid w:val="000117B7"/>
    <w:rsid w:val="000144EB"/>
    <w:rsid w:val="00017809"/>
    <w:rsid w:val="000205A1"/>
    <w:rsid w:val="000208EA"/>
    <w:rsid w:val="000212AC"/>
    <w:rsid w:val="000224B9"/>
    <w:rsid w:val="000233A7"/>
    <w:rsid w:val="00024559"/>
    <w:rsid w:val="000262EC"/>
    <w:rsid w:val="00026F21"/>
    <w:rsid w:val="00027FC3"/>
    <w:rsid w:val="00031D72"/>
    <w:rsid w:val="0003248D"/>
    <w:rsid w:val="00033700"/>
    <w:rsid w:val="00034090"/>
    <w:rsid w:val="0003546D"/>
    <w:rsid w:val="000449FC"/>
    <w:rsid w:val="00045C5A"/>
    <w:rsid w:val="00047B99"/>
    <w:rsid w:val="00047E9F"/>
    <w:rsid w:val="0005037D"/>
    <w:rsid w:val="00050453"/>
    <w:rsid w:val="00052AD4"/>
    <w:rsid w:val="00052D7A"/>
    <w:rsid w:val="00054BD3"/>
    <w:rsid w:val="00056118"/>
    <w:rsid w:val="00056B3E"/>
    <w:rsid w:val="00060119"/>
    <w:rsid w:val="00061256"/>
    <w:rsid w:val="00061732"/>
    <w:rsid w:val="00063005"/>
    <w:rsid w:val="00064636"/>
    <w:rsid w:val="0006518B"/>
    <w:rsid w:val="00065B3C"/>
    <w:rsid w:val="000678F9"/>
    <w:rsid w:val="000716BA"/>
    <w:rsid w:val="000716CA"/>
    <w:rsid w:val="0007202B"/>
    <w:rsid w:val="00072407"/>
    <w:rsid w:val="00074648"/>
    <w:rsid w:val="00077A9D"/>
    <w:rsid w:val="00077FF4"/>
    <w:rsid w:val="00081E3F"/>
    <w:rsid w:val="00082FE4"/>
    <w:rsid w:val="000833C7"/>
    <w:rsid w:val="0008631D"/>
    <w:rsid w:val="0009059A"/>
    <w:rsid w:val="000925B3"/>
    <w:rsid w:val="00096B4E"/>
    <w:rsid w:val="00097E2B"/>
    <w:rsid w:val="000A292B"/>
    <w:rsid w:val="000A399E"/>
    <w:rsid w:val="000A687F"/>
    <w:rsid w:val="000A6907"/>
    <w:rsid w:val="000A701D"/>
    <w:rsid w:val="000A79A0"/>
    <w:rsid w:val="000B16FB"/>
    <w:rsid w:val="000B2409"/>
    <w:rsid w:val="000B2B47"/>
    <w:rsid w:val="000B2BF9"/>
    <w:rsid w:val="000B2E92"/>
    <w:rsid w:val="000B325E"/>
    <w:rsid w:val="000B3995"/>
    <w:rsid w:val="000B3C1E"/>
    <w:rsid w:val="000B41F3"/>
    <w:rsid w:val="000B42EA"/>
    <w:rsid w:val="000B50AD"/>
    <w:rsid w:val="000B50DE"/>
    <w:rsid w:val="000B6120"/>
    <w:rsid w:val="000B6127"/>
    <w:rsid w:val="000B7B77"/>
    <w:rsid w:val="000B7E94"/>
    <w:rsid w:val="000C5B7E"/>
    <w:rsid w:val="000C7B42"/>
    <w:rsid w:val="000D0C5A"/>
    <w:rsid w:val="000D17A2"/>
    <w:rsid w:val="000D1F14"/>
    <w:rsid w:val="000D56EB"/>
    <w:rsid w:val="000D5927"/>
    <w:rsid w:val="000E01ED"/>
    <w:rsid w:val="000E10A3"/>
    <w:rsid w:val="000E1F75"/>
    <w:rsid w:val="000E4E83"/>
    <w:rsid w:val="000E5365"/>
    <w:rsid w:val="000E631E"/>
    <w:rsid w:val="000E6807"/>
    <w:rsid w:val="000E74B5"/>
    <w:rsid w:val="000E7CBB"/>
    <w:rsid w:val="000F0C2B"/>
    <w:rsid w:val="000F2DB4"/>
    <w:rsid w:val="000F360E"/>
    <w:rsid w:val="000F396D"/>
    <w:rsid w:val="000F4941"/>
    <w:rsid w:val="000F5457"/>
    <w:rsid w:val="001007B5"/>
    <w:rsid w:val="00106470"/>
    <w:rsid w:val="001075D1"/>
    <w:rsid w:val="00107FF7"/>
    <w:rsid w:val="001105B2"/>
    <w:rsid w:val="001117C6"/>
    <w:rsid w:val="0011236C"/>
    <w:rsid w:val="0011279B"/>
    <w:rsid w:val="00113C74"/>
    <w:rsid w:val="00114BC7"/>
    <w:rsid w:val="00117A11"/>
    <w:rsid w:val="00121ABE"/>
    <w:rsid w:val="0012262F"/>
    <w:rsid w:val="00123E71"/>
    <w:rsid w:val="00125FC6"/>
    <w:rsid w:val="001260D7"/>
    <w:rsid w:val="001261A8"/>
    <w:rsid w:val="001267DF"/>
    <w:rsid w:val="00130959"/>
    <w:rsid w:val="0013240F"/>
    <w:rsid w:val="00132E7B"/>
    <w:rsid w:val="001331CB"/>
    <w:rsid w:val="0013381D"/>
    <w:rsid w:val="00135B92"/>
    <w:rsid w:val="001360D1"/>
    <w:rsid w:val="00140E1E"/>
    <w:rsid w:val="00141B1A"/>
    <w:rsid w:val="00141B88"/>
    <w:rsid w:val="00141B93"/>
    <w:rsid w:val="00143024"/>
    <w:rsid w:val="00143828"/>
    <w:rsid w:val="00143A92"/>
    <w:rsid w:val="00144285"/>
    <w:rsid w:val="00151BCF"/>
    <w:rsid w:val="0015370A"/>
    <w:rsid w:val="00154503"/>
    <w:rsid w:val="00154510"/>
    <w:rsid w:val="001553F2"/>
    <w:rsid w:val="0015586B"/>
    <w:rsid w:val="0015676E"/>
    <w:rsid w:val="00156914"/>
    <w:rsid w:val="00157DC2"/>
    <w:rsid w:val="00157E8F"/>
    <w:rsid w:val="001609FA"/>
    <w:rsid w:val="00160EF6"/>
    <w:rsid w:val="00161689"/>
    <w:rsid w:val="00162629"/>
    <w:rsid w:val="001632B0"/>
    <w:rsid w:val="0016401E"/>
    <w:rsid w:val="001653F9"/>
    <w:rsid w:val="00165552"/>
    <w:rsid w:val="00165C4C"/>
    <w:rsid w:val="00165C59"/>
    <w:rsid w:val="00165CB0"/>
    <w:rsid w:val="00166FE5"/>
    <w:rsid w:val="00167D69"/>
    <w:rsid w:val="00170502"/>
    <w:rsid w:val="00170CA9"/>
    <w:rsid w:val="00171424"/>
    <w:rsid w:val="00172263"/>
    <w:rsid w:val="00177FE3"/>
    <w:rsid w:val="0018034E"/>
    <w:rsid w:val="00180C8C"/>
    <w:rsid w:val="00181B5A"/>
    <w:rsid w:val="00182F2B"/>
    <w:rsid w:val="00183507"/>
    <w:rsid w:val="00183896"/>
    <w:rsid w:val="00186DB6"/>
    <w:rsid w:val="00190F20"/>
    <w:rsid w:val="0019159E"/>
    <w:rsid w:val="001938A7"/>
    <w:rsid w:val="0019538C"/>
    <w:rsid w:val="00197ACB"/>
    <w:rsid w:val="001A054B"/>
    <w:rsid w:val="001A2051"/>
    <w:rsid w:val="001A2B3D"/>
    <w:rsid w:val="001A319A"/>
    <w:rsid w:val="001A4381"/>
    <w:rsid w:val="001A45BC"/>
    <w:rsid w:val="001A528A"/>
    <w:rsid w:val="001A6188"/>
    <w:rsid w:val="001A6206"/>
    <w:rsid w:val="001A772F"/>
    <w:rsid w:val="001B0683"/>
    <w:rsid w:val="001B0EF9"/>
    <w:rsid w:val="001B1CE5"/>
    <w:rsid w:val="001B2F96"/>
    <w:rsid w:val="001B30E0"/>
    <w:rsid w:val="001B34B5"/>
    <w:rsid w:val="001B3B49"/>
    <w:rsid w:val="001B3C7B"/>
    <w:rsid w:val="001B6AFA"/>
    <w:rsid w:val="001C184E"/>
    <w:rsid w:val="001C62D3"/>
    <w:rsid w:val="001C7334"/>
    <w:rsid w:val="001D09B1"/>
    <w:rsid w:val="001D129A"/>
    <w:rsid w:val="001D1F1B"/>
    <w:rsid w:val="001D2615"/>
    <w:rsid w:val="001D436C"/>
    <w:rsid w:val="001E0274"/>
    <w:rsid w:val="001E115E"/>
    <w:rsid w:val="001E27F8"/>
    <w:rsid w:val="001E2EE8"/>
    <w:rsid w:val="001E30C3"/>
    <w:rsid w:val="001E4BF5"/>
    <w:rsid w:val="001E5387"/>
    <w:rsid w:val="001E739D"/>
    <w:rsid w:val="001E7720"/>
    <w:rsid w:val="001E7744"/>
    <w:rsid w:val="001F2761"/>
    <w:rsid w:val="001F4CFB"/>
    <w:rsid w:val="001F6F00"/>
    <w:rsid w:val="001F7144"/>
    <w:rsid w:val="001F71A5"/>
    <w:rsid w:val="001F7216"/>
    <w:rsid w:val="001F775A"/>
    <w:rsid w:val="0020167B"/>
    <w:rsid w:val="00204364"/>
    <w:rsid w:val="00206291"/>
    <w:rsid w:val="00207185"/>
    <w:rsid w:val="00207313"/>
    <w:rsid w:val="0020739E"/>
    <w:rsid w:val="00207C8A"/>
    <w:rsid w:val="00207CC3"/>
    <w:rsid w:val="0021387C"/>
    <w:rsid w:val="002168E5"/>
    <w:rsid w:val="0021766E"/>
    <w:rsid w:val="002176C5"/>
    <w:rsid w:val="00217D35"/>
    <w:rsid w:val="00220B5E"/>
    <w:rsid w:val="00221184"/>
    <w:rsid w:val="00223A5B"/>
    <w:rsid w:val="002242A1"/>
    <w:rsid w:val="00224908"/>
    <w:rsid w:val="00226D50"/>
    <w:rsid w:val="002272CB"/>
    <w:rsid w:val="00231E92"/>
    <w:rsid w:val="00232243"/>
    <w:rsid w:val="0023312F"/>
    <w:rsid w:val="00233D56"/>
    <w:rsid w:val="00237255"/>
    <w:rsid w:val="00241A67"/>
    <w:rsid w:val="00243212"/>
    <w:rsid w:val="00245B1F"/>
    <w:rsid w:val="00251885"/>
    <w:rsid w:val="00251DE2"/>
    <w:rsid w:val="00251E82"/>
    <w:rsid w:val="00252FAF"/>
    <w:rsid w:val="00253D39"/>
    <w:rsid w:val="00254A99"/>
    <w:rsid w:val="002569EA"/>
    <w:rsid w:val="0026114C"/>
    <w:rsid w:val="002614C1"/>
    <w:rsid w:val="00261A05"/>
    <w:rsid w:val="00262020"/>
    <w:rsid w:val="00264335"/>
    <w:rsid w:val="002654A6"/>
    <w:rsid w:val="00265BC9"/>
    <w:rsid w:val="002670FE"/>
    <w:rsid w:val="00267EB4"/>
    <w:rsid w:val="00273E62"/>
    <w:rsid w:val="00277E58"/>
    <w:rsid w:val="002802F2"/>
    <w:rsid w:val="002816C6"/>
    <w:rsid w:val="00281D8F"/>
    <w:rsid w:val="002820F1"/>
    <w:rsid w:val="00284A28"/>
    <w:rsid w:val="00285656"/>
    <w:rsid w:val="002871E8"/>
    <w:rsid w:val="00291C79"/>
    <w:rsid w:val="0029480C"/>
    <w:rsid w:val="00295AFF"/>
    <w:rsid w:val="00297710"/>
    <w:rsid w:val="00297712"/>
    <w:rsid w:val="002A05DB"/>
    <w:rsid w:val="002A1FA0"/>
    <w:rsid w:val="002A3EDD"/>
    <w:rsid w:val="002A49A3"/>
    <w:rsid w:val="002A4AF7"/>
    <w:rsid w:val="002A5D22"/>
    <w:rsid w:val="002A66ED"/>
    <w:rsid w:val="002B3129"/>
    <w:rsid w:val="002B3644"/>
    <w:rsid w:val="002B626B"/>
    <w:rsid w:val="002C236E"/>
    <w:rsid w:val="002C25CE"/>
    <w:rsid w:val="002C2DA3"/>
    <w:rsid w:val="002C4200"/>
    <w:rsid w:val="002C49EC"/>
    <w:rsid w:val="002C5F2D"/>
    <w:rsid w:val="002C7D04"/>
    <w:rsid w:val="002D1908"/>
    <w:rsid w:val="002D2F1A"/>
    <w:rsid w:val="002D3C8B"/>
    <w:rsid w:val="002D4158"/>
    <w:rsid w:val="002D584B"/>
    <w:rsid w:val="002E02BA"/>
    <w:rsid w:val="002E0E16"/>
    <w:rsid w:val="002E1EA4"/>
    <w:rsid w:val="002E205D"/>
    <w:rsid w:val="002E41FC"/>
    <w:rsid w:val="002E6E82"/>
    <w:rsid w:val="002E6F28"/>
    <w:rsid w:val="002E6F87"/>
    <w:rsid w:val="002E7357"/>
    <w:rsid w:val="002E7860"/>
    <w:rsid w:val="002F150B"/>
    <w:rsid w:val="002F21C6"/>
    <w:rsid w:val="002F3718"/>
    <w:rsid w:val="002F4648"/>
    <w:rsid w:val="002F467E"/>
    <w:rsid w:val="002F5134"/>
    <w:rsid w:val="002F5C24"/>
    <w:rsid w:val="002F61A9"/>
    <w:rsid w:val="003001AF"/>
    <w:rsid w:val="0030120F"/>
    <w:rsid w:val="00303A3C"/>
    <w:rsid w:val="003044A5"/>
    <w:rsid w:val="003051E6"/>
    <w:rsid w:val="00306265"/>
    <w:rsid w:val="00306F51"/>
    <w:rsid w:val="0031043B"/>
    <w:rsid w:val="003118F7"/>
    <w:rsid w:val="00312DB8"/>
    <w:rsid w:val="00312EB0"/>
    <w:rsid w:val="003134C3"/>
    <w:rsid w:val="003142BA"/>
    <w:rsid w:val="003146E6"/>
    <w:rsid w:val="0031673E"/>
    <w:rsid w:val="0031682C"/>
    <w:rsid w:val="00316CE9"/>
    <w:rsid w:val="00316DB4"/>
    <w:rsid w:val="003208B4"/>
    <w:rsid w:val="00320F7D"/>
    <w:rsid w:val="003223B0"/>
    <w:rsid w:val="00323169"/>
    <w:rsid w:val="00323CA6"/>
    <w:rsid w:val="00324A91"/>
    <w:rsid w:val="00324C15"/>
    <w:rsid w:val="003269F7"/>
    <w:rsid w:val="003270D6"/>
    <w:rsid w:val="0033129D"/>
    <w:rsid w:val="00332DBD"/>
    <w:rsid w:val="00333B98"/>
    <w:rsid w:val="00337AE5"/>
    <w:rsid w:val="0034025B"/>
    <w:rsid w:val="00341195"/>
    <w:rsid w:val="0034251A"/>
    <w:rsid w:val="00342E6B"/>
    <w:rsid w:val="00344555"/>
    <w:rsid w:val="00344F97"/>
    <w:rsid w:val="0034543C"/>
    <w:rsid w:val="003466B0"/>
    <w:rsid w:val="00347FA0"/>
    <w:rsid w:val="0035343B"/>
    <w:rsid w:val="003545A8"/>
    <w:rsid w:val="003552A4"/>
    <w:rsid w:val="00356020"/>
    <w:rsid w:val="00356266"/>
    <w:rsid w:val="003578FF"/>
    <w:rsid w:val="00357987"/>
    <w:rsid w:val="00357C3B"/>
    <w:rsid w:val="00357ECC"/>
    <w:rsid w:val="003622FF"/>
    <w:rsid w:val="00362436"/>
    <w:rsid w:val="00362D77"/>
    <w:rsid w:val="003634C2"/>
    <w:rsid w:val="00363ECE"/>
    <w:rsid w:val="00365B7D"/>
    <w:rsid w:val="00366A30"/>
    <w:rsid w:val="00375126"/>
    <w:rsid w:val="00375CC6"/>
    <w:rsid w:val="00376AC1"/>
    <w:rsid w:val="00376F93"/>
    <w:rsid w:val="00382F97"/>
    <w:rsid w:val="0038488E"/>
    <w:rsid w:val="00385F45"/>
    <w:rsid w:val="00390136"/>
    <w:rsid w:val="00392A7C"/>
    <w:rsid w:val="00394F60"/>
    <w:rsid w:val="00395F95"/>
    <w:rsid w:val="00396CE9"/>
    <w:rsid w:val="00397518"/>
    <w:rsid w:val="003A2B60"/>
    <w:rsid w:val="003A2C52"/>
    <w:rsid w:val="003A31B2"/>
    <w:rsid w:val="003A3575"/>
    <w:rsid w:val="003A3A61"/>
    <w:rsid w:val="003A5C17"/>
    <w:rsid w:val="003A78A3"/>
    <w:rsid w:val="003B00C3"/>
    <w:rsid w:val="003B0F7E"/>
    <w:rsid w:val="003B199A"/>
    <w:rsid w:val="003B1BE8"/>
    <w:rsid w:val="003B2FC4"/>
    <w:rsid w:val="003B472B"/>
    <w:rsid w:val="003B5209"/>
    <w:rsid w:val="003B65FB"/>
    <w:rsid w:val="003B757A"/>
    <w:rsid w:val="003C2B2A"/>
    <w:rsid w:val="003C2BAF"/>
    <w:rsid w:val="003C3188"/>
    <w:rsid w:val="003C640D"/>
    <w:rsid w:val="003C6C41"/>
    <w:rsid w:val="003C7051"/>
    <w:rsid w:val="003C7C35"/>
    <w:rsid w:val="003D0AB6"/>
    <w:rsid w:val="003D0E64"/>
    <w:rsid w:val="003D1BAD"/>
    <w:rsid w:val="003D7D0B"/>
    <w:rsid w:val="003D7E7F"/>
    <w:rsid w:val="003E4DF6"/>
    <w:rsid w:val="003E5EC3"/>
    <w:rsid w:val="003F1E42"/>
    <w:rsid w:val="003F503B"/>
    <w:rsid w:val="003F60C0"/>
    <w:rsid w:val="003F6C96"/>
    <w:rsid w:val="003F7185"/>
    <w:rsid w:val="003F7D4B"/>
    <w:rsid w:val="0040061A"/>
    <w:rsid w:val="00402158"/>
    <w:rsid w:val="00402270"/>
    <w:rsid w:val="004074ED"/>
    <w:rsid w:val="00412C49"/>
    <w:rsid w:val="00414443"/>
    <w:rsid w:val="00415FC4"/>
    <w:rsid w:val="00417092"/>
    <w:rsid w:val="00417568"/>
    <w:rsid w:val="00421D0B"/>
    <w:rsid w:val="00422927"/>
    <w:rsid w:val="004229DE"/>
    <w:rsid w:val="004239AE"/>
    <w:rsid w:val="00423E8F"/>
    <w:rsid w:val="004251B6"/>
    <w:rsid w:val="004259B8"/>
    <w:rsid w:val="00425C5D"/>
    <w:rsid w:val="004269DA"/>
    <w:rsid w:val="00432F82"/>
    <w:rsid w:val="00434618"/>
    <w:rsid w:val="00434B76"/>
    <w:rsid w:val="00435527"/>
    <w:rsid w:val="00435FF5"/>
    <w:rsid w:val="0043681C"/>
    <w:rsid w:val="00440820"/>
    <w:rsid w:val="004441AD"/>
    <w:rsid w:val="00444DA6"/>
    <w:rsid w:val="00445C19"/>
    <w:rsid w:val="004466EA"/>
    <w:rsid w:val="00446A31"/>
    <w:rsid w:val="004475A9"/>
    <w:rsid w:val="0044794F"/>
    <w:rsid w:val="00447CD2"/>
    <w:rsid w:val="00450447"/>
    <w:rsid w:val="00450723"/>
    <w:rsid w:val="00453D77"/>
    <w:rsid w:val="00454313"/>
    <w:rsid w:val="00454965"/>
    <w:rsid w:val="00461612"/>
    <w:rsid w:val="0046178B"/>
    <w:rsid w:val="00462314"/>
    <w:rsid w:val="00462E07"/>
    <w:rsid w:val="0046331C"/>
    <w:rsid w:val="00463512"/>
    <w:rsid w:val="0046362C"/>
    <w:rsid w:val="00463BBF"/>
    <w:rsid w:val="00466C2F"/>
    <w:rsid w:val="004701D0"/>
    <w:rsid w:val="00470E4D"/>
    <w:rsid w:val="00474C08"/>
    <w:rsid w:val="00474D75"/>
    <w:rsid w:val="004764CC"/>
    <w:rsid w:val="004764EE"/>
    <w:rsid w:val="00476D76"/>
    <w:rsid w:val="004771EB"/>
    <w:rsid w:val="004814F0"/>
    <w:rsid w:val="00482771"/>
    <w:rsid w:val="00483180"/>
    <w:rsid w:val="00483C58"/>
    <w:rsid w:val="00484222"/>
    <w:rsid w:val="00485F46"/>
    <w:rsid w:val="00494345"/>
    <w:rsid w:val="00495192"/>
    <w:rsid w:val="004A0D43"/>
    <w:rsid w:val="004A1818"/>
    <w:rsid w:val="004A4E4F"/>
    <w:rsid w:val="004A56E7"/>
    <w:rsid w:val="004A7750"/>
    <w:rsid w:val="004A7FE6"/>
    <w:rsid w:val="004B02B9"/>
    <w:rsid w:val="004B0B90"/>
    <w:rsid w:val="004B30FB"/>
    <w:rsid w:val="004B3F80"/>
    <w:rsid w:val="004B40EE"/>
    <w:rsid w:val="004B4A27"/>
    <w:rsid w:val="004C0A8D"/>
    <w:rsid w:val="004C2024"/>
    <w:rsid w:val="004C25F6"/>
    <w:rsid w:val="004C62C6"/>
    <w:rsid w:val="004D100D"/>
    <w:rsid w:val="004D3901"/>
    <w:rsid w:val="004D3F5D"/>
    <w:rsid w:val="004D67C5"/>
    <w:rsid w:val="004D6E34"/>
    <w:rsid w:val="004D7E65"/>
    <w:rsid w:val="004E00D0"/>
    <w:rsid w:val="004E07DC"/>
    <w:rsid w:val="004E0851"/>
    <w:rsid w:val="004E0939"/>
    <w:rsid w:val="004E1AB5"/>
    <w:rsid w:val="004E1AE2"/>
    <w:rsid w:val="004E5446"/>
    <w:rsid w:val="004F059F"/>
    <w:rsid w:val="004F1352"/>
    <w:rsid w:val="004F2868"/>
    <w:rsid w:val="004F55F8"/>
    <w:rsid w:val="004F6ACE"/>
    <w:rsid w:val="004F7447"/>
    <w:rsid w:val="004F76D9"/>
    <w:rsid w:val="00501F2F"/>
    <w:rsid w:val="00505141"/>
    <w:rsid w:val="005066A2"/>
    <w:rsid w:val="00506CD9"/>
    <w:rsid w:val="00511EF3"/>
    <w:rsid w:val="00512AE9"/>
    <w:rsid w:val="00513FBF"/>
    <w:rsid w:val="00516576"/>
    <w:rsid w:val="0051750C"/>
    <w:rsid w:val="00522063"/>
    <w:rsid w:val="00522ED0"/>
    <w:rsid w:val="00523C58"/>
    <w:rsid w:val="005253A2"/>
    <w:rsid w:val="0052557E"/>
    <w:rsid w:val="00526CC9"/>
    <w:rsid w:val="0052770E"/>
    <w:rsid w:val="005310F8"/>
    <w:rsid w:val="0053163F"/>
    <w:rsid w:val="00534CA7"/>
    <w:rsid w:val="00535BAD"/>
    <w:rsid w:val="00536008"/>
    <w:rsid w:val="00536B3B"/>
    <w:rsid w:val="00537DBB"/>
    <w:rsid w:val="005429D2"/>
    <w:rsid w:val="005435C8"/>
    <w:rsid w:val="00543E56"/>
    <w:rsid w:val="00544A5C"/>
    <w:rsid w:val="005470EC"/>
    <w:rsid w:val="00552380"/>
    <w:rsid w:val="00556328"/>
    <w:rsid w:val="00563399"/>
    <w:rsid w:val="0056591F"/>
    <w:rsid w:val="00571282"/>
    <w:rsid w:val="00571E9F"/>
    <w:rsid w:val="00573C3B"/>
    <w:rsid w:val="00574E1B"/>
    <w:rsid w:val="00583974"/>
    <w:rsid w:val="0058722C"/>
    <w:rsid w:val="0058799A"/>
    <w:rsid w:val="00587F62"/>
    <w:rsid w:val="00590149"/>
    <w:rsid w:val="00592FD2"/>
    <w:rsid w:val="00593B80"/>
    <w:rsid w:val="00596A1C"/>
    <w:rsid w:val="00596FDB"/>
    <w:rsid w:val="005A06D3"/>
    <w:rsid w:val="005A0AF8"/>
    <w:rsid w:val="005A1E77"/>
    <w:rsid w:val="005A2B2E"/>
    <w:rsid w:val="005A3E49"/>
    <w:rsid w:val="005A4714"/>
    <w:rsid w:val="005A47EC"/>
    <w:rsid w:val="005B551F"/>
    <w:rsid w:val="005B5D93"/>
    <w:rsid w:val="005B66C8"/>
    <w:rsid w:val="005C0A9A"/>
    <w:rsid w:val="005C11DE"/>
    <w:rsid w:val="005C28BC"/>
    <w:rsid w:val="005C4EA4"/>
    <w:rsid w:val="005D0287"/>
    <w:rsid w:val="005D0AD6"/>
    <w:rsid w:val="005D39F3"/>
    <w:rsid w:val="005D7E62"/>
    <w:rsid w:val="005E0596"/>
    <w:rsid w:val="005E13DF"/>
    <w:rsid w:val="005E1D9A"/>
    <w:rsid w:val="005E2983"/>
    <w:rsid w:val="005E3EE4"/>
    <w:rsid w:val="005F03CC"/>
    <w:rsid w:val="005F2063"/>
    <w:rsid w:val="005F2279"/>
    <w:rsid w:val="005F2A5B"/>
    <w:rsid w:val="005F31BE"/>
    <w:rsid w:val="005F36AB"/>
    <w:rsid w:val="005F700B"/>
    <w:rsid w:val="006007C7"/>
    <w:rsid w:val="00600B5F"/>
    <w:rsid w:val="00600FFC"/>
    <w:rsid w:val="006015A3"/>
    <w:rsid w:val="00601C31"/>
    <w:rsid w:val="00602BC6"/>
    <w:rsid w:val="00602EB0"/>
    <w:rsid w:val="00603311"/>
    <w:rsid w:val="00603C6D"/>
    <w:rsid w:val="006040ED"/>
    <w:rsid w:val="00604415"/>
    <w:rsid w:val="006079B9"/>
    <w:rsid w:val="00613A11"/>
    <w:rsid w:val="00613B72"/>
    <w:rsid w:val="0061706E"/>
    <w:rsid w:val="0062291A"/>
    <w:rsid w:val="00622AA8"/>
    <w:rsid w:val="00623B31"/>
    <w:rsid w:val="00623C7E"/>
    <w:rsid w:val="0062575D"/>
    <w:rsid w:val="0063164E"/>
    <w:rsid w:val="006335A2"/>
    <w:rsid w:val="00635FF5"/>
    <w:rsid w:val="00636375"/>
    <w:rsid w:val="0064166F"/>
    <w:rsid w:val="00643C4C"/>
    <w:rsid w:val="00644764"/>
    <w:rsid w:val="0064549C"/>
    <w:rsid w:val="0064601A"/>
    <w:rsid w:val="00647676"/>
    <w:rsid w:val="00647DB4"/>
    <w:rsid w:val="006502E3"/>
    <w:rsid w:val="00653E7B"/>
    <w:rsid w:val="00655823"/>
    <w:rsid w:val="00660F48"/>
    <w:rsid w:val="0066619C"/>
    <w:rsid w:val="006704F7"/>
    <w:rsid w:val="00670A74"/>
    <w:rsid w:val="006713C0"/>
    <w:rsid w:val="006717CE"/>
    <w:rsid w:val="00674304"/>
    <w:rsid w:val="00674779"/>
    <w:rsid w:val="00676D51"/>
    <w:rsid w:val="00676EAB"/>
    <w:rsid w:val="0067747F"/>
    <w:rsid w:val="00680C1A"/>
    <w:rsid w:val="006811DC"/>
    <w:rsid w:val="006836A7"/>
    <w:rsid w:val="00683A24"/>
    <w:rsid w:val="006868AD"/>
    <w:rsid w:val="00691D96"/>
    <w:rsid w:val="00692D34"/>
    <w:rsid w:val="00693B96"/>
    <w:rsid w:val="00695F24"/>
    <w:rsid w:val="00696507"/>
    <w:rsid w:val="0069688D"/>
    <w:rsid w:val="0069776E"/>
    <w:rsid w:val="006A2CBF"/>
    <w:rsid w:val="006A507F"/>
    <w:rsid w:val="006A53AA"/>
    <w:rsid w:val="006A7193"/>
    <w:rsid w:val="006B08B4"/>
    <w:rsid w:val="006B12C5"/>
    <w:rsid w:val="006B1F6D"/>
    <w:rsid w:val="006B2978"/>
    <w:rsid w:val="006B30D5"/>
    <w:rsid w:val="006B4323"/>
    <w:rsid w:val="006B6367"/>
    <w:rsid w:val="006C034B"/>
    <w:rsid w:val="006C2AB7"/>
    <w:rsid w:val="006C372B"/>
    <w:rsid w:val="006C38D6"/>
    <w:rsid w:val="006C4184"/>
    <w:rsid w:val="006C6C6F"/>
    <w:rsid w:val="006C74FB"/>
    <w:rsid w:val="006D416F"/>
    <w:rsid w:val="006E0C79"/>
    <w:rsid w:val="006E3384"/>
    <w:rsid w:val="006E4051"/>
    <w:rsid w:val="006E480B"/>
    <w:rsid w:val="006E5E68"/>
    <w:rsid w:val="006F0B18"/>
    <w:rsid w:val="006F1A82"/>
    <w:rsid w:val="006F2049"/>
    <w:rsid w:val="006F278A"/>
    <w:rsid w:val="006F33D4"/>
    <w:rsid w:val="006F3608"/>
    <w:rsid w:val="006F3ECA"/>
    <w:rsid w:val="006F7FE6"/>
    <w:rsid w:val="00701A0C"/>
    <w:rsid w:val="00702DFC"/>
    <w:rsid w:val="007037E4"/>
    <w:rsid w:val="0070556E"/>
    <w:rsid w:val="00705CE7"/>
    <w:rsid w:val="007067F4"/>
    <w:rsid w:val="0070704B"/>
    <w:rsid w:val="007103A2"/>
    <w:rsid w:val="00712041"/>
    <w:rsid w:val="007169B6"/>
    <w:rsid w:val="00724574"/>
    <w:rsid w:val="00725236"/>
    <w:rsid w:val="0072768C"/>
    <w:rsid w:val="007323C8"/>
    <w:rsid w:val="007343EE"/>
    <w:rsid w:val="0073536D"/>
    <w:rsid w:val="007357A6"/>
    <w:rsid w:val="0074346F"/>
    <w:rsid w:val="007440DB"/>
    <w:rsid w:val="00745E22"/>
    <w:rsid w:val="0074648A"/>
    <w:rsid w:val="00747A9B"/>
    <w:rsid w:val="0075074A"/>
    <w:rsid w:val="007522D9"/>
    <w:rsid w:val="00752330"/>
    <w:rsid w:val="00753469"/>
    <w:rsid w:val="0075405B"/>
    <w:rsid w:val="00755D28"/>
    <w:rsid w:val="0075696F"/>
    <w:rsid w:val="00761767"/>
    <w:rsid w:val="007633AA"/>
    <w:rsid w:val="007652AE"/>
    <w:rsid w:val="00767D6E"/>
    <w:rsid w:val="00770580"/>
    <w:rsid w:val="00770D1C"/>
    <w:rsid w:val="007750EF"/>
    <w:rsid w:val="00776484"/>
    <w:rsid w:val="007806C4"/>
    <w:rsid w:val="00781E83"/>
    <w:rsid w:val="00781ECE"/>
    <w:rsid w:val="00783C9A"/>
    <w:rsid w:val="00783CDF"/>
    <w:rsid w:val="00785375"/>
    <w:rsid w:val="00786067"/>
    <w:rsid w:val="007906E2"/>
    <w:rsid w:val="00790FFD"/>
    <w:rsid w:val="0079170E"/>
    <w:rsid w:val="007956C2"/>
    <w:rsid w:val="007975D4"/>
    <w:rsid w:val="00797B31"/>
    <w:rsid w:val="007A311A"/>
    <w:rsid w:val="007A35F3"/>
    <w:rsid w:val="007A36DD"/>
    <w:rsid w:val="007A6307"/>
    <w:rsid w:val="007A69DC"/>
    <w:rsid w:val="007B14EF"/>
    <w:rsid w:val="007B19BC"/>
    <w:rsid w:val="007B1EEE"/>
    <w:rsid w:val="007B4C7C"/>
    <w:rsid w:val="007B51E3"/>
    <w:rsid w:val="007B579E"/>
    <w:rsid w:val="007B6D85"/>
    <w:rsid w:val="007B7BF7"/>
    <w:rsid w:val="007C31F8"/>
    <w:rsid w:val="007C3C2B"/>
    <w:rsid w:val="007C3C78"/>
    <w:rsid w:val="007C3F82"/>
    <w:rsid w:val="007C5E78"/>
    <w:rsid w:val="007D02A6"/>
    <w:rsid w:val="007D0625"/>
    <w:rsid w:val="007D14BA"/>
    <w:rsid w:val="007D185F"/>
    <w:rsid w:val="007D3176"/>
    <w:rsid w:val="007D3E0C"/>
    <w:rsid w:val="007D5551"/>
    <w:rsid w:val="007D5CAE"/>
    <w:rsid w:val="007D604E"/>
    <w:rsid w:val="007D745B"/>
    <w:rsid w:val="007E10C4"/>
    <w:rsid w:val="007E13CA"/>
    <w:rsid w:val="007E182F"/>
    <w:rsid w:val="007E1D25"/>
    <w:rsid w:val="007E276E"/>
    <w:rsid w:val="007E5E9A"/>
    <w:rsid w:val="007E6A0D"/>
    <w:rsid w:val="007F1E8F"/>
    <w:rsid w:val="007F4136"/>
    <w:rsid w:val="007F4F91"/>
    <w:rsid w:val="007F50E5"/>
    <w:rsid w:val="007F681A"/>
    <w:rsid w:val="00801F91"/>
    <w:rsid w:val="00804CB9"/>
    <w:rsid w:val="00805A82"/>
    <w:rsid w:val="00807D3E"/>
    <w:rsid w:val="00814196"/>
    <w:rsid w:val="00814DA3"/>
    <w:rsid w:val="00815549"/>
    <w:rsid w:val="008161FE"/>
    <w:rsid w:val="00816C3F"/>
    <w:rsid w:val="00817438"/>
    <w:rsid w:val="00820F9B"/>
    <w:rsid w:val="00821B78"/>
    <w:rsid w:val="00822C11"/>
    <w:rsid w:val="00823931"/>
    <w:rsid w:val="00825F84"/>
    <w:rsid w:val="0082670B"/>
    <w:rsid w:val="00826C7D"/>
    <w:rsid w:val="00826E1D"/>
    <w:rsid w:val="008275B7"/>
    <w:rsid w:val="00830339"/>
    <w:rsid w:val="008322F7"/>
    <w:rsid w:val="008332DD"/>
    <w:rsid w:val="00833B68"/>
    <w:rsid w:val="00833EB5"/>
    <w:rsid w:val="00835E44"/>
    <w:rsid w:val="008372B3"/>
    <w:rsid w:val="008400B9"/>
    <w:rsid w:val="00842957"/>
    <w:rsid w:val="0084320B"/>
    <w:rsid w:val="008432FC"/>
    <w:rsid w:val="00843330"/>
    <w:rsid w:val="00844517"/>
    <w:rsid w:val="008446FE"/>
    <w:rsid w:val="00850769"/>
    <w:rsid w:val="0085533A"/>
    <w:rsid w:val="00856509"/>
    <w:rsid w:val="00860D72"/>
    <w:rsid w:val="00860E25"/>
    <w:rsid w:val="00860E50"/>
    <w:rsid w:val="00862B92"/>
    <w:rsid w:val="00864323"/>
    <w:rsid w:val="008646F5"/>
    <w:rsid w:val="008651A8"/>
    <w:rsid w:val="00870A39"/>
    <w:rsid w:val="00872D6D"/>
    <w:rsid w:val="0088522E"/>
    <w:rsid w:val="00885634"/>
    <w:rsid w:val="00885D0C"/>
    <w:rsid w:val="0089029A"/>
    <w:rsid w:val="00890713"/>
    <w:rsid w:val="00892423"/>
    <w:rsid w:val="00893282"/>
    <w:rsid w:val="008937F7"/>
    <w:rsid w:val="00893BD5"/>
    <w:rsid w:val="00893EE3"/>
    <w:rsid w:val="00895DD8"/>
    <w:rsid w:val="008977F0"/>
    <w:rsid w:val="008A0F64"/>
    <w:rsid w:val="008A25ED"/>
    <w:rsid w:val="008A34AA"/>
    <w:rsid w:val="008A38AB"/>
    <w:rsid w:val="008A74B0"/>
    <w:rsid w:val="008B0C8D"/>
    <w:rsid w:val="008B1D17"/>
    <w:rsid w:val="008B20AA"/>
    <w:rsid w:val="008B372B"/>
    <w:rsid w:val="008B39CE"/>
    <w:rsid w:val="008B7181"/>
    <w:rsid w:val="008B7A03"/>
    <w:rsid w:val="008C0DBE"/>
    <w:rsid w:val="008C17F4"/>
    <w:rsid w:val="008C1D9F"/>
    <w:rsid w:val="008C2C95"/>
    <w:rsid w:val="008C2D0B"/>
    <w:rsid w:val="008C2D77"/>
    <w:rsid w:val="008C6252"/>
    <w:rsid w:val="008C6E50"/>
    <w:rsid w:val="008D28DD"/>
    <w:rsid w:val="008D3976"/>
    <w:rsid w:val="008E2216"/>
    <w:rsid w:val="008E252E"/>
    <w:rsid w:val="008E31DD"/>
    <w:rsid w:val="008E339A"/>
    <w:rsid w:val="008E4779"/>
    <w:rsid w:val="008E4DDE"/>
    <w:rsid w:val="008E63CB"/>
    <w:rsid w:val="008E7B64"/>
    <w:rsid w:val="008F208D"/>
    <w:rsid w:val="008F4166"/>
    <w:rsid w:val="008F6889"/>
    <w:rsid w:val="00900BD4"/>
    <w:rsid w:val="009010CB"/>
    <w:rsid w:val="00901189"/>
    <w:rsid w:val="009014BB"/>
    <w:rsid w:val="00901532"/>
    <w:rsid w:val="00902C59"/>
    <w:rsid w:val="00903097"/>
    <w:rsid w:val="00905111"/>
    <w:rsid w:val="00906149"/>
    <w:rsid w:val="00906F88"/>
    <w:rsid w:val="00910940"/>
    <w:rsid w:val="009125B5"/>
    <w:rsid w:val="00914DE2"/>
    <w:rsid w:val="009158BC"/>
    <w:rsid w:val="009165ED"/>
    <w:rsid w:val="00916619"/>
    <w:rsid w:val="00917893"/>
    <w:rsid w:val="009224F5"/>
    <w:rsid w:val="00922C21"/>
    <w:rsid w:val="00923AE7"/>
    <w:rsid w:val="00923BA4"/>
    <w:rsid w:val="00924D1B"/>
    <w:rsid w:val="0092546B"/>
    <w:rsid w:val="00932513"/>
    <w:rsid w:val="00934BE6"/>
    <w:rsid w:val="00934EC4"/>
    <w:rsid w:val="00935355"/>
    <w:rsid w:val="0093560C"/>
    <w:rsid w:val="00936426"/>
    <w:rsid w:val="00936733"/>
    <w:rsid w:val="00937243"/>
    <w:rsid w:val="00944BB8"/>
    <w:rsid w:val="00946534"/>
    <w:rsid w:val="00947DB1"/>
    <w:rsid w:val="00952B02"/>
    <w:rsid w:val="00953B15"/>
    <w:rsid w:val="00953CFA"/>
    <w:rsid w:val="00953ED7"/>
    <w:rsid w:val="00963350"/>
    <w:rsid w:val="00963AB5"/>
    <w:rsid w:val="00964F65"/>
    <w:rsid w:val="00965891"/>
    <w:rsid w:val="00965C0E"/>
    <w:rsid w:val="00966E7C"/>
    <w:rsid w:val="00970E4E"/>
    <w:rsid w:val="00971D26"/>
    <w:rsid w:val="009725C8"/>
    <w:rsid w:val="00973503"/>
    <w:rsid w:val="0097445D"/>
    <w:rsid w:val="00974C42"/>
    <w:rsid w:val="00977548"/>
    <w:rsid w:val="0097770C"/>
    <w:rsid w:val="009805A1"/>
    <w:rsid w:val="00983748"/>
    <w:rsid w:val="00985758"/>
    <w:rsid w:val="00985C16"/>
    <w:rsid w:val="00985C5E"/>
    <w:rsid w:val="00987648"/>
    <w:rsid w:val="00990455"/>
    <w:rsid w:val="00991D31"/>
    <w:rsid w:val="00993CD6"/>
    <w:rsid w:val="009946C1"/>
    <w:rsid w:val="00995F40"/>
    <w:rsid w:val="00995FA5"/>
    <w:rsid w:val="00996D4F"/>
    <w:rsid w:val="009A1DF2"/>
    <w:rsid w:val="009A6149"/>
    <w:rsid w:val="009A67E1"/>
    <w:rsid w:val="009A6E22"/>
    <w:rsid w:val="009B0086"/>
    <w:rsid w:val="009B1351"/>
    <w:rsid w:val="009B2429"/>
    <w:rsid w:val="009B2569"/>
    <w:rsid w:val="009B3130"/>
    <w:rsid w:val="009B33E7"/>
    <w:rsid w:val="009B3FDD"/>
    <w:rsid w:val="009B43D6"/>
    <w:rsid w:val="009B51E4"/>
    <w:rsid w:val="009B5AF5"/>
    <w:rsid w:val="009B6C3A"/>
    <w:rsid w:val="009C1700"/>
    <w:rsid w:val="009C3D1C"/>
    <w:rsid w:val="009C5A53"/>
    <w:rsid w:val="009C5B58"/>
    <w:rsid w:val="009D1323"/>
    <w:rsid w:val="009D24A5"/>
    <w:rsid w:val="009D30C5"/>
    <w:rsid w:val="009D3B55"/>
    <w:rsid w:val="009D42E8"/>
    <w:rsid w:val="009D54DD"/>
    <w:rsid w:val="009D7D1D"/>
    <w:rsid w:val="009E001E"/>
    <w:rsid w:val="009E04AB"/>
    <w:rsid w:val="009E2A57"/>
    <w:rsid w:val="009E4B4A"/>
    <w:rsid w:val="009F0111"/>
    <w:rsid w:val="009F1D45"/>
    <w:rsid w:val="009F3AF4"/>
    <w:rsid w:val="009F44C0"/>
    <w:rsid w:val="009F4848"/>
    <w:rsid w:val="009F48FB"/>
    <w:rsid w:val="009F6003"/>
    <w:rsid w:val="00A005E9"/>
    <w:rsid w:val="00A007F2"/>
    <w:rsid w:val="00A0089E"/>
    <w:rsid w:val="00A0243A"/>
    <w:rsid w:val="00A05AB1"/>
    <w:rsid w:val="00A05DEF"/>
    <w:rsid w:val="00A06C55"/>
    <w:rsid w:val="00A0768E"/>
    <w:rsid w:val="00A11474"/>
    <w:rsid w:val="00A127F7"/>
    <w:rsid w:val="00A15634"/>
    <w:rsid w:val="00A158E0"/>
    <w:rsid w:val="00A15C76"/>
    <w:rsid w:val="00A17B41"/>
    <w:rsid w:val="00A208D0"/>
    <w:rsid w:val="00A21872"/>
    <w:rsid w:val="00A22568"/>
    <w:rsid w:val="00A23750"/>
    <w:rsid w:val="00A24179"/>
    <w:rsid w:val="00A24957"/>
    <w:rsid w:val="00A26C29"/>
    <w:rsid w:val="00A302B8"/>
    <w:rsid w:val="00A31CEE"/>
    <w:rsid w:val="00A3472C"/>
    <w:rsid w:val="00A35FDD"/>
    <w:rsid w:val="00A36846"/>
    <w:rsid w:val="00A4176C"/>
    <w:rsid w:val="00A42300"/>
    <w:rsid w:val="00A42E31"/>
    <w:rsid w:val="00A43507"/>
    <w:rsid w:val="00A440D7"/>
    <w:rsid w:val="00A44366"/>
    <w:rsid w:val="00A47817"/>
    <w:rsid w:val="00A50B48"/>
    <w:rsid w:val="00A52995"/>
    <w:rsid w:val="00A5424F"/>
    <w:rsid w:val="00A56A82"/>
    <w:rsid w:val="00A56C6E"/>
    <w:rsid w:val="00A60D5C"/>
    <w:rsid w:val="00A61240"/>
    <w:rsid w:val="00A61A84"/>
    <w:rsid w:val="00A646B7"/>
    <w:rsid w:val="00A648F9"/>
    <w:rsid w:val="00A656AC"/>
    <w:rsid w:val="00A66174"/>
    <w:rsid w:val="00A662DE"/>
    <w:rsid w:val="00A67A86"/>
    <w:rsid w:val="00A67D34"/>
    <w:rsid w:val="00A71B18"/>
    <w:rsid w:val="00A722FD"/>
    <w:rsid w:val="00A7254E"/>
    <w:rsid w:val="00A737F4"/>
    <w:rsid w:val="00A73A04"/>
    <w:rsid w:val="00A73F6B"/>
    <w:rsid w:val="00A759A9"/>
    <w:rsid w:val="00A75A46"/>
    <w:rsid w:val="00A81D43"/>
    <w:rsid w:val="00A82A89"/>
    <w:rsid w:val="00A84CEC"/>
    <w:rsid w:val="00A84F85"/>
    <w:rsid w:val="00A85028"/>
    <w:rsid w:val="00A86049"/>
    <w:rsid w:val="00A868E2"/>
    <w:rsid w:val="00A946B4"/>
    <w:rsid w:val="00A94A4A"/>
    <w:rsid w:val="00A95141"/>
    <w:rsid w:val="00A9533A"/>
    <w:rsid w:val="00A95966"/>
    <w:rsid w:val="00A9596F"/>
    <w:rsid w:val="00A95AFE"/>
    <w:rsid w:val="00AA07CE"/>
    <w:rsid w:val="00AA1D15"/>
    <w:rsid w:val="00AA2CBB"/>
    <w:rsid w:val="00AA4C29"/>
    <w:rsid w:val="00AA6805"/>
    <w:rsid w:val="00AA733B"/>
    <w:rsid w:val="00AA7B19"/>
    <w:rsid w:val="00AB039C"/>
    <w:rsid w:val="00AB1830"/>
    <w:rsid w:val="00AB257C"/>
    <w:rsid w:val="00AB3495"/>
    <w:rsid w:val="00AB5986"/>
    <w:rsid w:val="00AB5C72"/>
    <w:rsid w:val="00AB621E"/>
    <w:rsid w:val="00AC042A"/>
    <w:rsid w:val="00AC1F06"/>
    <w:rsid w:val="00AC35DA"/>
    <w:rsid w:val="00AC5A27"/>
    <w:rsid w:val="00AC6123"/>
    <w:rsid w:val="00AD16EF"/>
    <w:rsid w:val="00AD17F9"/>
    <w:rsid w:val="00AD261F"/>
    <w:rsid w:val="00AD3B9A"/>
    <w:rsid w:val="00AD6CCB"/>
    <w:rsid w:val="00AE07AD"/>
    <w:rsid w:val="00AE1B12"/>
    <w:rsid w:val="00AE3819"/>
    <w:rsid w:val="00AF0A2F"/>
    <w:rsid w:val="00AF2D7A"/>
    <w:rsid w:val="00AF34E9"/>
    <w:rsid w:val="00AF418F"/>
    <w:rsid w:val="00AF501D"/>
    <w:rsid w:val="00AF5731"/>
    <w:rsid w:val="00AF60F6"/>
    <w:rsid w:val="00B01D63"/>
    <w:rsid w:val="00B0213C"/>
    <w:rsid w:val="00B03004"/>
    <w:rsid w:val="00B035ED"/>
    <w:rsid w:val="00B075E0"/>
    <w:rsid w:val="00B112C4"/>
    <w:rsid w:val="00B14A7B"/>
    <w:rsid w:val="00B14F53"/>
    <w:rsid w:val="00B15E16"/>
    <w:rsid w:val="00B169C6"/>
    <w:rsid w:val="00B16F1E"/>
    <w:rsid w:val="00B1799D"/>
    <w:rsid w:val="00B17F4D"/>
    <w:rsid w:val="00B20A56"/>
    <w:rsid w:val="00B20E32"/>
    <w:rsid w:val="00B22E31"/>
    <w:rsid w:val="00B25C94"/>
    <w:rsid w:val="00B260EF"/>
    <w:rsid w:val="00B26538"/>
    <w:rsid w:val="00B32405"/>
    <w:rsid w:val="00B33409"/>
    <w:rsid w:val="00B35D10"/>
    <w:rsid w:val="00B3606E"/>
    <w:rsid w:val="00B377EE"/>
    <w:rsid w:val="00B37C34"/>
    <w:rsid w:val="00B41700"/>
    <w:rsid w:val="00B503A1"/>
    <w:rsid w:val="00B54539"/>
    <w:rsid w:val="00B546A7"/>
    <w:rsid w:val="00B63DCD"/>
    <w:rsid w:val="00B64FED"/>
    <w:rsid w:val="00B65E49"/>
    <w:rsid w:val="00B66C47"/>
    <w:rsid w:val="00B678AE"/>
    <w:rsid w:val="00B734A4"/>
    <w:rsid w:val="00B7373D"/>
    <w:rsid w:val="00B73B5E"/>
    <w:rsid w:val="00B7481B"/>
    <w:rsid w:val="00B7575B"/>
    <w:rsid w:val="00B75E88"/>
    <w:rsid w:val="00B76583"/>
    <w:rsid w:val="00B818D8"/>
    <w:rsid w:val="00B82283"/>
    <w:rsid w:val="00B8309A"/>
    <w:rsid w:val="00B8531E"/>
    <w:rsid w:val="00B85CE5"/>
    <w:rsid w:val="00B86123"/>
    <w:rsid w:val="00B877AE"/>
    <w:rsid w:val="00B90BA8"/>
    <w:rsid w:val="00B91688"/>
    <w:rsid w:val="00B9260B"/>
    <w:rsid w:val="00B92E98"/>
    <w:rsid w:val="00B95352"/>
    <w:rsid w:val="00B95B43"/>
    <w:rsid w:val="00B95B92"/>
    <w:rsid w:val="00B96EF2"/>
    <w:rsid w:val="00B97008"/>
    <w:rsid w:val="00BA025C"/>
    <w:rsid w:val="00BA05C3"/>
    <w:rsid w:val="00BA1AB3"/>
    <w:rsid w:val="00BA3190"/>
    <w:rsid w:val="00BA5D76"/>
    <w:rsid w:val="00BA7AE8"/>
    <w:rsid w:val="00BB0F72"/>
    <w:rsid w:val="00BB1893"/>
    <w:rsid w:val="00BB7F10"/>
    <w:rsid w:val="00BC30A4"/>
    <w:rsid w:val="00BC6253"/>
    <w:rsid w:val="00BD003A"/>
    <w:rsid w:val="00BD0A78"/>
    <w:rsid w:val="00BD2DA9"/>
    <w:rsid w:val="00BD2F15"/>
    <w:rsid w:val="00BD317C"/>
    <w:rsid w:val="00BD4012"/>
    <w:rsid w:val="00BD4C7C"/>
    <w:rsid w:val="00BD56EA"/>
    <w:rsid w:val="00BD571A"/>
    <w:rsid w:val="00BD63F8"/>
    <w:rsid w:val="00BD6CAF"/>
    <w:rsid w:val="00BD7E31"/>
    <w:rsid w:val="00BE153E"/>
    <w:rsid w:val="00BE15F2"/>
    <w:rsid w:val="00BE505A"/>
    <w:rsid w:val="00BF1AF8"/>
    <w:rsid w:val="00BF1B17"/>
    <w:rsid w:val="00BF236B"/>
    <w:rsid w:val="00BF2EC3"/>
    <w:rsid w:val="00BF3950"/>
    <w:rsid w:val="00BF446B"/>
    <w:rsid w:val="00BF4FCC"/>
    <w:rsid w:val="00BF79CD"/>
    <w:rsid w:val="00C00466"/>
    <w:rsid w:val="00C01643"/>
    <w:rsid w:val="00C038A5"/>
    <w:rsid w:val="00C04333"/>
    <w:rsid w:val="00C05A89"/>
    <w:rsid w:val="00C144C8"/>
    <w:rsid w:val="00C15A9A"/>
    <w:rsid w:val="00C15AAA"/>
    <w:rsid w:val="00C16CFB"/>
    <w:rsid w:val="00C22309"/>
    <w:rsid w:val="00C2241D"/>
    <w:rsid w:val="00C229E0"/>
    <w:rsid w:val="00C2696C"/>
    <w:rsid w:val="00C27D3C"/>
    <w:rsid w:val="00C33A1C"/>
    <w:rsid w:val="00C34369"/>
    <w:rsid w:val="00C37220"/>
    <w:rsid w:val="00C378F1"/>
    <w:rsid w:val="00C37AB3"/>
    <w:rsid w:val="00C41CA4"/>
    <w:rsid w:val="00C43F2E"/>
    <w:rsid w:val="00C45538"/>
    <w:rsid w:val="00C45FC0"/>
    <w:rsid w:val="00C466DC"/>
    <w:rsid w:val="00C51B5D"/>
    <w:rsid w:val="00C51DE5"/>
    <w:rsid w:val="00C523A6"/>
    <w:rsid w:val="00C54FB9"/>
    <w:rsid w:val="00C55542"/>
    <w:rsid w:val="00C57553"/>
    <w:rsid w:val="00C602D7"/>
    <w:rsid w:val="00C61305"/>
    <w:rsid w:val="00C614D4"/>
    <w:rsid w:val="00C62404"/>
    <w:rsid w:val="00C64881"/>
    <w:rsid w:val="00C656AE"/>
    <w:rsid w:val="00C66780"/>
    <w:rsid w:val="00C6711A"/>
    <w:rsid w:val="00C674EC"/>
    <w:rsid w:val="00C711EC"/>
    <w:rsid w:val="00C7136A"/>
    <w:rsid w:val="00C71602"/>
    <w:rsid w:val="00C71A7C"/>
    <w:rsid w:val="00C72130"/>
    <w:rsid w:val="00C74078"/>
    <w:rsid w:val="00C7614F"/>
    <w:rsid w:val="00C76273"/>
    <w:rsid w:val="00C76560"/>
    <w:rsid w:val="00C76DE9"/>
    <w:rsid w:val="00C7749D"/>
    <w:rsid w:val="00C82CE3"/>
    <w:rsid w:val="00C86DB6"/>
    <w:rsid w:val="00C86E29"/>
    <w:rsid w:val="00C87E34"/>
    <w:rsid w:val="00C9025C"/>
    <w:rsid w:val="00C91E59"/>
    <w:rsid w:val="00C92E01"/>
    <w:rsid w:val="00C94AB2"/>
    <w:rsid w:val="00C94C99"/>
    <w:rsid w:val="00C9606B"/>
    <w:rsid w:val="00C97E2D"/>
    <w:rsid w:val="00CA1407"/>
    <w:rsid w:val="00CA18D6"/>
    <w:rsid w:val="00CA325A"/>
    <w:rsid w:val="00CA5759"/>
    <w:rsid w:val="00CA67D4"/>
    <w:rsid w:val="00CA6A16"/>
    <w:rsid w:val="00CA6DDE"/>
    <w:rsid w:val="00CA7888"/>
    <w:rsid w:val="00CB0283"/>
    <w:rsid w:val="00CB0B83"/>
    <w:rsid w:val="00CB1C91"/>
    <w:rsid w:val="00CB3A7D"/>
    <w:rsid w:val="00CB4CD5"/>
    <w:rsid w:val="00CB6117"/>
    <w:rsid w:val="00CB630B"/>
    <w:rsid w:val="00CB6878"/>
    <w:rsid w:val="00CC26C6"/>
    <w:rsid w:val="00CC41EB"/>
    <w:rsid w:val="00CC6F25"/>
    <w:rsid w:val="00CC706E"/>
    <w:rsid w:val="00CD11E2"/>
    <w:rsid w:val="00CD3014"/>
    <w:rsid w:val="00CD3056"/>
    <w:rsid w:val="00CD5C49"/>
    <w:rsid w:val="00CD7FBD"/>
    <w:rsid w:val="00CE14FE"/>
    <w:rsid w:val="00CE2137"/>
    <w:rsid w:val="00CE24B5"/>
    <w:rsid w:val="00CE3AF5"/>
    <w:rsid w:val="00CE4C78"/>
    <w:rsid w:val="00CE4EFC"/>
    <w:rsid w:val="00CF0733"/>
    <w:rsid w:val="00CF5055"/>
    <w:rsid w:val="00CF715C"/>
    <w:rsid w:val="00CF7322"/>
    <w:rsid w:val="00D0010E"/>
    <w:rsid w:val="00D00687"/>
    <w:rsid w:val="00D00F45"/>
    <w:rsid w:val="00D00FC4"/>
    <w:rsid w:val="00D02DFE"/>
    <w:rsid w:val="00D03C8E"/>
    <w:rsid w:val="00D04A8E"/>
    <w:rsid w:val="00D063F6"/>
    <w:rsid w:val="00D0799D"/>
    <w:rsid w:val="00D1089B"/>
    <w:rsid w:val="00D10B1E"/>
    <w:rsid w:val="00D126AA"/>
    <w:rsid w:val="00D13D16"/>
    <w:rsid w:val="00D15819"/>
    <w:rsid w:val="00D15B3C"/>
    <w:rsid w:val="00D16600"/>
    <w:rsid w:val="00D26305"/>
    <w:rsid w:val="00D312D4"/>
    <w:rsid w:val="00D32E5E"/>
    <w:rsid w:val="00D33A36"/>
    <w:rsid w:val="00D402FC"/>
    <w:rsid w:val="00D406B0"/>
    <w:rsid w:val="00D4227C"/>
    <w:rsid w:val="00D42BF0"/>
    <w:rsid w:val="00D42C68"/>
    <w:rsid w:val="00D434D2"/>
    <w:rsid w:val="00D43E2F"/>
    <w:rsid w:val="00D513DF"/>
    <w:rsid w:val="00D5298B"/>
    <w:rsid w:val="00D535DB"/>
    <w:rsid w:val="00D5377E"/>
    <w:rsid w:val="00D55853"/>
    <w:rsid w:val="00D56E97"/>
    <w:rsid w:val="00D570F9"/>
    <w:rsid w:val="00D5795D"/>
    <w:rsid w:val="00D63675"/>
    <w:rsid w:val="00D65B9A"/>
    <w:rsid w:val="00D66E64"/>
    <w:rsid w:val="00D67447"/>
    <w:rsid w:val="00D674E0"/>
    <w:rsid w:val="00D67D51"/>
    <w:rsid w:val="00D70B42"/>
    <w:rsid w:val="00D7243C"/>
    <w:rsid w:val="00D766AB"/>
    <w:rsid w:val="00D7792C"/>
    <w:rsid w:val="00D80341"/>
    <w:rsid w:val="00D8088A"/>
    <w:rsid w:val="00D830C4"/>
    <w:rsid w:val="00D837A8"/>
    <w:rsid w:val="00D84C4A"/>
    <w:rsid w:val="00D9000A"/>
    <w:rsid w:val="00D91A6A"/>
    <w:rsid w:val="00D93383"/>
    <w:rsid w:val="00D9393A"/>
    <w:rsid w:val="00D96D85"/>
    <w:rsid w:val="00D9715E"/>
    <w:rsid w:val="00D97A66"/>
    <w:rsid w:val="00DA1DAD"/>
    <w:rsid w:val="00DA32F2"/>
    <w:rsid w:val="00DA4490"/>
    <w:rsid w:val="00DA46BF"/>
    <w:rsid w:val="00DA726A"/>
    <w:rsid w:val="00DA764E"/>
    <w:rsid w:val="00DB00CB"/>
    <w:rsid w:val="00DB1E70"/>
    <w:rsid w:val="00DB3357"/>
    <w:rsid w:val="00DB4284"/>
    <w:rsid w:val="00DB7229"/>
    <w:rsid w:val="00DC014C"/>
    <w:rsid w:val="00DC0405"/>
    <w:rsid w:val="00DC091F"/>
    <w:rsid w:val="00DC1D93"/>
    <w:rsid w:val="00DC2094"/>
    <w:rsid w:val="00DC549D"/>
    <w:rsid w:val="00DC56E7"/>
    <w:rsid w:val="00DC77CA"/>
    <w:rsid w:val="00DD0735"/>
    <w:rsid w:val="00DD2B14"/>
    <w:rsid w:val="00DD473D"/>
    <w:rsid w:val="00DD531F"/>
    <w:rsid w:val="00DD6811"/>
    <w:rsid w:val="00DD7BD2"/>
    <w:rsid w:val="00DE24A1"/>
    <w:rsid w:val="00DE3816"/>
    <w:rsid w:val="00DE4389"/>
    <w:rsid w:val="00DF296A"/>
    <w:rsid w:val="00DF327C"/>
    <w:rsid w:val="00DF3B71"/>
    <w:rsid w:val="00DF47BE"/>
    <w:rsid w:val="00DF4B59"/>
    <w:rsid w:val="00DF5714"/>
    <w:rsid w:val="00DF681E"/>
    <w:rsid w:val="00E00A15"/>
    <w:rsid w:val="00E00A2B"/>
    <w:rsid w:val="00E00D87"/>
    <w:rsid w:val="00E013F1"/>
    <w:rsid w:val="00E027F3"/>
    <w:rsid w:val="00E0294F"/>
    <w:rsid w:val="00E032DD"/>
    <w:rsid w:val="00E03533"/>
    <w:rsid w:val="00E0362D"/>
    <w:rsid w:val="00E036AA"/>
    <w:rsid w:val="00E05674"/>
    <w:rsid w:val="00E075E7"/>
    <w:rsid w:val="00E10712"/>
    <w:rsid w:val="00E13763"/>
    <w:rsid w:val="00E23E58"/>
    <w:rsid w:val="00E24026"/>
    <w:rsid w:val="00E27C39"/>
    <w:rsid w:val="00E33043"/>
    <w:rsid w:val="00E37886"/>
    <w:rsid w:val="00E37BD2"/>
    <w:rsid w:val="00E47905"/>
    <w:rsid w:val="00E4792B"/>
    <w:rsid w:val="00E52E9E"/>
    <w:rsid w:val="00E5304A"/>
    <w:rsid w:val="00E53644"/>
    <w:rsid w:val="00E5462B"/>
    <w:rsid w:val="00E55275"/>
    <w:rsid w:val="00E567CB"/>
    <w:rsid w:val="00E57110"/>
    <w:rsid w:val="00E577D3"/>
    <w:rsid w:val="00E60FC8"/>
    <w:rsid w:val="00E6437E"/>
    <w:rsid w:val="00E651A3"/>
    <w:rsid w:val="00E651DE"/>
    <w:rsid w:val="00E666C1"/>
    <w:rsid w:val="00E66C6F"/>
    <w:rsid w:val="00E702BA"/>
    <w:rsid w:val="00E70A5E"/>
    <w:rsid w:val="00E72307"/>
    <w:rsid w:val="00E72EB0"/>
    <w:rsid w:val="00E74B0A"/>
    <w:rsid w:val="00E76174"/>
    <w:rsid w:val="00E7627C"/>
    <w:rsid w:val="00E764C2"/>
    <w:rsid w:val="00E810FC"/>
    <w:rsid w:val="00E817A2"/>
    <w:rsid w:val="00E82487"/>
    <w:rsid w:val="00E82B03"/>
    <w:rsid w:val="00E84728"/>
    <w:rsid w:val="00E84CB8"/>
    <w:rsid w:val="00E84EE0"/>
    <w:rsid w:val="00E8610D"/>
    <w:rsid w:val="00E90C78"/>
    <w:rsid w:val="00E9147A"/>
    <w:rsid w:val="00E91C99"/>
    <w:rsid w:val="00E91E27"/>
    <w:rsid w:val="00E9281F"/>
    <w:rsid w:val="00E9440E"/>
    <w:rsid w:val="00E94945"/>
    <w:rsid w:val="00E94A60"/>
    <w:rsid w:val="00E95868"/>
    <w:rsid w:val="00E96583"/>
    <w:rsid w:val="00E97382"/>
    <w:rsid w:val="00E974A7"/>
    <w:rsid w:val="00E97567"/>
    <w:rsid w:val="00EA22D5"/>
    <w:rsid w:val="00EA33CB"/>
    <w:rsid w:val="00EA5EA9"/>
    <w:rsid w:val="00EA6751"/>
    <w:rsid w:val="00EB084D"/>
    <w:rsid w:val="00EB4482"/>
    <w:rsid w:val="00EB49A5"/>
    <w:rsid w:val="00EB5496"/>
    <w:rsid w:val="00EB5C55"/>
    <w:rsid w:val="00EB5D16"/>
    <w:rsid w:val="00EB5E9B"/>
    <w:rsid w:val="00EB6181"/>
    <w:rsid w:val="00EB7160"/>
    <w:rsid w:val="00EB7CE3"/>
    <w:rsid w:val="00EC248D"/>
    <w:rsid w:val="00EC309A"/>
    <w:rsid w:val="00EC4125"/>
    <w:rsid w:val="00EC4648"/>
    <w:rsid w:val="00EC4B3B"/>
    <w:rsid w:val="00EC7A05"/>
    <w:rsid w:val="00ED17DF"/>
    <w:rsid w:val="00ED2B78"/>
    <w:rsid w:val="00ED645C"/>
    <w:rsid w:val="00ED64F0"/>
    <w:rsid w:val="00ED678E"/>
    <w:rsid w:val="00ED72CE"/>
    <w:rsid w:val="00ED7A5F"/>
    <w:rsid w:val="00EE22FB"/>
    <w:rsid w:val="00EE435F"/>
    <w:rsid w:val="00EE777A"/>
    <w:rsid w:val="00EF1239"/>
    <w:rsid w:val="00EF1FB2"/>
    <w:rsid w:val="00EF5035"/>
    <w:rsid w:val="00F00700"/>
    <w:rsid w:val="00F03E8D"/>
    <w:rsid w:val="00F049A0"/>
    <w:rsid w:val="00F0528A"/>
    <w:rsid w:val="00F062AF"/>
    <w:rsid w:val="00F06960"/>
    <w:rsid w:val="00F101F2"/>
    <w:rsid w:val="00F104FE"/>
    <w:rsid w:val="00F12CB3"/>
    <w:rsid w:val="00F12FF6"/>
    <w:rsid w:val="00F312EE"/>
    <w:rsid w:val="00F34491"/>
    <w:rsid w:val="00F37B3A"/>
    <w:rsid w:val="00F437F0"/>
    <w:rsid w:val="00F44D42"/>
    <w:rsid w:val="00F472CC"/>
    <w:rsid w:val="00F5252A"/>
    <w:rsid w:val="00F545F3"/>
    <w:rsid w:val="00F55025"/>
    <w:rsid w:val="00F56F34"/>
    <w:rsid w:val="00F57028"/>
    <w:rsid w:val="00F5769D"/>
    <w:rsid w:val="00F632BB"/>
    <w:rsid w:val="00F65107"/>
    <w:rsid w:val="00F651A0"/>
    <w:rsid w:val="00F6557A"/>
    <w:rsid w:val="00F6592D"/>
    <w:rsid w:val="00F742C9"/>
    <w:rsid w:val="00F75BFF"/>
    <w:rsid w:val="00F8193B"/>
    <w:rsid w:val="00F83188"/>
    <w:rsid w:val="00F837BB"/>
    <w:rsid w:val="00F83E3C"/>
    <w:rsid w:val="00F853BF"/>
    <w:rsid w:val="00F8597D"/>
    <w:rsid w:val="00F86020"/>
    <w:rsid w:val="00F92104"/>
    <w:rsid w:val="00F93DEC"/>
    <w:rsid w:val="00F97DA6"/>
    <w:rsid w:val="00FA01C6"/>
    <w:rsid w:val="00FA1735"/>
    <w:rsid w:val="00FA6BA4"/>
    <w:rsid w:val="00FA7063"/>
    <w:rsid w:val="00FA79B3"/>
    <w:rsid w:val="00FB4B87"/>
    <w:rsid w:val="00FC0700"/>
    <w:rsid w:val="00FC0B9A"/>
    <w:rsid w:val="00FC2F6E"/>
    <w:rsid w:val="00FC2FA5"/>
    <w:rsid w:val="00FC36DC"/>
    <w:rsid w:val="00FC4DB4"/>
    <w:rsid w:val="00FC611D"/>
    <w:rsid w:val="00FC7134"/>
    <w:rsid w:val="00FC7EAB"/>
    <w:rsid w:val="00FD02FB"/>
    <w:rsid w:val="00FD213A"/>
    <w:rsid w:val="00FD37B4"/>
    <w:rsid w:val="00FD3AB3"/>
    <w:rsid w:val="00FD3BC9"/>
    <w:rsid w:val="00FD5A33"/>
    <w:rsid w:val="00FD5F80"/>
    <w:rsid w:val="00FD6745"/>
    <w:rsid w:val="00FD6CC6"/>
    <w:rsid w:val="00FE0BEA"/>
    <w:rsid w:val="00FE1C93"/>
    <w:rsid w:val="00FF3905"/>
    <w:rsid w:val="00FF5608"/>
    <w:rsid w:val="00FF5C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6033">
      <w:marLeft w:val="0"/>
      <w:marRight w:val="0"/>
      <w:marTop w:val="0"/>
      <w:marBottom w:val="0"/>
      <w:divBdr>
        <w:top w:val="none" w:sz="0" w:space="0" w:color="auto"/>
        <w:left w:val="none" w:sz="0" w:space="0" w:color="auto"/>
        <w:bottom w:val="none" w:sz="0" w:space="0" w:color="auto"/>
        <w:right w:val="none" w:sz="0" w:space="0" w:color="auto"/>
      </w:divBdr>
    </w:div>
    <w:div w:id="281806034">
      <w:marLeft w:val="0"/>
      <w:marRight w:val="0"/>
      <w:marTop w:val="0"/>
      <w:marBottom w:val="0"/>
      <w:divBdr>
        <w:top w:val="none" w:sz="0" w:space="0" w:color="auto"/>
        <w:left w:val="none" w:sz="0" w:space="0" w:color="auto"/>
        <w:bottom w:val="none" w:sz="0" w:space="0" w:color="auto"/>
        <w:right w:val="none" w:sz="0" w:space="0" w:color="auto"/>
      </w:divBdr>
    </w:div>
    <w:div w:id="281806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ris.soybilgen@bahcesehir.edu.tr"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umrut.imamoglu@bahcesehir.edu.tr"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C9DF9-06B2-4EF3-9AD2-9F692833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oş</vt:lpstr>
    </vt:vector>
  </TitlesOfParts>
  <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creator>baris.soybilgen</dc:creator>
  <cp:lastModifiedBy>merve.akgul</cp:lastModifiedBy>
  <cp:revision>2</cp:revision>
  <cp:lastPrinted>2014-03-13T11:22:00Z</cp:lastPrinted>
  <dcterms:created xsi:type="dcterms:W3CDTF">2014-03-13T13:23:00Z</dcterms:created>
  <dcterms:modified xsi:type="dcterms:W3CDTF">2014-03-13T13:23:00Z</dcterms:modified>
</cp:coreProperties>
</file>