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D3" w:rsidRDefault="009224F5" w:rsidP="001E4BF5">
      <w:pPr>
        <w:spacing w:line="360" w:lineRule="auto"/>
        <w:ind w:right="-319"/>
        <w:jc w:val="center"/>
        <w:outlineLvl w:val="0"/>
        <w:rPr>
          <w:rFonts w:ascii="Arial" w:hAnsi="Arial" w:cs="Arial"/>
          <w:b/>
          <w:bCs/>
          <w:sz w:val="32"/>
          <w:szCs w:val="32"/>
        </w:rPr>
      </w:pPr>
      <w:r>
        <w:rPr>
          <w:noProof/>
        </w:rPr>
        <w:drawing>
          <wp:anchor distT="0" distB="0" distL="114300" distR="114300" simplePos="0" relativeHeight="251655680"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8" name="Picture 1" descr="Description: :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TUR).jpg"/>
                    <pic:cNvPicPr>
                      <a:picLocks noChangeAspect="1" noChangeArrowheads="1"/>
                    </pic:cNvPicPr>
                  </pic:nvPicPr>
                  <pic:blipFill>
                    <a:blip r:embed="rId8"/>
                    <a:srcRect/>
                    <a:stretch>
                      <a:fillRect/>
                    </a:stretch>
                  </pic:blipFill>
                  <pic:spPr bwMode="auto">
                    <a:xfrm>
                      <a:off x="0" y="0"/>
                      <a:ext cx="6858000" cy="1261745"/>
                    </a:xfrm>
                    <a:prstGeom prst="rect">
                      <a:avLst/>
                    </a:prstGeom>
                    <a:noFill/>
                    <a:ln w="9525">
                      <a:noFill/>
                      <a:miter lim="800000"/>
                      <a:headEnd/>
                      <a:tailEnd/>
                    </a:ln>
                  </pic:spPr>
                </pic:pic>
              </a:graphicData>
            </a:graphic>
          </wp:anchor>
        </w:drawing>
      </w:r>
      <w:r w:rsidR="002802F2" w:rsidRPr="002802F2">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17pt;margin-top:-45pt;width:312.1pt;height:44.8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" stroked="f">
            <v:fill opacity="0"/>
            <v:textbox inset="0,0,0,0">
              <w:txbxContent>
                <w:p w:rsidR="00054BD3" w:rsidRPr="0026114C" w:rsidRDefault="00054BD3" w:rsidP="00024559">
                  <w:pPr>
                    <w:pStyle w:val="Heading1"/>
                    <w:rPr>
                      <w:rFonts w:ascii="Times New Roman" w:hAnsi="Times New Roman"/>
                      <w:sz w:val="40"/>
                      <w:szCs w:val="40"/>
                    </w:rPr>
                  </w:pPr>
                  <w:r>
                    <w:rPr>
                      <w:rFonts w:ascii="Times New Roman" w:hAnsi="Times New Roman"/>
                      <w:sz w:val="40"/>
                      <w:szCs w:val="40"/>
                    </w:rPr>
                    <w:t xml:space="preserve">Ekonomik Görünüm ve Tahminler: </w:t>
                  </w:r>
                  <w:r w:rsidR="00220B5E">
                    <w:rPr>
                      <w:rFonts w:ascii="Times New Roman" w:hAnsi="Times New Roman"/>
                      <w:sz w:val="40"/>
                      <w:szCs w:val="40"/>
                    </w:rPr>
                    <w:t>Ocak</w:t>
                  </w:r>
                  <w:r w:rsidR="0026114C">
                    <w:rPr>
                      <w:rFonts w:ascii="Times New Roman" w:hAnsi="Times New Roman"/>
                      <w:sz w:val="40"/>
                      <w:szCs w:val="40"/>
                    </w:rPr>
                    <w:t xml:space="preserve"> 2014</w:t>
                  </w:r>
                </w:p>
                <w:p w:rsidR="00054BD3" w:rsidRPr="00A75A46" w:rsidRDefault="00054BD3" w:rsidP="00024559">
                  <w:pPr>
                    <w:pStyle w:val="Heading2"/>
                    <w:rPr>
                      <w:b w:val="0"/>
                      <w:bCs w:val="0"/>
                      <w:i w:val="0"/>
                      <w:iCs w:val="0"/>
                      <w:lang w:val="nl-NL"/>
                    </w:rPr>
                  </w:pPr>
                </w:p>
              </w:txbxContent>
            </v:textbox>
          </v:shape>
        </w:pict>
      </w:r>
    </w:p>
    <w:p w:rsidR="00054BD3" w:rsidRDefault="002802F2" w:rsidP="001E4BF5">
      <w:pPr>
        <w:spacing w:line="360" w:lineRule="auto"/>
        <w:ind w:right="-319"/>
        <w:jc w:val="center"/>
        <w:outlineLvl w:val="0"/>
        <w:rPr>
          <w:rFonts w:ascii="Arial" w:hAnsi="Arial" w:cs="Arial"/>
          <w:b/>
          <w:bCs/>
          <w:sz w:val="32"/>
          <w:szCs w:val="32"/>
        </w:rPr>
      </w:pPr>
      <w:r w:rsidRPr="002802F2">
        <w:rPr>
          <w:noProof/>
        </w:rPr>
        <w:lastRenderedPageBreak/>
        <w:pict>
          <v:shape id="Text Box 4" o:spid="_x0000_s1027" type="#_x0000_t202" style="position:absolute;left:0;text-align:left;margin-left:158.3pt;margin-top:18pt;width:90.45pt;height:27.4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" stroked="f">
            <v:fill opacity="0"/>
            <v:textbox inset="0,0,0,0">
              <w:txbxContent>
                <w:p w:rsidR="00054BD3" w:rsidRPr="00DB7229" w:rsidRDefault="002B3129" w:rsidP="00024559">
                  <w:pPr>
                    <w:pStyle w:val="Heading3"/>
                    <w:rPr>
                      <w:color w:val="FFFFFF"/>
                      <w:sz w:val="22"/>
                      <w:szCs w:val="22"/>
                    </w:rPr>
                  </w:pPr>
                  <w:r>
                    <w:rPr>
                      <w:color w:val="FFFFFF"/>
                      <w:sz w:val="22"/>
                      <w:szCs w:val="22"/>
                    </w:rPr>
                    <w:t xml:space="preserve">         14</w:t>
                  </w:r>
                  <w:r w:rsidR="00144285">
                    <w:rPr>
                      <w:color w:val="FFFFFF"/>
                      <w:sz w:val="22"/>
                      <w:szCs w:val="22"/>
                    </w:rPr>
                    <w:t>.</w:t>
                  </w:r>
                  <w:r w:rsidR="00220B5E">
                    <w:rPr>
                      <w:color w:val="FFFFFF"/>
                      <w:sz w:val="22"/>
                      <w:szCs w:val="22"/>
                    </w:rPr>
                    <w:t>01</w:t>
                  </w:r>
                  <w:r w:rsidR="00DB7229">
                    <w:rPr>
                      <w:color w:val="FFFFFF"/>
                      <w:sz w:val="22"/>
                      <w:szCs w:val="22"/>
                    </w:rPr>
                    <w:t>.2014</w:t>
                  </w:r>
                </w:p>
                <w:p w:rsidR="00054BD3" w:rsidRDefault="00054BD3" w:rsidP="00024559"/>
              </w:txbxContent>
            </v:textbox>
          </v:shape>
        </w:pict>
      </w:r>
    </w:p>
    <w:p w:rsidR="00054BD3" w:rsidRDefault="00054BD3" w:rsidP="001E4BF5">
      <w:pPr>
        <w:spacing w:line="360" w:lineRule="auto"/>
        <w:ind w:right="-319"/>
        <w:jc w:val="center"/>
        <w:outlineLvl w:val="0"/>
        <w:rPr>
          <w:rFonts w:ascii="Arial" w:hAnsi="Arial" w:cs="Arial"/>
          <w:b/>
          <w:bCs/>
          <w:sz w:val="32"/>
          <w:szCs w:val="32"/>
        </w:rPr>
        <w:sectPr w:rsidR="00054BD3" w:rsidSect="00357ECC">
          <w:footerReference w:type="default" r:id="rId9"/>
          <w:pgSz w:w="11906" w:h="16838"/>
          <w:pgMar w:top="1417" w:right="1417" w:bottom="1417" w:left="1417" w:header="708" w:footer="708" w:gutter="0"/>
          <w:cols w:num="2" w:space="708" w:equalWidth="0">
            <w:col w:w="4182" w:space="708"/>
            <w:col w:w="4182"/>
          </w:cols>
          <w:docGrid w:linePitch="360"/>
        </w:sectPr>
      </w:pPr>
    </w:p>
    <w:p w:rsidR="00054BD3" w:rsidRDefault="00054BD3" w:rsidP="001E4BF5">
      <w:pPr>
        <w:spacing w:line="360" w:lineRule="auto"/>
        <w:ind w:right="-319"/>
        <w:outlineLvl w:val="0"/>
        <w:rPr>
          <w:rFonts w:ascii="Arial" w:hAnsi="Arial" w:cs="Arial"/>
          <w:b/>
          <w:bCs/>
          <w:sz w:val="32"/>
          <w:szCs w:val="32"/>
        </w:rPr>
      </w:pPr>
    </w:p>
    <w:p w:rsidR="00144285" w:rsidRDefault="003D0AB6" w:rsidP="00144285">
      <w:pPr>
        <w:ind w:right="-317"/>
        <w:jc w:val="center"/>
        <w:outlineLvl w:val="0"/>
        <w:rPr>
          <w:rFonts w:ascii="Arial" w:hAnsi="Arial" w:cs="Arial"/>
          <w:b/>
          <w:bCs/>
          <w:caps/>
          <w:sz w:val="28"/>
          <w:szCs w:val="28"/>
        </w:rPr>
      </w:pPr>
      <w:r>
        <w:rPr>
          <w:rFonts w:ascii="Arial" w:hAnsi="Arial" w:cs="Arial"/>
          <w:b/>
          <w:bCs/>
          <w:caps/>
          <w:sz w:val="28"/>
          <w:szCs w:val="28"/>
        </w:rPr>
        <w:t>ekonomik görünüm kasımda iyileşti</w:t>
      </w:r>
      <w:bookmarkStart w:id="0" w:name="_GoBack"/>
      <w:bookmarkEnd w:id="0"/>
    </w:p>
    <w:p w:rsidR="00901189" w:rsidRDefault="00901189" w:rsidP="00F83188">
      <w:pPr>
        <w:ind w:right="-317"/>
        <w:jc w:val="center"/>
        <w:outlineLvl w:val="0"/>
        <w:rPr>
          <w:rFonts w:ascii="Arial" w:hAnsi="Arial" w:cs="Arial"/>
          <w:b/>
          <w:bCs/>
          <w:caps/>
          <w:sz w:val="28"/>
          <w:szCs w:val="28"/>
        </w:rPr>
      </w:pPr>
    </w:p>
    <w:p w:rsidR="00054BD3" w:rsidRPr="00D63675" w:rsidRDefault="00054BD3" w:rsidP="00522063">
      <w:pPr>
        <w:ind w:right="-317"/>
        <w:jc w:val="center"/>
        <w:outlineLvl w:val="0"/>
        <w:rPr>
          <w:rFonts w:ascii="Arial" w:hAnsi="Arial" w:cs="Arial"/>
          <w:b/>
          <w:bCs/>
          <w:sz w:val="21"/>
          <w:szCs w:val="21"/>
          <w:vertAlign w:val="superscript"/>
        </w:rPr>
      </w:pPr>
      <w:r w:rsidRPr="00D63675">
        <w:rPr>
          <w:rFonts w:ascii="Arial" w:hAnsi="Arial" w:cs="Arial"/>
          <w:b/>
          <w:bCs/>
          <w:sz w:val="21"/>
          <w:szCs w:val="21"/>
        </w:rPr>
        <w:t>Zümrüt İmamoğlu* ve Barış Soybilgen</w:t>
      </w:r>
      <w:r w:rsidR="00F8597D">
        <w:rPr>
          <w:rFonts w:ascii="Arial" w:hAnsi="Arial" w:cs="Arial"/>
          <w:b/>
          <w:bCs/>
          <w:sz w:val="21"/>
          <w:szCs w:val="21"/>
          <w:vertAlign w:val="superscript"/>
        </w:rPr>
        <w:t>**</w:t>
      </w:r>
    </w:p>
    <w:p w:rsidR="00054BD3" w:rsidRDefault="00054BD3" w:rsidP="00D837A8">
      <w:pPr>
        <w:spacing w:line="360" w:lineRule="auto"/>
        <w:ind w:right="-319"/>
        <w:jc w:val="center"/>
        <w:outlineLvl w:val="0"/>
        <w:rPr>
          <w:rFonts w:ascii="Arial" w:hAnsi="Arial" w:cs="Arial"/>
          <w:sz w:val="22"/>
          <w:szCs w:val="22"/>
          <w:vertAlign w:val="superscript"/>
        </w:rPr>
      </w:pPr>
    </w:p>
    <w:p w:rsidR="00054BD3" w:rsidRPr="004A7FE6" w:rsidRDefault="00054BD3" w:rsidP="00D837A8">
      <w:pPr>
        <w:spacing w:line="360" w:lineRule="auto"/>
        <w:ind w:right="-319"/>
        <w:jc w:val="center"/>
        <w:outlineLvl w:val="0"/>
        <w:rPr>
          <w:rFonts w:ascii="Arial" w:hAnsi="Arial" w:cs="Arial"/>
          <w:sz w:val="22"/>
          <w:szCs w:val="22"/>
          <w:vertAlign w:val="superscript"/>
        </w:rPr>
        <w:sectPr w:rsidR="00054BD3" w:rsidRPr="004A7FE6" w:rsidSect="008651A8">
          <w:type w:val="continuous"/>
          <w:pgSz w:w="11906" w:h="16838"/>
          <w:pgMar w:top="1417" w:right="1417" w:bottom="1417" w:left="1417" w:header="708" w:footer="708" w:gutter="0"/>
          <w:cols w:space="708"/>
          <w:docGrid w:linePitch="360"/>
        </w:sectPr>
      </w:pPr>
    </w:p>
    <w:p w:rsidR="003634C2" w:rsidRDefault="003634C2" w:rsidP="00EA5EA9">
      <w:pPr>
        <w:spacing w:line="360" w:lineRule="auto"/>
        <w:ind w:left="-360" w:right="40"/>
        <w:jc w:val="both"/>
        <w:rPr>
          <w:sz w:val="22"/>
          <w:szCs w:val="22"/>
        </w:rPr>
      </w:pPr>
    </w:p>
    <w:p w:rsidR="00AB257C" w:rsidRDefault="003634C2" w:rsidP="00144285">
      <w:pPr>
        <w:spacing w:line="360" w:lineRule="auto"/>
        <w:ind w:left="-360" w:right="42" w:firstLine="360"/>
        <w:jc w:val="center"/>
        <w:rPr>
          <w:b/>
          <w:bCs/>
          <w:sz w:val="22"/>
          <w:szCs w:val="22"/>
        </w:rPr>
      </w:pPr>
      <w:r w:rsidRPr="004A7FE6">
        <w:rPr>
          <w:b/>
          <w:bCs/>
          <w:sz w:val="22"/>
          <w:szCs w:val="22"/>
        </w:rPr>
        <w:t>Yönetici Özeti</w:t>
      </w:r>
    </w:p>
    <w:p w:rsidR="00E97382" w:rsidRPr="002B6972" w:rsidRDefault="00E97382" w:rsidP="00144285">
      <w:pPr>
        <w:spacing w:line="360" w:lineRule="auto"/>
        <w:ind w:left="-360" w:right="42" w:firstLine="360"/>
        <w:jc w:val="center"/>
        <w:rPr>
          <w:b/>
          <w:bCs/>
          <w:sz w:val="22"/>
          <w:szCs w:val="22"/>
        </w:rPr>
      </w:pPr>
    </w:p>
    <w:p w:rsidR="00D02DFE" w:rsidRDefault="00144285" w:rsidP="00144285">
      <w:pPr>
        <w:spacing w:line="360" w:lineRule="auto"/>
        <w:ind w:left="-360" w:right="40"/>
        <w:jc w:val="both"/>
        <w:rPr>
          <w:sz w:val="22"/>
          <w:szCs w:val="22"/>
        </w:rPr>
      </w:pPr>
      <w:r>
        <w:rPr>
          <w:sz w:val="22"/>
          <w:szCs w:val="22"/>
        </w:rPr>
        <w:t xml:space="preserve">Mevsim ve takvim etkisinden arındırılmış Sanayi Üretim Endeksi (SÜE) </w:t>
      </w:r>
      <w:r w:rsidR="007B4C7C">
        <w:rPr>
          <w:sz w:val="22"/>
          <w:szCs w:val="22"/>
        </w:rPr>
        <w:t>Kasım</w:t>
      </w:r>
      <w:r>
        <w:rPr>
          <w:sz w:val="22"/>
          <w:szCs w:val="22"/>
        </w:rPr>
        <w:t xml:space="preserve"> ayında bir önceki aya göre yüzde </w:t>
      </w:r>
      <w:r w:rsidR="007B4C7C">
        <w:rPr>
          <w:sz w:val="22"/>
          <w:szCs w:val="22"/>
        </w:rPr>
        <w:t>2</w:t>
      </w:r>
      <w:r>
        <w:rPr>
          <w:sz w:val="22"/>
          <w:szCs w:val="22"/>
        </w:rPr>
        <w:t>,</w:t>
      </w:r>
      <w:r w:rsidR="007B4C7C">
        <w:rPr>
          <w:sz w:val="22"/>
          <w:szCs w:val="22"/>
        </w:rPr>
        <w:t>9</w:t>
      </w:r>
      <w:r>
        <w:rPr>
          <w:sz w:val="22"/>
          <w:szCs w:val="22"/>
        </w:rPr>
        <w:t xml:space="preserve"> oranında </w:t>
      </w:r>
      <w:r w:rsidR="007B4C7C">
        <w:rPr>
          <w:sz w:val="22"/>
          <w:szCs w:val="22"/>
        </w:rPr>
        <w:t>arttı</w:t>
      </w:r>
      <w:r>
        <w:rPr>
          <w:sz w:val="22"/>
          <w:szCs w:val="22"/>
        </w:rPr>
        <w:t>. İ</w:t>
      </w:r>
      <w:r w:rsidRPr="00A41035">
        <w:rPr>
          <w:sz w:val="22"/>
          <w:szCs w:val="22"/>
        </w:rPr>
        <w:t xml:space="preserve">hracat miktar endeksi yüzde </w:t>
      </w:r>
      <w:r w:rsidR="007B4C7C">
        <w:rPr>
          <w:sz w:val="22"/>
          <w:szCs w:val="22"/>
        </w:rPr>
        <w:t>2</w:t>
      </w:r>
      <w:r w:rsidRPr="00A41035">
        <w:rPr>
          <w:sz w:val="22"/>
          <w:szCs w:val="22"/>
        </w:rPr>
        <w:t>,</w:t>
      </w:r>
      <w:r w:rsidR="007B4C7C">
        <w:rPr>
          <w:sz w:val="22"/>
          <w:szCs w:val="22"/>
        </w:rPr>
        <w:t>6</w:t>
      </w:r>
      <w:r>
        <w:rPr>
          <w:sz w:val="22"/>
          <w:szCs w:val="22"/>
        </w:rPr>
        <w:t>,</w:t>
      </w:r>
      <w:r w:rsidRPr="00A41035">
        <w:rPr>
          <w:sz w:val="22"/>
          <w:szCs w:val="22"/>
        </w:rPr>
        <w:t xml:space="preserve"> ithalat miktar endeksi </w:t>
      </w:r>
      <w:r w:rsidR="007B4C7C">
        <w:rPr>
          <w:sz w:val="22"/>
          <w:szCs w:val="22"/>
        </w:rPr>
        <w:t xml:space="preserve">de </w:t>
      </w:r>
      <w:r w:rsidRPr="00A41035">
        <w:rPr>
          <w:sz w:val="22"/>
          <w:szCs w:val="22"/>
        </w:rPr>
        <w:t xml:space="preserve">yüzde </w:t>
      </w:r>
      <w:r w:rsidR="007B4C7C">
        <w:rPr>
          <w:sz w:val="22"/>
          <w:szCs w:val="22"/>
        </w:rPr>
        <w:t>0</w:t>
      </w:r>
      <w:r>
        <w:rPr>
          <w:sz w:val="22"/>
          <w:szCs w:val="22"/>
        </w:rPr>
        <w:t>,</w:t>
      </w:r>
      <w:r w:rsidR="007B4C7C">
        <w:rPr>
          <w:sz w:val="22"/>
          <w:szCs w:val="22"/>
        </w:rPr>
        <w:t>9</w:t>
      </w:r>
      <w:r w:rsidR="005D0AD6">
        <w:rPr>
          <w:sz w:val="22"/>
          <w:szCs w:val="22"/>
        </w:rPr>
        <w:t xml:space="preserve"> </w:t>
      </w:r>
      <w:r w:rsidR="00434B76">
        <w:rPr>
          <w:sz w:val="22"/>
          <w:szCs w:val="22"/>
        </w:rPr>
        <w:t>artış gösterdi</w:t>
      </w:r>
      <w:r w:rsidRPr="00A41035">
        <w:rPr>
          <w:sz w:val="22"/>
          <w:szCs w:val="22"/>
        </w:rPr>
        <w:t>.</w:t>
      </w:r>
      <w:r w:rsidR="005D0AD6">
        <w:rPr>
          <w:sz w:val="22"/>
          <w:szCs w:val="22"/>
        </w:rPr>
        <w:t xml:space="preserve"> </w:t>
      </w:r>
      <w:r w:rsidR="007B4C7C">
        <w:rPr>
          <w:sz w:val="22"/>
          <w:szCs w:val="22"/>
        </w:rPr>
        <w:t>Kasım</w:t>
      </w:r>
      <w:r w:rsidR="00EB5D16">
        <w:rPr>
          <w:sz w:val="22"/>
          <w:szCs w:val="22"/>
        </w:rPr>
        <w:t xml:space="preserve"> ayı</w:t>
      </w:r>
      <w:r w:rsidR="007B4C7C">
        <w:rPr>
          <w:sz w:val="22"/>
          <w:szCs w:val="22"/>
        </w:rPr>
        <w:t>nda beklediğimiz gibi SÜE toparlandı ve Ekim'de bayram etkisinden kaynaklanan düşüşü telafi etti.</w:t>
      </w:r>
      <w:r w:rsidR="005D0AD6">
        <w:rPr>
          <w:sz w:val="22"/>
          <w:szCs w:val="22"/>
        </w:rPr>
        <w:t xml:space="preserve"> </w:t>
      </w:r>
      <w:r w:rsidR="00BC6253">
        <w:rPr>
          <w:sz w:val="22"/>
          <w:szCs w:val="22"/>
        </w:rPr>
        <w:t>S</w:t>
      </w:r>
      <w:r w:rsidR="00F545F3">
        <w:rPr>
          <w:sz w:val="22"/>
          <w:szCs w:val="22"/>
        </w:rPr>
        <w:t>on çeyrekte t</w:t>
      </w:r>
      <w:r w:rsidR="00901189">
        <w:rPr>
          <w:sz w:val="22"/>
          <w:szCs w:val="22"/>
        </w:rPr>
        <w:t xml:space="preserve">üketimde </w:t>
      </w:r>
      <w:r w:rsidR="00F545F3">
        <w:rPr>
          <w:sz w:val="22"/>
          <w:szCs w:val="22"/>
        </w:rPr>
        <w:t>artışın</w:t>
      </w:r>
      <w:r w:rsidR="00BC6253">
        <w:rPr>
          <w:sz w:val="22"/>
          <w:szCs w:val="22"/>
        </w:rPr>
        <w:t>ın</w:t>
      </w:r>
      <w:r w:rsidR="00F545F3">
        <w:rPr>
          <w:sz w:val="22"/>
          <w:szCs w:val="22"/>
        </w:rPr>
        <w:t xml:space="preserve"> yavaşladığını</w:t>
      </w:r>
      <w:r w:rsidR="00901189">
        <w:rPr>
          <w:sz w:val="22"/>
          <w:szCs w:val="22"/>
        </w:rPr>
        <w:t>, yatırımlar</w:t>
      </w:r>
      <w:r w:rsidR="00D02DFE">
        <w:rPr>
          <w:sz w:val="22"/>
          <w:szCs w:val="22"/>
        </w:rPr>
        <w:t>ın</w:t>
      </w:r>
      <w:r w:rsidR="00901189">
        <w:rPr>
          <w:sz w:val="22"/>
          <w:szCs w:val="22"/>
        </w:rPr>
        <w:t xml:space="preserve"> ise </w:t>
      </w:r>
      <w:r w:rsidR="00D02DFE">
        <w:rPr>
          <w:sz w:val="22"/>
          <w:szCs w:val="22"/>
        </w:rPr>
        <w:t>yatay seyre</w:t>
      </w:r>
      <w:r w:rsidR="00F545F3">
        <w:rPr>
          <w:sz w:val="22"/>
          <w:szCs w:val="22"/>
        </w:rPr>
        <w:t>ttiğini</w:t>
      </w:r>
      <w:r w:rsidR="00357987">
        <w:rPr>
          <w:sz w:val="22"/>
          <w:szCs w:val="22"/>
        </w:rPr>
        <w:t xml:space="preserve"> </w:t>
      </w:r>
      <w:r w:rsidR="00F545F3">
        <w:rPr>
          <w:sz w:val="22"/>
          <w:szCs w:val="22"/>
        </w:rPr>
        <w:t>tahmin ediyoruz</w:t>
      </w:r>
      <w:r w:rsidR="00D02DFE">
        <w:rPr>
          <w:sz w:val="22"/>
          <w:szCs w:val="22"/>
        </w:rPr>
        <w:t xml:space="preserve">. </w:t>
      </w:r>
      <w:r w:rsidR="007B4C7C">
        <w:rPr>
          <w:sz w:val="22"/>
          <w:szCs w:val="22"/>
        </w:rPr>
        <w:t>Ancak son çeyrek</w:t>
      </w:r>
      <w:r w:rsidR="00F545F3">
        <w:rPr>
          <w:sz w:val="22"/>
          <w:szCs w:val="22"/>
        </w:rPr>
        <w:t xml:space="preserve"> büyümesi</w:t>
      </w:r>
      <w:r w:rsidR="007B4C7C">
        <w:rPr>
          <w:sz w:val="22"/>
          <w:szCs w:val="22"/>
        </w:rPr>
        <w:t xml:space="preserve"> için asıl yön belirleyici Aralık ayı verileri olacak.</w:t>
      </w:r>
    </w:p>
    <w:p w:rsidR="00901189" w:rsidRDefault="00901189" w:rsidP="00144285">
      <w:pPr>
        <w:spacing w:line="360" w:lineRule="auto"/>
        <w:ind w:left="-360" w:right="40"/>
        <w:jc w:val="both"/>
        <w:rPr>
          <w:sz w:val="22"/>
          <w:szCs w:val="22"/>
        </w:rPr>
      </w:pPr>
    </w:p>
    <w:p w:rsidR="00A3472C" w:rsidRDefault="00F545F3" w:rsidP="00EB5D16">
      <w:pPr>
        <w:spacing w:line="360" w:lineRule="auto"/>
        <w:ind w:left="-360" w:right="40"/>
        <w:jc w:val="both"/>
        <w:rPr>
          <w:sz w:val="22"/>
          <w:szCs w:val="22"/>
        </w:rPr>
      </w:pPr>
      <w:r>
        <w:rPr>
          <w:sz w:val="22"/>
          <w:szCs w:val="22"/>
        </w:rPr>
        <w:t xml:space="preserve">Kasım ayında hem ihracat hem de sanayi üretimdeki toparlanmayı takiben </w:t>
      </w:r>
      <w:r w:rsidR="005253A2">
        <w:rPr>
          <w:sz w:val="22"/>
          <w:szCs w:val="22"/>
        </w:rPr>
        <w:t xml:space="preserve">Betam’ın </w:t>
      </w:r>
      <w:r w:rsidR="0021766E">
        <w:rPr>
          <w:sz w:val="22"/>
          <w:szCs w:val="22"/>
        </w:rPr>
        <w:t>son</w:t>
      </w:r>
      <w:r w:rsidR="005253A2">
        <w:rPr>
          <w:sz w:val="22"/>
          <w:szCs w:val="22"/>
        </w:rPr>
        <w:t xml:space="preserve"> çeyr</w:t>
      </w:r>
      <w:r w:rsidR="00901189">
        <w:rPr>
          <w:sz w:val="22"/>
          <w:szCs w:val="22"/>
        </w:rPr>
        <w:t>e</w:t>
      </w:r>
      <w:r>
        <w:rPr>
          <w:sz w:val="22"/>
          <w:szCs w:val="22"/>
        </w:rPr>
        <w:t>ğe dair</w:t>
      </w:r>
      <w:r w:rsidR="00357987">
        <w:rPr>
          <w:sz w:val="22"/>
          <w:szCs w:val="22"/>
        </w:rPr>
        <w:t xml:space="preserve"> </w:t>
      </w:r>
      <w:r w:rsidR="005253A2">
        <w:rPr>
          <w:sz w:val="22"/>
          <w:szCs w:val="22"/>
        </w:rPr>
        <w:t>büyüme tahminleri</w:t>
      </w:r>
      <w:r>
        <w:rPr>
          <w:sz w:val="22"/>
          <w:szCs w:val="22"/>
        </w:rPr>
        <w:t xml:space="preserve"> yukarı yönlü revize edi</w:t>
      </w:r>
      <w:r w:rsidR="009B0086">
        <w:rPr>
          <w:sz w:val="22"/>
          <w:szCs w:val="22"/>
        </w:rPr>
        <w:t>ldi</w:t>
      </w:r>
      <w:r>
        <w:rPr>
          <w:sz w:val="22"/>
          <w:szCs w:val="22"/>
        </w:rPr>
        <w:t>. Ç</w:t>
      </w:r>
      <w:r w:rsidR="00144285">
        <w:rPr>
          <w:sz w:val="22"/>
          <w:szCs w:val="22"/>
        </w:rPr>
        <w:t>eyrekten çeyreğe büyüme</w:t>
      </w:r>
      <w:r>
        <w:rPr>
          <w:sz w:val="22"/>
          <w:szCs w:val="22"/>
        </w:rPr>
        <w:t xml:space="preserve"> tahminimiz</w:t>
      </w:r>
      <w:r w:rsidR="00357987">
        <w:rPr>
          <w:sz w:val="22"/>
          <w:szCs w:val="22"/>
        </w:rPr>
        <w:t xml:space="preserve"> </w:t>
      </w:r>
      <w:r w:rsidR="00144285">
        <w:rPr>
          <w:sz w:val="22"/>
          <w:szCs w:val="22"/>
        </w:rPr>
        <w:t xml:space="preserve">yüzde </w:t>
      </w:r>
      <w:r w:rsidR="0021766E">
        <w:rPr>
          <w:sz w:val="22"/>
          <w:szCs w:val="22"/>
        </w:rPr>
        <w:t>0,1</w:t>
      </w:r>
      <w:r>
        <w:rPr>
          <w:sz w:val="22"/>
          <w:szCs w:val="22"/>
        </w:rPr>
        <w:t>'den 0,3'e</w:t>
      </w:r>
      <w:r w:rsidR="0009059A">
        <w:rPr>
          <w:sz w:val="22"/>
          <w:szCs w:val="22"/>
        </w:rPr>
        <w:t>,</w:t>
      </w:r>
      <w:r w:rsidR="00144285">
        <w:rPr>
          <w:sz w:val="22"/>
          <w:szCs w:val="22"/>
        </w:rPr>
        <w:t xml:space="preserve"> önceki yılın aynı </w:t>
      </w:r>
      <w:r w:rsidR="0009059A">
        <w:rPr>
          <w:sz w:val="22"/>
          <w:szCs w:val="22"/>
        </w:rPr>
        <w:t>çeyreğine</w:t>
      </w:r>
      <w:r w:rsidR="001B0EF9">
        <w:rPr>
          <w:sz w:val="22"/>
          <w:szCs w:val="22"/>
        </w:rPr>
        <w:t xml:space="preserve"> göre yıllık büyüme oranı</w:t>
      </w:r>
      <w:r>
        <w:rPr>
          <w:sz w:val="22"/>
          <w:szCs w:val="22"/>
        </w:rPr>
        <w:t xml:space="preserve"> tahminimiz</w:t>
      </w:r>
      <w:r w:rsidR="001B0EF9">
        <w:rPr>
          <w:sz w:val="22"/>
          <w:szCs w:val="22"/>
        </w:rPr>
        <w:t xml:space="preserve"> </w:t>
      </w:r>
      <w:r>
        <w:rPr>
          <w:sz w:val="22"/>
          <w:szCs w:val="22"/>
        </w:rPr>
        <w:t>de</w:t>
      </w:r>
      <w:r w:rsidR="00357987">
        <w:rPr>
          <w:sz w:val="22"/>
          <w:szCs w:val="22"/>
        </w:rPr>
        <w:t xml:space="preserve"> </w:t>
      </w:r>
      <w:r w:rsidR="00144285">
        <w:rPr>
          <w:sz w:val="22"/>
          <w:szCs w:val="22"/>
        </w:rPr>
        <w:t xml:space="preserve">yüzde </w:t>
      </w:r>
      <w:r w:rsidR="00417092">
        <w:rPr>
          <w:sz w:val="22"/>
          <w:szCs w:val="22"/>
        </w:rPr>
        <w:t>4,</w:t>
      </w:r>
      <w:r>
        <w:rPr>
          <w:sz w:val="22"/>
          <w:szCs w:val="22"/>
        </w:rPr>
        <w:t xml:space="preserve">5'den 4,8'e yükseldi. </w:t>
      </w:r>
      <w:r w:rsidR="00604415">
        <w:rPr>
          <w:sz w:val="22"/>
          <w:szCs w:val="22"/>
        </w:rPr>
        <w:t>2013</w:t>
      </w:r>
      <w:r>
        <w:rPr>
          <w:sz w:val="22"/>
          <w:szCs w:val="22"/>
        </w:rPr>
        <w:t xml:space="preserve"> yılı için büyüme tahminimizi ise</w:t>
      </w:r>
      <w:r w:rsidR="00604415">
        <w:rPr>
          <w:sz w:val="22"/>
          <w:szCs w:val="22"/>
        </w:rPr>
        <w:t xml:space="preserve"> yüzde 4,1</w:t>
      </w:r>
      <w:r>
        <w:rPr>
          <w:sz w:val="22"/>
          <w:szCs w:val="22"/>
        </w:rPr>
        <w:t>'den 4,2'ye revize ettik.</w:t>
      </w:r>
      <w:r w:rsidR="009B0086">
        <w:rPr>
          <w:sz w:val="22"/>
          <w:szCs w:val="22"/>
        </w:rPr>
        <w:t>Cari açık oranı</w:t>
      </w:r>
      <w:r w:rsidR="00190F20">
        <w:rPr>
          <w:sz w:val="22"/>
          <w:szCs w:val="22"/>
        </w:rPr>
        <w:t xml:space="preserve"> da</w:t>
      </w:r>
      <w:r w:rsidR="009B0086">
        <w:rPr>
          <w:sz w:val="22"/>
          <w:szCs w:val="22"/>
        </w:rPr>
        <w:t xml:space="preserve"> kur etkisiyle bir miktar arttı. </w:t>
      </w:r>
      <w:r w:rsidR="00144285">
        <w:rPr>
          <w:sz w:val="22"/>
          <w:szCs w:val="22"/>
        </w:rPr>
        <w:t xml:space="preserve">2013’ün </w:t>
      </w:r>
      <w:r w:rsidR="00804CB9">
        <w:rPr>
          <w:sz w:val="22"/>
          <w:szCs w:val="22"/>
        </w:rPr>
        <w:t>üçüncü</w:t>
      </w:r>
      <w:r w:rsidR="00E82487">
        <w:rPr>
          <w:sz w:val="22"/>
          <w:szCs w:val="22"/>
        </w:rPr>
        <w:t xml:space="preserve"> çeyreği sonunda yüzde7</w:t>
      </w:r>
      <w:r w:rsidR="00804CB9">
        <w:rPr>
          <w:sz w:val="22"/>
          <w:szCs w:val="22"/>
        </w:rPr>
        <w:t>,2</w:t>
      </w:r>
      <w:r w:rsidR="00144285">
        <w:rPr>
          <w:sz w:val="22"/>
          <w:szCs w:val="22"/>
        </w:rPr>
        <w:t xml:space="preserve"> olan cari açığın GSYH’a oranının</w:t>
      </w:r>
      <w:r w:rsidR="00357987">
        <w:rPr>
          <w:sz w:val="22"/>
          <w:szCs w:val="22"/>
        </w:rPr>
        <w:t xml:space="preserve"> </w:t>
      </w:r>
      <w:r w:rsidR="00804CB9">
        <w:rPr>
          <w:sz w:val="22"/>
          <w:szCs w:val="22"/>
        </w:rPr>
        <w:t>yıl</w:t>
      </w:r>
      <w:r w:rsidR="00C92E01">
        <w:rPr>
          <w:sz w:val="22"/>
          <w:szCs w:val="22"/>
        </w:rPr>
        <w:t xml:space="preserve"> sonunda yüzde</w:t>
      </w:r>
      <w:r w:rsidR="009B0086">
        <w:rPr>
          <w:sz w:val="22"/>
          <w:szCs w:val="22"/>
        </w:rPr>
        <w:t xml:space="preserve"> 7,5</w:t>
      </w:r>
      <w:r w:rsidR="00144285">
        <w:rPr>
          <w:sz w:val="22"/>
          <w:szCs w:val="22"/>
        </w:rPr>
        <w:t>’e çıkacağını tahmin ediyoruz.</w:t>
      </w:r>
    </w:p>
    <w:p w:rsidR="00EA5EA9" w:rsidRDefault="002802F2" w:rsidP="00EA5EA9">
      <w:pPr>
        <w:spacing w:line="288" w:lineRule="auto"/>
        <w:ind w:right="-318"/>
        <w:jc w:val="both"/>
        <w:rPr>
          <w:rFonts w:ascii="Arial" w:hAnsi="Arial" w:cs="Arial"/>
          <w:sz w:val="16"/>
          <w:szCs w:val="16"/>
        </w:rPr>
      </w:pPr>
      <w:r w:rsidRPr="002802F2">
        <w:rPr>
          <w:noProof/>
        </w:rPr>
        <w:pict>
          <v:line id="Line 11" o:spid="_x0000_s1030" style="position:absolute;left:0;text-align:left;z-index:251658752;visibility:visibl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"/>
        </w:pict>
      </w:r>
      <w:r>
        <w:rPr>
          <w:rFonts w:ascii="Arial" w:hAnsi="Arial" w:cs="Arial"/>
          <w:noProof/>
          <w:sz w:val="16"/>
          <w:szCs w:val="16"/>
        </w:rPr>
      </w:r>
      <w:r>
        <w:rPr>
          <w:rFonts w:ascii="Arial" w:hAnsi="Arial" w:cs="Arial"/>
          <w:noProof/>
          <w:sz w:val="16"/>
          <w:szCs w:val="16"/>
        </w:rPr>
        <w:pict>
          <v:group id="Canvas 9" o:spid="_x0000_s1028"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457;visibility:visible">
              <v:fill o:detectmouseclick="t"/>
              <v:path o:connecttype="none"/>
            </v:shape>
            <w10:wrap type="none"/>
            <w10:anchorlock/>
          </v:group>
        </w:pict>
      </w:r>
    </w:p>
    <w:p w:rsidR="00EA5EA9" w:rsidRPr="00C2696C" w:rsidRDefault="00EA5EA9" w:rsidP="00EA5EA9">
      <w:pPr>
        <w:spacing w:line="288" w:lineRule="auto"/>
        <w:ind w:left="-360" w:right="-318"/>
        <w:jc w:val="both"/>
        <w:rPr>
          <w:rFonts w:ascii="Arial" w:hAnsi="Arial" w:cs="Arial"/>
          <w:sz w:val="16"/>
          <w:szCs w:val="16"/>
        </w:rPr>
      </w:pPr>
      <w:r w:rsidRPr="00C2696C">
        <w:rPr>
          <w:rFonts w:ascii="Arial" w:hAnsi="Arial" w:cs="Arial"/>
          <w:sz w:val="16"/>
          <w:szCs w:val="16"/>
        </w:rPr>
        <w:t>* Dr. Zümrüt İmamoğlu, Betam, Uzman Araştırmacı.</w:t>
      </w:r>
    </w:p>
    <w:p w:rsidR="00F8597D" w:rsidRDefault="002802F2" w:rsidP="00EA5EA9">
      <w:pPr>
        <w:spacing w:line="288" w:lineRule="auto"/>
        <w:ind w:left="-360" w:right="-318"/>
        <w:jc w:val="both"/>
        <w:rPr>
          <w:rFonts w:ascii="Arial" w:hAnsi="Arial" w:cs="Arial"/>
          <w:sz w:val="16"/>
          <w:szCs w:val="16"/>
          <w:vertAlign w:val="superscript"/>
        </w:rPr>
      </w:pPr>
      <w:hyperlink r:id="rId10" w:history="1">
        <w:r w:rsidR="00EA5EA9" w:rsidRPr="005E1D9A">
          <w:rPr>
            <w:rStyle w:val="Hyperlink"/>
            <w:rFonts w:ascii="Arial" w:hAnsi="Arial" w:cs="Arial"/>
            <w:sz w:val="16"/>
            <w:szCs w:val="16"/>
          </w:rPr>
          <w:t>zumrut.imamoglu@bahcesehir.edu.tr</w:t>
        </w:r>
      </w:hyperlink>
    </w:p>
    <w:p w:rsidR="00EA5EA9" w:rsidRPr="00C2696C" w:rsidRDefault="00F8597D" w:rsidP="00EA5EA9">
      <w:pPr>
        <w:spacing w:line="288" w:lineRule="auto"/>
        <w:ind w:left="-360" w:right="-318"/>
        <w:jc w:val="both"/>
        <w:rPr>
          <w:rFonts w:ascii="Arial" w:hAnsi="Arial" w:cs="Arial"/>
          <w:sz w:val="16"/>
          <w:szCs w:val="16"/>
        </w:rPr>
      </w:pPr>
      <w:r w:rsidRPr="00C2696C">
        <w:rPr>
          <w:rFonts w:ascii="Arial" w:hAnsi="Arial" w:cs="Arial"/>
          <w:sz w:val="16"/>
          <w:szCs w:val="16"/>
        </w:rPr>
        <w:t>*</w:t>
      </w:r>
      <w:r>
        <w:rPr>
          <w:rFonts w:ascii="Arial" w:hAnsi="Arial" w:cs="Arial"/>
          <w:sz w:val="16"/>
          <w:szCs w:val="16"/>
        </w:rPr>
        <w:t xml:space="preserve">* </w:t>
      </w:r>
      <w:r w:rsidR="00EA5EA9" w:rsidRPr="00C2696C">
        <w:rPr>
          <w:rFonts w:ascii="Arial" w:hAnsi="Arial" w:cs="Arial"/>
          <w:sz w:val="16"/>
          <w:szCs w:val="16"/>
        </w:rPr>
        <w:t>Barış Soybilgen, Betam, Araştırma Görevlisi</w:t>
      </w:r>
    </w:p>
    <w:p w:rsidR="00EA5EA9" w:rsidRDefault="002802F2" w:rsidP="00EA5EA9">
      <w:pPr>
        <w:ind w:left="-360"/>
        <w:rPr>
          <w:rFonts w:ascii="Arial" w:hAnsi="Arial" w:cs="Arial"/>
          <w:sz w:val="16"/>
          <w:szCs w:val="16"/>
        </w:rPr>
      </w:pPr>
      <w:hyperlink r:id="rId11" w:history="1">
        <w:r w:rsidR="00EA5EA9" w:rsidRPr="005E1D9A">
          <w:rPr>
            <w:rStyle w:val="Hyperlink"/>
            <w:rFonts w:ascii="Arial" w:hAnsi="Arial" w:cs="Arial"/>
            <w:sz w:val="16"/>
            <w:szCs w:val="16"/>
          </w:rPr>
          <w:t>baris.soybilgen@bahcesehir.edu.tr</w:t>
        </w:r>
      </w:hyperlink>
    </w:p>
    <w:p w:rsidR="00EA5EA9" w:rsidRDefault="00EA5EA9" w:rsidP="00EA5EA9">
      <w:pPr>
        <w:ind w:right="42"/>
        <w:rPr>
          <w:b/>
          <w:bCs/>
          <w:sz w:val="22"/>
          <w:szCs w:val="22"/>
        </w:rPr>
      </w:pPr>
    </w:p>
    <w:p w:rsidR="00EA5EA9" w:rsidRDefault="00EA5EA9" w:rsidP="00EA5EA9">
      <w:pPr>
        <w:outlineLvl w:val="0"/>
        <w:rPr>
          <w:b/>
          <w:bCs/>
          <w:sz w:val="22"/>
          <w:szCs w:val="22"/>
        </w:rPr>
      </w:pPr>
    </w:p>
    <w:p w:rsidR="006B1F6D" w:rsidRDefault="006B1F6D" w:rsidP="00EA5EA9">
      <w:pPr>
        <w:outlineLvl w:val="0"/>
        <w:rPr>
          <w:b/>
          <w:bCs/>
          <w:sz w:val="22"/>
          <w:szCs w:val="22"/>
        </w:rPr>
      </w:pPr>
    </w:p>
    <w:p w:rsidR="006B1F6D" w:rsidRDefault="006B1F6D" w:rsidP="00EA5EA9">
      <w:pPr>
        <w:outlineLvl w:val="0"/>
        <w:rPr>
          <w:b/>
          <w:bCs/>
          <w:sz w:val="22"/>
          <w:szCs w:val="22"/>
        </w:rPr>
      </w:pPr>
    </w:p>
    <w:p w:rsidR="00EA5EA9" w:rsidRPr="004A7FE6" w:rsidRDefault="00EA5EA9" w:rsidP="00EA5EA9">
      <w:pPr>
        <w:outlineLvl w:val="0"/>
        <w:rPr>
          <w:b/>
          <w:bCs/>
          <w:sz w:val="22"/>
          <w:szCs w:val="22"/>
        </w:rPr>
      </w:pPr>
      <w:r>
        <w:rPr>
          <w:b/>
          <w:bCs/>
          <w:sz w:val="22"/>
          <w:szCs w:val="22"/>
        </w:rPr>
        <w:t xml:space="preserve">Tablo 1. </w:t>
      </w:r>
      <w:r w:rsidRPr="008C6E50">
        <w:rPr>
          <w:b/>
          <w:bCs/>
          <w:sz w:val="22"/>
          <w:szCs w:val="22"/>
        </w:rPr>
        <w:t>B</w:t>
      </w:r>
      <w:r>
        <w:rPr>
          <w:b/>
          <w:bCs/>
          <w:sz w:val="22"/>
          <w:szCs w:val="22"/>
        </w:rPr>
        <w:t>etam</w:t>
      </w:r>
      <w:r w:rsidRPr="008C6E50">
        <w:rPr>
          <w:b/>
          <w:bCs/>
          <w:sz w:val="22"/>
          <w:szCs w:val="22"/>
        </w:rPr>
        <w:t>’ın GSYH ve Cari Açık Tahminleri</w:t>
      </w:r>
    </w:p>
    <w:tbl>
      <w:tblPr>
        <w:tblpPr w:leftFromText="141" w:rightFromText="141" w:vertAnchor="text" w:horzAnchor="margin" w:tblpXSpec="right" w:tblpY="129"/>
        <w:tblW w:w="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8"/>
        <w:gridCol w:w="1362"/>
      </w:tblGrid>
      <w:tr w:rsidR="00EA5EA9" w:rsidRPr="003118F7" w:rsidTr="000B2B47">
        <w:trPr>
          <w:trHeight w:val="986"/>
        </w:trPr>
        <w:tc>
          <w:tcPr>
            <w:tcW w:w="3268" w:type="dxa"/>
            <w:tcMar>
              <w:left w:w="28" w:type="dxa"/>
              <w:right w:w="28" w:type="dxa"/>
            </w:tcMar>
            <w:vAlign w:val="center"/>
          </w:tcPr>
          <w:p w:rsidR="00EA5EA9" w:rsidRPr="00180C8C" w:rsidRDefault="00EA5EA9" w:rsidP="000B2B47">
            <w:pPr>
              <w:ind w:right="42"/>
              <w:jc w:val="center"/>
              <w:rPr>
                <w:sz w:val="20"/>
                <w:szCs w:val="20"/>
              </w:rPr>
            </w:pPr>
          </w:p>
        </w:tc>
        <w:tc>
          <w:tcPr>
            <w:tcW w:w="1362" w:type="dxa"/>
            <w:vAlign w:val="center"/>
          </w:tcPr>
          <w:p w:rsidR="00EA5EA9" w:rsidRPr="00180C8C" w:rsidRDefault="00EA5EA9" w:rsidP="000B2B47">
            <w:pPr>
              <w:ind w:right="40"/>
              <w:jc w:val="center"/>
              <w:rPr>
                <w:b/>
                <w:bCs/>
                <w:sz w:val="20"/>
                <w:szCs w:val="20"/>
              </w:rPr>
            </w:pPr>
            <w:r w:rsidRPr="00180C8C">
              <w:rPr>
                <w:b/>
                <w:bCs/>
                <w:sz w:val="20"/>
                <w:szCs w:val="20"/>
              </w:rPr>
              <w:t>2013</w:t>
            </w:r>
          </w:p>
          <w:p w:rsidR="00EA5EA9" w:rsidRPr="00180C8C" w:rsidRDefault="00233D56" w:rsidP="000B2B47">
            <w:pPr>
              <w:ind w:right="40"/>
              <w:jc w:val="center"/>
              <w:rPr>
                <w:b/>
                <w:bCs/>
                <w:sz w:val="20"/>
                <w:szCs w:val="20"/>
              </w:rPr>
            </w:pPr>
            <w:r w:rsidRPr="00180C8C">
              <w:rPr>
                <w:b/>
                <w:bCs/>
                <w:sz w:val="20"/>
                <w:szCs w:val="20"/>
              </w:rPr>
              <w:t>4</w:t>
            </w:r>
            <w:r w:rsidR="00EA5EA9" w:rsidRPr="00180C8C">
              <w:rPr>
                <w:b/>
                <w:bCs/>
                <w:sz w:val="20"/>
                <w:szCs w:val="20"/>
              </w:rPr>
              <w:t>. Çeyrek</w:t>
            </w:r>
          </w:p>
          <w:p w:rsidR="00EA5EA9" w:rsidRPr="00180C8C" w:rsidRDefault="00EA5EA9" w:rsidP="000B2B47">
            <w:pPr>
              <w:ind w:right="40"/>
              <w:jc w:val="center"/>
              <w:rPr>
                <w:b/>
                <w:bCs/>
                <w:sz w:val="20"/>
                <w:szCs w:val="20"/>
              </w:rPr>
            </w:pPr>
            <w:r w:rsidRPr="00180C8C">
              <w:rPr>
                <w:b/>
                <w:bCs/>
                <w:sz w:val="20"/>
                <w:szCs w:val="20"/>
              </w:rPr>
              <w:t>Tahmin</w:t>
            </w:r>
          </w:p>
        </w:tc>
      </w:tr>
      <w:tr w:rsidR="00144285" w:rsidRPr="003118F7" w:rsidTr="000B2B47">
        <w:trPr>
          <w:trHeight w:val="771"/>
        </w:trPr>
        <w:tc>
          <w:tcPr>
            <w:tcW w:w="3268" w:type="dxa"/>
            <w:tcMar>
              <w:left w:w="28" w:type="dxa"/>
              <w:right w:w="28" w:type="dxa"/>
            </w:tcMar>
            <w:vAlign w:val="center"/>
          </w:tcPr>
          <w:p w:rsidR="00144285" w:rsidRPr="00180C8C" w:rsidRDefault="00144285" w:rsidP="00144285">
            <w:pPr>
              <w:ind w:right="42"/>
              <w:rPr>
                <w:sz w:val="20"/>
                <w:szCs w:val="20"/>
              </w:rPr>
            </w:pPr>
            <w:r w:rsidRPr="00180C8C">
              <w:rPr>
                <w:sz w:val="20"/>
                <w:szCs w:val="20"/>
              </w:rPr>
              <w:t>GSYH büyüme, reel</w:t>
            </w:r>
          </w:p>
          <w:p w:rsidR="00144285" w:rsidRPr="00180C8C" w:rsidRDefault="00144285" w:rsidP="00144285">
            <w:pPr>
              <w:ind w:right="42"/>
              <w:rPr>
                <w:sz w:val="20"/>
                <w:szCs w:val="20"/>
              </w:rPr>
            </w:pPr>
            <w:r w:rsidRPr="00180C8C">
              <w:rPr>
                <w:sz w:val="20"/>
                <w:szCs w:val="20"/>
              </w:rPr>
              <w:t>(bir önceki çeyreğe göre, mea*)</w:t>
            </w:r>
          </w:p>
        </w:tc>
        <w:tc>
          <w:tcPr>
            <w:tcW w:w="1362" w:type="dxa"/>
            <w:vAlign w:val="center"/>
          </w:tcPr>
          <w:p w:rsidR="00144285" w:rsidRPr="00180C8C" w:rsidRDefault="0015370A" w:rsidP="00220B5E">
            <w:pPr>
              <w:ind w:right="42"/>
              <w:jc w:val="center"/>
              <w:rPr>
                <w:sz w:val="20"/>
                <w:szCs w:val="20"/>
              </w:rPr>
            </w:pPr>
            <w:r w:rsidRPr="00180C8C">
              <w:rPr>
                <w:sz w:val="20"/>
                <w:szCs w:val="20"/>
              </w:rPr>
              <w:t>0</w:t>
            </w:r>
            <w:r w:rsidR="00D16600" w:rsidRPr="00180C8C">
              <w:rPr>
                <w:sz w:val="20"/>
                <w:szCs w:val="20"/>
              </w:rPr>
              <w:t>,</w:t>
            </w:r>
            <w:r w:rsidR="00220B5E">
              <w:rPr>
                <w:sz w:val="20"/>
                <w:szCs w:val="20"/>
              </w:rPr>
              <w:t>3</w:t>
            </w:r>
          </w:p>
        </w:tc>
      </w:tr>
      <w:tr w:rsidR="00144285" w:rsidRPr="003118F7" w:rsidTr="000B2B47">
        <w:trPr>
          <w:trHeight w:val="756"/>
        </w:trPr>
        <w:tc>
          <w:tcPr>
            <w:tcW w:w="3268" w:type="dxa"/>
            <w:tcMar>
              <w:left w:w="28" w:type="dxa"/>
              <w:right w:w="28" w:type="dxa"/>
            </w:tcMar>
            <w:vAlign w:val="center"/>
          </w:tcPr>
          <w:p w:rsidR="00144285" w:rsidRPr="00180C8C" w:rsidRDefault="00144285" w:rsidP="00144285">
            <w:pPr>
              <w:ind w:right="42"/>
              <w:rPr>
                <w:sz w:val="20"/>
                <w:szCs w:val="20"/>
              </w:rPr>
            </w:pPr>
            <w:r w:rsidRPr="00180C8C">
              <w:rPr>
                <w:sz w:val="20"/>
                <w:szCs w:val="20"/>
              </w:rPr>
              <w:t>GSYH büyüme, reel (geçen yılın aynı çeyreğine göre, tea**)</w:t>
            </w:r>
          </w:p>
        </w:tc>
        <w:tc>
          <w:tcPr>
            <w:tcW w:w="1362" w:type="dxa"/>
            <w:vAlign w:val="center"/>
          </w:tcPr>
          <w:p w:rsidR="00144285" w:rsidRPr="00180C8C" w:rsidRDefault="0015370A" w:rsidP="007323C8">
            <w:pPr>
              <w:ind w:right="42"/>
              <w:jc w:val="center"/>
              <w:rPr>
                <w:sz w:val="20"/>
                <w:szCs w:val="20"/>
              </w:rPr>
            </w:pPr>
            <w:r w:rsidRPr="00180C8C">
              <w:rPr>
                <w:sz w:val="20"/>
                <w:szCs w:val="20"/>
              </w:rPr>
              <w:t>4</w:t>
            </w:r>
            <w:r w:rsidR="00144285" w:rsidRPr="00180C8C">
              <w:rPr>
                <w:sz w:val="20"/>
                <w:szCs w:val="20"/>
              </w:rPr>
              <w:t>,</w:t>
            </w:r>
            <w:r w:rsidR="00220B5E">
              <w:rPr>
                <w:sz w:val="20"/>
                <w:szCs w:val="20"/>
              </w:rPr>
              <w:t>8</w:t>
            </w:r>
          </w:p>
        </w:tc>
      </w:tr>
      <w:tr w:rsidR="00144285" w:rsidRPr="003118F7" w:rsidTr="000B2B47">
        <w:trPr>
          <w:trHeight w:val="583"/>
        </w:trPr>
        <w:tc>
          <w:tcPr>
            <w:tcW w:w="3268" w:type="dxa"/>
            <w:tcMar>
              <w:left w:w="28" w:type="dxa"/>
              <w:right w:w="28" w:type="dxa"/>
            </w:tcMar>
            <w:vAlign w:val="center"/>
          </w:tcPr>
          <w:p w:rsidR="00144285" w:rsidRPr="00180C8C" w:rsidRDefault="00144285" w:rsidP="00144285">
            <w:pPr>
              <w:ind w:right="40"/>
              <w:rPr>
                <w:sz w:val="20"/>
                <w:szCs w:val="20"/>
              </w:rPr>
            </w:pPr>
            <w:r w:rsidRPr="00180C8C">
              <w:rPr>
                <w:sz w:val="20"/>
                <w:szCs w:val="20"/>
              </w:rPr>
              <w:t>Cari Açık (yıllık)</w:t>
            </w:r>
          </w:p>
        </w:tc>
        <w:tc>
          <w:tcPr>
            <w:tcW w:w="1362" w:type="dxa"/>
            <w:vAlign w:val="center"/>
          </w:tcPr>
          <w:p w:rsidR="00144285" w:rsidRPr="00180C8C" w:rsidRDefault="007323C8" w:rsidP="007323C8">
            <w:pPr>
              <w:ind w:right="40"/>
              <w:jc w:val="center"/>
              <w:rPr>
                <w:sz w:val="20"/>
                <w:szCs w:val="20"/>
              </w:rPr>
            </w:pPr>
            <w:r w:rsidRPr="00180C8C">
              <w:rPr>
                <w:sz w:val="20"/>
                <w:szCs w:val="20"/>
              </w:rPr>
              <w:t>7,</w:t>
            </w:r>
            <w:r w:rsidR="00220B5E">
              <w:rPr>
                <w:sz w:val="20"/>
                <w:szCs w:val="20"/>
              </w:rPr>
              <w:t>5</w:t>
            </w:r>
          </w:p>
        </w:tc>
      </w:tr>
      <w:tr w:rsidR="00233D56" w:rsidRPr="003118F7" w:rsidTr="000B2B47">
        <w:trPr>
          <w:trHeight w:val="583"/>
        </w:trPr>
        <w:tc>
          <w:tcPr>
            <w:tcW w:w="3268" w:type="dxa"/>
            <w:tcMar>
              <w:left w:w="28" w:type="dxa"/>
              <w:right w:w="28" w:type="dxa"/>
            </w:tcMar>
            <w:vAlign w:val="center"/>
          </w:tcPr>
          <w:p w:rsidR="00233D56" w:rsidRPr="00180C8C" w:rsidRDefault="00233D56" w:rsidP="00144285">
            <w:pPr>
              <w:ind w:right="40"/>
              <w:rPr>
                <w:sz w:val="20"/>
                <w:szCs w:val="20"/>
              </w:rPr>
            </w:pPr>
          </w:p>
        </w:tc>
        <w:tc>
          <w:tcPr>
            <w:tcW w:w="1362" w:type="dxa"/>
            <w:vAlign w:val="center"/>
          </w:tcPr>
          <w:p w:rsidR="00233D56" w:rsidRPr="00180C8C" w:rsidRDefault="00233D56" w:rsidP="007323C8">
            <w:pPr>
              <w:ind w:right="40"/>
              <w:jc w:val="center"/>
              <w:rPr>
                <w:sz w:val="20"/>
                <w:szCs w:val="20"/>
              </w:rPr>
            </w:pPr>
            <w:r w:rsidRPr="00180C8C">
              <w:rPr>
                <w:sz w:val="20"/>
                <w:szCs w:val="20"/>
              </w:rPr>
              <w:t>2013 Yıllık Tahmin</w:t>
            </w:r>
          </w:p>
        </w:tc>
      </w:tr>
      <w:tr w:rsidR="00233D56" w:rsidRPr="003118F7" w:rsidTr="000B2B47">
        <w:trPr>
          <w:trHeight w:val="583"/>
        </w:trPr>
        <w:tc>
          <w:tcPr>
            <w:tcW w:w="3268" w:type="dxa"/>
            <w:tcMar>
              <w:left w:w="28" w:type="dxa"/>
              <w:right w:w="28" w:type="dxa"/>
            </w:tcMar>
            <w:vAlign w:val="center"/>
          </w:tcPr>
          <w:p w:rsidR="00233D56" w:rsidRPr="00180C8C" w:rsidRDefault="00233D56" w:rsidP="00144285">
            <w:pPr>
              <w:ind w:right="40"/>
              <w:rPr>
                <w:sz w:val="20"/>
                <w:szCs w:val="20"/>
              </w:rPr>
            </w:pPr>
            <w:r w:rsidRPr="00180C8C">
              <w:rPr>
                <w:sz w:val="20"/>
                <w:szCs w:val="20"/>
              </w:rPr>
              <w:t>GSYH büyüme, reel (yıllık)</w:t>
            </w:r>
          </w:p>
        </w:tc>
        <w:tc>
          <w:tcPr>
            <w:tcW w:w="1362" w:type="dxa"/>
            <w:vAlign w:val="center"/>
          </w:tcPr>
          <w:p w:rsidR="00233D56" w:rsidRPr="00180C8C" w:rsidRDefault="00180C8C" w:rsidP="007323C8">
            <w:pPr>
              <w:ind w:right="40"/>
              <w:jc w:val="center"/>
              <w:rPr>
                <w:sz w:val="20"/>
                <w:szCs w:val="20"/>
              </w:rPr>
            </w:pPr>
            <w:r w:rsidRPr="00180C8C">
              <w:rPr>
                <w:sz w:val="20"/>
                <w:szCs w:val="20"/>
              </w:rPr>
              <w:t>4,</w:t>
            </w:r>
            <w:r w:rsidR="00220B5E">
              <w:rPr>
                <w:sz w:val="20"/>
                <w:szCs w:val="20"/>
              </w:rPr>
              <w:t>2</w:t>
            </w:r>
          </w:p>
        </w:tc>
      </w:tr>
    </w:tbl>
    <w:p w:rsidR="00EA5EA9" w:rsidRPr="0070556E" w:rsidRDefault="00EA5EA9" w:rsidP="00EA5EA9">
      <w:pPr>
        <w:ind w:left="-360" w:right="40"/>
        <w:rPr>
          <w:sz w:val="4"/>
          <w:szCs w:val="4"/>
        </w:rPr>
      </w:pPr>
    </w:p>
    <w:p w:rsidR="00EA5EA9" w:rsidRPr="00C674EC" w:rsidRDefault="00EA5EA9" w:rsidP="00EA5EA9">
      <w:pPr>
        <w:ind w:left="-360" w:right="40"/>
        <w:rPr>
          <w:sz w:val="18"/>
          <w:szCs w:val="18"/>
        </w:rPr>
      </w:pPr>
      <w:r w:rsidRPr="00CC41EB">
        <w:rPr>
          <w:sz w:val="18"/>
          <w:szCs w:val="18"/>
        </w:rPr>
        <w:t>Kaynak: Betam</w:t>
      </w:r>
      <w:r>
        <w:rPr>
          <w:sz w:val="18"/>
          <w:szCs w:val="18"/>
        </w:rPr>
        <w:t xml:space="preserve">. </w:t>
      </w:r>
      <w:r w:rsidRPr="00CC41EB">
        <w:rPr>
          <w:sz w:val="18"/>
          <w:szCs w:val="18"/>
        </w:rPr>
        <w:t>*mea: mevsim ve takvim etkilerinden arındırılmış</w:t>
      </w:r>
      <w:r>
        <w:rPr>
          <w:sz w:val="18"/>
          <w:szCs w:val="18"/>
        </w:rPr>
        <w:t xml:space="preserve">.  </w:t>
      </w:r>
      <w:r w:rsidRPr="00CC41EB">
        <w:rPr>
          <w:sz w:val="18"/>
          <w:szCs w:val="18"/>
        </w:rPr>
        <w:t>**tea: takvim etkilerinden arındırılmış</w:t>
      </w:r>
      <w:r>
        <w:rPr>
          <w:sz w:val="18"/>
          <w:szCs w:val="18"/>
        </w:rPr>
        <w:t>.</w:t>
      </w:r>
    </w:p>
    <w:p w:rsidR="00AB257C" w:rsidRDefault="00AB257C" w:rsidP="00144285">
      <w:pPr>
        <w:spacing w:line="360" w:lineRule="auto"/>
        <w:ind w:right="42"/>
        <w:rPr>
          <w:b/>
          <w:bCs/>
          <w:sz w:val="22"/>
          <w:szCs w:val="22"/>
        </w:rPr>
      </w:pPr>
    </w:p>
    <w:p w:rsidR="00EA5EA9" w:rsidRDefault="00EA5EA9" w:rsidP="00EA5EA9">
      <w:pPr>
        <w:ind w:left="-360"/>
        <w:rPr>
          <w:rFonts w:ascii="Arial" w:hAnsi="Arial" w:cs="Arial"/>
          <w:sz w:val="16"/>
          <w:szCs w:val="16"/>
        </w:rPr>
      </w:pPr>
    </w:p>
    <w:p w:rsidR="00144285" w:rsidRDefault="00254A99" w:rsidP="00144285">
      <w:pPr>
        <w:spacing w:line="360" w:lineRule="auto"/>
        <w:ind w:left="-360"/>
        <w:jc w:val="center"/>
        <w:rPr>
          <w:b/>
          <w:bCs/>
          <w:sz w:val="22"/>
          <w:szCs w:val="22"/>
        </w:rPr>
      </w:pPr>
      <w:r>
        <w:rPr>
          <w:b/>
          <w:bCs/>
          <w:sz w:val="22"/>
          <w:szCs w:val="22"/>
        </w:rPr>
        <w:t>Kasım ayında toparlanma</w:t>
      </w:r>
    </w:p>
    <w:p w:rsidR="00A42E31" w:rsidRDefault="00A42E31" w:rsidP="00144285">
      <w:pPr>
        <w:spacing w:line="360" w:lineRule="auto"/>
        <w:ind w:left="-360" w:right="42"/>
        <w:jc w:val="both"/>
        <w:rPr>
          <w:sz w:val="22"/>
          <w:szCs w:val="22"/>
        </w:rPr>
      </w:pPr>
    </w:p>
    <w:p w:rsidR="00AE07AD" w:rsidRDefault="007B1EEE" w:rsidP="00144285">
      <w:pPr>
        <w:spacing w:line="360" w:lineRule="auto"/>
        <w:ind w:left="-360" w:right="42"/>
        <w:jc w:val="both"/>
        <w:rPr>
          <w:sz w:val="22"/>
          <w:szCs w:val="22"/>
        </w:rPr>
      </w:pPr>
      <w:r>
        <w:rPr>
          <w:sz w:val="22"/>
          <w:szCs w:val="22"/>
        </w:rPr>
        <w:t xml:space="preserve">Ekim ayında </w:t>
      </w:r>
      <w:r w:rsidR="00E37BD2">
        <w:rPr>
          <w:sz w:val="22"/>
          <w:szCs w:val="22"/>
        </w:rPr>
        <w:t>b</w:t>
      </w:r>
      <w:r>
        <w:rPr>
          <w:sz w:val="22"/>
          <w:szCs w:val="22"/>
        </w:rPr>
        <w:t xml:space="preserve">ayram tatilindeki köprü günü etkisiyle </w:t>
      </w:r>
      <w:r w:rsidR="00E37BD2">
        <w:rPr>
          <w:sz w:val="22"/>
          <w:szCs w:val="22"/>
        </w:rPr>
        <w:t xml:space="preserve">sanayi üretiminde </w:t>
      </w:r>
      <w:r>
        <w:rPr>
          <w:sz w:val="22"/>
          <w:szCs w:val="22"/>
        </w:rPr>
        <w:t>görülen düşüş Kasım'da telafi edildi</w:t>
      </w:r>
      <w:r w:rsidR="00E37BD2">
        <w:rPr>
          <w:sz w:val="22"/>
          <w:szCs w:val="22"/>
        </w:rPr>
        <w:t xml:space="preserve"> ve E</w:t>
      </w:r>
      <w:r>
        <w:rPr>
          <w:sz w:val="22"/>
          <w:szCs w:val="22"/>
        </w:rPr>
        <w:t xml:space="preserve">ylül düzeyine </w:t>
      </w:r>
      <w:r w:rsidR="00E37BD2">
        <w:rPr>
          <w:sz w:val="22"/>
          <w:szCs w:val="22"/>
        </w:rPr>
        <w:t>yakl</w:t>
      </w:r>
      <w:r>
        <w:rPr>
          <w:sz w:val="22"/>
          <w:szCs w:val="22"/>
        </w:rPr>
        <w:t xml:space="preserve">aşıldı. </w:t>
      </w:r>
      <w:r w:rsidR="00E37BD2">
        <w:rPr>
          <w:sz w:val="22"/>
          <w:szCs w:val="22"/>
        </w:rPr>
        <w:t>S</w:t>
      </w:r>
      <w:r>
        <w:rPr>
          <w:sz w:val="22"/>
          <w:szCs w:val="22"/>
        </w:rPr>
        <w:t>on çeyrekte</w:t>
      </w:r>
      <w:r w:rsidR="00E37BD2">
        <w:rPr>
          <w:sz w:val="22"/>
          <w:szCs w:val="22"/>
        </w:rPr>
        <w:t xml:space="preserve"> sanayide</w:t>
      </w:r>
      <w:r>
        <w:rPr>
          <w:sz w:val="22"/>
          <w:szCs w:val="22"/>
        </w:rPr>
        <w:t xml:space="preserve"> yönü Aralık ayı verisi belirleyecek. Aralık ayının ikinci yarısında ortaya çıkan Amerikan Merkez Bankası (FED) politikaları ve siyasi belirsizlik kaynaklı risklerin ne</w:t>
      </w:r>
      <w:r w:rsidR="00357987">
        <w:rPr>
          <w:sz w:val="22"/>
          <w:szCs w:val="22"/>
        </w:rPr>
        <w:t xml:space="preserve"> </w:t>
      </w:r>
      <w:r>
        <w:rPr>
          <w:sz w:val="22"/>
          <w:szCs w:val="22"/>
        </w:rPr>
        <w:t>kadar etkili olacağı henüz belirli değil. Ancak üretim amaçlı siparişlerin</w:t>
      </w:r>
      <w:r w:rsidR="009946C1">
        <w:rPr>
          <w:sz w:val="22"/>
          <w:szCs w:val="22"/>
        </w:rPr>
        <w:t xml:space="preserve"> önceden verilmesi nedeniyle</w:t>
      </w:r>
      <w:r>
        <w:rPr>
          <w:sz w:val="22"/>
          <w:szCs w:val="22"/>
        </w:rPr>
        <w:t xml:space="preserve"> etk</w:t>
      </w:r>
      <w:r w:rsidR="009946C1">
        <w:rPr>
          <w:sz w:val="22"/>
          <w:szCs w:val="22"/>
        </w:rPr>
        <w:t>inin</w:t>
      </w:r>
      <w:r>
        <w:rPr>
          <w:sz w:val="22"/>
          <w:szCs w:val="22"/>
        </w:rPr>
        <w:t xml:space="preserve"> sınırlı kalmasını </w:t>
      </w:r>
      <w:r w:rsidR="009946C1">
        <w:rPr>
          <w:sz w:val="22"/>
          <w:szCs w:val="22"/>
        </w:rPr>
        <w:t>ve son çeyrekten çok</w:t>
      </w:r>
      <w:r w:rsidR="006040ED">
        <w:rPr>
          <w:sz w:val="22"/>
          <w:szCs w:val="22"/>
        </w:rPr>
        <w:t xml:space="preserve"> 2014</w:t>
      </w:r>
      <w:r w:rsidR="009946C1">
        <w:rPr>
          <w:sz w:val="22"/>
          <w:szCs w:val="22"/>
        </w:rPr>
        <w:t xml:space="preserve"> ilk çeyreğe yansımasını </w:t>
      </w:r>
      <w:r w:rsidR="009946C1">
        <w:rPr>
          <w:sz w:val="22"/>
          <w:szCs w:val="22"/>
        </w:rPr>
        <w:lastRenderedPageBreak/>
        <w:t>bekliyoruz</w:t>
      </w:r>
      <w:r>
        <w:rPr>
          <w:sz w:val="22"/>
          <w:szCs w:val="22"/>
        </w:rPr>
        <w:t>. Öte yandan Aralık ayında hava sıcaklığının mevsim normallerinin altında seyretmesiyle meydana gelen elektrik kesintileri  üretimi bir miktar aşağıya çekebilir.</w:t>
      </w:r>
    </w:p>
    <w:p w:rsidR="007B1EEE" w:rsidRDefault="007B1EEE" w:rsidP="00144285">
      <w:pPr>
        <w:spacing w:line="360" w:lineRule="auto"/>
        <w:ind w:left="-360" w:right="42"/>
        <w:jc w:val="both"/>
        <w:rPr>
          <w:sz w:val="22"/>
          <w:szCs w:val="22"/>
        </w:rPr>
      </w:pPr>
    </w:p>
    <w:p w:rsidR="00483180" w:rsidRDefault="00483180" w:rsidP="00144285">
      <w:pPr>
        <w:spacing w:line="360" w:lineRule="auto"/>
        <w:ind w:left="-360" w:right="42"/>
        <w:jc w:val="both"/>
        <w:rPr>
          <w:sz w:val="22"/>
          <w:szCs w:val="22"/>
        </w:rPr>
      </w:pPr>
      <w:r>
        <w:rPr>
          <w:sz w:val="22"/>
          <w:szCs w:val="22"/>
        </w:rPr>
        <w:t>Son çeyrekte tüketimdeki artışın devam ettiğini ancak üçüncü çeyreğe kıyasla yavaşladığını tahmin ediyoruz. Dayanıksız mal ve otomobil üretimindeki azalmalar buna işaret ediyor. Yatırımda ise zayıf görünüm devam ediyor. Hem yatırım malı imalatında hem de ithalatta artışlar sıfıra yakın. Net ihracat ise yeniden pozitif katkı yapabilir</w:t>
      </w:r>
      <w:r w:rsidR="00F44D42">
        <w:rPr>
          <w:sz w:val="22"/>
          <w:szCs w:val="22"/>
        </w:rPr>
        <w:t xml:space="preserve"> çünkü</w:t>
      </w:r>
      <w:r>
        <w:rPr>
          <w:sz w:val="22"/>
          <w:szCs w:val="22"/>
        </w:rPr>
        <w:t xml:space="preserve"> Kasım ayında ihracat toparlanırken, ithalatta artışlar sınırlı kaldı. </w:t>
      </w:r>
    </w:p>
    <w:p w:rsidR="00483180" w:rsidRDefault="00483180" w:rsidP="00144285">
      <w:pPr>
        <w:spacing w:line="360" w:lineRule="auto"/>
        <w:ind w:left="-360" w:right="42"/>
        <w:jc w:val="both"/>
        <w:rPr>
          <w:sz w:val="22"/>
          <w:szCs w:val="22"/>
        </w:rPr>
      </w:pPr>
    </w:p>
    <w:p w:rsidR="00AB5986" w:rsidRDefault="00AB5986" w:rsidP="00144285">
      <w:pPr>
        <w:spacing w:line="360" w:lineRule="auto"/>
        <w:ind w:left="-360" w:right="42"/>
        <w:jc w:val="both"/>
        <w:rPr>
          <w:sz w:val="22"/>
          <w:szCs w:val="22"/>
        </w:rPr>
      </w:pPr>
      <w:r>
        <w:rPr>
          <w:sz w:val="22"/>
          <w:szCs w:val="22"/>
        </w:rPr>
        <w:t>Büyüme tahminlerimizi Kasım'daki toparlanmaya paralel olarak yukarı yönlü revize ettik. Geçtiğimiz ay çeyrekten çeyreğe büyüme tahminimiz sıfıra oldukça yakın, yüzde 0,1'di. Kasım verilerine rağmen büyümenin oldukça sınırlı kalmaya devam edeceğine inanıyoruz ve tahminimizi yüzde 0,3'e çıkarıyoruz. Bu artış 2013 için yıllık büyümeyi 4,2'ye, son çeyrekte geçtiğimiz yılın aynı çeyreğine göre büyümeyi ise 4,8'e taşıyor.</w:t>
      </w:r>
    </w:p>
    <w:p w:rsidR="00AB5986" w:rsidRDefault="00AB5986" w:rsidP="00144285">
      <w:pPr>
        <w:spacing w:line="360" w:lineRule="auto"/>
        <w:ind w:left="-360" w:right="42"/>
        <w:jc w:val="both"/>
        <w:rPr>
          <w:sz w:val="22"/>
          <w:szCs w:val="22"/>
        </w:rPr>
      </w:pPr>
    </w:p>
    <w:p w:rsidR="00965C0E" w:rsidRDefault="00B14A7B" w:rsidP="00233D56">
      <w:pPr>
        <w:spacing w:line="360" w:lineRule="auto"/>
        <w:ind w:left="-360" w:right="42"/>
        <w:jc w:val="both"/>
        <w:rPr>
          <w:sz w:val="22"/>
          <w:szCs w:val="22"/>
        </w:rPr>
      </w:pPr>
      <w:r>
        <w:rPr>
          <w:sz w:val="22"/>
          <w:szCs w:val="22"/>
        </w:rPr>
        <w:t xml:space="preserve">Cari açıkta ise J-eğrisi etkisi gözlemleniyor. </w:t>
      </w:r>
      <w:r w:rsidR="00106470">
        <w:rPr>
          <w:sz w:val="22"/>
          <w:szCs w:val="22"/>
        </w:rPr>
        <w:t>B</w:t>
      </w:r>
      <w:r>
        <w:rPr>
          <w:sz w:val="22"/>
          <w:szCs w:val="22"/>
        </w:rPr>
        <w:t>üyüme tahminimizi artırmamıza rağmen</w:t>
      </w:r>
      <w:r w:rsidR="00106470">
        <w:rPr>
          <w:sz w:val="22"/>
          <w:szCs w:val="22"/>
        </w:rPr>
        <w:t>, kurdaki artışın etkisiyle</w:t>
      </w:r>
      <w:r w:rsidR="00357987">
        <w:rPr>
          <w:sz w:val="22"/>
          <w:szCs w:val="22"/>
        </w:rPr>
        <w:t xml:space="preserve"> </w:t>
      </w:r>
      <w:r w:rsidR="00106470">
        <w:rPr>
          <w:sz w:val="22"/>
          <w:szCs w:val="22"/>
        </w:rPr>
        <w:t>dolar bazında GSYH tahminimiz düştü. Dolayısıyla</w:t>
      </w:r>
      <w:r w:rsidR="00F44D42">
        <w:rPr>
          <w:sz w:val="22"/>
          <w:szCs w:val="22"/>
        </w:rPr>
        <w:t>,</w:t>
      </w:r>
      <w:r w:rsidR="00106470">
        <w:rPr>
          <w:sz w:val="22"/>
          <w:szCs w:val="22"/>
        </w:rPr>
        <w:t xml:space="preserve"> dolar bazında cari açık tahminimiz değişmediği halde, cari açığın GSYH'a oranında</w:t>
      </w:r>
      <w:r>
        <w:rPr>
          <w:sz w:val="22"/>
          <w:szCs w:val="22"/>
        </w:rPr>
        <w:t xml:space="preserve"> tahminimiz yüzde 7,4'den 7,5'e çık</w:t>
      </w:r>
      <w:r w:rsidR="00F44D42">
        <w:rPr>
          <w:sz w:val="22"/>
          <w:szCs w:val="22"/>
        </w:rPr>
        <w:t>m</w:t>
      </w:r>
      <w:r>
        <w:rPr>
          <w:sz w:val="22"/>
          <w:szCs w:val="22"/>
        </w:rPr>
        <w:t>ı</w:t>
      </w:r>
      <w:r w:rsidR="00F44D42">
        <w:rPr>
          <w:sz w:val="22"/>
          <w:szCs w:val="22"/>
        </w:rPr>
        <w:t>ş oldu</w:t>
      </w:r>
      <w:r>
        <w:rPr>
          <w:sz w:val="22"/>
          <w:szCs w:val="22"/>
        </w:rPr>
        <w:t xml:space="preserve">. </w:t>
      </w:r>
    </w:p>
    <w:p w:rsidR="006040ED" w:rsidRDefault="006040ED" w:rsidP="006040ED">
      <w:pPr>
        <w:spacing w:line="360" w:lineRule="auto"/>
        <w:ind w:left="-360" w:right="42"/>
        <w:jc w:val="center"/>
        <w:rPr>
          <w:b/>
          <w:sz w:val="22"/>
          <w:szCs w:val="22"/>
        </w:rPr>
      </w:pPr>
      <w:r>
        <w:rPr>
          <w:b/>
          <w:sz w:val="22"/>
          <w:szCs w:val="22"/>
        </w:rPr>
        <w:t>2014 öngörüleri</w:t>
      </w:r>
    </w:p>
    <w:p w:rsidR="006040ED" w:rsidRDefault="006040ED" w:rsidP="006040ED">
      <w:pPr>
        <w:spacing w:line="360" w:lineRule="auto"/>
        <w:ind w:left="-360" w:right="42"/>
        <w:jc w:val="center"/>
        <w:rPr>
          <w:b/>
          <w:sz w:val="22"/>
          <w:szCs w:val="22"/>
        </w:rPr>
      </w:pPr>
    </w:p>
    <w:p w:rsidR="000B2409" w:rsidRDefault="000B2409" w:rsidP="00233D56">
      <w:pPr>
        <w:spacing w:line="360" w:lineRule="auto"/>
        <w:ind w:left="-360" w:right="42"/>
        <w:jc w:val="both"/>
        <w:rPr>
          <w:sz w:val="22"/>
          <w:szCs w:val="22"/>
        </w:rPr>
      </w:pPr>
      <w:r>
        <w:rPr>
          <w:sz w:val="22"/>
          <w:szCs w:val="22"/>
        </w:rPr>
        <w:t xml:space="preserve">Aralık ayı sonunda 2014 yılı büyümesini etkileyecek iki önemli gelişme yaşandı. İlki </w:t>
      </w:r>
      <w:r>
        <w:rPr>
          <w:sz w:val="22"/>
          <w:szCs w:val="22"/>
        </w:rPr>
        <w:lastRenderedPageBreak/>
        <w:t>Amerikan Merkez Bankası (FED)'in tahvil alımlarını azal</w:t>
      </w:r>
      <w:r w:rsidR="00C711EC">
        <w:rPr>
          <w:sz w:val="22"/>
          <w:szCs w:val="22"/>
        </w:rPr>
        <w:t>tma kararıydı. İkincisi ise 17 A</w:t>
      </w:r>
      <w:r>
        <w:rPr>
          <w:sz w:val="22"/>
          <w:szCs w:val="22"/>
        </w:rPr>
        <w:t xml:space="preserve">ralık tarihinde başlayan yolsuzluk operasyonu ve </w:t>
      </w:r>
      <w:r w:rsidR="00BC6253">
        <w:rPr>
          <w:sz w:val="22"/>
          <w:szCs w:val="22"/>
        </w:rPr>
        <w:t>neden olduğu siyasal belirsizlikler</w:t>
      </w:r>
      <w:r w:rsidR="00C711EC">
        <w:rPr>
          <w:sz w:val="22"/>
          <w:szCs w:val="22"/>
        </w:rPr>
        <w:t>di</w:t>
      </w:r>
      <w:r w:rsidR="00BC6253">
        <w:rPr>
          <w:sz w:val="22"/>
          <w:szCs w:val="22"/>
        </w:rPr>
        <w:t xml:space="preserve">. </w:t>
      </w:r>
    </w:p>
    <w:p w:rsidR="00BC6253" w:rsidRDefault="00BC6253" w:rsidP="00233D56">
      <w:pPr>
        <w:spacing w:line="360" w:lineRule="auto"/>
        <w:ind w:left="-360" w:right="42"/>
        <w:jc w:val="both"/>
        <w:rPr>
          <w:sz w:val="22"/>
          <w:szCs w:val="22"/>
        </w:rPr>
      </w:pPr>
    </w:p>
    <w:p w:rsidR="00596FDB" w:rsidRDefault="000B2409" w:rsidP="00233D56">
      <w:pPr>
        <w:spacing w:line="360" w:lineRule="auto"/>
        <w:ind w:left="-360" w:right="42"/>
        <w:jc w:val="both"/>
        <w:rPr>
          <w:sz w:val="22"/>
          <w:szCs w:val="22"/>
        </w:rPr>
      </w:pPr>
      <w:r>
        <w:rPr>
          <w:sz w:val="22"/>
          <w:szCs w:val="22"/>
        </w:rPr>
        <w:t>FED kararının gerek piyasalar gerekse yatırımcılar açısından sürpriz olduğu söylenemez. Geçtiğimiz Mayıs ayından itibaren zamanlaması tartışılan ve beklenen bir karardı ve Türkiye'de ekonomi yönetiminin uzun zamandır çıkış stratejisi hazırlığı yaptığı biliniyordu.</w:t>
      </w:r>
      <w:r w:rsidR="00890713">
        <w:rPr>
          <w:sz w:val="22"/>
          <w:szCs w:val="22"/>
        </w:rPr>
        <w:t xml:space="preserve"> Piyasalar da bu karara hazırlıklıydı. </w:t>
      </w:r>
      <w:r w:rsidR="00596FDB">
        <w:rPr>
          <w:sz w:val="22"/>
          <w:szCs w:val="22"/>
        </w:rPr>
        <w:t>Ancak FED kararı</w:t>
      </w:r>
      <w:r w:rsidR="00C711EC">
        <w:rPr>
          <w:sz w:val="22"/>
          <w:szCs w:val="22"/>
        </w:rPr>
        <w:t>ndan bir gün önce başlatılan yolsuz</w:t>
      </w:r>
      <w:r w:rsidR="00596FDB">
        <w:rPr>
          <w:sz w:val="22"/>
          <w:szCs w:val="22"/>
        </w:rPr>
        <w:t xml:space="preserve">luk operasyonu ve sonrasındaki sürecin yarattığı belirsizlik ortamı piyasanın verdiği tepkilerin hangi nedenden ve ne kadar olduğunun ölçümünü zorlaştırdı. Türkiye'nin bu süreçte diğer gelişmekte olan ülkelerden daha fazla etkilendiği </w:t>
      </w:r>
      <w:r w:rsidR="00890713">
        <w:rPr>
          <w:sz w:val="22"/>
          <w:szCs w:val="22"/>
        </w:rPr>
        <w:t xml:space="preserve">ise </w:t>
      </w:r>
      <w:r w:rsidR="00596FDB">
        <w:rPr>
          <w:sz w:val="22"/>
          <w:szCs w:val="22"/>
        </w:rPr>
        <w:t xml:space="preserve">ortada. </w:t>
      </w:r>
    </w:p>
    <w:p w:rsidR="00596FDB" w:rsidRDefault="00596FDB" w:rsidP="00233D56">
      <w:pPr>
        <w:spacing w:line="360" w:lineRule="auto"/>
        <w:ind w:left="-360" w:right="42"/>
        <w:jc w:val="both"/>
        <w:rPr>
          <w:sz w:val="22"/>
          <w:szCs w:val="22"/>
        </w:rPr>
      </w:pPr>
    </w:p>
    <w:p w:rsidR="00596FDB" w:rsidRDefault="00596FDB" w:rsidP="00233D56">
      <w:pPr>
        <w:spacing w:line="360" w:lineRule="auto"/>
        <w:ind w:left="-360" w:right="42"/>
        <w:jc w:val="both"/>
        <w:rPr>
          <w:sz w:val="22"/>
          <w:szCs w:val="22"/>
        </w:rPr>
      </w:pPr>
      <w:r>
        <w:rPr>
          <w:sz w:val="22"/>
          <w:szCs w:val="22"/>
        </w:rPr>
        <w:t>FED kara</w:t>
      </w:r>
      <w:r w:rsidR="00C711EC">
        <w:rPr>
          <w:sz w:val="22"/>
          <w:szCs w:val="22"/>
        </w:rPr>
        <w:t>r</w:t>
      </w:r>
      <w:r>
        <w:rPr>
          <w:sz w:val="22"/>
          <w:szCs w:val="22"/>
        </w:rPr>
        <w:t xml:space="preserve">larının </w:t>
      </w:r>
      <w:r w:rsidR="00890713">
        <w:rPr>
          <w:sz w:val="22"/>
          <w:szCs w:val="22"/>
        </w:rPr>
        <w:t xml:space="preserve">kısa vadeli sermaye akımları üzerinde nispeten </w:t>
      </w:r>
      <w:r>
        <w:rPr>
          <w:sz w:val="22"/>
          <w:szCs w:val="22"/>
        </w:rPr>
        <w:t>daha etkili olduğuna inanıyoruz. Amerikan 10 yıllık faizlerindeki değişim bu konuda önemli bir belirleyici.</w:t>
      </w:r>
      <w:r w:rsidR="00592FD2">
        <w:rPr>
          <w:sz w:val="22"/>
          <w:szCs w:val="22"/>
        </w:rPr>
        <w:t xml:space="preserve"> </w:t>
      </w:r>
      <w:r w:rsidR="00890713">
        <w:rPr>
          <w:sz w:val="22"/>
          <w:szCs w:val="22"/>
        </w:rPr>
        <w:t>Öte yandan FED'in</w:t>
      </w:r>
      <w:r w:rsidR="00CA67D4">
        <w:rPr>
          <w:sz w:val="22"/>
          <w:szCs w:val="22"/>
        </w:rPr>
        <w:t xml:space="preserve"> kararlar</w:t>
      </w:r>
      <w:r w:rsidR="00890713">
        <w:rPr>
          <w:sz w:val="22"/>
          <w:szCs w:val="22"/>
        </w:rPr>
        <w:t>ı</w:t>
      </w:r>
      <w:r w:rsidR="00CA67D4">
        <w:rPr>
          <w:sz w:val="22"/>
          <w:szCs w:val="22"/>
        </w:rPr>
        <w:t xml:space="preserve"> gittikçe daha belirgin bir hale geliyor. Tahvil alımlarının azaltılmaya başlanmış olması en önemli adımdı. Bundan sonraki adımlar piyasaları daha az ve uzun bir zamana yayılarak etkileyecektir.</w:t>
      </w:r>
      <w:r w:rsidR="00592FD2">
        <w:rPr>
          <w:sz w:val="22"/>
          <w:szCs w:val="22"/>
        </w:rPr>
        <w:t xml:space="preserve"> </w:t>
      </w:r>
      <w:r>
        <w:rPr>
          <w:sz w:val="22"/>
          <w:szCs w:val="22"/>
        </w:rPr>
        <w:t xml:space="preserve">Siyasi belirsizlik ortamı ise daha ziyade uzun vadeli yatırım kararlarını etkileyen bir görünüme sahip. </w:t>
      </w:r>
      <w:r w:rsidR="00207C8A">
        <w:rPr>
          <w:sz w:val="22"/>
          <w:szCs w:val="22"/>
        </w:rPr>
        <w:t xml:space="preserve">Bu açıdan reel ekonomi üzerinde </w:t>
      </w:r>
      <w:r w:rsidR="00890713">
        <w:rPr>
          <w:sz w:val="22"/>
          <w:szCs w:val="22"/>
        </w:rPr>
        <w:t>etkili</w:t>
      </w:r>
      <w:r w:rsidR="00207C8A">
        <w:rPr>
          <w:sz w:val="22"/>
          <w:szCs w:val="22"/>
        </w:rPr>
        <w:t xml:space="preserve">. </w:t>
      </w:r>
    </w:p>
    <w:p w:rsidR="00207C8A" w:rsidRDefault="00207C8A" w:rsidP="00233D56">
      <w:pPr>
        <w:spacing w:line="360" w:lineRule="auto"/>
        <w:ind w:left="-360" w:right="42"/>
        <w:jc w:val="both"/>
        <w:rPr>
          <w:sz w:val="22"/>
          <w:szCs w:val="22"/>
        </w:rPr>
      </w:pPr>
    </w:p>
    <w:p w:rsidR="00207C8A" w:rsidRDefault="00207C8A" w:rsidP="00233D56">
      <w:pPr>
        <w:spacing w:line="360" w:lineRule="auto"/>
        <w:ind w:left="-360" w:right="42"/>
        <w:jc w:val="both"/>
        <w:rPr>
          <w:sz w:val="22"/>
          <w:szCs w:val="22"/>
        </w:rPr>
      </w:pPr>
      <w:r>
        <w:rPr>
          <w:sz w:val="22"/>
          <w:szCs w:val="22"/>
        </w:rPr>
        <w:t xml:space="preserve">Sonuçta FED etkisiyle </w:t>
      </w:r>
      <w:r w:rsidR="00BC6253">
        <w:rPr>
          <w:sz w:val="22"/>
          <w:szCs w:val="22"/>
        </w:rPr>
        <w:t xml:space="preserve">Türkiye’de </w:t>
      </w:r>
      <w:r>
        <w:rPr>
          <w:sz w:val="22"/>
          <w:szCs w:val="22"/>
        </w:rPr>
        <w:t>para politikası 2014 yılında sıkı olmak zorunda. Mali politikanın da bütçe hedefleri konusundaki hassa</w:t>
      </w:r>
      <w:r w:rsidR="00CD5C49">
        <w:rPr>
          <w:sz w:val="22"/>
          <w:szCs w:val="22"/>
        </w:rPr>
        <w:t>siyet</w:t>
      </w:r>
      <w:r>
        <w:rPr>
          <w:sz w:val="22"/>
          <w:szCs w:val="22"/>
        </w:rPr>
        <w:t xml:space="preserve"> nedeniyle sıkı tutulmaya devam edileceğini öngörüyoruz. Her iki politika da iç talebi </w:t>
      </w:r>
      <w:r>
        <w:rPr>
          <w:sz w:val="22"/>
          <w:szCs w:val="22"/>
        </w:rPr>
        <w:lastRenderedPageBreak/>
        <w:t xml:space="preserve">baskılayacaktır. Siyasi belirsizlikler de yatırım ve tüketim harcamalarını kısıtlayacak, diğer taraftan tasarrufların artmasına neden olacaktır. </w:t>
      </w:r>
      <w:r w:rsidR="00890713">
        <w:rPr>
          <w:sz w:val="22"/>
          <w:szCs w:val="22"/>
        </w:rPr>
        <w:t xml:space="preserve">2014'de büyümenin en önemli kaynağının net ihracat olacağını ve cari açığın azalacağını öngörüyoruz. </w:t>
      </w:r>
      <w:r>
        <w:rPr>
          <w:sz w:val="22"/>
          <w:szCs w:val="22"/>
        </w:rPr>
        <w:t>Bu koşullar altında 2014 yılında büyüme</w:t>
      </w:r>
      <w:r w:rsidR="00CD5C49">
        <w:rPr>
          <w:sz w:val="22"/>
          <w:szCs w:val="22"/>
        </w:rPr>
        <w:t xml:space="preserve"> için</w:t>
      </w:r>
      <w:r w:rsidR="00357987">
        <w:rPr>
          <w:sz w:val="22"/>
          <w:szCs w:val="22"/>
        </w:rPr>
        <w:t xml:space="preserve"> </w:t>
      </w:r>
      <w:r w:rsidR="006C372B">
        <w:rPr>
          <w:sz w:val="22"/>
          <w:szCs w:val="22"/>
        </w:rPr>
        <w:t xml:space="preserve">Orta Vadeli Program'da </w:t>
      </w:r>
      <w:r>
        <w:rPr>
          <w:sz w:val="22"/>
          <w:szCs w:val="22"/>
        </w:rPr>
        <w:t>hedeflenen yüzde 4</w:t>
      </w:r>
      <w:r w:rsidR="00BC6253">
        <w:rPr>
          <w:sz w:val="22"/>
          <w:szCs w:val="22"/>
        </w:rPr>
        <w:t xml:space="preserve"> oranına</w:t>
      </w:r>
      <w:r>
        <w:rPr>
          <w:sz w:val="22"/>
          <w:szCs w:val="22"/>
        </w:rPr>
        <w:t xml:space="preserve"> ulaşma</w:t>
      </w:r>
      <w:r w:rsidR="00CD5C49">
        <w:rPr>
          <w:sz w:val="22"/>
          <w:szCs w:val="22"/>
        </w:rPr>
        <w:t>k</w:t>
      </w:r>
      <w:r>
        <w:rPr>
          <w:sz w:val="22"/>
          <w:szCs w:val="22"/>
        </w:rPr>
        <w:t xml:space="preserve"> oldukça zor. </w:t>
      </w:r>
    </w:p>
    <w:p w:rsidR="006040ED" w:rsidRDefault="006040ED" w:rsidP="00233D56">
      <w:pPr>
        <w:spacing w:line="360" w:lineRule="auto"/>
        <w:ind w:left="-360" w:right="42"/>
        <w:jc w:val="both"/>
        <w:rPr>
          <w:sz w:val="22"/>
          <w:szCs w:val="22"/>
        </w:rPr>
      </w:pPr>
    </w:p>
    <w:p w:rsidR="009165ED" w:rsidRDefault="009165ED" w:rsidP="009165ED">
      <w:pPr>
        <w:spacing w:line="360" w:lineRule="auto"/>
        <w:ind w:left="-360" w:right="42"/>
        <w:jc w:val="center"/>
        <w:rPr>
          <w:b/>
          <w:bCs/>
          <w:sz w:val="22"/>
          <w:szCs w:val="22"/>
        </w:rPr>
      </w:pPr>
      <w:r>
        <w:rPr>
          <w:b/>
          <w:bCs/>
          <w:sz w:val="22"/>
          <w:szCs w:val="22"/>
        </w:rPr>
        <w:t>Kasım ayında göstergeler toparlandı</w:t>
      </w:r>
    </w:p>
    <w:p w:rsidR="009165ED" w:rsidRDefault="009165ED" w:rsidP="009165ED">
      <w:pPr>
        <w:spacing w:line="360" w:lineRule="auto"/>
        <w:ind w:left="-360" w:right="42"/>
        <w:jc w:val="both"/>
        <w:rPr>
          <w:sz w:val="22"/>
          <w:szCs w:val="22"/>
        </w:rPr>
      </w:pPr>
    </w:p>
    <w:p w:rsidR="009165ED" w:rsidRDefault="009165ED" w:rsidP="009165ED">
      <w:pPr>
        <w:spacing w:line="360" w:lineRule="auto"/>
        <w:ind w:left="-360" w:right="42"/>
        <w:jc w:val="both"/>
        <w:rPr>
          <w:sz w:val="22"/>
          <w:szCs w:val="22"/>
        </w:rPr>
      </w:pPr>
      <w:r>
        <w:rPr>
          <w:sz w:val="22"/>
          <w:szCs w:val="22"/>
        </w:rPr>
        <w:t xml:space="preserve">Kurban Bayramı nedeniyle Ekim ayına dair mevsimsellikten arındırılmış göstergeler negatif gelmişti. Beklenildiği gibi Kasım ayında ekonomik göstergelerin çoğu toparlandı. Tüketim malı ithalatı Kasım ayında bir önceki aya göre yüzde 3,3 arttı. Aynı dönemde dayanıklı ve dayanıksız tüketim malı göstergeleri de sırasıyla yüzde 2,3 ve yüzde 3,1 arttı. Tüketici güven endeksi Kasım ayında yüzde 2,6 artmıştı; Aralık ayında da yüzde 0,3 artarak yükseliş trendini sürdürdü. </w:t>
      </w:r>
    </w:p>
    <w:p w:rsidR="009165ED" w:rsidRDefault="009165ED" w:rsidP="009165ED">
      <w:pPr>
        <w:spacing w:line="360" w:lineRule="auto"/>
        <w:ind w:right="42"/>
        <w:rPr>
          <w:b/>
          <w:bCs/>
          <w:sz w:val="22"/>
          <w:szCs w:val="22"/>
        </w:rPr>
      </w:pPr>
    </w:p>
    <w:p w:rsidR="009165ED" w:rsidRDefault="009165ED" w:rsidP="009165ED">
      <w:pPr>
        <w:spacing w:line="360" w:lineRule="auto"/>
        <w:ind w:left="-360" w:right="42"/>
        <w:jc w:val="center"/>
        <w:rPr>
          <w:b/>
          <w:bCs/>
          <w:sz w:val="22"/>
          <w:szCs w:val="22"/>
        </w:rPr>
      </w:pPr>
      <w:r>
        <w:rPr>
          <w:b/>
          <w:bCs/>
          <w:sz w:val="22"/>
          <w:szCs w:val="22"/>
        </w:rPr>
        <w:t xml:space="preserve">Yatırımda zayıf toparlanma </w:t>
      </w:r>
    </w:p>
    <w:p w:rsidR="009165ED" w:rsidRDefault="009165ED" w:rsidP="009165ED">
      <w:pPr>
        <w:spacing w:line="360" w:lineRule="auto"/>
        <w:ind w:right="42"/>
        <w:jc w:val="both"/>
        <w:rPr>
          <w:bCs/>
          <w:sz w:val="22"/>
          <w:szCs w:val="22"/>
        </w:rPr>
      </w:pPr>
    </w:p>
    <w:p w:rsidR="009165ED" w:rsidRDefault="009165ED" w:rsidP="009165ED">
      <w:pPr>
        <w:spacing w:line="360" w:lineRule="auto"/>
        <w:ind w:left="-360" w:right="43"/>
        <w:jc w:val="both"/>
        <w:rPr>
          <w:bCs/>
          <w:sz w:val="22"/>
          <w:szCs w:val="22"/>
        </w:rPr>
      </w:pPr>
      <w:r>
        <w:rPr>
          <w:bCs/>
          <w:sz w:val="22"/>
          <w:szCs w:val="22"/>
        </w:rPr>
        <w:t>Ekim ayındaki negatif görünümün ardından yatırım göstergeleri zayıf</w:t>
      </w:r>
      <w:r w:rsidR="008C2D0B">
        <w:rPr>
          <w:bCs/>
          <w:sz w:val="22"/>
          <w:szCs w:val="22"/>
        </w:rPr>
        <w:t xml:space="preserve"> da</w:t>
      </w:r>
      <w:r>
        <w:rPr>
          <w:bCs/>
          <w:sz w:val="22"/>
          <w:szCs w:val="22"/>
        </w:rPr>
        <w:t xml:space="preserve"> olsa toparlandı. Yatırım malı ithalatı, ara malı ithalatı ve yatırım malı imalatı Kasım ayında bir önceki aya göre sırasıyla yüzde 2,5, yüzde 0,7 ve yüzde 1,7 arttı. Aynı dönemde SÜE, binek ve binek olmayan otomobil üretimi de sırasıyla yüzde 2,9, yüzde 2,5 ve yüzde 1,4 arttı.</w:t>
      </w:r>
      <w:r w:rsidR="002E41FC">
        <w:rPr>
          <w:bCs/>
          <w:sz w:val="22"/>
          <w:szCs w:val="22"/>
        </w:rPr>
        <w:t xml:space="preserve"> Yine de bu artışlar geçen ayki düşüşün tamamını telafi etmeye yetmedi. </w:t>
      </w:r>
      <w:r>
        <w:rPr>
          <w:bCs/>
          <w:sz w:val="22"/>
          <w:szCs w:val="22"/>
        </w:rPr>
        <w:t xml:space="preserve"> Aralık ayında ise KKO oranı 0,9 yüzde puan artarken, reel kesim güven endeksi yüzde 0,5 azaldı. </w:t>
      </w:r>
    </w:p>
    <w:p w:rsidR="009165ED" w:rsidRDefault="009165ED" w:rsidP="009165ED">
      <w:pPr>
        <w:spacing w:line="360" w:lineRule="auto"/>
        <w:ind w:left="-360" w:right="43"/>
        <w:jc w:val="both"/>
        <w:rPr>
          <w:bCs/>
          <w:sz w:val="22"/>
          <w:szCs w:val="22"/>
        </w:rPr>
      </w:pPr>
    </w:p>
    <w:p w:rsidR="009165ED" w:rsidRDefault="009165ED" w:rsidP="009165ED">
      <w:pPr>
        <w:spacing w:line="360" w:lineRule="auto"/>
        <w:ind w:left="-360" w:right="43"/>
        <w:jc w:val="center"/>
        <w:rPr>
          <w:b/>
          <w:bCs/>
          <w:sz w:val="22"/>
          <w:szCs w:val="22"/>
        </w:rPr>
      </w:pPr>
      <w:r>
        <w:rPr>
          <w:b/>
          <w:bCs/>
          <w:sz w:val="22"/>
          <w:szCs w:val="22"/>
        </w:rPr>
        <w:lastRenderedPageBreak/>
        <w:t>Hem ihracat hem ithalat artıyor</w:t>
      </w:r>
      <w:r>
        <w:rPr>
          <w:b/>
          <w:bCs/>
          <w:sz w:val="22"/>
          <w:szCs w:val="22"/>
        </w:rPr>
        <w:br/>
      </w:r>
    </w:p>
    <w:p w:rsidR="009165ED" w:rsidRPr="006A6D92" w:rsidRDefault="009165ED" w:rsidP="009165ED">
      <w:pPr>
        <w:spacing w:line="360" w:lineRule="auto"/>
        <w:ind w:left="-360" w:right="43"/>
        <w:jc w:val="both"/>
        <w:rPr>
          <w:sz w:val="22"/>
          <w:szCs w:val="22"/>
        </w:rPr>
      </w:pPr>
      <w:r>
        <w:rPr>
          <w:sz w:val="22"/>
          <w:szCs w:val="22"/>
        </w:rPr>
        <w:t>Şekil 2 TÜİK’in açıkladığı mevsim ve takvim etkisinden arındırılmış ihracat ve ithalat miktar endekslerini gösteriyor. Ekim ayında bir önceki aya göre ihracat miktar endeksi ve ithalat miktar endeksi sırasıyla yüzde 3,1 ve yüzde 3,0 arttı. Aynı dönemde altın dışı ihracat ve ithalat ise sırasıyla yüzde 1,6 ve yüzde 0,2 arttı.</w:t>
      </w:r>
      <w:r w:rsidR="00E53644">
        <w:rPr>
          <w:sz w:val="22"/>
          <w:szCs w:val="22"/>
        </w:rPr>
        <w:t xml:space="preserve"> Altın dışlandığında ihracatın ithalattan daha hızlı arttığı belirginleşiyor.</w:t>
      </w:r>
    </w:p>
    <w:p w:rsidR="000A399E" w:rsidRDefault="000A399E" w:rsidP="00EA5EA9">
      <w:pPr>
        <w:spacing w:line="360" w:lineRule="auto"/>
        <w:ind w:right="42"/>
        <w:rPr>
          <w:b/>
          <w:bCs/>
          <w:sz w:val="22"/>
          <w:szCs w:val="22"/>
        </w:rPr>
      </w:pPr>
    </w:p>
    <w:p w:rsidR="003146E6" w:rsidRDefault="00027FC3" w:rsidP="003146E6">
      <w:pPr>
        <w:spacing w:line="360" w:lineRule="auto"/>
        <w:ind w:left="-360" w:right="43"/>
        <w:jc w:val="center"/>
        <w:rPr>
          <w:b/>
          <w:bCs/>
          <w:sz w:val="22"/>
          <w:szCs w:val="22"/>
        </w:rPr>
      </w:pPr>
      <w:r>
        <w:rPr>
          <w:b/>
          <w:bCs/>
          <w:sz w:val="22"/>
          <w:szCs w:val="22"/>
        </w:rPr>
        <w:t>Altın hariç c</w:t>
      </w:r>
      <w:r w:rsidR="003146E6">
        <w:rPr>
          <w:b/>
          <w:bCs/>
          <w:sz w:val="22"/>
          <w:szCs w:val="22"/>
        </w:rPr>
        <w:t>ari açık</w:t>
      </w:r>
      <w:r>
        <w:rPr>
          <w:b/>
          <w:bCs/>
          <w:sz w:val="22"/>
          <w:szCs w:val="22"/>
        </w:rPr>
        <w:t xml:space="preserve"> azalmaya devam ediyor</w:t>
      </w:r>
    </w:p>
    <w:p w:rsidR="003146E6" w:rsidRDefault="003146E6" w:rsidP="003146E6">
      <w:pPr>
        <w:spacing w:line="360" w:lineRule="auto"/>
        <w:ind w:left="-360" w:right="43"/>
        <w:jc w:val="center"/>
        <w:rPr>
          <w:b/>
          <w:bCs/>
          <w:sz w:val="22"/>
          <w:szCs w:val="22"/>
        </w:rPr>
      </w:pPr>
    </w:p>
    <w:p w:rsidR="003146E6" w:rsidRDefault="003146E6" w:rsidP="003146E6">
      <w:pPr>
        <w:spacing w:line="360" w:lineRule="auto"/>
        <w:ind w:left="-360" w:right="43"/>
        <w:jc w:val="both"/>
        <w:rPr>
          <w:sz w:val="22"/>
          <w:szCs w:val="22"/>
        </w:rPr>
      </w:pPr>
      <w:r>
        <w:rPr>
          <w:sz w:val="22"/>
          <w:szCs w:val="22"/>
        </w:rPr>
        <w:t xml:space="preserve">Kasım ayında cari açık 3,94 milyar dolar oldu. Böylece 12 aylık </w:t>
      </w:r>
      <w:r w:rsidRPr="003146E6">
        <w:rPr>
          <w:b/>
          <w:sz w:val="22"/>
          <w:szCs w:val="22"/>
        </w:rPr>
        <w:t>cari açık</w:t>
      </w:r>
      <w:r>
        <w:rPr>
          <w:sz w:val="22"/>
          <w:szCs w:val="22"/>
        </w:rPr>
        <w:t xml:space="preserve"> toplamı Ekim'de 60,9 milyardan Kasım'da 60,8 milyar dolara indi. 12 aylık </w:t>
      </w:r>
      <w:r w:rsidRPr="003146E6">
        <w:rPr>
          <w:b/>
          <w:sz w:val="22"/>
          <w:szCs w:val="22"/>
        </w:rPr>
        <w:t>altın hariç cari açık</w:t>
      </w:r>
      <w:r>
        <w:rPr>
          <w:sz w:val="22"/>
          <w:szCs w:val="22"/>
        </w:rPr>
        <w:t xml:space="preserve"> ise Ekim'de 52 milyar dolar iken, Kasım'da 50,7 milyar dolar oldu. </w:t>
      </w:r>
    </w:p>
    <w:p w:rsidR="003146E6" w:rsidRDefault="003146E6" w:rsidP="003146E6">
      <w:pPr>
        <w:spacing w:line="360" w:lineRule="auto"/>
        <w:ind w:left="-360" w:right="43"/>
        <w:jc w:val="both"/>
        <w:rPr>
          <w:sz w:val="22"/>
          <w:szCs w:val="22"/>
        </w:rPr>
      </w:pPr>
    </w:p>
    <w:p w:rsidR="00DB4284" w:rsidRDefault="003146E6" w:rsidP="003146E6">
      <w:pPr>
        <w:spacing w:line="360" w:lineRule="auto"/>
        <w:ind w:left="-360" w:right="43"/>
        <w:jc w:val="both"/>
        <w:rPr>
          <w:sz w:val="22"/>
          <w:szCs w:val="22"/>
        </w:rPr>
      </w:pPr>
      <w:r>
        <w:rPr>
          <w:sz w:val="22"/>
          <w:szCs w:val="22"/>
        </w:rPr>
        <w:t xml:space="preserve">Son bir kaç yılda Türkiye'nin altın ticaretinin Amerikan ambargosu nedeniyle İran ile </w:t>
      </w:r>
      <w:r w:rsidR="004E1AB5">
        <w:rPr>
          <w:sz w:val="22"/>
          <w:szCs w:val="22"/>
        </w:rPr>
        <w:t>ilişkiliydi.</w:t>
      </w:r>
      <w:r>
        <w:rPr>
          <w:sz w:val="22"/>
          <w:szCs w:val="22"/>
        </w:rPr>
        <w:t xml:space="preserve"> </w:t>
      </w:r>
      <w:r w:rsidR="004E1AB5">
        <w:rPr>
          <w:sz w:val="22"/>
          <w:szCs w:val="22"/>
        </w:rPr>
        <w:t xml:space="preserve">Bu nedenle </w:t>
      </w:r>
      <w:r>
        <w:rPr>
          <w:sz w:val="22"/>
          <w:szCs w:val="22"/>
        </w:rPr>
        <w:t xml:space="preserve">altından kaynaklanan cari açık hareketlerinin büyüme ve kur gibi ekonomik temellerle ilişkilendirilmesi doğru olmaz. İç talep kaynaklı cari açığı değerlendirirken altın hariç tutulmalıdır. Finansman açısından bakıldığında ise ithal edilen mal ne olursa olsun bunun karşılığı olarak ihracat ya da sermaye girişine ihtiyaç duyulacaktır. </w:t>
      </w:r>
    </w:p>
    <w:p w:rsidR="00DB4284" w:rsidRDefault="00DB4284" w:rsidP="003146E6">
      <w:pPr>
        <w:spacing w:line="360" w:lineRule="auto"/>
        <w:ind w:left="-360" w:right="43"/>
        <w:jc w:val="both"/>
        <w:rPr>
          <w:sz w:val="22"/>
          <w:szCs w:val="22"/>
        </w:rPr>
      </w:pPr>
    </w:p>
    <w:p w:rsidR="003146E6" w:rsidRPr="006A6D92" w:rsidRDefault="003146E6" w:rsidP="003146E6">
      <w:pPr>
        <w:spacing w:line="360" w:lineRule="auto"/>
        <w:ind w:left="-360" w:right="43"/>
        <w:jc w:val="both"/>
        <w:rPr>
          <w:sz w:val="22"/>
          <w:szCs w:val="22"/>
        </w:rPr>
      </w:pPr>
      <w:r>
        <w:rPr>
          <w:sz w:val="22"/>
          <w:szCs w:val="22"/>
        </w:rPr>
        <w:t>Şekil 3</w:t>
      </w:r>
      <w:r w:rsidR="00DB4284">
        <w:rPr>
          <w:sz w:val="22"/>
          <w:szCs w:val="22"/>
        </w:rPr>
        <w:t xml:space="preserve"> ve 4</w:t>
      </w:r>
      <w:r>
        <w:rPr>
          <w:sz w:val="22"/>
          <w:szCs w:val="22"/>
        </w:rPr>
        <w:t xml:space="preserve"> </w:t>
      </w:r>
      <w:r w:rsidR="00DB4284">
        <w:rPr>
          <w:sz w:val="22"/>
          <w:szCs w:val="22"/>
        </w:rPr>
        <w:t>a</w:t>
      </w:r>
      <w:r>
        <w:rPr>
          <w:sz w:val="22"/>
          <w:szCs w:val="22"/>
        </w:rPr>
        <w:t xml:space="preserve">ltın hariç ve dahil cari açık oranlarını göstermekte. </w:t>
      </w:r>
      <w:r w:rsidR="007037E4">
        <w:rPr>
          <w:sz w:val="22"/>
          <w:szCs w:val="22"/>
        </w:rPr>
        <w:t xml:space="preserve">Her iki oran da 2011 yılı sonundan itibaren düşmekte ancak altın hariç cari açık Mart </w:t>
      </w:r>
      <w:r w:rsidR="00785375">
        <w:rPr>
          <w:sz w:val="22"/>
          <w:szCs w:val="22"/>
        </w:rPr>
        <w:t xml:space="preserve">2013'den </w:t>
      </w:r>
      <w:r w:rsidR="007037E4">
        <w:rPr>
          <w:sz w:val="22"/>
          <w:szCs w:val="22"/>
        </w:rPr>
        <w:t xml:space="preserve">sonra da </w:t>
      </w:r>
      <w:r w:rsidR="00C33A1C">
        <w:rPr>
          <w:sz w:val="22"/>
          <w:szCs w:val="22"/>
        </w:rPr>
        <w:t xml:space="preserve">artmak yerine </w:t>
      </w:r>
      <w:r w:rsidR="007037E4">
        <w:rPr>
          <w:sz w:val="22"/>
          <w:szCs w:val="22"/>
        </w:rPr>
        <w:t>düzenli olarak azalmakta.</w:t>
      </w:r>
      <w:r w:rsidR="004E1AB5">
        <w:rPr>
          <w:sz w:val="22"/>
          <w:szCs w:val="22"/>
        </w:rPr>
        <w:t xml:space="preserve"> Bu hem kur hem de ılımlı büyüme ile uyumlu bir tablodur. Betam 2013 yıl sonunda cari </w:t>
      </w:r>
      <w:r w:rsidR="004E1AB5">
        <w:rPr>
          <w:sz w:val="22"/>
          <w:szCs w:val="22"/>
        </w:rPr>
        <w:lastRenderedPageBreak/>
        <w:t>açık oranının yüzde 7,5, altın hariç cari açık oranının ise yüzde 6,2 olacağını tahmin ediyor. 2014 yılında da cari açıktaki azalmanın hızlanarak devam etmesini bekliyoruz.</w:t>
      </w:r>
    </w:p>
    <w:p w:rsidR="003146E6" w:rsidRDefault="003146E6" w:rsidP="003146E6">
      <w:pPr>
        <w:spacing w:line="360" w:lineRule="auto"/>
        <w:ind w:right="42"/>
        <w:rPr>
          <w:b/>
          <w:bCs/>
          <w:sz w:val="22"/>
          <w:szCs w:val="22"/>
        </w:rPr>
      </w:pPr>
    </w:p>
    <w:p w:rsidR="00965C0E" w:rsidRDefault="00965C0E" w:rsidP="00965C0E">
      <w:pPr>
        <w:spacing w:line="360" w:lineRule="auto"/>
        <w:ind w:left="-360" w:right="42"/>
        <w:jc w:val="center"/>
        <w:rPr>
          <w:b/>
          <w:sz w:val="22"/>
          <w:szCs w:val="22"/>
        </w:rPr>
      </w:pPr>
    </w:p>
    <w:p w:rsidR="00965C0E" w:rsidRDefault="00965C0E" w:rsidP="00965C0E">
      <w:pPr>
        <w:spacing w:line="360" w:lineRule="auto"/>
        <w:ind w:left="-360" w:right="42"/>
        <w:jc w:val="both"/>
        <w:rPr>
          <w:sz w:val="22"/>
          <w:szCs w:val="22"/>
        </w:rPr>
        <w:sectPr w:rsidR="00965C0E" w:rsidSect="000F0C2B">
          <w:type w:val="continuous"/>
          <w:pgSz w:w="11906" w:h="16838"/>
          <w:pgMar w:top="1417" w:right="1417" w:bottom="1417" w:left="1417" w:header="708" w:footer="708" w:gutter="0"/>
          <w:cols w:num="2" w:space="708" w:equalWidth="0">
            <w:col w:w="4182" w:space="708"/>
            <w:col w:w="4182"/>
          </w:cols>
          <w:docGrid w:linePitch="360"/>
        </w:sectPr>
      </w:pPr>
    </w:p>
    <w:p w:rsidR="00031D72" w:rsidRDefault="00031D72" w:rsidP="008A0F64">
      <w:pPr>
        <w:spacing w:line="360" w:lineRule="auto"/>
        <w:ind w:right="42"/>
        <w:jc w:val="both"/>
        <w:rPr>
          <w:b/>
          <w:bCs/>
          <w:sz w:val="22"/>
          <w:szCs w:val="22"/>
        </w:rPr>
      </w:pPr>
    </w:p>
    <w:p w:rsidR="009165ED" w:rsidRPr="009B33E7" w:rsidRDefault="009165ED" w:rsidP="009165ED">
      <w:pPr>
        <w:spacing w:line="360" w:lineRule="auto"/>
        <w:ind w:right="42"/>
        <w:jc w:val="both"/>
        <w:rPr>
          <w:sz w:val="22"/>
          <w:szCs w:val="22"/>
        </w:rPr>
      </w:pPr>
      <w:r w:rsidRPr="008C6E50">
        <w:rPr>
          <w:b/>
          <w:bCs/>
          <w:sz w:val="22"/>
          <w:szCs w:val="22"/>
        </w:rPr>
        <w:t>Tablo</w:t>
      </w:r>
      <w:r>
        <w:rPr>
          <w:b/>
          <w:bCs/>
          <w:sz w:val="22"/>
          <w:szCs w:val="22"/>
        </w:rPr>
        <w:t xml:space="preserve"> 2</w:t>
      </w:r>
      <w:r w:rsidRPr="008C6E50">
        <w:rPr>
          <w:b/>
          <w:bCs/>
          <w:sz w:val="22"/>
          <w:szCs w:val="22"/>
        </w:rPr>
        <w:t>. Ekonomik göstergelerin aydan aya ve çeyrekten çeyreğe değişimleri (Reel ve MEA)</w:t>
      </w:r>
    </w:p>
    <w:tbl>
      <w:tblPr>
        <w:tblW w:w="10620"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1"/>
        <w:gridCol w:w="1098"/>
        <w:gridCol w:w="921"/>
        <w:gridCol w:w="1073"/>
        <w:gridCol w:w="1138"/>
        <w:gridCol w:w="1069"/>
        <w:gridCol w:w="960"/>
        <w:gridCol w:w="960"/>
      </w:tblGrid>
      <w:tr w:rsidR="009165ED" w:rsidTr="007C54CD">
        <w:trPr>
          <w:trHeight w:val="607"/>
        </w:trPr>
        <w:tc>
          <w:tcPr>
            <w:tcW w:w="3401" w:type="dxa"/>
            <w:vAlign w:val="center"/>
          </w:tcPr>
          <w:p w:rsidR="009165ED" w:rsidRPr="00261A05" w:rsidRDefault="009165ED" w:rsidP="007C54CD">
            <w:pPr>
              <w:ind w:right="42"/>
              <w:jc w:val="center"/>
              <w:rPr>
                <w:b/>
                <w:bCs/>
              </w:rPr>
            </w:pPr>
            <w:r w:rsidRPr="00261A05">
              <w:rPr>
                <w:b/>
                <w:bCs/>
                <w:sz w:val="22"/>
                <w:szCs w:val="22"/>
              </w:rPr>
              <w:t>Ekonomik Göstergeler</w:t>
            </w:r>
          </w:p>
        </w:tc>
        <w:tc>
          <w:tcPr>
            <w:tcW w:w="1098" w:type="dxa"/>
            <w:vAlign w:val="center"/>
          </w:tcPr>
          <w:p w:rsidR="009165ED" w:rsidRPr="00261A05" w:rsidRDefault="009165ED" w:rsidP="007C54CD">
            <w:pPr>
              <w:ind w:right="42"/>
              <w:jc w:val="center"/>
              <w:rPr>
                <w:b/>
                <w:bCs/>
              </w:rPr>
            </w:pPr>
            <w:r>
              <w:rPr>
                <w:b/>
                <w:bCs/>
              </w:rPr>
              <w:t>Ağustos</w:t>
            </w:r>
          </w:p>
        </w:tc>
        <w:tc>
          <w:tcPr>
            <w:tcW w:w="921" w:type="dxa"/>
            <w:vAlign w:val="center"/>
          </w:tcPr>
          <w:p w:rsidR="009165ED" w:rsidRPr="00261A05" w:rsidRDefault="009165ED" w:rsidP="007C54CD">
            <w:pPr>
              <w:ind w:right="42"/>
              <w:jc w:val="center"/>
              <w:rPr>
                <w:b/>
                <w:bCs/>
              </w:rPr>
            </w:pPr>
            <w:r>
              <w:rPr>
                <w:b/>
                <w:bCs/>
              </w:rPr>
              <w:t>Eylül</w:t>
            </w:r>
          </w:p>
        </w:tc>
        <w:tc>
          <w:tcPr>
            <w:tcW w:w="1073" w:type="dxa"/>
            <w:vAlign w:val="center"/>
          </w:tcPr>
          <w:p w:rsidR="009165ED" w:rsidRPr="00261A05" w:rsidRDefault="009165ED" w:rsidP="007C54CD">
            <w:pPr>
              <w:ind w:right="42"/>
              <w:jc w:val="center"/>
              <w:rPr>
                <w:b/>
                <w:bCs/>
              </w:rPr>
            </w:pPr>
            <w:r>
              <w:rPr>
                <w:b/>
                <w:bCs/>
              </w:rPr>
              <w:t>Ekim</w:t>
            </w:r>
          </w:p>
        </w:tc>
        <w:tc>
          <w:tcPr>
            <w:tcW w:w="1138" w:type="dxa"/>
            <w:vAlign w:val="center"/>
          </w:tcPr>
          <w:p w:rsidR="009165ED" w:rsidRPr="00261A05" w:rsidRDefault="009165ED" w:rsidP="007C54CD">
            <w:pPr>
              <w:ind w:right="42"/>
              <w:jc w:val="center"/>
              <w:rPr>
                <w:b/>
                <w:bCs/>
              </w:rPr>
            </w:pPr>
            <w:r>
              <w:rPr>
                <w:b/>
                <w:bCs/>
              </w:rPr>
              <w:t>Kasım</w:t>
            </w:r>
          </w:p>
        </w:tc>
        <w:tc>
          <w:tcPr>
            <w:tcW w:w="1069" w:type="dxa"/>
            <w:tcBorders>
              <w:right w:val="double" w:sz="4" w:space="0" w:color="auto"/>
            </w:tcBorders>
            <w:vAlign w:val="center"/>
          </w:tcPr>
          <w:p w:rsidR="009165ED" w:rsidRPr="00261A05" w:rsidRDefault="009165ED" w:rsidP="007C54CD">
            <w:pPr>
              <w:ind w:right="42"/>
              <w:jc w:val="center"/>
              <w:rPr>
                <w:b/>
                <w:bCs/>
              </w:rPr>
            </w:pPr>
            <w:r>
              <w:rPr>
                <w:b/>
                <w:bCs/>
              </w:rPr>
              <w:t>Aralık</w:t>
            </w:r>
          </w:p>
        </w:tc>
        <w:tc>
          <w:tcPr>
            <w:tcW w:w="960" w:type="dxa"/>
            <w:tcBorders>
              <w:left w:val="double" w:sz="4" w:space="0" w:color="auto"/>
            </w:tcBorders>
            <w:vAlign w:val="center"/>
          </w:tcPr>
          <w:p w:rsidR="009165ED" w:rsidRPr="00261A05" w:rsidRDefault="009165ED" w:rsidP="007C54CD">
            <w:pPr>
              <w:ind w:right="42"/>
              <w:jc w:val="center"/>
              <w:rPr>
                <w:b/>
                <w:bCs/>
              </w:rPr>
            </w:pPr>
            <w:r>
              <w:rPr>
                <w:b/>
                <w:bCs/>
                <w:sz w:val="22"/>
                <w:szCs w:val="22"/>
              </w:rPr>
              <w:t>2013 3</w:t>
            </w:r>
            <w:r w:rsidRPr="00261A05">
              <w:rPr>
                <w:b/>
                <w:bCs/>
                <w:sz w:val="22"/>
                <w:szCs w:val="22"/>
              </w:rPr>
              <w:t>. Çeyrek</w:t>
            </w:r>
          </w:p>
        </w:tc>
        <w:tc>
          <w:tcPr>
            <w:tcW w:w="960" w:type="dxa"/>
            <w:vAlign w:val="center"/>
          </w:tcPr>
          <w:p w:rsidR="009165ED" w:rsidRPr="00261A05" w:rsidRDefault="009165ED" w:rsidP="007C54CD">
            <w:pPr>
              <w:ind w:right="42"/>
              <w:jc w:val="center"/>
              <w:rPr>
                <w:b/>
                <w:bCs/>
              </w:rPr>
            </w:pPr>
            <w:r>
              <w:rPr>
                <w:b/>
                <w:bCs/>
                <w:sz w:val="22"/>
                <w:szCs w:val="22"/>
              </w:rPr>
              <w:t>2013 4</w:t>
            </w:r>
            <w:r w:rsidRPr="00261A05">
              <w:rPr>
                <w:b/>
                <w:bCs/>
                <w:sz w:val="22"/>
                <w:szCs w:val="22"/>
              </w:rPr>
              <w:t>. Çeyrek</w:t>
            </w:r>
          </w:p>
        </w:tc>
      </w:tr>
      <w:tr w:rsidR="009165ED" w:rsidTr="007C54CD">
        <w:trPr>
          <w:trHeight w:val="370"/>
        </w:trPr>
        <w:tc>
          <w:tcPr>
            <w:tcW w:w="3401" w:type="dxa"/>
            <w:vAlign w:val="center"/>
          </w:tcPr>
          <w:p w:rsidR="009165ED" w:rsidRPr="00261A05" w:rsidRDefault="009165ED" w:rsidP="007C54CD">
            <w:pPr>
              <w:ind w:right="42"/>
              <w:jc w:val="center"/>
              <w:rPr>
                <w:b/>
                <w:bCs/>
              </w:rPr>
            </w:pPr>
            <w:r w:rsidRPr="00261A05">
              <w:rPr>
                <w:b/>
                <w:bCs/>
                <w:sz w:val="22"/>
                <w:szCs w:val="22"/>
              </w:rPr>
              <w:t>İhracat</w:t>
            </w:r>
            <w:r>
              <w:rPr>
                <w:b/>
                <w:bCs/>
                <w:sz w:val="22"/>
                <w:szCs w:val="22"/>
              </w:rPr>
              <w:t>*</w:t>
            </w:r>
          </w:p>
        </w:tc>
        <w:tc>
          <w:tcPr>
            <w:tcW w:w="1098" w:type="dxa"/>
            <w:vAlign w:val="center"/>
          </w:tcPr>
          <w:p w:rsidR="009165ED" w:rsidRPr="00261A05" w:rsidRDefault="009165ED" w:rsidP="007C54CD">
            <w:pPr>
              <w:ind w:right="42"/>
              <w:jc w:val="center"/>
              <w:rPr>
                <w:b/>
                <w:bCs/>
              </w:rPr>
            </w:pPr>
            <w:r>
              <w:rPr>
                <w:b/>
                <w:bCs/>
              </w:rPr>
              <w:t>-2,5</w:t>
            </w:r>
          </w:p>
        </w:tc>
        <w:tc>
          <w:tcPr>
            <w:tcW w:w="921" w:type="dxa"/>
            <w:vAlign w:val="center"/>
          </w:tcPr>
          <w:p w:rsidR="009165ED" w:rsidRPr="00261A05" w:rsidRDefault="009165ED" w:rsidP="007C54CD">
            <w:pPr>
              <w:ind w:right="42"/>
              <w:jc w:val="center"/>
              <w:rPr>
                <w:b/>
                <w:bCs/>
              </w:rPr>
            </w:pPr>
            <w:r>
              <w:rPr>
                <w:b/>
                <w:bCs/>
              </w:rPr>
              <w:t>10,2</w:t>
            </w:r>
          </w:p>
        </w:tc>
        <w:tc>
          <w:tcPr>
            <w:tcW w:w="1073" w:type="dxa"/>
            <w:vAlign w:val="center"/>
          </w:tcPr>
          <w:p w:rsidR="009165ED" w:rsidRPr="00261A05" w:rsidRDefault="009165ED" w:rsidP="007C54CD">
            <w:pPr>
              <w:ind w:right="42"/>
              <w:jc w:val="center"/>
              <w:rPr>
                <w:b/>
                <w:bCs/>
              </w:rPr>
            </w:pPr>
            <w:r>
              <w:rPr>
                <w:b/>
                <w:bCs/>
              </w:rPr>
              <w:t>-3,7</w:t>
            </w:r>
          </w:p>
        </w:tc>
        <w:tc>
          <w:tcPr>
            <w:tcW w:w="1138" w:type="dxa"/>
            <w:vAlign w:val="center"/>
          </w:tcPr>
          <w:p w:rsidR="009165ED" w:rsidRPr="00261A05" w:rsidRDefault="009165ED" w:rsidP="007C54CD">
            <w:pPr>
              <w:ind w:right="42"/>
              <w:jc w:val="center"/>
              <w:rPr>
                <w:b/>
                <w:bCs/>
              </w:rPr>
            </w:pPr>
            <w:r>
              <w:rPr>
                <w:b/>
                <w:bCs/>
              </w:rPr>
              <w:t>2,6</w:t>
            </w:r>
          </w:p>
        </w:tc>
        <w:tc>
          <w:tcPr>
            <w:tcW w:w="1069" w:type="dxa"/>
            <w:tcBorders>
              <w:right w:val="double" w:sz="4" w:space="0" w:color="auto"/>
            </w:tcBorders>
            <w:vAlign w:val="center"/>
          </w:tcPr>
          <w:p w:rsidR="009165ED" w:rsidRPr="00261A05" w:rsidRDefault="009165ED" w:rsidP="007C54CD">
            <w:pPr>
              <w:ind w:right="42"/>
              <w:jc w:val="center"/>
            </w:pPr>
            <w:r>
              <w:t>**</w:t>
            </w:r>
          </w:p>
        </w:tc>
        <w:tc>
          <w:tcPr>
            <w:tcW w:w="960" w:type="dxa"/>
            <w:tcBorders>
              <w:left w:val="double" w:sz="4" w:space="0" w:color="auto"/>
            </w:tcBorders>
            <w:vAlign w:val="center"/>
          </w:tcPr>
          <w:p w:rsidR="009165ED" w:rsidRPr="00261A05" w:rsidRDefault="009165ED" w:rsidP="007C54CD">
            <w:pPr>
              <w:ind w:right="42"/>
              <w:jc w:val="center"/>
              <w:rPr>
                <w:b/>
                <w:bCs/>
              </w:rPr>
            </w:pPr>
            <w:r>
              <w:rPr>
                <w:b/>
                <w:bCs/>
              </w:rPr>
              <w:t>3,1</w:t>
            </w:r>
          </w:p>
        </w:tc>
        <w:tc>
          <w:tcPr>
            <w:tcW w:w="960" w:type="dxa"/>
            <w:vAlign w:val="center"/>
          </w:tcPr>
          <w:p w:rsidR="009165ED" w:rsidRPr="00261A05" w:rsidRDefault="009165ED" w:rsidP="007C54CD">
            <w:pPr>
              <w:ind w:right="42"/>
              <w:jc w:val="center"/>
              <w:rPr>
                <w:b/>
                <w:bCs/>
              </w:rPr>
            </w:pPr>
            <w:r>
              <w:rPr>
                <w:b/>
                <w:bCs/>
              </w:rPr>
              <w:t>3,1</w:t>
            </w:r>
          </w:p>
        </w:tc>
      </w:tr>
      <w:tr w:rsidR="009165ED" w:rsidTr="007C54CD">
        <w:trPr>
          <w:trHeight w:val="370"/>
        </w:trPr>
        <w:tc>
          <w:tcPr>
            <w:tcW w:w="3401" w:type="dxa"/>
            <w:tcBorders>
              <w:bottom w:val="nil"/>
            </w:tcBorders>
            <w:vAlign w:val="center"/>
          </w:tcPr>
          <w:p w:rsidR="009165ED" w:rsidRPr="00261A05" w:rsidRDefault="009165ED" w:rsidP="007C54CD">
            <w:pPr>
              <w:ind w:right="42"/>
              <w:jc w:val="center"/>
              <w:rPr>
                <w:b/>
                <w:bCs/>
              </w:rPr>
            </w:pPr>
            <w:r w:rsidRPr="00261A05">
              <w:rPr>
                <w:b/>
                <w:bCs/>
                <w:sz w:val="22"/>
                <w:szCs w:val="22"/>
              </w:rPr>
              <w:t>İthalat</w:t>
            </w:r>
            <w:r>
              <w:rPr>
                <w:b/>
                <w:bCs/>
                <w:sz w:val="22"/>
                <w:szCs w:val="22"/>
              </w:rPr>
              <w:t>*</w:t>
            </w:r>
          </w:p>
        </w:tc>
        <w:tc>
          <w:tcPr>
            <w:tcW w:w="1098" w:type="dxa"/>
            <w:tcBorders>
              <w:bottom w:val="nil"/>
            </w:tcBorders>
            <w:vAlign w:val="center"/>
          </w:tcPr>
          <w:p w:rsidR="009165ED" w:rsidRPr="00261A05" w:rsidRDefault="009165ED" w:rsidP="007C54CD">
            <w:pPr>
              <w:ind w:right="42"/>
              <w:jc w:val="center"/>
              <w:rPr>
                <w:b/>
                <w:bCs/>
              </w:rPr>
            </w:pPr>
            <w:r>
              <w:rPr>
                <w:b/>
                <w:bCs/>
              </w:rPr>
              <w:t>-7,9</w:t>
            </w:r>
          </w:p>
        </w:tc>
        <w:tc>
          <w:tcPr>
            <w:tcW w:w="921" w:type="dxa"/>
            <w:tcBorders>
              <w:bottom w:val="nil"/>
            </w:tcBorders>
            <w:vAlign w:val="center"/>
          </w:tcPr>
          <w:p w:rsidR="009165ED" w:rsidRPr="00261A05" w:rsidRDefault="009165ED" w:rsidP="007C54CD">
            <w:pPr>
              <w:ind w:right="42"/>
              <w:jc w:val="center"/>
              <w:rPr>
                <w:b/>
                <w:bCs/>
              </w:rPr>
            </w:pPr>
            <w:r>
              <w:rPr>
                <w:b/>
                <w:bCs/>
              </w:rPr>
              <w:t>3,8</w:t>
            </w:r>
          </w:p>
        </w:tc>
        <w:tc>
          <w:tcPr>
            <w:tcW w:w="1073" w:type="dxa"/>
            <w:tcBorders>
              <w:bottom w:val="nil"/>
            </w:tcBorders>
            <w:vAlign w:val="center"/>
          </w:tcPr>
          <w:p w:rsidR="009165ED" w:rsidRPr="00261A05" w:rsidRDefault="009165ED" w:rsidP="007C54CD">
            <w:pPr>
              <w:ind w:right="42"/>
              <w:jc w:val="center"/>
              <w:rPr>
                <w:b/>
                <w:bCs/>
              </w:rPr>
            </w:pPr>
            <w:r>
              <w:rPr>
                <w:b/>
                <w:bCs/>
              </w:rPr>
              <w:t>2,8</w:t>
            </w:r>
          </w:p>
        </w:tc>
        <w:tc>
          <w:tcPr>
            <w:tcW w:w="1138" w:type="dxa"/>
            <w:tcBorders>
              <w:bottom w:val="nil"/>
            </w:tcBorders>
            <w:vAlign w:val="center"/>
          </w:tcPr>
          <w:p w:rsidR="009165ED" w:rsidRPr="00261A05" w:rsidRDefault="009165ED" w:rsidP="007C54CD">
            <w:pPr>
              <w:ind w:right="42"/>
              <w:jc w:val="center"/>
              <w:rPr>
                <w:b/>
                <w:bCs/>
              </w:rPr>
            </w:pPr>
            <w:r>
              <w:rPr>
                <w:b/>
                <w:bCs/>
              </w:rPr>
              <w:t>0,9</w:t>
            </w:r>
          </w:p>
        </w:tc>
        <w:tc>
          <w:tcPr>
            <w:tcW w:w="1069" w:type="dxa"/>
            <w:tcBorders>
              <w:bottom w:val="nil"/>
              <w:right w:val="double" w:sz="4" w:space="0" w:color="auto"/>
            </w:tcBorders>
            <w:vAlign w:val="center"/>
          </w:tcPr>
          <w:p w:rsidR="009165ED" w:rsidRPr="00261A05" w:rsidRDefault="009165ED" w:rsidP="007C54CD">
            <w:pPr>
              <w:ind w:right="42"/>
              <w:jc w:val="center"/>
            </w:pPr>
            <w:r>
              <w:t>**</w:t>
            </w:r>
          </w:p>
        </w:tc>
        <w:tc>
          <w:tcPr>
            <w:tcW w:w="960" w:type="dxa"/>
            <w:tcBorders>
              <w:left w:val="double" w:sz="4" w:space="0" w:color="auto"/>
              <w:bottom w:val="nil"/>
            </w:tcBorders>
            <w:vAlign w:val="center"/>
          </w:tcPr>
          <w:p w:rsidR="009165ED" w:rsidRPr="00261A05" w:rsidRDefault="009165ED" w:rsidP="007C54CD">
            <w:pPr>
              <w:ind w:right="42"/>
              <w:jc w:val="center"/>
              <w:rPr>
                <w:b/>
                <w:bCs/>
              </w:rPr>
            </w:pPr>
            <w:r>
              <w:rPr>
                <w:b/>
                <w:bCs/>
              </w:rPr>
              <w:t>-4,0</w:t>
            </w:r>
          </w:p>
        </w:tc>
        <w:tc>
          <w:tcPr>
            <w:tcW w:w="960" w:type="dxa"/>
            <w:tcBorders>
              <w:bottom w:val="nil"/>
            </w:tcBorders>
            <w:vAlign w:val="center"/>
          </w:tcPr>
          <w:p w:rsidR="009165ED" w:rsidRPr="00261A05" w:rsidRDefault="009165ED" w:rsidP="007C54CD">
            <w:pPr>
              <w:ind w:right="42"/>
              <w:jc w:val="center"/>
              <w:rPr>
                <w:b/>
                <w:bCs/>
              </w:rPr>
            </w:pPr>
            <w:r>
              <w:rPr>
                <w:b/>
                <w:bCs/>
              </w:rPr>
              <w:t>3,0</w:t>
            </w:r>
          </w:p>
        </w:tc>
      </w:tr>
      <w:tr w:rsidR="009165ED" w:rsidTr="007C54CD">
        <w:trPr>
          <w:trHeight w:val="370"/>
        </w:trPr>
        <w:tc>
          <w:tcPr>
            <w:tcW w:w="3401" w:type="dxa"/>
            <w:tcBorders>
              <w:top w:val="nil"/>
              <w:bottom w:val="nil"/>
            </w:tcBorders>
            <w:vAlign w:val="center"/>
          </w:tcPr>
          <w:p w:rsidR="009165ED" w:rsidRPr="00261A05" w:rsidRDefault="009165ED" w:rsidP="007C54CD">
            <w:pPr>
              <w:ind w:right="42"/>
              <w:jc w:val="center"/>
            </w:pPr>
            <w:r w:rsidRPr="00261A05">
              <w:rPr>
                <w:sz w:val="22"/>
                <w:szCs w:val="22"/>
              </w:rPr>
              <w:t>Ara malı ithalatı</w:t>
            </w:r>
          </w:p>
        </w:tc>
        <w:tc>
          <w:tcPr>
            <w:tcW w:w="1098" w:type="dxa"/>
            <w:tcBorders>
              <w:top w:val="nil"/>
              <w:bottom w:val="nil"/>
            </w:tcBorders>
            <w:vAlign w:val="center"/>
          </w:tcPr>
          <w:p w:rsidR="009165ED" w:rsidRPr="00261A05" w:rsidRDefault="009165ED" w:rsidP="007C54CD">
            <w:pPr>
              <w:ind w:right="42"/>
              <w:jc w:val="center"/>
            </w:pPr>
            <w:r>
              <w:t>-12,0</w:t>
            </w:r>
          </w:p>
        </w:tc>
        <w:tc>
          <w:tcPr>
            <w:tcW w:w="921" w:type="dxa"/>
            <w:tcBorders>
              <w:top w:val="nil"/>
              <w:bottom w:val="nil"/>
            </w:tcBorders>
            <w:vAlign w:val="center"/>
          </w:tcPr>
          <w:p w:rsidR="009165ED" w:rsidRPr="00261A05" w:rsidRDefault="009165ED" w:rsidP="007C54CD">
            <w:pPr>
              <w:ind w:right="42"/>
              <w:jc w:val="center"/>
            </w:pPr>
            <w:r>
              <w:t>5,1</w:t>
            </w:r>
          </w:p>
        </w:tc>
        <w:tc>
          <w:tcPr>
            <w:tcW w:w="1073" w:type="dxa"/>
            <w:tcBorders>
              <w:top w:val="nil"/>
              <w:bottom w:val="nil"/>
            </w:tcBorders>
            <w:vAlign w:val="center"/>
          </w:tcPr>
          <w:p w:rsidR="009165ED" w:rsidRPr="00261A05" w:rsidRDefault="009165ED" w:rsidP="007C54CD">
            <w:pPr>
              <w:ind w:right="42"/>
              <w:jc w:val="center"/>
            </w:pPr>
            <w:r>
              <w:t>2,1</w:t>
            </w:r>
          </w:p>
        </w:tc>
        <w:tc>
          <w:tcPr>
            <w:tcW w:w="1138" w:type="dxa"/>
            <w:tcBorders>
              <w:top w:val="nil"/>
              <w:bottom w:val="nil"/>
            </w:tcBorders>
            <w:vAlign w:val="center"/>
          </w:tcPr>
          <w:p w:rsidR="009165ED" w:rsidRPr="00261A05" w:rsidRDefault="009165ED" w:rsidP="007C54CD">
            <w:pPr>
              <w:ind w:right="42"/>
              <w:jc w:val="center"/>
            </w:pPr>
            <w:r>
              <w:t>0,7</w:t>
            </w:r>
          </w:p>
        </w:tc>
        <w:tc>
          <w:tcPr>
            <w:tcW w:w="1069" w:type="dxa"/>
            <w:tcBorders>
              <w:top w:val="nil"/>
              <w:bottom w:val="nil"/>
              <w:right w:val="double" w:sz="4" w:space="0" w:color="auto"/>
            </w:tcBorders>
            <w:vAlign w:val="center"/>
          </w:tcPr>
          <w:p w:rsidR="009165ED" w:rsidRPr="00261A05" w:rsidRDefault="009165ED" w:rsidP="007C54CD">
            <w:pPr>
              <w:ind w:right="42"/>
              <w:jc w:val="center"/>
            </w:pPr>
            <w:r>
              <w:t>**</w:t>
            </w:r>
          </w:p>
        </w:tc>
        <w:tc>
          <w:tcPr>
            <w:tcW w:w="960" w:type="dxa"/>
            <w:tcBorders>
              <w:top w:val="nil"/>
              <w:left w:val="double" w:sz="4" w:space="0" w:color="auto"/>
              <w:bottom w:val="nil"/>
            </w:tcBorders>
            <w:vAlign w:val="center"/>
          </w:tcPr>
          <w:p w:rsidR="009165ED" w:rsidRPr="00261A05" w:rsidRDefault="009165ED" w:rsidP="007C54CD">
            <w:pPr>
              <w:ind w:right="42"/>
              <w:jc w:val="center"/>
            </w:pPr>
            <w:r>
              <w:t>-7,0</w:t>
            </w:r>
          </w:p>
        </w:tc>
        <w:tc>
          <w:tcPr>
            <w:tcW w:w="960" w:type="dxa"/>
            <w:tcBorders>
              <w:top w:val="nil"/>
              <w:bottom w:val="nil"/>
            </w:tcBorders>
            <w:vAlign w:val="center"/>
          </w:tcPr>
          <w:p w:rsidR="009165ED" w:rsidRPr="00261A05" w:rsidRDefault="009165ED" w:rsidP="007C54CD">
            <w:pPr>
              <w:ind w:right="42"/>
              <w:jc w:val="center"/>
            </w:pPr>
            <w:r>
              <w:t>1,4</w:t>
            </w:r>
          </w:p>
        </w:tc>
      </w:tr>
      <w:tr w:rsidR="009165ED" w:rsidTr="007C54CD">
        <w:trPr>
          <w:trHeight w:val="370"/>
        </w:trPr>
        <w:tc>
          <w:tcPr>
            <w:tcW w:w="3401" w:type="dxa"/>
            <w:tcBorders>
              <w:top w:val="nil"/>
              <w:bottom w:val="nil"/>
            </w:tcBorders>
            <w:vAlign w:val="center"/>
          </w:tcPr>
          <w:p w:rsidR="009165ED" w:rsidRPr="00261A05" w:rsidRDefault="009165ED" w:rsidP="007C54CD">
            <w:pPr>
              <w:ind w:right="42"/>
              <w:jc w:val="center"/>
            </w:pPr>
            <w:r w:rsidRPr="00261A05">
              <w:rPr>
                <w:sz w:val="22"/>
                <w:szCs w:val="22"/>
              </w:rPr>
              <w:t>Tüketim malı ithalatı</w:t>
            </w:r>
          </w:p>
        </w:tc>
        <w:tc>
          <w:tcPr>
            <w:tcW w:w="1098" w:type="dxa"/>
            <w:tcBorders>
              <w:top w:val="nil"/>
              <w:bottom w:val="nil"/>
            </w:tcBorders>
            <w:vAlign w:val="center"/>
          </w:tcPr>
          <w:p w:rsidR="009165ED" w:rsidRPr="00261A05" w:rsidRDefault="009165ED" w:rsidP="007C54CD">
            <w:pPr>
              <w:ind w:right="42"/>
              <w:jc w:val="center"/>
            </w:pPr>
            <w:r>
              <w:t>-11,7</w:t>
            </w:r>
          </w:p>
        </w:tc>
        <w:tc>
          <w:tcPr>
            <w:tcW w:w="921" w:type="dxa"/>
            <w:tcBorders>
              <w:top w:val="nil"/>
              <w:bottom w:val="nil"/>
            </w:tcBorders>
            <w:vAlign w:val="center"/>
          </w:tcPr>
          <w:p w:rsidR="009165ED" w:rsidRPr="00261A05" w:rsidRDefault="009165ED" w:rsidP="007C54CD">
            <w:pPr>
              <w:ind w:right="42"/>
              <w:jc w:val="center"/>
            </w:pPr>
            <w:r>
              <w:t>9,1</w:t>
            </w:r>
          </w:p>
        </w:tc>
        <w:tc>
          <w:tcPr>
            <w:tcW w:w="1073" w:type="dxa"/>
            <w:tcBorders>
              <w:top w:val="nil"/>
              <w:bottom w:val="nil"/>
            </w:tcBorders>
            <w:vAlign w:val="center"/>
          </w:tcPr>
          <w:p w:rsidR="009165ED" w:rsidRPr="00261A05" w:rsidRDefault="009165ED" w:rsidP="007C54CD">
            <w:pPr>
              <w:ind w:right="42"/>
              <w:jc w:val="center"/>
            </w:pPr>
            <w:r>
              <w:t>-1,9</w:t>
            </w:r>
          </w:p>
        </w:tc>
        <w:tc>
          <w:tcPr>
            <w:tcW w:w="1138" w:type="dxa"/>
            <w:tcBorders>
              <w:top w:val="nil"/>
              <w:bottom w:val="nil"/>
            </w:tcBorders>
            <w:vAlign w:val="center"/>
          </w:tcPr>
          <w:p w:rsidR="009165ED" w:rsidRPr="00261A05" w:rsidRDefault="009165ED" w:rsidP="007C54CD">
            <w:pPr>
              <w:ind w:right="42"/>
              <w:jc w:val="center"/>
            </w:pPr>
            <w:r>
              <w:t>3,3</w:t>
            </w:r>
          </w:p>
        </w:tc>
        <w:tc>
          <w:tcPr>
            <w:tcW w:w="1069" w:type="dxa"/>
            <w:tcBorders>
              <w:top w:val="nil"/>
              <w:bottom w:val="nil"/>
              <w:right w:val="double" w:sz="4" w:space="0" w:color="auto"/>
            </w:tcBorders>
            <w:vAlign w:val="center"/>
          </w:tcPr>
          <w:p w:rsidR="009165ED" w:rsidRPr="00261A05" w:rsidRDefault="009165ED" w:rsidP="007C54CD">
            <w:pPr>
              <w:ind w:right="42"/>
              <w:jc w:val="center"/>
            </w:pPr>
            <w:r>
              <w:t>**</w:t>
            </w:r>
          </w:p>
        </w:tc>
        <w:tc>
          <w:tcPr>
            <w:tcW w:w="960" w:type="dxa"/>
            <w:tcBorders>
              <w:top w:val="nil"/>
              <w:left w:val="double" w:sz="4" w:space="0" w:color="auto"/>
              <w:bottom w:val="nil"/>
            </w:tcBorders>
            <w:vAlign w:val="center"/>
          </w:tcPr>
          <w:p w:rsidR="009165ED" w:rsidRPr="00261A05" w:rsidRDefault="009165ED" w:rsidP="007C54CD">
            <w:pPr>
              <w:ind w:right="42"/>
              <w:jc w:val="center"/>
            </w:pPr>
            <w:r>
              <w:t>3,4</w:t>
            </w:r>
          </w:p>
        </w:tc>
        <w:tc>
          <w:tcPr>
            <w:tcW w:w="960" w:type="dxa"/>
            <w:tcBorders>
              <w:top w:val="nil"/>
              <w:bottom w:val="nil"/>
            </w:tcBorders>
            <w:vAlign w:val="center"/>
          </w:tcPr>
          <w:p w:rsidR="009165ED" w:rsidRPr="00261A05" w:rsidRDefault="009165ED" w:rsidP="007C54CD">
            <w:pPr>
              <w:ind w:right="42"/>
              <w:jc w:val="center"/>
            </w:pPr>
            <w:r>
              <w:t>1,3</w:t>
            </w:r>
          </w:p>
        </w:tc>
      </w:tr>
      <w:tr w:rsidR="009165ED" w:rsidTr="007C54CD">
        <w:trPr>
          <w:trHeight w:val="370"/>
        </w:trPr>
        <w:tc>
          <w:tcPr>
            <w:tcW w:w="3401" w:type="dxa"/>
            <w:tcBorders>
              <w:top w:val="nil"/>
            </w:tcBorders>
            <w:vAlign w:val="center"/>
          </w:tcPr>
          <w:p w:rsidR="009165ED" w:rsidRPr="00261A05" w:rsidRDefault="009165ED" w:rsidP="007C54CD">
            <w:pPr>
              <w:ind w:right="42"/>
              <w:jc w:val="center"/>
            </w:pPr>
            <w:r w:rsidRPr="00261A05">
              <w:rPr>
                <w:sz w:val="22"/>
                <w:szCs w:val="22"/>
              </w:rPr>
              <w:t>Yatırım malı ithalatı</w:t>
            </w:r>
          </w:p>
        </w:tc>
        <w:tc>
          <w:tcPr>
            <w:tcW w:w="1098" w:type="dxa"/>
            <w:tcBorders>
              <w:top w:val="nil"/>
            </w:tcBorders>
            <w:vAlign w:val="center"/>
          </w:tcPr>
          <w:p w:rsidR="009165ED" w:rsidRPr="00261A05" w:rsidRDefault="009165ED" w:rsidP="007C54CD">
            <w:pPr>
              <w:ind w:right="42"/>
              <w:jc w:val="center"/>
            </w:pPr>
            <w:r>
              <w:t>-18,6</w:t>
            </w:r>
          </w:p>
        </w:tc>
        <w:tc>
          <w:tcPr>
            <w:tcW w:w="921" w:type="dxa"/>
            <w:tcBorders>
              <w:top w:val="nil"/>
            </w:tcBorders>
            <w:vAlign w:val="center"/>
          </w:tcPr>
          <w:p w:rsidR="009165ED" w:rsidRPr="00261A05" w:rsidRDefault="009165ED" w:rsidP="007C54CD">
            <w:pPr>
              <w:ind w:right="42"/>
              <w:jc w:val="center"/>
            </w:pPr>
            <w:r>
              <w:t>18,1</w:t>
            </w:r>
          </w:p>
        </w:tc>
        <w:tc>
          <w:tcPr>
            <w:tcW w:w="1073" w:type="dxa"/>
            <w:tcBorders>
              <w:top w:val="nil"/>
            </w:tcBorders>
            <w:vAlign w:val="center"/>
          </w:tcPr>
          <w:p w:rsidR="009165ED" w:rsidRPr="00261A05" w:rsidRDefault="009165ED" w:rsidP="007C54CD">
            <w:pPr>
              <w:ind w:right="42"/>
              <w:jc w:val="center"/>
            </w:pPr>
            <w:r>
              <w:t>-4,5</w:t>
            </w:r>
          </w:p>
        </w:tc>
        <w:tc>
          <w:tcPr>
            <w:tcW w:w="1138" w:type="dxa"/>
            <w:tcBorders>
              <w:top w:val="nil"/>
            </w:tcBorders>
            <w:vAlign w:val="center"/>
          </w:tcPr>
          <w:p w:rsidR="009165ED" w:rsidRPr="00261A05" w:rsidRDefault="009165ED" w:rsidP="007C54CD">
            <w:pPr>
              <w:ind w:right="42"/>
              <w:jc w:val="center"/>
            </w:pPr>
            <w:r>
              <w:t>2,5</w:t>
            </w:r>
          </w:p>
        </w:tc>
        <w:tc>
          <w:tcPr>
            <w:tcW w:w="1069" w:type="dxa"/>
            <w:tcBorders>
              <w:top w:val="nil"/>
              <w:right w:val="double" w:sz="4" w:space="0" w:color="auto"/>
            </w:tcBorders>
            <w:vAlign w:val="center"/>
          </w:tcPr>
          <w:p w:rsidR="009165ED" w:rsidRPr="00261A05" w:rsidRDefault="009165ED" w:rsidP="007C54CD">
            <w:pPr>
              <w:ind w:right="42"/>
              <w:jc w:val="center"/>
            </w:pPr>
            <w:r>
              <w:t>**</w:t>
            </w:r>
          </w:p>
        </w:tc>
        <w:tc>
          <w:tcPr>
            <w:tcW w:w="960" w:type="dxa"/>
            <w:tcBorders>
              <w:top w:val="nil"/>
              <w:left w:val="double" w:sz="4" w:space="0" w:color="auto"/>
            </w:tcBorders>
            <w:vAlign w:val="center"/>
          </w:tcPr>
          <w:p w:rsidR="009165ED" w:rsidRPr="00261A05" w:rsidRDefault="009165ED" w:rsidP="007C54CD">
            <w:pPr>
              <w:ind w:right="42"/>
              <w:jc w:val="center"/>
            </w:pPr>
            <w:r>
              <w:t>-5,6</w:t>
            </w:r>
          </w:p>
        </w:tc>
        <w:tc>
          <w:tcPr>
            <w:tcW w:w="960" w:type="dxa"/>
            <w:tcBorders>
              <w:top w:val="nil"/>
            </w:tcBorders>
            <w:vAlign w:val="center"/>
          </w:tcPr>
          <w:p w:rsidR="009165ED" w:rsidRPr="00261A05" w:rsidRDefault="009165ED" w:rsidP="007C54CD">
            <w:pPr>
              <w:ind w:right="42"/>
              <w:jc w:val="center"/>
            </w:pPr>
            <w:r>
              <w:t>0,5</w:t>
            </w:r>
          </w:p>
        </w:tc>
      </w:tr>
      <w:tr w:rsidR="009165ED" w:rsidTr="007C54CD">
        <w:trPr>
          <w:trHeight w:val="370"/>
        </w:trPr>
        <w:tc>
          <w:tcPr>
            <w:tcW w:w="3401" w:type="dxa"/>
            <w:vAlign w:val="center"/>
          </w:tcPr>
          <w:p w:rsidR="009165ED" w:rsidRPr="00261A05" w:rsidRDefault="009165ED" w:rsidP="007C54CD">
            <w:pPr>
              <w:ind w:right="42"/>
              <w:jc w:val="center"/>
              <w:rPr>
                <w:b/>
                <w:bCs/>
              </w:rPr>
            </w:pPr>
            <w:r w:rsidRPr="00261A05">
              <w:rPr>
                <w:b/>
                <w:bCs/>
                <w:sz w:val="22"/>
                <w:szCs w:val="22"/>
              </w:rPr>
              <w:t>Altın hariç ihracat</w:t>
            </w:r>
            <w:r>
              <w:rPr>
                <w:b/>
                <w:bCs/>
                <w:sz w:val="22"/>
                <w:szCs w:val="22"/>
              </w:rPr>
              <w:t>***</w:t>
            </w:r>
          </w:p>
        </w:tc>
        <w:tc>
          <w:tcPr>
            <w:tcW w:w="1098" w:type="dxa"/>
            <w:vAlign w:val="center"/>
          </w:tcPr>
          <w:p w:rsidR="009165ED" w:rsidRPr="00261A05" w:rsidRDefault="009165ED" w:rsidP="007C54CD">
            <w:pPr>
              <w:ind w:right="42"/>
              <w:jc w:val="center"/>
              <w:rPr>
                <w:b/>
                <w:bCs/>
              </w:rPr>
            </w:pPr>
            <w:r>
              <w:rPr>
                <w:b/>
                <w:bCs/>
              </w:rPr>
              <w:t>-6,1</w:t>
            </w:r>
          </w:p>
        </w:tc>
        <w:tc>
          <w:tcPr>
            <w:tcW w:w="921" w:type="dxa"/>
            <w:vAlign w:val="center"/>
          </w:tcPr>
          <w:p w:rsidR="009165ED" w:rsidRPr="00261A05" w:rsidRDefault="009165ED" w:rsidP="007C54CD">
            <w:pPr>
              <w:ind w:right="42"/>
              <w:jc w:val="center"/>
              <w:rPr>
                <w:b/>
                <w:bCs/>
              </w:rPr>
            </w:pPr>
            <w:r>
              <w:rPr>
                <w:b/>
                <w:bCs/>
              </w:rPr>
              <w:t>7,1</w:t>
            </w:r>
          </w:p>
        </w:tc>
        <w:tc>
          <w:tcPr>
            <w:tcW w:w="1073" w:type="dxa"/>
            <w:vAlign w:val="center"/>
          </w:tcPr>
          <w:p w:rsidR="009165ED" w:rsidRPr="00261A05" w:rsidRDefault="009165ED" w:rsidP="007C54CD">
            <w:pPr>
              <w:ind w:right="42"/>
              <w:jc w:val="center"/>
              <w:rPr>
                <w:b/>
                <w:bCs/>
              </w:rPr>
            </w:pPr>
            <w:r>
              <w:rPr>
                <w:b/>
                <w:bCs/>
              </w:rPr>
              <w:t>-4,2</w:t>
            </w:r>
          </w:p>
        </w:tc>
        <w:tc>
          <w:tcPr>
            <w:tcW w:w="1138" w:type="dxa"/>
            <w:vAlign w:val="center"/>
          </w:tcPr>
          <w:p w:rsidR="009165ED" w:rsidRPr="00261A05" w:rsidRDefault="009165ED" w:rsidP="007C54CD">
            <w:pPr>
              <w:ind w:right="42"/>
              <w:jc w:val="center"/>
              <w:rPr>
                <w:b/>
                <w:bCs/>
              </w:rPr>
            </w:pPr>
            <w:r>
              <w:rPr>
                <w:b/>
                <w:bCs/>
              </w:rPr>
              <w:t>7,0</w:t>
            </w:r>
          </w:p>
        </w:tc>
        <w:tc>
          <w:tcPr>
            <w:tcW w:w="1069" w:type="dxa"/>
            <w:tcBorders>
              <w:right w:val="double" w:sz="4" w:space="0" w:color="auto"/>
            </w:tcBorders>
            <w:vAlign w:val="center"/>
          </w:tcPr>
          <w:p w:rsidR="009165ED" w:rsidRPr="00261A05" w:rsidRDefault="009165ED" w:rsidP="007C54CD">
            <w:pPr>
              <w:ind w:right="42"/>
              <w:jc w:val="center"/>
            </w:pPr>
            <w:r>
              <w:t>**</w:t>
            </w:r>
          </w:p>
        </w:tc>
        <w:tc>
          <w:tcPr>
            <w:tcW w:w="960" w:type="dxa"/>
            <w:tcBorders>
              <w:left w:val="double" w:sz="4" w:space="0" w:color="auto"/>
            </w:tcBorders>
            <w:vAlign w:val="center"/>
          </w:tcPr>
          <w:p w:rsidR="009165ED" w:rsidRPr="00261A05" w:rsidRDefault="009165ED" w:rsidP="007C54CD">
            <w:pPr>
              <w:ind w:right="42"/>
              <w:jc w:val="center"/>
              <w:rPr>
                <w:b/>
                <w:bCs/>
              </w:rPr>
            </w:pPr>
            <w:r>
              <w:rPr>
                <w:b/>
                <w:bCs/>
              </w:rPr>
              <w:t>2,9</w:t>
            </w:r>
          </w:p>
        </w:tc>
        <w:tc>
          <w:tcPr>
            <w:tcW w:w="960" w:type="dxa"/>
            <w:vAlign w:val="center"/>
          </w:tcPr>
          <w:p w:rsidR="009165ED" w:rsidRPr="00261A05" w:rsidRDefault="009165ED" w:rsidP="007C54CD">
            <w:pPr>
              <w:ind w:right="42"/>
              <w:jc w:val="center"/>
              <w:rPr>
                <w:b/>
                <w:bCs/>
              </w:rPr>
            </w:pPr>
            <w:r>
              <w:rPr>
                <w:b/>
                <w:bCs/>
              </w:rPr>
              <w:t>1,6</w:t>
            </w:r>
          </w:p>
        </w:tc>
      </w:tr>
      <w:tr w:rsidR="009165ED" w:rsidTr="007C54CD">
        <w:trPr>
          <w:trHeight w:val="370"/>
        </w:trPr>
        <w:tc>
          <w:tcPr>
            <w:tcW w:w="3401" w:type="dxa"/>
            <w:vAlign w:val="center"/>
          </w:tcPr>
          <w:p w:rsidR="009165ED" w:rsidRPr="00261A05" w:rsidRDefault="009165ED" w:rsidP="007C54CD">
            <w:pPr>
              <w:ind w:right="42"/>
              <w:jc w:val="center"/>
              <w:rPr>
                <w:b/>
                <w:bCs/>
              </w:rPr>
            </w:pPr>
            <w:r w:rsidRPr="00261A05">
              <w:rPr>
                <w:b/>
                <w:bCs/>
                <w:sz w:val="22"/>
                <w:szCs w:val="22"/>
              </w:rPr>
              <w:t>Altın hariç ithalat</w:t>
            </w:r>
            <w:r>
              <w:rPr>
                <w:b/>
                <w:bCs/>
                <w:sz w:val="22"/>
                <w:szCs w:val="22"/>
              </w:rPr>
              <w:t>***</w:t>
            </w:r>
          </w:p>
        </w:tc>
        <w:tc>
          <w:tcPr>
            <w:tcW w:w="1098" w:type="dxa"/>
            <w:vAlign w:val="center"/>
          </w:tcPr>
          <w:p w:rsidR="009165ED" w:rsidRPr="00261A05" w:rsidRDefault="009165ED" w:rsidP="007C54CD">
            <w:pPr>
              <w:ind w:right="42"/>
              <w:jc w:val="center"/>
              <w:rPr>
                <w:b/>
                <w:bCs/>
              </w:rPr>
            </w:pPr>
            <w:r>
              <w:rPr>
                <w:b/>
                <w:bCs/>
              </w:rPr>
              <w:t>-12,4</w:t>
            </w:r>
          </w:p>
        </w:tc>
        <w:tc>
          <w:tcPr>
            <w:tcW w:w="921" w:type="dxa"/>
            <w:vAlign w:val="center"/>
          </w:tcPr>
          <w:p w:rsidR="009165ED" w:rsidRPr="00261A05" w:rsidRDefault="009165ED" w:rsidP="007C54CD">
            <w:pPr>
              <w:ind w:right="42"/>
              <w:jc w:val="center"/>
              <w:rPr>
                <w:b/>
                <w:bCs/>
              </w:rPr>
            </w:pPr>
            <w:r>
              <w:rPr>
                <w:b/>
                <w:bCs/>
              </w:rPr>
              <w:t>9,9</w:t>
            </w:r>
          </w:p>
        </w:tc>
        <w:tc>
          <w:tcPr>
            <w:tcW w:w="1073" w:type="dxa"/>
            <w:vAlign w:val="center"/>
          </w:tcPr>
          <w:p w:rsidR="009165ED" w:rsidRPr="00261A05" w:rsidRDefault="009165ED" w:rsidP="007C54CD">
            <w:pPr>
              <w:ind w:right="42"/>
              <w:jc w:val="center"/>
              <w:rPr>
                <w:b/>
                <w:bCs/>
              </w:rPr>
            </w:pPr>
            <w:r>
              <w:rPr>
                <w:b/>
                <w:bCs/>
              </w:rPr>
              <w:t>-2,1</w:t>
            </w:r>
          </w:p>
        </w:tc>
        <w:tc>
          <w:tcPr>
            <w:tcW w:w="1138" w:type="dxa"/>
            <w:vAlign w:val="center"/>
          </w:tcPr>
          <w:p w:rsidR="009165ED" w:rsidRPr="00261A05" w:rsidRDefault="009165ED" w:rsidP="007C54CD">
            <w:pPr>
              <w:ind w:right="42"/>
              <w:jc w:val="center"/>
              <w:rPr>
                <w:b/>
                <w:bCs/>
              </w:rPr>
            </w:pPr>
            <w:r>
              <w:rPr>
                <w:b/>
                <w:bCs/>
              </w:rPr>
              <w:t>1,1</w:t>
            </w:r>
          </w:p>
        </w:tc>
        <w:tc>
          <w:tcPr>
            <w:tcW w:w="1069" w:type="dxa"/>
            <w:tcBorders>
              <w:right w:val="double" w:sz="4" w:space="0" w:color="auto"/>
            </w:tcBorders>
            <w:vAlign w:val="center"/>
          </w:tcPr>
          <w:p w:rsidR="009165ED" w:rsidRPr="00261A05" w:rsidRDefault="009165ED" w:rsidP="007C54CD">
            <w:pPr>
              <w:ind w:right="42"/>
              <w:jc w:val="center"/>
            </w:pPr>
            <w:r>
              <w:t>**</w:t>
            </w:r>
          </w:p>
        </w:tc>
        <w:tc>
          <w:tcPr>
            <w:tcW w:w="960" w:type="dxa"/>
            <w:tcBorders>
              <w:left w:val="double" w:sz="4" w:space="0" w:color="auto"/>
            </w:tcBorders>
            <w:vAlign w:val="center"/>
          </w:tcPr>
          <w:p w:rsidR="009165ED" w:rsidRPr="00261A05" w:rsidRDefault="009165ED" w:rsidP="007C54CD">
            <w:pPr>
              <w:ind w:right="42"/>
              <w:jc w:val="center"/>
              <w:rPr>
                <w:b/>
                <w:bCs/>
              </w:rPr>
            </w:pPr>
            <w:r>
              <w:rPr>
                <w:b/>
                <w:bCs/>
              </w:rPr>
              <w:t>1,5</w:t>
            </w:r>
          </w:p>
        </w:tc>
        <w:tc>
          <w:tcPr>
            <w:tcW w:w="960" w:type="dxa"/>
            <w:vAlign w:val="center"/>
          </w:tcPr>
          <w:p w:rsidR="009165ED" w:rsidRPr="00261A05" w:rsidRDefault="009165ED" w:rsidP="007C54CD">
            <w:pPr>
              <w:ind w:right="42"/>
              <w:jc w:val="center"/>
              <w:rPr>
                <w:b/>
                <w:bCs/>
              </w:rPr>
            </w:pPr>
            <w:r>
              <w:rPr>
                <w:b/>
                <w:bCs/>
              </w:rPr>
              <w:t>0,2</w:t>
            </w:r>
          </w:p>
        </w:tc>
      </w:tr>
      <w:tr w:rsidR="009165ED" w:rsidTr="007C54CD">
        <w:trPr>
          <w:trHeight w:val="370"/>
        </w:trPr>
        <w:tc>
          <w:tcPr>
            <w:tcW w:w="3401" w:type="dxa"/>
            <w:tcBorders>
              <w:bottom w:val="nil"/>
            </w:tcBorders>
            <w:vAlign w:val="center"/>
          </w:tcPr>
          <w:p w:rsidR="009165ED" w:rsidRPr="00261A05" w:rsidRDefault="009165ED" w:rsidP="007C54CD">
            <w:pPr>
              <w:ind w:right="42"/>
              <w:jc w:val="center"/>
              <w:rPr>
                <w:b/>
                <w:bCs/>
              </w:rPr>
            </w:pPr>
            <w:r w:rsidRPr="00261A05">
              <w:rPr>
                <w:b/>
                <w:bCs/>
                <w:sz w:val="22"/>
                <w:szCs w:val="22"/>
              </w:rPr>
              <w:t>Sanayi üretim endeksi (SÜE)</w:t>
            </w:r>
            <w:r>
              <w:rPr>
                <w:b/>
                <w:bCs/>
                <w:sz w:val="22"/>
                <w:szCs w:val="22"/>
              </w:rPr>
              <w:t>*</w:t>
            </w:r>
          </w:p>
        </w:tc>
        <w:tc>
          <w:tcPr>
            <w:tcW w:w="1098" w:type="dxa"/>
            <w:tcBorders>
              <w:bottom w:val="nil"/>
            </w:tcBorders>
            <w:vAlign w:val="center"/>
          </w:tcPr>
          <w:p w:rsidR="009165ED" w:rsidRPr="00261A05" w:rsidRDefault="009165ED" w:rsidP="007C54CD">
            <w:pPr>
              <w:ind w:right="42"/>
              <w:jc w:val="center"/>
              <w:rPr>
                <w:b/>
                <w:bCs/>
              </w:rPr>
            </w:pPr>
            <w:r>
              <w:rPr>
                <w:b/>
                <w:bCs/>
              </w:rPr>
              <w:t>-3,7</w:t>
            </w:r>
          </w:p>
        </w:tc>
        <w:tc>
          <w:tcPr>
            <w:tcW w:w="921" w:type="dxa"/>
            <w:tcBorders>
              <w:bottom w:val="nil"/>
            </w:tcBorders>
            <w:vAlign w:val="center"/>
          </w:tcPr>
          <w:p w:rsidR="009165ED" w:rsidRPr="00261A05" w:rsidRDefault="009165ED" w:rsidP="007C54CD">
            <w:pPr>
              <w:ind w:right="42"/>
              <w:jc w:val="center"/>
              <w:rPr>
                <w:b/>
                <w:bCs/>
              </w:rPr>
            </w:pPr>
            <w:r>
              <w:rPr>
                <w:b/>
                <w:bCs/>
              </w:rPr>
              <w:t>5,9</w:t>
            </w:r>
          </w:p>
        </w:tc>
        <w:tc>
          <w:tcPr>
            <w:tcW w:w="1073" w:type="dxa"/>
            <w:tcBorders>
              <w:bottom w:val="nil"/>
            </w:tcBorders>
            <w:vAlign w:val="center"/>
          </w:tcPr>
          <w:p w:rsidR="009165ED" w:rsidRPr="00261A05" w:rsidRDefault="009165ED" w:rsidP="007C54CD">
            <w:pPr>
              <w:ind w:right="42"/>
              <w:jc w:val="center"/>
              <w:rPr>
                <w:b/>
                <w:bCs/>
              </w:rPr>
            </w:pPr>
            <w:r>
              <w:rPr>
                <w:b/>
                <w:bCs/>
              </w:rPr>
              <w:t>-3,0</w:t>
            </w:r>
          </w:p>
        </w:tc>
        <w:tc>
          <w:tcPr>
            <w:tcW w:w="1138" w:type="dxa"/>
            <w:tcBorders>
              <w:bottom w:val="nil"/>
            </w:tcBorders>
            <w:vAlign w:val="center"/>
          </w:tcPr>
          <w:p w:rsidR="009165ED" w:rsidRPr="00261A05" w:rsidRDefault="009165ED" w:rsidP="007C54CD">
            <w:pPr>
              <w:ind w:right="42"/>
              <w:jc w:val="center"/>
              <w:rPr>
                <w:b/>
                <w:bCs/>
              </w:rPr>
            </w:pPr>
            <w:r>
              <w:rPr>
                <w:b/>
                <w:bCs/>
              </w:rPr>
              <w:t>2,9</w:t>
            </w:r>
          </w:p>
        </w:tc>
        <w:tc>
          <w:tcPr>
            <w:tcW w:w="1069" w:type="dxa"/>
            <w:tcBorders>
              <w:bottom w:val="nil"/>
              <w:right w:val="double" w:sz="4" w:space="0" w:color="auto"/>
            </w:tcBorders>
            <w:vAlign w:val="center"/>
          </w:tcPr>
          <w:p w:rsidR="009165ED" w:rsidRPr="00261A05" w:rsidRDefault="009165ED" w:rsidP="007C54CD">
            <w:pPr>
              <w:ind w:right="42"/>
              <w:jc w:val="center"/>
            </w:pPr>
            <w:r>
              <w:t>**</w:t>
            </w:r>
          </w:p>
        </w:tc>
        <w:tc>
          <w:tcPr>
            <w:tcW w:w="960" w:type="dxa"/>
            <w:tcBorders>
              <w:left w:val="double" w:sz="4" w:space="0" w:color="auto"/>
              <w:bottom w:val="nil"/>
            </w:tcBorders>
            <w:vAlign w:val="center"/>
          </w:tcPr>
          <w:p w:rsidR="009165ED" w:rsidRPr="00261A05" w:rsidRDefault="009165ED" w:rsidP="007C54CD">
            <w:pPr>
              <w:ind w:right="42"/>
              <w:jc w:val="center"/>
              <w:rPr>
                <w:b/>
                <w:bCs/>
              </w:rPr>
            </w:pPr>
            <w:r>
              <w:rPr>
                <w:b/>
                <w:bCs/>
              </w:rPr>
              <w:t>1,0</w:t>
            </w:r>
          </w:p>
        </w:tc>
        <w:tc>
          <w:tcPr>
            <w:tcW w:w="960" w:type="dxa"/>
            <w:tcBorders>
              <w:bottom w:val="nil"/>
            </w:tcBorders>
            <w:vAlign w:val="center"/>
          </w:tcPr>
          <w:p w:rsidR="009165ED" w:rsidRPr="00261A05" w:rsidRDefault="009165ED" w:rsidP="007C54CD">
            <w:pPr>
              <w:ind w:right="42"/>
              <w:jc w:val="center"/>
              <w:rPr>
                <w:b/>
                <w:bCs/>
              </w:rPr>
            </w:pPr>
            <w:r>
              <w:rPr>
                <w:b/>
                <w:bCs/>
              </w:rPr>
              <w:t>0,9</w:t>
            </w:r>
          </w:p>
        </w:tc>
      </w:tr>
      <w:tr w:rsidR="009165ED" w:rsidTr="007C54CD">
        <w:trPr>
          <w:trHeight w:val="370"/>
        </w:trPr>
        <w:tc>
          <w:tcPr>
            <w:tcW w:w="3401" w:type="dxa"/>
            <w:tcBorders>
              <w:top w:val="nil"/>
              <w:bottom w:val="nil"/>
            </w:tcBorders>
            <w:vAlign w:val="center"/>
          </w:tcPr>
          <w:p w:rsidR="009165ED" w:rsidRPr="00261A05" w:rsidRDefault="009165ED" w:rsidP="007C54CD">
            <w:pPr>
              <w:ind w:right="42"/>
              <w:jc w:val="center"/>
            </w:pPr>
            <w:r w:rsidRPr="00261A05">
              <w:rPr>
                <w:sz w:val="22"/>
                <w:szCs w:val="22"/>
              </w:rPr>
              <w:t>Dayanıksız tüketim malı imalatı</w:t>
            </w:r>
            <w:r>
              <w:rPr>
                <w:sz w:val="22"/>
                <w:szCs w:val="22"/>
              </w:rPr>
              <w:t>*</w:t>
            </w:r>
          </w:p>
        </w:tc>
        <w:tc>
          <w:tcPr>
            <w:tcW w:w="1098" w:type="dxa"/>
            <w:tcBorders>
              <w:top w:val="nil"/>
              <w:bottom w:val="nil"/>
            </w:tcBorders>
            <w:vAlign w:val="center"/>
          </w:tcPr>
          <w:p w:rsidR="009165ED" w:rsidRPr="00261A05" w:rsidRDefault="009165ED" w:rsidP="007C54CD">
            <w:pPr>
              <w:ind w:right="42"/>
              <w:jc w:val="center"/>
            </w:pPr>
            <w:r>
              <w:t>-2,6</w:t>
            </w:r>
          </w:p>
        </w:tc>
        <w:tc>
          <w:tcPr>
            <w:tcW w:w="921" w:type="dxa"/>
            <w:tcBorders>
              <w:top w:val="nil"/>
              <w:bottom w:val="nil"/>
            </w:tcBorders>
            <w:vAlign w:val="center"/>
          </w:tcPr>
          <w:p w:rsidR="009165ED" w:rsidRPr="00261A05" w:rsidRDefault="009165ED" w:rsidP="007C54CD">
            <w:pPr>
              <w:ind w:right="42"/>
              <w:jc w:val="center"/>
            </w:pPr>
            <w:r>
              <w:t>4,5</w:t>
            </w:r>
          </w:p>
        </w:tc>
        <w:tc>
          <w:tcPr>
            <w:tcW w:w="1073" w:type="dxa"/>
            <w:tcBorders>
              <w:top w:val="nil"/>
              <w:bottom w:val="nil"/>
            </w:tcBorders>
            <w:vAlign w:val="center"/>
          </w:tcPr>
          <w:p w:rsidR="009165ED" w:rsidRPr="00261A05" w:rsidRDefault="009165ED" w:rsidP="007C54CD">
            <w:pPr>
              <w:ind w:right="42"/>
              <w:jc w:val="center"/>
            </w:pPr>
            <w:r>
              <w:t>-4,2</w:t>
            </w:r>
          </w:p>
        </w:tc>
        <w:tc>
          <w:tcPr>
            <w:tcW w:w="1138" w:type="dxa"/>
            <w:tcBorders>
              <w:top w:val="nil"/>
              <w:bottom w:val="nil"/>
            </w:tcBorders>
            <w:vAlign w:val="center"/>
          </w:tcPr>
          <w:p w:rsidR="009165ED" w:rsidRPr="00261A05" w:rsidRDefault="009165ED" w:rsidP="007C54CD">
            <w:pPr>
              <w:ind w:right="42"/>
              <w:jc w:val="center"/>
            </w:pPr>
            <w:r>
              <w:t>3,1</w:t>
            </w:r>
          </w:p>
        </w:tc>
        <w:tc>
          <w:tcPr>
            <w:tcW w:w="1069" w:type="dxa"/>
            <w:tcBorders>
              <w:top w:val="nil"/>
              <w:bottom w:val="nil"/>
              <w:right w:val="double" w:sz="4" w:space="0" w:color="auto"/>
            </w:tcBorders>
            <w:vAlign w:val="center"/>
          </w:tcPr>
          <w:p w:rsidR="009165ED" w:rsidRPr="00261A05" w:rsidRDefault="009165ED" w:rsidP="007C54CD">
            <w:pPr>
              <w:ind w:right="42"/>
              <w:jc w:val="center"/>
            </w:pPr>
            <w:r>
              <w:t>**</w:t>
            </w:r>
          </w:p>
        </w:tc>
        <w:tc>
          <w:tcPr>
            <w:tcW w:w="960" w:type="dxa"/>
            <w:tcBorders>
              <w:top w:val="nil"/>
              <w:left w:val="double" w:sz="4" w:space="0" w:color="auto"/>
              <w:bottom w:val="nil"/>
            </w:tcBorders>
            <w:vAlign w:val="center"/>
          </w:tcPr>
          <w:p w:rsidR="009165ED" w:rsidRPr="00261A05" w:rsidRDefault="009165ED" w:rsidP="007C54CD">
            <w:pPr>
              <w:ind w:right="42"/>
              <w:jc w:val="center"/>
            </w:pPr>
            <w:r>
              <w:t>0,0</w:t>
            </w:r>
          </w:p>
        </w:tc>
        <w:tc>
          <w:tcPr>
            <w:tcW w:w="960" w:type="dxa"/>
            <w:tcBorders>
              <w:top w:val="nil"/>
              <w:bottom w:val="nil"/>
            </w:tcBorders>
            <w:vAlign w:val="center"/>
          </w:tcPr>
          <w:p w:rsidR="009165ED" w:rsidRPr="00261A05" w:rsidRDefault="009165ED" w:rsidP="007C54CD">
            <w:pPr>
              <w:ind w:right="42"/>
              <w:jc w:val="center"/>
            </w:pPr>
            <w:r>
              <w:t>-0,8</w:t>
            </w:r>
          </w:p>
        </w:tc>
      </w:tr>
      <w:tr w:rsidR="009165ED" w:rsidTr="007C54CD">
        <w:trPr>
          <w:trHeight w:val="370"/>
        </w:trPr>
        <w:tc>
          <w:tcPr>
            <w:tcW w:w="3401" w:type="dxa"/>
            <w:tcBorders>
              <w:top w:val="nil"/>
              <w:bottom w:val="nil"/>
            </w:tcBorders>
            <w:vAlign w:val="center"/>
          </w:tcPr>
          <w:p w:rsidR="009165ED" w:rsidRPr="00261A05" w:rsidRDefault="009165ED" w:rsidP="007C54CD">
            <w:pPr>
              <w:ind w:right="42"/>
              <w:jc w:val="center"/>
              <w:rPr>
                <w:b/>
                <w:bCs/>
              </w:rPr>
            </w:pPr>
            <w:r w:rsidRPr="00261A05">
              <w:rPr>
                <w:sz w:val="22"/>
                <w:szCs w:val="22"/>
              </w:rPr>
              <w:t>Dayanıklı tüketim malı imalatı</w:t>
            </w:r>
            <w:r>
              <w:rPr>
                <w:sz w:val="22"/>
                <w:szCs w:val="22"/>
              </w:rPr>
              <w:t>*</w:t>
            </w:r>
          </w:p>
        </w:tc>
        <w:tc>
          <w:tcPr>
            <w:tcW w:w="1098" w:type="dxa"/>
            <w:tcBorders>
              <w:top w:val="nil"/>
              <w:bottom w:val="nil"/>
            </w:tcBorders>
            <w:vAlign w:val="center"/>
          </w:tcPr>
          <w:p w:rsidR="009165ED" w:rsidRPr="00261A05" w:rsidRDefault="009165ED" w:rsidP="007C54CD">
            <w:pPr>
              <w:ind w:right="42"/>
              <w:jc w:val="center"/>
            </w:pPr>
            <w:r>
              <w:t>-3,5</w:t>
            </w:r>
          </w:p>
        </w:tc>
        <w:tc>
          <w:tcPr>
            <w:tcW w:w="921" w:type="dxa"/>
            <w:tcBorders>
              <w:top w:val="nil"/>
              <w:bottom w:val="nil"/>
            </w:tcBorders>
            <w:vAlign w:val="center"/>
          </w:tcPr>
          <w:p w:rsidR="009165ED" w:rsidRPr="00261A05" w:rsidRDefault="009165ED" w:rsidP="007C54CD">
            <w:pPr>
              <w:ind w:right="42"/>
              <w:jc w:val="center"/>
            </w:pPr>
            <w:r>
              <w:t>12,2</w:t>
            </w:r>
          </w:p>
        </w:tc>
        <w:tc>
          <w:tcPr>
            <w:tcW w:w="1073" w:type="dxa"/>
            <w:tcBorders>
              <w:top w:val="nil"/>
              <w:bottom w:val="nil"/>
            </w:tcBorders>
            <w:vAlign w:val="center"/>
          </w:tcPr>
          <w:p w:rsidR="009165ED" w:rsidRPr="00261A05" w:rsidRDefault="009165ED" w:rsidP="007C54CD">
            <w:pPr>
              <w:ind w:right="42"/>
              <w:jc w:val="center"/>
            </w:pPr>
            <w:r>
              <w:t>-7,0</w:t>
            </w:r>
          </w:p>
        </w:tc>
        <w:tc>
          <w:tcPr>
            <w:tcW w:w="1138" w:type="dxa"/>
            <w:tcBorders>
              <w:top w:val="nil"/>
              <w:bottom w:val="nil"/>
            </w:tcBorders>
            <w:vAlign w:val="center"/>
          </w:tcPr>
          <w:p w:rsidR="009165ED" w:rsidRPr="00261A05" w:rsidRDefault="009165ED" w:rsidP="007C54CD">
            <w:pPr>
              <w:ind w:right="42"/>
              <w:jc w:val="center"/>
            </w:pPr>
            <w:r>
              <w:t>2,3</w:t>
            </w:r>
          </w:p>
        </w:tc>
        <w:tc>
          <w:tcPr>
            <w:tcW w:w="1069" w:type="dxa"/>
            <w:tcBorders>
              <w:top w:val="nil"/>
              <w:bottom w:val="nil"/>
              <w:right w:val="double" w:sz="4" w:space="0" w:color="auto"/>
            </w:tcBorders>
            <w:vAlign w:val="center"/>
          </w:tcPr>
          <w:p w:rsidR="009165ED" w:rsidRPr="00261A05" w:rsidRDefault="009165ED" w:rsidP="007C54CD">
            <w:pPr>
              <w:ind w:right="42"/>
              <w:jc w:val="center"/>
            </w:pPr>
            <w:r>
              <w:t>**</w:t>
            </w:r>
          </w:p>
        </w:tc>
        <w:tc>
          <w:tcPr>
            <w:tcW w:w="960" w:type="dxa"/>
            <w:tcBorders>
              <w:top w:val="nil"/>
              <w:left w:val="double" w:sz="4" w:space="0" w:color="auto"/>
              <w:bottom w:val="nil"/>
            </w:tcBorders>
            <w:vAlign w:val="center"/>
          </w:tcPr>
          <w:p w:rsidR="009165ED" w:rsidRPr="00261A05" w:rsidRDefault="009165ED" w:rsidP="007C54CD">
            <w:pPr>
              <w:ind w:right="42"/>
              <w:jc w:val="center"/>
            </w:pPr>
            <w:r>
              <w:t>2,9</w:t>
            </w:r>
          </w:p>
        </w:tc>
        <w:tc>
          <w:tcPr>
            <w:tcW w:w="960" w:type="dxa"/>
            <w:tcBorders>
              <w:top w:val="nil"/>
              <w:bottom w:val="nil"/>
            </w:tcBorders>
            <w:vAlign w:val="center"/>
          </w:tcPr>
          <w:p w:rsidR="009165ED" w:rsidRPr="00261A05" w:rsidRDefault="009165ED" w:rsidP="007C54CD">
            <w:pPr>
              <w:ind w:right="42"/>
              <w:jc w:val="center"/>
            </w:pPr>
            <w:r>
              <w:t>0,2</w:t>
            </w:r>
          </w:p>
        </w:tc>
      </w:tr>
      <w:tr w:rsidR="009165ED" w:rsidTr="007C54CD">
        <w:trPr>
          <w:trHeight w:val="370"/>
        </w:trPr>
        <w:tc>
          <w:tcPr>
            <w:tcW w:w="3401" w:type="dxa"/>
            <w:tcBorders>
              <w:top w:val="nil"/>
              <w:bottom w:val="nil"/>
            </w:tcBorders>
            <w:vAlign w:val="center"/>
          </w:tcPr>
          <w:p w:rsidR="009165ED" w:rsidRPr="00261A05" w:rsidRDefault="009165ED" w:rsidP="007C54CD">
            <w:pPr>
              <w:ind w:right="42"/>
              <w:jc w:val="center"/>
            </w:pPr>
            <w:r w:rsidRPr="00261A05">
              <w:rPr>
                <w:sz w:val="22"/>
                <w:szCs w:val="22"/>
              </w:rPr>
              <w:t>Ara malı imalatı</w:t>
            </w:r>
            <w:r>
              <w:rPr>
                <w:sz w:val="22"/>
                <w:szCs w:val="22"/>
              </w:rPr>
              <w:t>*</w:t>
            </w:r>
          </w:p>
        </w:tc>
        <w:tc>
          <w:tcPr>
            <w:tcW w:w="1098" w:type="dxa"/>
            <w:tcBorders>
              <w:top w:val="nil"/>
              <w:bottom w:val="nil"/>
            </w:tcBorders>
            <w:vAlign w:val="center"/>
          </w:tcPr>
          <w:p w:rsidR="009165ED" w:rsidRPr="00261A05" w:rsidRDefault="009165ED" w:rsidP="007C54CD">
            <w:pPr>
              <w:ind w:right="42"/>
              <w:jc w:val="center"/>
            </w:pPr>
            <w:r>
              <w:t>-4,0</w:t>
            </w:r>
          </w:p>
        </w:tc>
        <w:tc>
          <w:tcPr>
            <w:tcW w:w="921" w:type="dxa"/>
            <w:tcBorders>
              <w:top w:val="nil"/>
              <w:bottom w:val="nil"/>
            </w:tcBorders>
            <w:vAlign w:val="center"/>
          </w:tcPr>
          <w:p w:rsidR="009165ED" w:rsidRPr="00261A05" w:rsidRDefault="009165ED" w:rsidP="007C54CD">
            <w:pPr>
              <w:ind w:right="42"/>
              <w:jc w:val="center"/>
            </w:pPr>
            <w:r>
              <w:t>5,8</w:t>
            </w:r>
          </w:p>
        </w:tc>
        <w:tc>
          <w:tcPr>
            <w:tcW w:w="1073" w:type="dxa"/>
            <w:tcBorders>
              <w:top w:val="nil"/>
              <w:bottom w:val="nil"/>
            </w:tcBorders>
            <w:vAlign w:val="center"/>
          </w:tcPr>
          <w:p w:rsidR="009165ED" w:rsidRPr="00261A05" w:rsidRDefault="009165ED" w:rsidP="007C54CD">
            <w:pPr>
              <w:ind w:right="42"/>
              <w:jc w:val="center"/>
            </w:pPr>
            <w:r>
              <w:t>-2,2</w:t>
            </w:r>
          </w:p>
        </w:tc>
        <w:tc>
          <w:tcPr>
            <w:tcW w:w="1138" w:type="dxa"/>
            <w:tcBorders>
              <w:top w:val="nil"/>
              <w:bottom w:val="nil"/>
            </w:tcBorders>
            <w:vAlign w:val="center"/>
          </w:tcPr>
          <w:p w:rsidR="009165ED" w:rsidRPr="00261A05" w:rsidRDefault="009165ED" w:rsidP="007C54CD">
            <w:pPr>
              <w:ind w:right="42"/>
              <w:jc w:val="center"/>
            </w:pPr>
            <w:r>
              <w:t>4,5</w:t>
            </w:r>
          </w:p>
        </w:tc>
        <w:tc>
          <w:tcPr>
            <w:tcW w:w="1069" w:type="dxa"/>
            <w:tcBorders>
              <w:top w:val="nil"/>
              <w:bottom w:val="nil"/>
              <w:right w:val="double" w:sz="4" w:space="0" w:color="auto"/>
            </w:tcBorders>
            <w:vAlign w:val="center"/>
          </w:tcPr>
          <w:p w:rsidR="009165ED" w:rsidRPr="00261A05" w:rsidRDefault="009165ED" w:rsidP="007C54CD">
            <w:pPr>
              <w:ind w:right="42"/>
              <w:jc w:val="center"/>
            </w:pPr>
            <w:r>
              <w:t>**</w:t>
            </w:r>
          </w:p>
        </w:tc>
        <w:tc>
          <w:tcPr>
            <w:tcW w:w="960" w:type="dxa"/>
            <w:tcBorders>
              <w:top w:val="nil"/>
              <w:left w:val="double" w:sz="4" w:space="0" w:color="auto"/>
              <w:bottom w:val="nil"/>
            </w:tcBorders>
            <w:vAlign w:val="center"/>
          </w:tcPr>
          <w:p w:rsidR="009165ED" w:rsidRPr="00261A05" w:rsidRDefault="009165ED" w:rsidP="007C54CD">
            <w:pPr>
              <w:ind w:right="42"/>
              <w:jc w:val="center"/>
            </w:pPr>
            <w:r>
              <w:t>0,6</w:t>
            </w:r>
          </w:p>
        </w:tc>
        <w:tc>
          <w:tcPr>
            <w:tcW w:w="960" w:type="dxa"/>
            <w:tcBorders>
              <w:top w:val="nil"/>
              <w:bottom w:val="nil"/>
            </w:tcBorders>
            <w:vAlign w:val="center"/>
          </w:tcPr>
          <w:p w:rsidR="009165ED" w:rsidRPr="00261A05" w:rsidRDefault="009165ED" w:rsidP="007C54CD">
            <w:pPr>
              <w:ind w:right="42"/>
              <w:jc w:val="center"/>
            </w:pPr>
            <w:r>
              <w:t>2,4</w:t>
            </w:r>
          </w:p>
        </w:tc>
      </w:tr>
      <w:tr w:rsidR="009165ED" w:rsidTr="007C54CD">
        <w:trPr>
          <w:trHeight w:val="370"/>
        </w:trPr>
        <w:tc>
          <w:tcPr>
            <w:tcW w:w="3401" w:type="dxa"/>
            <w:tcBorders>
              <w:top w:val="nil"/>
            </w:tcBorders>
            <w:vAlign w:val="center"/>
          </w:tcPr>
          <w:p w:rsidR="009165ED" w:rsidRPr="00261A05" w:rsidRDefault="009165ED" w:rsidP="007C54CD">
            <w:pPr>
              <w:ind w:right="42"/>
              <w:jc w:val="center"/>
            </w:pPr>
            <w:r w:rsidRPr="00261A05">
              <w:rPr>
                <w:sz w:val="22"/>
                <w:szCs w:val="22"/>
              </w:rPr>
              <w:t>Yatırım malı imalatı</w:t>
            </w:r>
            <w:r>
              <w:rPr>
                <w:sz w:val="22"/>
                <w:szCs w:val="22"/>
              </w:rPr>
              <w:t>*</w:t>
            </w:r>
          </w:p>
        </w:tc>
        <w:tc>
          <w:tcPr>
            <w:tcW w:w="1098" w:type="dxa"/>
            <w:tcBorders>
              <w:top w:val="nil"/>
            </w:tcBorders>
            <w:vAlign w:val="center"/>
          </w:tcPr>
          <w:p w:rsidR="009165ED" w:rsidRPr="00261A05" w:rsidRDefault="009165ED" w:rsidP="007C54CD">
            <w:pPr>
              <w:ind w:right="42"/>
              <w:jc w:val="center"/>
            </w:pPr>
            <w:r>
              <w:t>-5,7</w:t>
            </w:r>
          </w:p>
        </w:tc>
        <w:tc>
          <w:tcPr>
            <w:tcW w:w="921" w:type="dxa"/>
            <w:tcBorders>
              <w:top w:val="nil"/>
            </w:tcBorders>
            <w:vAlign w:val="center"/>
          </w:tcPr>
          <w:p w:rsidR="009165ED" w:rsidRPr="00261A05" w:rsidRDefault="009165ED" w:rsidP="007C54CD">
            <w:pPr>
              <w:ind w:right="42"/>
              <w:jc w:val="center"/>
            </w:pPr>
            <w:r>
              <w:t>9,0</w:t>
            </w:r>
          </w:p>
        </w:tc>
        <w:tc>
          <w:tcPr>
            <w:tcW w:w="1073" w:type="dxa"/>
            <w:tcBorders>
              <w:top w:val="nil"/>
            </w:tcBorders>
            <w:vAlign w:val="center"/>
          </w:tcPr>
          <w:p w:rsidR="009165ED" w:rsidRPr="00261A05" w:rsidRDefault="009165ED" w:rsidP="007C54CD">
            <w:pPr>
              <w:ind w:right="42"/>
              <w:jc w:val="center"/>
            </w:pPr>
            <w:r>
              <w:t>-4,0</w:t>
            </w:r>
          </w:p>
        </w:tc>
        <w:tc>
          <w:tcPr>
            <w:tcW w:w="1138" w:type="dxa"/>
            <w:tcBorders>
              <w:top w:val="nil"/>
            </w:tcBorders>
            <w:vAlign w:val="center"/>
          </w:tcPr>
          <w:p w:rsidR="009165ED" w:rsidRPr="00261A05" w:rsidRDefault="009165ED" w:rsidP="007C54CD">
            <w:pPr>
              <w:ind w:right="42"/>
              <w:jc w:val="center"/>
            </w:pPr>
            <w:r>
              <w:t>1,7</w:t>
            </w:r>
          </w:p>
        </w:tc>
        <w:tc>
          <w:tcPr>
            <w:tcW w:w="1069" w:type="dxa"/>
            <w:tcBorders>
              <w:top w:val="nil"/>
              <w:right w:val="double" w:sz="4" w:space="0" w:color="auto"/>
            </w:tcBorders>
            <w:vAlign w:val="center"/>
          </w:tcPr>
          <w:p w:rsidR="009165ED" w:rsidRPr="00261A05" w:rsidRDefault="009165ED" w:rsidP="007C54CD">
            <w:pPr>
              <w:ind w:right="42"/>
              <w:jc w:val="center"/>
            </w:pPr>
            <w:r>
              <w:t>**</w:t>
            </w:r>
          </w:p>
        </w:tc>
        <w:tc>
          <w:tcPr>
            <w:tcW w:w="960" w:type="dxa"/>
            <w:tcBorders>
              <w:top w:val="nil"/>
              <w:left w:val="double" w:sz="4" w:space="0" w:color="auto"/>
            </w:tcBorders>
            <w:vAlign w:val="center"/>
          </w:tcPr>
          <w:p w:rsidR="009165ED" w:rsidRPr="00261A05" w:rsidRDefault="009165ED" w:rsidP="007C54CD">
            <w:pPr>
              <w:ind w:right="42"/>
              <w:jc w:val="center"/>
            </w:pPr>
            <w:r>
              <w:t>4,6</w:t>
            </w:r>
          </w:p>
        </w:tc>
        <w:tc>
          <w:tcPr>
            <w:tcW w:w="960" w:type="dxa"/>
            <w:tcBorders>
              <w:top w:val="nil"/>
            </w:tcBorders>
            <w:vAlign w:val="center"/>
          </w:tcPr>
          <w:p w:rsidR="009165ED" w:rsidRPr="00261A05" w:rsidRDefault="009165ED" w:rsidP="007C54CD">
            <w:pPr>
              <w:ind w:right="42"/>
              <w:jc w:val="center"/>
            </w:pPr>
            <w:r>
              <w:t>0,5</w:t>
            </w:r>
          </w:p>
        </w:tc>
      </w:tr>
      <w:tr w:rsidR="009165ED" w:rsidTr="007C54CD">
        <w:trPr>
          <w:trHeight w:val="370"/>
        </w:trPr>
        <w:tc>
          <w:tcPr>
            <w:tcW w:w="3401" w:type="dxa"/>
            <w:tcBorders>
              <w:bottom w:val="nil"/>
            </w:tcBorders>
            <w:vAlign w:val="center"/>
          </w:tcPr>
          <w:p w:rsidR="009165ED" w:rsidRPr="00261A05" w:rsidRDefault="009165ED" w:rsidP="007C54CD">
            <w:pPr>
              <w:ind w:right="42"/>
              <w:jc w:val="center"/>
              <w:rPr>
                <w:b/>
                <w:bCs/>
              </w:rPr>
            </w:pPr>
            <w:r w:rsidRPr="00261A05">
              <w:rPr>
                <w:b/>
                <w:bCs/>
                <w:sz w:val="22"/>
                <w:szCs w:val="22"/>
              </w:rPr>
              <w:t>Kapasite kullanım oranı (KKO)</w:t>
            </w:r>
            <w:r>
              <w:rPr>
                <w:b/>
                <w:bCs/>
                <w:sz w:val="22"/>
                <w:szCs w:val="22"/>
              </w:rPr>
              <w:t>*</w:t>
            </w:r>
          </w:p>
        </w:tc>
        <w:tc>
          <w:tcPr>
            <w:tcW w:w="1098" w:type="dxa"/>
            <w:tcBorders>
              <w:bottom w:val="nil"/>
            </w:tcBorders>
            <w:vAlign w:val="center"/>
          </w:tcPr>
          <w:p w:rsidR="009165ED" w:rsidRPr="00261A05" w:rsidRDefault="009165ED" w:rsidP="007C54CD">
            <w:pPr>
              <w:ind w:right="42"/>
              <w:jc w:val="center"/>
              <w:rPr>
                <w:b/>
                <w:bCs/>
              </w:rPr>
            </w:pPr>
            <w:r>
              <w:rPr>
                <w:b/>
                <w:bCs/>
              </w:rPr>
              <w:t>0,1</w:t>
            </w:r>
          </w:p>
        </w:tc>
        <w:tc>
          <w:tcPr>
            <w:tcW w:w="921" w:type="dxa"/>
            <w:tcBorders>
              <w:bottom w:val="nil"/>
            </w:tcBorders>
            <w:vAlign w:val="center"/>
          </w:tcPr>
          <w:p w:rsidR="009165ED" w:rsidRPr="00261A05" w:rsidRDefault="009165ED" w:rsidP="007C54CD">
            <w:pPr>
              <w:ind w:right="42"/>
              <w:jc w:val="center"/>
              <w:rPr>
                <w:b/>
                <w:bCs/>
              </w:rPr>
            </w:pPr>
            <w:r>
              <w:rPr>
                <w:b/>
                <w:bCs/>
              </w:rPr>
              <w:t>0,0</w:t>
            </w:r>
          </w:p>
        </w:tc>
        <w:tc>
          <w:tcPr>
            <w:tcW w:w="1073" w:type="dxa"/>
            <w:tcBorders>
              <w:bottom w:val="nil"/>
            </w:tcBorders>
            <w:vAlign w:val="center"/>
          </w:tcPr>
          <w:p w:rsidR="009165ED" w:rsidRPr="00261A05" w:rsidRDefault="009165ED" w:rsidP="007C54CD">
            <w:pPr>
              <w:ind w:right="42"/>
              <w:jc w:val="center"/>
              <w:rPr>
                <w:b/>
                <w:bCs/>
              </w:rPr>
            </w:pPr>
            <w:r>
              <w:rPr>
                <w:b/>
                <w:bCs/>
              </w:rPr>
              <w:t>0,8</w:t>
            </w:r>
          </w:p>
        </w:tc>
        <w:tc>
          <w:tcPr>
            <w:tcW w:w="1138" w:type="dxa"/>
            <w:tcBorders>
              <w:bottom w:val="nil"/>
            </w:tcBorders>
            <w:vAlign w:val="center"/>
          </w:tcPr>
          <w:p w:rsidR="009165ED" w:rsidRPr="00261A05" w:rsidRDefault="009165ED" w:rsidP="007C54CD">
            <w:pPr>
              <w:ind w:right="42"/>
              <w:jc w:val="center"/>
              <w:rPr>
                <w:b/>
                <w:bCs/>
              </w:rPr>
            </w:pPr>
            <w:r>
              <w:rPr>
                <w:b/>
                <w:bCs/>
              </w:rPr>
              <w:t>-0,8</w:t>
            </w:r>
          </w:p>
        </w:tc>
        <w:tc>
          <w:tcPr>
            <w:tcW w:w="1069" w:type="dxa"/>
            <w:tcBorders>
              <w:bottom w:val="nil"/>
              <w:right w:val="double" w:sz="4" w:space="0" w:color="auto"/>
            </w:tcBorders>
            <w:vAlign w:val="center"/>
          </w:tcPr>
          <w:p w:rsidR="009165ED" w:rsidRPr="00261A05" w:rsidRDefault="009165ED" w:rsidP="007C54CD">
            <w:pPr>
              <w:ind w:right="42"/>
              <w:jc w:val="center"/>
              <w:rPr>
                <w:b/>
                <w:bCs/>
              </w:rPr>
            </w:pPr>
            <w:r>
              <w:rPr>
                <w:b/>
                <w:bCs/>
              </w:rPr>
              <w:t>0,9</w:t>
            </w:r>
          </w:p>
        </w:tc>
        <w:tc>
          <w:tcPr>
            <w:tcW w:w="960" w:type="dxa"/>
            <w:tcBorders>
              <w:left w:val="double" w:sz="4" w:space="0" w:color="auto"/>
              <w:bottom w:val="nil"/>
            </w:tcBorders>
            <w:vAlign w:val="center"/>
          </w:tcPr>
          <w:p w:rsidR="009165ED" w:rsidRPr="00261A05" w:rsidRDefault="009165ED" w:rsidP="007C54CD">
            <w:pPr>
              <w:ind w:right="42"/>
              <w:jc w:val="center"/>
              <w:rPr>
                <w:b/>
                <w:bCs/>
              </w:rPr>
            </w:pPr>
            <w:r>
              <w:rPr>
                <w:b/>
                <w:bCs/>
              </w:rPr>
              <w:t>0,4</w:t>
            </w:r>
          </w:p>
        </w:tc>
        <w:tc>
          <w:tcPr>
            <w:tcW w:w="960" w:type="dxa"/>
            <w:tcBorders>
              <w:bottom w:val="nil"/>
            </w:tcBorders>
            <w:vAlign w:val="center"/>
          </w:tcPr>
          <w:p w:rsidR="009165ED" w:rsidRPr="00261A05" w:rsidRDefault="009165ED" w:rsidP="007C54CD">
            <w:pPr>
              <w:ind w:right="42"/>
              <w:jc w:val="center"/>
              <w:rPr>
                <w:b/>
                <w:bCs/>
              </w:rPr>
            </w:pPr>
            <w:r>
              <w:rPr>
                <w:b/>
                <w:bCs/>
              </w:rPr>
              <w:t>0,6</w:t>
            </w:r>
          </w:p>
        </w:tc>
      </w:tr>
      <w:tr w:rsidR="009165ED" w:rsidTr="007C54CD">
        <w:trPr>
          <w:trHeight w:val="370"/>
        </w:trPr>
        <w:tc>
          <w:tcPr>
            <w:tcW w:w="3401" w:type="dxa"/>
            <w:tcBorders>
              <w:top w:val="nil"/>
              <w:bottom w:val="nil"/>
            </w:tcBorders>
            <w:vAlign w:val="center"/>
          </w:tcPr>
          <w:p w:rsidR="009165ED" w:rsidRPr="00261A05" w:rsidRDefault="009165ED" w:rsidP="007C54CD">
            <w:pPr>
              <w:ind w:right="42"/>
              <w:jc w:val="center"/>
            </w:pPr>
            <w:r w:rsidRPr="00261A05">
              <w:rPr>
                <w:sz w:val="22"/>
                <w:szCs w:val="22"/>
              </w:rPr>
              <w:t>Dayanıksız tüketim malı imalatı</w:t>
            </w:r>
          </w:p>
        </w:tc>
        <w:tc>
          <w:tcPr>
            <w:tcW w:w="1098" w:type="dxa"/>
            <w:tcBorders>
              <w:top w:val="nil"/>
              <w:bottom w:val="nil"/>
            </w:tcBorders>
            <w:vAlign w:val="center"/>
          </w:tcPr>
          <w:p w:rsidR="009165ED" w:rsidRPr="00261A05" w:rsidRDefault="009165ED" w:rsidP="007C54CD">
            <w:pPr>
              <w:ind w:right="42"/>
              <w:jc w:val="center"/>
            </w:pPr>
            <w:r>
              <w:t>-0,3</w:t>
            </w:r>
          </w:p>
        </w:tc>
        <w:tc>
          <w:tcPr>
            <w:tcW w:w="921" w:type="dxa"/>
            <w:tcBorders>
              <w:top w:val="nil"/>
              <w:bottom w:val="nil"/>
            </w:tcBorders>
            <w:vAlign w:val="center"/>
          </w:tcPr>
          <w:p w:rsidR="009165ED" w:rsidRPr="00261A05" w:rsidRDefault="009165ED" w:rsidP="007C54CD">
            <w:pPr>
              <w:ind w:right="42"/>
              <w:jc w:val="center"/>
            </w:pPr>
            <w:r>
              <w:t>0,1</w:t>
            </w:r>
          </w:p>
        </w:tc>
        <w:tc>
          <w:tcPr>
            <w:tcW w:w="1073" w:type="dxa"/>
            <w:tcBorders>
              <w:top w:val="nil"/>
              <w:bottom w:val="nil"/>
            </w:tcBorders>
            <w:vAlign w:val="center"/>
          </w:tcPr>
          <w:p w:rsidR="009165ED" w:rsidRPr="00261A05" w:rsidRDefault="009165ED" w:rsidP="007C54CD">
            <w:pPr>
              <w:ind w:right="42"/>
              <w:jc w:val="center"/>
            </w:pPr>
            <w:r>
              <w:t>0,3</w:t>
            </w:r>
          </w:p>
        </w:tc>
        <w:tc>
          <w:tcPr>
            <w:tcW w:w="1138" w:type="dxa"/>
            <w:tcBorders>
              <w:top w:val="nil"/>
              <w:bottom w:val="nil"/>
            </w:tcBorders>
            <w:vAlign w:val="center"/>
          </w:tcPr>
          <w:p w:rsidR="009165ED" w:rsidRPr="00261A05" w:rsidRDefault="009165ED" w:rsidP="007C54CD">
            <w:pPr>
              <w:ind w:right="42"/>
              <w:jc w:val="center"/>
            </w:pPr>
            <w:r>
              <w:t>-0,5</w:t>
            </w:r>
          </w:p>
        </w:tc>
        <w:tc>
          <w:tcPr>
            <w:tcW w:w="1069" w:type="dxa"/>
            <w:tcBorders>
              <w:top w:val="nil"/>
              <w:bottom w:val="nil"/>
              <w:right w:val="double" w:sz="4" w:space="0" w:color="auto"/>
            </w:tcBorders>
            <w:vAlign w:val="center"/>
          </w:tcPr>
          <w:p w:rsidR="009165ED" w:rsidRPr="00261A05" w:rsidRDefault="009165ED" w:rsidP="007C54CD">
            <w:pPr>
              <w:ind w:right="42"/>
              <w:jc w:val="center"/>
            </w:pPr>
            <w:r>
              <w:t>0,6</w:t>
            </w:r>
          </w:p>
        </w:tc>
        <w:tc>
          <w:tcPr>
            <w:tcW w:w="960" w:type="dxa"/>
            <w:tcBorders>
              <w:top w:val="nil"/>
              <w:left w:val="double" w:sz="4" w:space="0" w:color="auto"/>
              <w:bottom w:val="nil"/>
            </w:tcBorders>
            <w:vAlign w:val="center"/>
          </w:tcPr>
          <w:p w:rsidR="009165ED" w:rsidRPr="00261A05" w:rsidRDefault="009165ED" w:rsidP="007C54CD">
            <w:pPr>
              <w:ind w:right="42"/>
              <w:jc w:val="center"/>
            </w:pPr>
            <w:r>
              <w:t>-0,4</w:t>
            </w:r>
          </w:p>
        </w:tc>
        <w:tc>
          <w:tcPr>
            <w:tcW w:w="960" w:type="dxa"/>
            <w:tcBorders>
              <w:top w:val="nil"/>
              <w:bottom w:val="nil"/>
            </w:tcBorders>
            <w:vAlign w:val="center"/>
          </w:tcPr>
          <w:p w:rsidR="009165ED" w:rsidRPr="00261A05" w:rsidRDefault="009165ED" w:rsidP="007C54CD">
            <w:pPr>
              <w:ind w:right="42"/>
              <w:jc w:val="center"/>
            </w:pPr>
            <w:r>
              <w:t>0,2</w:t>
            </w:r>
          </w:p>
        </w:tc>
      </w:tr>
      <w:tr w:rsidR="009165ED" w:rsidTr="007C54CD">
        <w:trPr>
          <w:trHeight w:val="370"/>
        </w:trPr>
        <w:tc>
          <w:tcPr>
            <w:tcW w:w="3401" w:type="dxa"/>
            <w:tcBorders>
              <w:top w:val="nil"/>
              <w:bottom w:val="nil"/>
            </w:tcBorders>
            <w:vAlign w:val="center"/>
          </w:tcPr>
          <w:p w:rsidR="009165ED" w:rsidRPr="00261A05" w:rsidRDefault="009165ED" w:rsidP="007C54CD">
            <w:pPr>
              <w:ind w:right="42"/>
              <w:jc w:val="center"/>
              <w:rPr>
                <w:b/>
                <w:bCs/>
              </w:rPr>
            </w:pPr>
            <w:r w:rsidRPr="00261A05">
              <w:rPr>
                <w:sz w:val="22"/>
                <w:szCs w:val="22"/>
              </w:rPr>
              <w:t>Dayanıklı tüketim malı imalatı</w:t>
            </w:r>
          </w:p>
        </w:tc>
        <w:tc>
          <w:tcPr>
            <w:tcW w:w="1098" w:type="dxa"/>
            <w:tcBorders>
              <w:top w:val="nil"/>
              <w:bottom w:val="nil"/>
            </w:tcBorders>
            <w:vAlign w:val="center"/>
          </w:tcPr>
          <w:p w:rsidR="009165ED" w:rsidRPr="00261A05" w:rsidRDefault="009165ED" w:rsidP="007C54CD">
            <w:pPr>
              <w:ind w:right="42"/>
              <w:jc w:val="center"/>
            </w:pPr>
            <w:r>
              <w:t>0,9</w:t>
            </w:r>
          </w:p>
        </w:tc>
        <w:tc>
          <w:tcPr>
            <w:tcW w:w="921" w:type="dxa"/>
            <w:tcBorders>
              <w:top w:val="nil"/>
              <w:bottom w:val="nil"/>
            </w:tcBorders>
            <w:vAlign w:val="center"/>
          </w:tcPr>
          <w:p w:rsidR="009165ED" w:rsidRPr="00261A05" w:rsidRDefault="009165ED" w:rsidP="007C54CD">
            <w:pPr>
              <w:ind w:right="42"/>
              <w:jc w:val="center"/>
            </w:pPr>
            <w:r>
              <w:t>-1,1</w:t>
            </w:r>
          </w:p>
        </w:tc>
        <w:tc>
          <w:tcPr>
            <w:tcW w:w="1073" w:type="dxa"/>
            <w:tcBorders>
              <w:top w:val="nil"/>
              <w:bottom w:val="nil"/>
            </w:tcBorders>
            <w:vAlign w:val="center"/>
          </w:tcPr>
          <w:p w:rsidR="009165ED" w:rsidRPr="00261A05" w:rsidRDefault="009165ED" w:rsidP="007C54CD">
            <w:pPr>
              <w:ind w:right="42"/>
              <w:jc w:val="center"/>
            </w:pPr>
            <w:r>
              <w:t>0,9</w:t>
            </w:r>
          </w:p>
        </w:tc>
        <w:tc>
          <w:tcPr>
            <w:tcW w:w="1138" w:type="dxa"/>
            <w:tcBorders>
              <w:top w:val="nil"/>
              <w:bottom w:val="nil"/>
            </w:tcBorders>
            <w:vAlign w:val="center"/>
          </w:tcPr>
          <w:p w:rsidR="009165ED" w:rsidRPr="00261A05" w:rsidRDefault="009165ED" w:rsidP="007C54CD">
            <w:pPr>
              <w:ind w:right="42"/>
              <w:jc w:val="center"/>
            </w:pPr>
            <w:r>
              <w:t>-0,4</w:t>
            </w:r>
          </w:p>
        </w:tc>
        <w:tc>
          <w:tcPr>
            <w:tcW w:w="1069" w:type="dxa"/>
            <w:tcBorders>
              <w:top w:val="nil"/>
              <w:bottom w:val="nil"/>
              <w:right w:val="double" w:sz="4" w:space="0" w:color="auto"/>
            </w:tcBorders>
            <w:vAlign w:val="center"/>
          </w:tcPr>
          <w:p w:rsidR="009165ED" w:rsidRPr="00261A05" w:rsidRDefault="009165ED" w:rsidP="007C54CD">
            <w:pPr>
              <w:ind w:right="42"/>
              <w:jc w:val="center"/>
            </w:pPr>
            <w:r>
              <w:t>0,6</w:t>
            </w:r>
          </w:p>
        </w:tc>
        <w:tc>
          <w:tcPr>
            <w:tcW w:w="960" w:type="dxa"/>
            <w:tcBorders>
              <w:top w:val="nil"/>
              <w:left w:val="double" w:sz="4" w:space="0" w:color="auto"/>
              <w:bottom w:val="nil"/>
            </w:tcBorders>
            <w:vAlign w:val="center"/>
          </w:tcPr>
          <w:p w:rsidR="009165ED" w:rsidRPr="00261A05" w:rsidRDefault="009165ED" w:rsidP="007C54CD">
            <w:pPr>
              <w:ind w:right="42"/>
              <w:jc w:val="center"/>
            </w:pPr>
            <w:r>
              <w:t>0,1</w:t>
            </w:r>
          </w:p>
        </w:tc>
        <w:tc>
          <w:tcPr>
            <w:tcW w:w="960" w:type="dxa"/>
            <w:tcBorders>
              <w:top w:val="nil"/>
              <w:bottom w:val="nil"/>
            </w:tcBorders>
            <w:vAlign w:val="center"/>
          </w:tcPr>
          <w:p w:rsidR="009165ED" w:rsidRPr="00261A05" w:rsidRDefault="009165ED" w:rsidP="007C54CD">
            <w:pPr>
              <w:ind w:right="42"/>
              <w:jc w:val="center"/>
            </w:pPr>
            <w:r>
              <w:t>0,4</w:t>
            </w:r>
          </w:p>
        </w:tc>
      </w:tr>
      <w:tr w:rsidR="009165ED" w:rsidTr="007C54CD">
        <w:trPr>
          <w:trHeight w:val="370"/>
        </w:trPr>
        <w:tc>
          <w:tcPr>
            <w:tcW w:w="3401" w:type="dxa"/>
            <w:tcBorders>
              <w:top w:val="nil"/>
              <w:bottom w:val="nil"/>
            </w:tcBorders>
            <w:vAlign w:val="center"/>
          </w:tcPr>
          <w:p w:rsidR="009165ED" w:rsidRPr="00261A05" w:rsidRDefault="009165ED" w:rsidP="007C54CD">
            <w:pPr>
              <w:ind w:right="42"/>
              <w:jc w:val="center"/>
            </w:pPr>
            <w:r w:rsidRPr="00261A05">
              <w:rPr>
                <w:sz w:val="22"/>
                <w:szCs w:val="22"/>
              </w:rPr>
              <w:t>Ara malı imalatı</w:t>
            </w:r>
          </w:p>
        </w:tc>
        <w:tc>
          <w:tcPr>
            <w:tcW w:w="1098" w:type="dxa"/>
            <w:tcBorders>
              <w:top w:val="nil"/>
              <w:bottom w:val="nil"/>
            </w:tcBorders>
            <w:vAlign w:val="center"/>
          </w:tcPr>
          <w:p w:rsidR="009165ED" w:rsidRPr="00261A05" w:rsidRDefault="009165ED" w:rsidP="007C54CD">
            <w:pPr>
              <w:ind w:right="42"/>
              <w:jc w:val="center"/>
            </w:pPr>
            <w:r>
              <w:t>0,2</w:t>
            </w:r>
          </w:p>
        </w:tc>
        <w:tc>
          <w:tcPr>
            <w:tcW w:w="921" w:type="dxa"/>
            <w:tcBorders>
              <w:top w:val="nil"/>
              <w:bottom w:val="nil"/>
            </w:tcBorders>
            <w:vAlign w:val="center"/>
          </w:tcPr>
          <w:p w:rsidR="009165ED" w:rsidRPr="00261A05" w:rsidRDefault="009165ED" w:rsidP="007C54CD">
            <w:pPr>
              <w:ind w:right="42"/>
              <w:jc w:val="center"/>
            </w:pPr>
            <w:r>
              <w:t>0,0</w:t>
            </w:r>
          </w:p>
        </w:tc>
        <w:tc>
          <w:tcPr>
            <w:tcW w:w="1073" w:type="dxa"/>
            <w:tcBorders>
              <w:top w:val="nil"/>
              <w:bottom w:val="nil"/>
            </w:tcBorders>
            <w:vAlign w:val="center"/>
          </w:tcPr>
          <w:p w:rsidR="009165ED" w:rsidRPr="00261A05" w:rsidRDefault="009165ED" w:rsidP="007C54CD">
            <w:pPr>
              <w:ind w:right="42"/>
              <w:jc w:val="center"/>
            </w:pPr>
            <w:r>
              <w:t>0,7</w:t>
            </w:r>
          </w:p>
        </w:tc>
        <w:tc>
          <w:tcPr>
            <w:tcW w:w="1138" w:type="dxa"/>
            <w:tcBorders>
              <w:top w:val="nil"/>
              <w:bottom w:val="nil"/>
            </w:tcBorders>
            <w:vAlign w:val="center"/>
          </w:tcPr>
          <w:p w:rsidR="009165ED" w:rsidRPr="00261A05" w:rsidRDefault="009165ED" w:rsidP="007C54CD">
            <w:pPr>
              <w:ind w:right="42"/>
              <w:jc w:val="center"/>
            </w:pPr>
            <w:r>
              <w:t>0,0</w:t>
            </w:r>
          </w:p>
        </w:tc>
        <w:tc>
          <w:tcPr>
            <w:tcW w:w="1069" w:type="dxa"/>
            <w:tcBorders>
              <w:top w:val="nil"/>
              <w:bottom w:val="nil"/>
              <w:right w:val="double" w:sz="4" w:space="0" w:color="auto"/>
            </w:tcBorders>
            <w:vAlign w:val="center"/>
          </w:tcPr>
          <w:p w:rsidR="009165ED" w:rsidRPr="00261A05" w:rsidRDefault="009165ED" w:rsidP="007C54CD">
            <w:pPr>
              <w:ind w:right="42"/>
              <w:jc w:val="center"/>
            </w:pPr>
            <w:r>
              <w:t>1,5</w:t>
            </w:r>
          </w:p>
        </w:tc>
        <w:tc>
          <w:tcPr>
            <w:tcW w:w="960" w:type="dxa"/>
            <w:tcBorders>
              <w:top w:val="nil"/>
              <w:left w:val="double" w:sz="4" w:space="0" w:color="auto"/>
              <w:bottom w:val="nil"/>
            </w:tcBorders>
            <w:vAlign w:val="center"/>
          </w:tcPr>
          <w:p w:rsidR="009165ED" w:rsidRPr="00261A05" w:rsidRDefault="009165ED" w:rsidP="007C54CD">
            <w:pPr>
              <w:ind w:right="42"/>
              <w:jc w:val="center"/>
            </w:pPr>
            <w:r>
              <w:t>0,8</w:t>
            </w:r>
          </w:p>
        </w:tc>
        <w:tc>
          <w:tcPr>
            <w:tcW w:w="960" w:type="dxa"/>
            <w:tcBorders>
              <w:top w:val="nil"/>
              <w:bottom w:val="nil"/>
            </w:tcBorders>
            <w:vAlign w:val="center"/>
          </w:tcPr>
          <w:p w:rsidR="009165ED" w:rsidRPr="00261A05" w:rsidRDefault="009165ED" w:rsidP="007C54CD">
            <w:pPr>
              <w:ind w:right="42"/>
              <w:jc w:val="center"/>
            </w:pPr>
            <w:r>
              <w:t>1,3</w:t>
            </w:r>
          </w:p>
        </w:tc>
      </w:tr>
      <w:tr w:rsidR="009165ED" w:rsidTr="007C54CD">
        <w:trPr>
          <w:trHeight w:val="370"/>
        </w:trPr>
        <w:tc>
          <w:tcPr>
            <w:tcW w:w="3401" w:type="dxa"/>
            <w:tcBorders>
              <w:top w:val="nil"/>
            </w:tcBorders>
            <w:vAlign w:val="center"/>
          </w:tcPr>
          <w:p w:rsidR="009165ED" w:rsidRPr="00261A05" w:rsidRDefault="009165ED" w:rsidP="007C54CD">
            <w:pPr>
              <w:ind w:right="42"/>
              <w:jc w:val="center"/>
            </w:pPr>
            <w:r w:rsidRPr="00261A05">
              <w:rPr>
                <w:sz w:val="22"/>
                <w:szCs w:val="22"/>
              </w:rPr>
              <w:t>Yatırım malı imalatı</w:t>
            </w:r>
          </w:p>
        </w:tc>
        <w:tc>
          <w:tcPr>
            <w:tcW w:w="1098" w:type="dxa"/>
            <w:tcBorders>
              <w:top w:val="nil"/>
            </w:tcBorders>
            <w:vAlign w:val="center"/>
          </w:tcPr>
          <w:p w:rsidR="009165ED" w:rsidRPr="00261A05" w:rsidRDefault="009165ED" w:rsidP="007C54CD">
            <w:pPr>
              <w:ind w:right="42"/>
              <w:jc w:val="center"/>
            </w:pPr>
            <w:r>
              <w:t>0,4</w:t>
            </w:r>
          </w:p>
        </w:tc>
        <w:tc>
          <w:tcPr>
            <w:tcW w:w="921" w:type="dxa"/>
            <w:tcBorders>
              <w:top w:val="nil"/>
            </w:tcBorders>
            <w:vAlign w:val="center"/>
          </w:tcPr>
          <w:p w:rsidR="009165ED" w:rsidRPr="00261A05" w:rsidRDefault="009165ED" w:rsidP="007C54CD">
            <w:pPr>
              <w:ind w:right="42"/>
              <w:jc w:val="center"/>
            </w:pPr>
            <w:r>
              <w:t>0,7</w:t>
            </w:r>
          </w:p>
        </w:tc>
        <w:tc>
          <w:tcPr>
            <w:tcW w:w="1073" w:type="dxa"/>
            <w:tcBorders>
              <w:top w:val="nil"/>
            </w:tcBorders>
            <w:vAlign w:val="center"/>
          </w:tcPr>
          <w:p w:rsidR="009165ED" w:rsidRPr="00261A05" w:rsidRDefault="009165ED" w:rsidP="007C54CD">
            <w:pPr>
              <w:ind w:right="42"/>
              <w:jc w:val="center"/>
            </w:pPr>
            <w:r>
              <w:t>-1,6</w:t>
            </w:r>
          </w:p>
        </w:tc>
        <w:tc>
          <w:tcPr>
            <w:tcW w:w="1138" w:type="dxa"/>
            <w:tcBorders>
              <w:top w:val="nil"/>
            </w:tcBorders>
            <w:vAlign w:val="center"/>
          </w:tcPr>
          <w:p w:rsidR="009165ED" w:rsidRPr="00261A05" w:rsidRDefault="009165ED" w:rsidP="007C54CD">
            <w:pPr>
              <w:ind w:right="42"/>
              <w:jc w:val="center"/>
            </w:pPr>
            <w:r>
              <w:t>1,3</w:t>
            </w:r>
          </w:p>
        </w:tc>
        <w:tc>
          <w:tcPr>
            <w:tcW w:w="1069" w:type="dxa"/>
            <w:tcBorders>
              <w:top w:val="nil"/>
              <w:right w:val="double" w:sz="4" w:space="0" w:color="auto"/>
            </w:tcBorders>
            <w:vAlign w:val="center"/>
          </w:tcPr>
          <w:p w:rsidR="009165ED" w:rsidRPr="00261A05" w:rsidRDefault="009165ED" w:rsidP="007C54CD">
            <w:pPr>
              <w:ind w:right="42"/>
              <w:jc w:val="center"/>
            </w:pPr>
            <w:r>
              <w:t>1,9</w:t>
            </w:r>
          </w:p>
        </w:tc>
        <w:tc>
          <w:tcPr>
            <w:tcW w:w="960" w:type="dxa"/>
            <w:tcBorders>
              <w:top w:val="nil"/>
              <w:left w:val="double" w:sz="4" w:space="0" w:color="auto"/>
            </w:tcBorders>
            <w:vAlign w:val="center"/>
          </w:tcPr>
          <w:p w:rsidR="009165ED" w:rsidRPr="00261A05" w:rsidRDefault="009165ED" w:rsidP="007C54CD">
            <w:pPr>
              <w:ind w:right="42"/>
              <w:jc w:val="center"/>
            </w:pPr>
            <w:r>
              <w:t>0,5</w:t>
            </w:r>
          </w:p>
        </w:tc>
        <w:tc>
          <w:tcPr>
            <w:tcW w:w="960" w:type="dxa"/>
            <w:tcBorders>
              <w:top w:val="nil"/>
            </w:tcBorders>
            <w:vAlign w:val="center"/>
          </w:tcPr>
          <w:p w:rsidR="009165ED" w:rsidRPr="00261A05" w:rsidRDefault="009165ED" w:rsidP="007C54CD">
            <w:pPr>
              <w:ind w:right="42"/>
              <w:jc w:val="center"/>
            </w:pPr>
            <w:r>
              <w:t>0,5</w:t>
            </w:r>
          </w:p>
        </w:tc>
      </w:tr>
      <w:tr w:rsidR="009165ED" w:rsidTr="007C54CD">
        <w:trPr>
          <w:trHeight w:val="370"/>
        </w:trPr>
        <w:tc>
          <w:tcPr>
            <w:tcW w:w="3401" w:type="dxa"/>
            <w:tcBorders>
              <w:bottom w:val="nil"/>
            </w:tcBorders>
            <w:vAlign w:val="center"/>
          </w:tcPr>
          <w:p w:rsidR="009165ED" w:rsidRPr="00261A05" w:rsidRDefault="009165ED" w:rsidP="007C54CD">
            <w:pPr>
              <w:ind w:right="42"/>
              <w:jc w:val="center"/>
              <w:rPr>
                <w:b/>
                <w:bCs/>
              </w:rPr>
            </w:pPr>
            <w:r w:rsidRPr="00261A05">
              <w:rPr>
                <w:b/>
                <w:bCs/>
                <w:sz w:val="22"/>
                <w:szCs w:val="22"/>
              </w:rPr>
              <w:t>Beklenti göstergeleri</w:t>
            </w:r>
          </w:p>
        </w:tc>
        <w:tc>
          <w:tcPr>
            <w:tcW w:w="1098" w:type="dxa"/>
            <w:tcBorders>
              <w:bottom w:val="nil"/>
            </w:tcBorders>
            <w:vAlign w:val="center"/>
          </w:tcPr>
          <w:p w:rsidR="009165ED" w:rsidRPr="00261A05" w:rsidRDefault="009165ED" w:rsidP="007C54CD">
            <w:pPr>
              <w:ind w:right="42"/>
              <w:jc w:val="center"/>
              <w:rPr>
                <w:b/>
                <w:bCs/>
              </w:rPr>
            </w:pPr>
          </w:p>
        </w:tc>
        <w:tc>
          <w:tcPr>
            <w:tcW w:w="921" w:type="dxa"/>
            <w:tcBorders>
              <w:bottom w:val="nil"/>
            </w:tcBorders>
            <w:vAlign w:val="center"/>
          </w:tcPr>
          <w:p w:rsidR="009165ED" w:rsidRPr="00261A05" w:rsidRDefault="009165ED" w:rsidP="007C54CD">
            <w:pPr>
              <w:ind w:right="42"/>
              <w:jc w:val="center"/>
              <w:rPr>
                <w:b/>
                <w:bCs/>
              </w:rPr>
            </w:pPr>
          </w:p>
        </w:tc>
        <w:tc>
          <w:tcPr>
            <w:tcW w:w="1073" w:type="dxa"/>
            <w:tcBorders>
              <w:bottom w:val="nil"/>
            </w:tcBorders>
            <w:vAlign w:val="center"/>
          </w:tcPr>
          <w:p w:rsidR="009165ED" w:rsidRPr="00261A05" w:rsidRDefault="009165ED" w:rsidP="007C54CD">
            <w:pPr>
              <w:ind w:right="42"/>
              <w:jc w:val="center"/>
              <w:rPr>
                <w:b/>
                <w:bCs/>
              </w:rPr>
            </w:pPr>
          </w:p>
        </w:tc>
        <w:tc>
          <w:tcPr>
            <w:tcW w:w="1138" w:type="dxa"/>
            <w:tcBorders>
              <w:bottom w:val="nil"/>
            </w:tcBorders>
            <w:vAlign w:val="center"/>
          </w:tcPr>
          <w:p w:rsidR="009165ED" w:rsidRPr="00261A05" w:rsidRDefault="009165ED" w:rsidP="007C54CD">
            <w:pPr>
              <w:ind w:right="42"/>
              <w:jc w:val="center"/>
              <w:rPr>
                <w:b/>
                <w:bCs/>
              </w:rPr>
            </w:pPr>
          </w:p>
        </w:tc>
        <w:tc>
          <w:tcPr>
            <w:tcW w:w="1069" w:type="dxa"/>
            <w:tcBorders>
              <w:bottom w:val="nil"/>
              <w:right w:val="double" w:sz="4" w:space="0" w:color="auto"/>
            </w:tcBorders>
            <w:vAlign w:val="center"/>
          </w:tcPr>
          <w:p w:rsidR="009165ED" w:rsidRPr="00261A05" w:rsidRDefault="009165ED" w:rsidP="007C54CD">
            <w:pPr>
              <w:ind w:right="42"/>
              <w:jc w:val="center"/>
              <w:rPr>
                <w:b/>
                <w:bCs/>
              </w:rPr>
            </w:pPr>
          </w:p>
        </w:tc>
        <w:tc>
          <w:tcPr>
            <w:tcW w:w="960" w:type="dxa"/>
            <w:tcBorders>
              <w:left w:val="double" w:sz="4" w:space="0" w:color="auto"/>
              <w:bottom w:val="nil"/>
            </w:tcBorders>
            <w:vAlign w:val="center"/>
          </w:tcPr>
          <w:p w:rsidR="009165ED" w:rsidRPr="00261A05" w:rsidRDefault="009165ED" w:rsidP="007C54CD">
            <w:pPr>
              <w:ind w:right="42"/>
              <w:jc w:val="center"/>
              <w:rPr>
                <w:b/>
                <w:bCs/>
              </w:rPr>
            </w:pPr>
          </w:p>
        </w:tc>
        <w:tc>
          <w:tcPr>
            <w:tcW w:w="960" w:type="dxa"/>
            <w:tcBorders>
              <w:bottom w:val="nil"/>
            </w:tcBorders>
            <w:vAlign w:val="center"/>
          </w:tcPr>
          <w:p w:rsidR="009165ED" w:rsidRPr="00261A05" w:rsidRDefault="009165ED" w:rsidP="007C54CD">
            <w:pPr>
              <w:ind w:right="42"/>
              <w:jc w:val="center"/>
              <w:rPr>
                <w:b/>
                <w:bCs/>
              </w:rPr>
            </w:pPr>
          </w:p>
        </w:tc>
      </w:tr>
      <w:tr w:rsidR="009165ED" w:rsidTr="007C54CD">
        <w:trPr>
          <w:trHeight w:val="370"/>
        </w:trPr>
        <w:tc>
          <w:tcPr>
            <w:tcW w:w="3401" w:type="dxa"/>
            <w:tcBorders>
              <w:top w:val="nil"/>
              <w:bottom w:val="nil"/>
            </w:tcBorders>
            <w:vAlign w:val="center"/>
          </w:tcPr>
          <w:p w:rsidR="009165ED" w:rsidRPr="00261A05" w:rsidRDefault="009165ED" w:rsidP="007C54CD">
            <w:pPr>
              <w:ind w:right="42"/>
              <w:jc w:val="center"/>
            </w:pPr>
            <w:r w:rsidRPr="00261A05">
              <w:rPr>
                <w:sz w:val="22"/>
                <w:szCs w:val="22"/>
              </w:rPr>
              <w:t>Tüketici güven endeksi (TÜİK)</w:t>
            </w:r>
          </w:p>
        </w:tc>
        <w:tc>
          <w:tcPr>
            <w:tcW w:w="1098" w:type="dxa"/>
            <w:tcBorders>
              <w:top w:val="nil"/>
              <w:bottom w:val="nil"/>
            </w:tcBorders>
            <w:vAlign w:val="center"/>
          </w:tcPr>
          <w:p w:rsidR="009165ED" w:rsidRPr="00261A05" w:rsidRDefault="009165ED" w:rsidP="007C54CD">
            <w:pPr>
              <w:ind w:right="42"/>
              <w:jc w:val="center"/>
            </w:pPr>
            <w:r>
              <w:t>-1,6</w:t>
            </w:r>
          </w:p>
        </w:tc>
        <w:tc>
          <w:tcPr>
            <w:tcW w:w="921" w:type="dxa"/>
            <w:tcBorders>
              <w:top w:val="nil"/>
              <w:bottom w:val="nil"/>
            </w:tcBorders>
            <w:vAlign w:val="center"/>
          </w:tcPr>
          <w:p w:rsidR="009165ED" w:rsidRPr="00261A05" w:rsidRDefault="009165ED" w:rsidP="007C54CD">
            <w:pPr>
              <w:ind w:right="42"/>
              <w:jc w:val="center"/>
            </w:pPr>
            <w:r>
              <w:t>6,6</w:t>
            </w:r>
          </w:p>
        </w:tc>
        <w:tc>
          <w:tcPr>
            <w:tcW w:w="1073" w:type="dxa"/>
            <w:tcBorders>
              <w:top w:val="nil"/>
              <w:bottom w:val="nil"/>
            </w:tcBorders>
            <w:vAlign w:val="center"/>
          </w:tcPr>
          <w:p w:rsidR="009165ED" w:rsidRPr="00261A05" w:rsidRDefault="009165ED" w:rsidP="007C54CD">
            <w:pPr>
              <w:ind w:right="42"/>
              <w:jc w:val="center"/>
            </w:pPr>
            <w:r>
              <w:t>4,8</w:t>
            </w:r>
          </w:p>
        </w:tc>
        <w:tc>
          <w:tcPr>
            <w:tcW w:w="1138" w:type="dxa"/>
            <w:tcBorders>
              <w:top w:val="nil"/>
              <w:bottom w:val="nil"/>
            </w:tcBorders>
            <w:vAlign w:val="center"/>
          </w:tcPr>
          <w:p w:rsidR="009165ED" w:rsidRPr="00261A05" w:rsidRDefault="009165ED" w:rsidP="007C54CD">
            <w:pPr>
              <w:ind w:right="42"/>
              <w:jc w:val="center"/>
            </w:pPr>
            <w:r>
              <w:t>2,6</w:t>
            </w:r>
          </w:p>
        </w:tc>
        <w:tc>
          <w:tcPr>
            <w:tcW w:w="1069" w:type="dxa"/>
            <w:tcBorders>
              <w:top w:val="nil"/>
              <w:bottom w:val="nil"/>
              <w:right w:val="double" w:sz="4" w:space="0" w:color="auto"/>
            </w:tcBorders>
            <w:vAlign w:val="center"/>
          </w:tcPr>
          <w:p w:rsidR="009165ED" w:rsidRPr="00261A05" w:rsidRDefault="009165ED" w:rsidP="007C54CD">
            <w:pPr>
              <w:ind w:right="42"/>
              <w:jc w:val="center"/>
            </w:pPr>
            <w:r>
              <w:t>0,3</w:t>
            </w:r>
          </w:p>
        </w:tc>
        <w:tc>
          <w:tcPr>
            <w:tcW w:w="960" w:type="dxa"/>
            <w:tcBorders>
              <w:top w:val="nil"/>
              <w:left w:val="double" w:sz="4" w:space="0" w:color="auto"/>
              <w:bottom w:val="nil"/>
            </w:tcBorders>
            <w:vAlign w:val="center"/>
          </w:tcPr>
          <w:p w:rsidR="009165ED" w:rsidRPr="00261A05" w:rsidRDefault="009165ED" w:rsidP="007C54CD">
            <w:pPr>
              <w:ind w:right="42"/>
              <w:jc w:val="center"/>
            </w:pPr>
            <w:r>
              <w:t>-0,7</w:t>
            </w:r>
          </w:p>
        </w:tc>
        <w:tc>
          <w:tcPr>
            <w:tcW w:w="960" w:type="dxa"/>
            <w:tcBorders>
              <w:top w:val="nil"/>
              <w:bottom w:val="nil"/>
            </w:tcBorders>
            <w:vAlign w:val="center"/>
          </w:tcPr>
          <w:p w:rsidR="009165ED" w:rsidRPr="00261A05" w:rsidRDefault="009165ED" w:rsidP="007C54CD">
            <w:pPr>
              <w:ind w:right="42"/>
              <w:jc w:val="center"/>
            </w:pPr>
            <w:r>
              <w:t>1,3</w:t>
            </w:r>
          </w:p>
        </w:tc>
      </w:tr>
      <w:tr w:rsidR="009165ED" w:rsidTr="007C54CD">
        <w:trPr>
          <w:trHeight w:val="370"/>
        </w:trPr>
        <w:tc>
          <w:tcPr>
            <w:tcW w:w="3401" w:type="dxa"/>
            <w:tcBorders>
              <w:top w:val="nil"/>
            </w:tcBorders>
            <w:vAlign w:val="center"/>
          </w:tcPr>
          <w:p w:rsidR="009165ED" w:rsidRPr="00261A05" w:rsidRDefault="009165ED" w:rsidP="007C54CD">
            <w:pPr>
              <w:ind w:right="42"/>
              <w:jc w:val="center"/>
            </w:pPr>
            <w:r w:rsidRPr="00261A05">
              <w:rPr>
                <w:sz w:val="22"/>
                <w:szCs w:val="22"/>
              </w:rPr>
              <w:t>Reel kesim güven endeksi</w:t>
            </w:r>
            <w:r w:rsidRPr="00944BB8">
              <w:rPr>
                <w:sz w:val="22"/>
                <w:szCs w:val="22"/>
                <w:vertAlign w:val="superscript"/>
              </w:rPr>
              <w:t>†</w:t>
            </w:r>
          </w:p>
        </w:tc>
        <w:tc>
          <w:tcPr>
            <w:tcW w:w="1098" w:type="dxa"/>
            <w:tcBorders>
              <w:top w:val="nil"/>
            </w:tcBorders>
            <w:vAlign w:val="center"/>
          </w:tcPr>
          <w:p w:rsidR="009165ED" w:rsidRPr="00261A05" w:rsidRDefault="009165ED" w:rsidP="007C54CD">
            <w:pPr>
              <w:ind w:right="42"/>
              <w:jc w:val="center"/>
            </w:pPr>
            <w:r>
              <w:t>0,7</w:t>
            </w:r>
          </w:p>
        </w:tc>
        <w:tc>
          <w:tcPr>
            <w:tcW w:w="921" w:type="dxa"/>
            <w:tcBorders>
              <w:top w:val="nil"/>
            </w:tcBorders>
            <w:vAlign w:val="center"/>
          </w:tcPr>
          <w:p w:rsidR="009165ED" w:rsidRPr="00261A05" w:rsidRDefault="009165ED" w:rsidP="007C54CD">
            <w:pPr>
              <w:ind w:right="42"/>
              <w:jc w:val="center"/>
            </w:pPr>
            <w:r>
              <w:t>2,5</w:t>
            </w:r>
          </w:p>
        </w:tc>
        <w:tc>
          <w:tcPr>
            <w:tcW w:w="1073" w:type="dxa"/>
            <w:tcBorders>
              <w:top w:val="nil"/>
            </w:tcBorders>
            <w:vAlign w:val="center"/>
          </w:tcPr>
          <w:p w:rsidR="009165ED" w:rsidRPr="00261A05" w:rsidRDefault="009165ED" w:rsidP="007C54CD">
            <w:pPr>
              <w:ind w:right="42"/>
              <w:jc w:val="center"/>
            </w:pPr>
            <w:r>
              <w:t>3,0</w:t>
            </w:r>
          </w:p>
        </w:tc>
        <w:tc>
          <w:tcPr>
            <w:tcW w:w="1138" w:type="dxa"/>
            <w:tcBorders>
              <w:top w:val="nil"/>
            </w:tcBorders>
            <w:vAlign w:val="center"/>
          </w:tcPr>
          <w:p w:rsidR="009165ED" w:rsidRPr="00261A05" w:rsidRDefault="009165ED" w:rsidP="007C54CD">
            <w:pPr>
              <w:ind w:right="42"/>
              <w:jc w:val="center"/>
            </w:pPr>
            <w:r>
              <w:t>-0,4</w:t>
            </w:r>
          </w:p>
        </w:tc>
        <w:tc>
          <w:tcPr>
            <w:tcW w:w="1069" w:type="dxa"/>
            <w:tcBorders>
              <w:top w:val="nil"/>
              <w:right w:val="double" w:sz="4" w:space="0" w:color="auto"/>
            </w:tcBorders>
            <w:vAlign w:val="center"/>
          </w:tcPr>
          <w:p w:rsidR="009165ED" w:rsidRPr="00261A05" w:rsidRDefault="009165ED" w:rsidP="007C54CD">
            <w:pPr>
              <w:ind w:right="42"/>
              <w:jc w:val="center"/>
            </w:pPr>
            <w:r>
              <w:t>-0,5</w:t>
            </w:r>
          </w:p>
        </w:tc>
        <w:tc>
          <w:tcPr>
            <w:tcW w:w="960" w:type="dxa"/>
            <w:tcBorders>
              <w:top w:val="nil"/>
              <w:left w:val="double" w:sz="4" w:space="0" w:color="auto"/>
            </w:tcBorders>
            <w:vAlign w:val="center"/>
          </w:tcPr>
          <w:p w:rsidR="009165ED" w:rsidRPr="00261A05" w:rsidRDefault="009165ED" w:rsidP="007C54CD">
            <w:pPr>
              <w:ind w:right="42"/>
              <w:jc w:val="center"/>
            </w:pPr>
            <w:r>
              <w:t>-0,2</w:t>
            </w:r>
          </w:p>
        </w:tc>
        <w:tc>
          <w:tcPr>
            <w:tcW w:w="960" w:type="dxa"/>
            <w:tcBorders>
              <w:top w:val="nil"/>
            </w:tcBorders>
            <w:vAlign w:val="center"/>
          </w:tcPr>
          <w:p w:rsidR="009165ED" w:rsidRPr="00261A05" w:rsidRDefault="009165ED" w:rsidP="007C54CD">
            <w:pPr>
              <w:ind w:right="42"/>
              <w:jc w:val="center"/>
            </w:pPr>
            <w:r>
              <w:t>4,5</w:t>
            </w:r>
          </w:p>
        </w:tc>
      </w:tr>
      <w:tr w:rsidR="009165ED" w:rsidTr="007C54CD">
        <w:trPr>
          <w:trHeight w:val="370"/>
        </w:trPr>
        <w:tc>
          <w:tcPr>
            <w:tcW w:w="3401" w:type="dxa"/>
            <w:tcBorders>
              <w:bottom w:val="nil"/>
            </w:tcBorders>
            <w:vAlign w:val="center"/>
          </w:tcPr>
          <w:p w:rsidR="009165ED" w:rsidRPr="00261A05" w:rsidRDefault="009165ED" w:rsidP="007C54CD">
            <w:pPr>
              <w:ind w:right="42"/>
              <w:jc w:val="center"/>
              <w:rPr>
                <w:b/>
                <w:bCs/>
              </w:rPr>
            </w:pPr>
            <w:r w:rsidRPr="00261A05">
              <w:rPr>
                <w:b/>
                <w:bCs/>
                <w:sz w:val="22"/>
                <w:szCs w:val="22"/>
              </w:rPr>
              <w:t>Finansal göstergeler</w:t>
            </w:r>
          </w:p>
        </w:tc>
        <w:tc>
          <w:tcPr>
            <w:tcW w:w="1098" w:type="dxa"/>
            <w:tcBorders>
              <w:bottom w:val="nil"/>
            </w:tcBorders>
            <w:vAlign w:val="center"/>
          </w:tcPr>
          <w:p w:rsidR="009165ED" w:rsidRPr="00261A05" w:rsidRDefault="009165ED" w:rsidP="007C54CD">
            <w:pPr>
              <w:ind w:right="42"/>
              <w:jc w:val="center"/>
            </w:pPr>
          </w:p>
        </w:tc>
        <w:tc>
          <w:tcPr>
            <w:tcW w:w="921" w:type="dxa"/>
            <w:tcBorders>
              <w:bottom w:val="nil"/>
            </w:tcBorders>
            <w:vAlign w:val="center"/>
          </w:tcPr>
          <w:p w:rsidR="009165ED" w:rsidRPr="00261A05" w:rsidRDefault="009165ED" w:rsidP="007C54CD">
            <w:pPr>
              <w:ind w:right="42"/>
              <w:jc w:val="center"/>
              <w:rPr>
                <w:b/>
                <w:bCs/>
              </w:rPr>
            </w:pPr>
          </w:p>
        </w:tc>
        <w:tc>
          <w:tcPr>
            <w:tcW w:w="1073" w:type="dxa"/>
            <w:tcBorders>
              <w:bottom w:val="nil"/>
            </w:tcBorders>
            <w:vAlign w:val="center"/>
          </w:tcPr>
          <w:p w:rsidR="009165ED" w:rsidRPr="00261A05" w:rsidRDefault="009165ED" w:rsidP="007C54CD">
            <w:pPr>
              <w:ind w:right="42"/>
              <w:jc w:val="center"/>
              <w:rPr>
                <w:b/>
                <w:bCs/>
              </w:rPr>
            </w:pPr>
          </w:p>
        </w:tc>
        <w:tc>
          <w:tcPr>
            <w:tcW w:w="1138" w:type="dxa"/>
            <w:tcBorders>
              <w:bottom w:val="nil"/>
            </w:tcBorders>
            <w:vAlign w:val="center"/>
          </w:tcPr>
          <w:p w:rsidR="009165ED" w:rsidRPr="00261A05" w:rsidRDefault="009165ED" w:rsidP="007C54CD">
            <w:pPr>
              <w:ind w:right="42"/>
              <w:jc w:val="center"/>
              <w:rPr>
                <w:b/>
                <w:bCs/>
              </w:rPr>
            </w:pPr>
          </w:p>
        </w:tc>
        <w:tc>
          <w:tcPr>
            <w:tcW w:w="1069" w:type="dxa"/>
            <w:tcBorders>
              <w:bottom w:val="nil"/>
              <w:right w:val="double" w:sz="4" w:space="0" w:color="auto"/>
            </w:tcBorders>
            <w:vAlign w:val="center"/>
          </w:tcPr>
          <w:p w:rsidR="009165ED" w:rsidRPr="00261A05" w:rsidRDefault="009165ED" w:rsidP="007C54CD">
            <w:pPr>
              <w:ind w:right="42"/>
              <w:jc w:val="center"/>
              <w:rPr>
                <w:b/>
                <w:bCs/>
              </w:rPr>
            </w:pPr>
          </w:p>
        </w:tc>
        <w:tc>
          <w:tcPr>
            <w:tcW w:w="960" w:type="dxa"/>
            <w:tcBorders>
              <w:left w:val="double" w:sz="4" w:space="0" w:color="auto"/>
              <w:bottom w:val="nil"/>
            </w:tcBorders>
            <w:vAlign w:val="center"/>
          </w:tcPr>
          <w:p w:rsidR="009165ED" w:rsidRPr="00261A05" w:rsidRDefault="009165ED" w:rsidP="007C54CD">
            <w:pPr>
              <w:ind w:right="42"/>
              <w:jc w:val="center"/>
              <w:rPr>
                <w:b/>
                <w:bCs/>
              </w:rPr>
            </w:pPr>
          </w:p>
        </w:tc>
        <w:tc>
          <w:tcPr>
            <w:tcW w:w="960" w:type="dxa"/>
            <w:tcBorders>
              <w:bottom w:val="nil"/>
            </w:tcBorders>
            <w:vAlign w:val="center"/>
          </w:tcPr>
          <w:p w:rsidR="009165ED" w:rsidRPr="00261A05" w:rsidRDefault="009165ED" w:rsidP="007C54CD">
            <w:pPr>
              <w:ind w:right="42"/>
              <w:jc w:val="center"/>
              <w:rPr>
                <w:b/>
                <w:bCs/>
              </w:rPr>
            </w:pPr>
          </w:p>
        </w:tc>
      </w:tr>
      <w:tr w:rsidR="009165ED" w:rsidTr="007C54CD">
        <w:trPr>
          <w:trHeight w:val="370"/>
        </w:trPr>
        <w:tc>
          <w:tcPr>
            <w:tcW w:w="3401" w:type="dxa"/>
            <w:tcBorders>
              <w:top w:val="nil"/>
            </w:tcBorders>
            <w:vAlign w:val="center"/>
          </w:tcPr>
          <w:p w:rsidR="009165ED" w:rsidRPr="00261A05" w:rsidRDefault="009165ED" w:rsidP="007C54CD">
            <w:pPr>
              <w:ind w:right="42"/>
              <w:jc w:val="center"/>
            </w:pPr>
            <w:r>
              <w:rPr>
                <w:sz w:val="22"/>
                <w:szCs w:val="22"/>
              </w:rPr>
              <w:t>BİST</w:t>
            </w:r>
            <w:r w:rsidRPr="00261A05">
              <w:rPr>
                <w:sz w:val="22"/>
                <w:szCs w:val="22"/>
              </w:rPr>
              <w:t xml:space="preserve"> 100</w:t>
            </w:r>
          </w:p>
        </w:tc>
        <w:tc>
          <w:tcPr>
            <w:tcW w:w="1098" w:type="dxa"/>
            <w:tcBorders>
              <w:top w:val="nil"/>
            </w:tcBorders>
            <w:vAlign w:val="center"/>
          </w:tcPr>
          <w:p w:rsidR="009165ED" w:rsidRPr="00261A05" w:rsidRDefault="009165ED" w:rsidP="007C54CD">
            <w:pPr>
              <w:ind w:right="42"/>
              <w:jc w:val="center"/>
            </w:pPr>
            <w:r>
              <w:t>-3,1</w:t>
            </w:r>
          </w:p>
        </w:tc>
        <w:tc>
          <w:tcPr>
            <w:tcW w:w="921" w:type="dxa"/>
            <w:tcBorders>
              <w:top w:val="nil"/>
            </w:tcBorders>
            <w:vAlign w:val="center"/>
          </w:tcPr>
          <w:p w:rsidR="009165ED" w:rsidRPr="00261A05" w:rsidRDefault="009165ED" w:rsidP="007C54CD">
            <w:pPr>
              <w:ind w:right="42"/>
              <w:jc w:val="center"/>
            </w:pPr>
            <w:r>
              <w:t>0,0</w:t>
            </w:r>
          </w:p>
        </w:tc>
        <w:tc>
          <w:tcPr>
            <w:tcW w:w="1073" w:type="dxa"/>
            <w:tcBorders>
              <w:top w:val="nil"/>
            </w:tcBorders>
            <w:vAlign w:val="center"/>
          </w:tcPr>
          <w:p w:rsidR="009165ED" w:rsidRPr="00261A05" w:rsidRDefault="009165ED" w:rsidP="007C54CD">
            <w:pPr>
              <w:ind w:right="42"/>
              <w:jc w:val="center"/>
            </w:pPr>
            <w:r>
              <w:t>2,7</w:t>
            </w:r>
          </w:p>
        </w:tc>
        <w:tc>
          <w:tcPr>
            <w:tcW w:w="1138" w:type="dxa"/>
            <w:tcBorders>
              <w:top w:val="nil"/>
            </w:tcBorders>
            <w:vAlign w:val="center"/>
          </w:tcPr>
          <w:p w:rsidR="009165ED" w:rsidRPr="00261A05" w:rsidRDefault="009165ED" w:rsidP="007C54CD">
            <w:pPr>
              <w:ind w:right="42"/>
              <w:jc w:val="center"/>
            </w:pPr>
            <w:r>
              <w:t>-0,8</w:t>
            </w:r>
          </w:p>
        </w:tc>
        <w:tc>
          <w:tcPr>
            <w:tcW w:w="1069" w:type="dxa"/>
            <w:tcBorders>
              <w:top w:val="nil"/>
              <w:right w:val="double" w:sz="4" w:space="0" w:color="auto"/>
            </w:tcBorders>
            <w:vAlign w:val="center"/>
          </w:tcPr>
          <w:p w:rsidR="009165ED" w:rsidRPr="00261A05" w:rsidRDefault="009165ED" w:rsidP="007C54CD">
            <w:pPr>
              <w:ind w:right="42"/>
              <w:jc w:val="center"/>
            </w:pPr>
            <w:r>
              <w:t>-6,2</w:t>
            </w:r>
          </w:p>
        </w:tc>
        <w:tc>
          <w:tcPr>
            <w:tcW w:w="960" w:type="dxa"/>
            <w:tcBorders>
              <w:top w:val="nil"/>
              <w:left w:val="double" w:sz="4" w:space="0" w:color="auto"/>
            </w:tcBorders>
            <w:vAlign w:val="center"/>
          </w:tcPr>
          <w:p w:rsidR="009165ED" w:rsidRPr="00261A05" w:rsidRDefault="009165ED" w:rsidP="007C54CD">
            <w:pPr>
              <w:ind w:right="42"/>
              <w:jc w:val="center"/>
            </w:pPr>
            <w:r>
              <w:t>-12,4</w:t>
            </w:r>
          </w:p>
        </w:tc>
        <w:tc>
          <w:tcPr>
            <w:tcW w:w="960" w:type="dxa"/>
            <w:tcBorders>
              <w:top w:val="nil"/>
            </w:tcBorders>
            <w:vAlign w:val="center"/>
          </w:tcPr>
          <w:p w:rsidR="009165ED" w:rsidRPr="00261A05" w:rsidRDefault="009165ED" w:rsidP="007C54CD">
            <w:pPr>
              <w:ind w:right="42"/>
              <w:jc w:val="center"/>
            </w:pPr>
            <w:r>
              <w:t>-1,1</w:t>
            </w:r>
          </w:p>
        </w:tc>
      </w:tr>
      <w:tr w:rsidR="009165ED" w:rsidTr="007C54CD">
        <w:trPr>
          <w:trHeight w:val="370"/>
        </w:trPr>
        <w:tc>
          <w:tcPr>
            <w:tcW w:w="3401" w:type="dxa"/>
            <w:tcBorders>
              <w:bottom w:val="nil"/>
            </w:tcBorders>
            <w:vAlign w:val="center"/>
          </w:tcPr>
          <w:p w:rsidR="009165ED" w:rsidRPr="00261A05" w:rsidRDefault="009165ED" w:rsidP="007C54CD">
            <w:pPr>
              <w:ind w:right="42"/>
              <w:jc w:val="center"/>
              <w:rPr>
                <w:b/>
                <w:bCs/>
              </w:rPr>
            </w:pPr>
            <w:r w:rsidRPr="00261A05">
              <w:rPr>
                <w:b/>
                <w:bCs/>
                <w:sz w:val="22"/>
                <w:szCs w:val="22"/>
              </w:rPr>
              <w:t>Diğerleri</w:t>
            </w:r>
          </w:p>
        </w:tc>
        <w:tc>
          <w:tcPr>
            <w:tcW w:w="1098" w:type="dxa"/>
            <w:tcBorders>
              <w:bottom w:val="nil"/>
            </w:tcBorders>
            <w:vAlign w:val="center"/>
          </w:tcPr>
          <w:p w:rsidR="009165ED" w:rsidRPr="00261A05" w:rsidRDefault="009165ED" w:rsidP="007C54CD">
            <w:pPr>
              <w:ind w:right="42"/>
              <w:jc w:val="center"/>
            </w:pPr>
          </w:p>
        </w:tc>
        <w:tc>
          <w:tcPr>
            <w:tcW w:w="921" w:type="dxa"/>
            <w:tcBorders>
              <w:bottom w:val="nil"/>
            </w:tcBorders>
            <w:vAlign w:val="center"/>
          </w:tcPr>
          <w:p w:rsidR="009165ED" w:rsidRPr="00261A05" w:rsidRDefault="009165ED" w:rsidP="007C54CD">
            <w:pPr>
              <w:ind w:right="42"/>
              <w:jc w:val="center"/>
            </w:pPr>
          </w:p>
        </w:tc>
        <w:tc>
          <w:tcPr>
            <w:tcW w:w="1073" w:type="dxa"/>
            <w:tcBorders>
              <w:bottom w:val="nil"/>
            </w:tcBorders>
            <w:vAlign w:val="center"/>
          </w:tcPr>
          <w:p w:rsidR="009165ED" w:rsidRPr="00261A05" w:rsidRDefault="009165ED" w:rsidP="007C54CD">
            <w:pPr>
              <w:ind w:right="42"/>
              <w:jc w:val="center"/>
            </w:pPr>
          </w:p>
        </w:tc>
        <w:tc>
          <w:tcPr>
            <w:tcW w:w="1138" w:type="dxa"/>
            <w:tcBorders>
              <w:bottom w:val="nil"/>
            </w:tcBorders>
            <w:vAlign w:val="center"/>
          </w:tcPr>
          <w:p w:rsidR="009165ED" w:rsidRPr="00261A05" w:rsidRDefault="009165ED" w:rsidP="007C54CD">
            <w:pPr>
              <w:ind w:right="42"/>
              <w:jc w:val="center"/>
            </w:pPr>
          </w:p>
        </w:tc>
        <w:tc>
          <w:tcPr>
            <w:tcW w:w="1069" w:type="dxa"/>
            <w:tcBorders>
              <w:bottom w:val="nil"/>
              <w:right w:val="double" w:sz="4" w:space="0" w:color="auto"/>
            </w:tcBorders>
            <w:vAlign w:val="center"/>
          </w:tcPr>
          <w:p w:rsidR="009165ED" w:rsidRPr="00261A05" w:rsidRDefault="009165ED" w:rsidP="007C54CD">
            <w:pPr>
              <w:ind w:right="42"/>
              <w:jc w:val="center"/>
            </w:pPr>
          </w:p>
        </w:tc>
        <w:tc>
          <w:tcPr>
            <w:tcW w:w="960" w:type="dxa"/>
            <w:tcBorders>
              <w:left w:val="double" w:sz="4" w:space="0" w:color="auto"/>
              <w:bottom w:val="nil"/>
            </w:tcBorders>
            <w:vAlign w:val="center"/>
          </w:tcPr>
          <w:p w:rsidR="009165ED" w:rsidRPr="00261A05" w:rsidRDefault="009165ED" w:rsidP="007C54CD">
            <w:pPr>
              <w:ind w:right="42"/>
              <w:jc w:val="center"/>
            </w:pPr>
          </w:p>
        </w:tc>
        <w:tc>
          <w:tcPr>
            <w:tcW w:w="960" w:type="dxa"/>
            <w:tcBorders>
              <w:bottom w:val="nil"/>
            </w:tcBorders>
            <w:vAlign w:val="center"/>
          </w:tcPr>
          <w:p w:rsidR="009165ED" w:rsidRPr="00261A05" w:rsidRDefault="009165ED" w:rsidP="007C54CD">
            <w:pPr>
              <w:ind w:right="42"/>
              <w:jc w:val="center"/>
            </w:pPr>
          </w:p>
        </w:tc>
      </w:tr>
      <w:tr w:rsidR="009165ED" w:rsidTr="007C54CD">
        <w:trPr>
          <w:trHeight w:val="370"/>
        </w:trPr>
        <w:tc>
          <w:tcPr>
            <w:tcW w:w="3401" w:type="dxa"/>
            <w:tcBorders>
              <w:top w:val="nil"/>
              <w:bottom w:val="nil"/>
            </w:tcBorders>
            <w:vAlign w:val="center"/>
          </w:tcPr>
          <w:p w:rsidR="009165ED" w:rsidRPr="00261A05" w:rsidRDefault="009165ED" w:rsidP="007C54CD">
            <w:pPr>
              <w:ind w:right="42"/>
              <w:jc w:val="center"/>
            </w:pPr>
            <w:r w:rsidRPr="00261A05">
              <w:rPr>
                <w:sz w:val="22"/>
                <w:szCs w:val="22"/>
              </w:rPr>
              <w:t>Özel tüketim vergisi (ÖTV)</w:t>
            </w:r>
          </w:p>
        </w:tc>
        <w:tc>
          <w:tcPr>
            <w:tcW w:w="1098" w:type="dxa"/>
            <w:tcBorders>
              <w:top w:val="nil"/>
              <w:bottom w:val="nil"/>
            </w:tcBorders>
            <w:vAlign w:val="center"/>
          </w:tcPr>
          <w:p w:rsidR="009165ED" w:rsidRPr="00261A05" w:rsidRDefault="009165ED" w:rsidP="007C54CD">
            <w:pPr>
              <w:ind w:right="42"/>
              <w:jc w:val="center"/>
            </w:pPr>
            <w:r>
              <w:t>-3,8</w:t>
            </w:r>
          </w:p>
        </w:tc>
        <w:tc>
          <w:tcPr>
            <w:tcW w:w="921" w:type="dxa"/>
            <w:tcBorders>
              <w:top w:val="nil"/>
              <w:bottom w:val="nil"/>
            </w:tcBorders>
            <w:vAlign w:val="center"/>
          </w:tcPr>
          <w:p w:rsidR="009165ED" w:rsidRPr="00261A05" w:rsidRDefault="009165ED" w:rsidP="007C54CD">
            <w:pPr>
              <w:ind w:right="42"/>
              <w:jc w:val="center"/>
            </w:pPr>
            <w:r>
              <w:t>2,5</w:t>
            </w:r>
          </w:p>
        </w:tc>
        <w:tc>
          <w:tcPr>
            <w:tcW w:w="1073" w:type="dxa"/>
            <w:tcBorders>
              <w:top w:val="nil"/>
              <w:bottom w:val="nil"/>
            </w:tcBorders>
            <w:vAlign w:val="center"/>
          </w:tcPr>
          <w:p w:rsidR="009165ED" w:rsidRPr="00261A05" w:rsidRDefault="009165ED" w:rsidP="007C54CD">
            <w:pPr>
              <w:ind w:right="42"/>
              <w:jc w:val="center"/>
            </w:pPr>
            <w:r>
              <w:t>-4,9</w:t>
            </w:r>
          </w:p>
        </w:tc>
        <w:tc>
          <w:tcPr>
            <w:tcW w:w="1138" w:type="dxa"/>
            <w:tcBorders>
              <w:top w:val="nil"/>
              <w:bottom w:val="nil"/>
            </w:tcBorders>
            <w:vAlign w:val="center"/>
          </w:tcPr>
          <w:p w:rsidR="009165ED" w:rsidRPr="00261A05" w:rsidRDefault="009165ED" w:rsidP="007C54CD">
            <w:pPr>
              <w:ind w:right="42"/>
              <w:jc w:val="center"/>
            </w:pPr>
            <w:r>
              <w:t>1,7</w:t>
            </w:r>
          </w:p>
        </w:tc>
        <w:tc>
          <w:tcPr>
            <w:tcW w:w="1069" w:type="dxa"/>
            <w:tcBorders>
              <w:top w:val="nil"/>
              <w:bottom w:val="nil"/>
              <w:right w:val="double" w:sz="4" w:space="0" w:color="auto"/>
            </w:tcBorders>
            <w:vAlign w:val="center"/>
          </w:tcPr>
          <w:p w:rsidR="009165ED" w:rsidRPr="00261A05" w:rsidRDefault="009165ED" w:rsidP="007C54CD">
            <w:pPr>
              <w:ind w:right="42"/>
              <w:jc w:val="center"/>
            </w:pPr>
            <w:r>
              <w:t>**</w:t>
            </w:r>
          </w:p>
        </w:tc>
        <w:tc>
          <w:tcPr>
            <w:tcW w:w="960" w:type="dxa"/>
            <w:tcBorders>
              <w:top w:val="nil"/>
              <w:left w:val="double" w:sz="4" w:space="0" w:color="auto"/>
              <w:bottom w:val="nil"/>
            </w:tcBorders>
            <w:vAlign w:val="center"/>
          </w:tcPr>
          <w:p w:rsidR="009165ED" w:rsidRPr="00261A05" w:rsidRDefault="009165ED" w:rsidP="007C54CD">
            <w:pPr>
              <w:ind w:right="42"/>
              <w:jc w:val="center"/>
            </w:pPr>
            <w:r>
              <w:t>-1,0</w:t>
            </w:r>
          </w:p>
        </w:tc>
        <w:tc>
          <w:tcPr>
            <w:tcW w:w="960" w:type="dxa"/>
            <w:tcBorders>
              <w:top w:val="nil"/>
              <w:bottom w:val="nil"/>
            </w:tcBorders>
            <w:vAlign w:val="center"/>
          </w:tcPr>
          <w:p w:rsidR="009165ED" w:rsidRPr="00261A05" w:rsidRDefault="009165ED" w:rsidP="007C54CD">
            <w:pPr>
              <w:ind w:right="42"/>
              <w:jc w:val="center"/>
            </w:pPr>
            <w:r>
              <w:t>-3,8</w:t>
            </w:r>
          </w:p>
        </w:tc>
      </w:tr>
      <w:tr w:rsidR="009165ED" w:rsidTr="007C54CD">
        <w:trPr>
          <w:trHeight w:val="370"/>
        </w:trPr>
        <w:tc>
          <w:tcPr>
            <w:tcW w:w="3401" w:type="dxa"/>
            <w:tcBorders>
              <w:top w:val="nil"/>
              <w:bottom w:val="nil"/>
            </w:tcBorders>
            <w:vAlign w:val="center"/>
          </w:tcPr>
          <w:p w:rsidR="009165ED" w:rsidRPr="00261A05" w:rsidRDefault="009165ED" w:rsidP="007C54CD">
            <w:pPr>
              <w:ind w:right="42"/>
              <w:jc w:val="center"/>
            </w:pPr>
            <w:r w:rsidRPr="00261A05">
              <w:rPr>
                <w:sz w:val="22"/>
                <w:szCs w:val="22"/>
              </w:rPr>
              <w:t>Binek otomobil üretimi</w:t>
            </w:r>
          </w:p>
        </w:tc>
        <w:tc>
          <w:tcPr>
            <w:tcW w:w="1098" w:type="dxa"/>
            <w:tcBorders>
              <w:top w:val="nil"/>
              <w:bottom w:val="nil"/>
            </w:tcBorders>
            <w:vAlign w:val="center"/>
          </w:tcPr>
          <w:p w:rsidR="009165ED" w:rsidRPr="00261A05" w:rsidRDefault="009165ED" w:rsidP="007C54CD">
            <w:pPr>
              <w:ind w:right="42"/>
              <w:jc w:val="center"/>
            </w:pPr>
            <w:r>
              <w:t>3,7</w:t>
            </w:r>
          </w:p>
        </w:tc>
        <w:tc>
          <w:tcPr>
            <w:tcW w:w="921" w:type="dxa"/>
            <w:tcBorders>
              <w:top w:val="nil"/>
              <w:bottom w:val="nil"/>
            </w:tcBorders>
            <w:vAlign w:val="center"/>
          </w:tcPr>
          <w:p w:rsidR="009165ED" w:rsidRPr="00261A05" w:rsidRDefault="009165ED" w:rsidP="007C54CD">
            <w:pPr>
              <w:ind w:right="42"/>
              <w:jc w:val="center"/>
            </w:pPr>
            <w:r>
              <w:t>-7,5</w:t>
            </w:r>
          </w:p>
        </w:tc>
        <w:tc>
          <w:tcPr>
            <w:tcW w:w="1073" w:type="dxa"/>
            <w:tcBorders>
              <w:top w:val="nil"/>
              <w:bottom w:val="nil"/>
            </w:tcBorders>
            <w:vAlign w:val="center"/>
          </w:tcPr>
          <w:p w:rsidR="009165ED" w:rsidRPr="00261A05" w:rsidRDefault="009165ED" w:rsidP="007C54CD">
            <w:pPr>
              <w:ind w:right="42"/>
              <w:jc w:val="center"/>
            </w:pPr>
            <w:r>
              <w:t>-0,3</w:t>
            </w:r>
          </w:p>
        </w:tc>
        <w:tc>
          <w:tcPr>
            <w:tcW w:w="1138" w:type="dxa"/>
            <w:tcBorders>
              <w:top w:val="nil"/>
              <w:bottom w:val="nil"/>
            </w:tcBorders>
            <w:vAlign w:val="center"/>
          </w:tcPr>
          <w:p w:rsidR="009165ED" w:rsidRPr="00261A05" w:rsidRDefault="009165ED" w:rsidP="007C54CD">
            <w:pPr>
              <w:ind w:right="42"/>
              <w:jc w:val="center"/>
            </w:pPr>
            <w:r>
              <w:t>2,5</w:t>
            </w:r>
          </w:p>
        </w:tc>
        <w:tc>
          <w:tcPr>
            <w:tcW w:w="1069" w:type="dxa"/>
            <w:tcBorders>
              <w:top w:val="nil"/>
              <w:bottom w:val="nil"/>
              <w:right w:val="double" w:sz="4" w:space="0" w:color="auto"/>
            </w:tcBorders>
            <w:vAlign w:val="center"/>
          </w:tcPr>
          <w:p w:rsidR="009165ED" w:rsidRPr="00261A05" w:rsidRDefault="009165ED" w:rsidP="007C54CD">
            <w:pPr>
              <w:ind w:right="42"/>
              <w:jc w:val="center"/>
            </w:pPr>
            <w:r>
              <w:t>**</w:t>
            </w:r>
          </w:p>
        </w:tc>
        <w:tc>
          <w:tcPr>
            <w:tcW w:w="960" w:type="dxa"/>
            <w:tcBorders>
              <w:top w:val="nil"/>
              <w:left w:val="double" w:sz="4" w:space="0" w:color="auto"/>
              <w:bottom w:val="nil"/>
            </w:tcBorders>
            <w:vAlign w:val="center"/>
          </w:tcPr>
          <w:p w:rsidR="009165ED" w:rsidRPr="00261A05" w:rsidRDefault="009165ED" w:rsidP="007C54CD">
            <w:pPr>
              <w:ind w:right="42"/>
              <w:jc w:val="center"/>
            </w:pPr>
            <w:r>
              <w:t>28,4</w:t>
            </w:r>
          </w:p>
        </w:tc>
        <w:tc>
          <w:tcPr>
            <w:tcW w:w="960" w:type="dxa"/>
            <w:tcBorders>
              <w:top w:val="nil"/>
              <w:bottom w:val="nil"/>
            </w:tcBorders>
            <w:vAlign w:val="center"/>
          </w:tcPr>
          <w:p w:rsidR="009165ED" w:rsidRPr="00261A05" w:rsidRDefault="009165ED" w:rsidP="007C54CD">
            <w:pPr>
              <w:ind w:right="42"/>
              <w:jc w:val="center"/>
            </w:pPr>
            <w:r>
              <w:t>-3,0</w:t>
            </w:r>
          </w:p>
        </w:tc>
      </w:tr>
      <w:tr w:rsidR="009165ED" w:rsidTr="007C54CD">
        <w:trPr>
          <w:trHeight w:val="370"/>
        </w:trPr>
        <w:tc>
          <w:tcPr>
            <w:tcW w:w="3401" w:type="dxa"/>
            <w:tcBorders>
              <w:top w:val="nil"/>
            </w:tcBorders>
            <w:vAlign w:val="center"/>
          </w:tcPr>
          <w:p w:rsidR="009165ED" w:rsidRPr="00261A05" w:rsidRDefault="009165ED" w:rsidP="007C54CD">
            <w:pPr>
              <w:ind w:right="42"/>
              <w:jc w:val="center"/>
            </w:pPr>
            <w:r w:rsidRPr="00261A05">
              <w:rPr>
                <w:sz w:val="22"/>
                <w:szCs w:val="22"/>
              </w:rPr>
              <w:t>Binek olmayan otomobil üretimi</w:t>
            </w:r>
          </w:p>
        </w:tc>
        <w:tc>
          <w:tcPr>
            <w:tcW w:w="1098" w:type="dxa"/>
            <w:tcBorders>
              <w:top w:val="nil"/>
            </w:tcBorders>
            <w:vAlign w:val="center"/>
          </w:tcPr>
          <w:p w:rsidR="009165ED" w:rsidRPr="00261A05" w:rsidRDefault="009165ED" w:rsidP="007C54CD">
            <w:pPr>
              <w:ind w:right="42"/>
              <w:jc w:val="center"/>
            </w:pPr>
            <w:r>
              <w:t>-0,3</w:t>
            </w:r>
          </w:p>
        </w:tc>
        <w:tc>
          <w:tcPr>
            <w:tcW w:w="921" w:type="dxa"/>
            <w:tcBorders>
              <w:top w:val="nil"/>
            </w:tcBorders>
            <w:vAlign w:val="center"/>
          </w:tcPr>
          <w:p w:rsidR="009165ED" w:rsidRPr="00261A05" w:rsidRDefault="009165ED" w:rsidP="007C54CD">
            <w:pPr>
              <w:ind w:right="42"/>
              <w:jc w:val="center"/>
            </w:pPr>
            <w:r>
              <w:t>5,2</w:t>
            </w:r>
          </w:p>
        </w:tc>
        <w:tc>
          <w:tcPr>
            <w:tcW w:w="1073" w:type="dxa"/>
            <w:tcBorders>
              <w:top w:val="nil"/>
            </w:tcBorders>
            <w:vAlign w:val="center"/>
          </w:tcPr>
          <w:p w:rsidR="009165ED" w:rsidRPr="00261A05" w:rsidRDefault="009165ED" w:rsidP="007C54CD">
            <w:pPr>
              <w:ind w:right="42"/>
              <w:jc w:val="center"/>
            </w:pPr>
            <w:r>
              <w:t>-4,9</w:t>
            </w:r>
          </w:p>
        </w:tc>
        <w:tc>
          <w:tcPr>
            <w:tcW w:w="1138" w:type="dxa"/>
            <w:tcBorders>
              <w:top w:val="nil"/>
            </w:tcBorders>
            <w:vAlign w:val="center"/>
          </w:tcPr>
          <w:p w:rsidR="009165ED" w:rsidRPr="00261A05" w:rsidRDefault="009165ED" w:rsidP="007C54CD">
            <w:pPr>
              <w:ind w:right="42"/>
              <w:jc w:val="center"/>
            </w:pPr>
            <w:r>
              <w:t>1,4</w:t>
            </w:r>
          </w:p>
        </w:tc>
        <w:tc>
          <w:tcPr>
            <w:tcW w:w="1069" w:type="dxa"/>
            <w:tcBorders>
              <w:top w:val="nil"/>
              <w:right w:val="double" w:sz="4" w:space="0" w:color="auto"/>
            </w:tcBorders>
            <w:vAlign w:val="center"/>
          </w:tcPr>
          <w:p w:rsidR="009165ED" w:rsidRPr="00261A05" w:rsidRDefault="009165ED" w:rsidP="007C54CD">
            <w:pPr>
              <w:ind w:right="42"/>
              <w:jc w:val="center"/>
            </w:pPr>
            <w:r>
              <w:t>**</w:t>
            </w:r>
          </w:p>
        </w:tc>
        <w:tc>
          <w:tcPr>
            <w:tcW w:w="960" w:type="dxa"/>
            <w:tcBorders>
              <w:top w:val="nil"/>
              <w:left w:val="double" w:sz="4" w:space="0" w:color="auto"/>
            </w:tcBorders>
            <w:vAlign w:val="center"/>
          </w:tcPr>
          <w:p w:rsidR="009165ED" w:rsidRPr="00261A05" w:rsidRDefault="009165ED" w:rsidP="007C54CD">
            <w:pPr>
              <w:ind w:right="42"/>
              <w:jc w:val="center"/>
            </w:pPr>
            <w:r>
              <w:t>1,5</w:t>
            </w:r>
          </w:p>
        </w:tc>
        <w:tc>
          <w:tcPr>
            <w:tcW w:w="960" w:type="dxa"/>
            <w:tcBorders>
              <w:top w:val="nil"/>
            </w:tcBorders>
            <w:vAlign w:val="center"/>
          </w:tcPr>
          <w:p w:rsidR="009165ED" w:rsidRPr="00261A05" w:rsidRDefault="009165ED" w:rsidP="007C54CD">
            <w:pPr>
              <w:ind w:right="42"/>
              <w:jc w:val="center"/>
            </w:pPr>
            <w:r>
              <w:t>-1,1</w:t>
            </w:r>
          </w:p>
        </w:tc>
      </w:tr>
    </w:tbl>
    <w:p w:rsidR="009165ED" w:rsidRDefault="009165ED" w:rsidP="009165ED">
      <w:pPr>
        <w:ind w:left="-720" w:right="43" w:firstLine="360"/>
        <w:jc w:val="both"/>
        <w:rPr>
          <w:sz w:val="18"/>
          <w:szCs w:val="18"/>
        </w:rPr>
      </w:pPr>
      <w:r>
        <w:rPr>
          <w:sz w:val="18"/>
          <w:szCs w:val="18"/>
        </w:rPr>
        <w:t>Kaynak: TÜİK</w:t>
      </w:r>
      <w:r w:rsidRPr="008C6E50">
        <w:rPr>
          <w:sz w:val="18"/>
          <w:szCs w:val="18"/>
        </w:rPr>
        <w:t xml:space="preserve">, TCMB, </w:t>
      </w:r>
      <w:r w:rsidR="005D0AD6">
        <w:rPr>
          <w:sz w:val="18"/>
          <w:szCs w:val="18"/>
        </w:rPr>
        <w:t>BIST</w:t>
      </w:r>
      <w:r w:rsidRPr="008C6E50">
        <w:rPr>
          <w:sz w:val="18"/>
          <w:szCs w:val="18"/>
        </w:rPr>
        <w:t>,</w:t>
      </w:r>
      <w:r w:rsidR="005D0AD6">
        <w:rPr>
          <w:sz w:val="18"/>
          <w:szCs w:val="18"/>
        </w:rPr>
        <w:t xml:space="preserve"> TDM,</w:t>
      </w:r>
      <w:r w:rsidRPr="008C6E50">
        <w:rPr>
          <w:sz w:val="18"/>
          <w:szCs w:val="18"/>
        </w:rPr>
        <w:t xml:space="preserve"> BETAM</w:t>
      </w:r>
      <w:r w:rsidR="005D0AD6">
        <w:rPr>
          <w:sz w:val="18"/>
          <w:szCs w:val="18"/>
        </w:rPr>
        <w:t>.</w:t>
      </w:r>
    </w:p>
    <w:p w:rsidR="009165ED" w:rsidRDefault="009165ED" w:rsidP="009165ED">
      <w:pPr>
        <w:ind w:left="-720" w:right="43" w:firstLine="360"/>
        <w:jc w:val="both"/>
        <w:rPr>
          <w:sz w:val="18"/>
          <w:szCs w:val="18"/>
        </w:rPr>
      </w:pPr>
      <w:r w:rsidRPr="00944BB8">
        <w:rPr>
          <w:sz w:val="18"/>
          <w:szCs w:val="18"/>
          <w:vertAlign w:val="superscript"/>
        </w:rPr>
        <w:t xml:space="preserve">† </w:t>
      </w:r>
      <w:r w:rsidRPr="00944BB8">
        <w:rPr>
          <w:sz w:val="18"/>
          <w:szCs w:val="18"/>
        </w:rPr>
        <w:t>TCMB tarafından mevsimsellikten arındırılmıştır.</w:t>
      </w:r>
    </w:p>
    <w:p w:rsidR="009165ED" w:rsidRDefault="009165ED" w:rsidP="009165ED">
      <w:pPr>
        <w:ind w:left="-720" w:right="43" w:firstLine="360"/>
        <w:jc w:val="both"/>
        <w:rPr>
          <w:sz w:val="18"/>
          <w:szCs w:val="18"/>
        </w:rPr>
      </w:pPr>
      <w:r>
        <w:rPr>
          <w:sz w:val="18"/>
          <w:szCs w:val="18"/>
        </w:rPr>
        <w:t xml:space="preserve">*TÜİK tarafından mevsimsellikten arındırılmıştır. Diğer tüm veriler Betam tarafından mevsimsellikten arındırılmıştır. </w:t>
      </w:r>
    </w:p>
    <w:p w:rsidR="009165ED" w:rsidRDefault="009165ED" w:rsidP="009165ED">
      <w:pPr>
        <w:ind w:left="-720" w:right="43" w:firstLine="360"/>
        <w:jc w:val="both"/>
        <w:rPr>
          <w:sz w:val="18"/>
          <w:szCs w:val="18"/>
        </w:rPr>
      </w:pPr>
      <w:r>
        <w:rPr>
          <w:sz w:val="18"/>
          <w:szCs w:val="18"/>
        </w:rPr>
        <w:t>**Bu aya dair veri henüz açıklanmamıştır.</w:t>
      </w:r>
    </w:p>
    <w:p w:rsidR="009165ED" w:rsidRDefault="009165ED" w:rsidP="009165ED">
      <w:pPr>
        <w:ind w:left="-360" w:right="43"/>
        <w:rPr>
          <w:sz w:val="18"/>
          <w:szCs w:val="18"/>
        </w:rPr>
      </w:pPr>
      <w:r>
        <w:rPr>
          <w:sz w:val="18"/>
          <w:szCs w:val="18"/>
        </w:rPr>
        <w:t>*** Betam hesaplamaları: Altın hariç ihracatı (ithalatı) bulmak için nominal ihracattan (ithalattan) parasal olmayan altın ihracatını (ithalatını) çıkarıp ihracat (ithalat) birim değer endeksine bölüyoruz. Betam tarafından mevsimsellikten arındırılmıştır.</w:t>
      </w:r>
    </w:p>
    <w:p w:rsidR="009165ED" w:rsidRDefault="009165ED" w:rsidP="009165ED">
      <w:pPr>
        <w:spacing w:line="360" w:lineRule="auto"/>
        <w:ind w:right="42"/>
        <w:jc w:val="both"/>
        <w:rPr>
          <w:sz w:val="22"/>
          <w:szCs w:val="22"/>
        </w:rPr>
        <w:sectPr w:rsidR="009165ED" w:rsidSect="008651A8">
          <w:type w:val="continuous"/>
          <w:pgSz w:w="11906" w:h="16838"/>
          <w:pgMar w:top="1417" w:right="1417" w:bottom="1417" w:left="1417" w:header="708" w:footer="708" w:gutter="0"/>
          <w:cols w:space="708"/>
          <w:docGrid w:linePitch="360"/>
        </w:sectPr>
      </w:pPr>
    </w:p>
    <w:p w:rsidR="009165ED" w:rsidRDefault="009165ED" w:rsidP="009165ED">
      <w:pPr>
        <w:ind w:left="-360" w:right="42"/>
        <w:jc w:val="both"/>
        <w:rPr>
          <w:b/>
          <w:bCs/>
          <w:sz w:val="22"/>
          <w:szCs w:val="22"/>
        </w:rPr>
      </w:pPr>
      <w:r w:rsidRPr="008C6E50">
        <w:rPr>
          <w:b/>
          <w:bCs/>
          <w:sz w:val="22"/>
          <w:szCs w:val="22"/>
        </w:rPr>
        <w:lastRenderedPageBreak/>
        <w:t xml:space="preserve">Şekil 1: Kapasite </w:t>
      </w:r>
      <w:r>
        <w:rPr>
          <w:b/>
          <w:bCs/>
          <w:sz w:val="22"/>
          <w:szCs w:val="22"/>
        </w:rPr>
        <w:t>k</w:t>
      </w:r>
      <w:r w:rsidRPr="008C6E50">
        <w:rPr>
          <w:b/>
          <w:bCs/>
          <w:sz w:val="22"/>
          <w:szCs w:val="22"/>
        </w:rPr>
        <w:t xml:space="preserve">ullanım </w:t>
      </w:r>
      <w:r>
        <w:rPr>
          <w:b/>
          <w:bCs/>
          <w:sz w:val="22"/>
          <w:szCs w:val="22"/>
        </w:rPr>
        <w:t>o</w:t>
      </w:r>
      <w:r w:rsidRPr="008C6E50">
        <w:rPr>
          <w:b/>
          <w:bCs/>
          <w:sz w:val="22"/>
          <w:szCs w:val="22"/>
        </w:rPr>
        <w:t xml:space="preserve">ranı ve </w:t>
      </w:r>
      <w:r>
        <w:rPr>
          <w:b/>
          <w:bCs/>
          <w:sz w:val="22"/>
          <w:szCs w:val="22"/>
        </w:rPr>
        <w:t>s</w:t>
      </w:r>
      <w:r w:rsidRPr="008C6E50">
        <w:rPr>
          <w:b/>
          <w:bCs/>
          <w:sz w:val="22"/>
          <w:szCs w:val="22"/>
        </w:rPr>
        <w:t xml:space="preserve">anayi </w:t>
      </w:r>
      <w:r>
        <w:rPr>
          <w:b/>
          <w:bCs/>
          <w:sz w:val="22"/>
          <w:szCs w:val="22"/>
        </w:rPr>
        <w:t>ü</w:t>
      </w:r>
      <w:r w:rsidRPr="008C6E50">
        <w:rPr>
          <w:b/>
          <w:bCs/>
          <w:sz w:val="22"/>
          <w:szCs w:val="22"/>
        </w:rPr>
        <w:t xml:space="preserve">retim </w:t>
      </w:r>
      <w:r>
        <w:rPr>
          <w:b/>
          <w:bCs/>
          <w:sz w:val="22"/>
          <w:szCs w:val="22"/>
        </w:rPr>
        <w:t>e</w:t>
      </w:r>
      <w:r w:rsidRPr="008C6E50">
        <w:rPr>
          <w:b/>
          <w:bCs/>
          <w:sz w:val="22"/>
          <w:szCs w:val="22"/>
        </w:rPr>
        <w:t>ndeksi (</w:t>
      </w:r>
      <w:r>
        <w:rPr>
          <w:b/>
          <w:bCs/>
          <w:sz w:val="22"/>
          <w:szCs w:val="22"/>
        </w:rPr>
        <w:t>mea</w:t>
      </w:r>
      <w:r w:rsidRPr="008C6E50">
        <w:rPr>
          <w:b/>
          <w:bCs/>
          <w:sz w:val="22"/>
          <w:szCs w:val="22"/>
        </w:rPr>
        <w:t>)</w:t>
      </w:r>
    </w:p>
    <w:p w:rsidR="009165ED" w:rsidRPr="007067F4" w:rsidRDefault="009165ED" w:rsidP="009165ED">
      <w:pPr>
        <w:ind w:left="-360" w:right="42"/>
        <w:jc w:val="both"/>
        <w:rPr>
          <w:b/>
          <w:bCs/>
          <w:sz w:val="8"/>
          <w:szCs w:val="8"/>
        </w:rPr>
      </w:pPr>
    </w:p>
    <w:p w:rsidR="009165ED" w:rsidRPr="00CE2137" w:rsidRDefault="001A4381" w:rsidP="009165ED">
      <w:pPr>
        <w:ind w:left="-360" w:right="42"/>
        <w:jc w:val="both"/>
      </w:pPr>
      <w:r w:rsidRPr="001A4381">
        <w:rPr>
          <w:noProof/>
        </w:rPr>
        <w:drawing>
          <wp:inline distT="0" distB="0" distL="0" distR="0">
            <wp:extent cx="2655570" cy="224111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655570" cy="2241117"/>
                    </a:xfrm>
                    <a:prstGeom prst="rect">
                      <a:avLst/>
                    </a:prstGeom>
                    <a:noFill/>
                    <a:ln w="9525">
                      <a:noFill/>
                      <a:miter lim="800000"/>
                      <a:headEnd/>
                      <a:tailEnd/>
                    </a:ln>
                  </pic:spPr>
                </pic:pic>
              </a:graphicData>
            </a:graphic>
          </wp:inline>
        </w:drawing>
      </w:r>
    </w:p>
    <w:p w:rsidR="009165ED" w:rsidRDefault="00DB4284" w:rsidP="009165ED">
      <w:pPr>
        <w:ind w:left="-360" w:right="42"/>
        <w:jc w:val="both"/>
        <w:rPr>
          <w:sz w:val="18"/>
          <w:szCs w:val="18"/>
        </w:rPr>
      </w:pPr>
      <w:r>
        <w:rPr>
          <w:sz w:val="18"/>
          <w:szCs w:val="18"/>
        </w:rPr>
        <w:t>Kaynak : TÜİ</w:t>
      </w:r>
      <w:r w:rsidR="009165ED">
        <w:rPr>
          <w:sz w:val="18"/>
          <w:szCs w:val="18"/>
        </w:rPr>
        <w:t xml:space="preserve">K </w:t>
      </w:r>
      <w:r w:rsidR="009165ED" w:rsidRPr="008C6E50">
        <w:rPr>
          <w:sz w:val="18"/>
          <w:szCs w:val="18"/>
        </w:rPr>
        <w:t xml:space="preserve">(sol taraf KKO ekseni, sağ taraf SÜE </w:t>
      </w:r>
    </w:p>
    <w:p w:rsidR="009165ED" w:rsidRPr="008C6E50" w:rsidRDefault="009165ED" w:rsidP="009165ED">
      <w:pPr>
        <w:ind w:left="-360" w:right="42"/>
        <w:jc w:val="both"/>
        <w:rPr>
          <w:sz w:val="18"/>
          <w:szCs w:val="18"/>
        </w:rPr>
      </w:pPr>
      <w:r w:rsidRPr="008C6E50">
        <w:rPr>
          <w:sz w:val="18"/>
          <w:szCs w:val="18"/>
        </w:rPr>
        <w:t>ekseni)</w:t>
      </w:r>
      <w:r>
        <w:rPr>
          <w:sz w:val="18"/>
          <w:szCs w:val="18"/>
        </w:rPr>
        <w:t>.</w:t>
      </w:r>
    </w:p>
    <w:p w:rsidR="00DB4284" w:rsidRDefault="009165ED" w:rsidP="00DB4284">
      <w:pPr>
        <w:ind w:left="-360" w:right="42"/>
        <w:jc w:val="both"/>
        <w:rPr>
          <w:b/>
          <w:bCs/>
          <w:sz w:val="22"/>
          <w:szCs w:val="22"/>
        </w:rPr>
      </w:pPr>
      <w:r>
        <w:rPr>
          <w:b/>
          <w:bCs/>
          <w:sz w:val="22"/>
          <w:szCs w:val="22"/>
        </w:rPr>
        <w:br/>
      </w:r>
      <w:r w:rsidR="00DB4284">
        <w:rPr>
          <w:b/>
          <w:bCs/>
          <w:sz w:val="22"/>
          <w:szCs w:val="22"/>
        </w:rPr>
        <w:t>Şekil 3</w:t>
      </w:r>
      <w:r w:rsidR="00DB4284" w:rsidRPr="008C6E50">
        <w:rPr>
          <w:b/>
          <w:bCs/>
          <w:sz w:val="22"/>
          <w:szCs w:val="22"/>
        </w:rPr>
        <w:t xml:space="preserve">: </w:t>
      </w:r>
      <w:r w:rsidR="00DB4284">
        <w:rPr>
          <w:b/>
          <w:bCs/>
          <w:sz w:val="22"/>
          <w:szCs w:val="22"/>
        </w:rPr>
        <w:t>Altın dahil cari açığın GSYH'a oranı, 12 aylık</w:t>
      </w:r>
    </w:p>
    <w:p w:rsidR="00DB4284" w:rsidRPr="007067F4" w:rsidRDefault="00DB4284" w:rsidP="00DB4284">
      <w:pPr>
        <w:ind w:left="-360" w:right="42"/>
        <w:jc w:val="both"/>
        <w:rPr>
          <w:b/>
          <w:bCs/>
          <w:sz w:val="8"/>
          <w:szCs w:val="8"/>
        </w:rPr>
      </w:pPr>
    </w:p>
    <w:p w:rsidR="00DB4284" w:rsidRPr="00CE2137" w:rsidRDefault="00DB4284" w:rsidP="00DB4284">
      <w:pPr>
        <w:ind w:left="-360" w:right="42"/>
        <w:jc w:val="both"/>
      </w:pPr>
      <w:r w:rsidRPr="00DB4284">
        <w:rPr>
          <w:noProof/>
        </w:rPr>
        <w:drawing>
          <wp:inline distT="0" distB="0" distL="0" distR="0">
            <wp:extent cx="2655570" cy="2235868"/>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655570" cy="2235868"/>
                    </a:xfrm>
                    <a:prstGeom prst="rect">
                      <a:avLst/>
                    </a:prstGeom>
                    <a:noFill/>
                    <a:ln w="9525">
                      <a:noFill/>
                      <a:miter lim="800000"/>
                      <a:headEnd/>
                      <a:tailEnd/>
                    </a:ln>
                  </pic:spPr>
                </pic:pic>
              </a:graphicData>
            </a:graphic>
          </wp:inline>
        </w:drawing>
      </w:r>
    </w:p>
    <w:p w:rsidR="00DB4284" w:rsidRPr="008C6E50" w:rsidRDefault="00DB4284" w:rsidP="00DB4284">
      <w:pPr>
        <w:ind w:left="-360" w:right="42"/>
        <w:jc w:val="both"/>
        <w:rPr>
          <w:sz w:val="18"/>
          <w:szCs w:val="18"/>
        </w:rPr>
      </w:pPr>
      <w:r>
        <w:rPr>
          <w:sz w:val="18"/>
          <w:szCs w:val="18"/>
        </w:rPr>
        <w:t>Kaynak : TCMB,TÜİK, Betam.</w:t>
      </w:r>
    </w:p>
    <w:p w:rsidR="00DB4284" w:rsidRDefault="00DB4284" w:rsidP="00DB4284">
      <w:pPr>
        <w:ind w:left="-360" w:right="42"/>
        <w:jc w:val="both"/>
        <w:rPr>
          <w:b/>
          <w:bCs/>
          <w:sz w:val="22"/>
          <w:szCs w:val="22"/>
        </w:rPr>
      </w:pPr>
      <w:r>
        <w:rPr>
          <w:b/>
          <w:bCs/>
          <w:sz w:val="22"/>
          <w:szCs w:val="22"/>
        </w:rPr>
        <w:br/>
      </w:r>
      <w:r>
        <w:rPr>
          <w:b/>
          <w:bCs/>
          <w:sz w:val="22"/>
          <w:szCs w:val="22"/>
        </w:rPr>
        <w:br/>
      </w:r>
      <w:r>
        <w:rPr>
          <w:b/>
          <w:bCs/>
          <w:sz w:val="22"/>
          <w:szCs w:val="22"/>
        </w:rPr>
        <w:br/>
      </w:r>
      <w:r w:rsidRPr="008C6E50">
        <w:rPr>
          <w:b/>
          <w:bCs/>
          <w:sz w:val="22"/>
          <w:szCs w:val="22"/>
        </w:rPr>
        <w:lastRenderedPageBreak/>
        <w:t>Şekil 2: İhracat ve ithalat miktar endeksleri (</w:t>
      </w:r>
      <w:r>
        <w:rPr>
          <w:b/>
          <w:bCs/>
          <w:sz w:val="22"/>
          <w:szCs w:val="22"/>
        </w:rPr>
        <w:t>mea</w:t>
      </w:r>
      <w:r w:rsidRPr="008C6E50">
        <w:rPr>
          <w:b/>
          <w:bCs/>
          <w:sz w:val="22"/>
          <w:szCs w:val="22"/>
        </w:rPr>
        <w:t>)</w:t>
      </w:r>
    </w:p>
    <w:p w:rsidR="00DB4284" w:rsidRPr="007067F4" w:rsidRDefault="00DB4284" w:rsidP="00DB4284">
      <w:pPr>
        <w:spacing w:line="360" w:lineRule="auto"/>
        <w:ind w:left="-360" w:right="42"/>
        <w:jc w:val="both"/>
        <w:rPr>
          <w:sz w:val="4"/>
          <w:szCs w:val="4"/>
        </w:rPr>
      </w:pPr>
    </w:p>
    <w:p w:rsidR="00DB4284" w:rsidRPr="00CE2137" w:rsidRDefault="00DB4284" w:rsidP="00DB4284">
      <w:pPr>
        <w:ind w:left="-360" w:right="42"/>
        <w:jc w:val="both"/>
      </w:pPr>
      <w:r w:rsidRPr="001A4381">
        <w:rPr>
          <w:noProof/>
        </w:rPr>
        <w:drawing>
          <wp:inline distT="0" distB="0" distL="0" distR="0">
            <wp:extent cx="2657475" cy="2242800"/>
            <wp:effectExtent l="19050" t="0" r="9525"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4"/>
                    <a:srcRect/>
                    <a:stretch>
                      <a:fillRect/>
                    </a:stretch>
                  </pic:blipFill>
                  <pic:spPr bwMode="auto">
                    <a:xfrm>
                      <a:off x="0" y="0"/>
                      <a:ext cx="2657475" cy="2242800"/>
                    </a:xfrm>
                    <a:prstGeom prst="rect">
                      <a:avLst/>
                    </a:prstGeom>
                    <a:noFill/>
                    <a:ln w="9525">
                      <a:noFill/>
                      <a:miter lim="800000"/>
                      <a:headEnd/>
                      <a:tailEnd/>
                    </a:ln>
                  </pic:spPr>
                </pic:pic>
              </a:graphicData>
            </a:graphic>
          </wp:inline>
        </w:drawing>
      </w:r>
    </w:p>
    <w:p w:rsidR="00DB4284" w:rsidRDefault="00DB4284" w:rsidP="00DB4284">
      <w:pPr>
        <w:ind w:left="-360" w:right="42"/>
        <w:jc w:val="both"/>
        <w:rPr>
          <w:sz w:val="18"/>
          <w:szCs w:val="18"/>
        </w:rPr>
      </w:pPr>
      <w:r>
        <w:rPr>
          <w:sz w:val="18"/>
          <w:szCs w:val="18"/>
        </w:rPr>
        <w:t>Kaynak : TÜİK.</w:t>
      </w:r>
    </w:p>
    <w:p w:rsidR="00DB4284" w:rsidRPr="008C6E50" w:rsidRDefault="00DB4284" w:rsidP="00DB4284">
      <w:pPr>
        <w:ind w:left="-360" w:right="42"/>
        <w:jc w:val="both"/>
        <w:rPr>
          <w:sz w:val="18"/>
          <w:szCs w:val="18"/>
        </w:rPr>
      </w:pPr>
    </w:p>
    <w:p w:rsidR="009165ED" w:rsidRDefault="009165ED" w:rsidP="009165ED">
      <w:pPr>
        <w:ind w:left="-360" w:right="42"/>
        <w:jc w:val="both"/>
        <w:rPr>
          <w:b/>
          <w:bCs/>
          <w:sz w:val="22"/>
          <w:szCs w:val="22"/>
        </w:rPr>
      </w:pPr>
      <w:r>
        <w:rPr>
          <w:b/>
          <w:bCs/>
          <w:sz w:val="22"/>
          <w:szCs w:val="22"/>
        </w:rPr>
        <w:br/>
      </w:r>
      <w:r w:rsidR="00DB4284">
        <w:rPr>
          <w:b/>
          <w:bCs/>
          <w:sz w:val="22"/>
          <w:szCs w:val="22"/>
        </w:rPr>
        <w:t>Şekil 4</w:t>
      </w:r>
      <w:r w:rsidRPr="008C6E50">
        <w:rPr>
          <w:b/>
          <w:bCs/>
          <w:sz w:val="22"/>
          <w:szCs w:val="22"/>
        </w:rPr>
        <w:t xml:space="preserve">: </w:t>
      </w:r>
      <w:r w:rsidR="00DB4284">
        <w:rPr>
          <w:b/>
          <w:bCs/>
          <w:sz w:val="22"/>
          <w:szCs w:val="22"/>
        </w:rPr>
        <w:t>Altın hariç cari açığın GSYH'a oranı, 12 aylık</w:t>
      </w:r>
    </w:p>
    <w:p w:rsidR="009165ED" w:rsidRPr="007067F4" w:rsidRDefault="009165ED" w:rsidP="009165ED">
      <w:pPr>
        <w:spacing w:line="360" w:lineRule="auto"/>
        <w:ind w:left="-360" w:right="42"/>
        <w:jc w:val="both"/>
        <w:rPr>
          <w:sz w:val="4"/>
          <w:szCs w:val="4"/>
        </w:rPr>
      </w:pPr>
    </w:p>
    <w:p w:rsidR="009165ED" w:rsidRPr="00CE2137" w:rsidRDefault="00DB4284" w:rsidP="009165ED">
      <w:pPr>
        <w:ind w:left="-360" w:right="42"/>
        <w:jc w:val="both"/>
      </w:pPr>
      <w:r w:rsidRPr="00DB4284">
        <w:rPr>
          <w:noProof/>
        </w:rPr>
        <w:drawing>
          <wp:inline distT="0" distB="0" distL="0" distR="0">
            <wp:extent cx="2655570" cy="2242311"/>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655570" cy="2242311"/>
                    </a:xfrm>
                    <a:prstGeom prst="rect">
                      <a:avLst/>
                    </a:prstGeom>
                    <a:noFill/>
                    <a:ln w="9525">
                      <a:noFill/>
                      <a:miter lim="800000"/>
                      <a:headEnd/>
                      <a:tailEnd/>
                    </a:ln>
                  </pic:spPr>
                </pic:pic>
              </a:graphicData>
            </a:graphic>
          </wp:inline>
        </w:drawing>
      </w:r>
    </w:p>
    <w:p w:rsidR="009165ED" w:rsidRPr="008C6E50" w:rsidRDefault="009165ED" w:rsidP="009165ED">
      <w:pPr>
        <w:ind w:left="-360" w:right="42"/>
        <w:jc w:val="both"/>
        <w:rPr>
          <w:sz w:val="18"/>
          <w:szCs w:val="18"/>
        </w:rPr>
      </w:pPr>
      <w:r>
        <w:rPr>
          <w:sz w:val="18"/>
          <w:szCs w:val="18"/>
        </w:rPr>
        <w:t xml:space="preserve">Kaynak : </w:t>
      </w:r>
      <w:r w:rsidR="00DB4284">
        <w:rPr>
          <w:sz w:val="18"/>
          <w:szCs w:val="18"/>
        </w:rPr>
        <w:t>TCMB, TÜİK, Betam.</w:t>
      </w:r>
    </w:p>
    <w:p w:rsidR="009165ED" w:rsidRDefault="009165ED" w:rsidP="009165ED">
      <w:pPr>
        <w:spacing w:line="360" w:lineRule="auto"/>
        <w:ind w:right="42"/>
        <w:jc w:val="both"/>
        <w:rPr>
          <w:sz w:val="22"/>
          <w:szCs w:val="22"/>
        </w:rPr>
        <w:sectPr w:rsidR="009165ED" w:rsidSect="007067F4">
          <w:type w:val="continuous"/>
          <w:pgSz w:w="11906" w:h="16838"/>
          <w:pgMar w:top="1417" w:right="1417" w:bottom="1417" w:left="1417" w:header="708" w:footer="708" w:gutter="0"/>
          <w:cols w:num="2" w:space="708" w:equalWidth="0">
            <w:col w:w="4182" w:space="708"/>
            <w:col w:w="4182"/>
          </w:cols>
          <w:docGrid w:linePitch="360"/>
        </w:sectPr>
      </w:pPr>
    </w:p>
    <w:p w:rsidR="009165ED" w:rsidRDefault="009165ED" w:rsidP="009165ED">
      <w:pPr>
        <w:spacing w:line="360" w:lineRule="auto"/>
        <w:ind w:left="-360" w:right="42"/>
        <w:jc w:val="both"/>
        <w:rPr>
          <w:b/>
          <w:bCs/>
          <w:sz w:val="22"/>
          <w:szCs w:val="22"/>
        </w:rPr>
      </w:pPr>
    </w:p>
    <w:p w:rsidR="009165ED" w:rsidRPr="00143024" w:rsidRDefault="009165ED" w:rsidP="009165ED">
      <w:pPr>
        <w:ind w:left="-360" w:right="42"/>
      </w:pPr>
      <w:r>
        <w:rPr>
          <w:sz w:val="18"/>
          <w:szCs w:val="18"/>
        </w:rPr>
        <w:tab/>
      </w:r>
      <w:r>
        <w:rPr>
          <w:sz w:val="18"/>
          <w:szCs w:val="18"/>
        </w:rPr>
        <w:tab/>
      </w:r>
      <w:r>
        <w:rPr>
          <w:sz w:val="18"/>
          <w:szCs w:val="18"/>
        </w:rPr>
        <w:tab/>
      </w:r>
    </w:p>
    <w:p w:rsidR="009165ED" w:rsidRDefault="009165ED" w:rsidP="009165ED">
      <w:pPr>
        <w:ind w:left="-360" w:right="42"/>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left="-360" w:right="42"/>
        <w:jc w:val="both"/>
        <w:rPr>
          <w:b/>
          <w:bCs/>
          <w:sz w:val="22"/>
          <w:szCs w:val="22"/>
        </w:rPr>
      </w:pPr>
    </w:p>
    <w:p w:rsidR="009165ED" w:rsidRDefault="009165ED" w:rsidP="009165ED">
      <w:pPr>
        <w:spacing w:line="360" w:lineRule="auto"/>
        <w:ind w:right="42"/>
        <w:jc w:val="both"/>
        <w:rPr>
          <w:b/>
          <w:bCs/>
          <w:sz w:val="22"/>
          <w:szCs w:val="22"/>
        </w:rPr>
      </w:pPr>
    </w:p>
    <w:p w:rsidR="009165ED" w:rsidRDefault="009165ED" w:rsidP="009165ED">
      <w:pPr>
        <w:spacing w:line="360" w:lineRule="auto"/>
        <w:ind w:right="42"/>
        <w:jc w:val="both"/>
        <w:rPr>
          <w:b/>
          <w:bCs/>
          <w:sz w:val="22"/>
          <w:szCs w:val="22"/>
        </w:rPr>
      </w:pPr>
    </w:p>
    <w:p w:rsidR="009165ED" w:rsidRDefault="009165ED" w:rsidP="009165ED">
      <w:pPr>
        <w:spacing w:line="360" w:lineRule="auto"/>
        <w:ind w:right="42"/>
        <w:jc w:val="both"/>
        <w:rPr>
          <w:b/>
          <w:bCs/>
          <w:sz w:val="22"/>
          <w:szCs w:val="22"/>
        </w:rPr>
      </w:pPr>
    </w:p>
    <w:p w:rsidR="009165ED" w:rsidRPr="00EC248D" w:rsidRDefault="00DB4284" w:rsidP="009165ED">
      <w:pPr>
        <w:spacing w:line="360" w:lineRule="auto"/>
        <w:ind w:left="-360" w:right="42"/>
        <w:jc w:val="both"/>
        <w:rPr>
          <w:b/>
          <w:bCs/>
          <w:sz w:val="22"/>
          <w:szCs w:val="22"/>
        </w:rPr>
      </w:pPr>
      <w:r>
        <w:rPr>
          <w:b/>
          <w:bCs/>
          <w:sz w:val="22"/>
          <w:szCs w:val="22"/>
        </w:rPr>
        <w:lastRenderedPageBreak/>
        <w:t>Şekil 5</w:t>
      </w:r>
      <w:r w:rsidR="009165ED">
        <w:rPr>
          <w:b/>
          <w:bCs/>
          <w:sz w:val="22"/>
          <w:szCs w:val="22"/>
        </w:rPr>
        <w:t>: B</w:t>
      </w:r>
      <w:r w:rsidR="009165ED" w:rsidRPr="00EC248D">
        <w:rPr>
          <w:b/>
          <w:bCs/>
          <w:sz w:val="22"/>
          <w:szCs w:val="22"/>
        </w:rPr>
        <w:t>ankalarca TL üzerinden açılan kredilere uygulanan ort</w:t>
      </w:r>
      <w:r w:rsidR="009165ED">
        <w:rPr>
          <w:b/>
          <w:bCs/>
          <w:sz w:val="22"/>
          <w:szCs w:val="22"/>
        </w:rPr>
        <w:t>a</w:t>
      </w:r>
      <w:r w:rsidR="009165ED" w:rsidRPr="00EC248D">
        <w:rPr>
          <w:b/>
          <w:bCs/>
          <w:sz w:val="22"/>
          <w:szCs w:val="22"/>
        </w:rPr>
        <w:t>lama faiz oranları</w:t>
      </w:r>
    </w:p>
    <w:p w:rsidR="009165ED" w:rsidRDefault="001A4381" w:rsidP="009165ED">
      <w:pPr>
        <w:ind w:left="-360" w:right="42"/>
        <w:rPr>
          <w:noProof/>
          <w:sz w:val="20"/>
          <w:szCs w:val="20"/>
        </w:rPr>
      </w:pPr>
      <w:r w:rsidRPr="001A4381">
        <w:rPr>
          <w:noProof/>
          <w:szCs w:val="20"/>
        </w:rPr>
        <w:drawing>
          <wp:inline distT="0" distB="0" distL="0" distR="0">
            <wp:extent cx="5760720" cy="2933536"/>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760720" cy="2933536"/>
                    </a:xfrm>
                    <a:prstGeom prst="rect">
                      <a:avLst/>
                    </a:prstGeom>
                    <a:noFill/>
                    <a:ln w="9525">
                      <a:noFill/>
                      <a:miter lim="800000"/>
                      <a:headEnd/>
                      <a:tailEnd/>
                    </a:ln>
                  </pic:spPr>
                </pic:pic>
              </a:graphicData>
            </a:graphic>
          </wp:inline>
        </w:drawing>
      </w:r>
    </w:p>
    <w:p w:rsidR="009165ED" w:rsidRDefault="009165ED" w:rsidP="009165ED">
      <w:pPr>
        <w:ind w:left="-360" w:right="42"/>
        <w:rPr>
          <w:sz w:val="18"/>
          <w:szCs w:val="18"/>
        </w:rPr>
      </w:pPr>
      <w:r w:rsidRPr="00CC41EB">
        <w:rPr>
          <w:sz w:val="18"/>
          <w:szCs w:val="18"/>
        </w:rPr>
        <w:t xml:space="preserve">Kaynak : </w:t>
      </w:r>
      <w:r>
        <w:rPr>
          <w:sz w:val="18"/>
          <w:szCs w:val="18"/>
        </w:rPr>
        <w:t>TCMB.</w:t>
      </w:r>
    </w:p>
    <w:p w:rsidR="009165ED" w:rsidRDefault="009165ED" w:rsidP="009165ED">
      <w:pPr>
        <w:ind w:left="-360" w:right="42"/>
        <w:rPr>
          <w:sz w:val="18"/>
          <w:szCs w:val="18"/>
        </w:rPr>
      </w:pPr>
    </w:p>
    <w:p w:rsidR="009165ED" w:rsidRDefault="009165ED" w:rsidP="009165ED">
      <w:pPr>
        <w:spacing w:line="276" w:lineRule="auto"/>
        <w:ind w:left="-360" w:right="42"/>
        <w:jc w:val="both"/>
        <w:rPr>
          <w:b/>
          <w:bCs/>
          <w:sz w:val="22"/>
          <w:szCs w:val="22"/>
        </w:rPr>
      </w:pPr>
    </w:p>
    <w:p w:rsidR="009165ED" w:rsidRPr="00C22309" w:rsidRDefault="00DB4284" w:rsidP="009165ED">
      <w:pPr>
        <w:spacing w:line="276" w:lineRule="auto"/>
        <w:ind w:left="-360" w:right="42"/>
        <w:jc w:val="both"/>
        <w:rPr>
          <w:b/>
          <w:bCs/>
          <w:sz w:val="22"/>
          <w:szCs w:val="22"/>
        </w:rPr>
      </w:pPr>
      <w:r>
        <w:rPr>
          <w:b/>
          <w:bCs/>
          <w:sz w:val="22"/>
          <w:szCs w:val="22"/>
        </w:rPr>
        <w:t>Şekil 6</w:t>
      </w:r>
      <w:r w:rsidR="009165ED">
        <w:rPr>
          <w:b/>
          <w:bCs/>
          <w:sz w:val="22"/>
          <w:szCs w:val="22"/>
        </w:rPr>
        <w:t>: 2012 ve 2013 yıllarında SÜE’nin bir önceki yılın aynı ayına göre artış oranları (takvim etkisinden arındırılmış)</w:t>
      </w:r>
    </w:p>
    <w:p w:rsidR="009165ED" w:rsidRDefault="009224F5" w:rsidP="009165ED">
      <w:pPr>
        <w:ind w:left="-360" w:right="42"/>
        <w:jc w:val="both"/>
        <w:rPr>
          <w:sz w:val="18"/>
          <w:szCs w:val="18"/>
        </w:rPr>
      </w:pPr>
      <w:r>
        <w:rPr>
          <w:noProof/>
          <w:szCs w:val="18"/>
        </w:rPr>
        <w:drawing>
          <wp:inline distT="0" distB="0" distL="0" distR="0">
            <wp:extent cx="5762625" cy="28003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5762625" cy="2800350"/>
                    </a:xfrm>
                    <a:prstGeom prst="rect">
                      <a:avLst/>
                    </a:prstGeom>
                    <a:noFill/>
                    <a:ln w="9525">
                      <a:noFill/>
                      <a:miter lim="800000"/>
                      <a:headEnd/>
                      <a:tailEnd/>
                    </a:ln>
                  </pic:spPr>
                </pic:pic>
              </a:graphicData>
            </a:graphic>
          </wp:inline>
        </w:drawing>
      </w:r>
    </w:p>
    <w:p w:rsidR="009165ED" w:rsidRDefault="009165ED" w:rsidP="009165ED">
      <w:pPr>
        <w:ind w:left="-360" w:right="42"/>
        <w:jc w:val="both"/>
        <w:rPr>
          <w:sz w:val="18"/>
          <w:szCs w:val="18"/>
        </w:rPr>
      </w:pPr>
      <w:r>
        <w:rPr>
          <w:sz w:val="18"/>
          <w:szCs w:val="18"/>
        </w:rPr>
        <w:t xml:space="preserve">Kaynak: TÜİK. </w:t>
      </w:r>
    </w:p>
    <w:p w:rsidR="001A319A" w:rsidRDefault="001A319A" w:rsidP="009165ED">
      <w:pPr>
        <w:spacing w:line="360" w:lineRule="auto"/>
        <w:ind w:right="42"/>
        <w:jc w:val="both"/>
        <w:rPr>
          <w:sz w:val="18"/>
          <w:szCs w:val="18"/>
        </w:rPr>
      </w:pPr>
    </w:p>
    <w:sectPr w:rsidR="001A319A" w:rsidSect="00E97382">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2BA" w:rsidRDefault="002E02BA">
      <w:r>
        <w:separator/>
      </w:r>
    </w:p>
  </w:endnote>
  <w:endnote w:type="continuationSeparator" w:id="1">
    <w:p w:rsidR="002E02BA" w:rsidRDefault="002E0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D3" w:rsidRDefault="002802F2" w:rsidP="00D830C4">
    <w:pPr>
      <w:pStyle w:val="Footer"/>
      <w:framePr w:wrap="auto" w:vAnchor="text" w:hAnchor="margin" w:xAlign="right" w:y="1"/>
      <w:rPr>
        <w:rStyle w:val="PageNumber"/>
      </w:rPr>
    </w:pPr>
    <w:r>
      <w:rPr>
        <w:rStyle w:val="PageNumber"/>
      </w:rPr>
      <w:fldChar w:fldCharType="begin"/>
    </w:r>
    <w:r w:rsidR="00054BD3">
      <w:rPr>
        <w:rStyle w:val="PageNumber"/>
      </w:rPr>
      <w:instrText xml:space="preserve">PAGE  </w:instrText>
    </w:r>
    <w:r>
      <w:rPr>
        <w:rStyle w:val="PageNumber"/>
      </w:rPr>
      <w:fldChar w:fldCharType="separate"/>
    </w:r>
    <w:r w:rsidR="00C711EC">
      <w:rPr>
        <w:rStyle w:val="PageNumber"/>
        <w:noProof/>
      </w:rPr>
      <w:t>4</w:t>
    </w:r>
    <w:r>
      <w:rPr>
        <w:rStyle w:val="PageNumber"/>
      </w:rPr>
      <w:fldChar w:fldCharType="end"/>
    </w:r>
  </w:p>
  <w:p w:rsidR="00054BD3" w:rsidRPr="007B51E3" w:rsidRDefault="00054BD3" w:rsidP="007B51E3">
    <w:pPr>
      <w:pStyle w:val="Footer"/>
      <w:ind w:right="360"/>
      <w:jc w:val="center"/>
      <w:rPr>
        <w:b/>
        <w:bCs/>
        <w:i/>
        <w:iCs/>
      </w:rPr>
    </w:pPr>
    <w:r w:rsidRPr="007B51E3">
      <w:rPr>
        <w:b/>
        <w:bCs/>
        <w:i/>
        <w:iCs/>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2BA" w:rsidRDefault="002E02BA">
      <w:r>
        <w:separator/>
      </w:r>
    </w:p>
  </w:footnote>
  <w:footnote w:type="continuationSeparator" w:id="1">
    <w:p w:rsidR="002E02BA" w:rsidRDefault="002E0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57ECC"/>
    <w:rsid w:val="0000014A"/>
    <w:rsid w:val="000015B4"/>
    <w:rsid w:val="00001CF9"/>
    <w:rsid w:val="0000230B"/>
    <w:rsid w:val="00004860"/>
    <w:rsid w:val="00004B78"/>
    <w:rsid w:val="0000507C"/>
    <w:rsid w:val="0000704D"/>
    <w:rsid w:val="0001121A"/>
    <w:rsid w:val="000117B7"/>
    <w:rsid w:val="000144EB"/>
    <w:rsid w:val="00017809"/>
    <w:rsid w:val="000205A1"/>
    <w:rsid w:val="000208EA"/>
    <w:rsid w:val="000212AC"/>
    <w:rsid w:val="000224B9"/>
    <w:rsid w:val="000233A7"/>
    <w:rsid w:val="00024559"/>
    <w:rsid w:val="000262EC"/>
    <w:rsid w:val="00026F21"/>
    <w:rsid w:val="00027FC3"/>
    <w:rsid w:val="00031D72"/>
    <w:rsid w:val="0003248D"/>
    <w:rsid w:val="00033700"/>
    <w:rsid w:val="00034090"/>
    <w:rsid w:val="0003546D"/>
    <w:rsid w:val="000449FC"/>
    <w:rsid w:val="00045C5A"/>
    <w:rsid w:val="00047B99"/>
    <w:rsid w:val="00047E9F"/>
    <w:rsid w:val="0005037D"/>
    <w:rsid w:val="00050453"/>
    <w:rsid w:val="00052AD4"/>
    <w:rsid w:val="00052D7A"/>
    <w:rsid w:val="00054BD3"/>
    <w:rsid w:val="00056118"/>
    <w:rsid w:val="00056B3E"/>
    <w:rsid w:val="00060119"/>
    <w:rsid w:val="00061256"/>
    <w:rsid w:val="00061732"/>
    <w:rsid w:val="00063005"/>
    <w:rsid w:val="00064636"/>
    <w:rsid w:val="0006518B"/>
    <w:rsid w:val="00065B3C"/>
    <w:rsid w:val="000716BA"/>
    <w:rsid w:val="000716CA"/>
    <w:rsid w:val="0007202B"/>
    <w:rsid w:val="00072407"/>
    <w:rsid w:val="00074648"/>
    <w:rsid w:val="00077A9D"/>
    <w:rsid w:val="00077FF4"/>
    <w:rsid w:val="00081E3F"/>
    <w:rsid w:val="00082FE4"/>
    <w:rsid w:val="000833C7"/>
    <w:rsid w:val="0008631D"/>
    <w:rsid w:val="0009059A"/>
    <w:rsid w:val="000925B3"/>
    <w:rsid w:val="00097E2B"/>
    <w:rsid w:val="000A292B"/>
    <w:rsid w:val="000A399E"/>
    <w:rsid w:val="000A687F"/>
    <w:rsid w:val="000A6907"/>
    <w:rsid w:val="000A701D"/>
    <w:rsid w:val="000A79A0"/>
    <w:rsid w:val="000B16FB"/>
    <w:rsid w:val="000B2409"/>
    <w:rsid w:val="000B2B47"/>
    <w:rsid w:val="000B2BF9"/>
    <w:rsid w:val="000B2E92"/>
    <w:rsid w:val="000B325E"/>
    <w:rsid w:val="000B3995"/>
    <w:rsid w:val="000B3C1E"/>
    <w:rsid w:val="000B41F3"/>
    <w:rsid w:val="000B42EA"/>
    <w:rsid w:val="000B50AD"/>
    <w:rsid w:val="000B50DE"/>
    <w:rsid w:val="000B6120"/>
    <w:rsid w:val="000B6127"/>
    <w:rsid w:val="000B7B77"/>
    <w:rsid w:val="000B7E94"/>
    <w:rsid w:val="000C5B7E"/>
    <w:rsid w:val="000C7B42"/>
    <w:rsid w:val="000D0C5A"/>
    <w:rsid w:val="000D17A2"/>
    <w:rsid w:val="000D1F14"/>
    <w:rsid w:val="000D56EB"/>
    <w:rsid w:val="000D5927"/>
    <w:rsid w:val="000E01ED"/>
    <w:rsid w:val="000E10A3"/>
    <w:rsid w:val="000E1F75"/>
    <w:rsid w:val="000E4E83"/>
    <w:rsid w:val="000E5365"/>
    <w:rsid w:val="000E631E"/>
    <w:rsid w:val="000E6807"/>
    <w:rsid w:val="000E74B5"/>
    <w:rsid w:val="000E7CBB"/>
    <w:rsid w:val="000F0C2B"/>
    <w:rsid w:val="000F2DB4"/>
    <w:rsid w:val="000F360E"/>
    <w:rsid w:val="000F396D"/>
    <w:rsid w:val="000F4941"/>
    <w:rsid w:val="000F5457"/>
    <w:rsid w:val="001007B5"/>
    <w:rsid w:val="00106470"/>
    <w:rsid w:val="001075D1"/>
    <w:rsid w:val="001105B2"/>
    <w:rsid w:val="001117C6"/>
    <w:rsid w:val="0011236C"/>
    <w:rsid w:val="0011279B"/>
    <w:rsid w:val="00113C74"/>
    <w:rsid w:val="00114BC7"/>
    <w:rsid w:val="00117A11"/>
    <w:rsid w:val="00121ABE"/>
    <w:rsid w:val="0012262F"/>
    <w:rsid w:val="00123E71"/>
    <w:rsid w:val="00125FC6"/>
    <w:rsid w:val="001260D7"/>
    <w:rsid w:val="001261A8"/>
    <w:rsid w:val="001267DF"/>
    <w:rsid w:val="00130959"/>
    <w:rsid w:val="0013240F"/>
    <w:rsid w:val="00132E7B"/>
    <w:rsid w:val="001331CB"/>
    <w:rsid w:val="0013381D"/>
    <w:rsid w:val="00135B92"/>
    <w:rsid w:val="001360D1"/>
    <w:rsid w:val="00141B88"/>
    <w:rsid w:val="00141B93"/>
    <w:rsid w:val="00143024"/>
    <w:rsid w:val="00143828"/>
    <w:rsid w:val="00143A92"/>
    <w:rsid w:val="00144285"/>
    <w:rsid w:val="00151BCF"/>
    <w:rsid w:val="0015370A"/>
    <w:rsid w:val="00154503"/>
    <w:rsid w:val="00154510"/>
    <w:rsid w:val="001553F2"/>
    <w:rsid w:val="0015586B"/>
    <w:rsid w:val="0015676E"/>
    <w:rsid w:val="00156914"/>
    <w:rsid w:val="00157DC2"/>
    <w:rsid w:val="001609FA"/>
    <w:rsid w:val="00160EF6"/>
    <w:rsid w:val="00161689"/>
    <w:rsid w:val="00162629"/>
    <w:rsid w:val="001632B0"/>
    <w:rsid w:val="0016401E"/>
    <w:rsid w:val="001653F9"/>
    <w:rsid w:val="00165552"/>
    <w:rsid w:val="00165C4C"/>
    <w:rsid w:val="00165C59"/>
    <w:rsid w:val="00165CB0"/>
    <w:rsid w:val="00166FE5"/>
    <w:rsid w:val="00167D69"/>
    <w:rsid w:val="00170502"/>
    <w:rsid w:val="00170CA9"/>
    <w:rsid w:val="00171424"/>
    <w:rsid w:val="00172263"/>
    <w:rsid w:val="00177FE3"/>
    <w:rsid w:val="0018034E"/>
    <w:rsid w:val="00180C8C"/>
    <w:rsid w:val="00181B5A"/>
    <w:rsid w:val="00182F2B"/>
    <w:rsid w:val="00183507"/>
    <w:rsid w:val="00183896"/>
    <w:rsid w:val="00186DB6"/>
    <w:rsid w:val="00190F20"/>
    <w:rsid w:val="0019159E"/>
    <w:rsid w:val="001938A7"/>
    <w:rsid w:val="0019538C"/>
    <w:rsid w:val="00197ACB"/>
    <w:rsid w:val="001A054B"/>
    <w:rsid w:val="001A2051"/>
    <w:rsid w:val="001A2B3D"/>
    <w:rsid w:val="001A319A"/>
    <w:rsid w:val="001A4381"/>
    <w:rsid w:val="001A45BC"/>
    <w:rsid w:val="001A528A"/>
    <w:rsid w:val="001A6188"/>
    <w:rsid w:val="001A6206"/>
    <w:rsid w:val="001A772F"/>
    <w:rsid w:val="001B0683"/>
    <w:rsid w:val="001B0EF9"/>
    <w:rsid w:val="001B1CE5"/>
    <w:rsid w:val="001B2F96"/>
    <w:rsid w:val="001B30E0"/>
    <w:rsid w:val="001B34B5"/>
    <w:rsid w:val="001B3B49"/>
    <w:rsid w:val="001B3C7B"/>
    <w:rsid w:val="001B6AFA"/>
    <w:rsid w:val="001C184E"/>
    <w:rsid w:val="001C62D3"/>
    <w:rsid w:val="001C7334"/>
    <w:rsid w:val="001D09B1"/>
    <w:rsid w:val="001D129A"/>
    <w:rsid w:val="001D1F1B"/>
    <w:rsid w:val="001D436C"/>
    <w:rsid w:val="001E0274"/>
    <w:rsid w:val="001E27F8"/>
    <w:rsid w:val="001E30C3"/>
    <w:rsid w:val="001E4BF5"/>
    <w:rsid w:val="001E5387"/>
    <w:rsid w:val="001E739D"/>
    <w:rsid w:val="001E7720"/>
    <w:rsid w:val="001F2761"/>
    <w:rsid w:val="001F4CFB"/>
    <w:rsid w:val="001F6F00"/>
    <w:rsid w:val="001F7144"/>
    <w:rsid w:val="001F71A5"/>
    <w:rsid w:val="001F7216"/>
    <w:rsid w:val="001F775A"/>
    <w:rsid w:val="0020167B"/>
    <w:rsid w:val="00204364"/>
    <w:rsid w:val="00206291"/>
    <w:rsid w:val="00207185"/>
    <w:rsid w:val="00207313"/>
    <w:rsid w:val="0020739E"/>
    <w:rsid w:val="00207C8A"/>
    <w:rsid w:val="00207CC3"/>
    <w:rsid w:val="0021766E"/>
    <w:rsid w:val="002176C5"/>
    <w:rsid w:val="00217D35"/>
    <w:rsid w:val="00220B5E"/>
    <w:rsid w:val="00223A5B"/>
    <w:rsid w:val="002242A1"/>
    <w:rsid w:val="00224908"/>
    <w:rsid w:val="00226D50"/>
    <w:rsid w:val="002272CB"/>
    <w:rsid w:val="00231E92"/>
    <w:rsid w:val="00232243"/>
    <w:rsid w:val="0023312F"/>
    <w:rsid w:val="00233D56"/>
    <w:rsid w:val="00237255"/>
    <w:rsid w:val="00243212"/>
    <w:rsid w:val="00245B1F"/>
    <w:rsid w:val="00251885"/>
    <w:rsid w:val="00251DE2"/>
    <w:rsid w:val="00251E82"/>
    <w:rsid w:val="00252FAF"/>
    <w:rsid w:val="00253D39"/>
    <w:rsid w:val="00254A99"/>
    <w:rsid w:val="002569EA"/>
    <w:rsid w:val="0026114C"/>
    <w:rsid w:val="002614C1"/>
    <w:rsid w:val="00261A05"/>
    <w:rsid w:val="00262020"/>
    <w:rsid w:val="00265BC9"/>
    <w:rsid w:val="002670FE"/>
    <w:rsid w:val="00267EB4"/>
    <w:rsid w:val="00273E62"/>
    <w:rsid w:val="00277E58"/>
    <w:rsid w:val="002802F2"/>
    <w:rsid w:val="002816C6"/>
    <w:rsid w:val="00281D8F"/>
    <w:rsid w:val="002820F1"/>
    <w:rsid w:val="00284A28"/>
    <w:rsid w:val="00285656"/>
    <w:rsid w:val="002871E8"/>
    <w:rsid w:val="00291C79"/>
    <w:rsid w:val="0029480C"/>
    <w:rsid w:val="00295AFF"/>
    <w:rsid w:val="00297712"/>
    <w:rsid w:val="002A05DB"/>
    <w:rsid w:val="002A1FA0"/>
    <w:rsid w:val="002A3EDD"/>
    <w:rsid w:val="002A49A3"/>
    <w:rsid w:val="002A5D22"/>
    <w:rsid w:val="002A66ED"/>
    <w:rsid w:val="002B3129"/>
    <w:rsid w:val="002B3644"/>
    <w:rsid w:val="002B626B"/>
    <w:rsid w:val="002C236E"/>
    <w:rsid w:val="002C25CE"/>
    <w:rsid w:val="002C2DA3"/>
    <w:rsid w:val="002C4200"/>
    <w:rsid w:val="002C49EC"/>
    <w:rsid w:val="002C5F2D"/>
    <w:rsid w:val="002C7D04"/>
    <w:rsid w:val="002D1908"/>
    <w:rsid w:val="002D2F1A"/>
    <w:rsid w:val="002D3C8B"/>
    <w:rsid w:val="002D4158"/>
    <w:rsid w:val="002D584B"/>
    <w:rsid w:val="002E02BA"/>
    <w:rsid w:val="002E0E16"/>
    <w:rsid w:val="002E1EA4"/>
    <w:rsid w:val="002E205D"/>
    <w:rsid w:val="002E41FC"/>
    <w:rsid w:val="002E6E82"/>
    <w:rsid w:val="002E6F28"/>
    <w:rsid w:val="002E6F87"/>
    <w:rsid w:val="002E7357"/>
    <w:rsid w:val="002E7860"/>
    <w:rsid w:val="002F150B"/>
    <w:rsid w:val="002F21C6"/>
    <w:rsid w:val="002F3718"/>
    <w:rsid w:val="002F4648"/>
    <w:rsid w:val="002F467E"/>
    <w:rsid w:val="002F5134"/>
    <w:rsid w:val="002F5C24"/>
    <w:rsid w:val="002F61A9"/>
    <w:rsid w:val="003001AF"/>
    <w:rsid w:val="0030120F"/>
    <w:rsid w:val="00303A3C"/>
    <w:rsid w:val="003044A5"/>
    <w:rsid w:val="003051E6"/>
    <w:rsid w:val="00306F51"/>
    <w:rsid w:val="0031043B"/>
    <w:rsid w:val="003118F7"/>
    <w:rsid w:val="00312DB8"/>
    <w:rsid w:val="00312EB0"/>
    <w:rsid w:val="003134C3"/>
    <w:rsid w:val="003142BA"/>
    <w:rsid w:val="003146E6"/>
    <w:rsid w:val="0031673E"/>
    <w:rsid w:val="0031682C"/>
    <w:rsid w:val="00316CE9"/>
    <w:rsid w:val="00316DB4"/>
    <w:rsid w:val="003208B4"/>
    <w:rsid w:val="00320F7D"/>
    <w:rsid w:val="003223B0"/>
    <w:rsid w:val="00323169"/>
    <w:rsid w:val="00323CA6"/>
    <w:rsid w:val="00324A91"/>
    <w:rsid w:val="00324C15"/>
    <w:rsid w:val="003269F7"/>
    <w:rsid w:val="0033129D"/>
    <w:rsid w:val="00332DBD"/>
    <w:rsid w:val="00333B98"/>
    <w:rsid w:val="00337AE5"/>
    <w:rsid w:val="0034025B"/>
    <w:rsid w:val="00341195"/>
    <w:rsid w:val="0034251A"/>
    <w:rsid w:val="00342E6B"/>
    <w:rsid w:val="00344555"/>
    <w:rsid w:val="00344F97"/>
    <w:rsid w:val="0034543C"/>
    <w:rsid w:val="003466B0"/>
    <w:rsid w:val="00347FA0"/>
    <w:rsid w:val="0035343B"/>
    <w:rsid w:val="003545A8"/>
    <w:rsid w:val="003552A4"/>
    <w:rsid w:val="00356020"/>
    <w:rsid w:val="00356266"/>
    <w:rsid w:val="003578FF"/>
    <w:rsid w:val="00357987"/>
    <w:rsid w:val="00357C3B"/>
    <w:rsid w:val="00357ECC"/>
    <w:rsid w:val="003622FF"/>
    <w:rsid w:val="00362436"/>
    <w:rsid w:val="00362D77"/>
    <w:rsid w:val="003634C2"/>
    <w:rsid w:val="00363ECE"/>
    <w:rsid w:val="00365B7D"/>
    <w:rsid w:val="00366A30"/>
    <w:rsid w:val="00375126"/>
    <w:rsid w:val="00375CC6"/>
    <w:rsid w:val="00376AC1"/>
    <w:rsid w:val="00382F97"/>
    <w:rsid w:val="0038488E"/>
    <w:rsid w:val="00385F45"/>
    <w:rsid w:val="00390136"/>
    <w:rsid w:val="00394F60"/>
    <w:rsid w:val="00395F95"/>
    <w:rsid w:val="00396CE9"/>
    <w:rsid w:val="00397518"/>
    <w:rsid w:val="003A2B60"/>
    <w:rsid w:val="003A2C52"/>
    <w:rsid w:val="003A31B2"/>
    <w:rsid w:val="003A3575"/>
    <w:rsid w:val="003A3A61"/>
    <w:rsid w:val="003A78A3"/>
    <w:rsid w:val="003B00C3"/>
    <w:rsid w:val="003B0F7E"/>
    <w:rsid w:val="003B199A"/>
    <w:rsid w:val="003B1BE8"/>
    <w:rsid w:val="003B2FC4"/>
    <w:rsid w:val="003B472B"/>
    <w:rsid w:val="003B5209"/>
    <w:rsid w:val="003B65FB"/>
    <w:rsid w:val="003B757A"/>
    <w:rsid w:val="003C2B2A"/>
    <w:rsid w:val="003C2BAF"/>
    <w:rsid w:val="003C3188"/>
    <w:rsid w:val="003C640D"/>
    <w:rsid w:val="003C6C41"/>
    <w:rsid w:val="003C7051"/>
    <w:rsid w:val="003D0AB6"/>
    <w:rsid w:val="003D0E64"/>
    <w:rsid w:val="003D1BAD"/>
    <w:rsid w:val="003D7D0B"/>
    <w:rsid w:val="003D7E7F"/>
    <w:rsid w:val="003E4DF6"/>
    <w:rsid w:val="003E5EC3"/>
    <w:rsid w:val="003F1E42"/>
    <w:rsid w:val="003F503B"/>
    <w:rsid w:val="003F60C0"/>
    <w:rsid w:val="003F6C96"/>
    <w:rsid w:val="003F7185"/>
    <w:rsid w:val="003F7D4B"/>
    <w:rsid w:val="0040061A"/>
    <w:rsid w:val="00402158"/>
    <w:rsid w:val="00402270"/>
    <w:rsid w:val="004074ED"/>
    <w:rsid w:val="00412C49"/>
    <w:rsid w:val="00414443"/>
    <w:rsid w:val="00415FC4"/>
    <w:rsid w:val="00417092"/>
    <w:rsid w:val="00417568"/>
    <w:rsid w:val="00421D0B"/>
    <w:rsid w:val="00422927"/>
    <w:rsid w:val="004229DE"/>
    <w:rsid w:val="004239AE"/>
    <w:rsid w:val="00423E8F"/>
    <w:rsid w:val="004251B6"/>
    <w:rsid w:val="004259B8"/>
    <w:rsid w:val="00425C5D"/>
    <w:rsid w:val="004269DA"/>
    <w:rsid w:val="00432F82"/>
    <w:rsid w:val="00434618"/>
    <w:rsid w:val="00434B76"/>
    <w:rsid w:val="00435FF5"/>
    <w:rsid w:val="0043681C"/>
    <w:rsid w:val="00440820"/>
    <w:rsid w:val="004441AD"/>
    <w:rsid w:val="00444DA6"/>
    <w:rsid w:val="004466EA"/>
    <w:rsid w:val="004475A9"/>
    <w:rsid w:val="0044794F"/>
    <w:rsid w:val="00447CD2"/>
    <w:rsid w:val="00450723"/>
    <w:rsid w:val="00453D77"/>
    <w:rsid w:val="00454313"/>
    <w:rsid w:val="00454965"/>
    <w:rsid w:val="00461612"/>
    <w:rsid w:val="0046178B"/>
    <w:rsid w:val="00462314"/>
    <w:rsid w:val="00462E07"/>
    <w:rsid w:val="0046331C"/>
    <w:rsid w:val="00463512"/>
    <w:rsid w:val="0046362C"/>
    <w:rsid w:val="00463BBF"/>
    <w:rsid w:val="00466C2F"/>
    <w:rsid w:val="004701D0"/>
    <w:rsid w:val="00470E4D"/>
    <w:rsid w:val="00474C08"/>
    <w:rsid w:val="00474D75"/>
    <w:rsid w:val="004764CC"/>
    <w:rsid w:val="004764EE"/>
    <w:rsid w:val="00476D76"/>
    <w:rsid w:val="004771EB"/>
    <w:rsid w:val="004814F0"/>
    <w:rsid w:val="00482771"/>
    <w:rsid w:val="00483180"/>
    <w:rsid w:val="00483C58"/>
    <w:rsid w:val="00484222"/>
    <w:rsid w:val="00485F46"/>
    <w:rsid w:val="00494345"/>
    <w:rsid w:val="004A0D43"/>
    <w:rsid w:val="004A1818"/>
    <w:rsid w:val="004A4E4F"/>
    <w:rsid w:val="004A56E7"/>
    <w:rsid w:val="004A7750"/>
    <w:rsid w:val="004A7FE6"/>
    <w:rsid w:val="004B0B90"/>
    <w:rsid w:val="004B30FB"/>
    <w:rsid w:val="004B3F80"/>
    <w:rsid w:val="004B40EE"/>
    <w:rsid w:val="004C0A8D"/>
    <w:rsid w:val="004C2024"/>
    <w:rsid w:val="004C25F6"/>
    <w:rsid w:val="004D100D"/>
    <w:rsid w:val="004D3901"/>
    <w:rsid w:val="004D3F5D"/>
    <w:rsid w:val="004D67C5"/>
    <w:rsid w:val="004D6E34"/>
    <w:rsid w:val="004D7E65"/>
    <w:rsid w:val="004E00D0"/>
    <w:rsid w:val="004E07DC"/>
    <w:rsid w:val="004E0851"/>
    <w:rsid w:val="004E0939"/>
    <w:rsid w:val="004E1AB5"/>
    <w:rsid w:val="004E1AE2"/>
    <w:rsid w:val="004E5446"/>
    <w:rsid w:val="004F059F"/>
    <w:rsid w:val="004F1352"/>
    <w:rsid w:val="004F55F8"/>
    <w:rsid w:val="004F6ACE"/>
    <w:rsid w:val="004F7447"/>
    <w:rsid w:val="004F76D9"/>
    <w:rsid w:val="00505141"/>
    <w:rsid w:val="005066A2"/>
    <w:rsid w:val="00506CD9"/>
    <w:rsid w:val="00511EF3"/>
    <w:rsid w:val="00512AE9"/>
    <w:rsid w:val="00513FBF"/>
    <w:rsid w:val="00516576"/>
    <w:rsid w:val="0051750C"/>
    <w:rsid w:val="00522063"/>
    <w:rsid w:val="00522ED0"/>
    <w:rsid w:val="00523C58"/>
    <w:rsid w:val="005253A2"/>
    <w:rsid w:val="0052557E"/>
    <w:rsid w:val="00526CC9"/>
    <w:rsid w:val="0052770E"/>
    <w:rsid w:val="005310F8"/>
    <w:rsid w:val="0053163F"/>
    <w:rsid w:val="00534CA7"/>
    <w:rsid w:val="00535BAD"/>
    <w:rsid w:val="00536008"/>
    <w:rsid w:val="00536B3B"/>
    <w:rsid w:val="00537DBB"/>
    <w:rsid w:val="005429D2"/>
    <w:rsid w:val="005435C8"/>
    <w:rsid w:val="00543E56"/>
    <w:rsid w:val="00544A5C"/>
    <w:rsid w:val="005470EC"/>
    <w:rsid w:val="00552380"/>
    <w:rsid w:val="00556328"/>
    <w:rsid w:val="00563399"/>
    <w:rsid w:val="0056591F"/>
    <w:rsid w:val="00571282"/>
    <w:rsid w:val="00573C3B"/>
    <w:rsid w:val="00574E1B"/>
    <w:rsid w:val="00583974"/>
    <w:rsid w:val="0058722C"/>
    <w:rsid w:val="0058799A"/>
    <w:rsid w:val="00587F62"/>
    <w:rsid w:val="00590149"/>
    <w:rsid w:val="00592FD2"/>
    <w:rsid w:val="00593B80"/>
    <w:rsid w:val="00596A1C"/>
    <w:rsid w:val="00596FDB"/>
    <w:rsid w:val="005A06D3"/>
    <w:rsid w:val="005A0AF8"/>
    <w:rsid w:val="005A1E77"/>
    <w:rsid w:val="005A2B2E"/>
    <w:rsid w:val="005A3E49"/>
    <w:rsid w:val="005A4714"/>
    <w:rsid w:val="005A47EC"/>
    <w:rsid w:val="005B551F"/>
    <w:rsid w:val="005B5D93"/>
    <w:rsid w:val="005B66C8"/>
    <w:rsid w:val="005C0A9A"/>
    <w:rsid w:val="005C11DE"/>
    <w:rsid w:val="005C28BC"/>
    <w:rsid w:val="005C4EA4"/>
    <w:rsid w:val="005D0287"/>
    <w:rsid w:val="005D0AD6"/>
    <w:rsid w:val="005D39F3"/>
    <w:rsid w:val="005D7E62"/>
    <w:rsid w:val="005E0596"/>
    <w:rsid w:val="005E13DF"/>
    <w:rsid w:val="005E1D9A"/>
    <w:rsid w:val="005E2983"/>
    <w:rsid w:val="005E3EE4"/>
    <w:rsid w:val="005F03CC"/>
    <w:rsid w:val="005F2063"/>
    <w:rsid w:val="005F2279"/>
    <w:rsid w:val="005F2A5B"/>
    <w:rsid w:val="005F31BE"/>
    <w:rsid w:val="005F36AB"/>
    <w:rsid w:val="005F700B"/>
    <w:rsid w:val="006007C7"/>
    <w:rsid w:val="00600B5F"/>
    <w:rsid w:val="00600FFC"/>
    <w:rsid w:val="006015A3"/>
    <w:rsid w:val="00602BC6"/>
    <w:rsid w:val="00602EB0"/>
    <w:rsid w:val="00603311"/>
    <w:rsid w:val="00603C6D"/>
    <w:rsid w:val="006040ED"/>
    <w:rsid w:val="00604415"/>
    <w:rsid w:val="006079B9"/>
    <w:rsid w:val="00613A11"/>
    <w:rsid w:val="00613B72"/>
    <w:rsid w:val="0061706E"/>
    <w:rsid w:val="0062291A"/>
    <w:rsid w:val="00622AA8"/>
    <w:rsid w:val="00623B31"/>
    <w:rsid w:val="00623C7E"/>
    <w:rsid w:val="0062575D"/>
    <w:rsid w:val="0063164E"/>
    <w:rsid w:val="006335A2"/>
    <w:rsid w:val="00635FF5"/>
    <w:rsid w:val="0064166F"/>
    <w:rsid w:val="00643C4C"/>
    <w:rsid w:val="00644764"/>
    <w:rsid w:val="0064549C"/>
    <w:rsid w:val="0064601A"/>
    <w:rsid w:val="00647676"/>
    <w:rsid w:val="00647DB4"/>
    <w:rsid w:val="006502E3"/>
    <w:rsid w:val="00655823"/>
    <w:rsid w:val="00660F48"/>
    <w:rsid w:val="0066619C"/>
    <w:rsid w:val="00670A74"/>
    <w:rsid w:val="006713C0"/>
    <w:rsid w:val="006717CE"/>
    <w:rsid w:val="00674304"/>
    <w:rsid w:val="00674779"/>
    <w:rsid w:val="00676D51"/>
    <w:rsid w:val="00676EAB"/>
    <w:rsid w:val="0067747F"/>
    <w:rsid w:val="00680C1A"/>
    <w:rsid w:val="006811DC"/>
    <w:rsid w:val="006836A7"/>
    <w:rsid w:val="00683A24"/>
    <w:rsid w:val="006868AD"/>
    <w:rsid w:val="00691D96"/>
    <w:rsid w:val="00692D34"/>
    <w:rsid w:val="00693B96"/>
    <w:rsid w:val="00695F24"/>
    <w:rsid w:val="00696507"/>
    <w:rsid w:val="0069776E"/>
    <w:rsid w:val="006A2CBF"/>
    <w:rsid w:val="006A507F"/>
    <w:rsid w:val="006A53AA"/>
    <w:rsid w:val="006A7193"/>
    <w:rsid w:val="006B08B4"/>
    <w:rsid w:val="006B12C5"/>
    <w:rsid w:val="006B1F6D"/>
    <w:rsid w:val="006B2978"/>
    <w:rsid w:val="006B30D5"/>
    <w:rsid w:val="006B4323"/>
    <w:rsid w:val="006B6367"/>
    <w:rsid w:val="006C034B"/>
    <w:rsid w:val="006C2AB7"/>
    <w:rsid w:val="006C372B"/>
    <w:rsid w:val="006C4184"/>
    <w:rsid w:val="006C6C6F"/>
    <w:rsid w:val="006C74FB"/>
    <w:rsid w:val="006D416F"/>
    <w:rsid w:val="006E0C79"/>
    <w:rsid w:val="006E3384"/>
    <w:rsid w:val="006E4051"/>
    <w:rsid w:val="006E480B"/>
    <w:rsid w:val="006E5E68"/>
    <w:rsid w:val="006F0B18"/>
    <w:rsid w:val="006F1A82"/>
    <w:rsid w:val="006F2049"/>
    <w:rsid w:val="006F278A"/>
    <w:rsid w:val="006F33D4"/>
    <w:rsid w:val="006F3608"/>
    <w:rsid w:val="006F3ECA"/>
    <w:rsid w:val="006F7FE6"/>
    <w:rsid w:val="00701A0C"/>
    <w:rsid w:val="00702DFC"/>
    <w:rsid w:val="007037E4"/>
    <w:rsid w:val="0070556E"/>
    <w:rsid w:val="00705CE7"/>
    <w:rsid w:val="007067F4"/>
    <w:rsid w:val="0070704B"/>
    <w:rsid w:val="007103A2"/>
    <w:rsid w:val="00712041"/>
    <w:rsid w:val="007169B6"/>
    <w:rsid w:val="00724574"/>
    <w:rsid w:val="00725236"/>
    <w:rsid w:val="0072768C"/>
    <w:rsid w:val="007323C8"/>
    <w:rsid w:val="007343EE"/>
    <w:rsid w:val="0073536D"/>
    <w:rsid w:val="007357A6"/>
    <w:rsid w:val="0074346F"/>
    <w:rsid w:val="00745E22"/>
    <w:rsid w:val="0074648A"/>
    <w:rsid w:val="00747A9B"/>
    <w:rsid w:val="0075074A"/>
    <w:rsid w:val="007522D9"/>
    <w:rsid w:val="00752330"/>
    <w:rsid w:val="00753469"/>
    <w:rsid w:val="0075405B"/>
    <w:rsid w:val="00755D28"/>
    <w:rsid w:val="0075696F"/>
    <w:rsid w:val="007633AA"/>
    <w:rsid w:val="007652AE"/>
    <w:rsid w:val="00767D6E"/>
    <w:rsid w:val="00770580"/>
    <w:rsid w:val="00770D1C"/>
    <w:rsid w:val="007750EF"/>
    <w:rsid w:val="00776484"/>
    <w:rsid w:val="007806C4"/>
    <w:rsid w:val="00781E83"/>
    <w:rsid w:val="00781ECE"/>
    <w:rsid w:val="00783C9A"/>
    <w:rsid w:val="00783CDF"/>
    <w:rsid w:val="00785375"/>
    <w:rsid w:val="007906E2"/>
    <w:rsid w:val="00790FFD"/>
    <w:rsid w:val="007956C2"/>
    <w:rsid w:val="007975D4"/>
    <w:rsid w:val="00797B31"/>
    <w:rsid w:val="007A311A"/>
    <w:rsid w:val="007A35F3"/>
    <w:rsid w:val="007A36DD"/>
    <w:rsid w:val="007A6307"/>
    <w:rsid w:val="007A69DC"/>
    <w:rsid w:val="007B19BC"/>
    <w:rsid w:val="007B1EEE"/>
    <w:rsid w:val="007B4C7C"/>
    <w:rsid w:val="007B51E3"/>
    <w:rsid w:val="007B579E"/>
    <w:rsid w:val="007B6D85"/>
    <w:rsid w:val="007B7BF7"/>
    <w:rsid w:val="007C31F8"/>
    <w:rsid w:val="007C3C2B"/>
    <w:rsid w:val="007C3C78"/>
    <w:rsid w:val="007C3F82"/>
    <w:rsid w:val="007C5E78"/>
    <w:rsid w:val="007D02A6"/>
    <w:rsid w:val="007D0625"/>
    <w:rsid w:val="007D3176"/>
    <w:rsid w:val="007D3E0C"/>
    <w:rsid w:val="007D5551"/>
    <w:rsid w:val="007D5CAE"/>
    <w:rsid w:val="007D604E"/>
    <w:rsid w:val="007D745B"/>
    <w:rsid w:val="007E10C4"/>
    <w:rsid w:val="007E13CA"/>
    <w:rsid w:val="007E182F"/>
    <w:rsid w:val="007E1D25"/>
    <w:rsid w:val="007E276E"/>
    <w:rsid w:val="007E5E9A"/>
    <w:rsid w:val="007E6A0D"/>
    <w:rsid w:val="007F1E8F"/>
    <w:rsid w:val="007F4136"/>
    <w:rsid w:val="007F4F91"/>
    <w:rsid w:val="007F50E5"/>
    <w:rsid w:val="007F681A"/>
    <w:rsid w:val="00801F91"/>
    <w:rsid w:val="00804CB9"/>
    <w:rsid w:val="00805A82"/>
    <w:rsid w:val="00807D3E"/>
    <w:rsid w:val="00814196"/>
    <w:rsid w:val="00814DA3"/>
    <w:rsid w:val="00815549"/>
    <w:rsid w:val="008161FE"/>
    <w:rsid w:val="00816C3F"/>
    <w:rsid w:val="00817438"/>
    <w:rsid w:val="00820F9B"/>
    <w:rsid w:val="00821B78"/>
    <w:rsid w:val="00822C11"/>
    <w:rsid w:val="00823931"/>
    <w:rsid w:val="00825F84"/>
    <w:rsid w:val="0082670B"/>
    <w:rsid w:val="00826C7D"/>
    <w:rsid w:val="00826E1D"/>
    <w:rsid w:val="008275B7"/>
    <w:rsid w:val="00830339"/>
    <w:rsid w:val="008322F7"/>
    <w:rsid w:val="008332DD"/>
    <w:rsid w:val="00833B68"/>
    <w:rsid w:val="00833EB5"/>
    <w:rsid w:val="00835E44"/>
    <w:rsid w:val="008372B3"/>
    <w:rsid w:val="008400B9"/>
    <w:rsid w:val="00842957"/>
    <w:rsid w:val="0084320B"/>
    <w:rsid w:val="008432FC"/>
    <w:rsid w:val="00844517"/>
    <w:rsid w:val="008446FE"/>
    <w:rsid w:val="0085533A"/>
    <w:rsid w:val="00856509"/>
    <w:rsid w:val="00860D72"/>
    <w:rsid w:val="00860E25"/>
    <w:rsid w:val="00860E50"/>
    <w:rsid w:val="00862B92"/>
    <w:rsid w:val="00864323"/>
    <w:rsid w:val="008646F5"/>
    <w:rsid w:val="008651A8"/>
    <w:rsid w:val="00870A39"/>
    <w:rsid w:val="0088522E"/>
    <w:rsid w:val="00885634"/>
    <w:rsid w:val="00885D0C"/>
    <w:rsid w:val="0089029A"/>
    <w:rsid w:val="00890713"/>
    <w:rsid w:val="00892423"/>
    <w:rsid w:val="00893282"/>
    <w:rsid w:val="008937F7"/>
    <w:rsid w:val="00893BD5"/>
    <w:rsid w:val="00893EE3"/>
    <w:rsid w:val="00895DD8"/>
    <w:rsid w:val="008A0F64"/>
    <w:rsid w:val="008A25ED"/>
    <w:rsid w:val="008A34AA"/>
    <w:rsid w:val="008A38AB"/>
    <w:rsid w:val="008A74B0"/>
    <w:rsid w:val="008B0C8D"/>
    <w:rsid w:val="008B1D17"/>
    <w:rsid w:val="008B20AA"/>
    <w:rsid w:val="008B372B"/>
    <w:rsid w:val="008B39CE"/>
    <w:rsid w:val="008B7181"/>
    <w:rsid w:val="008B7A03"/>
    <w:rsid w:val="008C0DBE"/>
    <w:rsid w:val="008C17F4"/>
    <w:rsid w:val="008C1D9F"/>
    <w:rsid w:val="008C2C95"/>
    <w:rsid w:val="008C2D0B"/>
    <w:rsid w:val="008C2D77"/>
    <w:rsid w:val="008C6252"/>
    <w:rsid w:val="008C6E50"/>
    <w:rsid w:val="008D28DD"/>
    <w:rsid w:val="008D3976"/>
    <w:rsid w:val="008E2216"/>
    <w:rsid w:val="008E252E"/>
    <w:rsid w:val="008E31DD"/>
    <w:rsid w:val="008E339A"/>
    <w:rsid w:val="008E4779"/>
    <w:rsid w:val="008E4DDE"/>
    <w:rsid w:val="008E63CB"/>
    <w:rsid w:val="008E7B64"/>
    <w:rsid w:val="008F4166"/>
    <w:rsid w:val="008F6889"/>
    <w:rsid w:val="00900BD4"/>
    <w:rsid w:val="009010CB"/>
    <w:rsid w:val="00901189"/>
    <w:rsid w:val="009014BB"/>
    <w:rsid w:val="00901532"/>
    <w:rsid w:val="00902C59"/>
    <w:rsid w:val="00903097"/>
    <w:rsid w:val="00905111"/>
    <w:rsid w:val="00906149"/>
    <w:rsid w:val="00906F88"/>
    <w:rsid w:val="00910940"/>
    <w:rsid w:val="009125B5"/>
    <w:rsid w:val="00914DE2"/>
    <w:rsid w:val="009158BC"/>
    <w:rsid w:val="009165ED"/>
    <w:rsid w:val="00916619"/>
    <w:rsid w:val="00917893"/>
    <w:rsid w:val="009224F5"/>
    <w:rsid w:val="00922C21"/>
    <w:rsid w:val="00923AE7"/>
    <w:rsid w:val="00923BA4"/>
    <w:rsid w:val="00924D1B"/>
    <w:rsid w:val="0092546B"/>
    <w:rsid w:val="00934BE6"/>
    <w:rsid w:val="00935355"/>
    <w:rsid w:val="0093560C"/>
    <w:rsid w:val="00936426"/>
    <w:rsid w:val="00936733"/>
    <w:rsid w:val="00937243"/>
    <w:rsid w:val="00944BB8"/>
    <w:rsid w:val="00946534"/>
    <w:rsid w:val="00947DB1"/>
    <w:rsid w:val="00952B02"/>
    <w:rsid w:val="00953B15"/>
    <w:rsid w:val="00953CFA"/>
    <w:rsid w:val="00953ED7"/>
    <w:rsid w:val="00963AB5"/>
    <w:rsid w:val="00964F65"/>
    <w:rsid w:val="00965891"/>
    <w:rsid w:val="00965C0E"/>
    <w:rsid w:val="00966E7C"/>
    <w:rsid w:val="00970E4E"/>
    <w:rsid w:val="00971D26"/>
    <w:rsid w:val="00973503"/>
    <w:rsid w:val="0097445D"/>
    <w:rsid w:val="00974C42"/>
    <w:rsid w:val="00977548"/>
    <w:rsid w:val="0097770C"/>
    <w:rsid w:val="009805A1"/>
    <w:rsid w:val="00983748"/>
    <w:rsid w:val="00985758"/>
    <w:rsid w:val="00985C16"/>
    <w:rsid w:val="00985C5E"/>
    <w:rsid w:val="00987648"/>
    <w:rsid w:val="00990455"/>
    <w:rsid w:val="00991D31"/>
    <w:rsid w:val="00993CD6"/>
    <w:rsid w:val="009946C1"/>
    <w:rsid w:val="00995F40"/>
    <w:rsid w:val="00996D4F"/>
    <w:rsid w:val="009A1DF2"/>
    <w:rsid w:val="009A6149"/>
    <w:rsid w:val="009A67E1"/>
    <w:rsid w:val="009B0086"/>
    <w:rsid w:val="009B1351"/>
    <w:rsid w:val="009B2429"/>
    <w:rsid w:val="009B2569"/>
    <w:rsid w:val="009B3130"/>
    <w:rsid w:val="009B33E7"/>
    <w:rsid w:val="009B43D6"/>
    <w:rsid w:val="009B51E4"/>
    <w:rsid w:val="009B5AF5"/>
    <w:rsid w:val="009B6C3A"/>
    <w:rsid w:val="009C1700"/>
    <w:rsid w:val="009C3D1C"/>
    <w:rsid w:val="009C5A53"/>
    <w:rsid w:val="009C5B58"/>
    <w:rsid w:val="009D1323"/>
    <w:rsid w:val="009D24A5"/>
    <w:rsid w:val="009D30C5"/>
    <w:rsid w:val="009D3B55"/>
    <w:rsid w:val="009D42E8"/>
    <w:rsid w:val="009D54DD"/>
    <w:rsid w:val="009D7D1D"/>
    <w:rsid w:val="009E001E"/>
    <w:rsid w:val="009E04AB"/>
    <w:rsid w:val="009E2A57"/>
    <w:rsid w:val="009E4B4A"/>
    <w:rsid w:val="009F0111"/>
    <w:rsid w:val="009F3AF4"/>
    <w:rsid w:val="009F44C0"/>
    <w:rsid w:val="009F4848"/>
    <w:rsid w:val="009F48FB"/>
    <w:rsid w:val="009F6003"/>
    <w:rsid w:val="00A005E9"/>
    <w:rsid w:val="00A007F2"/>
    <w:rsid w:val="00A0089E"/>
    <w:rsid w:val="00A0243A"/>
    <w:rsid w:val="00A05AB1"/>
    <w:rsid w:val="00A05DEF"/>
    <w:rsid w:val="00A06C55"/>
    <w:rsid w:val="00A0768E"/>
    <w:rsid w:val="00A11474"/>
    <w:rsid w:val="00A127F7"/>
    <w:rsid w:val="00A15634"/>
    <w:rsid w:val="00A158E0"/>
    <w:rsid w:val="00A15C76"/>
    <w:rsid w:val="00A17B41"/>
    <w:rsid w:val="00A208D0"/>
    <w:rsid w:val="00A21872"/>
    <w:rsid w:val="00A22568"/>
    <w:rsid w:val="00A23750"/>
    <w:rsid w:val="00A24179"/>
    <w:rsid w:val="00A24957"/>
    <w:rsid w:val="00A26C29"/>
    <w:rsid w:val="00A302B8"/>
    <w:rsid w:val="00A31CEE"/>
    <w:rsid w:val="00A3472C"/>
    <w:rsid w:val="00A35FDD"/>
    <w:rsid w:val="00A36846"/>
    <w:rsid w:val="00A4176C"/>
    <w:rsid w:val="00A42300"/>
    <w:rsid w:val="00A42E31"/>
    <w:rsid w:val="00A43507"/>
    <w:rsid w:val="00A440D7"/>
    <w:rsid w:val="00A44366"/>
    <w:rsid w:val="00A50B48"/>
    <w:rsid w:val="00A52995"/>
    <w:rsid w:val="00A5424F"/>
    <w:rsid w:val="00A56A82"/>
    <w:rsid w:val="00A56C6E"/>
    <w:rsid w:val="00A60D5C"/>
    <w:rsid w:val="00A61240"/>
    <w:rsid w:val="00A61A84"/>
    <w:rsid w:val="00A646B7"/>
    <w:rsid w:val="00A648F9"/>
    <w:rsid w:val="00A656AC"/>
    <w:rsid w:val="00A66174"/>
    <w:rsid w:val="00A662DE"/>
    <w:rsid w:val="00A67A86"/>
    <w:rsid w:val="00A67D34"/>
    <w:rsid w:val="00A71B18"/>
    <w:rsid w:val="00A722FD"/>
    <w:rsid w:val="00A7254E"/>
    <w:rsid w:val="00A737F4"/>
    <w:rsid w:val="00A73A04"/>
    <w:rsid w:val="00A73F6B"/>
    <w:rsid w:val="00A759A9"/>
    <w:rsid w:val="00A75A46"/>
    <w:rsid w:val="00A81D43"/>
    <w:rsid w:val="00A82A89"/>
    <w:rsid w:val="00A84CEC"/>
    <w:rsid w:val="00A84F85"/>
    <w:rsid w:val="00A85028"/>
    <w:rsid w:val="00A86049"/>
    <w:rsid w:val="00A868E2"/>
    <w:rsid w:val="00A946B4"/>
    <w:rsid w:val="00A94A4A"/>
    <w:rsid w:val="00A95141"/>
    <w:rsid w:val="00A9533A"/>
    <w:rsid w:val="00A95966"/>
    <w:rsid w:val="00A9596F"/>
    <w:rsid w:val="00A95AFE"/>
    <w:rsid w:val="00AA07CE"/>
    <w:rsid w:val="00AA1D15"/>
    <w:rsid w:val="00AA2CBB"/>
    <w:rsid w:val="00AA4C29"/>
    <w:rsid w:val="00AA6805"/>
    <w:rsid w:val="00AA733B"/>
    <w:rsid w:val="00AA7B19"/>
    <w:rsid w:val="00AB039C"/>
    <w:rsid w:val="00AB1830"/>
    <w:rsid w:val="00AB257C"/>
    <w:rsid w:val="00AB3495"/>
    <w:rsid w:val="00AB5986"/>
    <w:rsid w:val="00AB5C72"/>
    <w:rsid w:val="00AB621E"/>
    <w:rsid w:val="00AC042A"/>
    <w:rsid w:val="00AC1F06"/>
    <w:rsid w:val="00AC35DA"/>
    <w:rsid w:val="00AC5A27"/>
    <w:rsid w:val="00AC6123"/>
    <w:rsid w:val="00AD17F9"/>
    <w:rsid w:val="00AD261F"/>
    <w:rsid w:val="00AD3B9A"/>
    <w:rsid w:val="00AD6CCB"/>
    <w:rsid w:val="00AE07AD"/>
    <w:rsid w:val="00AE1B12"/>
    <w:rsid w:val="00AE3819"/>
    <w:rsid w:val="00AF0A2F"/>
    <w:rsid w:val="00AF2D7A"/>
    <w:rsid w:val="00AF34E9"/>
    <w:rsid w:val="00AF418F"/>
    <w:rsid w:val="00AF501D"/>
    <w:rsid w:val="00AF5731"/>
    <w:rsid w:val="00AF60F6"/>
    <w:rsid w:val="00B01D63"/>
    <w:rsid w:val="00B0213C"/>
    <w:rsid w:val="00B03004"/>
    <w:rsid w:val="00B035ED"/>
    <w:rsid w:val="00B075E0"/>
    <w:rsid w:val="00B14A7B"/>
    <w:rsid w:val="00B14F53"/>
    <w:rsid w:val="00B15E16"/>
    <w:rsid w:val="00B169C6"/>
    <w:rsid w:val="00B16F1E"/>
    <w:rsid w:val="00B17F4D"/>
    <w:rsid w:val="00B20A56"/>
    <w:rsid w:val="00B20E32"/>
    <w:rsid w:val="00B22E31"/>
    <w:rsid w:val="00B25C94"/>
    <w:rsid w:val="00B260EF"/>
    <w:rsid w:val="00B26538"/>
    <w:rsid w:val="00B33409"/>
    <w:rsid w:val="00B35D10"/>
    <w:rsid w:val="00B3606E"/>
    <w:rsid w:val="00B377EE"/>
    <w:rsid w:val="00B37C34"/>
    <w:rsid w:val="00B41700"/>
    <w:rsid w:val="00B503A1"/>
    <w:rsid w:val="00B54539"/>
    <w:rsid w:val="00B546A7"/>
    <w:rsid w:val="00B63DCD"/>
    <w:rsid w:val="00B64FED"/>
    <w:rsid w:val="00B65E49"/>
    <w:rsid w:val="00B66C47"/>
    <w:rsid w:val="00B678AE"/>
    <w:rsid w:val="00B734A4"/>
    <w:rsid w:val="00B7373D"/>
    <w:rsid w:val="00B7481B"/>
    <w:rsid w:val="00B7575B"/>
    <w:rsid w:val="00B75E88"/>
    <w:rsid w:val="00B76583"/>
    <w:rsid w:val="00B818D8"/>
    <w:rsid w:val="00B82283"/>
    <w:rsid w:val="00B8309A"/>
    <w:rsid w:val="00B8531E"/>
    <w:rsid w:val="00B85CE5"/>
    <w:rsid w:val="00B90BA8"/>
    <w:rsid w:val="00B91688"/>
    <w:rsid w:val="00B9260B"/>
    <w:rsid w:val="00B92E98"/>
    <w:rsid w:val="00B95352"/>
    <w:rsid w:val="00B95B43"/>
    <w:rsid w:val="00B95B92"/>
    <w:rsid w:val="00B96EF2"/>
    <w:rsid w:val="00B97008"/>
    <w:rsid w:val="00BA025C"/>
    <w:rsid w:val="00BA05C3"/>
    <w:rsid w:val="00BA1AB3"/>
    <w:rsid w:val="00BA3190"/>
    <w:rsid w:val="00BA5D76"/>
    <w:rsid w:val="00BA7AE8"/>
    <w:rsid w:val="00BB0F72"/>
    <w:rsid w:val="00BB1893"/>
    <w:rsid w:val="00BB7F10"/>
    <w:rsid w:val="00BC30A4"/>
    <w:rsid w:val="00BC6253"/>
    <w:rsid w:val="00BD003A"/>
    <w:rsid w:val="00BD0A78"/>
    <w:rsid w:val="00BD317C"/>
    <w:rsid w:val="00BD4012"/>
    <w:rsid w:val="00BD4C7C"/>
    <w:rsid w:val="00BD56EA"/>
    <w:rsid w:val="00BD571A"/>
    <w:rsid w:val="00BD63F8"/>
    <w:rsid w:val="00BD6CAF"/>
    <w:rsid w:val="00BD7E31"/>
    <w:rsid w:val="00BE153E"/>
    <w:rsid w:val="00BE15F2"/>
    <w:rsid w:val="00BE505A"/>
    <w:rsid w:val="00BF1AF8"/>
    <w:rsid w:val="00BF1B17"/>
    <w:rsid w:val="00BF236B"/>
    <w:rsid w:val="00BF2EC3"/>
    <w:rsid w:val="00BF3950"/>
    <w:rsid w:val="00BF446B"/>
    <w:rsid w:val="00BF4FCC"/>
    <w:rsid w:val="00BF79CD"/>
    <w:rsid w:val="00C00466"/>
    <w:rsid w:val="00C01643"/>
    <w:rsid w:val="00C038A5"/>
    <w:rsid w:val="00C04333"/>
    <w:rsid w:val="00C05A89"/>
    <w:rsid w:val="00C144C8"/>
    <w:rsid w:val="00C15A9A"/>
    <w:rsid w:val="00C16CFB"/>
    <w:rsid w:val="00C22309"/>
    <w:rsid w:val="00C2241D"/>
    <w:rsid w:val="00C229E0"/>
    <w:rsid w:val="00C2696C"/>
    <w:rsid w:val="00C27D3C"/>
    <w:rsid w:val="00C33A1C"/>
    <w:rsid w:val="00C34369"/>
    <w:rsid w:val="00C37220"/>
    <w:rsid w:val="00C378F1"/>
    <w:rsid w:val="00C37AB3"/>
    <w:rsid w:val="00C41CA4"/>
    <w:rsid w:val="00C43F2E"/>
    <w:rsid w:val="00C45538"/>
    <w:rsid w:val="00C45FC0"/>
    <w:rsid w:val="00C466DC"/>
    <w:rsid w:val="00C51B5D"/>
    <w:rsid w:val="00C51DE5"/>
    <w:rsid w:val="00C523A6"/>
    <w:rsid w:val="00C54FB9"/>
    <w:rsid w:val="00C55542"/>
    <w:rsid w:val="00C57553"/>
    <w:rsid w:val="00C602D7"/>
    <w:rsid w:val="00C61305"/>
    <w:rsid w:val="00C614D4"/>
    <w:rsid w:val="00C62404"/>
    <w:rsid w:val="00C64881"/>
    <w:rsid w:val="00C656AE"/>
    <w:rsid w:val="00C66780"/>
    <w:rsid w:val="00C6711A"/>
    <w:rsid w:val="00C674EC"/>
    <w:rsid w:val="00C711EC"/>
    <w:rsid w:val="00C7136A"/>
    <w:rsid w:val="00C71602"/>
    <w:rsid w:val="00C71A7C"/>
    <w:rsid w:val="00C72130"/>
    <w:rsid w:val="00C74078"/>
    <w:rsid w:val="00C7614F"/>
    <w:rsid w:val="00C76273"/>
    <w:rsid w:val="00C76560"/>
    <w:rsid w:val="00C76DE9"/>
    <w:rsid w:val="00C82CE3"/>
    <w:rsid w:val="00C86DB6"/>
    <w:rsid w:val="00C86E29"/>
    <w:rsid w:val="00C87E34"/>
    <w:rsid w:val="00C9025C"/>
    <w:rsid w:val="00C91E59"/>
    <w:rsid w:val="00C92E01"/>
    <w:rsid w:val="00C94C99"/>
    <w:rsid w:val="00C9606B"/>
    <w:rsid w:val="00C97E2D"/>
    <w:rsid w:val="00CA1407"/>
    <w:rsid w:val="00CA18D6"/>
    <w:rsid w:val="00CA325A"/>
    <w:rsid w:val="00CA5759"/>
    <w:rsid w:val="00CA67D4"/>
    <w:rsid w:val="00CA6A16"/>
    <w:rsid w:val="00CA6DDE"/>
    <w:rsid w:val="00CA7888"/>
    <w:rsid w:val="00CB0B83"/>
    <w:rsid w:val="00CB1C91"/>
    <w:rsid w:val="00CB3A7D"/>
    <w:rsid w:val="00CB4CD5"/>
    <w:rsid w:val="00CB6117"/>
    <w:rsid w:val="00CB630B"/>
    <w:rsid w:val="00CB6878"/>
    <w:rsid w:val="00CC26C6"/>
    <w:rsid w:val="00CC41EB"/>
    <w:rsid w:val="00CC6F25"/>
    <w:rsid w:val="00CC706E"/>
    <w:rsid w:val="00CD11E2"/>
    <w:rsid w:val="00CD3014"/>
    <w:rsid w:val="00CD3056"/>
    <w:rsid w:val="00CD5C49"/>
    <w:rsid w:val="00CD7FBD"/>
    <w:rsid w:val="00CE14FE"/>
    <w:rsid w:val="00CE2137"/>
    <w:rsid w:val="00CE24B5"/>
    <w:rsid w:val="00CE3AF5"/>
    <w:rsid w:val="00CE4C78"/>
    <w:rsid w:val="00CE4EFC"/>
    <w:rsid w:val="00CF0733"/>
    <w:rsid w:val="00CF5055"/>
    <w:rsid w:val="00CF715C"/>
    <w:rsid w:val="00CF7322"/>
    <w:rsid w:val="00D0010E"/>
    <w:rsid w:val="00D00687"/>
    <w:rsid w:val="00D00F45"/>
    <w:rsid w:val="00D00FC4"/>
    <w:rsid w:val="00D02DFE"/>
    <w:rsid w:val="00D03C8E"/>
    <w:rsid w:val="00D04A8E"/>
    <w:rsid w:val="00D0799D"/>
    <w:rsid w:val="00D1089B"/>
    <w:rsid w:val="00D10B1E"/>
    <w:rsid w:val="00D126AA"/>
    <w:rsid w:val="00D13D16"/>
    <w:rsid w:val="00D15819"/>
    <w:rsid w:val="00D15B3C"/>
    <w:rsid w:val="00D16600"/>
    <w:rsid w:val="00D26305"/>
    <w:rsid w:val="00D312D4"/>
    <w:rsid w:val="00D32E5E"/>
    <w:rsid w:val="00D33A36"/>
    <w:rsid w:val="00D402FC"/>
    <w:rsid w:val="00D406B0"/>
    <w:rsid w:val="00D4227C"/>
    <w:rsid w:val="00D42BF0"/>
    <w:rsid w:val="00D42C68"/>
    <w:rsid w:val="00D434D2"/>
    <w:rsid w:val="00D43E2F"/>
    <w:rsid w:val="00D513DF"/>
    <w:rsid w:val="00D5298B"/>
    <w:rsid w:val="00D535DB"/>
    <w:rsid w:val="00D5377E"/>
    <w:rsid w:val="00D55853"/>
    <w:rsid w:val="00D56E97"/>
    <w:rsid w:val="00D570F9"/>
    <w:rsid w:val="00D5795D"/>
    <w:rsid w:val="00D63675"/>
    <w:rsid w:val="00D65B9A"/>
    <w:rsid w:val="00D66E64"/>
    <w:rsid w:val="00D67447"/>
    <w:rsid w:val="00D674E0"/>
    <w:rsid w:val="00D67D51"/>
    <w:rsid w:val="00D70B42"/>
    <w:rsid w:val="00D7243C"/>
    <w:rsid w:val="00D766AB"/>
    <w:rsid w:val="00D7792C"/>
    <w:rsid w:val="00D80341"/>
    <w:rsid w:val="00D8088A"/>
    <w:rsid w:val="00D830C4"/>
    <w:rsid w:val="00D837A8"/>
    <w:rsid w:val="00D84C4A"/>
    <w:rsid w:val="00D9000A"/>
    <w:rsid w:val="00D91A6A"/>
    <w:rsid w:val="00D93383"/>
    <w:rsid w:val="00D9393A"/>
    <w:rsid w:val="00D96D85"/>
    <w:rsid w:val="00D9715E"/>
    <w:rsid w:val="00D97A66"/>
    <w:rsid w:val="00DA1DAD"/>
    <w:rsid w:val="00DA32F2"/>
    <w:rsid w:val="00DA4490"/>
    <w:rsid w:val="00DA46BF"/>
    <w:rsid w:val="00DA726A"/>
    <w:rsid w:val="00DA764E"/>
    <w:rsid w:val="00DB00CB"/>
    <w:rsid w:val="00DB1E70"/>
    <w:rsid w:val="00DB3357"/>
    <w:rsid w:val="00DB4284"/>
    <w:rsid w:val="00DB7229"/>
    <w:rsid w:val="00DC0405"/>
    <w:rsid w:val="00DC091F"/>
    <w:rsid w:val="00DC1D93"/>
    <w:rsid w:val="00DC549D"/>
    <w:rsid w:val="00DC56E7"/>
    <w:rsid w:val="00DC77CA"/>
    <w:rsid w:val="00DD0735"/>
    <w:rsid w:val="00DD2B14"/>
    <w:rsid w:val="00DD473D"/>
    <w:rsid w:val="00DD531F"/>
    <w:rsid w:val="00DD6811"/>
    <w:rsid w:val="00DD7BD2"/>
    <w:rsid w:val="00DE24A1"/>
    <w:rsid w:val="00DE4389"/>
    <w:rsid w:val="00DF296A"/>
    <w:rsid w:val="00DF327C"/>
    <w:rsid w:val="00DF3B71"/>
    <w:rsid w:val="00DF47BE"/>
    <w:rsid w:val="00DF4B59"/>
    <w:rsid w:val="00DF5714"/>
    <w:rsid w:val="00DF681E"/>
    <w:rsid w:val="00E00A15"/>
    <w:rsid w:val="00E00A2B"/>
    <w:rsid w:val="00E00D87"/>
    <w:rsid w:val="00E027F3"/>
    <w:rsid w:val="00E0294F"/>
    <w:rsid w:val="00E032DD"/>
    <w:rsid w:val="00E03533"/>
    <w:rsid w:val="00E0362D"/>
    <w:rsid w:val="00E036AA"/>
    <w:rsid w:val="00E05674"/>
    <w:rsid w:val="00E075E7"/>
    <w:rsid w:val="00E10712"/>
    <w:rsid w:val="00E13763"/>
    <w:rsid w:val="00E23E58"/>
    <w:rsid w:val="00E24026"/>
    <w:rsid w:val="00E27C39"/>
    <w:rsid w:val="00E33043"/>
    <w:rsid w:val="00E37886"/>
    <w:rsid w:val="00E37BD2"/>
    <w:rsid w:val="00E47905"/>
    <w:rsid w:val="00E52E9E"/>
    <w:rsid w:val="00E5304A"/>
    <w:rsid w:val="00E53644"/>
    <w:rsid w:val="00E5462B"/>
    <w:rsid w:val="00E55275"/>
    <w:rsid w:val="00E567CB"/>
    <w:rsid w:val="00E57110"/>
    <w:rsid w:val="00E60FC8"/>
    <w:rsid w:val="00E6437E"/>
    <w:rsid w:val="00E651A3"/>
    <w:rsid w:val="00E651DE"/>
    <w:rsid w:val="00E666C1"/>
    <w:rsid w:val="00E66C6F"/>
    <w:rsid w:val="00E702BA"/>
    <w:rsid w:val="00E70A5E"/>
    <w:rsid w:val="00E72307"/>
    <w:rsid w:val="00E72EB0"/>
    <w:rsid w:val="00E74B0A"/>
    <w:rsid w:val="00E76174"/>
    <w:rsid w:val="00E7627C"/>
    <w:rsid w:val="00E764C2"/>
    <w:rsid w:val="00E810FC"/>
    <w:rsid w:val="00E817A2"/>
    <w:rsid w:val="00E82487"/>
    <w:rsid w:val="00E82B03"/>
    <w:rsid w:val="00E84728"/>
    <w:rsid w:val="00E84CB8"/>
    <w:rsid w:val="00E84EE0"/>
    <w:rsid w:val="00E8610D"/>
    <w:rsid w:val="00E90C78"/>
    <w:rsid w:val="00E9147A"/>
    <w:rsid w:val="00E91E27"/>
    <w:rsid w:val="00E9281F"/>
    <w:rsid w:val="00E9440E"/>
    <w:rsid w:val="00E94945"/>
    <w:rsid w:val="00E95868"/>
    <w:rsid w:val="00E96583"/>
    <w:rsid w:val="00E97382"/>
    <w:rsid w:val="00E974A7"/>
    <w:rsid w:val="00E97567"/>
    <w:rsid w:val="00EA22D5"/>
    <w:rsid w:val="00EA33CB"/>
    <w:rsid w:val="00EA5EA9"/>
    <w:rsid w:val="00EA6751"/>
    <w:rsid w:val="00EB084D"/>
    <w:rsid w:val="00EB4482"/>
    <w:rsid w:val="00EB49A5"/>
    <w:rsid w:val="00EB5496"/>
    <w:rsid w:val="00EB5C55"/>
    <w:rsid w:val="00EB5D16"/>
    <w:rsid w:val="00EB5E9B"/>
    <w:rsid w:val="00EB6181"/>
    <w:rsid w:val="00EB7160"/>
    <w:rsid w:val="00EB7CE3"/>
    <w:rsid w:val="00EC248D"/>
    <w:rsid w:val="00EC309A"/>
    <w:rsid w:val="00EC4125"/>
    <w:rsid w:val="00EC4648"/>
    <w:rsid w:val="00EC4B3B"/>
    <w:rsid w:val="00EC7A05"/>
    <w:rsid w:val="00ED17DF"/>
    <w:rsid w:val="00ED2B78"/>
    <w:rsid w:val="00ED645C"/>
    <w:rsid w:val="00ED64F0"/>
    <w:rsid w:val="00ED678E"/>
    <w:rsid w:val="00ED72CE"/>
    <w:rsid w:val="00ED7A5F"/>
    <w:rsid w:val="00EE22FB"/>
    <w:rsid w:val="00EE435F"/>
    <w:rsid w:val="00EE777A"/>
    <w:rsid w:val="00EF1239"/>
    <w:rsid w:val="00EF1FB2"/>
    <w:rsid w:val="00EF5035"/>
    <w:rsid w:val="00F00700"/>
    <w:rsid w:val="00F03E8D"/>
    <w:rsid w:val="00F049A0"/>
    <w:rsid w:val="00F0528A"/>
    <w:rsid w:val="00F062AF"/>
    <w:rsid w:val="00F06960"/>
    <w:rsid w:val="00F101F2"/>
    <w:rsid w:val="00F104FE"/>
    <w:rsid w:val="00F12CB3"/>
    <w:rsid w:val="00F12FF6"/>
    <w:rsid w:val="00F312EE"/>
    <w:rsid w:val="00F34491"/>
    <w:rsid w:val="00F37B3A"/>
    <w:rsid w:val="00F437F0"/>
    <w:rsid w:val="00F44D42"/>
    <w:rsid w:val="00F5252A"/>
    <w:rsid w:val="00F545F3"/>
    <w:rsid w:val="00F55025"/>
    <w:rsid w:val="00F56F34"/>
    <w:rsid w:val="00F57028"/>
    <w:rsid w:val="00F5769D"/>
    <w:rsid w:val="00F632BB"/>
    <w:rsid w:val="00F65107"/>
    <w:rsid w:val="00F651A0"/>
    <w:rsid w:val="00F6557A"/>
    <w:rsid w:val="00F6592D"/>
    <w:rsid w:val="00F742C9"/>
    <w:rsid w:val="00F75BFF"/>
    <w:rsid w:val="00F8193B"/>
    <w:rsid w:val="00F83188"/>
    <w:rsid w:val="00F837BB"/>
    <w:rsid w:val="00F83E3C"/>
    <w:rsid w:val="00F853BF"/>
    <w:rsid w:val="00F8597D"/>
    <w:rsid w:val="00F86020"/>
    <w:rsid w:val="00F93DEC"/>
    <w:rsid w:val="00F97DA6"/>
    <w:rsid w:val="00FA01C6"/>
    <w:rsid w:val="00FA1735"/>
    <w:rsid w:val="00FA6BA4"/>
    <w:rsid w:val="00FA7063"/>
    <w:rsid w:val="00FA79B3"/>
    <w:rsid w:val="00FB4B87"/>
    <w:rsid w:val="00FC0700"/>
    <w:rsid w:val="00FC0B9A"/>
    <w:rsid w:val="00FC2F6E"/>
    <w:rsid w:val="00FC2FA5"/>
    <w:rsid w:val="00FC36DC"/>
    <w:rsid w:val="00FC4DB4"/>
    <w:rsid w:val="00FC611D"/>
    <w:rsid w:val="00FC7134"/>
    <w:rsid w:val="00FC7EAB"/>
    <w:rsid w:val="00FD02FB"/>
    <w:rsid w:val="00FD213A"/>
    <w:rsid w:val="00FD37B4"/>
    <w:rsid w:val="00FD3AB3"/>
    <w:rsid w:val="00FD3BC9"/>
    <w:rsid w:val="00FD5A33"/>
    <w:rsid w:val="00FD5F80"/>
    <w:rsid w:val="00FD6745"/>
    <w:rsid w:val="00FE0BEA"/>
    <w:rsid w:val="00FE1C93"/>
    <w:rsid w:val="00FF3905"/>
    <w:rsid w:val="00FF5608"/>
    <w:rsid w:val="00FF5C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r="http://schemas.openxmlformats.org/officeDocument/2006/relationships" xmlns:w="http://schemas.openxmlformats.org/wordprocessingml/2006/main">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is.soybilgen@bahcesehir.edu.tr"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zumrut.imamoglu@bahcesehir.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0173F-69FF-46A3-AFC5-2814E916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oş</vt:lpstr>
    </vt:vector>
  </TitlesOfParts>
  <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creator>baris.soybilgen</dc:creator>
  <cp:lastModifiedBy>merve.akgul</cp:lastModifiedBy>
  <cp:revision>2</cp:revision>
  <cp:lastPrinted>2013-06-13T12:31:00Z</cp:lastPrinted>
  <dcterms:created xsi:type="dcterms:W3CDTF">2014-01-14T15:45:00Z</dcterms:created>
  <dcterms:modified xsi:type="dcterms:W3CDTF">2014-01-14T15:45:00Z</dcterms:modified>
</cp:coreProperties>
</file>