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53" w:rsidRPr="00D024FC" w:rsidRDefault="0024617B">
      <w:r>
        <w:rPr>
          <w:noProof/>
        </w:rPr>
        <w:pict>
          <v:shapetype id="_x0000_t202" coordsize="21600,21600" o:spt="202" path="m,l,21600r21600,l21600,xe">
            <v:stroke joinstyle="miter"/>
            <v:path gradientshapeok="t" o:connecttype="rect"/>
          </v:shapetype>
          <v:shape id="Text Box 4" o:spid="_x0000_s1026" type="#_x0000_t202" style="position:absolute;margin-left:415.7pt;margin-top:12.55pt;width:85.7pt;height:32.4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" stroked="f">
            <v:fill opacity="0"/>
            <v:textbox inset="0,0,0,0">
              <w:txbxContent>
                <w:p w:rsidR="00B56953" w:rsidRPr="0015586B" w:rsidRDefault="00AC76FF" w:rsidP="00B56953">
                  <w:pPr>
                    <w:pStyle w:val="Heading3"/>
                    <w:rPr>
                      <w:color w:val="FFFFFF"/>
                      <w:sz w:val="22"/>
                      <w:szCs w:val="22"/>
                      <w:lang w:val="tr-TR"/>
                    </w:rPr>
                  </w:pPr>
                  <w:r>
                    <w:rPr>
                      <w:color w:val="FFFFFF"/>
                      <w:sz w:val="22"/>
                      <w:szCs w:val="22"/>
                      <w:lang w:val="tr-TR"/>
                    </w:rPr>
                    <w:t xml:space="preserve">22 Ocak 2014 </w:t>
                  </w:r>
                </w:p>
                <w:p w:rsidR="00B56953" w:rsidRDefault="00B56953" w:rsidP="00B56953"/>
              </w:txbxContent>
            </v:textbox>
          </v:shape>
        </w:pict>
      </w:r>
      <w:r w:rsidR="00AC76FF" w:rsidRPr="00D024FC">
        <w:rPr>
          <w:noProof/>
        </w:rPr>
        <w:drawing>
          <wp:anchor distT="0" distB="0" distL="114300" distR="114300" simplePos="0" relativeHeight="251658240" behindDoc="1" locked="0" layoutInCell="1" allowOverlap="1">
            <wp:simplePos x="0" y="0"/>
            <wp:positionH relativeFrom="column">
              <wp:posOffset>-833120</wp:posOffset>
            </wp:positionH>
            <wp:positionV relativeFrom="paragraph">
              <wp:posOffset>-746125</wp:posOffset>
            </wp:positionV>
            <wp:extent cx="7312025" cy="1335405"/>
            <wp:effectExtent l="19050" t="0" r="3175"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2025" cy="1335405"/>
                    </a:xfrm>
                    <a:prstGeom prst="rect">
                      <a:avLst/>
                    </a:prstGeom>
                    <a:noFill/>
                    <a:ln w="9525">
                      <a:noFill/>
                      <a:miter lim="800000"/>
                      <a:headEnd/>
                      <a:tailEnd/>
                    </a:ln>
                  </pic:spPr>
                </pic:pic>
              </a:graphicData>
            </a:graphic>
          </wp:anchor>
        </w:drawing>
      </w:r>
      <w:r>
        <w:rPr>
          <w:noProof/>
        </w:rPr>
        <w:pict>
          <v:shape id="Text Box 3" o:spid="_x0000_s1027" type="#_x0000_t202" style="position:absolute;margin-left:115.05pt;margin-top:-45.35pt;width:312.1pt;height:44.8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" stroked="f">
            <v:fill opacity="0"/>
            <v:textbox inset="0,0,0,0">
              <w:txbxContent>
                <w:p w:rsidR="00B56953" w:rsidRPr="00526178" w:rsidRDefault="00B56953" w:rsidP="00B56953">
                  <w:pPr>
                    <w:pStyle w:val="Heading1"/>
                    <w:rPr>
                      <w:rFonts w:ascii="Times New Roman" w:hAnsi="Times New Roman"/>
                      <w:sz w:val="52"/>
                    </w:rPr>
                  </w:pPr>
                  <w:r w:rsidRPr="00526178">
                    <w:rPr>
                      <w:rFonts w:ascii="Times New Roman" w:hAnsi="Times New Roman"/>
                      <w:sz w:val="52"/>
                    </w:rPr>
                    <w:t>Ara</w:t>
                  </w:r>
                  <w:r>
                    <w:rPr>
                      <w:rFonts w:ascii="Times New Roman" w:hAnsi="Times New Roman"/>
                      <w:sz w:val="52"/>
                    </w:rPr>
                    <w:t>ştırma</w:t>
                  </w:r>
                  <w:r w:rsidR="008578EE">
                    <w:rPr>
                      <w:rFonts w:ascii="Times New Roman" w:hAnsi="Times New Roman"/>
                      <w:sz w:val="52"/>
                    </w:rPr>
                    <w:t xml:space="preserve"> </w:t>
                  </w:r>
                  <w:r w:rsidRPr="00526178">
                    <w:rPr>
                      <w:rFonts w:ascii="Times New Roman" w:hAnsi="Times New Roman"/>
                      <w:sz w:val="52"/>
                    </w:rPr>
                    <w:t xml:space="preserve">Notu </w:t>
                  </w:r>
                  <w:r w:rsidR="004B74AC">
                    <w:rPr>
                      <w:rFonts w:ascii="Times New Roman" w:hAnsi="Times New Roman"/>
                      <w:sz w:val="52"/>
                    </w:rPr>
                    <w:t>14/</w:t>
                  </w:r>
                  <w:r w:rsidR="000A329A">
                    <w:rPr>
                      <w:rFonts w:ascii="Times New Roman" w:hAnsi="Times New Roman"/>
                      <w:sz w:val="52"/>
                    </w:rPr>
                    <w:t>161</w:t>
                  </w:r>
                </w:p>
                <w:p w:rsidR="00B56953" w:rsidRPr="00526178" w:rsidRDefault="00B56953" w:rsidP="00B56953">
                  <w:pPr>
                    <w:pStyle w:val="Heading2"/>
                    <w:rPr>
                      <w:b w:val="0"/>
                      <w:i w:val="0"/>
                    </w:rPr>
                  </w:pPr>
                </w:p>
              </w:txbxContent>
            </v:textbox>
          </v:shape>
        </w:pict>
      </w:r>
    </w:p>
    <w:p w:rsidR="00B56953" w:rsidRPr="00D024FC" w:rsidRDefault="00B56953"/>
    <w:p w:rsidR="000A329A" w:rsidRDefault="000A329A" w:rsidP="00ED7BB6">
      <w:pPr>
        <w:jc w:val="center"/>
        <w:rPr>
          <w:rFonts w:ascii="Arial" w:hAnsi="Arial" w:cs="Arial"/>
          <w:b/>
          <w:sz w:val="28"/>
          <w:szCs w:val="28"/>
        </w:rPr>
      </w:pPr>
    </w:p>
    <w:p w:rsidR="00ED7BB6" w:rsidRPr="000A329A" w:rsidRDefault="00ED7BB6" w:rsidP="00ED7BB6">
      <w:pPr>
        <w:jc w:val="center"/>
        <w:rPr>
          <w:rFonts w:ascii="Arial" w:hAnsi="Arial" w:cs="Arial"/>
          <w:b/>
          <w:sz w:val="28"/>
          <w:szCs w:val="28"/>
        </w:rPr>
      </w:pPr>
      <w:r w:rsidRPr="000A329A">
        <w:rPr>
          <w:rFonts w:ascii="Arial" w:hAnsi="Arial" w:cs="Arial"/>
          <w:b/>
          <w:sz w:val="28"/>
          <w:szCs w:val="28"/>
        </w:rPr>
        <w:t>EĞİTİM KALİTESİNDE YÜKSEK AMA YETERSİZ ARTIŞ</w:t>
      </w:r>
    </w:p>
    <w:p w:rsidR="00ED7BB6" w:rsidRPr="000A329A" w:rsidRDefault="00ED7BB6" w:rsidP="00ED7BB6">
      <w:pPr>
        <w:jc w:val="center"/>
        <w:rPr>
          <w:rFonts w:ascii="Arial" w:hAnsi="Arial" w:cs="Arial"/>
          <w:b/>
          <w:sz w:val="20"/>
          <w:szCs w:val="20"/>
        </w:rPr>
      </w:pPr>
      <w:r w:rsidRPr="000A329A">
        <w:rPr>
          <w:rFonts w:ascii="Arial" w:hAnsi="Arial" w:cs="Arial"/>
          <w:b/>
          <w:sz w:val="20"/>
          <w:szCs w:val="20"/>
        </w:rPr>
        <w:t>Seyfettin Gürsel</w:t>
      </w:r>
      <w:r w:rsidRPr="000A329A">
        <w:rPr>
          <w:rStyle w:val="FootnoteReference"/>
          <w:rFonts w:ascii="Arial" w:hAnsi="Arial" w:cs="Arial"/>
          <w:b/>
          <w:sz w:val="20"/>
          <w:szCs w:val="20"/>
        </w:rPr>
        <w:footnoteReference w:customMarkFollows="1" w:id="2"/>
        <w:t>*</w:t>
      </w:r>
      <w:r w:rsidRPr="000A329A">
        <w:rPr>
          <w:rFonts w:ascii="Arial" w:hAnsi="Arial" w:cs="Arial"/>
          <w:b/>
          <w:sz w:val="20"/>
          <w:szCs w:val="20"/>
        </w:rPr>
        <w:t xml:space="preserve"> ve Mine Durmaz </w:t>
      </w:r>
      <w:r w:rsidRPr="000A329A">
        <w:rPr>
          <w:rStyle w:val="FootnoteReference"/>
          <w:rFonts w:ascii="Arial" w:hAnsi="Arial" w:cs="Arial"/>
          <w:b/>
          <w:sz w:val="20"/>
          <w:szCs w:val="20"/>
        </w:rPr>
        <w:footnoteReference w:customMarkFollows="1" w:id="3"/>
        <w:t>**</w:t>
      </w:r>
    </w:p>
    <w:p w:rsidR="00ED7BB6" w:rsidRPr="00F7519E" w:rsidRDefault="00ED7BB6" w:rsidP="00ED7BB6">
      <w:pPr>
        <w:jc w:val="center"/>
        <w:rPr>
          <w:rFonts w:ascii="Arial" w:hAnsi="Arial" w:cs="Arial"/>
          <w:b/>
        </w:rPr>
      </w:pPr>
      <w:r w:rsidRPr="00F7519E">
        <w:rPr>
          <w:rFonts w:ascii="Arial" w:hAnsi="Arial" w:cs="Arial"/>
          <w:b/>
        </w:rPr>
        <w:t>Yönetici Özeti</w:t>
      </w:r>
    </w:p>
    <w:p w:rsidR="00B56953" w:rsidRPr="00D024FC" w:rsidRDefault="00FF11F0" w:rsidP="00FF11F0">
      <w:pPr>
        <w:jc w:val="both"/>
        <w:rPr>
          <w:rFonts w:ascii="Arial" w:hAnsi="Arial" w:cs="Arial"/>
          <w:sz w:val="20"/>
          <w:szCs w:val="20"/>
        </w:rPr>
      </w:pPr>
      <w:r w:rsidRPr="00D024FC">
        <w:rPr>
          <w:rFonts w:ascii="Arial" w:hAnsi="Arial" w:cs="Arial"/>
          <w:sz w:val="20"/>
          <w:szCs w:val="20"/>
        </w:rPr>
        <w:t xml:space="preserve">Uluslararası Öğrenci Değerlendirme Programı (PISA) 2012 yılı raporunu Aralık 2013'te açıkladı. Sonuçlar Türkiye'nin aldığı puanlarda </w:t>
      </w:r>
      <w:r w:rsidR="00EE7537" w:rsidRPr="00D024FC">
        <w:rPr>
          <w:rFonts w:ascii="Arial" w:hAnsi="Arial" w:cs="Arial"/>
          <w:sz w:val="20"/>
          <w:szCs w:val="20"/>
        </w:rPr>
        <w:t xml:space="preserve">belirgin </w:t>
      </w:r>
      <w:r w:rsidRPr="00D024FC">
        <w:rPr>
          <w:rFonts w:ascii="Arial" w:hAnsi="Arial" w:cs="Arial"/>
          <w:sz w:val="20"/>
          <w:szCs w:val="20"/>
        </w:rPr>
        <w:t xml:space="preserve">bir iyileşme </w:t>
      </w:r>
      <w:r w:rsidR="00EE7537" w:rsidRPr="00D024FC">
        <w:rPr>
          <w:rFonts w:ascii="Arial" w:hAnsi="Arial" w:cs="Arial"/>
          <w:sz w:val="20"/>
          <w:szCs w:val="20"/>
        </w:rPr>
        <w:t>olduğunu</w:t>
      </w:r>
      <w:r w:rsidR="000076E7" w:rsidRPr="00D024FC">
        <w:rPr>
          <w:rFonts w:ascii="Arial" w:hAnsi="Arial" w:cs="Arial"/>
          <w:sz w:val="20"/>
          <w:szCs w:val="20"/>
        </w:rPr>
        <w:t xml:space="preserve"> ancak bu iyileşmenin yeterli olmadığını gösteriyor. Türkiye 2006'dan 2012'ye matematik, fen bilimleri ve okuma alanlarındaki puanlarının ortalamasını </w:t>
      </w:r>
      <w:r w:rsidR="001C7835" w:rsidRPr="00D024FC">
        <w:rPr>
          <w:rFonts w:ascii="Arial" w:hAnsi="Arial" w:cs="Arial"/>
          <w:sz w:val="20"/>
          <w:szCs w:val="20"/>
        </w:rPr>
        <w:t xml:space="preserve">432'den 462'ye yükseltmiş ancak yine de bu yüksek artış 34 OECD üye ülkesi içinde </w:t>
      </w:r>
      <w:r w:rsidR="00EE7537" w:rsidRPr="00D024FC">
        <w:rPr>
          <w:rFonts w:ascii="Arial" w:hAnsi="Arial" w:cs="Arial"/>
          <w:sz w:val="20"/>
          <w:szCs w:val="20"/>
        </w:rPr>
        <w:t xml:space="preserve">sondan üçüncü olan </w:t>
      </w:r>
      <w:r w:rsidR="001C7835" w:rsidRPr="00D024FC">
        <w:rPr>
          <w:rFonts w:ascii="Arial" w:hAnsi="Arial" w:cs="Arial"/>
          <w:sz w:val="20"/>
          <w:szCs w:val="20"/>
        </w:rPr>
        <w:t>sıralamasını</w:t>
      </w:r>
      <w:r w:rsidR="00EE7537" w:rsidRPr="00D024FC">
        <w:rPr>
          <w:rFonts w:ascii="Arial" w:hAnsi="Arial" w:cs="Arial"/>
          <w:sz w:val="20"/>
          <w:szCs w:val="20"/>
        </w:rPr>
        <w:t>n</w:t>
      </w:r>
      <w:r w:rsidR="001C7835" w:rsidRPr="00D024FC">
        <w:rPr>
          <w:rFonts w:ascii="Arial" w:hAnsi="Arial" w:cs="Arial"/>
          <w:sz w:val="20"/>
          <w:szCs w:val="20"/>
        </w:rPr>
        <w:t xml:space="preserve"> değişmesi için yeterli olmamıştır. </w:t>
      </w:r>
      <w:r w:rsidR="00EE7537" w:rsidRPr="00D024FC">
        <w:rPr>
          <w:rFonts w:ascii="Arial" w:hAnsi="Arial" w:cs="Arial"/>
          <w:sz w:val="20"/>
          <w:szCs w:val="20"/>
        </w:rPr>
        <w:t>S</w:t>
      </w:r>
      <w:r w:rsidR="001C7835" w:rsidRPr="00D024FC">
        <w:rPr>
          <w:rFonts w:ascii="Arial" w:hAnsi="Arial" w:cs="Arial"/>
          <w:sz w:val="20"/>
          <w:szCs w:val="20"/>
        </w:rPr>
        <w:t xml:space="preserve">ınavların uygulandığı </w:t>
      </w:r>
      <w:r w:rsidR="00D65845" w:rsidRPr="00D024FC">
        <w:rPr>
          <w:rFonts w:ascii="Arial" w:hAnsi="Arial" w:cs="Arial"/>
          <w:sz w:val="20"/>
          <w:szCs w:val="20"/>
        </w:rPr>
        <w:t>üç</w:t>
      </w:r>
      <w:r w:rsidR="0000345B" w:rsidRPr="00D024FC">
        <w:rPr>
          <w:rFonts w:ascii="Arial" w:hAnsi="Arial" w:cs="Arial"/>
          <w:sz w:val="20"/>
          <w:szCs w:val="20"/>
        </w:rPr>
        <w:t xml:space="preserve"> </w:t>
      </w:r>
      <w:r w:rsidR="001C7835" w:rsidRPr="00D024FC">
        <w:rPr>
          <w:rFonts w:ascii="Arial" w:hAnsi="Arial" w:cs="Arial"/>
          <w:sz w:val="20"/>
          <w:szCs w:val="20"/>
        </w:rPr>
        <w:t>alanda da OE</w:t>
      </w:r>
      <w:r w:rsidR="00EE7537" w:rsidRPr="00D024FC">
        <w:rPr>
          <w:rFonts w:ascii="Arial" w:hAnsi="Arial" w:cs="Arial"/>
          <w:sz w:val="20"/>
          <w:szCs w:val="20"/>
        </w:rPr>
        <w:t>CD ortalamalarıyla aradaki farkların</w:t>
      </w:r>
      <w:r w:rsidR="001C7835" w:rsidRPr="00D024FC">
        <w:rPr>
          <w:rFonts w:ascii="Arial" w:hAnsi="Arial" w:cs="Arial"/>
          <w:sz w:val="20"/>
          <w:szCs w:val="20"/>
        </w:rPr>
        <w:t xml:space="preserve"> kademeli olarak </w:t>
      </w:r>
      <w:r w:rsidR="00FD6921" w:rsidRPr="00D024FC">
        <w:rPr>
          <w:rFonts w:ascii="Arial" w:hAnsi="Arial" w:cs="Arial"/>
          <w:sz w:val="20"/>
          <w:szCs w:val="20"/>
        </w:rPr>
        <w:t>önemli ölçüde azaltılmasına</w:t>
      </w:r>
      <w:r w:rsidR="001C7835" w:rsidRPr="00D024FC">
        <w:rPr>
          <w:rFonts w:ascii="Arial" w:hAnsi="Arial" w:cs="Arial"/>
          <w:sz w:val="20"/>
          <w:szCs w:val="20"/>
        </w:rPr>
        <w:t xml:space="preserve"> rağmen</w:t>
      </w:r>
      <w:r w:rsidR="00DA5E98" w:rsidRPr="00D024FC">
        <w:rPr>
          <w:rFonts w:ascii="Arial" w:hAnsi="Arial" w:cs="Arial"/>
          <w:sz w:val="20"/>
          <w:szCs w:val="20"/>
        </w:rPr>
        <w:t>,</w:t>
      </w:r>
      <w:r w:rsidR="001C7835" w:rsidRPr="00D024FC">
        <w:rPr>
          <w:rFonts w:ascii="Arial" w:hAnsi="Arial" w:cs="Arial"/>
          <w:sz w:val="20"/>
          <w:szCs w:val="20"/>
        </w:rPr>
        <w:t xml:space="preserve"> Türkiye'deki öğrencilerin başarı seviyesi </w:t>
      </w:r>
      <w:r w:rsidR="000F2BF7" w:rsidRPr="00D024FC">
        <w:rPr>
          <w:rFonts w:ascii="Arial" w:hAnsi="Arial" w:cs="Arial"/>
          <w:sz w:val="20"/>
          <w:szCs w:val="20"/>
        </w:rPr>
        <w:t xml:space="preserve">OECD ortalamasına göre halen </w:t>
      </w:r>
      <w:r w:rsidR="00EE7537" w:rsidRPr="00D024FC">
        <w:rPr>
          <w:rFonts w:ascii="Arial" w:hAnsi="Arial" w:cs="Arial"/>
          <w:sz w:val="20"/>
          <w:szCs w:val="20"/>
        </w:rPr>
        <w:t>oldukça</w:t>
      </w:r>
      <w:r w:rsidR="001C7835" w:rsidRPr="00D024FC">
        <w:rPr>
          <w:rFonts w:ascii="Arial" w:hAnsi="Arial" w:cs="Arial"/>
          <w:sz w:val="20"/>
          <w:szCs w:val="20"/>
        </w:rPr>
        <w:t xml:space="preserve"> düşüktür. </w:t>
      </w:r>
    </w:p>
    <w:p w:rsidR="00B56953" w:rsidRPr="00D024FC" w:rsidRDefault="00DA5E98" w:rsidP="003A21D8">
      <w:pPr>
        <w:jc w:val="both"/>
        <w:rPr>
          <w:rFonts w:ascii="Arial" w:hAnsi="Arial" w:cs="Arial"/>
          <w:sz w:val="20"/>
          <w:szCs w:val="20"/>
        </w:rPr>
      </w:pPr>
      <w:r w:rsidRPr="00D024FC">
        <w:rPr>
          <w:rFonts w:ascii="Arial" w:hAnsi="Arial" w:cs="Arial"/>
          <w:sz w:val="20"/>
          <w:szCs w:val="20"/>
        </w:rPr>
        <w:t xml:space="preserve">Diğer taraftan, 2006-2012 döneminde </w:t>
      </w:r>
      <w:r w:rsidR="00556DAC" w:rsidRPr="00D024FC">
        <w:rPr>
          <w:rFonts w:ascii="Arial" w:hAnsi="Arial" w:cs="Arial"/>
          <w:sz w:val="20"/>
          <w:szCs w:val="20"/>
        </w:rPr>
        <w:t xml:space="preserve">bütün öğrenciler içinde </w:t>
      </w:r>
      <w:r w:rsidR="00447F40" w:rsidRPr="00D024FC">
        <w:rPr>
          <w:rFonts w:ascii="Arial" w:hAnsi="Arial" w:cs="Arial"/>
          <w:sz w:val="20"/>
          <w:szCs w:val="20"/>
        </w:rPr>
        <w:t xml:space="preserve">yüksek performanslı </w:t>
      </w:r>
      <w:r w:rsidR="00EE7537" w:rsidRPr="00D024FC">
        <w:rPr>
          <w:rFonts w:ascii="Arial" w:hAnsi="Arial" w:cs="Arial"/>
          <w:sz w:val="20"/>
          <w:szCs w:val="20"/>
        </w:rPr>
        <w:t>öğrencilerin payında artış,</w:t>
      </w:r>
      <w:r w:rsidR="00447F40" w:rsidRPr="00D024FC">
        <w:rPr>
          <w:rFonts w:ascii="Arial" w:hAnsi="Arial" w:cs="Arial"/>
          <w:sz w:val="20"/>
          <w:szCs w:val="20"/>
        </w:rPr>
        <w:t xml:space="preserve"> düşük performanslı öğrencilerin </w:t>
      </w:r>
      <w:r w:rsidR="00EE7537" w:rsidRPr="00D024FC">
        <w:rPr>
          <w:rFonts w:ascii="Arial" w:hAnsi="Arial" w:cs="Arial"/>
          <w:sz w:val="20"/>
          <w:szCs w:val="20"/>
        </w:rPr>
        <w:t>payında ise azalma olmuştur.</w:t>
      </w:r>
      <w:r w:rsidR="0000345B" w:rsidRPr="00D024FC">
        <w:rPr>
          <w:rFonts w:ascii="Arial" w:hAnsi="Arial" w:cs="Arial"/>
          <w:sz w:val="20"/>
          <w:szCs w:val="20"/>
        </w:rPr>
        <w:t xml:space="preserve"> </w:t>
      </w:r>
      <w:r w:rsidR="00EE7537" w:rsidRPr="00D024FC">
        <w:rPr>
          <w:rFonts w:ascii="Arial" w:hAnsi="Arial" w:cs="Arial"/>
          <w:sz w:val="20"/>
          <w:szCs w:val="20"/>
        </w:rPr>
        <w:t>Bu değişimlere paralel olarak</w:t>
      </w:r>
      <w:r w:rsidR="00447F40" w:rsidRPr="00D024FC">
        <w:rPr>
          <w:rFonts w:ascii="Arial" w:hAnsi="Arial" w:cs="Arial"/>
          <w:sz w:val="20"/>
          <w:szCs w:val="20"/>
        </w:rPr>
        <w:t xml:space="preserve"> gelecekte işgücünün ana gövdesini oluşturacak orta seviyedeki öğrencilerin payı art</w:t>
      </w:r>
      <w:r w:rsidR="00EE7537" w:rsidRPr="00D024FC">
        <w:rPr>
          <w:rFonts w:ascii="Arial" w:hAnsi="Arial" w:cs="Arial"/>
          <w:sz w:val="20"/>
          <w:szCs w:val="20"/>
        </w:rPr>
        <w:t>mıştır</w:t>
      </w:r>
      <w:r w:rsidR="00447F40" w:rsidRPr="00D024FC">
        <w:rPr>
          <w:rFonts w:ascii="Arial" w:hAnsi="Arial" w:cs="Arial"/>
          <w:sz w:val="20"/>
          <w:szCs w:val="20"/>
        </w:rPr>
        <w:t xml:space="preserve">. Türkiye'nin </w:t>
      </w:r>
      <w:r w:rsidR="00FD6921" w:rsidRPr="00D024FC">
        <w:rPr>
          <w:rFonts w:ascii="Arial" w:hAnsi="Arial" w:cs="Arial"/>
          <w:sz w:val="20"/>
          <w:szCs w:val="20"/>
        </w:rPr>
        <w:t xml:space="preserve">2003 yılından itibaren yüksek puan artışları, daha çok köy okullarındaki ve yoksul hanelerden gelen öğrencilerin başarısından kaynaklanmaktadır. </w:t>
      </w:r>
      <w:r w:rsidR="00447F40" w:rsidRPr="00D024FC">
        <w:rPr>
          <w:rFonts w:ascii="Arial" w:hAnsi="Arial" w:cs="Arial"/>
          <w:sz w:val="20"/>
          <w:szCs w:val="20"/>
        </w:rPr>
        <w:t>Bu anlamda, sonuçlar Türkiye'de eğitimd</w:t>
      </w:r>
      <w:r w:rsidR="00AF71D7" w:rsidRPr="00D024FC">
        <w:rPr>
          <w:rFonts w:ascii="Arial" w:hAnsi="Arial" w:cs="Arial"/>
          <w:sz w:val="20"/>
          <w:szCs w:val="20"/>
        </w:rPr>
        <w:t>e eşitsizliğin nispeten azaldığına</w:t>
      </w:r>
      <w:r w:rsidR="00447F40" w:rsidRPr="00D024FC">
        <w:rPr>
          <w:rFonts w:ascii="Arial" w:hAnsi="Arial" w:cs="Arial"/>
          <w:sz w:val="20"/>
          <w:szCs w:val="20"/>
        </w:rPr>
        <w:t xml:space="preserve"> işaret etse de eşitsizlik OECD ortalamasına göre halen yüksektir. </w:t>
      </w:r>
    </w:p>
    <w:p w:rsidR="00537D81" w:rsidRPr="00D024FC" w:rsidRDefault="00537D81" w:rsidP="003A21D8">
      <w:pPr>
        <w:jc w:val="both"/>
        <w:rPr>
          <w:rFonts w:ascii="Arial" w:hAnsi="Arial" w:cs="Arial"/>
          <w:color w:val="FF0000"/>
          <w:sz w:val="20"/>
          <w:szCs w:val="20"/>
        </w:rPr>
      </w:pPr>
    </w:p>
    <w:p w:rsidR="009228C3" w:rsidRPr="00D024FC" w:rsidRDefault="00772E88" w:rsidP="009228C3">
      <w:pPr>
        <w:rPr>
          <w:rFonts w:ascii="Arial" w:hAnsi="Arial" w:cs="Arial"/>
          <w:b/>
        </w:rPr>
      </w:pPr>
      <w:r w:rsidRPr="00D024FC">
        <w:rPr>
          <w:rFonts w:ascii="Arial" w:hAnsi="Arial" w:cs="Arial"/>
          <w:b/>
        </w:rPr>
        <w:t>P</w:t>
      </w:r>
      <w:r w:rsidR="009228C3" w:rsidRPr="00D024FC">
        <w:rPr>
          <w:rFonts w:ascii="Arial" w:hAnsi="Arial" w:cs="Arial"/>
          <w:b/>
        </w:rPr>
        <w:t xml:space="preserve">erformansı en hızlı artan ülke Türkiye </w:t>
      </w:r>
    </w:p>
    <w:p w:rsidR="00270EA1" w:rsidRPr="00D024FC" w:rsidRDefault="00310348" w:rsidP="00815533">
      <w:pPr>
        <w:jc w:val="both"/>
        <w:rPr>
          <w:rFonts w:ascii="Arial" w:hAnsi="Arial" w:cs="Arial"/>
          <w:sz w:val="20"/>
          <w:szCs w:val="20"/>
        </w:rPr>
      </w:pPr>
      <w:r w:rsidRPr="00D024FC">
        <w:rPr>
          <w:rFonts w:ascii="Arial" w:hAnsi="Arial" w:cs="Arial"/>
          <w:sz w:val="20"/>
          <w:szCs w:val="20"/>
        </w:rPr>
        <w:t>Sonuncusu 2012 yılında olmak üzere Ekonomik İşbirliği ve Kalkınma Örgütü</w:t>
      </w:r>
      <w:r w:rsidR="0000345B" w:rsidRPr="00D024FC">
        <w:rPr>
          <w:rFonts w:ascii="Arial" w:hAnsi="Arial" w:cs="Arial"/>
          <w:sz w:val="20"/>
          <w:szCs w:val="20"/>
        </w:rPr>
        <w:t xml:space="preserve"> </w:t>
      </w:r>
      <w:r w:rsidRPr="00D024FC">
        <w:rPr>
          <w:rFonts w:ascii="Arial" w:hAnsi="Arial" w:cs="Arial"/>
          <w:sz w:val="20"/>
          <w:szCs w:val="20"/>
        </w:rPr>
        <w:t>(OECD) tarafından 2000 yılından itibaren üç yıllık aralıklar</w:t>
      </w:r>
      <w:r w:rsidR="00623337" w:rsidRPr="00D024FC">
        <w:rPr>
          <w:rFonts w:ascii="Arial" w:hAnsi="Arial" w:cs="Arial"/>
          <w:sz w:val="20"/>
          <w:szCs w:val="20"/>
        </w:rPr>
        <w:t>l</w:t>
      </w:r>
      <w:r w:rsidRPr="00D024FC">
        <w:rPr>
          <w:rFonts w:ascii="Arial" w:hAnsi="Arial" w:cs="Arial"/>
          <w:sz w:val="20"/>
          <w:szCs w:val="20"/>
        </w:rPr>
        <w:t>a Uluslararası Öğrenci Değerlendirme Programı (PISA) adı altında bir eğitim araştırması düzenlenmektedir. PISA araştırması 1</w:t>
      </w:r>
      <w:r w:rsidR="009A1647" w:rsidRPr="00D024FC">
        <w:rPr>
          <w:rFonts w:ascii="Arial" w:hAnsi="Arial" w:cs="Arial"/>
          <w:sz w:val="20"/>
          <w:szCs w:val="20"/>
        </w:rPr>
        <w:t>5 yaş grubunda</w:t>
      </w:r>
      <w:r w:rsidR="005C2F02" w:rsidRPr="00D024FC">
        <w:rPr>
          <w:rFonts w:ascii="Arial" w:hAnsi="Arial" w:cs="Arial"/>
          <w:sz w:val="20"/>
          <w:szCs w:val="20"/>
        </w:rPr>
        <w:t>,</w:t>
      </w:r>
      <w:r w:rsidRPr="00D024FC">
        <w:rPr>
          <w:rFonts w:ascii="Arial" w:hAnsi="Arial" w:cs="Arial"/>
          <w:sz w:val="20"/>
          <w:szCs w:val="20"/>
        </w:rPr>
        <w:t xml:space="preserve"> en az 7 yıl öğrenim görmüş öğrencilerin fen bilimleri, matematik ve </w:t>
      </w:r>
      <w:r w:rsidR="004F5B4B" w:rsidRPr="00D024FC">
        <w:rPr>
          <w:rFonts w:ascii="Arial" w:hAnsi="Arial" w:cs="Arial"/>
          <w:sz w:val="20"/>
          <w:szCs w:val="20"/>
        </w:rPr>
        <w:t xml:space="preserve">okuma </w:t>
      </w:r>
      <w:r w:rsidRPr="00D024FC">
        <w:rPr>
          <w:rFonts w:ascii="Arial" w:hAnsi="Arial" w:cs="Arial"/>
          <w:sz w:val="20"/>
          <w:szCs w:val="20"/>
        </w:rPr>
        <w:t>alanlarındaki bilgi, birikim ve becerilerini ölçmek</w:t>
      </w:r>
      <w:r w:rsidR="005A449D" w:rsidRPr="00D024FC">
        <w:rPr>
          <w:rFonts w:ascii="Arial" w:hAnsi="Arial" w:cs="Arial"/>
          <w:sz w:val="20"/>
          <w:szCs w:val="20"/>
        </w:rPr>
        <w:t>te, aynı zamanda da</w:t>
      </w:r>
      <w:r w:rsidRPr="00D024FC">
        <w:rPr>
          <w:rFonts w:ascii="Arial" w:hAnsi="Arial" w:cs="Arial"/>
          <w:sz w:val="20"/>
          <w:szCs w:val="20"/>
        </w:rPr>
        <w:t xml:space="preserve">, </w:t>
      </w:r>
      <w:r w:rsidR="005A449D" w:rsidRPr="00D024FC">
        <w:rPr>
          <w:rFonts w:ascii="Arial" w:hAnsi="Arial" w:cs="Arial"/>
          <w:sz w:val="20"/>
          <w:szCs w:val="20"/>
        </w:rPr>
        <w:t xml:space="preserve">öğrencilerin </w:t>
      </w:r>
      <w:r w:rsidRPr="00D024FC">
        <w:rPr>
          <w:rFonts w:ascii="Arial" w:hAnsi="Arial" w:cs="Arial"/>
          <w:sz w:val="20"/>
          <w:szCs w:val="20"/>
        </w:rPr>
        <w:t xml:space="preserve">aileleri ve okul ortamlarıyla ilgili </w:t>
      </w:r>
      <w:r w:rsidR="005A449D" w:rsidRPr="00D024FC">
        <w:rPr>
          <w:rFonts w:ascii="Arial" w:hAnsi="Arial" w:cs="Arial"/>
          <w:sz w:val="20"/>
          <w:szCs w:val="20"/>
        </w:rPr>
        <w:t>ay</w:t>
      </w:r>
      <w:r w:rsidR="00CD535B" w:rsidRPr="00D024FC">
        <w:rPr>
          <w:rFonts w:ascii="Arial" w:hAnsi="Arial" w:cs="Arial"/>
          <w:sz w:val="20"/>
          <w:szCs w:val="20"/>
        </w:rPr>
        <w:t xml:space="preserve">rıntılı bilgiler </w:t>
      </w:r>
      <w:r w:rsidR="009B6148" w:rsidRPr="00D024FC">
        <w:rPr>
          <w:rFonts w:ascii="Arial" w:hAnsi="Arial" w:cs="Arial"/>
          <w:sz w:val="20"/>
          <w:szCs w:val="20"/>
        </w:rPr>
        <w:t>i</w:t>
      </w:r>
      <w:r w:rsidR="004F5B4B" w:rsidRPr="00D024FC">
        <w:rPr>
          <w:rFonts w:ascii="Arial" w:hAnsi="Arial" w:cs="Arial"/>
          <w:sz w:val="20"/>
          <w:szCs w:val="20"/>
        </w:rPr>
        <w:t>çermektedir</w:t>
      </w:r>
      <w:r w:rsidR="00AC5419" w:rsidRPr="00D024FC">
        <w:rPr>
          <w:rFonts w:ascii="Arial" w:hAnsi="Arial" w:cs="Arial"/>
          <w:sz w:val="20"/>
          <w:szCs w:val="20"/>
        </w:rPr>
        <w:t>.</w:t>
      </w:r>
      <w:r w:rsidR="00AF5E11" w:rsidRPr="00D024FC">
        <w:rPr>
          <w:rStyle w:val="FootnoteReference"/>
          <w:rFonts w:ascii="Arial" w:hAnsi="Arial" w:cs="Arial"/>
          <w:sz w:val="20"/>
          <w:szCs w:val="20"/>
        </w:rPr>
        <w:footnoteReference w:id="4"/>
      </w:r>
      <w:r w:rsidR="00370BBA" w:rsidRPr="00D024FC">
        <w:rPr>
          <w:rFonts w:ascii="Arial" w:hAnsi="Arial" w:cs="Arial"/>
          <w:sz w:val="20"/>
          <w:szCs w:val="20"/>
        </w:rPr>
        <w:t xml:space="preserve"> </w:t>
      </w:r>
      <w:r w:rsidR="00270EA1" w:rsidRPr="00D024FC">
        <w:rPr>
          <w:rFonts w:ascii="Arial" w:hAnsi="Arial" w:cs="Arial"/>
          <w:sz w:val="20"/>
          <w:szCs w:val="20"/>
        </w:rPr>
        <w:t>Bu anlamda</w:t>
      </w:r>
      <w:r w:rsidR="0000345B" w:rsidRPr="00D024FC">
        <w:rPr>
          <w:rFonts w:ascii="Arial" w:hAnsi="Arial" w:cs="Arial"/>
          <w:sz w:val="20"/>
          <w:szCs w:val="20"/>
        </w:rPr>
        <w:t>,</w:t>
      </w:r>
      <w:r w:rsidR="00270EA1" w:rsidRPr="00D024FC">
        <w:rPr>
          <w:rFonts w:ascii="Arial" w:hAnsi="Arial" w:cs="Arial"/>
          <w:sz w:val="20"/>
          <w:szCs w:val="20"/>
        </w:rPr>
        <w:t xml:space="preserve"> PISA araştırmaları uluslararası alanda öğrencilerin başarılarının karşılaştırılmasına ve ülkelerin eğitim sistemlerinin değerlendirilmesine olanak sağlamaktadır.</w:t>
      </w:r>
      <w:r w:rsidR="009B6148" w:rsidRPr="00D024FC">
        <w:rPr>
          <w:rFonts w:ascii="Arial" w:hAnsi="Arial" w:cs="Arial"/>
          <w:sz w:val="20"/>
          <w:szCs w:val="20"/>
        </w:rPr>
        <w:t xml:space="preserve"> </w:t>
      </w:r>
      <w:r w:rsidR="00270EA1" w:rsidRPr="00D024FC">
        <w:rPr>
          <w:rFonts w:ascii="Arial" w:hAnsi="Arial" w:cs="Arial"/>
          <w:sz w:val="20"/>
          <w:szCs w:val="20"/>
        </w:rPr>
        <w:t xml:space="preserve">Bu araştırmalar bir çok ülkenin </w:t>
      </w:r>
      <w:r w:rsidR="00B55E87" w:rsidRPr="00D024FC">
        <w:rPr>
          <w:rFonts w:ascii="Arial" w:hAnsi="Arial" w:cs="Arial"/>
          <w:sz w:val="20"/>
          <w:szCs w:val="20"/>
        </w:rPr>
        <w:t xml:space="preserve">eğitim sistemlerinin </w:t>
      </w:r>
      <w:r w:rsidR="00270EA1" w:rsidRPr="00D024FC">
        <w:rPr>
          <w:rFonts w:ascii="Arial" w:hAnsi="Arial" w:cs="Arial"/>
          <w:sz w:val="20"/>
          <w:szCs w:val="20"/>
        </w:rPr>
        <w:t xml:space="preserve">zayıf ve güçlü taraflarının değerlendirilmesi için gerekli verileri sunmaktadır. </w:t>
      </w:r>
    </w:p>
    <w:p w:rsidR="00EF016C" w:rsidRPr="00D024FC" w:rsidRDefault="00B55E87" w:rsidP="00815533">
      <w:pPr>
        <w:jc w:val="both"/>
        <w:rPr>
          <w:rFonts w:ascii="Arial" w:hAnsi="Arial" w:cs="Arial"/>
          <w:sz w:val="20"/>
          <w:szCs w:val="20"/>
        </w:rPr>
      </w:pPr>
      <w:r w:rsidRPr="00D024FC">
        <w:rPr>
          <w:rFonts w:ascii="Arial" w:hAnsi="Arial" w:cs="Arial"/>
          <w:sz w:val="20"/>
          <w:szCs w:val="20"/>
        </w:rPr>
        <w:t>PISA 2012</w:t>
      </w:r>
      <w:r w:rsidR="00270EA1" w:rsidRPr="00D024FC">
        <w:rPr>
          <w:rFonts w:ascii="Arial" w:hAnsi="Arial" w:cs="Arial"/>
          <w:sz w:val="20"/>
          <w:szCs w:val="20"/>
        </w:rPr>
        <w:t xml:space="preserve"> araştırmasının sonuçları Aralık</w:t>
      </w:r>
      <w:r w:rsidR="00D024FC">
        <w:rPr>
          <w:rFonts w:ascii="Arial" w:hAnsi="Arial" w:cs="Arial"/>
          <w:sz w:val="20"/>
          <w:szCs w:val="20"/>
        </w:rPr>
        <w:t xml:space="preserve"> </w:t>
      </w:r>
      <w:r w:rsidRPr="00D024FC">
        <w:rPr>
          <w:rFonts w:ascii="Arial" w:hAnsi="Arial" w:cs="Arial"/>
          <w:sz w:val="20"/>
          <w:szCs w:val="20"/>
        </w:rPr>
        <w:t>2013'te yayınlanmıştır</w:t>
      </w:r>
      <w:r w:rsidR="00270EA1" w:rsidRPr="00D024FC">
        <w:rPr>
          <w:rFonts w:ascii="Arial" w:hAnsi="Arial" w:cs="Arial"/>
          <w:sz w:val="20"/>
          <w:szCs w:val="20"/>
        </w:rPr>
        <w:t>.</w:t>
      </w:r>
      <w:r w:rsidRPr="00D024FC">
        <w:rPr>
          <w:rFonts w:ascii="Arial" w:hAnsi="Arial" w:cs="Arial"/>
          <w:sz w:val="20"/>
          <w:szCs w:val="20"/>
        </w:rPr>
        <w:t xml:space="preserve"> 2012 PISA uygulaması</w:t>
      </w:r>
      <w:r w:rsidR="0015592F" w:rsidRPr="00D024FC">
        <w:rPr>
          <w:rFonts w:ascii="Arial" w:hAnsi="Arial" w:cs="Arial"/>
          <w:sz w:val="20"/>
          <w:szCs w:val="20"/>
        </w:rPr>
        <w:t>n</w:t>
      </w:r>
      <w:r w:rsidR="00270EA1" w:rsidRPr="00D024FC">
        <w:rPr>
          <w:rFonts w:ascii="Arial" w:hAnsi="Arial" w:cs="Arial"/>
          <w:sz w:val="20"/>
          <w:szCs w:val="20"/>
        </w:rPr>
        <w:t xml:space="preserve">a </w:t>
      </w:r>
      <w:r w:rsidRPr="00D024FC">
        <w:rPr>
          <w:rFonts w:ascii="Arial" w:hAnsi="Arial" w:cs="Arial"/>
          <w:sz w:val="20"/>
          <w:szCs w:val="20"/>
        </w:rPr>
        <w:t xml:space="preserve">34'ü OECD </w:t>
      </w:r>
      <w:r w:rsidR="00270EA1" w:rsidRPr="00D024FC">
        <w:rPr>
          <w:rFonts w:ascii="Arial" w:hAnsi="Arial" w:cs="Arial"/>
          <w:sz w:val="20"/>
          <w:szCs w:val="20"/>
        </w:rPr>
        <w:t xml:space="preserve">üyesi olmak üzere </w:t>
      </w:r>
      <w:r w:rsidRPr="00D024FC">
        <w:rPr>
          <w:rFonts w:ascii="Arial" w:hAnsi="Arial" w:cs="Arial"/>
          <w:sz w:val="20"/>
          <w:szCs w:val="20"/>
        </w:rPr>
        <w:t xml:space="preserve">65 ülkeden 28 milyon öğrenciyi temsilen </w:t>
      </w:r>
      <w:r w:rsidR="00FD6921" w:rsidRPr="00D024FC">
        <w:rPr>
          <w:rFonts w:ascii="Arial" w:hAnsi="Arial" w:cs="Arial"/>
          <w:sz w:val="20"/>
          <w:szCs w:val="20"/>
        </w:rPr>
        <w:t xml:space="preserve">yaklaşık </w:t>
      </w:r>
      <w:r w:rsidRPr="00D024FC">
        <w:rPr>
          <w:rFonts w:ascii="Arial" w:hAnsi="Arial" w:cs="Arial"/>
          <w:sz w:val="20"/>
          <w:szCs w:val="20"/>
        </w:rPr>
        <w:t>510 bin öğrenci</w:t>
      </w:r>
      <w:r w:rsidR="00270EA1" w:rsidRPr="00D024FC">
        <w:rPr>
          <w:rFonts w:ascii="Arial" w:hAnsi="Arial" w:cs="Arial"/>
          <w:sz w:val="20"/>
          <w:szCs w:val="20"/>
        </w:rPr>
        <w:t xml:space="preserve"> katılmıştır. Türkiye’den bu araştırmaya katılan öğrenci sayısı ise 4848’dir. Öte yandan</w:t>
      </w:r>
      <w:r w:rsidR="0000345B" w:rsidRPr="00D024FC">
        <w:rPr>
          <w:rFonts w:ascii="Arial" w:hAnsi="Arial" w:cs="Arial"/>
          <w:sz w:val="20"/>
          <w:szCs w:val="20"/>
        </w:rPr>
        <w:t>,</w:t>
      </w:r>
      <w:r w:rsidR="00270EA1" w:rsidRPr="00D024FC">
        <w:rPr>
          <w:rFonts w:ascii="Arial" w:hAnsi="Arial" w:cs="Arial"/>
          <w:sz w:val="20"/>
          <w:szCs w:val="20"/>
        </w:rPr>
        <w:t xml:space="preserve"> </w:t>
      </w:r>
      <w:r w:rsidRPr="00D024FC">
        <w:rPr>
          <w:rFonts w:ascii="Arial" w:hAnsi="Arial" w:cs="Arial"/>
          <w:sz w:val="20"/>
          <w:szCs w:val="20"/>
        </w:rPr>
        <w:t xml:space="preserve">Türkiye PISA programına 2003 yılından itibaren </w:t>
      </w:r>
      <w:r w:rsidR="00552866" w:rsidRPr="00D024FC">
        <w:rPr>
          <w:rFonts w:ascii="Arial" w:hAnsi="Arial" w:cs="Arial"/>
          <w:sz w:val="20"/>
          <w:szCs w:val="20"/>
        </w:rPr>
        <w:t xml:space="preserve">düzenli olarak </w:t>
      </w:r>
      <w:r w:rsidRPr="00D024FC">
        <w:rPr>
          <w:rFonts w:ascii="Arial" w:hAnsi="Arial" w:cs="Arial"/>
          <w:sz w:val="20"/>
          <w:szCs w:val="20"/>
        </w:rPr>
        <w:t xml:space="preserve">katılmaktadır. Yayınlanan </w:t>
      </w:r>
      <w:r w:rsidR="00B418F4" w:rsidRPr="00D024FC">
        <w:rPr>
          <w:rFonts w:ascii="Arial" w:hAnsi="Arial" w:cs="Arial"/>
          <w:sz w:val="20"/>
          <w:szCs w:val="20"/>
        </w:rPr>
        <w:t xml:space="preserve">2012 </w:t>
      </w:r>
      <w:r w:rsidRPr="00D024FC">
        <w:rPr>
          <w:rFonts w:ascii="Arial" w:hAnsi="Arial" w:cs="Arial"/>
          <w:sz w:val="20"/>
          <w:szCs w:val="20"/>
        </w:rPr>
        <w:t xml:space="preserve">PISA sonuçlarına göre Türkiye önceki </w:t>
      </w:r>
      <w:r w:rsidR="00B418F4" w:rsidRPr="00D024FC">
        <w:rPr>
          <w:rFonts w:ascii="Arial" w:hAnsi="Arial" w:cs="Arial"/>
          <w:sz w:val="20"/>
          <w:szCs w:val="20"/>
        </w:rPr>
        <w:t xml:space="preserve">araştırmalara </w:t>
      </w:r>
      <w:r w:rsidRPr="00D024FC">
        <w:rPr>
          <w:rFonts w:ascii="Arial" w:hAnsi="Arial" w:cs="Arial"/>
          <w:sz w:val="20"/>
          <w:szCs w:val="20"/>
        </w:rPr>
        <w:t>kı</w:t>
      </w:r>
      <w:r w:rsidR="00B418F4" w:rsidRPr="00D024FC">
        <w:rPr>
          <w:rFonts w:ascii="Arial" w:hAnsi="Arial" w:cs="Arial"/>
          <w:sz w:val="20"/>
          <w:szCs w:val="20"/>
        </w:rPr>
        <w:t>yasla PISA puanı ortalamalarını</w:t>
      </w:r>
      <w:r w:rsidR="00DE7379" w:rsidRPr="00D024FC">
        <w:rPr>
          <w:rFonts w:ascii="Arial" w:hAnsi="Arial" w:cs="Arial"/>
          <w:sz w:val="20"/>
          <w:szCs w:val="20"/>
        </w:rPr>
        <w:t xml:space="preserve"> </w:t>
      </w:r>
      <w:r w:rsidR="0000345B" w:rsidRPr="00D024FC">
        <w:rPr>
          <w:rFonts w:ascii="Arial" w:hAnsi="Arial" w:cs="Arial"/>
          <w:sz w:val="20"/>
          <w:szCs w:val="20"/>
        </w:rPr>
        <w:t xml:space="preserve">önemli </w:t>
      </w:r>
      <w:r w:rsidRPr="00D024FC">
        <w:rPr>
          <w:rFonts w:ascii="Arial" w:hAnsi="Arial" w:cs="Arial"/>
          <w:sz w:val="20"/>
          <w:szCs w:val="20"/>
        </w:rPr>
        <w:t>oranlarda arttır</w:t>
      </w:r>
      <w:r w:rsidR="00B418F4" w:rsidRPr="00D024FC">
        <w:rPr>
          <w:rFonts w:ascii="Arial" w:hAnsi="Arial" w:cs="Arial"/>
          <w:sz w:val="20"/>
          <w:szCs w:val="20"/>
        </w:rPr>
        <w:t xml:space="preserve">mıştır. </w:t>
      </w:r>
      <w:r w:rsidR="0000345B" w:rsidRPr="00D024FC">
        <w:rPr>
          <w:rFonts w:ascii="Arial" w:hAnsi="Arial" w:cs="Arial"/>
          <w:sz w:val="20"/>
          <w:szCs w:val="20"/>
        </w:rPr>
        <w:t>PISA p</w:t>
      </w:r>
      <w:r w:rsidR="00552866" w:rsidRPr="00D024FC">
        <w:rPr>
          <w:rFonts w:ascii="Arial" w:hAnsi="Arial" w:cs="Arial"/>
          <w:sz w:val="20"/>
          <w:szCs w:val="20"/>
        </w:rPr>
        <w:t xml:space="preserve">uanlarındaki </w:t>
      </w:r>
      <w:r w:rsidR="00EF016C" w:rsidRPr="00D024FC">
        <w:rPr>
          <w:rFonts w:ascii="Arial" w:hAnsi="Arial" w:cs="Arial"/>
          <w:sz w:val="20"/>
          <w:szCs w:val="20"/>
        </w:rPr>
        <w:t xml:space="preserve">yüksek </w:t>
      </w:r>
      <w:r w:rsidR="00552866" w:rsidRPr="00D024FC">
        <w:rPr>
          <w:rFonts w:ascii="Arial" w:hAnsi="Arial" w:cs="Arial"/>
          <w:sz w:val="20"/>
          <w:szCs w:val="20"/>
        </w:rPr>
        <w:t xml:space="preserve">artışlara rağmen </w:t>
      </w:r>
      <w:r w:rsidRPr="00D024FC">
        <w:rPr>
          <w:rFonts w:ascii="Arial" w:hAnsi="Arial" w:cs="Arial"/>
          <w:sz w:val="20"/>
          <w:szCs w:val="20"/>
        </w:rPr>
        <w:t>OECD ülkeleri arasındaki sıralamasında de</w:t>
      </w:r>
      <w:r w:rsidR="00DB052B" w:rsidRPr="00D024FC">
        <w:rPr>
          <w:rFonts w:ascii="Arial" w:hAnsi="Arial" w:cs="Arial"/>
          <w:sz w:val="20"/>
          <w:szCs w:val="20"/>
        </w:rPr>
        <w:t xml:space="preserve">ğişiklik olmamıştır. </w:t>
      </w:r>
      <w:r w:rsidR="008F03B0">
        <w:rPr>
          <w:rFonts w:ascii="Arial" w:hAnsi="Arial" w:cs="Arial"/>
          <w:sz w:val="20"/>
          <w:szCs w:val="20"/>
        </w:rPr>
        <w:lastRenderedPageBreak/>
        <w:t>Türkiye h</w:t>
      </w:r>
      <w:r w:rsidR="00DB052B" w:rsidRPr="00D024FC">
        <w:rPr>
          <w:rFonts w:ascii="Arial" w:hAnsi="Arial" w:cs="Arial"/>
          <w:sz w:val="20"/>
          <w:szCs w:val="20"/>
        </w:rPr>
        <w:t>alen b</w:t>
      </w:r>
      <w:r w:rsidR="00B418F4" w:rsidRPr="00D024FC">
        <w:rPr>
          <w:rFonts w:ascii="Arial" w:hAnsi="Arial" w:cs="Arial"/>
          <w:sz w:val="20"/>
          <w:szCs w:val="20"/>
        </w:rPr>
        <w:t>u ülkeler arasında</w:t>
      </w:r>
      <w:r w:rsidR="009B6148" w:rsidRPr="00D024FC">
        <w:rPr>
          <w:rFonts w:ascii="Arial" w:hAnsi="Arial" w:cs="Arial"/>
          <w:sz w:val="20"/>
          <w:szCs w:val="20"/>
        </w:rPr>
        <w:t xml:space="preserve"> </w:t>
      </w:r>
      <w:r w:rsidR="00DE7379" w:rsidRPr="00D024FC">
        <w:rPr>
          <w:rFonts w:ascii="Arial" w:hAnsi="Arial" w:cs="Arial"/>
          <w:sz w:val="20"/>
          <w:szCs w:val="20"/>
        </w:rPr>
        <w:t>sondan üçüncü</w:t>
      </w:r>
      <w:r w:rsidRPr="00D024FC">
        <w:rPr>
          <w:rFonts w:ascii="Arial" w:hAnsi="Arial" w:cs="Arial"/>
          <w:sz w:val="20"/>
          <w:szCs w:val="20"/>
        </w:rPr>
        <w:t xml:space="preserve"> sıradadır</w:t>
      </w:r>
      <w:r w:rsidR="00B418F4" w:rsidRPr="00D024FC">
        <w:rPr>
          <w:rFonts w:ascii="Arial" w:hAnsi="Arial" w:cs="Arial"/>
          <w:sz w:val="20"/>
          <w:szCs w:val="20"/>
        </w:rPr>
        <w:t xml:space="preserve">. </w:t>
      </w:r>
      <w:r w:rsidR="00EF016C" w:rsidRPr="00D024FC">
        <w:rPr>
          <w:rFonts w:ascii="Arial" w:hAnsi="Arial" w:cs="Arial"/>
          <w:sz w:val="20"/>
          <w:szCs w:val="20"/>
        </w:rPr>
        <w:t xml:space="preserve">Bununla birlikte üzerindeki ülkeler ile arasındaki farkı kapatmıştır. </w:t>
      </w:r>
    </w:p>
    <w:p w:rsidR="009B6148" w:rsidRPr="00D024FC" w:rsidRDefault="009B6148" w:rsidP="00815533">
      <w:pPr>
        <w:jc w:val="both"/>
        <w:rPr>
          <w:rFonts w:ascii="Arial" w:hAnsi="Arial" w:cs="Arial"/>
          <w:sz w:val="20"/>
          <w:szCs w:val="20"/>
        </w:rPr>
      </w:pPr>
      <w:r w:rsidRPr="00D024FC">
        <w:rPr>
          <w:noProof/>
        </w:rPr>
        <w:drawing>
          <wp:anchor distT="0" distB="0" distL="114300" distR="114300" simplePos="0" relativeHeight="251661312" behindDoc="0" locked="0" layoutInCell="1" allowOverlap="1">
            <wp:simplePos x="0" y="0"/>
            <wp:positionH relativeFrom="column">
              <wp:posOffset>2646045</wp:posOffset>
            </wp:positionH>
            <wp:positionV relativeFrom="paragraph">
              <wp:posOffset>648970</wp:posOffset>
            </wp:positionV>
            <wp:extent cx="3362960" cy="206692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4617B" w:rsidRPr="0024617B">
        <w:rPr>
          <w:noProof/>
        </w:rPr>
        <w:pict>
          <v:shape id="Text Box 19" o:spid="_x0000_s1028" type="#_x0000_t202" style="position:absolute;left:0;text-align:left;margin-left:209.6pt;margin-top:10.4pt;width:252.75pt;height:28.0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wKfgIAAAg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" stroked="f">
            <v:textbox inset="0,0,0,0">
              <w:txbxContent>
                <w:p w:rsidR="001E1A26" w:rsidRPr="00491955" w:rsidRDefault="001E1A26" w:rsidP="001E1A26">
                  <w:pPr>
                    <w:pStyle w:val="Caption"/>
                    <w:jc w:val="center"/>
                    <w:rPr>
                      <w:rFonts w:ascii="Arial" w:hAnsi="Arial" w:cs="Arial"/>
                      <w:noProof/>
                      <w:color w:val="auto"/>
                      <w:sz w:val="20"/>
                      <w:szCs w:val="20"/>
                    </w:rPr>
                  </w:pPr>
                  <w:r w:rsidRPr="00491955">
                    <w:rPr>
                      <w:rFonts w:ascii="Arial" w:hAnsi="Arial" w:cs="Arial"/>
                      <w:color w:val="auto"/>
                      <w:sz w:val="20"/>
                      <w:szCs w:val="20"/>
                    </w:rPr>
                    <w:t xml:space="preserve">Şekil </w:t>
                  </w:r>
                  <w:r w:rsidR="0024617B">
                    <w:rPr>
                      <w:rFonts w:ascii="Arial" w:hAnsi="Arial" w:cs="Arial"/>
                      <w:color w:val="auto"/>
                      <w:sz w:val="20"/>
                      <w:szCs w:val="20"/>
                    </w:rPr>
                    <w:fldChar w:fldCharType="begin"/>
                  </w:r>
                  <w:r w:rsidR="00FB13A1">
                    <w:rPr>
                      <w:rFonts w:ascii="Arial" w:hAnsi="Arial" w:cs="Arial"/>
                      <w:color w:val="auto"/>
                      <w:sz w:val="20"/>
                      <w:szCs w:val="20"/>
                    </w:rPr>
                    <w:instrText xml:space="preserve"> SEQ Şekil \* ARABIC </w:instrText>
                  </w:r>
                  <w:r w:rsidR="0024617B">
                    <w:rPr>
                      <w:rFonts w:ascii="Arial" w:hAnsi="Arial" w:cs="Arial"/>
                      <w:color w:val="auto"/>
                      <w:sz w:val="20"/>
                      <w:szCs w:val="20"/>
                    </w:rPr>
                    <w:fldChar w:fldCharType="separate"/>
                  </w:r>
                  <w:r w:rsidR="00FB13A1">
                    <w:rPr>
                      <w:rFonts w:ascii="Arial" w:hAnsi="Arial" w:cs="Arial"/>
                      <w:noProof/>
                      <w:color w:val="auto"/>
                      <w:sz w:val="20"/>
                      <w:szCs w:val="20"/>
                    </w:rPr>
                    <w:t>1</w:t>
                  </w:r>
                  <w:r w:rsidR="0024617B">
                    <w:rPr>
                      <w:rFonts w:ascii="Arial" w:hAnsi="Arial" w:cs="Arial"/>
                      <w:color w:val="auto"/>
                      <w:sz w:val="20"/>
                      <w:szCs w:val="20"/>
                    </w:rPr>
                    <w:fldChar w:fldCharType="end"/>
                  </w:r>
                  <w:r w:rsidRPr="00491955">
                    <w:rPr>
                      <w:rFonts w:ascii="Arial" w:hAnsi="Arial" w:cs="Arial"/>
                      <w:color w:val="auto"/>
                      <w:sz w:val="20"/>
                      <w:szCs w:val="20"/>
                    </w:rPr>
                    <w:t>: 2003-2012 Sınav türlerine göre Türkiye PISA ortalamaları</w:t>
                  </w:r>
                </w:p>
              </w:txbxContent>
            </v:textbox>
            <w10:wrap type="square"/>
          </v:shape>
        </w:pict>
      </w:r>
      <w:r w:rsidRPr="00D024FC">
        <w:rPr>
          <w:rFonts w:ascii="Arial" w:hAnsi="Arial" w:cs="Arial"/>
          <w:sz w:val="20"/>
          <w:szCs w:val="20"/>
        </w:rPr>
        <w:t xml:space="preserve">Türkiye'deki öğrencilerin okuma alanında, fen bilimleri ve matematik alanlarına kıyasla daha başarılı olduğu göze çarpmaktadır. Ayrıca tüm alanlarda ortalama PISA puanlarının </w:t>
      </w:r>
      <w:r w:rsidR="00552F4C" w:rsidRPr="00D024FC">
        <w:rPr>
          <w:rFonts w:ascii="Arial" w:hAnsi="Arial" w:cs="Arial"/>
          <w:sz w:val="20"/>
          <w:szCs w:val="20"/>
        </w:rPr>
        <w:t>2006 uygulamasıyla beraber hızla artmaya başla</w:t>
      </w:r>
      <w:r w:rsidR="009F0E90">
        <w:rPr>
          <w:rFonts w:ascii="Arial" w:hAnsi="Arial" w:cs="Arial"/>
          <w:sz w:val="20"/>
          <w:szCs w:val="20"/>
        </w:rPr>
        <w:t>mıştır</w:t>
      </w:r>
      <w:r w:rsidR="00552F4C" w:rsidRPr="00D024FC">
        <w:rPr>
          <w:rFonts w:ascii="Arial" w:hAnsi="Arial" w:cs="Arial"/>
          <w:sz w:val="20"/>
          <w:szCs w:val="20"/>
        </w:rPr>
        <w:t xml:space="preserve"> (Şekil 1</w:t>
      </w:r>
      <w:r w:rsidR="00AC29F7" w:rsidRPr="00D024FC">
        <w:rPr>
          <w:rFonts w:ascii="Arial" w:hAnsi="Arial" w:cs="Arial"/>
          <w:sz w:val="20"/>
          <w:szCs w:val="20"/>
        </w:rPr>
        <w:t>).</w:t>
      </w:r>
      <w:r w:rsidR="004C317D" w:rsidRPr="00D024FC">
        <w:rPr>
          <w:rStyle w:val="FootnoteReference"/>
          <w:rFonts w:ascii="Arial" w:hAnsi="Arial" w:cs="Arial"/>
          <w:sz w:val="20"/>
          <w:szCs w:val="20"/>
        </w:rPr>
        <w:t xml:space="preserve"> </w:t>
      </w:r>
      <w:r w:rsidR="004C317D" w:rsidRPr="00D024FC">
        <w:rPr>
          <w:rStyle w:val="FootnoteReference"/>
          <w:rFonts w:ascii="Arial" w:hAnsi="Arial" w:cs="Arial"/>
          <w:sz w:val="20"/>
          <w:szCs w:val="20"/>
        </w:rPr>
        <w:footnoteReference w:id="5"/>
      </w:r>
      <w:r w:rsidR="00AC29F7" w:rsidRPr="00D024FC">
        <w:rPr>
          <w:rFonts w:ascii="Arial" w:hAnsi="Arial" w:cs="Arial"/>
          <w:sz w:val="20"/>
          <w:szCs w:val="20"/>
        </w:rPr>
        <w:t xml:space="preserve"> </w:t>
      </w:r>
    </w:p>
    <w:p w:rsidR="005D53BB" w:rsidRPr="00D024FC" w:rsidRDefault="0024617B" w:rsidP="00815533">
      <w:pPr>
        <w:jc w:val="both"/>
        <w:rPr>
          <w:rFonts w:ascii="Arial" w:hAnsi="Arial" w:cs="Arial"/>
          <w:sz w:val="20"/>
          <w:szCs w:val="20"/>
        </w:rPr>
      </w:pPr>
      <w:r w:rsidRPr="0024617B">
        <w:rPr>
          <w:noProof/>
          <w:sz w:val="20"/>
          <w:szCs w:val="20"/>
          <w:highlight w:val="yellow"/>
        </w:rPr>
        <w:pict>
          <v:shape id="Text Box 9" o:spid="_x0000_s1029" type="#_x0000_t202" style="position:absolute;left:0;text-align:left;margin-left:209.6pt;margin-top:118.2pt;width:272.2pt;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mE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" stroked="f">
            <v:textbox style="mso-next-textbox:#Text Box 9" inset="0,0,0,0">
              <w:txbxContent>
                <w:p w:rsidR="004A2E31" w:rsidRPr="003355D9" w:rsidRDefault="004A2E31" w:rsidP="003355D9">
                  <w:pPr>
                    <w:pStyle w:val="Caption"/>
                    <w:rPr>
                      <w:rFonts w:ascii="Arial" w:hAnsi="Arial" w:cs="Arial"/>
                      <w:b w:val="0"/>
                      <w:noProof/>
                      <w:color w:val="auto"/>
                      <w:sz w:val="16"/>
                      <w:szCs w:val="16"/>
                    </w:rPr>
                  </w:pPr>
                  <w:r w:rsidRPr="003355D9">
                    <w:rPr>
                      <w:rFonts w:ascii="Arial" w:hAnsi="Arial" w:cs="Arial"/>
                      <w:b w:val="0"/>
                      <w:color w:val="auto"/>
                      <w:sz w:val="16"/>
                      <w:szCs w:val="16"/>
                    </w:rPr>
                    <w:t>Kaynak: OECD; PISA 2012 sonuçları</w:t>
                  </w:r>
                </w:p>
              </w:txbxContent>
            </v:textbox>
            <w10:wrap type="square"/>
          </v:shape>
        </w:pict>
      </w:r>
      <w:r w:rsidR="00CD535B" w:rsidRPr="00D024FC">
        <w:rPr>
          <w:rFonts w:ascii="Arial" w:hAnsi="Arial" w:cs="Arial"/>
          <w:sz w:val="20"/>
          <w:szCs w:val="20"/>
        </w:rPr>
        <w:t>En yüksek</w:t>
      </w:r>
      <w:r w:rsidR="00AC29F7" w:rsidRPr="00D024FC">
        <w:rPr>
          <w:rFonts w:ascii="Arial" w:hAnsi="Arial" w:cs="Arial"/>
          <w:sz w:val="20"/>
          <w:szCs w:val="20"/>
        </w:rPr>
        <w:t xml:space="preserve"> </w:t>
      </w:r>
      <w:r w:rsidR="00D17A9F" w:rsidRPr="00D024FC">
        <w:rPr>
          <w:rFonts w:ascii="Arial" w:hAnsi="Arial" w:cs="Arial"/>
          <w:sz w:val="20"/>
          <w:szCs w:val="20"/>
        </w:rPr>
        <w:t>artış</w:t>
      </w:r>
      <w:r w:rsidR="00CD535B" w:rsidRPr="00D024FC">
        <w:rPr>
          <w:rFonts w:ascii="Arial" w:hAnsi="Arial" w:cs="Arial"/>
          <w:sz w:val="20"/>
          <w:szCs w:val="20"/>
        </w:rPr>
        <w:t xml:space="preserve"> (39 puan)</w:t>
      </w:r>
      <w:r w:rsidR="00D17A9F" w:rsidRPr="00D024FC">
        <w:rPr>
          <w:rFonts w:ascii="Arial" w:hAnsi="Arial" w:cs="Arial"/>
          <w:sz w:val="20"/>
          <w:szCs w:val="20"/>
        </w:rPr>
        <w:t xml:space="preserve"> fen bilimleri alanında meydana gelmiştir. </w:t>
      </w:r>
      <w:r w:rsidR="007664DD" w:rsidRPr="00D024FC">
        <w:rPr>
          <w:rFonts w:ascii="Arial" w:hAnsi="Arial" w:cs="Arial"/>
          <w:sz w:val="20"/>
          <w:szCs w:val="20"/>
        </w:rPr>
        <w:t xml:space="preserve">Ülke bazında gerçekleşen bu performans </w:t>
      </w:r>
      <w:r w:rsidR="00552866" w:rsidRPr="00D024FC">
        <w:rPr>
          <w:rFonts w:ascii="Arial" w:hAnsi="Arial" w:cs="Arial"/>
          <w:sz w:val="20"/>
          <w:szCs w:val="20"/>
        </w:rPr>
        <w:t xml:space="preserve">iyileşmesi </w:t>
      </w:r>
      <w:r w:rsidR="007664DD" w:rsidRPr="00D024FC">
        <w:rPr>
          <w:rFonts w:ascii="Arial" w:hAnsi="Arial" w:cs="Arial"/>
          <w:sz w:val="20"/>
          <w:szCs w:val="20"/>
        </w:rPr>
        <w:t xml:space="preserve">Türkiye’nin OECD ülkeleri ortalamasının gerisinde kalmasına engel olamamıştır. </w:t>
      </w:r>
      <w:r w:rsidR="00895C45" w:rsidRPr="00D024FC">
        <w:rPr>
          <w:rFonts w:ascii="Arial" w:hAnsi="Arial" w:cs="Arial"/>
          <w:sz w:val="20"/>
          <w:szCs w:val="20"/>
        </w:rPr>
        <w:t>Şekil 2'de de görüldüğü üzere 2012 PISA puanları matematik alanında 46, fen bilimleri alanında 38 ve okuma alanında 21 puan</w:t>
      </w:r>
      <w:r w:rsidR="005D53BB" w:rsidRPr="00D024FC">
        <w:rPr>
          <w:rFonts w:ascii="Arial" w:hAnsi="Arial" w:cs="Arial"/>
          <w:sz w:val="20"/>
          <w:szCs w:val="20"/>
        </w:rPr>
        <w:t xml:space="preserve"> OECD ortalamasının altındadır.</w:t>
      </w:r>
      <w:r w:rsidR="00AC29F7" w:rsidRPr="00D024FC">
        <w:rPr>
          <w:rFonts w:ascii="Arial" w:hAnsi="Arial" w:cs="Arial"/>
          <w:sz w:val="20"/>
          <w:szCs w:val="20"/>
        </w:rPr>
        <w:t xml:space="preserve"> </w:t>
      </w:r>
      <w:r w:rsidR="00CD535B" w:rsidRPr="00D024FC">
        <w:rPr>
          <w:rFonts w:ascii="Arial" w:hAnsi="Arial" w:cs="Arial"/>
          <w:sz w:val="20"/>
          <w:szCs w:val="20"/>
        </w:rPr>
        <w:t>Bununla birlikte</w:t>
      </w:r>
      <w:r w:rsidR="0000345B" w:rsidRPr="00D024FC">
        <w:rPr>
          <w:rFonts w:ascii="Arial" w:hAnsi="Arial" w:cs="Arial"/>
          <w:sz w:val="20"/>
          <w:szCs w:val="20"/>
        </w:rPr>
        <w:t>,</w:t>
      </w:r>
      <w:r w:rsidR="00CD535B" w:rsidRPr="00D024FC">
        <w:rPr>
          <w:rFonts w:ascii="Arial" w:hAnsi="Arial" w:cs="Arial"/>
          <w:sz w:val="20"/>
          <w:szCs w:val="20"/>
        </w:rPr>
        <w:t xml:space="preserve"> </w:t>
      </w:r>
      <w:r w:rsidR="00552866" w:rsidRPr="00D024FC">
        <w:rPr>
          <w:rFonts w:ascii="Arial" w:hAnsi="Arial" w:cs="Arial"/>
          <w:sz w:val="20"/>
          <w:szCs w:val="20"/>
        </w:rPr>
        <w:t>2003-2012 yılları arasında Türkiye ile OECD ortalamasının arasındaki f</w:t>
      </w:r>
      <w:r w:rsidR="00323505" w:rsidRPr="00D024FC">
        <w:rPr>
          <w:rFonts w:ascii="Arial" w:hAnsi="Arial" w:cs="Arial"/>
          <w:sz w:val="20"/>
          <w:szCs w:val="20"/>
        </w:rPr>
        <w:t xml:space="preserve">arkın kademeli olarak azaldığı </w:t>
      </w:r>
      <w:r w:rsidR="00552866" w:rsidRPr="00D024FC">
        <w:rPr>
          <w:rFonts w:ascii="Arial" w:hAnsi="Arial" w:cs="Arial"/>
          <w:sz w:val="20"/>
          <w:szCs w:val="20"/>
        </w:rPr>
        <w:t>gözlenmektedir</w:t>
      </w:r>
      <w:r w:rsidR="00323505" w:rsidRPr="00D024FC">
        <w:rPr>
          <w:rFonts w:ascii="Arial" w:hAnsi="Arial" w:cs="Arial"/>
          <w:sz w:val="20"/>
          <w:szCs w:val="20"/>
        </w:rPr>
        <w:t xml:space="preserve"> (Şekil 2)</w:t>
      </w:r>
      <w:r w:rsidR="00552866" w:rsidRPr="00D024FC">
        <w:rPr>
          <w:rFonts w:ascii="Arial" w:hAnsi="Arial" w:cs="Arial"/>
          <w:sz w:val="20"/>
          <w:szCs w:val="20"/>
        </w:rPr>
        <w:t xml:space="preserve">.  </w:t>
      </w:r>
      <w:r w:rsidR="005D53BB" w:rsidRPr="00D024FC">
        <w:rPr>
          <w:rFonts w:ascii="Arial" w:hAnsi="Arial" w:cs="Arial"/>
          <w:sz w:val="20"/>
          <w:szCs w:val="20"/>
        </w:rPr>
        <w:t xml:space="preserve">Ayrıca OECD'ye göre 40 PISA puanı bir öğrenim yılına eşdeğerdir. Diğer bir deyişle, </w:t>
      </w:r>
      <w:r w:rsidR="00FA3B4B" w:rsidRPr="00D024FC">
        <w:rPr>
          <w:rFonts w:ascii="Arial" w:hAnsi="Arial" w:cs="Arial"/>
          <w:sz w:val="20"/>
          <w:szCs w:val="20"/>
        </w:rPr>
        <w:t xml:space="preserve">OECD ortalamalarıyla farklarda </w:t>
      </w:r>
      <w:r w:rsidR="005D53BB" w:rsidRPr="00D024FC">
        <w:rPr>
          <w:rFonts w:ascii="Arial" w:hAnsi="Arial" w:cs="Arial"/>
          <w:sz w:val="20"/>
          <w:szCs w:val="20"/>
        </w:rPr>
        <w:t xml:space="preserve">kademeli azalmaya rağmen matematik ve fen bilimleri alanında Türkiye'deki öğrenciler OECD'deki yaşıtlarına kıyasla halen bir okul yılı geridedirler. </w:t>
      </w:r>
    </w:p>
    <w:p w:rsidR="00772E88" w:rsidRPr="00D024FC" w:rsidRDefault="0024617B" w:rsidP="00815533">
      <w:pPr>
        <w:jc w:val="both"/>
        <w:rPr>
          <w:rFonts w:ascii="Arial" w:hAnsi="Arial" w:cs="Arial"/>
          <w:sz w:val="20"/>
          <w:szCs w:val="20"/>
        </w:rPr>
      </w:pPr>
      <w:r w:rsidRPr="0024617B">
        <w:rPr>
          <w:noProof/>
          <w:color w:val="4F81BD" w:themeColor="accent1"/>
          <w:sz w:val="18"/>
          <w:szCs w:val="18"/>
        </w:rPr>
        <w:pict>
          <v:shape id="Text Box 10" o:spid="_x0000_s1030" type="#_x0000_t202" style="position:absolute;left:0;text-align:left;margin-left:190.15pt;margin-top:177.1pt;width:266.2pt;height:3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bgfwIAAAg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" stroked="f">
            <v:textbox inset="0,0,0,0">
              <w:txbxContent>
                <w:p w:rsidR="004A2E31" w:rsidRPr="003355D9" w:rsidRDefault="004A2E31" w:rsidP="003355D9">
                  <w:pPr>
                    <w:pStyle w:val="Caption"/>
                    <w:spacing w:after="0"/>
                    <w:rPr>
                      <w:rFonts w:ascii="Arial" w:hAnsi="Arial" w:cs="Arial"/>
                      <w:b w:val="0"/>
                      <w:color w:val="auto"/>
                      <w:sz w:val="16"/>
                      <w:szCs w:val="16"/>
                    </w:rPr>
                  </w:pPr>
                  <w:r w:rsidRPr="003355D9">
                    <w:rPr>
                      <w:rFonts w:ascii="Arial" w:hAnsi="Arial" w:cs="Arial"/>
                      <w:b w:val="0"/>
                      <w:color w:val="auto"/>
                      <w:sz w:val="16"/>
                      <w:szCs w:val="16"/>
                    </w:rPr>
                    <w:t>Kaynak: OECD; PISA 2012 sonuçları</w:t>
                  </w:r>
                </w:p>
                <w:p w:rsidR="00AF5E11" w:rsidRPr="003355D9" w:rsidRDefault="00AF5E11" w:rsidP="003355D9">
                  <w:pPr>
                    <w:spacing w:after="0"/>
                    <w:rPr>
                      <w:sz w:val="18"/>
                      <w:szCs w:val="18"/>
                    </w:rPr>
                  </w:pPr>
                  <w:r w:rsidRPr="003355D9">
                    <w:rPr>
                      <w:rFonts w:ascii="Arial" w:hAnsi="Arial" w:cs="Arial"/>
                      <w:sz w:val="16"/>
                      <w:szCs w:val="16"/>
                    </w:rPr>
                    <w:t xml:space="preserve">Not: Pozitif değerler </w:t>
                  </w:r>
                  <w:r w:rsidR="00AC29F7" w:rsidRPr="003355D9">
                    <w:rPr>
                      <w:rFonts w:ascii="Arial" w:hAnsi="Arial" w:cs="Arial"/>
                      <w:sz w:val="16"/>
                      <w:szCs w:val="16"/>
                    </w:rPr>
                    <w:t>Türkiye PISA puanlarının OECD ortalamalarından düşük olduğunu göstermektedir</w:t>
                  </w:r>
                  <w:r w:rsidR="00AC29F7" w:rsidRPr="003355D9">
                    <w:rPr>
                      <w:sz w:val="18"/>
                      <w:szCs w:val="18"/>
                    </w:rPr>
                    <w:t xml:space="preserve">. </w:t>
                  </w:r>
                </w:p>
                <w:p w:rsidR="00AF5E11" w:rsidRPr="00AF5E11" w:rsidRDefault="00AF5E11" w:rsidP="00AF5E11">
                  <w:pPr>
                    <w:spacing w:after="0"/>
                  </w:pPr>
                </w:p>
              </w:txbxContent>
            </v:textbox>
            <w10:wrap type="square"/>
          </v:shape>
        </w:pict>
      </w:r>
      <w:r w:rsidR="00370D61" w:rsidRPr="00D024FC">
        <w:rPr>
          <w:noProof/>
          <w:color w:val="4F81BD" w:themeColor="accent1"/>
          <w:sz w:val="18"/>
          <w:szCs w:val="18"/>
        </w:rPr>
        <w:drawing>
          <wp:anchor distT="0" distB="0" distL="114300" distR="114300" simplePos="0" relativeHeight="251662336" behindDoc="0" locked="0" layoutInCell="1" allowOverlap="1">
            <wp:simplePos x="0" y="0"/>
            <wp:positionH relativeFrom="column">
              <wp:posOffset>2431415</wp:posOffset>
            </wp:positionH>
            <wp:positionV relativeFrom="paragraph">
              <wp:posOffset>308610</wp:posOffset>
            </wp:positionV>
            <wp:extent cx="3402965" cy="1979295"/>
            <wp:effectExtent l="0" t="0" r="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24617B">
        <w:rPr>
          <w:noProof/>
        </w:rPr>
        <w:pict>
          <v:shape id="Text Box 20" o:spid="_x0000_s1031" type="#_x0000_t202" style="position:absolute;left:0;text-align:left;margin-left:188.65pt;margin-top:2.75pt;width:264.75pt;height:23.4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hPfw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" stroked="f">
            <v:textbox inset="0,0,0,0">
              <w:txbxContent>
                <w:p w:rsidR="001E1A26" w:rsidRPr="00491955" w:rsidRDefault="001E1A26" w:rsidP="001E1A26">
                  <w:pPr>
                    <w:pStyle w:val="Caption"/>
                    <w:jc w:val="center"/>
                    <w:rPr>
                      <w:rFonts w:ascii="Arial" w:hAnsi="Arial" w:cs="Arial"/>
                      <w:noProof/>
                      <w:color w:val="auto"/>
                      <w:sz w:val="20"/>
                      <w:szCs w:val="20"/>
                    </w:rPr>
                  </w:pPr>
                  <w:r w:rsidRPr="00491955">
                    <w:rPr>
                      <w:rFonts w:ascii="Arial" w:hAnsi="Arial" w:cs="Arial"/>
                      <w:color w:val="auto"/>
                      <w:sz w:val="20"/>
                      <w:szCs w:val="20"/>
                    </w:rPr>
                    <w:t xml:space="preserve">Şekil </w:t>
                  </w:r>
                  <w:r w:rsidR="0024617B">
                    <w:rPr>
                      <w:rFonts w:ascii="Arial" w:hAnsi="Arial" w:cs="Arial"/>
                      <w:color w:val="auto"/>
                      <w:sz w:val="20"/>
                      <w:szCs w:val="20"/>
                    </w:rPr>
                    <w:fldChar w:fldCharType="begin"/>
                  </w:r>
                  <w:r w:rsidR="00FB13A1">
                    <w:rPr>
                      <w:rFonts w:ascii="Arial" w:hAnsi="Arial" w:cs="Arial"/>
                      <w:color w:val="auto"/>
                      <w:sz w:val="20"/>
                      <w:szCs w:val="20"/>
                    </w:rPr>
                    <w:instrText xml:space="preserve"> SEQ Şekil \* ARABIC </w:instrText>
                  </w:r>
                  <w:r w:rsidR="0024617B">
                    <w:rPr>
                      <w:rFonts w:ascii="Arial" w:hAnsi="Arial" w:cs="Arial"/>
                      <w:color w:val="auto"/>
                      <w:sz w:val="20"/>
                      <w:szCs w:val="20"/>
                    </w:rPr>
                    <w:fldChar w:fldCharType="separate"/>
                  </w:r>
                  <w:r w:rsidR="00FB13A1">
                    <w:rPr>
                      <w:rFonts w:ascii="Arial" w:hAnsi="Arial" w:cs="Arial"/>
                      <w:noProof/>
                      <w:color w:val="auto"/>
                      <w:sz w:val="20"/>
                      <w:szCs w:val="20"/>
                    </w:rPr>
                    <w:t>2</w:t>
                  </w:r>
                  <w:r w:rsidR="0024617B">
                    <w:rPr>
                      <w:rFonts w:ascii="Arial" w:hAnsi="Arial" w:cs="Arial"/>
                      <w:color w:val="auto"/>
                      <w:sz w:val="20"/>
                      <w:szCs w:val="20"/>
                    </w:rPr>
                    <w:fldChar w:fldCharType="end"/>
                  </w:r>
                  <w:r w:rsidRPr="00491955">
                    <w:rPr>
                      <w:rFonts w:ascii="Arial" w:hAnsi="Arial" w:cs="Arial"/>
                      <w:color w:val="auto"/>
                      <w:sz w:val="20"/>
                      <w:szCs w:val="20"/>
                    </w:rPr>
                    <w:t>: 2003-2012 Sınav türlerine göre Türkiye ve OECD ortalamalarındaki farklar</w:t>
                  </w:r>
                </w:p>
              </w:txbxContent>
            </v:textbox>
            <w10:wrap type="square"/>
          </v:shape>
        </w:pict>
      </w:r>
      <w:r w:rsidR="00772E88" w:rsidRPr="00D024FC">
        <w:rPr>
          <w:rFonts w:ascii="Arial" w:hAnsi="Arial" w:cs="Arial"/>
          <w:sz w:val="20"/>
          <w:szCs w:val="20"/>
        </w:rPr>
        <w:t>Türkiye 200</w:t>
      </w:r>
      <w:r w:rsidR="00CB4428" w:rsidRPr="00D024FC">
        <w:rPr>
          <w:rFonts w:ascii="Arial" w:hAnsi="Arial" w:cs="Arial"/>
          <w:sz w:val="20"/>
          <w:szCs w:val="20"/>
        </w:rPr>
        <w:t xml:space="preserve">6-2012 </w:t>
      </w:r>
      <w:r w:rsidR="00EF016C" w:rsidRPr="00D024FC">
        <w:rPr>
          <w:rFonts w:ascii="Arial" w:hAnsi="Arial" w:cs="Arial"/>
          <w:sz w:val="20"/>
          <w:szCs w:val="20"/>
        </w:rPr>
        <w:t xml:space="preserve">yılları arasında </w:t>
      </w:r>
      <w:r w:rsidR="00772E88" w:rsidRPr="00D024FC">
        <w:rPr>
          <w:rFonts w:ascii="Arial" w:hAnsi="Arial" w:cs="Arial"/>
          <w:sz w:val="20"/>
          <w:szCs w:val="20"/>
        </w:rPr>
        <w:t xml:space="preserve">PISA </w:t>
      </w:r>
      <w:r w:rsidR="001E69E1" w:rsidRPr="00D024FC">
        <w:rPr>
          <w:rFonts w:ascii="Arial" w:hAnsi="Arial" w:cs="Arial"/>
          <w:sz w:val="20"/>
          <w:szCs w:val="20"/>
        </w:rPr>
        <w:t xml:space="preserve">puanlarında </w:t>
      </w:r>
      <w:r w:rsidR="00A63C5F" w:rsidRPr="00D024FC">
        <w:rPr>
          <w:rFonts w:ascii="Arial" w:hAnsi="Arial" w:cs="Arial"/>
          <w:sz w:val="20"/>
          <w:szCs w:val="20"/>
        </w:rPr>
        <w:t xml:space="preserve">34 OECD ülkesi içinde </w:t>
      </w:r>
      <w:r w:rsidR="001E69E1" w:rsidRPr="00D024FC">
        <w:rPr>
          <w:rFonts w:ascii="Arial" w:hAnsi="Arial" w:cs="Arial"/>
          <w:sz w:val="20"/>
          <w:szCs w:val="20"/>
        </w:rPr>
        <w:t xml:space="preserve">en hızlı iyileşmeyi </w:t>
      </w:r>
      <w:r w:rsidR="00772E88" w:rsidRPr="00D024FC">
        <w:rPr>
          <w:rFonts w:ascii="Arial" w:hAnsi="Arial" w:cs="Arial"/>
          <w:sz w:val="20"/>
          <w:szCs w:val="20"/>
        </w:rPr>
        <w:t>sağla</w:t>
      </w:r>
      <w:r w:rsidR="00691872" w:rsidRPr="00D024FC">
        <w:rPr>
          <w:rFonts w:ascii="Arial" w:hAnsi="Arial" w:cs="Arial"/>
          <w:sz w:val="20"/>
          <w:szCs w:val="20"/>
        </w:rPr>
        <w:t>yan ülke olmuştur (Şekil 3)</w:t>
      </w:r>
      <w:r w:rsidR="00772E88" w:rsidRPr="00D024FC">
        <w:rPr>
          <w:rFonts w:ascii="Arial" w:hAnsi="Arial" w:cs="Arial"/>
          <w:sz w:val="20"/>
          <w:szCs w:val="20"/>
        </w:rPr>
        <w:t>.</w:t>
      </w:r>
      <w:r w:rsidR="00A63C5F" w:rsidRPr="00D024FC">
        <w:rPr>
          <w:rFonts w:ascii="Arial" w:hAnsi="Arial" w:cs="Arial"/>
          <w:sz w:val="20"/>
          <w:szCs w:val="20"/>
        </w:rPr>
        <w:t xml:space="preserve"> Aynı dönemde Türkiye'nin ortalama PISA puanındaki yıllık artış yaklaşık 5 puandır. </w:t>
      </w:r>
      <w:r w:rsidR="00772E88" w:rsidRPr="00D024FC">
        <w:rPr>
          <w:rFonts w:ascii="Arial" w:hAnsi="Arial" w:cs="Arial"/>
          <w:sz w:val="20"/>
          <w:szCs w:val="20"/>
        </w:rPr>
        <w:t>2006 yılı</w:t>
      </w:r>
      <w:r w:rsidR="00A63C5F" w:rsidRPr="00D024FC">
        <w:rPr>
          <w:rFonts w:ascii="Arial" w:hAnsi="Arial" w:cs="Arial"/>
          <w:sz w:val="20"/>
          <w:szCs w:val="20"/>
        </w:rPr>
        <w:t xml:space="preserve"> ortalama PISA puanlarına göre Türkiye,</w:t>
      </w:r>
      <w:r w:rsidR="0076022E">
        <w:rPr>
          <w:rFonts w:ascii="Arial" w:hAnsi="Arial" w:cs="Arial"/>
          <w:sz w:val="20"/>
          <w:szCs w:val="20"/>
        </w:rPr>
        <w:t xml:space="preserve"> </w:t>
      </w:r>
      <w:r w:rsidR="00A63C5F" w:rsidRPr="00D024FC">
        <w:rPr>
          <w:rFonts w:ascii="Arial" w:hAnsi="Arial" w:cs="Arial"/>
          <w:sz w:val="20"/>
          <w:szCs w:val="20"/>
        </w:rPr>
        <w:t xml:space="preserve">Şili, İsrail ve Meksika düşük performanslı ülkelerdendir. Aynı yılda </w:t>
      </w:r>
      <w:r w:rsidR="00772E88" w:rsidRPr="00D024FC">
        <w:rPr>
          <w:rFonts w:ascii="Arial" w:hAnsi="Arial" w:cs="Arial"/>
          <w:sz w:val="20"/>
          <w:szCs w:val="20"/>
        </w:rPr>
        <w:t>Şili</w:t>
      </w:r>
      <w:r w:rsidR="00691872" w:rsidRPr="00D024FC">
        <w:rPr>
          <w:rFonts w:ascii="Arial" w:hAnsi="Arial" w:cs="Arial"/>
          <w:sz w:val="20"/>
          <w:szCs w:val="20"/>
        </w:rPr>
        <w:t xml:space="preserve"> ve Meksika</w:t>
      </w:r>
      <w:r w:rsidR="00AC29F7" w:rsidRPr="00D024FC">
        <w:rPr>
          <w:rFonts w:ascii="Arial" w:hAnsi="Arial" w:cs="Arial"/>
          <w:sz w:val="20"/>
          <w:szCs w:val="20"/>
        </w:rPr>
        <w:t xml:space="preserve"> </w:t>
      </w:r>
      <w:r w:rsidR="00691872" w:rsidRPr="00D024FC">
        <w:rPr>
          <w:rFonts w:ascii="Arial" w:hAnsi="Arial" w:cs="Arial"/>
          <w:sz w:val="20"/>
          <w:szCs w:val="20"/>
        </w:rPr>
        <w:t>ile</w:t>
      </w:r>
      <w:r w:rsidR="00772E88" w:rsidRPr="00D024FC">
        <w:rPr>
          <w:rFonts w:ascii="Arial" w:hAnsi="Arial" w:cs="Arial"/>
          <w:sz w:val="20"/>
          <w:szCs w:val="20"/>
        </w:rPr>
        <w:t xml:space="preserve"> Türkiye'nin </w:t>
      </w:r>
      <w:r w:rsidR="00FB2698" w:rsidRPr="00D024FC">
        <w:rPr>
          <w:rFonts w:ascii="Arial" w:hAnsi="Arial" w:cs="Arial"/>
          <w:sz w:val="20"/>
          <w:szCs w:val="20"/>
        </w:rPr>
        <w:t xml:space="preserve">ortalama </w:t>
      </w:r>
      <w:r w:rsidR="00772E88" w:rsidRPr="00D024FC">
        <w:rPr>
          <w:rFonts w:ascii="Arial" w:hAnsi="Arial" w:cs="Arial"/>
          <w:sz w:val="20"/>
          <w:szCs w:val="20"/>
        </w:rPr>
        <w:t>PISA puanları birbirine çok yakın</w:t>
      </w:r>
      <w:r w:rsidR="00691872" w:rsidRPr="00D024FC">
        <w:rPr>
          <w:rFonts w:ascii="Arial" w:hAnsi="Arial" w:cs="Arial"/>
          <w:sz w:val="20"/>
          <w:szCs w:val="20"/>
        </w:rPr>
        <w:t>ken,</w:t>
      </w:r>
      <w:r w:rsidR="00772E88" w:rsidRPr="00D024FC">
        <w:rPr>
          <w:rFonts w:ascii="Arial" w:hAnsi="Arial" w:cs="Arial"/>
          <w:sz w:val="20"/>
          <w:szCs w:val="20"/>
        </w:rPr>
        <w:t xml:space="preserve"> Türkiye'nin PISA puanlarındaki </w:t>
      </w:r>
      <w:r w:rsidR="00691872" w:rsidRPr="00D024FC">
        <w:rPr>
          <w:rFonts w:ascii="Arial" w:hAnsi="Arial" w:cs="Arial"/>
          <w:sz w:val="20"/>
          <w:szCs w:val="20"/>
        </w:rPr>
        <w:t xml:space="preserve">ortalama </w:t>
      </w:r>
      <w:r w:rsidR="00370D61" w:rsidRPr="00D024FC">
        <w:rPr>
          <w:rFonts w:ascii="Arial" w:hAnsi="Arial" w:cs="Arial"/>
          <w:sz w:val="20"/>
          <w:szCs w:val="20"/>
        </w:rPr>
        <w:t xml:space="preserve">yıllık </w:t>
      </w:r>
      <w:r w:rsidR="00772E88" w:rsidRPr="00D024FC">
        <w:rPr>
          <w:rFonts w:ascii="Arial" w:hAnsi="Arial" w:cs="Arial"/>
          <w:sz w:val="20"/>
          <w:szCs w:val="20"/>
        </w:rPr>
        <w:t xml:space="preserve">artışı </w:t>
      </w:r>
      <w:r w:rsidR="00691872" w:rsidRPr="00D024FC">
        <w:rPr>
          <w:rFonts w:ascii="Arial" w:hAnsi="Arial" w:cs="Arial"/>
          <w:sz w:val="20"/>
          <w:szCs w:val="20"/>
        </w:rPr>
        <w:t>bu ülkelere</w:t>
      </w:r>
      <w:r w:rsidR="00772E88" w:rsidRPr="00D024FC">
        <w:rPr>
          <w:rFonts w:ascii="Arial" w:hAnsi="Arial" w:cs="Arial"/>
          <w:sz w:val="20"/>
          <w:szCs w:val="20"/>
        </w:rPr>
        <w:t xml:space="preserve"> kıyasla </w:t>
      </w:r>
      <w:r w:rsidR="00691872" w:rsidRPr="00D024FC">
        <w:rPr>
          <w:rFonts w:ascii="Arial" w:hAnsi="Arial" w:cs="Arial"/>
          <w:sz w:val="20"/>
          <w:szCs w:val="20"/>
        </w:rPr>
        <w:t>çok daha yüksek olmuştur</w:t>
      </w:r>
      <w:r w:rsidR="00772E88" w:rsidRPr="00D024FC">
        <w:rPr>
          <w:rFonts w:ascii="Arial" w:hAnsi="Arial" w:cs="Arial"/>
          <w:sz w:val="20"/>
          <w:szCs w:val="20"/>
        </w:rPr>
        <w:t xml:space="preserve">. </w:t>
      </w:r>
      <w:r w:rsidR="00EF016C" w:rsidRPr="00D024FC">
        <w:rPr>
          <w:rFonts w:ascii="Arial" w:hAnsi="Arial" w:cs="Arial"/>
          <w:sz w:val="20"/>
          <w:szCs w:val="20"/>
        </w:rPr>
        <w:t xml:space="preserve">Bu arada </w:t>
      </w:r>
      <w:r w:rsidR="00AC29F7" w:rsidRPr="00D024FC">
        <w:rPr>
          <w:rFonts w:ascii="Arial" w:hAnsi="Arial" w:cs="Arial"/>
          <w:sz w:val="20"/>
          <w:szCs w:val="20"/>
        </w:rPr>
        <w:t>başta İ</w:t>
      </w:r>
      <w:r w:rsidR="00691872" w:rsidRPr="00D024FC">
        <w:rPr>
          <w:rFonts w:ascii="Arial" w:hAnsi="Arial" w:cs="Arial"/>
          <w:sz w:val="20"/>
          <w:szCs w:val="20"/>
        </w:rPr>
        <w:t xml:space="preserve">sveç olmak üzere </w:t>
      </w:r>
      <w:r w:rsidR="00EF016C" w:rsidRPr="00D024FC">
        <w:rPr>
          <w:rFonts w:ascii="Arial" w:hAnsi="Arial" w:cs="Arial"/>
          <w:sz w:val="20"/>
          <w:szCs w:val="20"/>
        </w:rPr>
        <w:t xml:space="preserve">12 ülkenin ortalama PISA puanlarındaki gerileme dikkat çekmektedir. </w:t>
      </w:r>
    </w:p>
    <w:p w:rsidR="00CE7404" w:rsidRPr="00D024FC" w:rsidRDefault="00C57CB3" w:rsidP="00FB13A1">
      <w:pPr>
        <w:jc w:val="both"/>
        <w:rPr>
          <w:rFonts w:ascii="Arial" w:hAnsi="Arial" w:cs="Arial"/>
          <w:b/>
        </w:rPr>
      </w:pPr>
      <w:r w:rsidRPr="00D024FC">
        <w:rPr>
          <w:rFonts w:ascii="Arial" w:hAnsi="Arial" w:cs="Arial"/>
          <w:sz w:val="20"/>
          <w:szCs w:val="20"/>
        </w:rPr>
        <w:t xml:space="preserve">Daha önce de değinildiği gibi </w:t>
      </w:r>
      <w:r w:rsidR="00344D1C" w:rsidRPr="00D024FC">
        <w:rPr>
          <w:rFonts w:ascii="Arial" w:hAnsi="Arial" w:cs="Arial"/>
          <w:sz w:val="20"/>
          <w:szCs w:val="20"/>
        </w:rPr>
        <w:t>son altı yılda</w:t>
      </w:r>
      <w:r w:rsidRPr="00D024FC">
        <w:rPr>
          <w:rFonts w:ascii="Arial" w:hAnsi="Arial" w:cs="Arial"/>
          <w:sz w:val="20"/>
          <w:szCs w:val="20"/>
        </w:rPr>
        <w:t xml:space="preserve"> Türkiye'nin </w:t>
      </w:r>
      <w:r w:rsidR="00344D1C" w:rsidRPr="00D024FC">
        <w:rPr>
          <w:rFonts w:ascii="Arial" w:hAnsi="Arial" w:cs="Arial"/>
          <w:sz w:val="20"/>
          <w:szCs w:val="20"/>
        </w:rPr>
        <w:t xml:space="preserve">eğitim </w:t>
      </w:r>
      <w:r w:rsidRPr="00D024FC">
        <w:rPr>
          <w:rFonts w:ascii="Arial" w:hAnsi="Arial" w:cs="Arial"/>
          <w:sz w:val="20"/>
          <w:szCs w:val="20"/>
        </w:rPr>
        <w:t>performans</w:t>
      </w:r>
      <w:r w:rsidR="00344D1C" w:rsidRPr="00D024FC">
        <w:rPr>
          <w:rFonts w:ascii="Arial" w:hAnsi="Arial" w:cs="Arial"/>
          <w:sz w:val="20"/>
          <w:szCs w:val="20"/>
        </w:rPr>
        <w:t>ı</w:t>
      </w:r>
      <w:r w:rsidR="00A63C5F" w:rsidRPr="00D024FC">
        <w:rPr>
          <w:rFonts w:ascii="Arial" w:hAnsi="Arial" w:cs="Arial"/>
          <w:sz w:val="20"/>
          <w:szCs w:val="20"/>
        </w:rPr>
        <w:t>nın artması ve</w:t>
      </w:r>
      <w:r w:rsidRPr="00D024FC">
        <w:rPr>
          <w:rFonts w:ascii="Arial" w:hAnsi="Arial" w:cs="Arial"/>
          <w:sz w:val="20"/>
          <w:szCs w:val="20"/>
        </w:rPr>
        <w:t xml:space="preserve"> OECD ortala</w:t>
      </w:r>
      <w:r w:rsidR="00A63C5F" w:rsidRPr="00D024FC">
        <w:rPr>
          <w:rFonts w:ascii="Arial" w:hAnsi="Arial" w:cs="Arial"/>
          <w:sz w:val="20"/>
          <w:szCs w:val="20"/>
        </w:rPr>
        <w:t xml:space="preserve">malarıyla farkın azaltılması, </w:t>
      </w:r>
      <w:r w:rsidRPr="00D024FC">
        <w:rPr>
          <w:rFonts w:ascii="Arial" w:hAnsi="Arial" w:cs="Arial"/>
          <w:sz w:val="20"/>
          <w:szCs w:val="20"/>
        </w:rPr>
        <w:t>Türkiye'nin OECD ülkeleri arasında</w:t>
      </w:r>
      <w:r w:rsidR="00AC29F7" w:rsidRPr="00D024FC">
        <w:rPr>
          <w:rFonts w:ascii="Arial" w:hAnsi="Arial" w:cs="Arial"/>
          <w:sz w:val="20"/>
          <w:szCs w:val="20"/>
        </w:rPr>
        <w:t xml:space="preserve"> daha üst sıra</w:t>
      </w:r>
      <w:r w:rsidR="00344D1C" w:rsidRPr="00D024FC">
        <w:rPr>
          <w:rFonts w:ascii="Arial" w:hAnsi="Arial" w:cs="Arial"/>
          <w:sz w:val="20"/>
          <w:szCs w:val="20"/>
        </w:rPr>
        <w:t xml:space="preserve">lara çıkması </w:t>
      </w:r>
      <w:r w:rsidRPr="00D024FC">
        <w:rPr>
          <w:rFonts w:ascii="Arial" w:hAnsi="Arial" w:cs="Arial"/>
          <w:sz w:val="20"/>
          <w:szCs w:val="20"/>
        </w:rPr>
        <w:t xml:space="preserve">için yeterli olmamıştır. </w:t>
      </w:r>
      <w:r w:rsidR="00383AEE" w:rsidRPr="00D024FC">
        <w:rPr>
          <w:rFonts w:ascii="Arial" w:hAnsi="Arial" w:cs="Arial"/>
          <w:sz w:val="20"/>
          <w:szCs w:val="20"/>
        </w:rPr>
        <w:t xml:space="preserve">Türkiye'nin OECD üyesi gelişmiş ülkelerle </w:t>
      </w:r>
      <w:r w:rsidR="00344D1C" w:rsidRPr="00D024FC">
        <w:rPr>
          <w:rFonts w:ascii="Arial" w:hAnsi="Arial" w:cs="Arial"/>
          <w:sz w:val="20"/>
          <w:szCs w:val="20"/>
        </w:rPr>
        <w:t>arasındaki eğitim kalitesi farkını azaltabilmesi için daha fazla çaba göstermesi gerekmektedir.</w:t>
      </w:r>
    </w:p>
    <w:p w:rsidR="001E1A26" w:rsidRPr="00D024FC" w:rsidRDefault="001E1A26" w:rsidP="00491955">
      <w:pPr>
        <w:pStyle w:val="Caption"/>
        <w:keepNext/>
        <w:rPr>
          <w:rFonts w:ascii="Arial" w:hAnsi="Arial" w:cs="Arial"/>
          <w:color w:val="auto"/>
          <w:sz w:val="20"/>
          <w:szCs w:val="20"/>
        </w:rPr>
      </w:pPr>
      <w:r w:rsidRPr="00D024FC">
        <w:rPr>
          <w:rFonts w:ascii="Arial" w:hAnsi="Arial" w:cs="Arial"/>
          <w:color w:val="auto"/>
          <w:sz w:val="20"/>
          <w:szCs w:val="20"/>
        </w:rPr>
        <w:lastRenderedPageBreak/>
        <w:t xml:space="preserve">Şekil </w:t>
      </w:r>
      <w:r w:rsidR="0024617B" w:rsidRPr="00D024FC">
        <w:rPr>
          <w:rFonts w:ascii="Arial" w:hAnsi="Arial" w:cs="Arial"/>
          <w:color w:val="auto"/>
          <w:sz w:val="20"/>
          <w:szCs w:val="20"/>
        </w:rPr>
        <w:fldChar w:fldCharType="begin"/>
      </w:r>
      <w:r w:rsidR="00FB13A1" w:rsidRPr="00D024FC">
        <w:rPr>
          <w:rFonts w:ascii="Arial" w:hAnsi="Arial" w:cs="Arial"/>
          <w:color w:val="auto"/>
          <w:sz w:val="20"/>
          <w:szCs w:val="20"/>
        </w:rPr>
        <w:instrText xml:space="preserve"> SEQ Şekil \* ARABIC </w:instrText>
      </w:r>
      <w:r w:rsidR="0024617B" w:rsidRPr="00D024FC">
        <w:rPr>
          <w:rFonts w:ascii="Arial" w:hAnsi="Arial" w:cs="Arial"/>
          <w:color w:val="auto"/>
          <w:sz w:val="20"/>
          <w:szCs w:val="20"/>
        </w:rPr>
        <w:fldChar w:fldCharType="separate"/>
      </w:r>
      <w:r w:rsidR="00FB13A1" w:rsidRPr="00D024FC">
        <w:rPr>
          <w:rFonts w:ascii="Arial" w:hAnsi="Arial" w:cs="Arial"/>
          <w:noProof/>
          <w:color w:val="auto"/>
          <w:sz w:val="20"/>
          <w:szCs w:val="20"/>
        </w:rPr>
        <w:t>3</w:t>
      </w:r>
      <w:r w:rsidR="0024617B" w:rsidRPr="00D024FC">
        <w:rPr>
          <w:rFonts w:ascii="Arial" w:hAnsi="Arial" w:cs="Arial"/>
          <w:color w:val="auto"/>
          <w:sz w:val="20"/>
          <w:szCs w:val="20"/>
        </w:rPr>
        <w:fldChar w:fldCharType="end"/>
      </w:r>
      <w:r w:rsidRPr="00D024FC">
        <w:rPr>
          <w:rFonts w:ascii="Arial" w:hAnsi="Arial" w:cs="Arial"/>
          <w:color w:val="auto"/>
          <w:sz w:val="20"/>
          <w:szCs w:val="20"/>
        </w:rPr>
        <w:t xml:space="preserve">: 2006-2012 PISA puanlarındaki yıllık </w:t>
      </w:r>
      <w:r w:rsidR="00B2527E" w:rsidRPr="00D024FC">
        <w:rPr>
          <w:rFonts w:ascii="Arial" w:hAnsi="Arial" w:cs="Arial"/>
          <w:color w:val="auto"/>
          <w:sz w:val="20"/>
          <w:szCs w:val="20"/>
        </w:rPr>
        <w:t>değişim</w:t>
      </w:r>
    </w:p>
    <w:p w:rsidR="003F56F3" w:rsidRPr="00D024FC" w:rsidRDefault="00581AEB" w:rsidP="003F56F3">
      <w:pPr>
        <w:keepNext/>
        <w:jc w:val="center"/>
      </w:pPr>
      <w:r w:rsidRPr="00D024FC">
        <w:rPr>
          <w:rFonts w:ascii="Arial" w:hAnsi="Arial" w:cs="Arial"/>
          <w:b/>
          <w:noProof/>
        </w:rPr>
        <w:drawing>
          <wp:inline distT="0" distB="0" distL="0" distR="0">
            <wp:extent cx="5563402" cy="3609474"/>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2E31" w:rsidRPr="00D024FC" w:rsidRDefault="003F56F3" w:rsidP="00491955">
      <w:pPr>
        <w:pStyle w:val="Caption"/>
        <w:rPr>
          <w:rFonts w:ascii="Arial" w:hAnsi="Arial" w:cs="Arial"/>
          <w:b w:val="0"/>
          <w:color w:val="auto"/>
          <w:sz w:val="16"/>
          <w:szCs w:val="16"/>
        </w:rPr>
      </w:pPr>
      <w:r w:rsidRPr="00D024FC">
        <w:rPr>
          <w:rFonts w:ascii="Arial" w:hAnsi="Arial" w:cs="Arial"/>
          <w:b w:val="0"/>
          <w:color w:val="auto"/>
          <w:sz w:val="16"/>
          <w:szCs w:val="16"/>
        </w:rPr>
        <w:t>Kaynak : OECD; PISA 2012 sonuçları</w:t>
      </w:r>
    </w:p>
    <w:p w:rsidR="00FE0758" w:rsidRPr="00D024FC" w:rsidRDefault="00FE0758" w:rsidP="00CE7404">
      <w:pPr>
        <w:rPr>
          <w:rFonts w:ascii="Arial" w:hAnsi="Arial" w:cs="Arial"/>
          <w:b/>
        </w:rPr>
      </w:pPr>
    </w:p>
    <w:p w:rsidR="00CE7404" w:rsidRPr="00D024FC" w:rsidRDefault="00EF016C" w:rsidP="00CE7404">
      <w:pPr>
        <w:rPr>
          <w:rFonts w:ascii="Arial" w:hAnsi="Arial" w:cs="Arial"/>
          <w:b/>
        </w:rPr>
      </w:pPr>
      <w:r w:rsidRPr="00D024FC">
        <w:rPr>
          <w:rFonts w:ascii="Arial" w:hAnsi="Arial" w:cs="Arial"/>
          <w:b/>
        </w:rPr>
        <w:t>Eğitimde e</w:t>
      </w:r>
      <w:r w:rsidR="00CE7404" w:rsidRPr="00D024FC">
        <w:rPr>
          <w:rFonts w:ascii="Arial" w:hAnsi="Arial" w:cs="Arial"/>
          <w:b/>
        </w:rPr>
        <w:t>şitsizlik OECD ortalamasına kıyasla halen çok yüksek</w:t>
      </w:r>
    </w:p>
    <w:p w:rsidR="00CE7404" w:rsidRPr="00D024FC" w:rsidRDefault="00CE7404" w:rsidP="00EF0CE7">
      <w:pPr>
        <w:jc w:val="both"/>
        <w:rPr>
          <w:rFonts w:ascii="Arial" w:hAnsi="Arial" w:cs="Arial"/>
          <w:sz w:val="20"/>
          <w:szCs w:val="20"/>
        </w:rPr>
      </w:pPr>
      <w:r w:rsidRPr="00D024FC">
        <w:rPr>
          <w:rFonts w:ascii="Arial" w:hAnsi="Arial" w:cs="Arial"/>
          <w:sz w:val="20"/>
          <w:szCs w:val="20"/>
        </w:rPr>
        <w:t>PISA programında öğrenciler aldıkları puanlara göre altı başarı seviyesine sınıflandır</w:t>
      </w:r>
      <w:r w:rsidR="00CC485E" w:rsidRPr="00D024FC">
        <w:rPr>
          <w:rFonts w:ascii="Arial" w:hAnsi="Arial" w:cs="Arial"/>
          <w:sz w:val="20"/>
          <w:szCs w:val="20"/>
        </w:rPr>
        <w:t>ıl</w:t>
      </w:r>
      <w:r w:rsidRPr="00D024FC">
        <w:rPr>
          <w:rFonts w:ascii="Arial" w:hAnsi="Arial" w:cs="Arial"/>
          <w:sz w:val="20"/>
          <w:szCs w:val="20"/>
        </w:rPr>
        <w:t>maktadır</w:t>
      </w:r>
      <w:r w:rsidR="00CC485E" w:rsidRPr="00D024FC">
        <w:rPr>
          <w:rFonts w:ascii="Arial" w:hAnsi="Arial" w:cs="Arial"/>
          <w:sz w:val="20"/>
          <w:szCs w:val="20"/>
        </w:rPr>
        <w:t>lar</w:t>
      </w:r>
      <w:r w:rsidRPr="00D024FC">
        <w:rPr>
          <w:rFonts w:ascii="Arial" w:hAnsi="Arial" w:cs="Arial"/>
          <w:sz w:val="20"/>
          <w:szCs w:val="20"/>
        </w:rPr>
        <w:t xml:space="preserve">. </w:t>
      </w:r>
      <w:r w:rsidR="00CC485E" w:rsidRPr="00D024FC">
        <w:rPr>
          <w:rFonts w:ascii="Arial" w:hAnsi="Arial" w:cs="Arial"/>
          <w:sz w:val="20"/>
          <w:szCs w:val="20"/>
        </w:rPr>
        <w:t xml:space="preserve">OECD </w:t>
      </w:r>
      <w:r w:rsidRPr="00D024FC">
        <w:rPr>
          <w:rFonts w:ascii="Arial" w:hAnsi="Arial" w:cs="Arial"/>
          <w:sz w:val="20"/>
          <w:szCs w:val="20"/>
        </w:rPr>
        <w:t xml:space="preserve">2. başarı diliminin </w:t>
      </w:r>
      <w:r w:rsidR="00EF0CE7" w:rsidRPr="00D024FC">
        <w:rPr>
          <w:rFonts w:ascii="Arial" w:hAnsi="Arial" w:cs="Arial"/>
          <w:sz w:val="20"/>
          <w:szCs w:val="20"/>
        </w:rPr>
        <w:t>üst sınırından daha az puan alan öğrencileri düşük performanslı</w:t>
      </w:r>
      <w:r w:rsidR="00CC485E" w:rsidRPr="00D024FC">
        <w:rPr>
          <w:rFonts w:ascii="Arial" w:hAnsi="Arial" w:cs="Arial"/>
          <w:sz w:val="20"/>
          <w:szCs w:val="20"/>
        </w:rPr>
        <w:t>,</w:t>
      </w:r>
      <w:r w:rsidR="00EF0CE7" w:rsidRPr="00D024FC">
        <w:rPr>
          <w:rFonts w:ascii="Arial" w:hAnsi="Arial" w:cs="Arial"/>
          <w:sz w:val="20"/>
          <w:szCs w:val="20"/>
        </w:rPr>
        <w:t xml:space="preserve"> 5. </w:t>
      </w:r>
      <w:r w:rsidR="00370D61" w:rsidRPr="00D024FC">
        <w:rPr>
          <w:rFonts w:ascii="Arial" w:hAnsi="Arial" w:cs="Arial"/>
          <w:sz w:val="20"/>
          <w:szCs w:val="20"/>
        </w:rPr>
        <w:t xml:space="preserve">başarı diliminin </w:t>
      </w:r>
      <w:r w:rsidR="00EF0CE7" w:rsidRPr="00D024FC">
        <w:rPr>
          <w:rFonts w:ascii="Arial" w:hAnsi="Arial" w:cs="Arial"/>
          <w:sz w:val="20"/>
          <w:szCs w:val="20"/>
        </w:rPr>
        <w:t xml:space="preserve">alt sınırından daha fazla puan alanları ise </w:t>
      </w:r>
      <w:r w:rsidRPr="00D024FC">
        <w:rPr>
          <w:rFonts w:ascii="Arial" w:hAnsi="Arial" w:cs="Arial"/>
          <w:sz w:val="20"/>
          <w:szCs w:val="20"/>
        </w:rPr>
        <w:t>yüksek performanslı olarak değerlendirmektedir.</w:t>
      </w:r>
      <w:r w:rsidR="00EF0CE7" w:rsidRPr="00D024FC">
        <w:rPr>
          <w:rFonts w:ascii="Arial" w:hAnsi="Arial" w:cs="Arial"/>
          <w:sz w:val="20"/>
          <w:szCs w:val="20"/>
        </w:rPr>
        <w:t xml:space="preserve"> OECD tarafından vurgulandığı gibi özellikle yüksek performanslı öğrencilerin toplam içindeki payları önemlidir çünkü ekonomik kalkınma için gerekli </w:t>
      </w:r>
      <w:r w:rsidR="00CC485E" w:rsidRPr="00D024FC">
        <w:rPr>
          <w:rFonts w:ascii="Arial" w:hAnsi="Arial" w:cs="Arial"/>
          <w:sz w:val="20"/>
          <w:szCs w:val="20"/>
        </w:rPr>
        <w:t>üst düzey</w:t>
      </w:r>
      <w:r w:rsidR="00AC29F7" w:rsidRPr="00D024FC">
        <w:rPr>
          <w:rFonts w:ascii="Arial" w:hAnsi="Arial" w:cs="Arial"/>
          <w:sz w:val="20"/>
          <w:szCs w:val="20"/>
        </w:rPr>
        <w:t xml:space="preserve"> </w:t>
      </w:r>
      <w:r w:rsidR="00370D61" w:rsidRPr="00D024FC">
        <w:rPr>
          <w:rFonts w:ascii="Arial" w:hAnsi="Arial" w:cs="Arial"/>
          <w:sz w:val="20"/>
          <w:szCs w:val="20"/>
        </w:rPr>
        <w:t xml:space="preserve">beşeri sermayeyi bu grup sağlamaktadır. </w:t>
      </w:r>
      <w:r w:rsidRPr="00D024FC">
        <w:rPr>
          <w:rFonts w:ascii="Arial" w:hAnsi="Arial" w:cs="Arial"/>
          <w:sz w:val="20"/>
          <w:szCs w:val="20"/>
        </w:rPr>
        <w:t>Türkiye'de yüksek performanslı öğrencilerin toplam içi</w:t>
      </w:r>
      <w:r w:rsidR="0075168F" w:rsidRPr="00D024FC">
        <w:rPr>
          <w:rFonts w:ascii="Arial" w:hAnsi="Arial" w:cs="Arial"/>
          <w:sz w:val="20"/>
          <w:szCs w:val="20"/>
        </w:rPr>
        <w:t>ndeki p</w:t>
      </w:r>
      <w:r w:rsidR="00AC29F7" w:rsidRPr="00D024FC">
        <w:rPr>
          <w:rFonts w:ascii="Arial" w:hAnsi="Arial" w:cs="Arial"/>
          <w:sz w:val="20"/>
          <w:szCs w:val="20"/>
        </w:rPr>
        <w:t>ayları 2006'dan 2012'ye yüzde 2,</w:t>
      </w:r>
      <w:r w:rsidR="0075168F" w:rsidRPr="00D024FC">
        <w:rPr>
          <w:rFonts w:ascii="Arial" w:hAnsi="Arial" w:cs="Arial"/>
          <w:sz w:val="20"/>
          <w:szCs w:val="20"/>
        </w:rPr>
        <w:t>4'ten yüzde</w:t>
      </w:r>
      <w:r w:rsidR="00AC29F7" w:rsidRPr="00D024FC">
        <w:rPr>
          <w:rFonts w:ascii="Arial" w:hAnsi="Arial" w:cs="Arial"/>
          <w:sz w:val="20"/>
          <w:szCs w:val="20"/>
        </w:rPr>
        <w:t xml:space="preserve"> </w:t>
      </w:r>
      <w:r w:rsidR="0075168F" w:rsidRPr="00D024FC">
        <w:rPr>
          <w:rFonts w:ascii="Arial" w:hAnsi="Arial" w:cs="Arial"/>
          <w:sz w:val="20"/>
          <w:szCs w:val="20"/>
        </w:rPr>
        <w:t>4'e yükselmiştir</w:t>
      </w:r>
      <w:r w:rsidR="00CC485E" w:rsidRPr="00D024FC">
        <w:rPr>
          <w:rFonts w:ascii="Arial" w:hAnsi="Arial" w:cs="Arial"/>
          <w:sz w:val="20"/>
          <w:szCs w:val="20"/>
        </w:rPr>
        <w:t>.</w:t>
      </w:r>
      <w:r w:rsidR="00AC29F7" w:rsidRPr="00D024FC">
        <w:rPr>
          <w:rFonts w:ascii="Arial" w:hAnsi="Arial" w:cs="Arial"/>
          <w:sz w:val="20"/>
          <w:szCs w:val="20"/>
        </w:rPr>
        <w:t xml:space="preserve"> </w:t>
      </w:r>
      <w:r w:rsidR="00CC485E" w:rsidRPr="00D024FC">
        <w:rPr>
          <w:rFonts w:ascii="Arial" w:hAnsi="Arial" w:cs="Arial"/>
          <w:sz w:val="20"/>
          <w:szCs w:val="20"/>
        </w:rPr>
        <w:t>B</w:t>
      </w:r>
      <w:r w:rsidR="0075168F" w:rsidRPr="00D024FC">
        <w:rPr>
          <w:rFonts w:ascii="Arial" w:hAnsi="Arial" w:cs="Arial"/>
          <w:sz w:val="20"/>
          <w:szCs w:val="20"/>
        </w:rPr>
        <w:t>u oranlar yüzde</w:t>
      </w:r>
      <w:r w:rsidR="00AC29F7" w:rsidRPr="00D024FC">
        <w:rPr>
          <w:rFonts w:ascii="Arial" w:hAnsi="Arial" w:cs="Arial"/>
          <w:sz w:val="20"/>
          <w:szCs w:val="20"/>
        </w:rPr>
        <w:t xml:space="preserve"> 9,</w:t>
      </w:r>
      <w:r w:rsidRPr="00D024FC">
        <w:rPr>
          <w:rFonts w:ascii="Arial" w:hAnsi="Arial" w:cs="Arial"/>
          <w:sz w:val="20"/>
          <w:szCs w:val="20"/>
        </w:rPr>
        <w:t>8 olan OECD ortalamasına göre çok düşük kalmaktadır. Düşük performan</w:t>
      </w:r>
      <w:r w:rsidR="0075168F" w:rsidRPr="00D024FC">
        <w:rPr>
          <w:rFonts w:ascii="Arial" w:hAnsi="Arial" w:cs="Arial"/>
          <w:sz w:val="20"/>
          <w:szCs w:val="20"/>
        </w:rPr>
        <w:t>s</w:t>
      </w:r>
      <w:r w:rsidR="00CC485E" w:rsidRPr="00D024FC">
        <w:rPr>
          <w:rFonts w:ascii="Arial" w:hAnsi="Arial" w:cs="Arial"/>
          <w:sz w:val="20"/>
          <w:szCs w:val="20"/>
        </w:rPr>
        <w:t>lı</w:t>
      </w:r>
      <w:r w:rsidR="0075168F" w:rsidRPr="00D024FC">
        <w:rPr>
          <w:rFonts w:ascii="Arial" w:hAnsi="Arial" w:cs="Arial"/>
          <w:sz w:val="20"/>
          <w:szCs w:val="20"/>
        </w:rPr>
        <w:t xml:space="preserve"> öğrenci grubunun </w:t>
      </w:r>
      <w:r w:rsidR="00370D61" w:rsidRPr="00D024FC">
        <w:rPr>
          <w:rFonts w:ascii="Arial" w:hAnsi="Arial" w:cs="Arial"/>
          <w:sz w:val="20"/>
          <w:szCs w:val="20"/>
        </w:rPr>
        <w:t xml:space="preserve">payı </w:t>
      </w:r>
      <w:r w:rsidR="0075168F" w:rsidRPr="00D024FC">
        <w:rPr>
          <w:rFonts w:ascii="Arial" w:hAnsi="Arial" w:cs="Arial"/>
          <w:sz w:val="20"/>
          <w:szCs w:val="20"/>
        </w:rPr>
        <w:t xml:space="preserve">ise yüzde </w:t>
      </w:r>
      <w:r w:rsidRPr="00D024FC">
        <w:rPr>
          <w:rFonts w:ascii="Arial" w:hAnsi="Arial" w:cs="Arial"/>
          <w:sz w:val="20"/>
          <w:szCs w:val="20"/>
        </w:rPr>
        <w:t>43</w:t>
      </w:r>
      <w:r w:rsidR="00AC29F7" w:rsidRPr="00D024FC">
        <w:rPr>
          <w:rFonts w:ascii="Arial" w:hAnsi="Arial" w:cs="Arial"/>
          <w:sz w:val="20"/>
          <w:szCs w:val="20"/>
        </w:rPr>
        <w:t>,</w:t>
      </w:r>
      <w:r w:rsidR="0076022E">
        <w:rPr>
          <w:rFonts w:ascii="Arial" w:hAnsi="Arial" w:cs="Arial"/>
          <w:sz w:val="20"/>
          <w:szCs w:val="20"/>
        </w:rPr>
        <w:t>6'</w:t>
      </w:r>
      <w:r w:rsidR="0075168F" w:rsidRPr="00D024FC">
        <w:rPr>
          <w:rFonts w:ascii="Arial" w:hAnsi="Arial" w:cs="Arial"/>
          <w:sz w:val="20"/>
          <w:szCs w:val="20"/>
        </w:rPr>
        <w:t xml:space="preserve">dan yüzde </w:t>
      </w:r>
      <w:r w:rsidRPr="00D024FC">
        <w:rPr>
          <w:rFonts w:ascii="Arial" w:hAnsi="Arial" w:cs="Arial"/>
          <w:sz w:val="20"/>
          <w:szCs w:val="20"/>
        </w:rPr>
        <w:t>30'a gerilemiş ancak yine</w:t>
      </w:r>
      <w:r w:rsidR="003112D0" w:rsidRPr="00D024FC">
        <w:rPr>
          <w:rFonts w:ascii="Arial" w:hAnsi="Arial" w:cs="Arial"/>
          <w:sz w:val="20"/>
          <w:szCs w:val="20"/>
        </w:rPr>
        <w:t xml:space="preserve"> </w:t>
      </w:r>
      <w:r w:rsidRPr="00D024FC">
        <w:rPr>
          <w:rFonts w:ascii="Arial" w:hAnsi="Arial" w:cs="Arial"/>
          <w:sz w:val="20"/>
          <w:szCs w:val="20"/>
        </w:rPr>
        <w:t>de OECD ortalamasının</w:t>
      </w:r>
      <w:r w:rsidR="00B240EE" w:rsidRPr="00D024FC">
        <w:rPr>
          <w:rFonts w:ascii="Arial" w:hAnsi="Arial" w:cs="Arial"/>
          <w:sz w:val="20"/>
          <w:szCs w:val="20"/>
        </w:rPr>
        <w:t xml:space="preserve"> (</w:t>
      </w:r>
      <w:r w:rsidR="0075168F" w:rsidRPr="00D024FC">
        <w:rPr>
          <w:rFonts w:ascii="Arial" w:hAnsi="Arial" w:cs="Arial"/>
          <w:sz w:val="20"/>
          <w:szCs w:val="20"/>
        </w:rPr>
        <w:t>yüzde</w:t>
      </w:r>
      <w:r w:rsidR="00AC29F7" w:rsidRPr="00D024FC">
        <w:rPr>
          <w:rFonts w:ascii="Arial" w:hAnsi="Arial" w:cs="Arial"/>
          <w:sz w:val="20"/>
          <w:szCs w:val="20"/>
        </w:rPr>
        <w:t xml:space="preserve"> 19,</w:t>
      </w:r>
      <w:r w:rsidR="00B240EE" w:rsidRPr="00D024FC">
        <w:rPr>
          <w:rFonts w:ascii="Arial" w:hAnsi="Arial" w:cs="Arial"/>
          <w:sz w:val="20"/>
          <w:szCs w:val="20"/>
        </w:rPr>
        <w:t xml:space="preserve">6) </w:t>
      </w:r>
      <w:r w:rsidRPr="00D024FC">
        <w:rPr>
          <w:rFonts w:ascii="Arial" w:hAnsi="Arial" w:cs="Arial"/>
          <w:sz w:val="20"/>
          <w:szCs w:val="20"/>
        </w:rPr>
        <w:t>çok üzerinde</w:t>
      </w:r>
      <w:r w:rsidR="00CC485E" w:rsidRPr="00D024FC">
        <w:rPr>
          <w:rFonts w:ascii="Arial" w:hAnsi="Arial" w:cs="Arial"/>
          <w:sz w:val="20"/>
          <w:szCs w:val="20"/>
        </w:rPr>
        <w:t xml:space="preserve"> kalmıştır (Şekil 4)</w:t>
      </w:r>
      <w:r w:rsidRPr="00D024FC">
        <w:rPr>
          <w:rFonts w:ascii="Arial" w:hAnsi="Arial" w:cs="Arial"/>
          <w:sz w:val="20"/>
          <w:szCs w:val="20"/>
        </w:rPr>
        <w:t xml:space="preserve">. </w:t>
      </w:r>
    </w:p>
    <w:p w:rsidR="00B240EE" w:rsidRPr="00D024FC" w:rsidRDefault="00B240EE" w:rsidP="00EF0CE7">
      <w:pPr>
        <w:jc w:val="both"/>
        <w:rPr>
          <w:rFonts w:ascii="Arial" w:hAnsi="Arial" w:cs="Arial"/>
          <w:sz w:val="20"/>
          <w:szCs w:val="20"/>
        </w:rPr>
      </w:pPr>
      <w:r w:rsidRPr="00D024FC">
        <w:rPr>
          <w:rFonts w:ascii="Arial" w:hAnsi="Arial" w:cs="Arial"/>
          <w:sz w:val="20"/>
          <w:szCs w:val="20"/>
        </w:rPr>
        <w:t>Gelecekteki işgücünün ana gövdesini oluşt</w:t>
      </w:r>
      <w:r w:rsidR="00E22096" w:rsidRPr="00D024FC">
        <w:rPr>
          <w:rFonts w:ascii="Arial" w:hAnsi="Arial" w:cs="Arial"/>
          <w:sz w:val="20"/>
          <w:szCs w:val="20"/>
        </w:rPr>
        <w:t>uracak olan orta dilimlerdeki (ikinci, üçüncü ve dördüncü kademe</w:t>
      </w:r>
      <w:r w:rsidR="00637776" w:rsidRPr="00D024FC">
        <w:rPr>
          <w:rFonts w:ascii="Arial" w:hAnsi="Arial" w:cs="Arial"/>
          <w:sz w:val="20"/>
          <w:szCs w:val="20"/>
        </w:rPr>
        <w:t>de</w:t>
      </w:r>
      <w:r w:rsidR="00E22096" w:rsidRPr="00D024FC">
        <w:rPr>
          <w:rFonts w:ascii="Arial" w:hAnsi="Arial" w:cs="Arial"/>
          <w:sz w:val="20"/>
          <w:szCs w:val="20"/>
        </w:rPr>
        <w:t>ki</w:t>
      </w:r>
      <w:r w:rsidRPr="00D024FC">
        <w:rPr>
          <w:rFonts w:ascii="Arial" w:hAnsi="Arial" w:cs="Arial"/>
          <w:sz w:val="20"/>
          <w:szCs w:val="20"/>
        </w:rPr>
        <w:t>) öğrencilerin payındaki art</w:t>
      </w:r>
      <w:r w:rsidR="00272E8E" w:rsidRPr="00D024FC">
        <w:rPr>
          <w:rFonts w:ascii="Arial" w:hAnsi="Arial" w:cs="Arial"/>
          <w:sz w:val="20"/>
          <w:szCs w:val="20"/>
        </w:rPr>
        <w:t xml:space="preserve">ış dikkat çekicidir. Bu pay </w:t>
      </w:r>
      <w:r w:rsidR="00D91EC6" w:rsidRPr="00D024FC">
        <w:rPr>
          <w:rFonts w:ascii="Arial" w:hAnsi="Arial" w:cs="Arial"/>
          <w:sz w:val="20"/>
          <w:szCs w:val="20"/>
        </w:rPr>
        <w:t xml:space="preserve">yüzde 54'ten (2006) </w:t>
      </w:r>
      <w:r w:rsidR="00AC29F7" w:rsidRPr="00D024FC">
        <w:rPr>
          <w:rFonts w:ascii="Arial" w:hAnsi="Arial" w:cs="Arial"/>
          <w:sz w:val="20"/>
          <w:szCs w:val="20"/>
        </w:rPr>
        <w:t>2012</w:t>
      </w:r>
      <w:r w:rsidR="001A2C10" w:rsidRPr="00D024FC">
        <w:rPr>
          <w:rFonts w:ascii="Arial" w:hAnsi="Arial" w:cs="Arial"/>
          <w:sz w:val="20"/>
          <w:szCs w:val="20"/>
        </w:rPr>
        <w:t xml:space="preserve">'de </w:t>
      </w:r>
      <w:r w:rsidR="00D91EC6" w:rsidRPr="00D024FC">
        <w:rPr>
          <w:rFonts w:ascii="Arial" w:hAnsi="Arial" w:cs="Arial"/>
          <w:sz w:val="20"/>
          <w:szCs w:val="20"/>
        </w:rPr>
        <w:t xml:space="preserve">yüzde </w:t>
      </w:r>
      <w:r w:rsidR="001A2C10" w:rsidRPr="00D024FC">
        <w:rPr>
          <w:rFonts w:ascii="Arial" w:hAnsi="Arial" w:cs="Arial"/>
          <w:sz w:val="20"/>
          <w:szCs w:val="20"/>
        </w:rPr>
        <w:t xml:space="preserve">66'ya yükselerek OECD ortalaması olan yüzde 70,6'yı hemen hemen yakalamıştır. </w:t>
      </w:r>
    </w:p>
    <w:p w:rsidR="00EF0CE7" w:rsidRPr="00D024FC" w:rsidRDefault="00A44361" w:rsidP="00EF0CE7">
      <w:pPr>
        <w:jc w:val="both"/>
        <w:rPr>
          <w:rFonts w:ascii="Arial" w:hAnsi="Arial" w:cs="Arial"/>
          <w:sz w:val="20"/>
          <w:szCs w:val="20"/>
        </w:rPr>
      </w:pPr>
      <w:r w:rsidRPr="00D024FC">
        <w:rPr>
          <w:rFonts w:ascii="Arial" w:hAnsi="Arial" w:cs="Arial"/>
          <w:sz w:val="20"/>
          <w:szCs w:val="20"/>
        </w:rPr>
        <w:t>2006-2012 yılları arasındaki PISA sonuçlarına göre kız öğrenciler erkek öğrencilere göre okuma ve fen bilimleri alanında daha başarılıdır. Özellikle okuma alanında kız ve erkek öğrenciler arasındaki fark yakla</w:t>
      </w:r>
      <w:r w:rsidR="00AC29F7" w:rsidRPr="00D024FC">
        <w:rPr>
          <w:rFonts w:ascii="Arial" w:hAnsi="Arial" w:cs="Arial"/>
          <w:sz w:val="20"/>
          <w:szCs w:val="20"/>
        </w:rPr>
        <w:t>şık olarak bir eğitim yılına eş</w:t>
      </w:r>
      <w:r w:rsidRPr="00D024FC">
        <w:rPr>
          <w:rFonts w:ascii="Arial" w:hAnsi="Arial" w:cs="Arial"/>
          <w:sz w:val="20"/>
          <w:szCs w:val="20"/>
        </w:rPr>
        <w:t>değerdir. Matematik alanında ise erkek öğrenciler</w:t>
      </w:r>
      <w:r w:rsidR="00AC29F7" w:rsidRPr="00D024FC">
        <w:rPr>
          <w:rFonts w:ascii="Arial" w:hAnsi="Arial" w:cs="Arial"/>
          <w:sz w:val="20"/>
          <w:szCs w:val="20"/>
        </w:rPr>
        <w:t>in</w:t>
      </w:r>
      <w:r w:rsidRPr="00D024FC">
        <w:rPr>
          <w:rFonts w:ascii="Arial" w:hAnsi="Arial" w:cs="Arial"/>
          <w:sz w:val="20"/>
          <w:szCs w:val="20"/>
        </w:rPr>
        <w:t xml:space="preserve"> kız öğrencilerden daha iyi performans göster</w:t>
      </w:r>
      <w:r w:rsidR="00845011" w:rsidRPr="00D024FC">
        <w:rPr>
          <w:rFonts w:ascii="Arial" w:hAnsi="Arial" w:cs="Arial"/>
          <w:sz w:val="20"/>
          <w:szCs w:val="20"/>
        </w:rPr>
        <w:t>diği gözlemlenmektedir (Şekil 5)</w:t>
      </w:r>
      <w:r w:rsidRPr="00D024FC">
        <w:rPr>
          <w:rFonts w:ascii="Arial" w:hAnsi="Arial" w:cs="Arial"/>
          <w:sz w:val="20"/>
          <w:szCs w:val="20"/>
        </w:rPr>
        <w:t xml:space="preserve">. </w:t>
      </w:r>
    </w:p>
    <w:p w:rsidR="003A21D8" w:rsidRPr="00D024FC" w:rsidRDefault="007F50FA" w:rsidP="003A21D8">
      <w:pPr>
        <w:pStyle w:val="Caption"/>
        <w:keepNext/>
        <w:rPr>
          <w:rFonts w:ascii="Arial" w:hAnsi="Arial" w:cs="Arial"/>
          <w:color w:val="auto"/>
          <w:sz w:val="20"/>
          <w:szCs w:val="20"/>
        </w:rPr>
      </w:pPr>
      <w:r w:rsidRPr="00D024FC">
        <w:rPr>
          <w:rFonts w:ascii="Arial" w:hAnsi="Arial" w:cs="Arial"/>
          <w:b w:val="0"/>
          <w:noProof/>
        </w:rPr>
        <w:lastRenderedPageBreak/>
        <w:drawing>
          <wp:anchor distT="0" distB="0" distL="114300" distR="114300" simplePos="0" relativeHeight="251665408" behindDoc="1" locked="0" layoutInCell="1" allowOverlap="1">
            <wp:simplePos x="0" y="0"/>
            <wp:positionH relativeFrom="margin">
              <wp:posOffset>3282315</wp:posOffset>
            </wp:positionH>
            <wp:positionV relativeFrom="paragraph">
              <wp:posOffset>284480</wp:posOffset>
            </wp:positionV>
            <wp:extent cx="3140710" cy="2154555"/>
            <wp:effectExtent l="0" t="0" r="0" b="0"/>
            <wp:wrapSquare wrapText="bothSides"/>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2F6D6B" w:rsidRPr="00D024FC">
        <w:rPr>
          <w:rFonts w:ascii="Arial" w:hAnsi="Arial" w:cs="Arial"/>
          <w:b w:val="0"/>
          <w:noProof/>
        </w:rPr>
        <w:drawing>
          <wp:anchor distT="0" distB="0" distL="114300" distR="114300" simplePos="0" relativeHeight="251702272" behindDoc="0" locked="0" layoutInCell="1" allowOverlap="1">
            <wp:simplePos x="0" y="0"/>
            <wp:positionH relativeFrom="column">
              <wp:posOffset>-459740</wp:posOffset>
            </wp:positionH>
            <wp:positionV relativeFrom="paragraph">
              <wp:posOffset>284480</wp:posOffset>
            </wp:positionV>
            <wp:extent cx="3667125" cy="2073910"/>
            <wp:effectExtent l="0" t="0" r="0" b="0"/>
            <wp:wrapSquare wrapText="bothSides"/>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24617B" w:rsidRPr="0024617B">
        <w:rPr>
          <w:rFonts w:ascii="Arial" w:hAnsi="Arial" w:cs="Arial"/>
          <w:b w:val="0"/>
          <w:noProof/>
        </w:rPr>
        <w:pict>
          <v:shape id="Text Box 8" o:spid="_x0000_s1032" type="#_x0000_t202" style="position:absolute;margin-left:263.3pt;margin-top:-17.8pt;width:243.75pt;height:2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" stroked="f">
            <v:textbox style="mso-next-textbox:#Text Box 8" inset="0,0,0,0">
              <w:txbxContent>
                <w:p w:rsidR="004A2E31" w:rsidRPr="00491955" w:rsidRDefault="004A2E31" w:rsidP="0088077D">
                  <w:pPr>
                    <w:pStyle w:val="Caption"/>
                    <w:jc w:val="center"/>
                    <w:rPr>
                      <w:rFonts w:ascii="Arial" w:hAnsi="Arial" w:cs="Arial"/>
                      <w:color w:val="auto"/>
                      <w:sz w:val="20"/>
                      <w:szCs w:val="20"/>
                    </w:rPr>
                  </w:pPr>
                  <w:r w:rsidRPr="00491955">
                    <w:rPr>
                      <w:rFonts w:ascii="Arial" w:hAnsi="Arial" w:cs="Arial"/>
                      <w:color w:val="auto"/>
                      <w:sz w:val="20"/>
                      <w:szCs w:val="20"/>
                    </w:rPr>
                    <w:t xml:space="preserve">Şekil </w:t>
                  </w:r>
                  <w:r w:rsidR="008C299B" w:rsidRPr="00491955">
                    <w:rPr>
                      <w:rFonts w:ascii="Arial" w:hAnsi="Arial" w:cs="Arial"/>
                      <w:color w:val="auto"/>
                      <w:sz w:val="20"/>
                      <w:szCs w:val="20"/>
                    </w:rPr>
                    <w:t>5</w:t>
                  </w:r>
                  <w:r w:rsidRPr="00491955">
                    <w:rPr>
                      <w:rFonts w:ascii="Arial" w:hAnsi="Arial" w:cs="Arial"/>
                      <w:color w:val="auto"/>
                      <w:sz w:val="20"/>
                      <w:szCs w:val="20"/>
                    </w:rPr>
                    <w:t xml:space="preserve">: Sınav türlerine göre </w:t>
                  </w:r>
                  <w:r w:rsidR="0096375B" w:rsidRPr="00491955">
                    <w:rPr>
                      <w:rFonts w:ascii="Arial" w:hAnsi="Arial" w:cs="Arial"/>
                      <w:color w:val="auto"/>
                      <w:sz w:val="20"/>
                      <w:szCs w:val="20"/>
                    </w:rPr>
                    <w:t xml:space="preserve">Türkiye'de </w:t>
                  </w:r>
                  <w:r w:rsidRPr="00491955">
                    <w:rPr>
                      <w:rFonts w:ascii="Arial" w:hAnsi="Arial" w:cs="Arial"/>
                      <w:color w:val="auto"/>
                      <w:sz w:val="20"/>
                      <w:szCs w:val="20"/>
                    </w:rPr>
                    <w:t>kız ve erkek öğrenciler arasındaki farklar(2006,2009 ve 2012)</w:t>
                  </w:r>
                </w:p>
              </w:txbxContent>
            </v:textbox>
            <w10:wrap type="square"/>
          </v:shape>
        </w:pict>
      </w:r>
      <w:r w:rsidR="00E42DC7" w:rsidRPr="00D024FC">
        <w:rPr>
          <w:rFonts w:ascii="Arial" w:hAnsi="Arial" w:cs="Arial"/>
          <w:color w:val="auto"/>
          <w:sz w:val="20"/>
          <w:szCs w:val="20"/>
        </w:rPr>
        <w:t xml:space="preserve">Şekil </w:t>
      </w:r>
      <w:r w:rsidR="0024617B" w:rsidRPr="00D024FC">
        <w:rPr>
          <w:rFonts w:ascii="Arial" w:hAnsi="Arial" w:cs="Arial"/>
          <w:color w:val="auto"/>
          <w:sz w:val="20"/>
          <w:szCs w:val="20"/>
        </w:rPr>
        <w:fldChar w:fldCharType="begin"/>
      </w:r>
      <w:r w:rsidR="00FB13A1" w:rsidRPr="00D024FC">
        <w:rPr>
          <w:rFonts w:ascii="Arial" w:hAnsi="Arial" w:cs="Arial"/>
          <w:color w:val="auto"/>
          <w:sz w:val="20"/>
          <w:szCs w:val="20"/>
        </w:rPr>
        <w:instrText xml:space="preserve"> SEQ Şekil \* ARABIC </w:instrText>
      </w:r>
      <w:r w:rsidR="0024617B" w:rsidRPr="00D024FC">
        <w:rPr>
          <w:rFonts w:ascii="Arial" w:hAnsi="Arial" w:cs="Arial"/>
          <w:color w:val="auto"/>
          <w:sz w:val="20"/>
          <w:szCs w:val="20"/>
        </w:rPr>
        <w:fldChar w:fldCharType="separate"/>
      </w:r>
      <w:r w:rsidR="00FB13A1" w:rsidRPr="00D024FC">
        <w:rPr>
          <w:rFonts w:ascii="Arial" w:hAnsi="Arial" w:cs="Arial"/>
          <w:noProof/>
          <w:color w:val="auto"/>
          <w:sz w:val="20"/>
          <w:szCs w:val="20"/>
        </w:rPr>
        <w:t>4</w:t>
      </w:r>
      <w:r w:rsidR="0024617B" w:rsidRPr="00D024FC">
        <w:rPr>
          <w:rFonts w:ascii="Arial" w:hAnsi="Arial" w:cs="Arial"/>
          <w:color w:val="auto"/>
          <w:sz w:val="20"/>
          <w:szCs w:val="20"/>
        </w:rPr>
        <w:fldChar w:fldCharType="end"/>
      </w:r>
      <w:r w:rsidR="00E42DC7" w:rsidRPr="00D024FC">
        <w:rPr>
          <w:rFonts w:ascii="Arial" w:hAnsi="Arial" w:cs="Arial"/>
          <w:color w:val="auto"/>
          <w:sz w:val="20"/>
          <w:szCs w:val="20"/>
        </w:rPr>
        <w:t>: Başarı dilimlerine göre dağılım (2006-2012)</w:t>
      </w:r>
      <w:r w:rsidR="007D62D4" w:rsidRPr="00D024FC">
        <w:rPr>
          <w:rStyle w:val="FootnoteReference"/>
          <w:rFonts w:ascii="Arial" w:hAnsi="Arial" w:cs="Arial"/>
          <w:color w:val="auto"/>
          <w:sz w:val="20"/>
          <w:szCs w:val="20"/>
        </w:rPr>
        <w:footnoteReference w:id="6"/>
      </w:r>
    </w:p>
    <w:p w:rsidR="007F50FA" w:rsidRPr="00D024FC" w:rsidRDefault="0024617B" w:rsidP="00FB13A1">
      <w:pPr>
        <w:pStyle w:val="Caption"/>
        <w:keepNext/>
        <w:rPr>
          <w:rFonts w:ascii="Arial" w:hAnsi="Arial" w:cs="Arial"/>
          <w:b w:val="0"/>
        </w:rPr>
      </w:pPr>
      <w:r w:rsidRPr="0024617B">
        <w:rPr>
          <w:noProof/>
        </w:rPr>
        <w:pict>
          <v:shape id="Text Box 25" o:spid="_x0000_s1034" type="#_x0000_t202" style="position:absolute;margin-left:-11.55pt;margin-top:167.3pt;width:243.75pt;height:17.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PUfgIAAAg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" stroked="f">
            <v:textbox inset="0,0,0,0">
              <w:txbxContent>
                <w:p w:rsidR="00634CB5" w:rsidRPr="003355D9" w:rsidRDefault="00634CB5" w:rsidP="00491955">
                  <w:pPr>
                    <w:pStyle w:val="Caption"/>
                    <w:rPr>
                      <w:rFonts w:ascii="Arial" w:hAnsi="Arial" w:cs="Arial"/>
                      <w:b w:val="0"/>
                      <w:noProof/>
                      <w:color w:val="auto"/>
                      <w:sz w:val="16"/>
                      <w:szCs w:val="16"/>
                    </w:rPr>
                  </w:pPr>
                  <w:r w:rsidRPr="003355D9">
                    <w:rPr>
                      <w:rFonts w:ascii="Arial" w:hAnsi="Arial" w:cs="Arial"/>
                      <w:b w:val="0"/>
                      <w:color w:val="auto"/>
                      <w:sz w:val="16"/>
                      <w:szCs w:val="16"/>
                    </w:rPr>
                    <w:t>Kaynak : OECD; PISA 2012 sonuçları</w:t>
                  </w:r>
                </w:p>
              </w:txbxContent>
            </v:textbox>
            <w10:wrap type="square"/>
          </v:shape>
        </w:pict>
      </w:r>
      <w:r w:rsidRPr="0024617B">
        <w:rPr>
          <w:noProof/>
        </w:rPr>
        <w:pict>
          <v:shape id="Text Box 13" o:spid="_x0000_s1033" type="#_x0000_t202" style="position:absolute;margin-left:263.3pt;margin-top:167.3pt;width:243.75pt;height:38.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WUfwIAAAg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" stroked="f">
            <v:textbox inset="0,0,0,0">
              <w:txbxContent>
                <w:p w:rsidR="007E1A53" w:rsidRPr="003355D9" w:rsidRDefault="007E1A53" w:rsidP="00491955">
                  <w:pPr>
                    <w:pStyle w:val="Caption"/>
                    <w:spacing w:after="0"/>
                    <w:rPr>
                      <w:rFonts w:ascii="Arial" w:hAnsi="Arial" w:cs="Arial"/>
                      <w:b w:val="0"/>
                      <w:color w:val="auto"/>
                      <w:sz w:val="16"/>
                      <w:szCs w:val="16"/>
                    </w:rPr>
                  </w:pPr>
                  <w:r w:rsidRPr="003355D9">
                    <w:rPr>
                      <w:rFonts w:ascii="Arial" w:hAnsi="Arial" w:cs="Arial"/>
                      <w:b w:val="0"/>
                      <w:color w:val="auto"/>
                      <w:sz w:val="16"/>
                      <w:szCs w:val="16"/>
                    </w:rPr>
                    <w:t>Kaynak : OECD; PISA 2012 sonuçları</w:t>
                  </w:r>
                </w:p>
                <w:p w:rsidR="007F50FA" w:rsidRPr="00491955" w:rsidRDefault="007F50FA" w:rsidP="00491955">
                  <w:pPr>
                    <w:spacing w:after="0"/>
                    <w:rPr>
                      <w:rFonts w:ascii="Arial" w:hAnsi="Arial" w:cs="Arial"/>
                      <w:sz w:val="16"/>
                      <w:szCs w:val="16"/>
                    </w:rPr>
                  </w:pPr>
                  <w:r w:rsidRPr="003355D9">
                    <w:rPr>
                      <w:rFonts w:ascii="Arial" w:hAnsi="Arial" w:cs="Arial"/>
                      <w:sz w:val="16"/>
                      <w:szCs w:val="16"/>
                    </w:rPr>
                    <w:t>Not: Pozitif değerler kız öğrencilerin erkek öğrencilerden daha başarılı olduğunu göstermektedir</w:t>
                  </w:r>
                  <w:r w:rsidRPr="00491955">
                    <w:rPr>
                      <w:rFonts w:ascii="Arial" w:hAnsi="Arial" w:cs="Arial"/>
                      <w:sz w:val="16"/>
                      <w:szCs w:val="16"/>
                    </w:rPr>
                    <w:t xml:space="preserve">. </w:t>
                  </w:r>
                </w:p>
                <w:p w:rsidR="007F50FA" w:rsidRPr="007F50FA" w:rsidRDefault="007F50FA" w:rsidP="007F50FA">
                  <w:pPr>
                    <w:spacing w:after="0"/>
                  </w:pPr>
                </w:p>
              </w:txbxContent>
            </v:textbox>
            <w10:wrap type="square"/>
          </v:shape>
        </w:pict>
      </w:r>
    </w:p>
    <w:p w:rsidR="001A2C10" w:rsidRPr="00D024FC" w:rsidRDefault="001A2C10" w:rsidP="00B50465">
      <w:pPr>
        <w:jc w:val="both"/>
        <w:rPr>
          <w:rFonts w:ascii="Arial" w:hAnsi="Arial" w:cs="Arial"/>
          <w:b/>
        </w:rPr>
      </w:pPr>
      <w:r w:rsidRPr="00D024FC">
        <w:rPr>
          <w:rFonts w:ascii="Arial" w:hAnsi="Arial" w:cs="Arial"/>
          <w:b/>
        </w:rPr>
        <w:t xml:space="preserve">Düşük gelirli öğrencilerin performansında yüksek artış </w:t>
      </w:r>
    </w:p>
    <w:p w:rsidR="00FB13A1" w:rsidRPr="00D024FC" w:rsidRDefault="009332FD" w:rsidP="00FB13A1">
      <w:pPr>
        <w:jc w:val="both"/>
        <w:rPr>
          <w:rFonts w:ascii="Arial" w:hAnsi="Arial" w:cs="Arial"/>
          <w:sz w:val="20"/>
          <w:szCs w:val="20"/>
        </w:rPr>
      </w:pPr>
      <w:r w:rsidRPr="00D024FC">
        <w:rPr>
          <w:rFonts w:ascii="Arial" w:hAnsi="Arial" w:cs="Arial"/>
          <w:sz w:val="20"/>
          <w:szCs w:val="20"/>
        </w:rPr>
        <w:t>S</w:t>
      </w:r>
      <w:r w:rsidR="00691E0E" w:rsidRPr="00D024FC">
        <w:rPr>
          <w:rFonts w:ascii="Arial" w:hAnsi="Arial" w:cs="Arial"/>
          <w:sz w:val="20"/>
          <w:szCs w:val="20"/>
        </w:rPr>
        <w:t>osyoekonomik statüye göre öğre</w:t>
      </w:r>
      <w:r w:rsidR="002806D0" w:rsidRPr="00D024FC">
        <w:rPr>
          <w:rFonts w:ascii="Arial" w:hAnsi="Arial" w:cs="Arial"/>
          <w:sz w:val="20"/>
          <w:szCs w:val="20"/>
        </w:rPr>
        <w:t>ncilerin ortala</w:t>
      </w:r>
      <w:r w:rsidR="009C1827" w:rsidRPr="00D024FC">
        <w:rPr>
          <w:rFonts w:ascii="Arial" w:hAnsi="Arial" w:cs="Arial"/>
          <w:sz w:val="20"/>
          <w:szCs w:val="20"/>
        </w:rPr>
        <w:t>ma performansı ayrıştırıldığında</w:t>
      </w:r>
      <w:r w:rsidR="00FD54B7" w:rsidRPr="00D024FC">
        <w:rPr>
          <w:rFonts w:ascii="Arial" w:hAnsi="Arial" w:cs="Arial"/>
          <w:sz w:val="20"/>
          <w:szCs w:val="20"/>
        </w:rPr>
        <w:t xml:space="preserve"> </w:t>
      </w:r>
      <w:r w:rsidR="004F0463" w:rsidRPr="00D024FC">
        <w:rPr>
          <w:rFonts w:ascii="Arial" w:hAnsi="Arial" w:cs="Arial"/>
          <w:sz w:val="20"/>
          <w:szCs w:val="20"/>
        </w:rPr>
        <w:t>tüm sosyoekonomik gruplardaki öğrencilerin ortalama PISA puanları 2003</w:t>
      </w:r>
      <w:r w:rsidR="00471ED5" w:rsidRPr="00D024FC">
        <w:rPr>
          <w:rFonts w:ascii="Arial" w:hAnsi="Arial" w:cs="Arial"/>
          <w:sz w:val="20"/>
          <w:szCs w:val="20"/>
        </w:rPr>
        <w:t>'</w:t>
      </w:r>
      <w:r w:rsidR="009C1827" w:rsidRPr="00D024FC">
        <w:rPr>
          <w:rFonts w:ascii="Arial" w:hAnsi="Arial" w:cs="Arial"/>
          <w:sz w:val="20"/>
          <w:szCs w:val="20"/>
        </w:rPr>
        <w:t>e</w:t>
      </w:r>
      <w:r w:rsidR="004F0463" w:rsidRPr="00D024FC">
        <w:rPr>
          <w:rFonts w:ascii="Arial" w:hAnsi="Arial" w:cs="Arial"/>
          <w:sz w:val="20"/>
          <w:szCs w:val="20"/>
        </w:rPr>
        <w:t xml:space="preserve"> kıyasla artmıştır.</w:t>
      </w:r>
      <w:r w:rsidR="00AD163D" w:rsidRPr="00D024FC">
        <w:rPr>
          <w:rStyle w:val="FootnoteReference"/>
          <w:rFonts w:ascii="Arial" w:hAnsi="Arial" w:cs="Arial"/>
          <w:sz w:val="20"/>
          <w:szCs w:val="20"/>
        </w:rPr>
        <w:t xml:space="preserve"> </w:t>
      </w:r>
      <w:r w:rsidR="00AD163D" w:rsidRPr="00D024FC">
        <w:rPr>
          <w:rStyle w:val="FootnoteReference"/>
          <w:rFonts w:ascii="Arial" w:hAnsi="Arial" w:cs="Arial"/>
          <w:sz w:val="20"/>
          <w:szCs w:val="20"/>
        </w:rPr>
        <w:footnoteReference w:id="7"/>
      </w:r>
      <w:r w:rsidR="00AD163D" w:rsidRPr="00D024FC">
        <w:rPr>
          <w:rFonts w:ascii="Arial" w:hAnsi="Arial" w:cs="Arial"/>
          <w:sz w:val="20"/>
          <w:szCs w:val="20"/>
        </w:rPr>
        <w:t xml:space="preserve"> </w:t>
      </w:r>
      <w:r w:rsidR="004F0463" w:rsidRPr="00D024FC">
        <w:rPr>
          <w:rFonts w:ascii="Arial" w:hAnsi="Arial" w:cs="Arial"/>
          <w:sz w:val="20"/>
          <w:szCs w:val="20"/>
        </w:rPr>
        <w:t>En yüksek artış</w:t>
      </w:r>
      <w:r w:rsidR="00923844" w:rsidRPr="00D024FC">
        <w:rPr>
          <w:rFonts w:ascii="Arial" w:hAnsi="Arial" w:cs="Arial"/>
          <w:sz w:val="20"/>
          <w:szCs w:val="20"/>
        </w:rPr>
        <w:t xml:space="preserve"> </w:t>
      </w:r>
      <w:r w:rsidR="009C1827" w:rsidRPr="00D024FC">
        <w:rPr>
          <w:rFonts w:ascii="Arial" w:hAnsi="Arial" w:cs="Arial"/>
          <w:sz w:val="20"/>
          <w:szCs w:val="20"/>
        </w:rPr>
        <w:t>(86 puan)</w:t>
      </w:r>
      <w:r w:rsidR="004F0463" w:rsidRPr="00D024FC">
        <w:rPr>
          <w:rFonts w:ascii="Arial" w:hAnsi="Arial" w:cs="Arial"/>
          <w:sz w:val="20"/>
          <w:szCs w:val="20"/>
        </w:rPr>
        <w:t xml:space="preserve"> en düşük </w:t>
      </w:r>
      <w:r w:rsidR="009C1827" w:rsidRPr="00D024FC">
        <w:rPr>
          <w:rFonts w:ascii="Arial" w:hAnsi="Arial" w:cs="Arial"/>
          <w:sz w:val="20"/>
          <w:szCs w:val="20"/>
        </w:rPr>
        <w:t>sosyoekonomik statüye sahip</w:t>
      </w:r>
      <w:r w:rsidR="004F0463" w:rsidRPr="00D024FC">
        <w:rPr>
          <w:rFonts w:ascii="Arial" w:hAnsi="Arial" w:cs="Arial"/>
          <w:sz w:val="20"/>
          <w:szCs w:val="20"/>
        </w:rPr>
        <w:t xml:space="preserve"> öğrenci grubunda meydana gelmiştir</w:t>
      </w:r>
      <w:r w:rsidR="009C1827" w:rsidRPr="00D024FC">
        <w:rPr>
          <w:rFonts w:ascii="Arial" w:hAnsi="Arial" w:cs="Arial"/>
          <w:sz w:val="20"/>
          <w:szCs w:val="20"/>
        </w:rPr>
        <w:t xml:space="preserve"> (Şekil 6).</w:t>
      </w:r>
      <w:r w:rsidR="0002665E" w:rsidRPr="00D024FC">
        <w:rPr>
          <w:rStyle w:val="FootnoteReference"/>
          <w:rFonts w:ascii="Arial" w:hAnsi="Arial" w:cs="Arial"/>
          <w:b/>
          <w:sz w:val="20"/>
          <w:szCs w:val="20"/>
        </w:rPr>
        <w:t xml:space="preserve"> </w:t>
      </w:r>
      <w:r w:rsidR="0002665E" w:rsidRPr="00D024FC">
        <w:rPr>
          <w:rStyle w:val="FootnoteReference"/>
          <w:rFonts w:ascii="Arial" w:hAnsi="Arial" w:cs="Arial"/>
          <w:b/>
          <w:sz w:val="20"/>
          <w:szCs w:val="20"/>
        </w:rPr>
        <w:footnoteReference w:id="8"/>
      </w:r>
      <w:r w:rsidR="00537D81" w:rsidRPr="00D024FC">
        <w:rPr>
          <w:rFonts w:ascii="Arial" w:hAnsi="Arial" w:cs="Arial"/>
          <w:sz w:val="20"/>
          <w:szCs w:val="20"/>
        </w:rPr>
        <w:t xml:space="preserve"> En yüksek statüye sahip öğrenci grubundaki artış ise 25 puanla sınırlı kalmıştır.</w:t>
      </w:r>
    </w:p>
    <w:p w:rsidR="00DE6939" w:rsidRPr="00D024FC" w:rsidRDefault="00DE6939" w:rsidP="00DE6939">
      <w:pPr>
        <w:pStyle w:val="Caption"/>
        <w:keepNext/>
        <w:rPr>
          <w:rFonts w:ascii="Arial" w:hAnsi="Arial" w:cs="Arial"/>
          <w:color w:val="auto"/>
          <w:sz w:val="20"/>
          <w:szCs w:val="20"/>
        </w:rPr>
      </w:pPr>
      <w:r w:rsidRPr="00D024FC">
        <w:rPr>
          <w:rFonts w:ascii="Arial" w:hAnsi="Arial" w:cs="Arial"/>
          <w:color w:val="auto"/>
          <w:sz w:val="20"/>
          <w:szCs w:val="20"/>
        </w:rPr>
        <w:t>Şekil 6: Türkiye'de ortalama öğrenci performansı ve sosyoekonomik statü</w:t>
      </w:r>
    </w:p>
    <w:p w:rsidR="007F50FA" w:rsidRPr="00D024FC" w:rsidRDefault="007F50FA" w:rsidP="00FB13A1">
      <w:pPr>
        <w:keepNext/>
      </w:pPr>
      <w:r w:rsidRPr="00D024FC">
        <w:rPr>
          <w:rFonts w:ascii="Arial" w:hAnsi="Arial" w:cs="Arial"/>
          <w:noProof/>
          <w:sz w:val="20"/>
          <w:szCs w:val="20"/>
        </w:rPr>
        <w:drawing>
          <wp:inline distT="0" distB="0" distL="0" distR="0">
            <wp:extent cx="3912042" cy="2258171"/>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4AF5" w:rsidRPr="00D024FC" w:rsidRDefault="007F50FA" w:rsidP="00FB13A1">
      <w:pPr>
        <w:pStyle w:val="Caption"/>
        <w:rPr>
          <w:rFonts w:ascii="Arial" w:hAnsi="Arial" w:cs="Arial"/>
          <w:b w:val="0"/>
          <w:color w:val="auto"/>
          <w:sz w:val="16"/>
          <w:szCs w:val="16"/>
        </w:rPr>
      </w:pPr>
      <w:r w:rsidRPr="00D024FC">
        <w:rPr>
          <w:rFonts w:ascii="Arial" w:hAnsi="Arial" w:cs="Arial"/>
          <w:b w:val="0"/>
          <w:color w:val="auto"/>
          <w:sz w:val="16"/>
          <w:szCs w:val="16"/>
        </w:rPr>
        <w:t>Kaynak: Dünya Bankası</w:t>
      </w:r>
    </w:p>
    <w:p w:rsidR="00642C5D" w:rsidRPr="00D024FC" w:rsidRDefault="00537D81" w:rsidP="00537D81">
      <w:pPr>
        <w:jc w:val="both"/>
        <w:rPr>
          <w:rFonts w:ascii="Arial" w:hAnsi="Arial" w:cs="Arial"/>
          <w:b/>
        </w:rPr>
      </w:pPr>
      <w:r w:rsidRPr="00D024FC">
        <w:rPr>
          <w:rFonts w:ascii="Arial" w:hAnsi="Arial" w:cs="Arial"/>
          <w:sz w:val="20"/>
          <w:szCs w:val="20"/>
        </w:rPr>
        <w:lastRenderedPageBreak/>
        <w:t xml:space="preserve">Türkiye'nin 2003'ten itibaren gösterdiği performans iyileşmesinde düşük sosyoekonomik statüdeki öğrencilerin puan artışı önemli paya sahiptir. Bu gelişme sosyoekonomik statüler arasındaki eşitsizliği azaltsa da seviye farkı halen çok yüksektir. </w:t>
      </w:r>
      <w:r w:rsidR="009C1827" w:rsidRPr="00D024FC">
        <w:rPr>
          <w:rFonts w:ascii="Arial" w:hAnsi="Arial" w:cs="Arial"/>
          <w:sz w:val="20"/>
          <w:szCs w:val="20"/>
        </w:rPr>
        <w:t xml:space="preserve">2003’te en düşük statü ile en yüksek statü arasında </w:t>
      </w:r>
      <w:r w:rsidR="00471ED5" w:rsidRPr="00D024FC">
        <w:rPr>
          <w:rFonts w:ascii="Arial" w:hAnsi="Arial" w:cs="Arial"/>
          <w:sz w:val="20"/>
          <w:szCs w:val="20"/>
        </w:rPr>
        <w:t xml:space="preserve">124 </w:t>
      </w:r>
      <w:r w:rsidR="009C1827" w:rsidRPr="00D024FC">
        <w:rPr>
          <w:rFonts w:ascii="Arial" w:hAnsi="Arial" w:cs="Arial"/>
          <w:sz w:val="20"/>
          <w:szCs w:val="20"/>
        </w:rPr>
        <w:t>olan puan farkı</w:t>
      </w:r>
      <w:r w:rsidR="00471ED5" w:rsidRPr="00D024FC">
        <w:rPr>
          <w:rFonts w:ascii="Arial" w:hAnsi="Arial" w:cs="Arial"/>
          <w:sz w:val="20"/>
          <w:szCs w:val="20"/>
        </w:rPr>
        <w:t xml:space="preserve">, </w:t>
      </w:r>
      <w:r w:rsidR="009C1827" w:rsidRPr="00D024FC">
        <w:rPr>
          <w:rFonts w:ascii="Arial" w:hAnsi="Arial" w:cs="Arial"/>
          <w:sz w:val="20"/>
          <w:szCs w:val="20"/>
        </w:rPr>
        <w:t xml:space="preserve">2012’de </w:t>
      </w:r>
      <w:r w:rsidR="00471ED5" w:rsidRPr="00D024FC">
        <w:rPr>
          <w:rFonts w:ascii="Arial" w:hAnsi="Arial" w:cs="Arial"/>
          <w:sz w:val="20"/>
          <w:szCs w:val="20"/>
        </w:rPr>
        <w:t xml:space="preserve">91 puana  gerilemiştir. </w:t>
      </w:r>
      <w:r w:rsidR="001D1454" w:rsidRPr="00D024FC">
        <w:rPr>
          <w:rFonts w:ascii="Arial" w:hAnsi="Arial" w:cs="Arial"/>
          <w:sz w:val="20"/>
          <w:szCs w:val="20"/>
        </w:rPr>
        <w:t xml:space="preserve">Diğer bir ifadeyle, 2012 yılında halen en düşük statü grubundaki öğrenciler en yüksek statü grubundaki yaşıtlarına göre yaklaşık 2 öğretim yılı geridedirler. </w:t>
      </w:r>
    </w:p>
    <w:p w:rsidR="009332FD" w:rsidRPr="00D024FC" w:rsidRDefault="009332FD" w:rsidP="00D744AC">
      <w:pPr>
        <w:jc w:val="both"/>
        <w:rPr>
          <w:rFonts w:ascii="Arial" w:hAnsi="Arial" w:cs="Arial"/>
          <w:b/>
        </w:rPr>
      </w:pPr>
    </w:p>
    <w:p w:rsidR="00D333A4" w:rsidRPr="00D024FC" w:rsidRDefault="00D333A4" w:rsidP="00D744AC">
      <w:pPr>
        <w:jc w:val="both"/>
        <w:rPr>
          <w:rFonts w:ascii="Arial" w:hAnsi="Arial" w:cs="Arial"/>
          <w:b/>
        </w:rPr>
      </w:pPr>
      <w:r w:rsidRPr="00D024FC">
        <w:rPr>
          <w:rFonts w:ascii="Arial" w:hAnsi="Arial" w:cs="Arial"/>
          <w:b/>
        </w:rPr>
        <w:t>Köy</w:t>
      </w:r>
      <w:r w:rsidR="00C47566" w:rsidRPr="00D024FC">
        <w:rPr>
          <w:rFonts w:ascii="Arial" w:hAnsi="Arial" w:cs="Arial"/>
          <w:b/>
        </w:rPr>
        <w:t>lerdeki</w:t>
      </w:r>
      <w:r w:rsidRPr="00D024FC">
        <w:rPr>
          <w:rFonts w:ascii="Arial" w:hAnsi="Arial" w:cs="Arial"/>
          <w:b/>
        </w:rPr>
        <w:t xml:space="preserve"> ve küçük kasabalardaki öğrenciler daha başarılı</w:t>
      </w:r>
    </w:p>
    <w:p w:rsidR="00686888" w:rsidRPr="00D024FC" w:rsidRDefault="00EA61F0" w:rsidP="00D744AC">
      <w:pPr>
        <w:jc w:val="both"/>
        <w:rPr>
          <w:rFonts w:ascii="Arial" w:hAnsi="Arial" w:cs="Arial"/>
          <w:sz w:val="20"/>
          <w:szCs w:val="20"/>
        </w:rPr>
      </w:pPr>
      <w:r w:rsidRPr="00D024FC">
        <w:rPr>
          <w:rFonts w:ascii="Arial" w:hAnsi="Arial" w:cs="Arial"/>
          <w:sz w:val="20"/>
          <w:szCs w:val="20"/>
        </w:rPr>
        <w:t>PISA verileri yerl</w:t>
      </w:r>
      <w:r w:rsidR="00C47566" w:rsidRPr="00D024FC">
        <w:rPr>
          <w:rFonts w:ascii="Arial" w:hAnsi="Arial" w:cs="Arial"/>
          <w:sz w:val="20"/>
          <w:szCs w:val="20"/>
        </w:rPr>
        <w:t>eşim</w:t>
      </w:r>
      <w:r w:rsidRPr="00D024FC">
        <w:rPr>
          <w:rFonts w:ascii="Arial" w:hAnsi="Arial" w:cs="Arial"/>
          <w:sz w:val="20"/>
          <w:szCs w:val="20"/>
        </w:rPr>
        <w:t xml:space="preserve"> birimleri düzeyinde de bilgi içermektedir</w:t>
      </w:r>
      <w:r w:rsidR="000F1DA7" w:rsidRPr="00D024FC">
        <w:rPr>
          <w:rFonts w:ascii="Arial" w:hAnsi="Arial" w:cs="Arial"/>
          <w:sz w:val="20"/>
          <w:szCs w:val="20"/>
        </w:rPr>
        <w:t>.</w:t>
      </w:r>
      <w:r w:rsidR="00706A3E" w:rsidRPr="00D024FC">
        <w:rPr>
          <w:rStyle w:val="FootnoteReference"/>
          <w:rFonts w:ascii="Arial" w:hAnsi="Arial" w:cs="Arial"/>
          <w:sz w:val="20"/>
          <w:szCs w:val="20"/>
        </w:rPr>
        <w:footnoteReference w:id="9"/>
      </w:r>
      <w:r w:rsidRPr="00D024FC">
        <w:rPr>
          <w:rFonts w:ascii="Arial" w:hAnsi="Arial" w:cs="Arial"/>
          <w:sz w:val="20"/>
          <w:szCs w:val="20"/>
        </w:rPr>
        <w:t xml:space="preserve"> 2009 ve 2012 yılarında PISA uygulaması</w:t>
      </w:r>
      <w:r w:rsidR="00C47566" w:rsidRPr="00D024FC">
        <w:rPr>
          <w:rFonts w:ascii="Arial" w:hAnsi="Arial" w:cs="Arial"/>
          <w:sz w:val="20"/>
          <w:szCs w:val="20"/>
        </w:rPr>
        <w:t>na katılan okulların yüzde 2-3’ü</w:t>
      </w:r>
      <w:r w:rsidRPr="00D024FC">
        <w:rPr>
          <w:rFonts w:ascii="Arial" w:hAnsi="Arial" w:cs="Arial"/>
          <w:sz w:val="20"/>
          <w:szCs w:val="20"/>
        </w:rPr>
        <w:t xml:space="preserve"> “Köy”</w:t>
      </w:r>
      <w:r w:rsidR="00C47566" w:rsidRPr="00D024FC">
        <w:rPr>
          <w:rFonts w:ascii="Arial" w:hAnsi="Arial" w:cs="Arial"/>
          <w:sz w:val="20"/>
          <w:szCs w:val="20"/>
        </w:rPr>
        <w:t xml:space="preserve">, </w:t>
      </w:r>
      <w:r w:rsidRPr="00D024FC">
        <w:rPr>
          <w:rFonts w:ascii="Arial" w:hAnsi="Arial" w:cs="Arial"/>
          <w:sz w:val="20"/>
          <w:szCs w:val="20"/>
        </w:rPr>
        <w:t>yaklaşık yüzde 10'u</w:t>
      </w:r>
      <w:r w:rsidR="00DA2AB5" w:rsidRPr="00D024FC">
        <w:rPr>
          <w:rFonts w:ascii="Arial" w:hAnsi="Arial" w:cs="Arial"/>
          <w:sz w:val="20"/>
          <w:szCs w:val="20"/>
        </w:rPr>
        <w:t xml:space="preserve"> </w:t>
      </w:r>
      <w:r w:rsidRPr="00D024FC">
        <w:rPr>
          <w:rFonts w:ascii="Arial" w:hAnsi="Arial" w:cs="Arial"/>
          <w:sz w:val="20"/>
          <w:szCs w:val="20"/>
        </w:rPr>
        <w:t xml:space="preserve">“Küçük Kasaba”, yüzde </w:t>
      </w:r>
      <w:r w:rsidR="00E0281A" w:rsidRPr="00D024FC">
        <w:rPr>
          <w:rFonts w:ascii="Arial" w:hAnsi="Arial" w:cs="Arial"/>
          <w:sz w:val="20"/>
          <w:szCs w:val="20"/>
        </w:rPr>
        <w:t>28-31’i</w:t>
      </w:r>
      <w:r w:rsidR="00DA2AB5" w:rsidRPr="00D024FC">
        <w:rPr>
          <w:rFonts w:ascii="Arial" w:hAnsi="Arial" w:cs="Arial"/>
          <w:sz w:val="20"/>
          <w:szCs w:val="20"/>
        </w:rPr>
        <w:t xml:space="preserve"> </w:t>
      </w:r>
      <w:r w:rsidR="00E0281A" w:rsidRPr="00D024FC">
        <w:rPr>
          <w:rFonts w:ascii="Arial" w:hAnsi="Arial" w:cs="Arial"/>
          <w:sz w:val="20"/>
          <w:szCs w:val="20"/>
        </w:rPr>
        <w:t>“K</w:t>
      </w:r>
      <w:r w:rsidRPr="00D024FC">
        <w:rPr>
          <w:rFonts w:ascii="Arial" w:hAnsi="Arial" w:cs="Arial"/>
          <w:sz w:val="20"/>
          <w:szCs w:val="20"/>
        </w:rPr>
        <w:t>asaba</w:t>
      </w:r>
      <w:r w:rsidR="00E0281A" w:rsidRPr="00D024FC">
        <w:rPr>
          <w:rFonts w:ascii="Arial" w:hAnsi="Arial" w:cs="Arial"/>
          <w:sz w:val="20"/>
          <w:szCs w:val="20"/>
        </w:rPr>
        <w:t>”</w:t>
      </w:r>
      <w:r w:rsidRPr="00D024FC">
        <w:rPr>
          <w:rFonts w:ascii="Arial" w:hAnsi="Arial" w:cs="Arial"/>
          <w:sz w:val="20"/>
          <w:szCs w:val="20"/>
        </w:rPr>
        <w:t xml:space="preserve">, yüzde </w:t>
      </w:r>
      <w:r w:rsidR="00E0281A" w:rsidRPr="00D024FC">
        <w:rPr>
          <w:rFonts w:ascii="Arial" w:hAnsi="Arial" w:cs="Arial"/>
          <w:sz w:val="20"/>
          <w:szCs w:val="20"/>
        </w:rPr>
        <w:t>28-30’u “Ş</w:t>
      </w:r>
      <w:r w:rsidRPr="00D024FC">
        <w:rPr>
          <w:rFonts w:ascii="Arial" w:hAnsi="Arial" w:cs="Arial"/>
          <w:sz w:val="20"/>
          <w:szCs w:val="20"/>
        </w:rPr>
        <w:t>ehir</w:t>
      </w:r>
      <w:r w:rsidR="00E0281A" w:rsidRPr="00D024FC">
        <w:rPr>
          <w:rFonts w:ascii="Arial" w:hAnsi="Arial" w:cs="Arial"/>
          <w:sz w:val="20"/>
          <w:szCs w:val="20"/>
        </w:rPr>
        <w:t xml:space="preserve">” </w:t>
      </w:r>
      <w:r w:rsidRPr="00D024FC">
        <w:rPr>
          <w:rFonts w:ascii="Arial" w:hAnsi="Arial" w:cs="Arial"/>
          <w:sz w:val="20"/>
          <w:szCs w:val="20"/>
        </w:rPr>
        <w:t xml:space="preserve">ve yüzde </w:t>
      </w:r>
      <w:r w:rsidR="00E0281A" w:rsidRPr="00D024FC">
        <w:rPr>
          <w:rFonts w:ascii="Arial" w:hAnsi="Arial" w:cs="Arial"/>
          <w:sz w:val="20"/>
          <w:szCs w:val="20"/>
        </w:rPr>
        <w:t>31-27’si</w:t>
      </w:r>
      <w:r w:rsidR="00DA2AB5" w:rsidRPr="00D024FC">
        <w:rPr>
          <w:rFonts w:ascii="Arial" w:hAnsi="Arial" w:cs="Arial"/>
          <w:sz w:val="20"/>
          <w:szCs w:val="20"/>
        </w:rPr>
        <w:t xml:space="preserve"> </w:t>
      </w:r>
      <w:r w:rsidR="00E0281A" w:rsidRPr="00D024FC">
        <w:rPr>
          <w:rFonts w:ascii="Arial" w:hAnsi="Arial" w:cs="Arial"/>
          <w:sz w:val="20"/>
          <w:szCs w:val="20"/>
        </w:rPr>
        <w:t>“B</w:t>
      </w:r>
      <w:r w:rsidRPr="00D024FC">
        <w:rPr>
          <w:rFonts w:ascii="Arial" w:hAnsi="Arial" w:cs="Arial"/>
          <w:sz w:val="20"/>
          <w:szCs w:val="20"/>
        </w:rPr>
        <w:t xml:space="preserve">üyük </w:t>
      </w:r>
      <w:r w:rsidR="00E0281A" w:rsidRPr="00D024FC">
        <w:rPr>
          <w:rFonts w:ascii="Arial" w:hAnsi="Arial" w:cs="Arial"/>
          <w:sz w:val="20"/>
          <w:szCs w:val="20"/>
        </w:rPr>
        <w:t>Ş</w:t>
      </w:r>
      <w:r w:rsidRPr="00D024FC">
        <w:rPr>
          <w:rFonts w:ascii="Arial" w:hAnsi="Arial" w:cs="Arial"/>
          <w:sz w:val="20"/>
          <w:szCs w:val="20"/>
        </w:rPr>
        <w:t>ehir</w:t>
      </w:r>
      <w:r w:rsidR="00C47566" w:rsidRPr="00D024FC">
        <w:rPr>
          <w:rFonts w:ascii="Arial" w:hAnsi="Arial" w:cs="Arial"/>
          <w:sz w:val="20"/>
          <w:szCs w:val="20"/>
        </w:rPr>
        <w:t>"lerde bulunan okullardan</w:t>
      </w:r>
      <w:r w:rsidR="00DA2AB5" w:rsidRPr="00D024FC">
        <w:rPr>
          <w:rFonts w:ascii="Arial" w:hAnsi="Arial" w:cs="Arial"/>
          <w:sz w:val="20"/>
          <w:szCs w:val="20"/>
        </w:rPr>
        <w:t xml:space="preserve"> </w:t>
      </w:r>
      <w:r w:rsidR="00E0281A" w:rsidRPr="00D024FC">
        <w:rPr>
          <w:rFonts w:ascii="Arial" w:hAnsi="Arial" w:cs="Arial"/>
          <w:sz w:val="20"/>
          <w:szCs w:val="20"/>
        </w:rPr>
        <w:t>oluşmaktadır</w:t>
      </w:r>
      <w:r w:rsidR="000D2E6A" w:rsidRPr="00D024FC">
        <w:rPr>
          <w:rFonts w:ascii="Arial" w:hAnsi="Arial" w:cs="Arial"/>
          <w:sz w:val="20"/>
          <w:szCs w:val="20"/>
        </w:rPr>
        <w:t xml:space="preserve"> </w:t>
      </w:r>
      <w:r w:rsidRPr="00D024FC">
        <w:rPr>
          <w:rFonts w:ascii="Arial" w:hAnsi="Arial" w:cs="Arial"/>
          <w:sz w:val="20"/>
          <w:szCs w:val="20"/>
        </w:rPr>
        <w:t>(Ek Tablo 2).</w:t>
      </w:r>
      <w:r w:rsidR="00706A3E" w:rsidRPr="00D024FC">
        <w:rPr>
          <w:rStyle w:val="FootnoteReference"/>
          <w:rFonts w:ascii="Arial" w:hAnsi="Arial" w:cs="Arial"/>
          <w:sz w:val="20"/>
          <w:szCs w:val="20"/>
        </w:rPr>
        <w:footnoteReference w:id="10"/>
      </w:r>
    </w:p>
    <w:p w:rsidR="008939B5" w:rsidRPr="00D024FC" w:rsidRDefault="0024617B" w:rsidP="00803893">
      <w:pPr>
        <w:jc w:val="both"/>
        <w:rPr>
          <w:rFonts w:ascii="Arial" w:hAnsi="Arial" w:cs="Arial"/>
          <w:sz w:val="20"/>
          <w:szCs w:val="20"/>
        </w:rPr>
      </w:pPr>
      <w:r w:rsidRPr="0024617B">
        <w:rPr>
          <w:noProof/>
        </w:rPr>
        <w:pict>
          <v:shape id="Text Box 18" o:spid="_x0000_s1041" type="#_x0000_t202" style="position:absolute;left:0;text-align:left;margin-left:158.9pt;margin-top:254.45pt;width:294.1pt;height:26.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URfgIAAAg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" stroked="f">
            <v:textbox inset="0,0,0,0">
              <w:txbxContent>
                <w:p w:rsidR="001E1A26" w:rsidRPr="00FA4C8A" w:rsidRDefault="001E1A26" w:rsidP="000D6B7E">
                  <w:pPr>
                    <w:pStyle w:val="Caption"/>
                    <w:jc w:val="center"/>
                    <w:rPr>
                      <w:rFonts w:ascii="Arial" w:hAnsi="Arial" w:cs="Arial"/>
                      <w:color w:val="auto"/>
                      <w:sz w:val="20"/>
                      <w:szCs w:val="20"/>
                    </w:rPr>
                  </w:pPr>
                  <w:r w:rsidRPr="00FA4C8A">
                    <w:rPr>
                      <w:rFonts w:ascii="Arial" w:hAnsi="Arial" w:cs="Arial"/>
                      <w:color w:val="auto"/>
                      <w:sz w:val="20"/>
                      <w:szCs w:val="20"/>
                    </w:rPr>
                    <w:t xml:space="preserve">Şekil </w:t>
                  </w:r>
                  <w:r w:rsidR="00114535" w:rsidRPr="00FA4C8A">
                    <w:rPr>
                      <w:rFonts w:ascii="Arial" w:hAnsi="Arial" w:cs="Arial"/>
                      <w:color w:val="auto"/>
                      <w:sz w:val="20"/>
                      <w:szCs w:val="20"/>
                    </w:rPr>
                    <w:t>8</w:t>
                  </w:r>
                  <w:r w:rsidRPr="00FA4C8A">
                    <w:rPr>
                      <w:rFonts w:ascii="Arial" w:hAnsi="Arial" w:cs="Arial"/>
                      <w:color w:val="auto"/>
                      <w:sz w:val="20"/>
                      <w:szCs w:val="20"/>
                    </w:rPr>
                    <w:t xml:space="preserve">: </w:t>
                  </w:r>
                  <w:r w:rsidR="000D6B7E" w:rsidRPr="00FA4C8A">
                    <w:rPr>
                      <w:rFonts w:ascii="Arial" w:hAnsi="Arial" w:cs="Arial"/>
                      <w:color w:val="auto"/>
                      <w:sz w:val="20"/>
                      <w:szCs w:val="20"/>
                    </w:rPr>
                    <w:t>2009-2012 Ortalama PISA performans artışının</w:t>
                  </w:r>
                  <w:r w:rsidR="000D6B7E" w:rsidRPr="00FA4C8A">
                    <w:rPr>
                      <w:rFonts w:ascii="Arial" w:hAnsi="Arial" w:cs="Arial"/>
                      <w:color w:val="auto"/>
                    </w:rPr>
                    <w:t xml:space="preserve"> </w:t>
                  </w:r>
                  <w:r w:rsidR="000D6B7E" w:rsidRPr="00FA4C8A">
                    <w:rPr>
                      <w:rFonts w:ascii="Arial" w:hAnsi="Arial" w:cs="Arial"/>
                      <w:color w:val="auto"/>
                      <w:sz w:val="20"/>
                      <w:szCs w:val="20"/>
                    </w:rPr>
                    <w:t>okulların bulundukları yerleşim birimine göre dağılımı</w:t>
                  </w:r>
                </w:p>
              </w:txbxContent>
            </v:textbox>
            <w10:wrap type="square"/>
          </v:shape>
        </w:pict>
      </w:r>
      <w:r w:rsidR="00177E25" w:rsidRPr="00D024FC">
        <w:rPr>
          <w:noProof/>
        </w:rPr>
        <w:drawing>
          <wp:anchor distT="0" distB="0" distL="114300" distR="114300" simplePos="0" relativeHeight="251686912" behindDoc="0" locked="0" layoutInCell="1" allowOverlap="1">
            <wp:simplePos x="0" y="0"/>
            <wp:positionH relativeFrom="column">
              <wp:posOffset>2033905</wp:posOffset>
            </wp:positionH>
            <wp:positionV relativeFrom="paragraph">
              <wp:posOffset>3549650</wp:posOffset>
            </wp:positionV>
            <wp:extent cx="3609340" cy="1605915"/>
            <wp:effectExtent l="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Arial" w:hAnsi="Arial" w:cs="Arial"/>
          <w:noProof/>
          <w:sz w:val="20"/>
          <w:szCs w:val="20"/>
        </w:rPr>
        <w:pict>
          <v:shape id="Text Box 23" o:spid="_x0000_s1039" type="#_x0000_t202" style="position:absolute;left:0;text-align:left;margin-left:164.55pt;margin-top:5.3pt;width:297.85pt;height:25.1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" stroked="f">
            <v:textbox style="mso-next-textbox:#Text Box 23" inset="0,0,0,0">
              <w:txbxContent>
                <w:p w:rsidR="00AF5E11" w:rsidRPr="00FA4C8A" w:rsidRDefault="00AF5E11" w:rsidP="00AF5E11">
                  <w:pPr>
                    <w:pStyle w:val="Caption"/>
                    <w:jc w:val="center"/>
                    <w:rPr>
                      <w:rFonts w:ascii="Arial" w:hAnsi="Arial" w:cs="Arial"/>
                      <w:color w:val="auto"/>
                      <w:sz w:val="20"/>
                      <w:szCs w:val="20"/>
                    </w:rPr>
                  </w:pPr>
                  <w:r w:rsidRPr="00FA4C8A">
                    <w:rPr>
                      <w:rFonts w:ascii="Arial" w:hAnsi="Arial" w:cs="Arial"/>
                      <w:color w:val="auto"/>
                      <w:sz w:val="20"/>
                      <w:szCs w:val="20"/>
                    </w:rPr>
                    <w:t xml:space="preserve">Şekil </w:t>
                  </w:r>
                  <w:r w:rsidR="00F714DC" w:rsidRPr="00FA4C8A">
                    <w:rPr>
                      <w:rFonts w:ascii="Arial" w:hAnsi="Arial" w:cs="Arial"/>
                      <w:color w:val="auto"/>
                      <w:sz w:val="20"/>
                      <w:szCs w:val="20"/>
                    </w:rPr>
                    <w:t>7</w:t>
                  </w:r>
                  <w:r w:rsidRPr="00FA4C8A">
                    <w:rPr>
                      <w:rFonts w:ascii="Arial" w:hAnsi="Arial" w:cs="Arial"/>
                      <w:color w:val="auto"/>
                      <w:sz w:val="20"/>
                      <w:szCs w:val="20"/>
                    </w:rPr>
                    <w:t>: Okulların bağlı oldukları</w:t>
                  </w:r>
                  <w:r w:rsidR="00E41D79" w:rsidRPr="00FA4C8A">
                    <w:rPr>
                      <w:rFonts w:ascii="Arial" w:hAnsi="Arial" w:cs="Arial"/>
                      <w:color w:val="auto"/>
                      <w:sz w:val="20"/>
                      <w:szCs w:val="20"/>
                    </w:rPr>
                    <w:t xml:space="preserve"> yerleşim</w:t>
                  </w:r>
                  <w:r w:rsidRPr="00FA4C8A">
                    <w:rPr>
                      <w:rFonts w:ascii="Arial" w:hAnsi="Arial" w:cs="Arial"/>
                      <w:color w:val="auto"/>
                      <w:sz w:val="20"/>
                      <w:szCs w:val="20"/>
                    </w:rPr>
                    <w:t xml:space="preserve"> birime göre PISA ortalamaları (2009 ve 2012)</w:t>
                  </w:r>
                </w:p>
              </w:txbxContent>
            </v:textbox>
            <w10:wrap type="square"/>
          </v:shape>
        </w:pict>
      </w:r>
      <w:r w:rsidRPr="0024617B">
        <w:rPr>
          <w:noProof/>
        </w:rPr>
        <w:pict>
          <v:shape id="Text Box 16" o:spid="_x0000_s1040" type="#_x0000_t202" style="position:absolute;left:0;text-align:left;margin-left:170.2pt;margin-top:188.1pt;width:299.25pt;height:12.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" stroked="f">
            <v:textbox style="mso-next-textbox:#Text Box 16" inset="0,0,0,0">
              <w:txbxContent>
                <w:p w:rsidR="00DE195A" w:rsidRPr="003355D9" w:rsidRDefault="00DE195A" w:rsidP="0079345A">
                  <w:pPr>
                    <w:pStyle w:val="Caption"/>
                    <w:rPr>
                      <w:b w:val="0"/>
                      <w:noProof/>
                      <w:color w:val="auto"/>
                    </w:rPr>
                  </w:pPr>
                  <w:r w:rsidRPr="003355D9">
                    <w:rPr>
                      <w:b w:val="0"/>
                      <w:color w:val="auto"/>
                    </w:rPr>
                    <w:t>Kaynak: OECD; PISA 2009, 2012 sonuçları</w:t>
                  </w:r>
                  <w:r w:rsidR="003F0D40" w:rsidRPr="003355D9">
                    <w:rPr>
                      <w:b w:val="0"/>
                      <w:color w:val="auto"/>
                    </w:rPr>
                    <w:t>; Betam</w:t>
                  </w:r>
                </w:p>
              </w:txbxContent>
            </v:textbox>
            <w10:wrap type="square"/>
          </v:shape>
        </w:pict>
      </w:r>
      <w:r w:rsidR="00803893" w:rsidRPr="00D024FC">
        <w:rPr>
          <w:rFonts w:ascii="Arial" w:hAnsi="Arial" w:cs="Arial"/>
          <w:noProof/>
          <w:sz w:val="20"/>
          <w:szCs w:val="20"/>
        </w:rPr>
        <w:drawing>
          <wp:anchor distT="0" distB="0" distL="114300" distR="114300" simplePos="0" relativeHeight="251683840" behindDoc="0" locked="0" layoutInCell="1" allowOverlap="1">
            <wp:simplePos x="0" y="0"/>
            <wp:positionH relativeFrom="column">
              <wp:posOffset>2097405</wp:posOffset>
            </wp:positionH>
            <wp:positionV relativeFrom="paragraph">
              <wp:posOffset>408305</wp:posOffset>
            </wp:positionV>
            <wp:extent cx="3657600" cy="2114550"/>
            <wp:effectExtent l="0" t="0" r="0" b="0"/>
            <wp:wrapSquare wrapText="bothSides"/>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E0281A" w:rsidRPr="00D024FC">
        <w:rPr>
          <w:rFonts w:ascii="Arial" w:hAnsi="Arial" w:cs="Arial"/>
          <w:sz w:val="20"/>
          <w:szCs w:val="20"/>
        </w:rPr>
        <w:t xml:space="preserve">Yerleşim birimleri itibariyle </w:t>
      </w:r>
      <w:r w:rsidR="00686888" w:rsidRPr="00D024FC">
        <w:rPr>
          <w:rFonts w:ascii="Arial" w:hAnsi="Arial" w:cs="Arial"/>
          <w:sz w:val="20"/>
          <w:szCs w:val="20"/>
        </w:rPr>
        <w:t>PISA</w:t>
      </w:r>
      <w:r w:rsidR="00177E25" w:rsidRPr="00D024FC">
        <w:rPr>
          <w:rFonts w:ascii="Arial" w:hAnsi="Arial" w:cs="Arial"/>
          <w:sz w:val="20"/>
          <w:szCs w:val="20"/>
        </w:rPr>
        <w:t xml:space="preserve"> </w:t>
      </w:r>
      <w:r w:rsidR="00E0281A" w:rsidRPr="00D024FC">
        <w:rPr>
          <w:rFonts w:ascii="Arial" w:hAnsi="Arial" w:cs="Arial"/>
          <w:sz w:val="20"/>
          <w:szCs w:val="20"/>
        </w:rPr>
        <w:t>performanslarındaki gelişmeler oldukça şaşırtıcıdır. PISA verilerine göre k</w:t>
      </w:r>
      <w:r w:rsidR="00803893" w:rsidRPr="00D024FC">
        <w:rPr>
          <w:rFonts w:ascii="Arial" w:hAnsi="Arial" w:cs="Arial"/>
          <w:sz w:val="20"/>
          <w:szCs w:val="20"/>
        </w:rPr>
        <w:t>öy</w:t>
      </w:r>
      <w:r w:rsidR="00C47566" w:rsidRPr="00D024FC">
        <w:rPr>
          <w:rFonts w:ascii="Arial" w:hAnsi="Arial" w:cs="Arial"/>
          <w:sz w:val="20"/>
          <w:szCs w:val="20"/>
        </w:rPr>
        <w:t>lerin ve kasabaların</w:t>
      </w:r>
      <w:r w:rsidR="00803893" w:rsidRPr="00D024FC">
        <w:rPr>
          <w:rFonts w:ascii="Arial" w:hAnsi="Arial" w:cs="Arial"/>
          <w:sz w:val="20"/>
          <w:szCs w:val="20"/>
        </w:rPr>
        <w:t xml:space="preserve"> </w:t>
      </w:r>
      <w:r w:rsidR="00E0281A" w:rsidRPr="00D024FC">
        <w:rPr>
          <w:rFonts w:ascii="Arial" w:hAnsi="Arial" w:cs="Arial"/>
          <w:sz w:val="20"/>
          <w:szCs w:val="20"/>
        </w:rPr>
        <w:t xml:space="preserve">ortalama </w:t>
      </w:r>
      <w:r w:rsidR="00803893" w:rsidRPr="00D024FC">
        <w:rPr>
          <w:rFonts w:ascii="Arial" w:hAnsi="Arial" w:cs="Arial"/>
          <w:sz w:val="20"/>
          <w:szCs w:val="20"/>
        </w:rPr>
        <w:t>eğitim düzeyi</w:t>
      </w:r>
      <w:r w:rsidR="00DA2AB5" w:rsidRPr="00D024FC">
        <w:rPr>
          <w:rFonts w:ascii="Arial" w:hAnsi="Arial" w:cs="Arial"/>
          <w:sz w:val="20"/>
          <w:szCs w:val="20"/>
        </w:rPr>
        <w:t xml:space="preserve"> </w:t>
      </w:r>
      <w:r w:rsidR="001F7BEF" w:rsidRPr="00D024FC">
        <w:rPr>
          <w:rFonts w:ascii="Arial" w:hAnsi="Arial" w:cs="Arial"/>
          <w:sz w:val="20"/>
          <w:szCs w:val="20"/>
        </w:rPr>
        <w:t>şehirler</w:t>
      </w:r>
      <w:r w:rsidR="00C47566" w:rsidRPr="00D024FC">
        <w:rPr>
          <w:rFonts w:ascii="Arial" w:hAnsi="Arial" w:cs="Arial"/>
          <w:sz w:val="20"/>
          <w:szCs w:val="20"/>
        </w:rPr>
        <w:t>inkinin</w:t>
      </w:r>
      <w:r w:rsidR="00DA2AB5" w:rsidRPr="00D024FC">
        <w:rPr>
          <w:rFonts w:ascii="Arial" w:hAnsi="Arial" w:cs="Arial"/>
          <w:sz w:val="20"/>
          <w:szCs w:val="20"/>
        </w:rPr>
        <w:t xml:space="preserve"> </w:t>
      </w:r>
      <w:r w:rsidR="001F7BEF" w:rsidRPr="00D024FC">
        <w:rPr>
          <w:rFonts w:ascii="Arial" w:hAnsi="Arial" w:cs="Arial"/>
          <w:sz w:val="20"/>
          <w:szCs w:val="20"/>
        </w:rPr>
        <w:t>önüne geçm</w:t>
      </w:r>
      <w:r w:rsidR="00E0281A" w:rsidRPr="00D024FC">
        <w:rPr>
          <w:rFonts w:ascii="Arial" w:hAnsi="Arial" w:cs="Arial"/>
          <w:sz w:val="20"/>
          <w:szCs w:val="20"/>
        </w:rPr>
        <w:t>iştir</w:t>
      </w:r>
      <w:r w:rsidR="001F7BEF" w:rsidRPr="00D024FC">
        <w:rPr>
          <w:rFonts w:ascii="Arial" w:hAnsi="Arial" w:cs="Arial"/>
          <w:sz w:val="20"/>
          <w:szCs w:val="20"/>
        </w:rPr>
        <w:t xml:space="preserve">. </w:t>
      </w:r>
      <w:r w:rsidR="006D0D18" w:rsidRPr="00D024FC">
        <w:rPr>
          <w:rFonts w:ascii="Arial" w:hAnsi="Arial" w:cs="Arial"/>
          <w:sz w:val="20"/>
          <w:szCs w:val="20"/>
        </w:rPr>
        <w:t xml:space="preserve">“Köy” okullarında ortalama PISA puanı üç yıl içinde 353’ten 481’e büyük bir sıçrama göstermiştir. </w:t>
      </w:r>
      <w:r w:rsidR="00DA2AB5" w:rsidRPr="00D024FC">
        <w:rPr>
          <w:rFonts w:ascii="Arial" w:hAnsi="Arial" w:cs="Arial"/>
          <w:sz w:val="20"/>
          <w:szCs w:val="20"/>
        </w:rPr>
        <w:t>2009’da k</w:t>
      </w:r>
      <w:r w:rsidR="00802E8C" w:rsidRPr="00D024FC">
        <w:rPr>
          <w:rFonts w:ascii="Arial" w:hAnsi="Arial" w:cs="Arial"/>
          <w:sz w:val="20"/>
          <w:szCs w:val="20"/>
        </w:rPr>
        <w:t>öylerde yerleşik öğrenciler ile diğer yerleşim birimlerindeki öğrenciler arasında çok bü</w:t>
      </w:r>
      <w:r w:rsidR="00C47566" w:rsidRPr="00D024FC">
        <w:rPr>
          <w:rFonts w:ascii="Arial" w:hAnsi="Arial" w:cs="Arial"/>
          <w:sz w:val="20"/>
          <w:szCs w:val="20"/>
        </w:rPr>
        <w:t xml:space="preserve">yük bir performans farkı varken </w:t>
      </w:r>
      <w:r w:rsidR="00802E8C" w:rsidRPr="00D024FC">
        <w:rPr>
          <w:rFonts w:ascii="Arial" w:hAnsi="Arial" w:cs="Arial"/>
          <w:sz w:val="20"/>
          <w:szCs w:val="20"/>
        </w:rPr>
        <w:t>bu fark üç yıl içinde kapanmakla kalmamış, köy yerleşimlerindeki öğrenciler en başarılı öğrenciler haline gelmiştir (Şekil 7). Köylerdeki kadar olmasa da</w:t>
      </w:r>
      <w:r w:rsidR="006D0D18" w:rsidRPr="00D024FC">
        <w:rPr>
          <w:rFonts w:ascii="Arial" w:hAnsi="Arial" w:cs="Arial"/>
          <w:sz w:val="20"/>
          <w:szCs w:val="20"/>
        </w:rPr>
        <w:t xml:space="preserve"> “Küçük kasaba” ve “Kasaba” puanlarında da yüksek art</w:t>
      </w:r>
      <w:r w:rsidR="00F84C01" w:rsidRPr="00D024FC">
        <w:rPr>
          <w:rFonts w:ascii="Arial" w:hAnsi="Arial" w:cs="Arial"/>
          <w:sz w:val="20"/>
          <w:szCs w:val="20"/>
        </w:rPr>
        <w:t>ış</w:t>
      </w:r>
      <w:r w:rsidR="006D0D18" w:rsidRPr="00D024FC">
        <w:rPr>
          <w:rFonts w:ascii="Arial" w:hAnsi="Arial" w:cs="Arial"/>
          <w:sz w:val="20"/>
          <w:szCs w:val="20"/>
        </w:rPr>
        <w:t>lar söz konusudur (Şekil 7). Bu puan artışları sonucunda</w:t>
      </w:r>
      <w:r w:rsidR="00802E8C" w:rsidRPr="00D024FC">
        <w:rPr>
          <w:rFonts w:ascii="Arial" w:hAnsi="Arial" w:cs="Arial"/>
          <w:sz w:val="20"/>
          <w:szCs w:val="20"/>
        </w:rPr>
        <w:t xml:space="preserve"> küçük yerleşimlerde ikamet </w:t>
      </w:r>
      <w:r w:rsidR="00EA61F0" w:rsidRPr="00D024FC">
        <w:rPr>
          <w:rFonts w:ascii="Arial" w:hAnsi="Arial" w:cs="Arial"/>
          <w:sz w:val="20"/>
          <w:szCs w:val="20"/>
        </w:rPr>
        <w:t xml:space="preserve">eden </w:t>
      </w:r>
      <w:r w:rsidR="00802E8C" w:rsidRPr="00D024FC">
        <w:rPr>
          <w:rFonts w:ascii="Arial" w:hAnsi="Arial" w:cs="Arial"/>
          <w:sz w:val="20"/>
          <w:szCs w:val="20"/>
        </w:rPr>
        <w:t xml:space="preserve">öğrencilerin ortalama PISA puanları “Şehir” ve </w:t>
      </w:r>
      <w:r w:rsidR="00FF2FCA" w:rsidRPr="00D024FC">
        <w:rPr>
          <w:rFonts w:ascii="Arial" w:hAnsi="Arial" w:cs="Arial"/>
          <w:sz w:val="20"/>
          <w:szCs w:val="20"/>
        </w:rPr>
        <w:t>"</w:t>
      </w:r>
      <w:r w:rsidR="00802E8C" w:rsidRPr="00D024FC">
        <w:rPr>
          <w:rFonts w:ascii="Arial" w:hAnsi="Arial" w:cs="Arial"/>
          <w:sz w:val="20"/>
          <w:szCs w:val="20"/>
        </w:rPr>
        <w:t>Büyük Şehir” puanlarını geçmiştir. Ayrıca “Şehir” ortalama puanında 21 puanlık bir düşüş söz konusudur. Diğer yerleşim birimlerinin puanları artarken bu kategoride performansın düşmesi dikkat çek</w:t>
      </w:r>
      <w:r w:rsidR="00E0281A" w:rsidRPr="00D024FC">
        <w:rPr>
          <w:rFonts w:ascii="Arial" w:hAnsi="Arial" w:cs="Arial"/>
          <w:sz w:val="20"/>
          <w:szCs w:val="20"/>
        </w:rPr>
        <w:t>i</w:t>
      </w:r>
      <w:r w:rsidR="00802E8C" w:rsidRPr="00D024FC">
        <w:rPr>
          <w:rFonts w:ascii="Arial" w:hAnsi="Arial" w:cs="Arial"/>
          <w:sz w:val="20"/>
          <w:szCs w:val="20"/>
        </w:rPr>
        <w:t>cidir.</w:t>
      </w:r>
    </w:p>
    <w:p w:rsidR="00802E8C" w:rsidRPr="00D024FC" w:rsidRDefault="0024617B" w:rsidP="00803893">
      <w:pPr>
        <w:jc w:val="both"/>
        <w:rPr>
          <w:rFonts w:ascii="Arial" w:hAnsi="Arial" w:cs="Arial"/>
          <w:sz w:val="20"/>
          <w:szCs w:val="20"/>
        </w:rPr>
      </w:pPr>
      <w:r>
        <w:rPr>
          <w:rFonts w:ascii="Arial" w:hAnsi="Arial" w:cs="Arial"/>
          <w:noProof/>
          <w:sz w:val="20"/>
          <w:szCs w:val="20"/>
        </w:rPr>
        <w:pict>
          <v:shape id="Text Box 27" o:spid="_x0000_s1042" type="#_x0000_t202" style="position:absolute;left:0;text-align:left;margin-left:158.9pt;margin-top:78.7pt;width:284.05pt;height:15.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" stroked="f">
            <v:textbox inset="0,0,0,0">
              <w:txbxContent>
                <w:p w:rsidR="003F0D40" w:rsidRPr="003355D9" w:rsidRDefault="003F0D40" w:rsidP="00FA4C8A">
                  <w:pPr>
                    <w:pStyle w:val="Caption"/>
                    <w:rPr>
                      <w:rFonts w:ascii="Arial" w:hAnsi="Arial" w:cs="Arial"/>
                      <w:b w:val="0"/>
                      <w:noProof/>
                      <w:color w:val="auto"/>
                      <w:sz w:val="16"/>
                      <w:szCs w:val="16"/>
                    </w:rPr>
                  </w:pPr>
                  <w:r w:rsidRPr="003355D9">
                    <w:rPr>
                      <w:rFonts w:ascii="Arial" w:hAnsi="Arial" w:cs="Arial"/>
                      <w:b w:val="0"/>
                      <w:color w:val="auto"/>
                      <w:sz w:val="16"/>
                      <w:szCs w:val="16"/>
                    </w:rPr>
                    <w:t>Kaynak: OECD; PISA 2009, 2012 sonuçları; Betam</w:t>
                  </w:r>
                </w:p>
              </w:txbxContent>
            </v:textbox>
            <w10:wrap type="square"/>
          </v:shape>
        </w:pict>
      </w:r>
      <w:r w:rsidR="00EA61F0" w:rsidRPr="00D024FC">
        <w:rPr>
          <w:rFonts w:ascii="Arial" w:hAnsi="Arial" w:cs="Arial"/>
          <w:sz w:val="20"/>
          <w:szCs w:val="20"/>
        </w:rPr>
        <w:t xml:space="preserve">2009’dan 2012’ye Türkiye </w:t>
      </w:r>
      <w:r w:rsidR="00E0281A" w:rsidRPr="00D024FC">
        <w:rPr>
          <w:rFonts w:ascii="Arial" w:hAnsi="Arial" w:cs="Arial"/>
          <w:sz w:val="20"/>
          <w:szCs w:val="20"/>
        </w:rPr>
        <w:t xml:space="preserve">ortalama </w:t>
      </w:r>
      <w:r w:rsidR="00EA61F0" w:rsidRPr="00D024FC">
        <w:rPr>
          <w:rFonts w:ascii="Arial" w:hAnsi="Arial" w:cs="Arial"/>
          <w:sz w:val="20"/>
          <w:szCs w:val="20"/>
        </w:rPr>
        <w:t xml:space="preserve">PISA puanında 454’ten 462’ye 8 puanlık bir artış olmuştur. Bu artış yerleşim birimleri itibariyle ayrıştırıldığında yaklaşık 4 puanın “Köy” okullarından, </w:t>
      </w:r>
      <w:r w:rsidR="00AC76FF" w:rsidRPr="00D024FC">
        <w:rPr>
          <w:rFonts w:ascii="Arial" w:hAnsi="Arial" w:cs="Arial"/>
          <w:sz w:val="20"/>
          <w:szCs w:val="20"/>
        </w:rPr>
        <w:t xml:space="preserve">yaklaşık </w:t>
      </w:r>
      <w:r w:rsidR="00EA61F0" w:rsidRPr="00D024FC">
        <w:rPr>
          <w:rFonts w:ascii="Arial" w:hAnsi="Arial" w:cs="Arial"/>
          <w:sz w:val="20"/>
          <w:szCs w:val="20"/>
        </w:rPr>
        <w:t xml:space="preserve">3’er puanın </w:t>
      </w:r>
      <w:r w:rsidR="00EA61F0" w:rsidRPr="00D024FC">
        <w:rPr>
          <w:rFonts w:ascii="Arial" w:hAnsi="Arial" w:cs="Arial"/>
          <w:sz w:val="20"/>
          <w:szCs w:val="20"/>
        </w:rPr>
        <w:lastRenderedPageBreak/>
        <w:t xml:space="preserve">“Küçük Kasaba” ve “Kasaba” okullarından (toplam 6 puan), </w:t>
      </w:r>
      <w:r w:rsidR="00AC76FF" w:rsidRPr="00D024FC">
        <w:rPr>
          <w:rFonts w:ascii="Arial" w:hAnsi="Arial" w:cs="Arial"/>
          <w:sz w:val="20"/>
          <w:szCs w:val="20"/>
        </w:rPr>
        <w:t xml:space="preserve">yaklaşık </w:t>
      </w:r>
      <w:r w:rsidR="00EA61F0" w:rsidRPr="00D024FC">
        <w:rPr>
          <w:rFonts w:ascii="Arial" w:hAnsi="Arial" w:cs="Arial"/>
          <w:sz w:val="20"/>
          <w:szCs w:val="20"/>
        </w:rPr>
        <w:t>4 puanın da “Büyük Şehir” oku</w:t>
      </w:r>
      <w:r w:rsidR="00E0281A" w:rsidRPr="00D024FC">
        <w:rPr>
          <w:rFonts w:ascii="Arial" w:hAnsi="Arial" w:cs="Arial"/>
          <w:sz w:val="20"/>
          <w:szCs w:val="20"/>
        </w:rPr>
        <w:t>l</w:t>
      </w:r>
      <w:r w:rsidR="00EA61F0" w:rsidRPr="00D024FC">
        <w:rPr>
          <w:rFonts w:ascii="Arial" w:hAnsi="Arial" w:cs="Arial"/>
          <w:sz w:val="20"/>
          <w:szCs w:val="20"/>
        </w:rPr>
        <w:t>larından geldiği görül</w:t>
      </w:r>
      <w:r w:rsidR="00E0281A" w:rsidRPr="00D024FC">
        <w:rPr>
          <w:rFonts w:ascii="Arial" w:hAnsi="Arial" w:cs="Arial"/>
          <w:sz w:val="20"/>
          <w:szCs w:val="20"/>
        </w:rPr>
        <w:t>mektedir</w:t>
      </w:r>
      <w:r w:rsidR="00EA61F0" w:rsidRPr="00D024FC">
        <w:rPr>
          <w:rFonts w:ascii="Arial" w:hAnsi="Arial" w:cs="Arial"/>
          <w:sz w:val="20"/>
          <w:szCs w:val="20"/>
        </w:rPr>
        <w:t xml:space="preserve">. “Şehir” okullarında gözlemlenen </w:t>
      </w:r>
      <w:r w:rsidR="00B41177">
        <w:rPr>
          <w:rFonts w:ascii="Arial" w:hAnsi="Arial" w:cs="Arial"/>
          <w:sz w:val="20"/>
          <w:szCs w:val="20"/>
        </w:rPr>
        <w:t xml:space="preserve">yaklaşık </w:t>
      </w:r>
      <w:r w:rsidR="00EA61F0" w:rsidRPr="00D024FC">
        <w:rPr>
          <w:rFonts w:ascii="Arial" w:hAnsi="Arial" w:cs="Arial"/>
          <w:sz w:val="20"/>
          <w:szCs w:val="20"/>
        </w:rPr>
        <w:t>6 puanlık düşüş ise negatif katkı yapmıştır (Şekil 8).</w:t>
      </w:r>
      <w:r w:rsidR="002A5D12" w:rsidRPr="00D024FC">
        <w:rPr>
          <w:rFonts w:ascii="Arial" w:hAnsi="Arial" w:cs="Arial"/>
          <w:sz w:val="20"/>
          <w:szCs w:val="20"/>
        </w:rPr>
        <w:t xml:space="preserve"> </w:t>
      </w:r>
      <w:r w:rsidR="000E0D46" w:rsidRPr="00D024FC">
        <w:rPr>
          <w:rFonts w:ascii="Arial" w:hAnsi="Arial" w:cs="Arial"/>
          <w:sz w:val="20"/>
          <w:szCs w:val="20"/>
        </w:rPr>
        <w:t xml:space="preserve">Özellikle köy ve küçük kasabalarda gözlemlenen hızlı artışlar beklenmedik gelişmelerdir </w:t>
      </w:r>
      <w:r w:rsidR="00802E8C" w:rsidRPr="00D024FC">
        <w:rPr>
          <w:rFonts w:ascii="Arial" w:hAnsi="Arial" w:cs="Arial"/>
          <w:sz w:val="20"/>
          <w:szCs w:val="20"/>
        </w:rPr>
        <w:t>ve</w:t>
      </w:r>
      <w:r w:rsidR="00ED5AFC" w:rsidRPr="00D024FC">
        <w:rPr>
          <w:rFonts w:ascii="Arial" w:hAnsi="Arial" w:cs="Arial"/>
          <w:sz w:val="20"/>
          <w:szCs w:val="20"/>
        </w:rPr>
        <w:t xml:space="preserve"> özenle</w:t>
      </w:r>
      <w:r w:rsidR="00802E8C" w:rsidRPr="00D024FC">
        <w:rPr>
          <w:rFonts w:ascii="Arial" w:hAnsi="Arial" w:cs="Arial"/>
          <w:sz w:val="20"/>
          <w:szCs w:val="20"/>
        </w:rPr>
        <w:t xml:space="preserve"> açıklanmaları gerekir. </w:t>
      </w:r>
    </w:p>
    <w:p w:rsidR="003C6FE7" w:rsidRPr="00D024FC" w:rsidRDefault="003C6FE7" w:rsidP="00803893">
      <w:pPr>
        <w:jc w:val="both"/>
        <w:rPr>
          <w:rFonts w:ascii="Arial" w:hAnsi="Arial" w:cs="Arial"/>
          <w:sz w:val="20"/>
          <w:szCs w:val="20"/>
        </w:rPr>
      </w:pPr>
    </w:p>
    <w:p w:rsidR="007815F2" w:rsidRPr="00D024FC" w:rsidRDefault="007815F2" w:rsidP="007815F2">
      <w:pPr>
        <w:jc w:val="both"/>
        <w:rPr>
          <w:rFonts w:ascii="Arial" w:hAnsi="Arial" w:cs="Arial"/>
          <w:b/>
        </w:rPr>
      </w:pPr>
      <w:bookmarkStart w:id="0" w:name="_GoBack"/>
      <w:bookmarkEnd w:id="0"/>
      <w:r w:rsidRPr="00D024FC">
        <w:rPr>
          <w:rFonts w:ascii="Arial" w:hAnsi="Arial" w:cs="Arial"/>
          <w:b/>
        </w:rPr>
        <w:t xml:space="preserve">EK TABLOLAR: </w:t>
      </w:r>
    </w:p>
    <w:p w:rsidR="007815F2" w:rsidRPr="00D024FC" w:rsidRDefault="00686888" w:rsidP="007815F2">
      <w:pPr>
        <w:pStyle w:val="Caption"/>
        <w:keepNext/>
        <w:rPr>
          <w:rFonts w:ascii="Arial" w:hAnsi="Arial" w:cs="Arial"/>
          <w:b w:val="0"/>
          <w:color w:val="auto"/>
          <w:sz w:val="20"/>
          <w:szCs w:val="20"/>
        </w:rPr>
      </w:pPr>
      <w:r w:rsidRPr="00D024FC">
        <w:rPr>
          <w:rFonts w:ascii="Arial" w:hAnsi="Arial" w:cs="Arial"/>
          <w:color w:val="auto"/>
          <w:sz w:val="20"/>
          <w:szCs w:val="20"/>
        </w:rPr>
        <w:t xml:space="preserve">Ek </w:t>
      </w:r>
      <w:r w:rsidR="007815F2" w:rsidRPr="00D024FC">
        <w:rPr>
          <w:rFonts w:ascii="Arial" w:hAnsi="Arial" w:cs="Arial"/>
          <w:color w:val="auto"/>
          <w:sz w:val="20"/>
          <w:szCs w:val="20"/>
        </w:rPr>
        <w:t xml:space="preserve">Tablo </w:t>
      </w:r>
      <w:r w:rsidR="0024617B" w:rsidRPr="00D024FC">
        <w:rPr>
          <w:rFonts w:ascii="Arial" w:hAnsi="Arial" w:cs="Arial"/>
          <w:color w:val="auto"/>
          <w:sz w:val="20"/>
          <w:szCs w:val="20"/>
        </w:rPr>
        <w:fldChar w:fldCharType="begin"/>
      </w:r>
      <w:r w:rsidR="007815F2" w:rsidRPr="00D024FC">
        <w:rPr>
          <w:rFonts w:ascii="Arial" w:hAnsi="Arial" w:cs="Arial"/>
          <w:color w:val="auto"/>
          <w:sz w:val="20"/>
          <w:szCs w:val="20"/>
        </w:rPr>
        <w:instrText xml:space="preserve"> SEQ Tablo \* ARABIC </w:instrText>
      </w:r>
      <w:r w:rsidR="0024617B" w:rsidRPr="00D024FC">
        <w:rPr>
          <w:rFonts w:ascii="Arial" w:hAnsi="Arial" w:cs="Arial"/>
          <w:color w:val="auto"/>
          <w:sz w:val="20"/>
          <w:szCs w:val="20"/>
        </w:rPr>
        <w:fldChar w:fldCharType="separate"/>
      </w:r>
      <w:r w:rsidR="00D65845" w:rsidRPr="00D024FC">
        <w:rPr>
          <w:rFonts w:ascii="Arial" w:hAnsi="Arial" w:cs="Arial"/>
          <w:noProof/>
          <w:color w:val="auto"/>
          <w:sz w:val="20"/>
          <w:szCs w:val="20"/>
        </w:rPr>
        <w:t>1</w:t>
      </w:r>
      <w:r w:rsidR="0024617B" w:rsidRPr="00D024FC">
        <w:rPr>
          <w:rFonts w:ascii="Arial" w:hAnsi="Arial" w:cs="Arial"/>
          <w:color w:val="auto"/>
          <w:sz w:val="20"/>
          <w:szCs w:val="20"/>
        </w:rPr>
        <w:fldChar w:fldCharType="end"/>
      </w:r>
      <w:r w:rsidR="007815F2" w:rsidRPr="00D024FC">
        <w:rPr>
          <w:rFonts w:ascii="Arial" w:hAnsi="Arial" w:cs="Arial"/>
          <w:color w:val="auto"/>
          <w:sz w:val="20"/>
          <w:szCs w:val="20"/>
        </w:rPr>
        <w:t xml:space="preserve">: </w:t>
      </w:r>
      <w:r w:rsidR="00AC76FF" w:rsidRPr="00D024FC">
        <w:rPr>
          <w:rFonts w:ascii="Arial" w:hAnsi="Arial" w:cs="Arial"/>
          <w:color w:val="auto"/>
          <w:sz w:val="20"/>
          <w:szCs w:val="20"/>
        </w:rPr>
        <w:t xml:space="preserve">Öğrenci başarı dilimlerine </w:t>
      </w:r>
      <w:r w:rsidR="007815F2" w:rsidRPr="00D024FC">
        <w:rPr>
          <w:rFonts w:ascii="Arial" w:hAnsi="Arial" w:cs="Arial"/>
          <w:color w:val="auto"/>
          <w:sz w:val="20"/>
          <w:szCs w:val="20"/>
        </w:rPr>
        <w:t>göre 2. kademenin altındaki ve 5. kademe ve üzerindeki öğrencilerin toplam içindeki payları</w:t>
      </w:r>
    </w:p>
    <w:tbl>
      <w:tblPr>
        <w:tblW w:w="9140" w:type="dxa"/>
        <w:tblInd w:w="55" w:type="dxa"/>
        <w:tblCellMar>
          <w:left w:w="70" w:type="dxa"/>
          <w:right w:w="70" w:type="dxa"/>
        </w:tblCellMar>
        <w:tblLook w:val="04A0"/>
      </w:tblPr>
      <w:tblGrid>
        <w:gridCol w:w="961"/>
        <w:gridCol w:w="960"/>
        <w:gridCol w:w="1119"/>
        <w:gridCol w:w="1027"/>
        <w:gridCol w:w="1446"/>
        <w:gridCol w:w="1119"/>
        <w:gridCol w:w="1027"/>
        <w:gridCol w:w="1481"/>
      </w:tblGrid>
      <w:tr w:rsidR="007815F2" w:rsidRPr="00D024FC" w:rsidTr="005565E8">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7815F2" w:rsidRPr="00D024FC" w:rsidRDefault="007815F2" w:rsidP="005565E8">
            <w:pPr>
              <w:spacing w:after="0" w:line="240" w:lineRule="auto"/>
              <w:rPr>
                <w:rFonts w:ascii="Arial" w:eastAsia="Times New Roman" w:hAnsi="Arial" w:cs="Arial"/>
                <w:color w:val="000000"/>
                <w:sz w:val="20"/>
                <w:szCs w:val="20"/>
              </w:rPr>
            </w:pPr>
            <w:r w:rsidRPr="00D024FC">
              <w:rPr>
                <w:rFonts w:ascii="Arial" w:eastAsia="Times New Roman" w:hAnsi="Arial" w:cs="Arial"/>
                <w:color w:val="000000"/>
                <w:sz w:val="20"/>
                <w:szCs w:val="20"/>
              </w:rPr>
              <w:t> </w:t>
            </w:r>
          </w:p>
        </w:tc>
        <w:tc>
          <w:tcPr>
            <w:tcW w:w="960" w:type="dxa"/>
            <w:tcBorders>
              <w:top w:val="single" w:sz="4" w:space="0" w:color="auto"/>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 </w:t>
            </w:r>
          </w:p>
        </w:tc>
        <w:tc>
          <w:tcPr>
            <w:tcW w:w="3591" w:type="dxa"/>
            <w:gridSpan w:val="3"/>
            <w:tcBorders>
              <w:top w:val="single" w:sz="4" w:space="0" w:color="auto"/>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 xml:space="preserve">2. Kademenin Altında Kalan Öğrencilerin Yüzdesi </w:t>
            </w:r>
          </w:p>
        </w:tc>
        <w:tc>
          <w:tcPr>
            <w:tcW w:w="3629" w:type="dxa"/>
            <w:gridSpan w:val="3"/>
            <w:tcBorders>
              <w:top w:val="single" w:sz="4" w:space="0" w:color="auto"/>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 xml:space="preserve">5. Kademe veya Üzerinde Olan Öğrencilerin Yüzdesi </w:t>
            </w:r>
          </w:p>
        </w:tc>
      </w:tr>
      <w:tr w:rsidR="007815F2" w:rsidRPr="00D024FC" w:rsidTr="005565E8">
        <w:trPr>
          <w:trHeight w:val="525"/>
        </w:trPr>
        <w:tc>
          <w:tcPr>
            <w:tcW w:w="960" w:type="dxa"/>
            <w:tcBorders>
              <w:top w:val="nil"/>
              <w:left w:val="nil"/>
              <w:bottom w:val="single" w:sz="4" w:space="0" w:color="auto"/>
              <w:right w:val="nil"/>
            </w:tcBorders>
            <w:shd w:val="clear" w:color="auto" w:fill="auto"/>
            <w:noWrap/>
            <w:vAlign w:val="bottom"/>
            <w:hideMark/>
          </w:tcPr>
          <w:p w:rsidR="007815F2" w:rsidRPr="00D024FC" w:rsidRDefault="007815F2" w:rsidP="005565E8">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7815F2" w:rsidRPr="00D024FC" w:rsidRDefault="007815F2" w:rsidP="005565E8">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 </w:t>
            </w:r>
          </w:p>
        </w:tc>
        <w:tc>
          <w:tcPr>
            <w:tcW w:w="1060"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Matematik</w:t>
            </w:r>
          </w:p>
        </w:tc>
        <w:tc>
          <w:tcPr>
            <w:tcW w:w="1044"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 xml:space="preserve">Okuma </w:t>
            </w:r>
          </w:p>
        </w:tc>
        <w:tc>
          <w:tcPr>
            <w:tcW w:w="1487"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Fen Bilimleri</w:t>
            </w:r>
          </w:p>
        </w:tc>
        <w:tc>
          <w:tcPr>
            <w:tcW w:w="1060"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Matematik</w:t>
            </w:r>
          </w:p>
        </w:tc>
        <w:tc>
          <w:tcPr>
            <w:tcW w:w="1044"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Okuma</w:t>
            </w:r>
          </w:p>
        </w:tc>
        <w:tc>
          <w:tcPr>
            <w:tcW w:w="1525"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Fen Bilimleri</w:t>
            </w:r>
          </w:p>
        </w:tc>
      </w:tr>
      <w:tr w:rsidR="007815F2" w:rsidRPr="00D024FC" w:rsidTr="005565E8">
        <w:trPr>
          <w:trHeight w:val="300"/>
        </w:trPr>
        <w:tc>
          <w:tcPr>
            <w:tcW w:w="960" w:type="dxa"/>
            <w:vMerge w:val="restart"/>
            <w:tcBorders>
              <w:top w:val="nil"/>
              <w:left w:val="nil"/>
              <w:bottom w:val="single" w:sz="4" w:space="0" w:color="000000"/>
              <w:right w:val="nil"/>
            </w:tcBorders>
            <w:shd w:val="clear" w:color="auto" w:fill="auto"/>
            <w:noWrap/>
            <w:vAlign w:val="center"/>
            <w:hideMark/>
          </w:tcPr>
          <w:p w:rsidR="007815F2" w:rsidRPr="00D024FC" w:rsidRDefault="007815F2" w:rsidP="005565E8">
            <w:pPr>
              <w:spacing w:after="0" w:line="240" w:lineRule="auto"/>
              <w:jc w:val="center"/>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Türkiye</w:t>
            </w:r>
          </w:p>
        </w:tc>
        <w:tc>
          <w:tcPr>
            <w:tcW w:w="960" w:type="dxa"/>
            <w:tcBorders>
              <w:top w:val="nil"/>
              <w:left w:val="nil"/>
              <w:bottom w:val="nil"/>
              <w:right w:val="nil"/>
            </w:tcBorders>
            <w:shd w:val="clear" w:color="auto" w:fill="auto"/>
            <w:noWrap/>
            <w:vAlign w:val="bottom"/>
            <w:hideMark/>
          </w:tcPr>
          <w:p w:rsidR="007815F2" w:rsidRPr="00D024FC" w:rsidRDefault="007815F2" w:rsidP="005565E8">
            <w:pPr>
              <w:spacing w:after="0" w:line="240" w:lineRule="auto"/>
              <w:jc w:val="right"/>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2003</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52,23</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36,80</w:t>
            </w:r>
          </w:p>
        </w:tc>
        <w:tc>
          <w:tcPr>
            <w:tcW w:w="1487"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38,60</w:t>
            </w:r>
            <w:r w:rsidR="00ED59FF" w:rsidRPr="00D024FC">
              <w:rPr>
                <w:rFonts w:ascii="Arial" w:eastAsia="Times New Roman" w:hAnsi="Arial" w:cs="Arial"/>
                <w:sz w:val="20"/>
                <w:szCs w:val="20"/>
              </w:rPr>
              <w:t>*</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5,48</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3,80</w:t>
            </w:r>
          </w:p>
        </w:tc>
        <w:tc>
          <w:tcPr>
            <w:tcW w:w="1525"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5,70</w:t>
            </w:r>
            <w:r w:rsidR="00ED59FF" w:rsidRPr="00D024FC">
              <w:rPr>
                <w:rFonts w:ascii="Arial" w:eastAsia="Times New Roman" w:hAnsi="Arial" w:cs="Arial"/>
                <w:sz w:val="20"/>
                <w:szCs w:val="20"/>
              </w:rPr>
              <w:t>*</w:t>
            </w:r>
          </w:p>
        </w:tc>
      </w:tr>
      <w:tr w:rsidR="007815F2" w:rsidRPr="00D024FC" w:rsidTr="005565E8">
        <w:trPr>
          <w:trHeight w:val="300"/>
        </w:trPr>
        <w:tc>
          <w:tcPr>
            <w:tcW w:w="960" w:type="dxa"/>
            <w:vMerge/>
            <w:tcBorders>
              <w:top w:val="nil"/>
              <w:left w:val="nil"/>
              <w:bottom w:val="single" w:sz="4" w:space="0" w:color="000000"/>
              <w:right w:val="nil"/>
            </w:tcBorders>
            <w:vAlign w:val="center"/>
            <w:hideMark/>
          </w:tcPr>
          <w:p w:rsidR="007815F2" w:rsidRPr="00D024FC" w:rsidRDefault="007815F2" w:rsidP="005565E8">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7815F2" w:rsidRPr="00D024FC" w:rsidRDefault="007815F2" w:rsidP="005565E8">
            <w:pPr>
              <w:spacing w:after="0" w:line="240" w:lineRule="auto"/>
              <w:jc w:val="right"/>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2006</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52,09</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32,20</w:t>
            </w:r>
          </w:p>
        </w:tc>
        <w:tc>
          <w:tcPr>
            <w:tcW w:w="1487"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46,60</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4,18</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2,10</w:t>
            </w:r>
          </w:p>
        </w:tc>
        <w:tc>
          <w:tcPr>
            <w:tcW w:w="1525"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0,90</w:t>
            </w:r>
          </w:p>
        </w:tc>
      </w:tr>
      <w:tr w:rsidR="007815F2" w:rsidRPr="00D024FC" w:rsidTr="005565E8">
        <w:trPr>
          <w:trHeight w:val="300"/>
        </w:trPr>
        <w:tc>
          <w:tcPr>
            <w:tcW w:w="960" w:type="dxa"/>
            <w:vMerge/>
            <w:tcBorders>
              <w:top w:val="nil"/>
              <w:left w:val="nil"/>
              <w:bottom w:val="single" w:sz="4" w:space="0" w:color="000000"/>
              <w:right w:val="nil"/>
            </w:tcBorders>
            <w:vAlign w:val="center"/>
            <w:hideMark/>
          </w:tcPr>
          <w:p w:rsidR="007815F2" w:rsidRPr="00D024FC" w:rsidRDefault="007815F2" w:rsidP="005565E8">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7815F2" w:rsidRPr="00D024FC" w:rsidRDefault="007815F2" w:rsidP="005565E8">
            <w:pPr>
              <w:spacing w:after="0" w:line="240" w:lineRule="auto"/>
              <w:jc w:val="right"/>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2009</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42,15</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24,50</w:t>
            </w:r>
          </w:p>
        </w:tc>
        <w:tc>
          <w:tcPr>
            <w:tcW w:w="1487"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30,00</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5,64</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1,90</w:t>
            </w:r>
          </w:p>
        </w:tc>
        <w:tc>
          <w:tcPr>
            <w:tcW w:w="1525"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1,10</w:t>
            </w:r>
          </w:p>
        </w:tc>
      </w:tr>
      <w:tr w:rsidR="007815F2" w:rsidRPr="00D024FC" w:rsidTr="005565E8">
        <w:trPr>
          <w:trHeight w:val="300"/>
        </w:trPr>
        <w:tc>
          <w:tcPr>
            <w:tcW w:w="960" w:type="dxa"/>
            <w:vMerge/>
            <w:tcBorders>
              <w:top w:val="nil"/>
              <w:left w:val="nil"/>
              <w:bottom w:val="single" w:sz="4" w:space="0" w:color="000000"/>
              <w:right w:val="nil"/>
            </w:tcBorders>
            <w:vAlign w:val="center"/>
            <w:hideMark/>
          </w:tcPr>
          <w:p w:rsidR="007815F2" w:rsidRPr="00D024FC" w:rsidRDefault="007815F2" w:rsidP="005565E8">
            <w:pPr>
              <w:spacing w:after="0" w:line="240" w:lineRule="auto"/>
              <w:rPr>
                <w:rFonts w:ascii="Arial" w:eastAsia="Times New Roman" w:hAnsi="Arial" w:cs="Arial"/>
                <w:b/>
                <w:bCs/>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7815F2" w:rsidRPr="00D024FC" w:rsidRDefault="007815F2" w:rsidP="005565E8">
            <w:pPr>
              <w:spacing w:after="0" w:line="240" w:lineRule="auto"/>
              <w:jc w:val="right"/>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2012</w:t>
            </w:r>
          </w:p>
        </w:tc>
        <w:tc>
          <w:tcPr>
            <w:tcW w:w="1060"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41,98</w:t>
            </w:r>
          </w:p>
        </w:tc>
        <w:tc>
          <w:tcPr>
            <w:tcW w:w="1044"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21,60</w:t>
            </w:r>
          </w:p>
        </w:tc>
        <w:tc>
          <w:tcPr>
            <w:tcW w:w="1487"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26,40</w:t>
            </w:r>
          </w:p>
        </w:tc>
        <w:tc>
          <w:tcPr>
            <w:tcW w:w="1060"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5,90</w:t>
            </w:r>
          </w:p>
        </w:tc>
        <w:tc>
          <w:tcPr>
            <w:tcW w:w="1044"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4,30</w:t>
            </w:r>
          </w:p>
        </w:tc>
        <w:tc>
          <w:tcPr>
            <w:tcW w:w="1525"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1,80</w:t>
            </w:r>
          </w:p>
        </w:tc>
      </w:tr>
      <w:tr w:rsidR="007815F2" w:rsidRPr="00D024FC" w:rsidTr="005565E8">
        <w:trPr>
          <w:trHeight w:val="300"/>
        </w:trPr>
        <w:tc>
          <w:tcPr>
            <w:tcW w:w="960" w:type="dxa"/>
            <w:vMerge w:val="restart"/>
            <w:tcBorders>
              <w:top w:val="nil"/>
              <w:left w:val="nil"/>
              <w:bottom w:val="single" w:sz="4" w:space="0" w:color="000000"/>
              <w:right w:val="nil"/>
            </w:tcBorders>
            <w:shd w:val="clear" w:color="auto" w:fill="auto"/>
            <w:noWrap/>
            <w:vAlign w:val="center"/>
            <w:hideMark/>
          </w:tcPr>
          <w:p w:rsidR="007815F2" w:rsidRPr="00D024FC" w:rsidRDefault="007815F2" w:rsidP="005565E8">
            <w:pPr>
              <w:spacing w:after="0" w:line="240" w:lineRule="auto"/>
              <w:jc w:val="center"/>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 xml:space="preserve">OECD </w:t>
            </w:r>
          </w:p>
        </w:tc>
        <w:tc>
          <w:tcPr>
            <w:tcW w:w="960" w:type="dxa"/>
            <w:tcBorders>
              <w:top w:val="nil"/>
              <w:left w:val="nil"/>
              <w:bottom w:val="nil"/>
              <w:right w:val="nil"/>
            </w:tcBorders>
            <w:shd w:val="clear" w:color="auto" w:fill="auto"/>
            <w:noWrap/>
            <w:vAlign w:val="bottom"/>
            <w:hideMark/>
          </w:tcPr>
          <w:p w:rsidR="007815F2" w:rsidRPr="00D024FC" w:rsidRDefault="007815F2" w:rsidP="005565E8">
            <w:pPr>
              <w:spacing w:after="0" w:line="240" w:lineRule="auto"/>
              <w:jc w:val="right"/>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2003</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21,50</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19,20</w:t>
            </w:r>
          </w:p>
        </w:tc>
        <w:tc>
          <w:tcPr>
            <w:tcW w:w="1487"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17,90 </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14,60</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8,20</w:t>
            </w:r>
          </w:p>
        </w:tc>
        <w:tc>
          <w:tcPr>
            <w:tcW w:w="1525"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17,60 </w:t>
            </w:r>
          </w:p>
        </w:tc>
      </w:tr>
      <w:tr w:rsidR="007815F2" w:rsidRPr="00D024FC" w:rsidTr="005565E8">
        <w:trPr>
          <w:trHeight w:val="300"/>
        </w:trPr>
        <w:tc>
          <w:tcPr>
            <w:tcW w:w="960" w:type="dxa"/>
            <w:vMerge/>
            <w:tcBorders>
              <w:top w:val="nil"/>
              <w:left w:val="nil"/>
              <w:bottom w:val="single" w:sz="4" w:space="0" w:color="000000"/>
              <w:right w:val="nil"/>
            </w:tcBorders>
            <w:vAlign w:val="center"/>
            <w:hideMark/>
          </w:tcPr>
          <w:p w:rsidR="007815F2" w:rsidRPr="00D024FC" w:rsidRDefault="007815F2" w:rsidP="005565E8">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7815F2" w:rsidRPr="00D024FC" w:rsidRDefault="007815F2" w:rsidP="005565E8">
            <w:pPr>
              <w:spacing w:after="0" w:line="240" w:lineRule="auto"/>
              <w:jc w:val="right"/>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2006</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22,50</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20,90</w:t>
            </w:r>
          </w:p>
        </w:tc>
        <w:tc>
          <w:tcPr>
            <w:tcW w:w="1487"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19,80</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12,80</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8,10</w:t>
            </w:r>
          </w:p>
        </w:tc>
        <w:tc>
          <w:tcPr>
            <w:tcW w:w="1525"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8,90</w:t>
            </w:r>
          </w:p>
        </w:tc>
      </w:tr>
      <w:tr w:rsidR="007815F2" w:rsidRPr="00D024FC" w:rsidTr="005565E8">
        <w:trPr>
          <w:trHeight w:val="300"/>
        </w:trPr>
        <w:tc>
          <w:tcPr>
            <w:tcW w:w="960" w:type="dxa"/>
            <w:vMerge/>
            <w:tcBorders>
              <w:top w:val="nil"/>
              <w:left w:val="nil"/>
              <w:bottom w:val="single" w:sz="4" w:space="0" w:color="000000"/>
              <w:right w:val="nil"/>
            </w:tcBorders>
            <w:vAlign w:val="center"/>
            <w:hideMark/>
          </w:tcPr>
          <w:p w:rsidR="007815F2" w:rsidRPr="00D024FC" w:rsidRDefault="007815F2" w:rsidP="005565E8">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7815F2" w:rsidRPr="00D024FC" w:rsidRDefault="007815F2" w:rsidP="005565E8">
            <w:pPr>
              <w:spacing w:after="0" w:line="240" w:lineRule="auto"/>
              <w:jc w:val="right"/>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2009</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22,00</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18,50</w:t>
            </w:r>
          </w:p>
        </w:tc>
        <w:tc>
          <w:tcPr>
            <w:tcW w:w="1487"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17,90</w:t>
            </w:r>
          </w:p>
        </w:tc>
        <w:tc>
          <w:tcPr>
            <w:tcW w:w="1060"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12,70</w:t>
            </w:r>
          </w:p>
        </w:tc>
        <w:tc>
          <w:tcPr>
            <w:tcW w:w="1044"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7,70</w:t>
            </w:r>
          </w:p>
        </w:tc>
        <w:tc>
          <w:tcPr>
            <w:tcW w:w="1525" w:type="dxa"/>
            <w:tcBorders>
              <w:top w:val="nil"/>
              <w:left w:val="nil"/>
              <w:bottom w:val="nil"/>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sz w:val="20"/>
                <w:szCs w:val="20"/>
              </w:rPr>
            </w:pPr>
            <w:r w:rsidRPr="00D024FC">
              <w:rPr>
                <w:rFonts w:ascii="Arial" w:eastAsia="Times New Roman" w:hAnsi="Arial" w:cs="Arial"/>
                <w:sz w:val="20"/>
                <w:szCs w:val="20"/>
              </w:rPr>
              <w:t>8,50</w:t>
            </w:r>
          </w:p>
        </w:tc>
      </w:tr>
      <w:tr w:rsidR="007815F2" w:rsidRPr="00D024FC" w:rsidTr="005565E8">
        <w:trPr>
          <w:trHeight w:val="300"/>
        </w:trPr>
        <w:tc>
          <w:tcPr>
            <w:tcW w:w="960" w:type="dxa"/>
            <w:vMerge/>
            <w:tcBorders>
              <w:top w:val="nil"/>
              <w:left w:val="nil"/>
              <w:bottom w:val="single" w:sz="4" w:space="0" w:color="000000"/>
              <w:right w:val="nil"/>
            </w:tcBorders>
            <w:vAlign w:val="center"/>
            <w:hideMark/>
          </w:tcPr>
          <w:p w:rsidR="007815F2" w:rsidRPr="00D024FC" w:rsidRDefault="007815F2" w:rsidP="005565E8">
            <w:pPr>
              <w:spacing w:after="0" w:line="240" w:lineRule="auto"/>
              <w:rPr>
                <w:rFonts w:ascii="Arial" w:eastAsia="Times New Roman" w:hAnsi="Arial" w:cs="Arial"/>
                <w:b/>
                <w:bCs/>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7815F2" w:rsidRPr="00D024FC" w:rsidRDefault="007815F2" w:rsidP="005565E8">
            <w:pPr>
              <w:spacing w:after="0" w:line="240" w:lineRule="auto"/>
              <w:jc w:val="right"/>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2012</w:t>
            </w:r>
          </w:p>
        </w:tc>
        <w:tc>
          <w:tcPr>
            <w:tcW w:w="1060"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23,00</w:t>
            </w:r>
          </w:p>
        </w:tc>
        <w:tc>
          <w:tcPr>
            <w:tcW w:w="1044"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18,00</w:t>
            </w:r>
          </w:p>
        </w:tc>
        <w:tc>
          <w:tcPr>
            <w:tcW w:w="1487"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17,80</w:t>
            </w:r>
          </w:p>
        </w:tc>
        <w:tc>
          <w:tcPr>
            <w:tcW w:w="1060"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12,60</w:t>
            </w:r>
          </w:p>
        </w:tc>
        <w:tc>
          <w:tcPr>
            <w:tcW w:w="1044" w:type="dxa"/>
            <w:tcBorders>
              <w:top w:val="nil"/>
              <w:left w:val="nil"/>
              <w:bottom w:val="single" w:sz="4" w:space="0" w:color="auto"/>
              <w:right w:val="nil"/>
            </w:tcBorders>
            <w:shd w:val="clear" w:color="auto" w:fill="auto"/>
            <w:vAlign w:val="bottom"/>
            <w:hideMark/>
          </w:tcPr>
          <w:p w:rsidR="007815F2" w:rsidRPr="00D024FC" w:rsidRDefault="007815F2" w:rsidP="005565E8">
            <w:pPr>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8,40</w:t>
            </w:r>
          </w:p>
        </w:tc>
        <w:tc>
          <w:tcPr>
            <w:tcW w:w="1525" w:type="dxa"/>
            <w:tcBorders>
              <w:top w:val="nil"/>
              <w:left w:val="nil"/>
              <w:bottom w:val="single" w:sz="4" w:space="0" w:color="auto"/>
              <w:right w:val="nil"/>
            </w:tcBorders>
            <w:shd w:val="clear" w:color="auto" w:fill="auto"/>
            <w:vAlign w:val="bottom"/>
            <w:hideMark/>
          </w:tcPr>
          <w:p w:rsidR="007815F2" w:rsidRPr="00D024FC" w:rsidRDefault="007815F2" w:rsidP="005565E8">
            <w:pPr>
              <w:keepNext/>
              <w:spacing w:after="0" w:line="240" w:lineRule="auto"/>
              <w:jc w:val="center"/>
              <w:rPr>
                <w:rFonts w:ascii="Arial" w:eastAsia="Times New Roman" w:hAnsi="Arial" w:cs="Arial"/>
                <w:color w:val="000000"/>
                <w:sz w:val="20"/>
                <w:szCs w:val="20"/>
              </w:rPr>
            </w:pPr>
            <w:r w:rsidRPr="00D024FC">
              <w:rPr>
                <w:rFonts w:ascii="Arial" w:eastAsia="Times New Roman" w:hAnsi="Arial" w:cs="Arial"/>
                <w:color w:val="000000"/>
                <w:sz w:val="20"/>
                <w:szCs w:val="20"/>
              </w:rPr>
              <w:t>8,40</w:t>
            </w:r>
          </w:p>
        </w:tc>
      </w:tr>
    </w:tbl>
    <w:p w:rsidR="00ED59FF" w:rsidRPr="00D024FC" w:rsidRDefault="007815F2" w:rsidP="007815F2">
      <w:pPr>
        <w:pStyle w:val="Caption"/>
        <w:contextualSpacing/>
        <w:rPr>
          <w:rFonts w:ascii="Arial" w:hAnsi="Arial" w:cs="Arial"/>
          <w:b w:val="0"/>
          <w:color w:val="auto"/>
          <w:sz w:val="16"/>
          <w:szCs w:val="16"/>
        </w:rPr>
      </w:pPr>
      <w:r w:rsidRPr="00D024FC">
        <w:rPr>
          <w:rFonts w:ascii="Arial" w:hAnsi="Arial" w:cs="Arial"/>
          <w:b w:val="0"/>
          <w:color w:val="auto"/>
          <w:sz w:val="16"/>
          <w:szCs w:val="16"/>
        </w:rPr>
        <w:t>Not: Kademe 2'nin altında kalan öğrenciler maksimum 407.47 puan alan ve Kademe 5 ve üzerindeki öğrenciler ise minimum 625.61 puan alan öğrencilerdir.</w:t>
      </w:r>
    </w:p>
    <w:p w:rsidR="007815F2" w:rsidRPr="00D024FC" w:rsidRDefault="00ED59FF" w:rsidP="007815F2">
      <w:pPr>
        <w:pStyle w:val="Caption"/>
        <w:contextualSpacing/>
        <w:rPr>
          <w:rFonts w:ascii="Arial" w:hAnsi="Arial" w:cs="Arial"/>
          <w:b w:val="0"/>
          <w:sz w:val="16"/>
          <w:szCs w:val="16"/>
        </w:rPr>
      </w:pPr>
      <w:r w:rsidRPr="00D024FC">
        <w:rPr>
          <w:rFonts w:ascii="Arial" w:hAnsi="Arial" w:cs="Arial"/>
          <w:b w:val="0"/>
          <w:color w:val="auto"/>
          <w:sz w:val="16"/>
          <w:szCs w:val="16"/>
        </w:rPr>
        <w:t>*</w:t>
      </w:r>
      <w:r w:rsidR="007815F2" w:rsidRPr="00D024FC">
        <w:rPr>
          <w:rFonts w:ascii="Arial" w:hAnsi="Arial" w:cs="Arial"/>
          <w:b w:val="0"/>
          <w:color w:val="auto"/>
          <w:sz w:val="16"/>
          <w:szCs w:val="16"/>
        </w:rPr>
        <w:t>2003 Fen bilimleri skorları için ise 400 puandan az alanlar 2.kademe altında ve 600 puandan fazla puana sahip olanlar ise 5. kademe ve üzerinde kabul edilmiştir</w:t>
      </w:r>
      <w:r w:rsidR="007815F2" w:rsidRPr="00D024FC">
        <w:rPr>
          <w:rFonts w:ascii="Arial" w:hAnsi="Arial" w:cs="Arial"/>
          <w:b w:val="0"/>
          <w:sz w:val="16"/>
          <w:szCs w:val="16"/>
        </w:rPr>
        <w:t xml:space="preserve">. </w:t>
      </w:r>
    </w:p>
    <w:p w:rsidR="007815F2" w:rsidRPr="00D024FC" w:rsidRDefault="007815F2" w:rsidP="007815F2">
      <w:pPr>
        <w:jc w:val="both"/>
        <w:rPr>
          <w:rFonts w:ascii="Arial" w:hAnsi="Arial" w:cs="Arial"/>
          <w:b/>
        </w:rPr>
      </w:pPr>
    </w:p>
    <w:p w:rsidR="007815F2" w:rsidRPr="00D024FC" w:rsidRDefault="00686888" w:rsidP="007815F2">
      <w:pPr>
        <w:pStyle w:val="Caption"/>
        <w:keepNext/>
        <w:rPr>
          <w:rFonts w:ascii="Arial" w:hAnsi="Arial" w:cs="Arial"/>
          <w:color w:val="auto"/>
          <w:sz w:val="20"/>
          <w:szCs w:val="20"/>
        </w:rPr>
      </w:pPr>
      <w:r w:rsidRPr="00D024FC">
        <w:rPr>
          <w:rFonts w:ascii="Arial" w:hAnsi="Arial" w:cs="Arial"/>
          <w:color w:val="auto"/>
          <w:sz w:val="20"/>
          <w:szCs w:val="20"/>
        </w:rPr>
        <w:t xml:space="preserve">Ek </w:t>
      </w:r>
      <w:r w:rsidR="00AC76FF" w:rsidRPr="00D024FC">
        <w:rPr>
          <w:rFonts w:ascii="Arial" w:hAnsi="Arial" w:cs="Arial"/>
          <w:color w:val="auto"/>
          <w:sz w:val="20"/>
          <w:szCs w:val="20"/>
        </w:rPr>
        <w:t>Tablo 2: 2009</w:t>
      </w:r>
      <w:r w:rsidR="007815F2" w:rsidRPr="00D024FC">
        <w:rPr>
          <w:rFonts w:ascii="Arial" w:hAnsi="Arial" w:cs="Arial"/>
          <w:color w:val="auto"/>
          <w:sz w:val="20"/>
          <w:szCs w:val="20"/>
        </w:rPr>
        <w:t xml:space="preserve">-2012 PISA testine katılan okulların </w:t>
      </w:r>
      <w:r w:rsidR="00AC76FF" w:rsidRPr="00D024FC">
        <w:rPr>
          <w:rFonts w:ascii="Arial" w:hAnsi="Arial" w:cs="Arial"/>
          <w:color w:val="auto"/>
          <w:sz w:val="20"/>
          <w:szCs w:val="20"/>
        </w:rPr>
        <w:t xml:space="preserve">yerleşim birimlerine </w:t>
      </w:r>
      <w:r w:rsidR="007815F2" w:rsidRPr="00D024FC">
        <w:rPr>
          <w:rFonts w:ascii="Arial" w:hAnsi="Arial" w:cs="Arial"/>
          <w:color w:val="auto"/>
          <w:sz w:val="20"/>
          <w:szCs w:val="20"/>
        </w:rPr>
        <w:t>göre dağılımı</w:t>
      </w:r>
    </w:p>
    <w:tbl>
      <w:tblPr>
        <w:tblW w:w="6420" w:type="dxa"/>
        <w:tblInd w:w="70" w:type="dxa"/>
        <w:tblCellMar>
          <w:left w:w="70" w:type="dxa"/>
          <w:right w:w="70" w:type="dxa"/>
        </w:tblCellMar>
        <w:tblLook w:val="04A0"/>
      </w:tblPr>
      <w:tblGrid>
        <w:gridCol w:w="976"/>
        <w:gridCol w:w="2516"/>
        <w:gridCol w:w="1174"/>
        <w:gridCol w:w="976"/>
        <w:gridCol w:w="976"/>
      </w:tblGrid>
      <w:tr w:rsidR="007815F2" w:rsidRPr="00D024FC" w:rsidTr="007815F2">
        <w:trPr>
          <w:trHeight w:val="300"/>
        </w:trPr>
        <w:tc>
          <w:tcPr>
            <w:tcW w:w="976" w:type="dxa"/>
            <w:tcBorders>
              <w:top w:val="single" w:sz="4" w:space="0" w:color="auto"/>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color w:val="000000"/>
                <w:sz w:val="20"/>
                <w:szCs w:val="20"/>
              </w:rPr>
            </w:pPr>
            <w:r w:rsidRPr="00D024FC">
              <w:rPr>
                <w:rFonts w:ascii="Arial" w:eastAsia="Times New Roman" w:hAnsi="Arial" w:cs="Arial"/>
                <w:color w:val="000000"/>
                <w:sz w:val="20"/>
                <w:szCs w:val="20"/>
              </w:rPr>
              <w:t> </w:t>
            </w:r>
          </w:p>
        </w:tc>
        <w:tc>
          <w:tcPr>
            <w:tcW w:w="2516" w:type="dxa"/>
            <w:tcBorders>
              <w:top w:val="single" w:sz="4" w:space="0" w:color="auto"/>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color w:val="000000"/>
                <w:sz w:val="20"/>
                <w:szCs w:val="20"/>
              </w:rPr>
            </w:pPr>
            <w:r w:rsidRPr="00D024FC">
              <w:rPr>
                <w:rFonts w:ascii="Arial" w:eastAsia="Times New Roman" w:hAnsi="Arial" w:cs="Arial"/>
                <w:color w:val="000000"/>
                <w:sz w:val="20"/>
                <w:szCs w:val="20"/>
              </w:rPr>
              <w:t> </w:t>
            </w:r>
          </w:p>
        </w:tc>
        <w:tc>
          <w:tcPr>
            <w:tcW w:w="976" w:type="dxa"/>
            <w:tcBorders>
              <w:top w:val="single" w:sz="4" w:space="0" w:color="auto"/>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 </w:t>
            </w:r>
          </w:p>
        </w:tc>
        <w:tc>
          <w:tcPr>
            <w:tcW w:w="976" w:type="dxa"/>
            <w:tcBorders>
              <w:top w:val="single" w:sz="4" w:space="0" w:color="auto"/>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2009</w:t>
            </w:r>
          </w:p>
        </w:tc>
        <w:tc>
          <w:tcPr>
            <w:tcW w:w="976" w:type="dxa"/>
            <w:tcBorders>
              <w:top w:val="single" w:sz="4" w:space="0" w:color="auto"/>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2012</w:t>
            </w:r>
          </w:p>
        </w:tc>
      </w:tr>
      <w:tr w:rsidR="007815F2" w:rsidRPr="00D024FC" w:rsidTr="007815F2">
        <w:trPr>
          <w:trHeight w:val="465"/>
        </w:trPr>
        <w:tc>
          <w:tcPr>
            <w:tcW w:w="3492" w:type="dxa"/>
            <w:gridSpan w:val="2"/>
            <w:vMerge w:val="restart"/>
            <w:tcBorders>
              <w:top w:val="single" w:sz="4" w:space="0" w:color="auto"/>
              <w:left w:val="nil"/>
              <w:bottom w:val="single" w:sz="4" w:space="0" w:color="000000"/>
              <w:right w:val="nil"/>
            </w:tcBorders>
            <w:shd w:val="clear" w:color="auto" w:fill="auto"/>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Köy (Nüfusu 3.000'den az )</w:t>
            </w:r>
          </w:p>
        </w:tc>
        <w:tc>
          <w:tcPr>
            <w:tcW w:w="976" w:type="dxa"/>
            <w:tcBorders>
              <w:top w:val="nil"/>
              <w:left w:val="nil"/>
              <w:bottom w:val="single" w:sz="4" w:space="0" w:color="auto"/>
              <w:right w:val="nil"/>
            </w:tcBorders>
            <w:shd w:val="clear" w:color="auto" w:fill="auto"/>
            <w:noWrap/>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Türkiye</w:t>
            </w:r>
          </w:p>
        </w:tc>
        <w:tc>
          <w:tcPr>
            <w:tcW w:w="976" w:type="dxa"/>
            <w:tcBorders>
              <w:top w:val="nil"/>
              <w:left w:val="nil"/>
              <w:bottom w:val="single" w:sz="4" w:space="0" w:color="auto"/>
              <w:right w:val="nil"/>
            </w:tcBorders>
            <w:shd w:val="clear" w:color="auto" w:fill="auto"/>
            <w:noWrap/>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2,98</w:t>
            </w:r>
          </w:p>
        </w:tc>
        <w:tc>
          <w:tcPr>
            <w:tcW w:w="976" w:type="dxa"/>
            <w:tcBorders>
              <w:top w:val="nil"/>
              <w:left w:val="nil"/>
              <w:bottom w:val="single" w:sz="4" w:space="0" w:color="auto"/>
              <w:right w:val="nil"/>
            </w:tcBorders>
            <w:shd w:val="clear" w:color="auto" w:fill="auto"/>
            <w:noWrap/>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2,28</w:t>
            </w:r>
          </w:p>
        </w:tc>
      </w:tr>
      <w:tr w:rsidR="007815F2" w:rsidRPr="00D024FC" w:rsidTr="007815F2">
        <w:trPr>
          <w:trHeight w:val="420"/>
        </w:trPr>
        <w:tc>
          <w:tcPr>
            <w:tcW w:w="3492" w:type="dxa"/>
            <w:gridSpan w:val="2"/>
            <w:vMerge/>
            <w:tcBorders>
              <w:top w:val="single" w:sz="4" w:space="0" w:color="auto"/>
              <w:left w:val="nil"/>
              <w:bottom w:val="single" w:sz="4" w:space="0" w:color="000000"/>
              <w:right w:val="nil"/>
            </w:tcBorders>
            <w:vAlign w:val="center"/>
            <w:hideMark/>
          </w:tcPr>
          <w:p w:rsidR="007815F2" w:rsidRPr="00D024FC" w:rsidRDefault="007815F2" w:rsidP="007815F2">
            <w:pPr>
              <w:spacing w:after="0" w:line="240" w:lineRule="auto"/>
              <w:rPr>
                <w:rFonts w:ascii="Arial" w:eastAsia="Times New Roman" w:hAnsi="Arial" w:cs="Arial"/>
                <w:b/>
                <w:bCs/>
                <w:color w:val="000000"/>
                <w:sz w:val="20"/>
                <w:szCs w:val="20"/>
              </w:rPr>
            </w:pPr>
          </w:p>
        </w:tc>
        <w:tc>
          <w:tcPr>
            <w:tcW w:w="976" w:type="dxa"/>
            <w:tcBorders>
              <w:top w:val="nil"/>
              <w:left w:val="nil"/>
              <w:bottom w:val="single" w:sz="4" w:space="0" w:color="auto"/>
              <w:right w:val="nil"/>
            </w:tcBorders>
            <w:shd w:val="clear" w:color="auto" w:fill="auto"/>
            <w:noWrap/>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OECD Ortalaması</w:t>
            </w:r>
          </w:p>
        </w:tc>
        <w:tc>
          <w:tcPr>
            <w:tcW w:w="976" w:type="dxa"/>
            <w:tcBorders>
              <w:top w:val="nil"/>
              <w:left w:val="nil"/>
              <w:bottom w:val="single" w:sz="4" w:space="0" w:color="auto"/>
              <w:right w:val="nil"/>
            </w:tcBorders>
            <w:shd w:val="clear" w:color="auto" w:fill="auto"/>
            <w:noWrap/>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9,92</w:t>
            </w:r>
          </w:p>
        </w:tc>
        <w:tc>
          <w:tcPr>
            <w:tcW w:w="976" w:type="dxa"/>
            <w:tcBorders>
              <w:top w:val="nil"/>
              <w:left w:val="nil"/>
              <w:bottom w:val="single" w:sz="4" w:space="0" w:color="auto"/>
              <w:right w:val="nil"/>
            </w:tcBorders>
            <w:shd w:val="clear" w:color="auto" w:fill="auto"/>
            <w:noWrap/>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9,42</w:t>
            </w:r>
          </w:p>
        </w:tc>
      </w:tr>
      <w:tr w:rsidR="007815F2" w:rsidRPr="00D024FC" w:rsidTr="007815F2">
        <w:trPr>
          <w:trHeight w:val="495"/>
        </w:trPr>
        <w:tc>
          <w:tcPr>
            <w:tcW w:w="3492" w:type="dxa"/>
            <w:gridSpan w:val="2"/>
            <w:vMerge w:val="restart"/>
            <w:tcBorders>
              <w:top w:val="single" w:sz="4" w:space="0" w:color="auto"/>
              <w:left w:val="nil"/>
              <w:bottom w:val="single" w:sz="4" w:space="0" w:color="000000"/>
              <w:right w:val="nil"/>
            </w:tcBorders>
            <w:shd w:val="clear" w:color="auto" w:fill="auto"/>
            <w:vAlign w:val="center"/>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Küçük Kasaba ( Nüfusu 3.000-15.000)</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Türkiye</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9,69</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10,58</w:t>
            </w:r>
          </w:p>
        </w:tc>
      </w:tr>
      <w:tr w:rsidR="007815F2" w:rsidRPr="00D024FC" w:rsidTr="007815F2">
        <w:trPr>
          <w:trHeight w:val="420"/>
        </w:trPr>
        <w:tc>
          <w:tcPr>
            <w:tcW w:w="3492" w:type="dxa"/>
            <w:gridSpan w:val="2"/>
            <w:vMerge/>
            <w:tcBorders>
              <w:top w:val="single" w:sz="4" w:space="0" w:color="auto"/>
              <w:left w:val="nil"/>
              <w:bottom w:val="single" w:sz="4" w:space="0" w:color="000000"/>
              <w:right w:val="nil"/>
            </w:tcBorders>
            <w:vAlign w:val="center"/>
            <w:hideMark/>
          </w:tcPr>
          <w:p w:rsidR="007815F2" w:rsidRPr="00D024FC" w:rsidRDefault="007815F2" w:rsidP="007815F2">
            <w:pPr>
              <w:spacing w:after="0" w:line="240" w:lineRule="auto"/>
              <w:rPr>
                <w:rFonts w:ascii="Arial" w:eastAsia="Times New Roman" w:hAnsi="Arial" w:cs="Arial"/>
                <w:b/>
                <w:bCs/>
                <w:color w:val="000000"/>
                <w:sz w:val="20"/>
                <w:szCs w:val="20"/>
              </w:rPr>
            </w:pP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OECD Ortalaması</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21,51</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20,98</w:t>
            </w:r>
          </w:p>
        </w:tc>
      </w:tr>
      <w:tr w:rsidR="007815F2" w:rsidRPr="00D024FC" w:rsidTr="007815F2">
        <w:trPr>
          <w:trHeight w:val="420"/>
        </w:trPr>
        <w:tc>
          <w:tcPr>
            <w:tcW w:w="3492" w:type="dxa"/>
            <w:gridSpan w:val="2"/>
            <w:vMerge w:val="restart"/>
            <w:tcBorders>
              <w:top w:val="single" w:sz="4" w:space="0" w:color="auto"/>
              <w:left w:val="nil"/>
              <w:bottom w:val="single" w:sz="4" w:space="0" w:color="000000"/>
              <w:right w:val="nil"/>
            </w:tcBorders>
            <w:shd w:val="clear" w:color="auto" w:fill="auto"/>
            <w:vAlign w:val="center"/>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Kasaba(Nüfusu 15.000-100.000)</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Türkiye</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28,08</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30,75</w:t>
            </w:r>
          </w:p>
        </w:tc>
      </w:tr>
      <w:tr w:rsidR="007815F2" w:rsidRPr="00D024FC" w:rsidTr="007815F2">
        <w:trPr>
          <w:trHeight w:val="405"/>
        </w:trPr>
        <w:tc>
          <w:tcPr>
            <w:tcW w:w="3492" w:type="dxa"/>
            <w:gridSpan w:val="2"/>
            <w:vMerge/>
            <w:tcBorders>
              <w:top w:val="single" w:sz="4" w:space="0" w:color="auto"/>
              <w:left w:val="nil"/>
              <w:bottom w:val="single" w:sz="4" w:space="0" w:color="000000"/>
              <w:right w:val="nil"/>
            </w:tcBorders>
            <w:vAlign w:val="center"/>
            <w:hideMark/>
          </w:tcPr>
          <w:p w:rsidR="007815F2" w:rsidRPr="00D024FC" w:rsidRDefault="007815F2" w:rsidP="007815F2">
            <w:pPr>
              <w:spacing w:after="0" w:line="240" w:lineRule="auto"/>
              <w:rPr>
                <w:rFonts w:ascii="Arial" w:eastAsia="Times New Roman" w:hAnsi="Arial" w:cs="Arial"/>
                <w:b/>
                <w:bCs/>
                <w:color w:val="000000"/>
                <w:sz w:val="20"/>
                <w:szCs w:val="20"/>
              </w:rPr>
            </w:pP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OECD Ortalaması</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33,93</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34,64</w:t>
            </w:r>
          </w:p>
        </w:tc>
      </w:tr>
      <w:tr w:rsidR="007815F2" w:rsidRPr="00D024FC" w:rsidTr="007815F2">
        <w:trPr>
          <w:trHeight w:val="330"/>
        </w:trPr>
        <w:tc>
          <w:tcPr>
            <w:tcW w:w="3492" w:type="dxa"/>
            <w:gridSpan w:val="2"/>
            <w:vMerge w:val="restart"/>
            <w:tcBorders>
              <w:top w:val="single" w:sz="4" w:space="0" w:color="auto"/>
              <w:left w:val="nil"/>
              <w:bottom w:val="single" w:sz="4" w:space="0" w:color="000000"/>
              <w:right w:val="nil"/>
            </w:tcBorders>
            <w:shd w:val="clear" w:color="auto" w:fill="auto"/>
            <w:vAlign w:val="center"/>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Şehir (Nüfusu 100.000-1.000.000)</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Türkiye</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27,95</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29,82</w:t>
            </w:r>
          </w:p>
        </w:tc>
      </w:tr>
      <w:tr w:rsidR="007815F2" w:rsidRPr="00D024FC" w:rsidTr="007815F2">
        <w:trPr>
          <w:trHeight w:val="345"/>
        </w:trPr>
        <w:tc>
          <w:tcPr>
            <w:tcW w:w="3492" w:type="dxa"/>
            <w:gridSpan w:val="2"/>
            <w:vMerge/>
            <w:tcBorders>
              <w:top w:val="single" w:sz="4" w:space="0" w:color="auto"/>
              <w:left w:val="nil"/>
              <w:bottom w:val="single" w:sz="4" w:space="0" w:color="000000"/>
              <w:right w:val="nil"/>
            </w:tcBorders>
            <w:vAlign w:val="center"/>
            <w:hideMark/>
          </w:tcPr>
          <w:p w:rsidR="007815F2" w:rsidRPr="00D024FC" w:rsidRDefault="007815F2" w:rsidP="007815F2">
            <w:pPr>
              <w:spacing w:after="0" w:line="240" w:lineRule="auto"/>
              <w:rPr>
                <w:rFonts w:ascii="Arial" w:eastAsia="Times New Roman" w:hAnsi="Arial" w:cs="Arial"/>
                <w:b/>
                <w:bCs/>
                <w:color w:val="000000"/>
                <w:sz w:val="20"/>
                <w:szCs w:val="20"/>
              </w:rPr>
            </w:pP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OECD Ortalaması</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23,06</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23,78</w:t>
            </w:r>
          </w:p>
        </w:tc>
      </w:tr>
      <w:tr w:rsidR="007815F2" w:rsidRPr="00D024FC" w:rsidTr="007815F2">
        <w:trPr>
          <w:trHeight w:val="345"/>
        </w:trPr>
        <w:tc>
          <w:tcPr>
            <w:tcW w:w="3492" w:type="dxa"/>
            <w:gridSpan w:val="2"/>
            <w:vMerge w:val="restart"/>
            <w:tcBorders>
              <w:top w:val="single" w:sz="4" w:space="0" w:color="auto"/>
              <w:left w:val="nil"/>
              <w:bottom w:val="single" w:sz="4" w:space="0" w:color="000000"/>
              <w:right w:val="nil"/>
            </w:tcBorders>
            <w:shd w:val="clear" w:color="auto" w:fill="auto"/>
            <w:vAlign w:val="center"/>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 xml:space="preserve">Büyük Şehir (Nüfusu 1.000.000'dan fazla) </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Türkiye</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31,3</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26,57</w:t>
            </w:r>
          </w:p>
        </w:tc>
      </w:tr>
      <w:tr w:rsidR="007815F2" w:rsidRPr="00D024FC" w:rsidTr="007815F2">
        <w:trPr>
          <w:trHeight w:val="360"/>
        </w:trPr>
        <w:tc>
          <w:tcPr>
            <w:tcW w:w="3492" w:type="dxa"/>
            <w:gridSpan w:val="2"/>
            <w:vMerge/>
            <w:tcBorders>
              <w:top w:val="single" w:sz="4" w:space="0" w:color="auto"/>
              <w:left w:val="nil"/>
              <w:bottom w:val="single" w:sz="4" w:space="0" w:color="000000"/>
              <w:right w:val="nil"/>
            </w:tcBorders>
            <w:vAlign w:val="center"/>
            <w:hideMark/>
          </w:tcPr>
          <w:p w:rsidR="007815F2" w:rsidRPr="00D024FC" w:rsidRDefault="007815F2" w:rsidP="007815F2">
            <w:pPr>
              <w:spacing w:after="0" w:line="240" w:lineRule="auto"/>
              <w:rPr>
                <w:rFonts w:ascii="Arial" w:eastAsia="Times New Roman" w:hAnsi="Arial" w:cs="Arial"/>
                <w:b/>
                <w:bCs/>
                <w:color w:val="000000"/>
                <w:sz w:val="20"/>
                <w:szCs w:val="20"/>
              </w:rPr>
            </w:pP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rPr>
                <w:rFonts w:ascii="Arial" w:eastAsia="Times New Roman" w:hAnsi="Arial" w:cs="Arial"/>
                <w:b/>
                <w:bCs/>
                <w:color w:val="000000"/>
                <w:sz w:val="20"/>
                <w:szCs w:val="20"/>
              </w:rPr>
            </w:pPr>
            <w:r w:rsidRPr="00D024FC">
              <w:rPr>
                <w:rFonts w:ascii="Arial" w:eastAsia="Times New Roman" w:hAnsi="Arial" w:cs="Arial"/>
                <w:b/>
                <w:bCs/>
                <w:color w:val="000000"/>
                <w:sz w:val="20"/>
                <w:szCs w:val="20"/>
              </w:rPr>
              <w:t>OECD Ortalaması</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16,06</w:t>
            </w:r>
          </w:p>
        </w:tc>
        <w:tc>
          <w:tcPr>
            <w:tcW w:w="976" w:type="dxa"/>
            <w:tcBorders>
              <w:top w:val="nil"/>
              <w:left w:val="nil"/>
              <w:bottom w:val="single" w:sz="4" w:space="0" w:color="auto"/>
              <w:right w:val="nil"/>
            </w:tcBorders>
            <w:shd w:val="clear" w:color="auto" w:fill="auto"/>
            <w:noWrap/>
            <w:vAlign w:val="bottom"/>
            <w:hideMark/>
          </w:tcPr>
          <w:p w:rsidR="007815F2" w:rsidRPr="00D024FC" w:rsidRDefault="007815F2" w:rsidP="007815F2">
            <w:pPr>
              <w:spacing w:after="0" w:line="240" w:lineRule="auto"/>
              <w:jc w:val="right"/>
              <w:rPr>
                <w:rFonts w:ascii="Arial" w:eastAsia="Times New Roman" w:hAnsi="Arial" w:cs="Arial"/>
                <w:color w:val="000000"/>
                <w:sz w:val="20"/>
                <w:szCs w:val="20"/>
              </w:rPr>
            </w:pPr>
            <w:r w:rsidRPr="00D024FC">
              <w:rPr>
                <w:rFonts w:ascii="Arial" w:eastAsia="Times New Roman" w:hAnsi="Arial" w:cs="Arial"/>
                <w:color w:val="000000"/>
                <w:sz w:val="20"/>
                <w:szCs w:val="20"/>
              </w:rPr>
              <w:t>11,01</w:t>
            </w:r>
          </w:p>
        </w:tc>
      </w:tr>
    </w:tbl>
    <w:p w:rsidR="007815F2" w:rsidRPr="00D024FC" w:rsidRDefault="007815F2" w:rsidP="004A2312">
      <w:pPr>
        <w:jc w:val="both"/>
        <w:rPr>
          <w:rFonts w:ascii="Arial" w:hAnsi="Arial" w:cs="Arial"/>
          <w:b/>
        </w:rPr>
      </w:pPr>
    </w:p>
    <w:sectPr w:rsidR="007815F2" w:rsidRPr="00D024FC" w:rsidSect="00F9129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E1" w:rsidRDefault="003B5EE1" w:rsidP="00B56953">
      <w:pPr>
        <w:spacing w:after="0" w:line="240" w:lineRule="auto"/>
      </w:pPr>
      <w:r>
        <w:separator/>
      </w:r>
    </w:p>
  </w:endnote>
  <w:endnote w:type="continuationSeparator" w:id="1">
    <w:p w:rsidR="003B5EE1" w:rsidRDefault="003B5EE1" w:rsidP="00B56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7B" w:rsidRDefault="00E72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7B" w:rsidRDefault="00E722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7B" w:rsidRDefault="00E72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E1" w:rsidRDefault="003B5EE1" w:rsidP="00B56953">
      <w:pPr>
        <w:spacing w:after="0" w:line="240" w:lineRule="auto"/>
      </w:pPr>
      <w:r>
        <w:separator/>
      </w:r>
    </w:p>
  </w:footnote>
  <w:footnote w:type="continuationSeparator" w:id="1">
    <w:p w:rsidR="003B5EE1" w:rsidRDefault="003B5EE1" w:rsidP="00B56953">
      <w:pPr>
        <w:spacing w:after="0" w:line="240" w:lineRule="auto"/>
      </w:pPr>
      <w:r>
        <w:continuationSeparator/>
      </w:r>
    </w:p>
  </w:footnote>
  <w:footnote w:id="2">
    <w:p w:rsidR="00ED7BB6" w:rsidRPr="00772E88" w:rsidRDefault="00ED7BB6" w:rsidP="00ED7BB6">
      <w:pPr>
        <w:pStyle w:val="FootnoteText"/>
        <w:rPr>
          <w:sz w:val="18"/>
          <w:szCs w:val="18"/>
        </w:rPr>
      </w:pPr>
      <w:r w:rsidRPr="003F0D8F">
        <w:rPr>
          <w:rStyle w:val="FootnoteReference"/>
          <w:rFonts w:ascii="Arial" w:hAnsi="Arial" w:cs="Arial"/>
          <w:b/>
        </w:rPr>
        <w:t>*</w:t>
      </w:r>
      <w:r w:rsidRPr="00772E88">
        <w:rPr>
          <w:sz w:val="18"/>
          <w:szCs w:val="18"/>
        </w:rPr>
        <w:t>Prof. Dr. Seyfettin Gürsel , Betam, Direktör, seyfettin.gursel@bahcesehir.edu.tr</w:t>
      </w:r>
    </w:p>
  </w:footnote>
  <w:footnote w:id="3">
    <w:p w:rsidR="00ED7BB6" w:rsidRPr="00772E88" w:rsidRDefault="00ED7BB6" w:rsidP="00ED7BB6">
      <w:pPr>
        <w:autoSpaceDE w:val="0"/>
        <w:autoSpaceDN w:val="0"/>
        <w:adjustRightInd w:val="0"/>
        <w:rPr>
          <w:rFonts w:ascii="Times New Roman" w:eastAsia="Times New Roman" w:hAnsi="Times New Roman" w:cs="Times New Roman"/>
          <w:sz w:val="18"/>
          <w:szCs w:val="18"/>
          <w:lang w:eastAsia="ar-SA"/>
        </w:rPr>
      </w:pPr>
      <w:r w:rsidRPr="00772E88">
        <w:rPr>
          <w:rFonts w:ascii="Times New Roman" w:eastAsia="Times New Roman" w:hAnsi="Times New Roman" w:cs="Times New Roman"/>
          <w:sz w:val="18"/>
          <w:szCs w:val="18"/>
          <w:lang w:eastAsia="ar-SA"/>
        </w:rPr>
        <w:t>**Mine Durmaz, Betam, Araştırma Görevlisi, mine.durmaz@bahcesehir.edu.tr</w:t>
      </w:r>
    </w:p>
  </w:footnote>
  <w:footnote w:id="4">
    <w:p w:rsidR="00FD6921" w:rsidRPr="0000345B" w:rsidRDefault="00AF5E11">
      <w:pPr>
        <w:pStyle w:val="FootnoteText"/>
      </w:pPr>
      <w:r w:rsidRPr="00AF5E11">
        <w:rPr>
          <w:rStyle w:val="FootnoteReference"/>
          <w:sz w:val="18"/>
          <w:szCs w:val="18"/>
        </w:rPr>
        <w:footnoteRef/>
      </w:r>
      <w:r w:rsidRPr="00AF5E11">
        <w:rPr>
          <w:sz w:val="18"/>
          <w:szCs w:val="18"/>
        </w:rPr>
        <w:t xml:space="preserve"> Milli Eğitim Bakanlığı'nın PISA 2012 Ulusal Ön Raporundan alınmıştır. </w:t>
      </w:r>
      <w:hyperlink r:id="rId1" w:history="1">
        <w:r w:rsidR="00FD6921">
          <w:rPr>
            <w:rStyle w:val="Hyperlink"/>
          </w:rPr>
          <w:t>http://yegitek.meb.gov.tr/meb_iys_dosyalar/2013_12/13053601_pisa2012_ulusal_n_raporu.pdf</w:t>
        </w:r>
      </w:hyperlink>
    </w:p>
  </w:footnote>
  <w:footnote w:id="5">
    <w:p w:rsidR="004C317D" w:rsidRDefault="004C317D" w:rsidP="004C317D">
      <w:pPr>
        <w:pStyle w:val="FootnoteText"/>
        <w:jc w:val="both"/>
      </w:pPr>
      <w:r>
        <w:rPr>
          <w:rStyle w:val="FootnoteReference"/>
        </w:rPr>
        <w:footnoteRef/>
      </w:r>
      <w:r>
        <w:rPr>
          <w:sz w:val="18"/>
          <w:szCs w:val="18"/>
        </w:rPr>
        <w:t xml:space="preserve"> </w:t>
      </w:r>
      <w:r w:rsidRPr="00167AB9">
        <w:rPr>
          <w:sz w:val="18"/>
          <w:szCs w:val="18"/>
        </w:rPr>
        <w:t xml:space="preserve">PISA 2006'da fen bilimleri alanının çerçevesinde </w:t>
      </w:r>
      <w:r>
        <w:rPr>
          <w:sz w:val="18"/>
          <w:szCs w:val="18"/>
        </w:rPr>
        <w:t xml:space="preserve">değişiklik </w:t>
      </w:r>
      <w:r w:rsidRPr="00167AB9">
        <w:rPr>
          <w:sz w:val="18"/>
          <w:szCs w:val="18"/>
        </w:rPr>
        <w:t>yapılmıştır. Bu sebeple 2006 dahil olmak üzere sonrasında yayınlanan PISA fen bilimleri sonuçlarını 2003 ve 2000 yılındaki verilerle karşılaştırmak mümkün değildir. Ar</w:t>
      </w:r>
      <w:r w:rsidR="00A57232">
        <w:rPr>
          <w:sz w:val="18"/>
          <w:szCs w:val="18"/>
        </w:rPr>
        <w:t>aştırma notunun geri kalanında f</w:t>
      </w:r>
      <w:r w:rsidRPr="00167AB9">
        <w:rPr>
          <w:sz w:val="18"/>
          <w:szCs w:val="18"/>
        </w:rPr>
        <w:t>en biliml</w:t>
      </w:r>
      <w:r w:rsidR="00A57232">
        <w:rPr>
          <w:sz w:val="18"/>
          <w:szCs w:val="18"/>
        </w:rPr>
        <w:t xml:space="preserve">eri alanındaki değerlendirmeler, </w:t>
      </w:r>
      <w:r w:rsidRPr="00167AB9">
        <w:rPr>
          <w:sz w:val="18"/>
          <w:szCs w:val="18"/>
        </w:rPr>
        <w:t xml:space="preserve">2006 </w:t>
      </w:r>
      <w:r>
        <w:rPr>
          <w:sz w:val="18"/>
          <w:szCs w:val="18"/>
        </w:rPr>
        <w:t xml:space="preserve">uygulamasından </w:t>
      </w:r>
      <w:r w:rsidRPr="00167AB9">
        <w:rPr>
          <w:sz w:val="18"/>
          <w:szCs w:val="18"/>
        </w:rPr>
        <w:t>itibaren yayınlanan verilerle yapılmaktadır.</w:t>
      </w:r>
    </w:p>
  </w:footnote>
  <w:footnote w:id="6">
    <w:p w:rsidR="007D62D4" w:rsidRPr="007D62D4" w:rsidRDefault="007D62D4" w:rsidP="00DA2AB5">
      <w:pPr>
        <w:pStyle w:val="FootnoteText"/>
        <w:jc w:val="both"/>
        <w:rPr>
          <w:sz w:val="18"/>
          <w:szCs w:val="18"/>
        </w:rPr>
      </w:pPr>
      <w:r>
        <w:rPr>
          <w:rStyle w:val="FootnoteReference"/>
        </w:rPr>
        <w:footnoteRef/>
      </w:r>
      <w:r w:rsidRPr="007D62D4">
        <w:rPr>
          <w:sz w:val="18"/>
          <w:szCs w:val="18"/>
        </w:rPr>
        <w:t>PISA 2012 veri seti</w:t>
      </w:r>
      <w:r w:rsidR="005E33EF">
        <w:rPr>
          <w:sz w:val="18"/>
          <w:szCs w:val="18"/>
        </w:rPr>
        <w:t>nde</w:t>
      </w:r>
      <w:r w:rsidRPr="007D62D4">
        <w:rPr>
          <w:sz w:val="18"/>
          <w:szCs w:val="18"/>
        </w:rPr>
        <w:t xml:space="preserve"> başarı dilimlerine göre</w:t>
      </w:r>
      <w:r>
        <w:rPr>
          <w:sz w:val="18"/>
          <w:szCs w:val="18"/>
        </w:rPr>
        <w:t xml:space="preserve"> dağılımı </w:t>
      </w:r>
      <w:r w:rsidR="00637776">
        <w:rPr>
          <w:sz w:val="18"/>
          <w:szCs w:val="18"/>
        </w:rPr>
        <w:t xml:space="preserve">tüm disiplinler için </w:t>
      </w:r>
      <w:r w:rsidR="002C0EE0">
        <w:rPr>
          <w:sz w:val="18"/>
          <w:szCs w:val="18"/>
        </w:rPr>
        <w:t>ayrı ayrı rapor</w:t>
      </w:r>
      <w:r w:rsidR="005E33EF">
        <w:rPr>
          <w:sz w:val="18"/>
          <w:szCs w:val="18"/>
        </w:rPr>
        <w:t xml:space="preserve"> edilmektedir. </w:t>
      </w:r>
      <w:r w:rsidR="000D6B7E">
        <w:rPr>
          <w:sz w:val="18"/>
          <w:szCs w:val="18"/>
        </w:rPr>
        <w:t>Y</w:t>
      </w:r>
      <w:r w:rsidR="002C0EE0">
        <w:rPr>
          <w:sz w:val="18"/>
          <w:szCs w:val="18"/>
        </w:rPr>
        <w:t xml:space="preserve">üzdelik oranlar </w:t>
      </w:r>
      <w:r w:rsidR="005E33EF">
        <w:rPr>
          <w:sz w:val="18"/>
          <w:szCs w:val="18"/>
        </w:rPr>
        <w:t xml:space="preserve">tüm </w:t>
      </w:r>
      <w:r w:rsidR="002C0EE0">
        <w:rPr>
          <w:sz w:val="18"/>
          <w:szCs w:val="18"/>
        </w:rPr>
        <w:t>alan</w:t>
      </w:r>
      <w:r w:rsidR="005E33EF">
        <w:rPr>
          <w:sz w:val="18"/>
          <w:szCs w:val="18"/>
        </w:rPr>
        <w:t>lar</w:t>
      </w:r>
      <w:r w:rsidR="002C0EE0">
        <w:rPr>
          <w:sz w:val="18"/>
          <w:szCs w:val="18"/>
        </w:rPr>
        <w:t xml:space="preserve">ın oranlarının </w:t>
      </w:r>
      <w:r w:rsidR="00637776">
        <w:rPr>
          <w:sz w:val="18"/>
          <w:szCs w:val="18"/>
        </w:rPr>
        <w:t>aritmetik ortalaması alınarak hesaplanmıştır.</w:t>
      </w:r>
    </w:p>
  </w:footnote>
  <w:footnote w:id="7">
    <w:p w:rsidR="00AD163D" w:rsidRPr="00FC22B4" w:rsidRDefault="00AD163D" w:rsidP="00AD163D">
      <w:pPr>
        <w:pStyle w:val="FootnoteText"/>
        <w:jc w:val="both"/>
        <w:rPr>
          <w:sz w:val="18"/>
          <w:szCs w:val="18"/>
        </w:rPr>
      </w:pPr>
      <w:r>
        <w:rPr>
          <w:rStyle w:val="FootnoteReference"/>
        </w:rPr>
        <w:footnoteRef/>
      </w:r>
      <w:r w:rsidRPr="00FC22B4">
        <w:rPr>
          <w:sz w:val="18"/>
          <w:szCs w:val="18"/>
        </w:rPr>
        <w:t>Sosyoekonomik statü PISA ekonomik, sosyal ve kültürel endeksine (ESCS) göre tanımlanmıştır.</w:t>
      </w:r>
      <w:r>
        <w:rPr>
          <w:sz w:val="18"/>
          <w:szCs w:val="18"/>
        </w:rPr>
        <w:t xml:space="preserve"> PISA veri setinde geliri doğrudan ölçen bir değişken olmadığı için sosyoekonomik statü ölçütü olarak ESCS endeksi aile ve ev koşullarıyla ilgili mevcut değişkenler kullanılarak hesaplanmaktadır. ESCS endeksinin bileşenleri anne veya babanın eğitim seviyesi (hangisi yüksekse), anne veya babanın mesleği (hangisi yüksekse) ve evde çocuğun başarısını etkileyebilecek ayrı oda, bilgisayar gibi </w:t>
      </w:r>
      <w:r w:rsidR="007276E5">
        <w:rPr>
          <w:sz w:val="18"/>
          <w:szCs w:val="18"/>
        </w:rPr>
        <w:t xml:space="preserve">çeşitli </w:t>
      </w:r>
      <w:r>
        <w:rPr>
          <w:sz w:val="18"/>
          <w:szCs w:val="18"/>
        </w:rPr>
        <w:t xml:space="preserve">donanımların varlığıdır. </w:t>
      </w:r>
    </w:p>
  </w:footnote>
  <w:footnote w:id="8">
    <w:p w:rsidR="0002665E" w:rsidRPr="009F3C45" w:rsidRDefault="0002665E" w:rsidP="0002665E">
      <w:pPr>
        <w:pStyle w:val="FootnoteText"/>
        <w:jc w:val="both"/>
        <w:rPr>
          <w:sz w:val="18"/>
          <w:szCs w:val="18"/>
        </w:rPr>
      </w:pPr>
      <w:r>
        <w:rPr>
          <w:rStyle w:val="FootnoteReference"/>
        </w:rPr>
        <w:footnoteRef/>
      </w:r>
      <w:r w:rsidRPr="009F3C45">
        <w:rPr>
          <w:sz w:val="18"/>
          <w:szCs w:val="18"/>
        </w:rPr>
        <w:t xml:space="preserve">Dünya Bankası'nın "PISA 2012 Başarı Hikayesi: Türkiye'nin Eğitim Sisteminde Kalite ve Eşitlik Bakımından Yaşanan İyileşmeler" başlıklı </w:t>
      </w:r>
      <w:r>
        <w:rPr>
          <w:sz w:val="18"/>
          <w:szCs w:val="18"/>
        </w:rPr>
        <w:t>araştırma yazısı</w:t>
      </w:r>
      <w:r w:rsidRPr="009F3C45">
        <w:rPr>
          <w:sz w:val="18"/>
          <w:szCs w:val="18"/>
        </w:rPr>
        <w:t>ndan alınmıştır. (</w:t>
      </w:r>
      <w:hyperlink r:id="rId2" w:history="1">
        <w:r w:rsidRPr="009F3C45">
          <w:rPr>
            <w:rStyle w:val="Hyperlink"/>
            <w:sz w:val="18"/>
            <w:szCs w:val="18"/>
          </w:rPr>
          <w:t>http://blogs.worldbank.org/futuredevelopment/tr/pisa-2012-ba-ar-hikayesi-t-rkiye-nin-e-itim-sisteminde-kalite-ve-e-itlik-bak-m-ndan-ya-anan-yile</w:t>
        </w:r>
      </w:hyperlink>
      <w:r w:rsidRPr="009F3C45">
        <w:rPr>
          <w:sz w:val="18"/>
          <w:szCs w:val="18"/>
        </w:rPr>
        <w:t xml:space="preserve"> )</w:t>
      </w:r>
    </w:p>
  </w:footnote>
  <w:footnote w:id="9">
    <w:p w:rsidR="00706A3E" w:rsidRPr="008A539A" w:rsidRDefault="00706A3E" w:rsidP="00C47566">
      <w:pPr>
        <w:pStyle w:val="FootnoteText"/>
        <w:jc w:val="both"/>
        <w:rPr>
          <w:sz w:val="18"/>
          <w:szCs w:val="18"/>
        </w:rPr>
      </w:pPr>
      <w:r w:rsidRPr="00DA2AB5">
        <w:rPr>
          <w:rStyle w:val="FootnoteReference"/>
          <w:sz w:val="18"/>
          <w:szCs w:val="18"/>
        </w:rPr>
        <w:footnoteRef/>
      </w:r>
      <w:r>
        <w:rPr>
          <w:sz w:val="18"/>
          <w:szCs w:val="18"/>
        </w:rPr>
        <w:t xml:space="preserve"> </w:t>
      </w:r>
      <w:r w:rsidRPr="00DA2AB5">
        <w:rPr>
          <w:sz w:val="18"/>
          <w:szCs w:val="18"/>
        </w:rPr>
        <w:t>OECD nüfusu 3 binden az olan yerleşim yerlerini köy, nüfusu 3 bin ile 15 bin arasında olanları küçük kasaba, 15 bin ile 100 bin arasında olanları kasaba, 100 bin ve 1 milyon olanları</w:t>
      </w:r>
      <w:r w:rsidRPr="008A539A">
        <w:rPr>
          <w:sz w:val="18"/>
          <w:szCs w:val="18"/>
        </w:rPr>
        <w:t xml:space="preserve"> şehir ve nüfusu 1 milyondan fazla olan yerleşim yerlerini büyük şehir olarak tanımlamaktadır. </w:t>
      </w:r>
    </w:p>
  </w:footnote>
  <w:footnote w:id="10">
    <w:p w:rsidR="00706A3E" w:rsidRPr="00DA2AB5" w:rsidRDefault="00706A3E" w:rsidP="00C47566">
      <w:pPr>
        <w:pStyle w:val="FootnoteText"/>
        <w:jc w:val="both"/>
      </w:pPr>
      <w:r w:rsidRPr="008A539A">
        <w:rPr>
          <w:rStyle w:val="FootnoteReference"/>
          <w:sz w:val="18"/>
          <w:szCs w:val="18"/>
        </w:rPr>
        <w:footnoteRef/>
      </w:r>
      <w:r>
        <w:rPr>
          <w:sz w:val="18"/>
          <w:szCs w:val="18"/>
        </w:rPr>
        <w:t xml:space="preserve"> </w:t>
      </w:r>
      <w:r w:rsidRPr="008A539A">
        <w:rPr>
          <w:sz w:val="18"/>
          <w:szCs w:val="18"/>
        </w:rPr>
        <w:t xml:space="preserve">2003 ve 2006 yılları için köy okullarındaki </w:t>
      </w:r>
      <w:r w:rsidRPr="00DA2AB5">
        <w:rPr>
          <w:sz w:val="18"/>
          <w:szCs w:val="18"/>
        </w:rPr>
        <w:t>öğrenciler için yeterli gözlem olmadığı için veri bulunmamaktadır. Bu nedenle sadece</w:t>
      </w:r>
      <w:r w:rsidR="008D3D1F">
        <w:rPr>
          <w:sz w:val="18"/>
          <w:szCs w:val="18"/>
        </w:rPr>
        <w:t xml:space="preserve"> yerleşim birimlerine göre</w:t>
      </w:r>
      <w:r w:rsidRPr="00DA2AB5">
        <w:rPr>
          <w:sz w:val="18"/>
          <w:szCs w:val="18"/>
        </w:rPr>
        <w:t xml:space="preserve"> 2009 ve 2012 PISA sonuçları değerlendirilmiştir</w:t>
      </w:r>
      <w:r w:rsidRPr="00DA2AB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7B" w:rsidRDefault="00E72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7B" w:rsidRDefault="00E722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7B" w:rsidRDefault="00E722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hdrShapeDefaults>
    <o:shapedefaults v:ext="edit" spidmax="17410"/>
  </w:hdrShapeDefaults>
  <w:footnotePr>
    <w:footnote w:id="0"/>
    <w:footnote w:id="1"/>
  </w:footnotePr>
  <w:endnotePr>
    <w:endnote w:id="0"/>
    <w:endnote w:id="1"/>
  </w:endnotePr>
  <w:compat>
    <w:useFELayout/>
  </w:compat>
  <w:rsids>
    <w:rsidRoot w:val="00B56953"/>
    <w:rsid w:val="0000345B"/>
    <w:rsid w:val="000054F5"/>
    <w:rsid w:val="00006393"/>
    <w:rsid w:val="000076E7"/>
    <w:rsid w:val="0002388E"/>
    <w:rsid w:val="0002665E"/>
    <w:rsid w:val="00033F71"/>
    <w:rsid w:val="0004048B"/>
    <w:rsid w:val="0005188E"/>
    <w:rsid w:val="000603F8"/>
    <w:rsid w:val="000624C4"/>
    <w:rsid w:val="00087556"/>
    <w:rsid w:val="000A0BA2"/>
    <w:rsid w:val="000A2163"/>
    <w:rsid w:val="000A329A"/>
    <w:rsid w:val="000B04AF"/>
    <w:rsid w:val="000B5B31"/>
    <w:rsid w:val="000B6057"/>
    <w:rsid w:val="000C4812"/>
    <w:rsid w:val="000C6ACA"/>
    <w:rsid w:val="000C7B7E"/>
    <w:rsid w:val="000D2E6A"/>
    <w:rsid w:val="000D6B7E"/>
    <w:rsid w:val="000E0D46"/>
    <w:rsid w:val="000E3113"/>
    <w:rsid w:val="000E36FC"/>
    <w:rsid w:val="000F057E"/>
    <w:rsid w:val="000F1DA7"/>
    <w:rsid w:val="000F2BF7"/>
    <w:rsid w:val="000F487B"/>
    <w:rsid w:val="00105E01"/>
    <w:rsid w:val="00114535"/>
    <w:rsid w:val="001260E2"/>
    <w:rsid w:val="00134F3B"/>
    <w:rsid w:val="00137B61"/>
    <w:rsid w:val="00140840"/>
    <w:rsid w:val="00143AFC"/>
    <w:rsid w:val="00146357"/>
    <w:rsid w:val="0015592F"/>
    <w:rsid w:val="00157D4E"/>
    <w:rsid w:val="00167AB9"/>
    <w:rsid w:val="00176364"/>
    <w:rsid w:val="00177E25"/>
    <w:rsid w:val="00182527"/>
    <w:rsid w:val="00186488"/>
    <w:rsid w:val="001A2C10"/>
    <w:rsid w:val="001A374E"/>
    <w:rsid w:val="001C07FE"/>
    <w:rsid w:val="001C7835"/>
    <w:rsid w:val="001D1454"/>
    <w:rsid w:val="001D70AF"/>
    <w:rsid w:val="001E1A26"/>
    <w:rsid w:val="001E69E1"/>
    <w:rsid w:val="001F04ED"/>
    <w:rsid w:val="001F126C"/>
    <w:rsid w:val="001F7BEF"/>
    <w:rsid w:val="001F7F6C"/>
    <w:rsid w:val="002069FF"/>
    <w:rsid w:val="0024617B"/>
    <w:rsid w:val="002470F9"/>
    <w:rsid w:val="00270124"/>
    <w:rsid w:val="00270EA1"/>
    <w:rsid w:val="00272E8E"/>
    <w:rsid w:val="002806D0"/>
    <w:rsid w:val="0029427B"/>
    <w:rsid w:val="002A2AAE"/>
    <w:rsid w:val="002A5343"/>
    <w:rsid w:val="002A5D12"/>
    <w:rsid w:val="002B1976"/>
    <w:rsid w:val="002B2888"/>
    <w:rsid w:val="002B48B3"/>
    <w:rsid w:val="002C0EE0"/>
    <w:rsid w:val="002C4359"/>
    <w:rsid w:val="002D4BB4"/>
    <w:rsid w:val="002F6D6B"/>
    <w:rsid w:val="00305920"/>
    <w:rsid w:val="00310348"/>
    <w:rsid w:val="003112D0"/>
    <w:rsid w:val="00314F39"/>
    <w:rsid w:val="00323505"/>
    <w:rsid w:val="0032731E"/>
    <w:rsid w:val="003355D9"/>
    <w:rsid w:val="00344D1C"/>
    <w:rsid w:val="00367C9D"/>
    <w:rsid w:val="00370340"/>
    <w:rsid w:val="00370BBA"/>
    <w:rsid w:val="00370D61"/>
    <w:rsid w:val="00383AEE"/>
    <w:rsid w:val="0038681D"/>
    <w:rsid w:val="0039523A"/>
    <w:rsid w:val="003A21D8"/>
    <w:rsid w:val="003A42EF"/>
    <w:rsid w:val="003A7584"/>
    <w:rsid w:val="003B13EB"/>
    <w:rsid w:val="003B169E"/>
    <w:rsid w:val="003B5EE1"/>
    <w:rsid w:val="003C6FE7"/>
    <w:rsid w:val="003E6615"/>
    <w:rsid w:val="003F0D40"/>
    <w:rsid w:val="003F0F9E"/>
    <w:rsid w:val="003F56F3"/>
    <w:rsid w:val="00413A36"/>
    <w:rsid w:val="0042330A"/>
    <w:rsid w:val="0043704C"/>
    <w:rsid w:val="0044285E"/>
    <w:rsid w:val="00444B33"/>
    <w:rsid w:val="0044591A"/>
    <w:rsid w:val="00447F40"/>
    <w:rsid w:val="00451DBB"/>
    <w:rsid w:val="00462748"/>
    <w:rsid w:val="00471ED5"/>
    <w:rsid w:val="004813DF"/>
    <w:rsid w:val="00491955"/>
    <w:rsid w:val="00492676"/>
    <w:rsid w:val="004A2312"/>
    <w:rsid w:val="004A2E31"/>
    <w:rsid w:val="004B2497"/>
    <w:rsid w:val="004B74AC"/>
    <w:rsid w:val="004C04A7"/>
    <w:rsid w:val="004C317D"/>
    <w:rsid w:val="004C6097"/>
    <w:rsid w:val="004D7684"/>
    <w:rsid w:val="004F0463"/>
    <w:rsid w:val="004F5B4B"/>
    <w:rsid w:val="005202FA"/>
    <w:rsid w:val="00537D81"/>
    <w:rsid w:val="00552866"/>
    <w:rsid w:val="00552F4C"/>
    <w:rsid w:val="00556DAC"/>
    <w:rsid w:val="00560836"/>
    <w:rsid w:val="0056561D"/>
    <w:rsid w:val="00581AEB"/>
    <w:rsid w:val="005A3EA2"/>
    <w:rsid w:val="005A449D"/>
    <w:rsid w:val="005C203C"/>
    <w:rsid w:val="005C2F02"/>
    <w:rsid w:val="005D53BB"/>
    <w:rsid w:val="005E0B0D"/>
    <w:rsid w:val="005E1393"/>
    <w:rsid w:val="005E33EF"/>
    <w:rsid w:val="005F2619"/>
    <w:rsid w:val="006152E0"/>
    <w:rsid w:val="00615AFE"/>
    <w:rsid w:val="00617811"/>
    <w:rsid w:val="00620CF0"/>
    <w:rsid w:val="00623337"/>
    <w:rsid w:val="00626139"/>
    <w:rsid w:val="00634CB5"/>
    <w:rsid w:val="00637776"/>
    <w:rsid w:val="00642C5D"/>
    <w:rsid w:val="00666174"/>
    <w:rsid w:val="00681CFF"/>
    <w:rsid w:val="00686888"/>
    <w:rsid w:val="00691872"/>
    <w:rsid w:val="00691E0E"/>
    <w:rsid w:val="006931CB"/>
    <w:rsid w:val="0069631E"/>
    <w:rsid w:val="006A0B62"/>
    <w:rsid w:val="006A1C5B"/>
    <w:rsid w:val="006A4F7C"/>
    <w:rsid w:val="006D0D18"/>
    <w:rsid w:val="006D3AA2"/>
    <w:rsid w:val="006E083A"/>
    <w:rsid w:val="006E4A94"/>
    <w:rsid w:val="00700F06"/>
    <w:rsid w:val="00701B29"/>
    <w:rsid w:val="00706A3E"/>
    <w:rsid w:val="007173C2"/>
    <w:rsid w:val="007276E5"/>
    <w:rsid w:val="007352F9"/>
    <w:rsid w:val="00740739"/>
    <w:rsid w:val="0075168F"/>
    <w:rsid w:val="0076022E"/>
    <w:rsid w:val="007664DD"/>
    <w:rsid w:val="00772E88"/>
    <w:rsid w:val="00775DD3"/>
    <w:rsid w:val="007815F2"/>
    <w:rsid w:val="00791B7E"/>
    <w:rsid w:val="0079345A"/>
    <w:rsid w:val="007D62D4"/>
    <w:rsid w:val="007E1A53"/>
    <w:rsid w:val="007E3C34"/>
    <w:rsid w:val="007F1685"/>
    <w:rsid w:val="007F50FA"/>
    <w:rsid w:val="00802E8C"/>
    <w:rsid w:val="00803893"/>
    <w:rsid w:val="0080403C"/>
    <w:rsid w:val="00815533"/>
    <w:rsid w:val="00816109"/>
    <w:rsid w:val="008226D1"/>
    <w:rsid w:val="00845011"/>
    <w:rsid w:val="008578EE"/>
    <w:rsid w:val="00857C1B"/>
    <w:rsid w:val="0086504D"/>
    <w:rsid w:val="008656FF"/>
    <w:rsid w:val="008669CC"/>
    <w:rsid w:val="008721D0"/>
    <w:rsid w:val="008723D3"/>
    <w:rsid w:val="00872D73"/>
    <w:rsid w:val="0088077D"/>
    <w:rsid w:val="00884372"/>
    <w:rsid w:val="008939B5"/>
    <w:rsid w:val="00895C45"/>
    <w:rsid w:val="008A10DB"/>
    <w:rsid w:val="008A3944"/>
    <w:rsid w:val="008A52D7"/>
    <w:rsid w:val="008A539A"/>
    <w:rsid w:val="008A7A4E"/>
    <w:rsid w:val="008C299B"/>
    <w:rsid w:val="008D3D1F"/>
    <w:rsid w:val="008E3D6F"/>
    <w:rsid w:val="008E4F53"/>
    <w:rsid w:val="008F03B0"/>
    <w:rsid w:val="009126C4"/>
    <w:rsid w:val="009228C3"/>
    <w:rsid w:val="00923844"/>
    <w:rsid w:val="00927D80"/>
    <w:rsid w:val="009332FD"/>
    <w:rsid w:val="009365E4"/>
    <w:rsid w:val="00936B3A"/>
    <w:rsid w:val="00945F14"/>
    <w:rsid w:val="0096375B"/>
    <w:rsid w:val="00974B1C"/>
    <w:rsid w:val="00975DE1"/>
    <w:rsid w:val="00977EB9"/>
    <w:rsid w:val="0098153F"/>
    <w:rsid w:val="0098409A"/>
    <w:rsid w:val="00984A79"/>
    <w:rsid w:val="009926F1"/>
    <w:rsid w:val="0099695D"/>
    <w:rsid w:val="009A1647"/>
    <w:rsid w:val="009B58C2"/>
    <w:rsid w:val="009B6148"/>
    <w:rsid w:val="009B714D"/>
    <w:rsid w:val="009C1827"/>
    <w:rsid w:val="009C338B"/>
    <w:rsid w:val="009D4069"/>
    <w:rsid w:val="009D4D2C"/>
    <w:rsid w:val="009E1E8B"/>
    <w:rsid w:val="009F0E90"/>
    <w:rsid w:val="009F3C45"/>
    <w:rsid w:val="00A02F84"/>
    <w:rsid w:val="00A1286E"/>
    <w:rsid w:val="00A22DBB"/>
    <w:rsid w:val="00A2507E"/>
    <w:rsid w:val="00A26499"/>
    <w:rsid w:val="00A4081F"/>
    <w:rsid w:val="00A4288C"/>
    <w:rsid w:val="00A44361"/>
    <w:rsid w:val="00A55A2D"/>
    <w:rsid w:val="00A57232"/>
    <w:rsid w:val="00A63C5F"/>
    <w:rsid w:val="00A64760"/>
    <w:rsid w:val="00A67604"/>
    <w:rsid w:val="00A74BC0"/>
    <w:rsid w:val="00A9143A"/>
    <w:rsid w:val="00AA04C0"/>
    <w:rsid w:val="00AA2086"/>
    <w:rsid w:val="00AC29F7"/>
    <w:rsid w:val="00AC4B44"/>
    <w:rsid w:val="00AC5419"/>
    <w:rsid w:val="00AC76FF"/>
    <w:rsid w:val="00AD163D"/>
    <w:rsid w:val="00AD21F1"/>
    <w:rsid w:val="00AE11BA"/>
    <w:rsid w:val="00AE608B"/>
    <w:rsid w:val="00AF5E11"/>
    <w:rsid w:val="00AF71D7"/>
    <w:rsid w:val="00B0336E"/>
    <w:rsid w:val="00B12E91"/>
    <w:rsid w:val="00B2162F"/>
    <w:rsid w:val="00B240EE"/>
    <w:rsid w:val="00B2527E"/>
    <w:rsid w:val="00B41177"/>
    <w:rsid w:val="00B418F4"/>
    <w:rsid w:val="00B47EFD"/>
    <w:rsid w:val="00B50465"/>
    <w:rsid w:val="00B55E87"/>
    <w:rsid w:val="00B56953"/>
    <w:rsid w:val="00B71DE4"/>
    <w:rsid w:val="00B724A6"/>
    <w:rsid w:val="00B94B93"/>
    <w:rsid w:val="00B95D14"/>
    <w:rsid w:val="00B967BB"/>
    <w:rsid w:val="00BA3528"/>
    <w:rsid w:val="00BB0A68"/>
    <w:rsid w:val="00BC5501"/>
    <w:rsid w:val="00BC646F"/>
    <w:rsid w:val="00BE0099"/>
    <w:rsid w:val="00BF7582"/>
    <w:rsid w:val="00BF7DA2"/>
    <w:rsid w:val="00C03D3C"/>
    <w:rsid w:val="00C1051F"/>
    <w:rsid w:val="00C1261A"/>
    <w:rsid w:val="00C22B63"/>
    <w:rsid w:val="00C26FAF"/>
    <w:rsid w:val="00C36D75"/>
    <w:rsid w:val="00C4116C"/>
    <w:rsid w:val="00C45CEC"/>
    <w:rsid w:val="00C47566"/>
    <w:rsid w:val="00C56D03"/>
    <w:rsid w:val="00C57CB3"/>
    <w:rsid w:val="00C6563F"/>
    <w:rsid w:val="00C7538C"/>
    <w:rsid w:val="00C842C4"/>
    <w:rsid w:val="00CA17F9"/>
    <w:rsid w:val="00CA37BF"/>
    <w:rsid w:val="00CB4428"/>
    <w:rsid w:val="00CB4CD6"/>
    <w:rsid w:val="00CB6C2B"/>
    <w:rsid w:val="00CC07E2"/>
    <w:rsid w:val="00CC485E"/>
    <w:rsid w:val="00CD535B"/>
    <w:rsid w:val="00CE069E"/>
    <w:rsid w:val="00CE1247"/>
    <w:rsid w:val="00CE7404"/>
    <w:rsid w:val="00D015A9"/>
    <w:rsid w:val="00D024FC"/>
    <w:rsid w:val="00D03BAA"/>
    <w:rsid w:val="00D13BA2"/>
    <w:rsid w:val="00D153D7"/>
    <w:rsid w:val="00D17A9F"/>
    <w:rsid w:val="00D22B1F"/>
    <w:rsid w:val="00D309D2"/>
    <w:rsid w:val="00D322E7"/>
    <w:rsid w:val="00D333A4"/>
    <w:rsid w:val="00D613FA"/>
    <w:rsid w:val="00D63A60"/>
    <w:rsid w:val="00D64A35"/>
    <w:rsid w:val="00D65845"/>
    <w:rsid w:val="00D744AC"/>
    <w:rsid w:val="00D7491E"/>
    <w:rsid w:val="00D81C15"/>
    <w:rsid w:val="00D82882"/>
    <w:rsid w:val="00D91EC6"/>
    <w:rsid w:val="00D9739F"/>
    <w:rsid w:val="00DA2AB5"/>
    <w:rsid w:val="00DA5E98"/>
    <w:rsid w:val="00DA60D9"/>
    <w:rsid w:val="00DB052B"/>
    <w:rsid w:val="00DB1080"/>
    <w:rsid w:val="00DB19C2"/>
    <w:rsid w:val="00DB6E98"/>
    <w:rsid w:val="00DB7188"/>
    <w:rsid w:val="00DB7C3D"/>
    <w:rsid w:val="00DD0B21"/>
    <w:rsid w:val="00DE195A"/>
    <w:rsid w:val="00DE2E3A"/>
    <w:rsid w:val="00DE6939"/>
    <w:rsid w:val="00DE7379"/>
    <w:rsid w:val="00DF12FE"/>
    <w:rsid w:val="00DF1D1F"/>
    <w:rsid w:val="00E0082B"/>
    <w:rsid w:val="00E0281A"/>
    <w:rsid w:val="00E10FB2"/>
    <w:rsid w:val="00E22096"/>
    <w:rsid w:val="00E26907"/>
    <w:rsid w:val="00E41D79"/>
    <w:rsid w:val="00E42DC7"/>
    <w:rsid w:val="00E44AF5"/>
    <w:rsid w:val="00E7079A"/>
    <w:rsid w:val="00E7227B"/>
    <w:rsid w:val="00E81A59"/>
    <w:rsid w:val="00E905F4"/>
    <w:rsid w:val="00E93066"/>
    <w:rsid w:val="00EA61F0"/>
    <w:rsid w:val="00EA7439"/>
    <w:rsid w:val="00EC20A3"/>
    <w:rsid w:val="00ED0CA7"/>
    <w:rsid w:val="00ED4F17"/>
    <w:rsid w:val="00ED59FF"/>
    <w:rsid w:val="00ED5AFC"/>
    <w:rsid w:val="00ED7BB6"/>
    <w:rsid w:val="00EE7537"/>
    <w:rsid w:val="00EF016C"/>
    <w:rsid w:val="00EF0CE7"/>
    <w:rsid w:val="00F2664D"/>
    <w:rsid w:val="00F379F8"/>
    <w:rsid w:val="00F406C5"/>
    <w:rsid w:val="00F63FCC"/>
    <w:rsid w:val="00F6417C"/>
    <w:rsid w:val="00F67EC0"/>
    <w:rsid w:val="00F714DC"/>
    <w:rsid w:val="00F72A11"/>
    <w:rsid w:val="00F7519E"/>
    <w:rsid w:val="00F84C01"/>
    <w:rsid w:val="00F91291"/>
    <w:rsid w:val="00F94233"/>
    <w:rsid w:val="00F97CCB"/>
    <w:rsid w:val="00FA23FC"/>
    <w:rsid w:val="00FA344F"/>
    <w:rsid w:val="00FA3B4B"/>
    <w:rsid w:val="00FA4C8A"/>
    <w:rsid w:val="00FB13A1"/>
    <w:rsid w:val="00FB2698"/>
    <w:rsid w:val="00FB6F63"/>
    <w:rsid w:val="00FC08F5"/>
    <w:rsid w:val="00FC22B4"/>
    <w:rsid w:val="00FC77E2"/>
    <w:rsid w:val="00FD3DCA"/>
    <w:rsid w:val="00FD54B7"/>
    <w:rsid w:val="00FD6921"/>
    <w:rsid w:val="00FE0758"/>
    <w:rsid w:val="00FF11F0"/>
    <w:rsid w:val="00FF1FF9"/>
    <w:rsid w:val="00FF2FCA"/>
    <w:rsid w:val="00FF64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B9"/>
  </w:style>
  <w:style w:type="paragraph" w:styleId="Heading1">
    <w:name w:val="heading 1"/>
    <w:basedOn w:val="Normal"/>
    <w:next w:val="Normal"/>
    <w:link w:val="Heading1Char"/>
    <w:qFormat/>
    <w:rsid w:val="00B56953"/>
    <w:pPr>
      <w:keepNext/>
      <w:tabs>
        <w:tab w:val="num" w:pos="432"/>
      </w:tabs>
      <w:suppressAutoHyphens/>
      <w:spacing w:after="0" w:line="240" w:lineRule="auto"/>
      <w:ind w:left="432" w:hanging="432"/>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qFormat/>
    <w:rsid w:val="00B56953"/>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qFormat/>
    <w:rsid w:val="00B56953"/>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953"/>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rsid w:val="00B56953"/>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rsid w:val="00B56953"/>
    <w:rPr>
      <w:rFonts w:ascii="Arial" w:eastAsia="Times New Roman" w:hAnsi="Arial" w:cs="Arial"/>
      <w:b/>
      <w:bCs/>
      <w:sz w:val="26"/>
      <w:szCs w:val="26"/>
      <w:lang w:val="en-GB" w:eastAsia="ar-SA"/>
    </w:rPr>
  </w:style>
  <w:style w:type="character" w:styleId="FootnoteReference">
    <w:name w:val="footnote reference"/>
    <w:uiPriority w:val="99"/>
    <w:semiHidden/>
    <w:rsid w:val="00B56953"/>
    <w:rPr>
      <w:vertAlign w:val="superscript"/>
    </w:rPr>
  </w:style>
  <w:style w:type="paragraph" w:styleId="FootnoteText">
    <w:name w:val="footnote text"/>
    <w:basedOn w:val="Normal"/>
    <w:link w:val="FootnoteTextChar"/>
    <w:uiPriority w:val="99"/>
    <w:semiHidden/>
    <w:rsid w:val="00B56953"/>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B56953"/>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D97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9F"/>
    <w:rPr>
      <w:rFonts w:ascii="Tahoma" w:hAnsi="Tahoma" w:cs="Tahoma"/>
      <w:sz w:val="16"/>
      <w:szCs w:val="16"/>
    </w:rPr>
  </w:style>
  <w:style w:type="paragraph" w:styleId="Caption">
    <w:name w:val="caption"/>
    <w:basedOn w:val="Normal"/>
    <w:next w:val="Normal"/>
    <w:uiPriority w:val="35"/>
    <w:unhideWhenUsed/>
    <w:qFormat/>
    <w:rsid w:val="00D9739F"/>
    <w:pPr>
      <w:spacing w:line="240" w:lineRule="auto"/>
    </w:pPr>
    <w:rPr>
      <w:b/>
      <w:bCs/>
      <w:color w:val="4F81BD" w:themeColor="accent1"/>
      <w:sz w:val="18"/>
      <w:szCs w:val="18"/>
    </w:rPr>
  </w:style>
  <w:style w:type="paragraph" w:styleId="NormalWeb">
    <w:name w:val="Normal (Web)"/>
    <w:basedOn w:val="Normal"/>
    <w:uiPriority w:val="99"/>
    <w:semiHidden/>
    <w:unhideWhenUsed/>
    <w:rsid w:val="00AA04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04C0"/>
    <w:rPr>
      <w:color w:val="0000FF"/>
      <w:u w:val="single"/>
    </w:rPr>
  </w:style>
  <w:style w:type="paragraph" w:styleId="Header">
    <w:name w:val="header"/>
    <w:basedOn w:val="Normal"/>
    <w:link w:val="HeaderChar"/>
    <w:uiPriority w:val="99"/>
    <w:semiHidden/>
    <w:unhideWhenUsed/>
    <w:rsid w:val="00E7227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7227B"/>
  </w:style>
  <w:style w:type="paragraph" w:styleId="Footer">
    <w:name w:val="footer"/>
    <w:basedOn w:val="Normal"/>
    <w:link w:val="FooterChar"/>
    <w:uiPriority w:val="99"/>
    <w:semiHidden/>
    <w:unhideWhenUsed/>
    <w:rsid w:val="00E7227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7227B"/>
  </w:style>
  <w:style w:type="character" w:styleId="CommentReference">
    <w:name w:val="annotation reference"/>
    <w:basedOn w:val="DefaultParagraphFont"/>
    <w:uiPriority w:val="99"/>
    <w:semiHidden/>
    <w:unhideWhenUsed/>
    <w:rsid w:val="00927D80"/>
    <w:rPr>
      <w:sz w:val="16"/>
      <w:szCs w:val="16"/>
    </w:rPr>
  </w:style>
  <w:style w:type="paragraph" w:styleId="CommentText">
    <w:name w:val="annotation text"/>
    <w:basedOn w:val="Normal"/>
    <w:link w:val="CommentTextChar"/>
    <w:uiPriority w:val="99"/>
    <w:semiHidden/>
    <w:unhideWhenUsed/>
    <w:rsid w:val="00927D80"/>
    <w:pPr>
      <w:spacing w:line="240" w:lineRule="auto"/>
    </w:pPr>
    <w:rPr>
      <w:sz w:val="20"/>
      <w:szCs w:val="20"/>
    </w:rPr>
  </w:style>
  <w:style w:type="character" w:customStyle="1" w:styleId="CommentTextChar">
    <w:name w:val="Comment Text Char"/>
    <w:basedOn w:val="DefaultParagraphFont"/>
    <w:link w:val="CommentText"/>
    <w:uiPriority w:val="99"/>
    <w:semiHidden/>
    <w:rsid w:val="00927D80"/>
    <w:rPr>
      <w:sz w:val="20"/>
      <w:szCs w:val="20"/>
    </w:rPr>
  </w:style>
  <w:style w:type="paragraph" w:styleId="CommentSubject">
    <w:name w:val="annotation subject"/>
    <w:basedOn w:val="CommentText"/>
    <w:next w:val="CommentText"/>
    <w:link w:val="CommentSubjectChar"/>
    <w:uiPriority w:val="99"/>
    <w:semiHidden/>
    <w:unhideWhenUsed/>
    <w:rsid w:val="00927D80"/>
    <w:rPr>
      <w:b/>
      <w:bCs/>
    </w:rPr>
  </w:style>
  <w:style w:type="character" w:customStyle="1" w:styleId="CommentSubjectChar">
    <w:name w:val="Comment Subject Char"/>
    <w:basedOn w:val="CommentTextChar"/>
    <w:link w:val="CommentSubject"/>
    <w:uiPriority w:val="99"/>
    <w:semiHidden/>
    <w:rsid w:val="00927D80"/>
    <w:rPr>
      <w:b/>
      <w:bCs/>
    </w:rPr>
  </w:style>
</w:styles>
</file>

<file path=word/webSettings.xml><?xml version="1.0" encoding="utf-8"?>
<w:webSettings xmlns:r="http://schemas.openxmlformats.org/officeDocument/2006/relationships" xmlns:w="http://schemas.openxmlformats.org/wordprocessingml/2006/main">
  <w:divs>
    <w:div w:id="18447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blogs.worldbank.org/futuredevelopment/tr/pisa-2012-ba-ar-hikayesi-t-rkiye-nin-e-itim-sisteminde-kalite-ve-e-itlik-bak-m-ndan-ya-anan-yile" TargetMode="External"/><Relationship Id="rId1" Type="http://schemas.openxmlformats.org/officeDocument/2006/relationships/hyperlink" Target="http://yegitek.meb.gov.tr/meb_iys_dosyalar/2013_12/13053601_pisa2012_ulusal_n_raporu.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e.durmaz\PISA\pisa%20workf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ne.durmaz\PISA\pisa%20workfi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ne.durmaz\PISA\pisa%20workfil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ne.durmaz\PISA\pisa%20workfil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ine.durmaz\Documents\PISA\pisa%20workfil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ne.durmaz\Documents\PISA\PISA-studyfil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ne.durmaz\PISA\pisa%20workfil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ne.durmaz\Desktop\PISA%20TEMIZ\pisa%20work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8"/>
  <c:chart>
    <c:autoTitleDeleted val="1"/>
    <c:plotArea>
      <c:layout/>
      <c:lineChart>
        <c:grouping val="standard"/>
        <c:ser>
          <c:idx val="0"/>
          <c:order val="0"/>
          <c:tx>
            <c:v>Okuma </c:v>
          </c:tx>
          <c:spPr>
            <a:ln>
              <a:solidFill>
                <a:schemeClr val="accent6">
                  <a:lumMod val="50000"/>
                </a:schemeClr>
              </a:solidFill>
            </a:ln>
          </c:spPr>
          <c:marker>
            <c:spPr>
              <a:solidFill>
                <a:schemeClr val="accent6">
                  <a:lumMod val="50000"/>
                </a:schemeClr>
              </a:solidFill>
            </c:spPr>
          </c:marker>
          <c:dLbls>
            <c:spPr>
              <a:noFill/>
              <a:ln>
                <a:noFill/>
              </a:ln>
              <a:effectLst/>
            </c:spPr>
            <c:txPr>
              <a:bodyPr/>
              <a:lstStyle/>
              <a:p>
                <a:pPr>
                  <a:defRPr lang="en-US"/>
                </a:pPr>
                <a:endParaRPr lang="tr-TR"/>
              </a:p>
            </c:txPr>
            <c:showVal val="1"/>
            <c:extLst>
              <c:ext xmlns:c15="http://schemas.microsoft.com/office/drawing/2012/chart" uri="{CE6537A1-D6FC-4f65-9D91-7224C49458BB}">
                <c15:showLeaderLines val="0"/>
              </c:ext>
            </c:extLst>
          </c:dLbls>
          <c:cat>
            <c:numRef>
              <c:f>'mean sex '!$A$4:$A$7</c:f>
              <c:numCache>
                <c:formatCode>0</c:formatCode>
                <c:ptCount val="4"/>
                <c:pt idx="0">
                  <c:v>2003</c:v>
                </c:pt>
                <c:pt idx="1">
                  <c:v>2006</c:v>
                </c:pt>
                <c:pt idx="2">
                  <c:v>2009</c:v>
                </c:pt>
                <c:pt idx="3">
                  <c:v>2012</c:v>
                </c:pt>
              </c:numCache>
            </c:numRef>
          </c:cat>
          <c:val>
            <c:numRef>
              <c:f>'mean sex '!$F$4:$F$7</c:f>
              <c:numCache>
                <c:formatCode>0</c:formatCode>
                <c:ptCount val="4"/>
                <c:pt idx="0">
                  <c:v>440.97098880115601</c:v>
                </c:pt>
                <c:pt idx="1">
                  <c:v>447.14113249126899</c:v>
                </c:pt>
                <c:pt idx="2">
                  <c:v>464.19437532196508</c:v>
                </c:pt>
                <c:pt idx="3">
                  <c:v>475</c:v>
                </c:pt>
              </c:numCache>
            </c:numRef>
          </c:val>
        </c:ser>
        <c:ser>
          <c:idx val="1"/>
          <c:order val="1"/>
          <c:tx>
            <c:v>Matematik</c:v>
          </c:tx>
          <c:dLbls>
            <c:spPr>
              <a:noFill/>
              <a:ln>
                <a:noFill/>
              </a:ln>
              <a:effectLst/>
            </c:spPr>
            <c:txPr>
              <a:bodyPr/>
              <a:lstStyle/>
              <a:p>
                <a:pPr>
                  <a:defRPr lang="en-US"/>
                </a:pPr>
                <a:endParaRPr lang="tr-TR"/>
              </a:p>
            </c:txPr>
            <c:showVal val="1"/>
            <c:extLst>
              <c:ext xmlns:c15="http://schemas.microsoft.com/office/drawing/2012/chart" uri="{CE6537A1-D6FC-4f65-9D91-7224C49458BB}">
                <c15:showLeaderLines val="0"/>
              </c:ext>
            </c:extLst>
          </c:dLbls>
          <c:cat>
            <c:numRef>
              <c:f>'mean sex '!$A$4:$A$7</c:f>
              <c:numCache>
                <c:formatCode>0</c:formatCode>
                <c:ptCount val="4"/>
                <c:pt idx="0">
                  <c:v>2003</c:v>
                </c:pt>
                <c:pt idx="1">
                  <c:v>2006</c:v>
                </c:pt>
                <c:pt idx="2">
                  <c:v>2009</c:v>
                </c:pt>
                <c:pt idx="3">
                  <c:v>2012</c:v>
                </c:pt>
              </c:numCache>
            </c:numRef>
          </c:cat>
          <c:val>
            <c:numRef>
              <c:f>'mean sex '!$G$4:$G$7</c:f>
              <c:numCache>
                <c:formatCode>0</c:formatCode>
                <c:ptCount val="4"/>
                <c:pt idx="0">
                  <c:v>423.41941009498993</c:v>
                </c:pt>
                <c:pt idx="1">
                  <c:v>423.94119032310101</c:v>
                </c:pt>
                <c:pt idx="2">
                  <c:v>445.45134005882193</c:v>
                </c:pt>
                <c:pt idx="3">
                  <c:v>448</c:v>
                </c:pt>
              </c:numCache>
            </c:numRef>
          </c:val>
        </c:ser>
        <c:ser>
          <c:idx val="2"/>
          <c:order val="2"/>
          <c:tx>
            <c:v>Fen Bilimleri</c:v>
          </c:tx>
          <c:dLbls>
            <c:spPr>
              <a:noFill/>
              <a:ln>
                <a:noFill/>
              </a:ln>
              <a:effectLst/>
            </c:spPr>
            <c:txPr>
              <a:bodyPr/>
              <a:lstStyle/>
              <a:p>
                <a:pPr>
                  <a:defRPr lang="en-US"/>
                </a:pPr>
                <a:endParaRPr lang="tr-TR"/>
              </a:p>
            </c:txPr>
            <c:showVal val="1"/>
            <c:extLst>
              <c:ext xmlns:c15="http://schemas.microsoft.com/office/drawing/2012/chart" uri="{CE6537A1-D6FC-4f65-9D91-7224C49458BB}">
                <c15:showLeaderLines val="0"/>
              </c:ext>
            </c:extLst>
          </c:dLbls>
          <c:cat>
            <c:numRef>
              <c:f>'mean sex '!$A$4:$A$7</c:f>
              <c:numCache>
                <c:formatCode>0</c:formatCode>
                <c:ptCount val="4"/>
                <c:pt idx="0">
                  <c:v>2003</c:v>
                </c:pt>
                <c:pt idx="1">
                  <c:v>2006</c:v>
                </c:pt>
                <c:pt idx="2">
                  <c:v>2009</c:v>
                </c:pt>
                <c:pt idx="3">
                  <c:v>2012</c:v>
                </c:pt>
              </c:numCache>
            </c:numRef>
          </c:cat>
          <c:val>
            <c:numRef>
              <c:f>'mean sex '!$H$4:$H$7</c:f>
              <c:numCache>
                <c:formatCode>0</c:formatCode>
                <c:ptCount val="4"/>
                <c:pt idx="1">
                  <c:v>424</c:v>
                </c:pt>
                <c:pt idx="2">
                  <c:v>454</c:v>
                </c:pt>
                <c:pt idx="3">
                  <c:v>463</c:v>
                </c:pt>
              </c:numCache>
            </c:numRef>
          </c:val>
        </c:ser>
        <c:dLbls>
          <c:showVal val="1"/>
        </c:dLbls>
        <c:marker val="1"/>
        <c:axId val="70364544"/>
        <c:axId val="62769792"/>
      </c:lineChart>
      <c:catAx>
        <c:axId val="70364544"/>
        <c:scaling>
          <c:orientation val="minMax"/>
        </c:scaling>
        <c:axPos val="b"/>
        <c:numFmt formatCode="0" sourceLinked="1"/>
        <c:majorTickMark val="none"/>
        <c:tickLblPos val="nextTo"/>
        <c:txPr>
          <a:bodyPr/>
          <a:lstStyle/>
          <a:p>
            <a:pPr>
              <a:defRPr lang="en-US" sz="800"/>
            </a:pPr>
            <a:endParaRPr lang="tr-TR"/>
          </a:p>
        </c:txPr>
        <c:crossAx val="62769792"/>
        <c:crosses val="autoZero"/>
        <c:auto val="1"/>
        <c:lblAlgn val="ctr"/>
        <c:lblOffset val="100"/>
      </c:catAx>
      <c:valAx>
        <c:axId val="62769792"/>
        <c:scaling>
          <c:orientation val="minMax"/>
        </c:scaling>
        <c:delete val="1"/>
        <c:axPos val="l"/>
        <c:title>
          <c:tx>
            <c:rich>
              <a:bodyPr rot="-5400000" vert="horz"/>
              <a:lstStyle/>
              <a:p>
                <a:pPr>
                  <a:defRPr lang="en-US" sz="800"/>
                </a:pPr>
                <a:r>
                  <a:rPr lang="tr-TR" sz="800" b="0">
                    <a:latin typeface="+mn-lt"/>
                  </a:rPr>
                  <a:t>PISA</a:t>
                </a:r>
                <a:r>
                  <a:rPr lang="tr-TR" sz="800">
                    <a:latin typeface="+mn-lt"/>
                  </a:rPr>
                  <a:t> </a:t>
                </a:r>
                <a:r>
                  <a:rPr lang="tr-TR" sz="800" b="0">
                    <a:latin typeface="+mn-lt"/>
                    <a:cs typeface="Arial" pitchFamily="34" charset="0"/>
                  </a:rPr>
                  <a:t>puanları</a:t>
                </a:r>
              </a:p>
            </c:rich>
          </c:tx>
          <c:layout>
            <c:manualLayout>
              <c:xMode val="edge"/>
              <c:yMode val="edge"/>
              <c:x val="5.9850374064838202E-2"/>
              <c:y val="0.18112204724409448"/>
            </c:manualLayout>
          </c:layout>
        </c:title>
        <c:numFmt formatCode="0" sourceLinked="1"/>
        <c:majorTickMark val="none"/>
        <c:tickLblPos val="nextTo"/>
        <c:crossAx val="70364544"/>
        <c:crosses val="autoZero"/>
        <c:crossBetween val="between"/>
      </c:valAx>
    </c:plotArea>
    <c:legend>
      <c:legendPos val="t"/>
      <c:layout>
        <c:manualLayout>
          <c:xMode val="edge"/>
          <c:yMode val="edge"/>
          <c:x val="5.003865642172383E-2"/>
          <c:y val="4.3010752688172046E-2"/>
          <c:w val="0.8999207393693367"/>
          <c:h val="0.11110853078849028"/>
        </c:manualLayout>
      </c:layout>
      <c:txPr>
        <a:bodyPr/>
        <a:lstStyle/>
        <a:p>
          <a:pPr>
            <a:defRPr lang="en-US" sz="800" b="1"/>
          </a:pPr>
          <a:endParaRPr lang="tr-T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8"/>
  <c:chart>
    <c:autoTitleDeleted val="1"/>
    <c:plotArea>
      <c:layout/>
      <c:barChart>
        <c:barDir val="col"/>
        <c:grouping val="clustered"/>
        <c:ser>
          <c:idx val="0"/>
          <c:order val="0"/>
          <c:tx>
            <c:v>2003</c:v>
          </c:tx>
          <c:spPr>
            <a:solidFill>
              <a:schemeClr val="accent6">
                <a:lumMod val="50000"/>
              </a:schemeClr>
            </a:solidFill>
          </c:spPr>
          <c:dLbls>
            <c:spPr>
              <a:noFill/>
              <a:ln>
                <a:noFill/>
              </a:ln>
              <a:effectLst/>
            </c:spPr>
            <c:txPr>
              <a:bodyPr/>
              <a:lstStyle/>
              <a:p>
                <a:pPr>
                  <a:defRPr lang="en-US" sz="800"/>
                </a:pPr>
                <a:endParaRPr lang="tr-TR"/>
              </a:p>
            </c:txPr>
            <c:showVal val="1"/>
            <c:extLst>
              <c:ext xmlns:c15="http://schemas.microsoft.com/office/drawing/2012/chart" uri="{CE6537A1-D6FC-4f65-9D91-7224C49458BB}">
                <c15:showLeaderLines val="0"/>
              </c:ext>
            </c:extLst>
          </c:dLbls>
          <c:cat>
            <c:strRef>
              <c:f>'mean sex '!$J$3:$L$3</c:f>
              <c:strCache>
                <c:ptCount val="3"/>
                <c:pt idx="0">
                  <c:v>Okuma</c:v>
                </c:pt>
                <c:pt idx="1">
                  <c:v>Matematik</c:v>
                </c:pt>
                <c:pt idx="2">
                  <c:v>Fen Bilimleri</c:v>
                </c:pt>
              </c:strCache>
            </c:strRef>
          </c:cat>
          <c:val>
            <c:numRef>
              <c:f>'mean sex '!$J$4:$L$4</c:f>
              <c:numCache>
                <c:formatCode>0</c:formatCode>
                <c:ptCount val="3"/>
                <c:pt idx="0">
                  <c:v>52.790723957610965</c:v>
                </c:pt>
                <c:pt idx="1">
                  <c:v>76.2956327148556</c:v>
                </c:pt>
              </c:numCache>
            </c:numRef>
          </c:val>
        </c:ser>
        <c:ser>
          <c:idx val="1"/>
          <c:order val="1"/>
          <c:tx>
            <c:v>2006</c:v>
          </c:tx>
          <c:spPr>
            <a:ln>
              <a:solidFill>
                <a:schemeClr val="accent6">
                  <a:lumMod val="75000"/>
                </a:schemeClr>
              </a:solidFill>
            </a:ln>
          </c:spPr>
          <c:dLbls>
            <c:spPr>
              <a:noFill/>
              <a:ln>
                <a:noFill/>
              </a:ln>
              <a:effectLst/>
            </c:spPr>
            <c:txPr>
              <a:bodyPr/>
              <a:lstStyle/>
              <a:p>
                <a:pPr>
                  <a:defRPr lang="en-US" sz="800"/>
                </a:pPr>
                <a:endParaRPr lang="tr-TR"/>
              </a:p>
            </c:txPr>
            <c:showVal val="1"/>
            <c:extLst>
              <c:ext xmlns:c15="http://schemas.microsoft.com/office/drawing/2012/chart" uri="{CE6537A1-D6FC-4f65-9D91-7224C49458BB}">
                <c15:showLeaderLines val="0"/>
              </c:ext>
            </c:extLst>
          </c:dLbls>
          <c:cat>
            <c:strRef>
              <c:f>'mean sex '!$J$3:$L$3</c:f>
              <c:strCache>
                <c:ptCount val="3"/>
                <c:pt idx="0">
                  <c:v>Okuma</c:v>
                </c:pt>
                <c:pt idx="1">
                  <c:v>Matematik</c:v>
                </c:pt>
                <c:pt idx="2">
                  <c:v>Fen Bilimleri</c:v>
                </c:pt>
              </c:strCache>
            </c:strRef>
          </c:cat>
          <c:val>
            <c:numRef>
              <c:f>'mean sex '!$J$5:$L$5</c:f>
              <c:numCache>
                <c:formatCode>0</c:formatCode>
                <c:ptCount val="3"/>
                <c:pt idx="0">
                  <c:v>41.884902735765024</c:v>
                </c:pt>
                <c:pt idx="1">
                  <c:v>70.250444310920571</c:v>
                </c:pt>
                <c:pt idx="2">
                  <c:v>74</c:v>
                </c:pt>
              </c:numCache>
            </c:numRef>
          </c:val>
        </c:ser>
        <c:ser>
          <c:idx val="2"/>
          <c:order val="2"/>
          <c:tx>
            <c:v>2009</c:v>
          </c:tx>
          <c:dLbls>
            <c:spPr>
              <a:noFill/>
              <a:ln>
                <a:noFill/>
              </a:ln>
              <a:effectLst/>
            </c:spPr>
            <c:txPr>
              <a:bodyPr/>
              <a:lstStyle/>
              <a:p>
                <a:pPr>
                  <a:defRPr lang="en-US" sz="800"/>
                </a:pPr>
                <a:endParaRPr lang="tr-TR"/>
              </a:p>
            </c:txPr>
            <c:showVal val="1"/>
            <c:extLst>
              <c:ext xmlns:c15="http://schemas.microsoft.com/office/drawing/2012/chart" uri="{CE6537A1-D6FC-4f65-9D91-7224C49458BB}">
                <c15:showLeaderLines val="0"/>
              </c:ext>
            </c:extLst>
          </c:dLbls>
          <c:cat>
            <c:strRef>
              <c:f>'mean sex '!$J$3:$L$3</c:f>
              <c:strCache>
                <c:ptCount val="3"/>
                <c:pt idx="0">
                  <c:v>Okuma</c:v>
                </c:pt>
                <c:pt idx="1">
                  <c:v>Matematik</c:v>
                </c:pt>
                <c:pt idx="2">
                  <c:v>Fen Bilimleri</c:v>
                </c:pt>
              </c:strCache>
            </c:strRef>
          </c:cat>
          <c:val>
            <c:numRef>
              <c:f>'mean sex '!$J$6:$L$6</c:f>
              <c:numCache>
                <c:formatCode>0</c:formatCode>
                <c:ptCount val="3"/>
                <c:pt idx="0">
                  <c:v>29.250799402049889</c:v>
                </c:pt>
                <c:pt idx="1">
                  <c:v>50.259928025641997</c:v>
                </c:pt>
                <c:pt idx="2">
                  <c:v>47</c:v>
                </c:pt>
              </c:numCache>
            </c:numRef>
          </c:val>
        </c:ser>
        <c:ser>
          <c:idx val="3"/>
          <c:order val="3"/>
          <c:tx>
            <c:v>2012</c:v>
          </c:tx>
          <c:dLbls>
            <c:spPr>
              <a:noFill/>
              <a:ln>
                <a:noFill/>
              </a:ln>
              <a:effectLst/>
            </c:spPr>
            <c:txPr>
              <a:bodyPr/>
              <a:lstStyle/>
              <a:p>
                <a:pPr>
                  <a:defRPr lang="en-US" sz="800"/>
                </a:pPr>
                <a:endParaRPr lang="tr-TR"/>
              </a:p>
            </c:txPr>
            <c:showVal val="1"/>
            <c:extLst>
              <c:ext xmlns:c15="http://schemas.microsoft.com/office/drawing/2012/chart" uri="{CE6537A1-D6FC-4f65-9D91-7224C49458BB}">
                <c15:showLeaderLines val="0"/>
              </c:ext>
            </c:extLst>
          </c:dLbls>
          <c:cat>
            <c:strRef>
              <c:f>'mean sex '!$J$3:$L$3</c:f>
              <c:strCache>
                <c:ptCount val="3"/>
                <c:pt idx="0">
                  <c:v>Okuma</c:v>
                </c:pt>
                <c:pt idx="1">
                  <c:v>Matematik</c:v>
                </c:pt>
                <c:pt idx="2">
                  <c:v>Fen Bilimleri</c:v>
                </c:pt>
              </c:strCache>
            </c:strRef>
          </c:cat>
          <c:val>
            <c:numRef>
              <c:f>'mean sex '!$J$7:$L$7</c:f>
              <c:numCache>
                <c:formatCode>0</c:formatCode>
                <c:ptCount val="3"/>
                <c:pt idx="0">
                  <c:v>21</c:v>
                </c:pt>
                <c:pt idx="1">
                  <c:v>46</c:v>
                </c:pt>
                <c:pt idx="2">
                  <c:v>38</c:v>
                </c:pt>
              </c:numCache>
            </c:numRef>
          </c:val>
        </c:ser>
        <c:dLbls>
          <c:showVal val="1"/>
        </c:dLbls>
        <c:gapWidth val="75"/>
        <c:axId val="70600960"/>
        <c:axId val="70795264"/>
      </c:barChart>
      <c:catAx>
        <c:axId val="70600960"/>
        <c:scaling>
          <c:orientation val="minMax"/>
        </c:scaling>
        <c:axPos val="b"/>
        <c:numFmt formatCode="General" sourceLinked="1"/>
        <c:majorTickMark val="none"/>
        <c:tickLblPos val="nextTo"/>
        <c:txPr>
          <a:bodyPr/>
          <a:lstStyle/>
          <a:p>
            <a:pPr>
              <a:defRPr lang="en-US" sz="800"/>
            </a:pPr>
            <a:endParaRPr lang="tr-TR"/>
          </a:p>
        </c:txPr>
        <c:crossAx val="70795264"/>
        <c:crosses val="autoZero"/>
        <c:auto val="1"/>
        <c:lblAlgn val="ctr"/>
        <c:lblOffset val="100"/>
      </c:catAx>
      <c:valAx>
        <c:axId val="70795264"/>
        <c:scaling>
          <c:orientation val="minMax"/>
        </c:scaling>
        <c:delete val="1"/>
        <c:axPos val="l"/>
        <c:title>
          <c:tx>
            <c:rich>
              <a:bodyPr rot="-5400000" vert="horz"/>
              <a:lstStyle/>
              <a:p>
                <a:pPr>
                  <a:defRPr lang="en-US" sz="800"/>
                </a:pPr>
                <a:r>
                  <a:rPr lang="tr-TR" sz="800" b="0"/>
                  <a:t>PISA</a:t>
                </a:r>
                <a:r>
                  <a:rPr lang="tr-TR" sz="800" b="0" baseline="0"/>
                  <a:t> puanları</a:t>
                </a:r>
                <a:endParaRPr lang="tr-TR" sz="800" b="0"/>
              </a:p>
            </c:rich>
          </c:tx>
          <c:layout>
            <c:manualLayout>
              <c:xMode val="edge"/>
              <c:yMode val="edge"/>
              <c:x val="4.3010752688172046E-2"/>
              <c:y val="0.21020629430667057"/>
            </c:manualLayout>
          </c:layout>
        </c:title>
        <c:numFmt formatCode="0" sourceLinked="1"/>
        <c:majorTickMark val="none"/>
        <c:tickLblPos val="nextTo"/>
        <c:crossAx val="70600960"/>
        <c:crosses val="autoZero"/>
        <c:crossBetween val="between"/>
      </c:valAx>
    </c:plotArea>
    <c:legend>
      <c:legendPos val="b"/>
      <c:layout>
        <c:manualLayout>
          <c:xMode val="edge"/>
          <c:yMode val="edge"/>
          <c:x val="0.27600136939404379"/>
          <c:y val="0.8184374367524746"/>
          <c:w val="0.44799696735053146"/>
          <c:h val="9.5883248682042066E-2"/>
        </c:manualLayout>
      </c:layout>
      <c:txPr>
        <a:bodyPr/>
        <a:lstStyle/>
        <a:p>
          <a:pPr>
            <a:defRPr lang="en-US" sz="800" b="1"/>
          </a:pPr>
          <a:endParaRPr lang="tr-TR"/>
        </a:p>
      </c:txP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6.5016264858785255E-2"/>
          <c:y val="8.3477221597300338E-2"/>
          <c:w val="0.72417257217848319"/>
          <c:h val="0.89719889180519163"/>
        </c:manualLayout>
      </c:layout>
      <c:scatterChart>
        <c:scatterStyle val="lineMarker"/>
        <c:ser>
          <c:idx val="0"/>
          <c:order val="0"/>
          <c:spPr>
            <a:ln w="28575">
              <a:noFill/>
            </a:ln>
          </c:spPr>
          <c:marker>
            <c:spPr>
              <a:solidFill>
                <a:schemeClr val="accent6">
                  <a:lumMod val="50000"/>
                </a:schemeClr>
              </a:solidFill>
              <a:ln>
                <a:solidFill>
                  <a:schemeClr val="accent6">
                    <a:lumMod val="75000"/>
                  </a:schemeClr>
                </a:solidFill>
              </a:ln>
            </c:spPr>
          </c:marker>
          <c:dLbls>
            <c:dLbl>
              <c:idx val="0"/>
              <c:layout>
                <c:manualLayout>
                  <c:x val="5.1480051480051478E-3"/>
                  <c:y val="3.5714285714285712E-2"/>
                </c:manualLayout>
              </c:layout>
              <c:tx>
                <c:rich>
                  <a:bodyPr/>
                  <a:lstStyle/>
                  <a:p>
                    <a:r>
                      <a:rPr lang="en-US" sz="800"/>
                      <a:t>Avusturalya</a:t>
                    </a:r>
                  </a:p>
                </c:rich>
              </c:tx>
              <c:dLblPos val="ctr"/>
              <c:showVal val="1"/>
              <c:extLst>
                <c:ext xmlns:c15="http://schemas.microsoft.com/office/drawing/2012/chart" uri="{CE6537A1-D6FC-4f65-9D91-7224C49458BB}"/>
              </c:extLst>
            </c:dLbl>
            <c:dLbl>
              <c:idx val="1"/>
              <c:layout>
                <c:manualLayout>
                  <c:x val="2.3976023976024E-2"/>
                  <c:y val="8.8691796008870151E-3"/>
                </c:manualLayout>
              </c:layout>
              <c:tx>
                <c:rich>
                  <a:bodyPr/>
                  <a:lstStyle/>
                  <a:p>
                    <a:r>
                      <a:rPr lang="en-US" sz="800"/>
                      <a:t>Avusturya</a:t>
                    </a:r>
                  </a:p>
                </c:rich>
              </c:tx>
              <c:dLblPos val="ctr"/>
              <c:showVal val="1"/>
              <c:extLst>
                <c:ext xmlns:c15="http://schemas.microsoft.com/office/drawing/2012/chart" uri="{CE6537A1-D6FC-4f65-9D91-7224C49458BB}"/>
              </c:extLst>
            </c:dLbl>
            <c:dLbl>
              <c:idx val="2"/>
              <c:tx>
                <c:rich>
                  <a:bodyPr/>
                  <a:lstStyle/>
                  <a:p>
                    <a:r>
                      <a:rPr lang="en-US" sz="800"/>
                      <a:t>Belçika</a:t>
                    </a:r>
                  </a:p>
                </c:rich>
              </c:tx>
              <c:dLblPos val="ctr"/>
              <c:showVal val="1"/>
              <c:extLst>
                <c:ext xmlns:c15="http://schemas.microsoft.com/office/drawing/2012/chart" uri="{CE6537A1-D6FC-4f65-9D91-7224C49458BB}"/>
              </c:extLst>
            </c:dLbl>
            <c:dLbl>
              <c:idx val="3"/>
              <c:layout>
                <c:manualLayout>
                  <c:x val="4.0578345830777462E-2"/>
                  <c:y val="-1.0026836533073815E-4"/>
                </c:manualLayout>
              </c:layout>
              <c:tx>
                <c:rich>
                  <a:bodyPr/>
                  <a:lstStyle/>
                  <a:p>
                    <a:r>
                      <a:rPr lang="en-US" sz="800"/>
                      <a:t>Kanada</a:t>
                    </a:r>
                  </a:p>
                </c:rich>
              </c:tx>
              <c:dLblPos val="ctr"/>
              <c:showVal val="1"/>
              <c:extLst>
                <c:ext xmlns:c15="http://schemas.microsoft.com/office/drawing/2012/chart" uri="{CE6537A1-D6FC-4f65-9D91-7224C49458BB}"/>
              </c:extLst>
            </c:dLbl>
            <c:dLbl>
              <c:idx val="4"/>
              <c:layout>
                <c:manualLayout>
                  <c:x val="-3.0266829762190268E-2"/>
                  <c:y val="6.3241106719367345E-3"/>
                </c:manualLayout>
              </c:layout>
              <c:tx>
                <c:rich>
                  <a:bodyPr/>
                  <a:lstStyle/>
                  <a:p>
                    <a:r>
                      <a:rPr lang="en-US" sz="800"/>
                      <a:t>Şili</a:t>
                    </a:r>
                  </a:p>
                </c:rich>
              </c:tx>
              <c:dLblPos val="ctr"/>
              <c:showVal val="1"/>
              <c:extLst>
                <c:ext xmlns:c15="http://schemas.microsoft.com/office/drawing/2012/chart" uri="{CE6537A1-D6FC-4f65-9D91-7224C49458BB}"/>
              </c:extLst>
            </c:dLbl>
            <c:dLbl>
              <c:idx val="5"/>
              <c:layout>
                <c:manualLayout>
                  <c:x val="-5.9313245621722084E-2"/>
                  <c:y val="2.1213247220502128E-2"/>
                </c:manualLayout>
              </c:layout>
              <c:tx>
                <c:rich>
                  <a:bodyPr/>
                  <a:lstStyle/>
                  <a:p>
                    <a:r>
                      <a:rPr lang="en-US" sz="800"/>
                      <a:t>Çek</a:t>
                    </a:r>
                    <a:r>
                      <a:rPr lang="en-US" sz="800" baseline="0"/>
                      <a:t> Cumhuriyeti</a:t>
                    </a:r>
                    <a:endParaRPr lang="en-US" sz="800"/>
                  </a:p>
                </c:rich>
              </c:tx>
              <c:dLblPos val="ctr"/>
              <c:showVal val="1"/>
              <c:extLst>
                <c:ext xmlns:c15="http://schemas.microsoft.com/office/drawing/2012/chart" uri="{CE6537A1-D6FC-4f65-9D91-7224C49458BB}"/>
              </c:extLst>
            </c:dLbl>
            <c:dLbl>
              <c:idx val="6"/>
              <c:layout>
                <c:manualLayout>
                  <c:x val="3.3763212030928594E-2"/>
                  <c:y val="4.1357751629360916E-2"/>
                </c:manualLayout>
              </c:layout>
              <c:tx>
                <c:rich>
                  <a:bodyPr/>
                  <a:lstStyle/>
                  <a:p>
                    <a:r>
                      <a:rPr lang="en-US" sz="800"/>
                      <a:t>Danimarka</a:t>
                    </a:r>
                  </a:p>
                </c:rich>
              </c:tx>
              <c:dLblPos val="ctr"/>
              <c:showVal val="1"/>
              <c:extLst>
                <c:ext xmlns:c15="http://schemas.microsoft.com/office/drawing/2012/chart" uri="{CE6537A1-D6FC-4f65-9D91-7224C49458BB}"/>
              </c:extLst>
            </c:dLbl>
            <c:dLbl>
              <c:idx val="7"/>
              <c:layout>
                <c:manualLayout>
                  <c:x val="4.458597980741652E-2"/>
                  <c:y val="0"/>
                </c:manualLayout>
              </c:layout>
              <c:tx>
                <c:rich>
                  <a:bodyPr/>
                  <a:lstStyle/>
                  <a:p>
                    <a:r>
                      <a:rPr lang="en-US" sz="800"/>
                      <a:t>Estonya</a:t>
                    </a:r>
                  </a:p>
                </c:rich>
              </c:tx>
              <c:dLblPos val="ctr"/>
              <c:showVal val="1"/>
              <c:extLst>
                <c:ext xmlns:c15="http://schemas.microsoft.com/office/drawing/2012/chart" uri="{CE6537A1-D6FC-4f65-9D91-7224C49458BB}"/>
              </c:extLst>
            </c:dLbl>
            <c:dLbl>
              <c:idx val="8"/>
              <c:tx>
                <c:rich>
                  <a:bodyPr/>
                  <a:lstStyle/>
                  <a:p>
                    <a:r>
                      <a:rPr lang="en-US" sz="800"/>
                      <a:t>Finland</a:t>
                    </a:r>
                  </a:p>
                </c:rich>
              </c:tx>
              <c:dLblPos val="ctr"/>
              <c:showVal val="1"/>
              <c:extLst>
                <c:ext xmlns:c15="http://schemas.microsoft.com/office/drawing/2012/chart" uri="{CE6537A1-D6FC-4f65-9D91-7224C49458BB}"/>
              </c:extLst>
            </c:dLbl>
            <c:dLbl>
              <c:idx val="9"/>
              <c:layout>
                <c:manualLayout>
                  <c:x val="3.4266701118318761E-2"/>
                  <c:y val="0"/>
                </c:manualLayout>
              </c:layout>
              <c:tx>
                <c:rich>
                  <a:bodyPr/>
                  <a:lstStyle/>
                  <a:p>
                    <a:r>
                      <a:rPr lang="en-US" sz="800"/>
                      <a:t>Fransa</a:t>
                    </a:r>
                  </a:p>
                </c:rich>
              </c:tx>
              <c:dLblPos val="ctr"/>
              <c:showVal val="1"/>
              <c:extLst>
                <c:ext xmlns:c15="http://schemas.microsoft.com/office/drawing/2012/chart" uri="{CE6537A1-D6FC-4f65-9D91-7224C49458BB}"/>
              </c:extLst>
            </c:dLbl>
            <c:dLbl>
              <c:idx val="10"/>
              <c:layout>
                <c:manualLayout>
                  <c:x val="0"/>
                  <c:y val="-2.0236087689713637E-2"/>
                </c:manualLayout>
              </c:layout>
              <c:tx>
                <c:rich>
                  <a:bodyPr/>
                  <a:lstStyle/>
                  <a:p>
                    <a:r>
                      <a:rPr lang="en-US" sz="800"/>
                      <a:t>Almanya</a:t>
                    </a:r>
                  </a:p>
                </c:rich>
              </c:tx>
              <c:dLblPos val="ctr"/>
              <c:showVal val="1"/>
              <c:extLst>
                <c:ext xmlns:c15="http://schemas.microsoft.com/office/drawing/2012/chart" uri="{CE6537A1-D6FC-4f65-9D91-7224C49458BB}"/>
              </c:extLst>
            </c:dLbl>
            <c:dLbl>
              <c:idx val="11"/>
              <c:layout>
                <c:manualLayout>
                  <c:x val="-3.1859820802305552E-2"/>
                  <c:y val="2.1080368906456048E-3"/>
                </c:manualLayout>
              </c:layout>
              <c:tx>
                <c:rich>
                  <a:bodyPr/>
                  <a:lstStyle/>
                  <a:p>
                    <a:r>
                      <a:rPr lang="en-US" sz="800"/>
                      <a:t>Yunanistan</a:t>
                    </a:r>
                  </a:p>
                </c:rich>
              </c:tx>
              <c:dLblPos val="ctr"/>
              <c:showVal val="1"/>
              <c:extLst>
                <c:ext xmlns:c15="http://schemas.microsoft.com/office/drawing/2012/chart" uri="{CE6537A1-D6FC-4f65-9D91-7224C49458BB}"/>
              </c:extLst>
            </c:dLbl>
            <c:dLbl>
              <c:idx val="12"/>
              <c:layout>
                <c:manualLayout>
                  <c:x val="-3.4219045353830004E-2"/>
                  <c:y val="8.9286030257453766E-3"/>
                </c:manualLayout>
              </c:layout>
              <c:tx>
                <c:rich>
                  <a:bodyPr/>
                  <a:lstStyle/>
                  <a:p>
                    <a:r>
                      <a:rPr lang="en-US" sz="800"/>
                      <a:t>Macaristan</a:t>
                    </a:r>
                  </a:p>
                </c:rich>
              </c:tx>
              <c:dLblPos val="ctr"/>
              <c:showVal val="1"/>
              <c:extLst>
                <c:ext xmlns:c15="http://schemas.microsoft.com/office/drawing/2012/chart" uri="{CE6537A1-D6FC-4f65-9D91-7224C49458BB}"/>
              </c:extLst>
            </c:dLbl>
            <c:dLbl>
              <c:idx val="13"/>
              <c:layout>
                <c:manualLayout>
                  <c:x val="1.0296010296010301E-2"/>
                  <c:y val="2.0833333333333412E-2"/>
                </c:manualLayout>
              </c:layout>
              <c:tx>
                <c:rich>
                  <a:bodyPr/>
                  <a:lstStyle/>
                  <a:p>
                    <a:endParaRPr lang="en-US" sz="800"/>
                  </a:p>
                </c:rich>
              </c:tx>
              <c:dLblPos val="ctr"/>
              <c:showVal val="1"/>
              <c:extLst>
                <c:ext xmlns:c15="http://schemas.microsoft.com/office/drawing/2012/chart" uri="{CE6537A1-D6FC-4f65-9D91-7224C49458BB}"/>
              </c:extLst>
            </c:dLbl>
            <c:dLbl>
              <c:idx val="14"/>
              <c:layout>
                <c:manualLayout>
                  <c:x val="2.9747672637899611E-2"/>
                  <c:y val="-1.7981361880326757E-2"/>
                </c:manualLayout>
              </c:layout>
              <c:tx>
                <c:rich>
                  <a:bodyPr/>
                  <a:lstStyle/>
                  <a:p>
                    <a:r>
                      <a:rPr lang="en-US" sz="800"/>
                      <a:t>İrlanda</a:t>
                    </a:r>
                  </a:p>
                </c:rich>
              </c:tx>
              <c:dLblPos val="ctr"/>
              <c:showVal val="1"/>
              <c:extLst>
                <c:ext xmlns:c15="http://schemas.microsoft.com/office/drawing/2012/chart" uri="{CE6537A1-D6FC-4f65-9D91-7224C49458BB}"/>
              </c:extLst>
            </c:dLbl>
            <c:dLbl>
              <c:idx val="15"/>
              <c:layout>
                <c:manualLayout>
                  <c:x val="0"/>
                  <c:y val="2.2484541877459446E-2"/>
                </c:manualLayout>
              </c:layout>
              <c:tx>
                <c:rich>
                  <a:bodyPr/>
                  <a:lstStyle/>
                  <a:p>
                    <a:r>
                      <a:rPr lang="en-US" sz="800"/>
                      <a:t>İsrail</a:t>
                    </a:r>
                  </a:p>
                </c:rich>
              </c:tx>
              <c:dLblPos val="ctr"/>
              <c:showVal val="1"/>
              <c:extLst>
                <c:ext xmlns:c15="http://schemas.microsoft.com/office/drawing/2012/chart" uri="{CE6537A1-D6FC-4f65-9D91-7224C49458BB}"/>
              </c:extLst>
            </c:dLbl>
            <c:dLbl>
              <c:idx val="16"/>
              <c:layout>
                <c:manualLayout>
                  <c:x val="6.3694256867737123E-3"/>
                  <c:y val="-2.4732996065205192E-2"/>
                </c:manualLayout>
              </c:layout>
              <c:tx>
                <c:rich>
                  <a:bodyPr/>
                  <a:lstStyle/>
                  <a:p>
                    <a:r>
                      <a:rPr lang="en-US" sz="800"/>
                      <a:t>İtalya</a:t>
                    </a:r>
                  </a:p>
                </c:rich>
              </c:tx>
              <c:dLblPos val="ctr"/>
              <c:showVal val="1"/>
              <c:extLst>
                <c:ext xmlns:c15="http://schemas.microsoft.com/office/drawing/2012/chart" uri="{CE6537A1-D6FC-4f65-9D91-7224C49458BB}"/>
              </c:extLst>
            </c:dLbl>
            <c:dLbl>
              <c:idx val="17"/>
              <c:layout>
                <c:manualLayout>
                  <c:x val="-2.1231418955913466E-3"/>
                  <c:y val="2.4732996065205192E-2"/>
                </c:manualLayout>
              </c:layout>
              <c:tx>
                <c:rich>
                  <a:bodyPr/>
                  <a:lstStyle/>
                  <a:p>
                    <a:r>
                      <a:rPr lang="en-US" sz="800"/>
                      <a:t>Japonya</a:t>
                    </a:r>
                  </a:p>
                </c:rich>
              </c:tx>
              <c:dLblPos val="ctr"/>
              <c:showVal val="1"/>
              <c:extLst>
                <c:ext xmlns:c15="http://schemas.microsoft.com/office/drawing/2012/chart" uri="{CE6537A1-D6FC-4f65-9D91-7224C49458BB}"/>
              </c:extLst>
            </c:dLbl>
            <c:dLbl>
              <c:idx val="18"/>
              <c:layout>
                <c:manualLayout>
                  <c:x val="0"/>
                  <c:y val="-2.6785714285714513E-2"/>
                </c:manualLayout>
              </c:layout>
              <c:tx>
                <c:rich>
                  <a:bodyPr/>
                  <a:lstStyle/>
                  <a:p>
                    <a:r>
                      <a:rPr lang="en-US" sz="800"/>
                      <a:t>Kore</a:t>
                    </a:r>
                  </a:p>
                </c:rich>
              </c:tx>
              <c:dLblPos val="ctr"/>
              <c:showVal val="1"/>
              <c:extLst>
                <c:ext xmlns:c15="http://schemas.microsoft.com/office/drawing/2012/chart" uri="{CE6537A1-D6FC-4f65-9D91-7224C49458BB}"/>
              </c:extLst>
            </c:dLbl>
            <c:dLbl>
              <c:idx val="19"/>
              <c:layout>
                <c:manualLayout>
                  <c:x val="-6.2381733284929276E-2"/>
                  <c:y val="-2.9762010085817949E-3"/>
                </c:manualLayout>
              </c:layout>
              <c:tx>
                <c:rich>
                  <a:bodyPr/>
                  <a:lstStyle/>
                  <a:p>
                    <a:r>
                      <a:rPr lang="en-US" sz="800"/>
                      <a:t>Lüksemburg</a:t>
                    </a:r>
                  </a:p>
                </c:rich>
              </c:tx>
              <c:dLblPos val="ctr"/>
              <c:showVal val="1"/>
              <c:extLst>
                <c:ext xmlns:c15="http://schemas.microsoft.com/office/drawing/2012/chart" uri="{CE6537A1-D6FC-4f65-9D91-7224C49458BB}"/>
              </c:extLst>
            </c:dLbl>
            <c:dLbl>
              <c:idx val="20"/>
              <c:layout>
                <c:manualLayout>
                  <c:x val="3.5045802882536357E-2"/>
                  <c:y val="-1.054018445322802E-3"/>
                </c:manualLayout>
              </c:layout>
              <c:tx>
                <c:rich>
                  <a:bodyPr/>
                  <a:lstStyle/>
                  <a:p>
                    <a:r>
                      <a:rPr lang="en-US" sz="800"/>
                      <a:t>Meksika</a:t>
                    </a:r>
                  </a:p>
                </c:rich>
              </c:tx>
              <c:dLblPos val="ctr"/>
              <c:showVal val="1"/>
              <c:extLst>
                <c:ext xmlns:c15="http://schemas.microsoft.com/office/drawing/2012/chart" uri="{CE6537A1-D6FC-4f65-9D91-7224C49458BB}"/>
              </c:extLst>
            </c:dLbl>
            <c:dLbl>
              <c:idx val="21"/>
              <c:layout>
                <c:manualLayout>
                  <c:x val="4.4212327195189693E-2"/>
                  <c:y val="7.2900999734583811E-3"/>
                </c:manualLayout>
              </c:layout>
              <c:tx>
                <c:rich>
                  <a:bodyPr/>
                  <a:lstStyle/>
                  <a:p>
                    <a:r>
                      <a:rPr lang="en-US" sz="800"/>
                      <a:t>Hollanda</a:t>
                    </a:r>
                  </a:p>
                </c:rich>
              </c:tx>
              <c:dLblPos val="ctr"/>
              <c:showVal val="1"/>
              <c:extLst>
                <c:ext xmlns:c15="http://schemas.microsoft.com/office/drawing/2012/chart" uri="{CE6537A1-D6FC-4f65-9D91-7224C49458BB}"/>
              </c:extLst>
            </c:dLbl>
            <c:dLbl>
              <c:idx val="22"/>
              <c:layout>
                <c:manualLayout>
                  <c:x val="0"/>
                  <c:y val="3.273809523809524E-2"/>
                </c:manualLayout>
              </c:layout>
              <c:tx>
                <c:rich>
                  <a:bodyPr/>
                  <a:lstStyle/>
                  <a:p>
                    <a:r>
                      <a:rPr lang="en-US" sz="800"/>
                      <a:t>Yeni</a:t>
                    </a:r>
                    <a:r>
                      <a:rPr lang="en-US" sz="800" baseline="0"/>
                      <a:t> Zelanda</a:t>
                    </a:r>
                    <a:endParaRPr lang="en-US" sz="800"/>
                  </a:p>
                </c:rich>
              </c:tx>
              <c:dLblPos val="ctr"/>
              <c:showVal val="1"/>
              <c:extLst>
                <c:ext xmlns:c15="http://schemas.microsoft.com/office/drawing/2012/chart" uri="{CE6537A1-D6FC-4f65-9D91-7224C49458BB}"/>
              </c:extLst>
            </c:dLbl>
            <c:dLbl>
              <c:idx val="23"/>
              <c:layout>
                <c:manualLayout>
                  <c:x val="0"/>
                  <c:y val="-2.0833333333333412E-2"/>
                </c:manualLayout>
              </c:layout>
              <c:tx>
                <c:rich>
                  <a:bodyPr/>
                  <a:lstStyle/>
                  <a:p>
                    <a:r>
                      <a:rPr lang="en-US" sz="800"/>
                      <a:t>Norveç</a:t>
                    </a:r>
                  </a:p>
                </c:rich>
              </c:tx>
              <c:dLblPos val="ctr"/>
              <c:showVal val="1"/>
              <c:extLst>
                <c:ext xmlns:c15="http://schemas.microsoft.com/office/drawing/2012/chart" uri="{CE6537A1-D6FC-4f65-9D91-7224C49458BB}"/>
              </c:extLst>
            </c:dLbl>
            <c:dLbl>
              <c:idx val="24"/>
              <c:layout>
                <c:manualLayout>
                  <c:x val="-4.458597980741643E-2"/>
                  <c:y val="1.3490725126475521E-2"/>
                </c:manualLayout>
              </c:layout>
              <c:tx>
                <c:rich>
                  <a:bodyPr/>
                  <a:lstStyle/>
                  <a:p>
                    <a:r>
                      <a:rPr lang="en-US" sz="800"/>
                      <a:t>Polonya</a:t>
                    </a:r>
                  </a:p>
                </c:rich>
              </c:tx>
              <c:dLblPos val="ctr"/>
              <c:showVal val="1"/>
              <c:extLst>
                <c:ext xmlns:c15="http://schemas.microsoft.com/office/drawing/2012/chart" uri="{CE6537A1-D6FC-4f65-9D91-7224C49458BB}"/>
              </c:extLst>
            </c:dLbl>
            <c:dLbl>
              <c:idx val="25"/>
              <c:layout>
                <c:manualLayout>
                  <c:x val="-3.8231784962766656E-2"/>
                  <c:y val="7.3781291172595959E-3"/>
                </c:manualLayout>
              </c:layout>
              <c:tx>
                <c:rich>
                  <a:bodyPr/>
                  <a:lstStyle/>
                  <a:p>
                    <a:r>
                      <a:rPr lang="en-US" sz="800"/>
                      <a:t>Portekiz</a:t>
                    </a:r>
                  </a:p>
                </c:rich>
              </c:tx>
              <c:dLblPos val="ctr"/>
              <c:showVal val="1"/>
              <c:extLst>
                <c:ext xmlns:c15="http://schemas.microsoft.com/office/drawing/2012/chart" uri="{CE6537A1-D6FC-4f65-9D91-7224C49458BB}"/>
              </c:extLst>
            </c:dLbl>
            <c:dLbl>
              <c:idx val="26"/>
              <c:layout>
                <c:manualLayout>
                  <c:x val="-4.7189502052893884E-17"/>
                  <c:y val="3.273809523809524E-2"/>
                </c:manualLayout>
              </c:layout>
              <c:tx>
                <c:rich>
                  <a:bodyPr/>
                  <a:lstStyle/>
                  <a:p>
                    <a:r>
                      <a:rPr lang="en-US" sz="800"/>
                      <a:t>Slovakya</a:t>
                    </a:r>
                  </a:p>
                </c:rich>
              </c:tx>
              <c:dLblPos val="ctr"/>
              <c:showVal val="1"/>
              <c:extLst>
                <c:ext xmlns:c15="http://schemas.microsoft.com/office/drawing/2012/chart" uri="{CE6537A1-D6FC-4f65-9D91-7224C49458BB}"/>
              </c:extLst>
            </c:dLbl>
            <c:dLbl>
              <c:idx val="27"/>
              <c:layout>
                <c:manualLayout>
                  <c:x val="-2.7708356805160882E-2"/>
                  <c:y val="6.5777227284791934E-2"/>
                </c:manualLayout>
              </c:layout>
              <c:tx>
                <c:rich>
                  <a:bodyPr/>
                  <a:lstStyle/>
                  <a:p>
                    <a:r>
                      <a:rPr lang="en-US" sz="800"/>
                      <a:t>Slovenya</a:t>
                    </a:r>
                  </a:p>
                </c:rich>
              </c:tx>
              <c:dLblPos val="ctr"/>
              <c:showVal val="1"/>
              <c:extLst>
                <c:ext xmlns:c15="http://schemas.microsoft.com/office/drawing/2012/chart" uri="{CE6537A1-D6FC-4f65-9D91-7224C49458BB}"/>
              </c:extLst>
            </c:dLbl>
            <c:dLbl>
              <c:idx val="28"/>
              <c:layout>
                <c:manualLayout>
                  <c:x val="-3.8216554120642267E-2"/>
                  <c:y val="1.1242270938729627E-2"/>
                </c:manualLayout>
              </c:layout>
              <c:tx>
                <c:rich>
                  <a:bodyPr/>
                  <a:lstStyle/>
                  <a:p>
                    <a:r>
                      <a:rPr lang="en-US" sz="800"/>
                      <a:t>İspanya</a:t>
                    </a:r>
                  </a:p>
                </c:rich>
              </c:tx>
              <c:dLblPos val="ctr"/>
              <c:showVal val="1"/>
              <c:extLst>
                <c:ext xmlns:c15="http://schemas.microsoft.com/office/drawing/2012/chart" uri="{CE6537A1-D6FC-4f65-9D91-7224C49458BB}"/>
              </c:extLst>
            </c:dLbl>
            <c:dLbl>
              <c:idx val="29"/>
              <c:layout>
                <c:manualLayout>
                  <c:x val="2.5740025740025752E-3"/>
                  <c:y val="3.2738095238095136E-2"/>
                </c:manualLayout>
              </c:layout>
              <c:tx>
                <c:rich>
                  <a:bodyPr/>
                  <a:lstStyle/>
                  <a:p>
                    <a:r>
                      <a:rPr lang="en-US" sz="800"/>
                      <a:t>İsveç</a:t>
                    </a:r>
                  </a:p>
                </c:rich>
              </c:tx>
              <c:dLblPos val="ctr"/>
              <c:showVal val="1"/>
              <c:extLst>
                <c:ext xmlns:c15="http://schemas.microsoft.com/office/drawing/2012/chart" uri="{CE6537A1-D6FC-4f65-9D91-7224C49458BB}"/>
              </c:extLst>
            </c:dLbl>
            <c:dLbl>
              <c:idx val="30"/>
              <c:layout>
                <c:manualLayout>
                  <c:x val="8.4925675823650463E-3"/>
                  <c:y val="1.7987633501967401E-2"/>
                </c:manualLayout>
              </c:layout>
              <c:tx>
                <c:rich>
                  <a:bodyPr/>
                  <a:lstStyle/>
                  <a:p>
                    <a:r>
                      <a:rPr lang="en-US" sz="800"/>
                      <a:t>İsviçre</a:t>
                    </a:r>
                  </a:p>
                </c:rich>
              </c:tx>
              <c:dLblPos val="ctr"/>
              <c:showVal val="1"/>
              <c:extLst>
                <c:ext xmlns:c15="http://schemas.microsoft.com/office/drawing/2012/chart" uri="{CE6537A1-D6FC-4f65-9D91-7224C49458BB}"/>
              </c:extLst>
            </c:dLbl>
            <c:dLbl>
              <c:idx val="31"/>
              <c:layout>
                <c:manualLayout>
                  <c:x val="-4.2462837911825448E-3"/>
                  <c:y val="2.9229904440697001E-2"/>
                </c:manualLayout>
              </c:layout>
              <c:tx>
                <c:rich>
                  <a:bodyPr/>
                  <a:lstStyle/>
                  <a:p>
                    <a:r>
                      <a:rPr lang="en-US" sz="800"/>
                      <a:t>Türkiye</a:t>
                    </a:r>
                  </a:p>
                </c:rich>
              </c:tx>
              <c:dLblPos val="ctr"/>
              <c:showVal val="1"/>
              <c:extLst>
                <c:ext xmlns:c15="http://schemas.microsoft.com/office/drawing/2012/chart" uri="{CE6537A1-D6FC-4f65-9D91-7224C49458BB}"/>
              </c:extLst>
            </c:dLbl>
            <c:dLbl>
              <c:idx val="32"/>
              <c:layout>
                <c:manualLayout>
                  <c:x val="2.3166023166023172E-2"/>
                  <c:y val="-1.488095238095238E-2"/>
                </c:manualLayout>
              </c:layout>
              <c:tx>
                <c:rich>
                  <a:bodyPr/>
                  <a:lstStyle/>
                  <a:p>
                    <a:r>
                      <a:rPr lang="en-US" sz="800"/>
                      <a:t>UK</a:t>
                    </a:r>
                  </a:p>
                </c:rich>
              </c:tx>
              <c:dLblPos val="ctr"/>
              <c:showVal val="1"/>
              <c:extLst>
                <c:ext xmlns:c15="http://schemas.microsoft.com/office/drawing/2012/chart" uri="{CE6537A1-D6FC-4f65-9D91-7224C49458BB}"/>
              </c:extLst>
            </c:dLbl>
            <c:dLbl>
              <c:idx val="33"/>
              <c:layout>
                <c:manualLayout>
                  <c:x val="5.1480051480051478E-3"/>
                  <c:y val="-1.4880952380952441E-2"/>
                </c:manualLayout>
              </c:layout>
              <c:tx>
                <c:rich>
                  <a:bodyPr/>
                  <a:lstStyle/>
                  <a:p>
                    <a:r>
                      <a:rPr lang="en-US"/>
                      <a:t>OECD</a:t>
                    </a:r>
                  </a:p>
                </c:rich>
              </c:tx>
              <c:dLblPos val="ctr"/>
              <c:showVal val="1"/>
              <c:extLst>
                <c:ext xmlns:c15="http://schemas.microsoft.com/office/drawing/2012/chart" uri="{CE6537A1-D6FC-4f65-9D91-7224C49458BB}"/>
              </c:extLst>
            </c:dLbl>
            <c:spPr>
              <a:noFill/>
              <a:ln>
                <a:noFill/>
              </a:ln>
              <a:effectLst/>
            </c:spPr>
            <c:txPr>
              <a:bodyPr/>
              <a:lstStyle/>
              <a:p>
                <a:pPr>
                  <a:defRPr lang="en-US"/>
                </a:pPr>
                <a:endParaRPr lang="tr-TR"/>
              </a:p>
            </c:txPr>
            <c:dLblPos val="ctr"/>
            <c:showVal val="1"/>
            <c:extLst>
              <c:ext xmlns:c15="http://schemas.microsoft.com/office/drawing/2012/chart" uri="{CE6537A1-D6FC-4f65-9D91-7224C49458BB}">
                <c15:showLeaderLines val="0"/>
              </c:ext>
            </c:extLst>
          </c:dLbls>
          <c:xVal>
            <c:numRef>
              <c:f>'ŞEKİL3 '!$M$4:$M$37</c:f>
              <c:numCache>
                <c:formatCode>0.00</c:formatCode>
                <c:ptCount val="34"/>
                <c:pt idx="0">
                  <c:v>519.89354277155053</c:v>
                </c:pt>
                <c:pt idx="1">
                  <c:v>502.17157666116026</c:v>
                </c:pt>
                <c:pt idx="2">
                  <c:v>510.53768360757368</c:v>
                </c:pt>
                <c:pt idx="3">
                  <c:v>529.4960838096016</c:v>
                </c:pt>
                <c:pt idx="4">
                  <c:v>430.53970983292021</c:v>
                </c:pt>
                <c:pt idx="5">
                  <c:v>501.81175566123369</c:v>
                </c:pt>
                <c:pt idx="6">
                  <c:v>501.13441351083338</c:v>
                </c:pt>
                <c:pt idx="7">
                  <c:v>515.57234248422208</c:v>
                </c:pt>
                <c:pt idx="8">
                  <c:v>552.84983677759851</c:v>
                </c:pt>
                <c:pt idx="9">
                  <c:v>492.82147302107899</c:v>
                </c:pt>
                <c:pt idx="10">
                  <c:v>504.79480210672278</c:v>
                </c:pt>
                <c:pt idx="11">
                  <c:v>464.09704510071401</c:v>
                </c:pt>
                <c:pt idx="12">
                  <c:v>492.41454289838299</c:v>
                </c:pt>
                <c:pt idx="13">
                  <c:v>493.59462462618973</c:v>
                </c:pt>
                <c:pt idx="14">
                  <c:v>509.03797965816199</c:v>
                </c:pt>
                <c:pt idx="15">
                  <c:v>444.81157036888197</c:v>
                </c:pt>
                <c:pt idx="16">
                  <c:v>468.53634992007665</c:v>
                </c:pt>
                <c:pt idx="17">
                  <c:v>517.48269744179049</c:v>
                </c:pt>
                <c:pt idx="18">
                  <c:v>541.87617660344949</c:v>
                </c:pt>
                <c:pt idx="19">
                  <c:v>485.23091477886317</c:v>
                </c:pt>
                <c:pt idx="20">
                  <c:v>408.60101538943672</c:v>
                </c:pt>
                <c:pt idx="21">
                  <c:v>520.75417427003754</c:v>
                </c:pt>
                <c:pt idx="22">
                  <c:v>524.46861805377296</c:v>
                </c:pt>
                <c:pt idx="23">
                  <c:v>486.88895784435368</c:v>
                </c:pt>
                <c:pt idx="24">
                  <c:v>500.29150862551899</c:v>
                </c:pt>
                <c:pt idx="25">
                  <c:v>470.92372662374402</c:v>
                </c:pt>
                <c:pt idx="26">
                  <c:v>482.29646788543874</c:v>
                </c:pt>
                <c:pt idx="27">
                  <c:v>505.89353658280424</c:v>
                </c:pt>
                <c:pt idx="28">
                  <c:v>476.40404722494702</c:v>
                </c:pt>
                <c:pt idx="29">
                  <c:v>504.33442799363598</c:v>
                </c:pt>
                <c:pt idx="30">
                  <c:v>513.48594667220004</c:v>
                </c:pt>
                <c:pt idx="31">
                  <c:v>431.63835577799045</c:v>
                </c:pt>
                <c:pt idx="32">
                  <c:v>501.76707181816954</c:v>
                </c:pt>
                <c:pt idx="33">
                  <c:v>493.83964665292882</c:v>
                </c:pt>
              </c:numCache>
            </c:numRef>
          </c:xVal>
          <c:yVal>
            <c:numRef>
              <c:f>'ŞEKİL3 '!$N$4:$N$37</c:f>
              <c:numCache>
                <c:formatCode>0.00</c:formatCode>
                <c:ptCount val="34"/>
                <c:pt idx="0">
                  <c:v>-1.2350621123176906</c:v>
                </c:pt>
                <c:pt idx="1">
                  <c:v>-0.31018912675886645</c:v>
                </c:pt>
                <c:pt idx="2">
                  <c:v>-0.1999042626535249</c:v>
                </c:pt>
                <c:pt idx="3">
                  <c:v>-1.2140309290845785</c:v>
                </c:pt>
                <c:pt idx="4">
                  <c:v>0.96362827483676172</c:v>
                </c:pt>
                <c:pt idx="5">
                  <c:v>-0.29380928334837814</c:v>
                </c:pt>
                <c:pt idx="6">
                  <c:v>-0.48730006078044286</c:v>
                </c:pt>
                <c:pt idx="7">
                  <c:v>1.7515241500707646</c:v>
                </c:pt>
                <c:pt idx="8">
                  <c:v>-3.9075314093565212</c:v>
                </c:pt>
                <c:pt idx="9">
                  <c:v>1.165146265939051</c:v>
                </c:pt>
                <c:pt idx="10">
                  <c:v>1.7187765845724239</c:v>
                </c:pt>
                <c:pt idx="11">
                  <c:v>0.25563875352824222</c:v>
                </c:pt>
                <c:pt idx="12">
                  <c:v>-0.96863824997361625</c:v>
                </c:pt>
                <c:pt idx="13">
                  <c:v>-1.5172855842352153</c:v>
                </c:pt>
                <c:pt idx="14">
                  <c:v>1.0867050366527664</c:v>
                </c:pt>
                <c:pt idx="15">
                  <c:v>4.8845885171905126</c:v>
                </c:pt>
                <c:pt idx="16">
                  <c:v>3.500445352339502</c:v>
                </c:pt>
                <c:pt idx="17">
                  <c:v>3.8192172507477866</c:v>
                </c:pt>
                <c:pt idx="18">
                  <c:v>9.5346734710069034E-2</c:v>
                </c:pt>
                <c:pt idx="19">
                  <c:v>0.73192067805953043</c:v>
                </c:pt>
                <c:pt idx="20">
                  <c:v>1.441796110911443</c:v>
                </c:pt>
                <c:pt idx="21">
                  <c:v>-0.33360986923326486</c:v>
                </c:pt>
                <c:pt idx="22">
                  <c:v>-2.5462688505458178</c:v>
                </c:pt>
                <c:pt idx="23">
                  <c:v>1.5092676418482762</c:v>
                </c:pt>
                <c:pt idx="24">
                  <c:v>3.3683276071224015</c:v>
                </c:pt>
                <c:pt idx="25">
                  <c:v>2.8513567042652173</c:v>
                </c:pt>
                <c:pt idx="26">
                  <c:v>-1.7380249785429878</c:v>
                </c:pt>
                <c:pt idx="27">
                  <c:v>-1.1719082722020784</c:v>
                </c:pt>
                <c:pt idx="28">
                  <c:v>2.1940089194112367</c:v>
                </c:pt>
                <c:pt idx="29">
                  <c:v>-3.7004820385939152</c:v>
                </c:pt>
                <c:pt idx="30">
                  <c:v>0.8228298394486645</c:v>
                </c:pt>
                <c:pt idx="31">
                  <c:v>5.1096512665811415</c:v>
                </c:pt>
                <c:pt idx="32">
                  <c:v>0.11585842372526005</c:v>
                </c:pt>
                <c:pt idx="33">
                  <c:v>0.5</c:v>
                </c:pt>
              </c:numCache>
            </c:numRef>
          </c:yVal>
        </c:ser>
        <c:dLbls>
          <c:showVal val="1"/>
        </c:dLbls>
        <c:axId val="86938752"/>
        <c:axId val="86941056"/>
      </c:scatterChart>
      <c:valAx>
        <c:axId val="86938752"/>
        <c:scaling>
          <c:orientation val="minMax"/>
          <c:max val="550"/>
          <c:min val="400"/>
        </c:scaling>
        <c:axPos val="b"/>
        <c:title>
          <c:tx>
            <c:rich>
              <a:bodyPr/>
              <a:lstStyle/>
              <a:p>
                <a:pPr>
                  <a:defRPr lang="en-US"/>
                </a:pPr>
                <a:r>
                  <a:rPr lang="tr-TR" sz="800" b="0"/>
                  <a:t>2006 Ortalama</a:t>
                </a:r>
                <a:r>
                  <a:rPr lang="tr-TR" sz="800" b="0" baseline="0"/>
                  <a:t> PISA puanları</a:t>
                </a:r>
                <a:endParaRPr lang="tr-TR" sz="800" b="0"/>
              </a:p>
            </c:rich>
          </c:tx>
          <c:layout>
            <c:manualLayout>
              <c:xMode val="edge"/>
              <c:yMode val="edge"/>
              <c:x val="0.3360401870722049"/>
              <c:y val="0.95694732546582362"/>
            </c:manualLayout>
          </c:layout>
        </c:title>
        <c:numFmt formatCode="0" sourceLinked="0"/>
        <c:majorTickMark val="in"/>
        <c:tickLblPos val="low"/>
        <c:txPr>
          <a:bodyPr/>
          <a:lstStyle/>
          <a:p>
            <a:pPr>
              <a:defRPr lang="en-US" sz="800"/>
            </a:pPr>
            <a:endParaRPr lang="tr-TR"/>
          </a:p>
        </c:txPr>
        <c:crossAx val="86941056"/>
        <c:crosses val="autoZero"/>
        <c:crossBetween val="midCat"/>
        <c:majorUnit val="50"/>
      </c:valAx>
      <c:valAx>
        <c:axId val="86941056"/>
        <c:scaling>
          <c:orientation val="minMax"/>
          <c:min val="-4"/>
        </c:scaling>
        <c:axPos val="l"/>
        <c:title>
          <c:tx>
            <c:rich>
              <a:bodyPr rot="-5400000" vert="horz"/>
              <a:lstStyle/>
              <a:p>
                <a:pPr>
                  <a:defRPr lang="en-US" sz="800"/>
                </a:pPr>
                <a:r>
                  <a:rPr lang="tr-TR" sz="800" b="0"/>
                  <a:t>2006-2012</a:t>
                </a:r>
                <a:r>
                  <a:rPr lang="tr-TR" sz="800" b="0" baseline="0"/>
                  <a:t> Yıılık Ortalama  PISA puanları değişimi</a:t>
                </a:r>
                <a:endParaRPr lang="tr-TR" sz="800" b="0"/>
              </a:p>
            </c:rich>
          </c:tx>
        </c:title>
        <c:numFmt formatCode="0" sourceLinked="0"/>
        <c:tickLblPos val="nextTo"/>
        <c:txPr>
          <a:bodyPr/>
          <a:lstStyle/>
          <a:p>
            <a:pPr>
              <a:defRPr lang="en-US" sz="800"/>
            </a:pPr>
            <a:endParaRPr lang="tr-TR"/>
          </a:p>
        </c:txPr>
        <c:crossAx val="86938752"/>
        <c:crosses val="autoZero"/>
        <c:crossBetween val="midCat"/>
      </c:valAx>
      <c:spPr>
        <a:noFill/>
      </c:spPr>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style val="8"/>
  <c:chart>
    <c:autoTitleDeleted val="1"/>
    <c:plotArea>
      <c:layout>
        <c:manualLayout>
          <c:layoutTarget val="inner"/>
          <c:xMode val="edge"/>
          <c:yMode val="edge"/>
          <c:x val="7.9099518810149316E-2"/>
          <c:y val="8.8437591134441565E-2"/>
          <c:w val="0.87645603674540684"/>
          <c:h val="0.78570392242636333"/>
        </c:manualLayout>
      </c:layout>
      <c:barChart>
        <c:barDir val="col"/>
        <c:grouping val="clustered"/>
        <c:ser>
          <c:idx val="0"/>
          <c:order val="0"/>
          <c:tx>
            <c:v>2006</c:v>
          </c:tx>
          <c:spPr>
            <a:solidFill>
              <a:schemeClr val="accent6">
                <a:lumMod val="50000"/>
              </a:schemeClr>
            </a:solidFill>
            <a:ln>
              <a:solidFill>
                <a:schemeClr val="accent6">
                  <a:lumMod val="50000"/>
                </a:schemeClr>
              </a:solidFill>
            </a:ln>
          </c:spPr>
          <c:dLbls>
            <c:dLbl>
              <c:idx val="1"/>
              <c:layout>
                <c:manualLayout>
                  <c:x val="0"/>
                  <c:y val="0.17094017094017094"/>
                </c:manualLayout>
              </c:layout>
              <c:showVal val="1"/>
            </c:dLbl>
            <c:spPr>
              <a:noFill/>
              <a:ln>
                <a:noFill/>
              </a:ln>
              <a:effectLst/>
            </c:spPr>
            <c:txPr>
              <a:bodyPr/>
              <a:lstStyle/>
              <a:p>
                <a:pPr>
                  <a:defRPr lang="en-US" sz="800"/>
                </a:pPr>
                <a:endParaRPr lang="tr-TR"/>
              </a:p>
            </c:txPr>
            <c:showVal val="1"/>
            <c:extLst>
              <c:ext xmlns:c15="http://schemas.microsoft.com/office/drawing/2012/chart" uri="{CE6537A1-D6FC-4f65-9D91-7224C49458BB}">
                <c15:showLeaderLines val="0"/>
              </c:ext>
            </c:extLst>
          </c:dLbls>
          <c:cat>
            <c:strRef>
              <c:f>'mean sex '!$K$24:$M$24</c:f>
              <c:strCache>
                <c:ptCount val="3"/>
                <c:pt idx="0">
                  <c:v>Okuma</c:v>
                </c:pt>
                <c:pt idx="1">
                  <c:v>Matematik</c:v>
                </c:pt>
                <c:pt idx="2">
                  <c:v>Fen </c:v>
                </c:pt>
              </c:strCache>
            </c:strRef>
          </c:cat>
          <c:val>
            <c:numRef>
              <c:f>'mean sex '!$O$26:$Q$26</c:f>
              <c:numCache>
                <c:formatCode>0</c:formatCode>
                <c:ptCount val="3"/>
                <c:pt idx="0">
                  <c:v>44</c:v>
                </c:pt>
                <c:pt idx="1">
                  <c:v>-6</c:v>
                </c:pt>
                <c:pt idx="2">
                  <c:v>12</c:v>
                </c:pt>
              </c:numCache>
            </c:numRef>
          </c:val>
        </c:ser>
        <c:ser>
          <c:idx val="1"/>
          <c:order val="1"/>
          <c:tx>
            <c:v>2009</c:v>
          </c:tx>
          <c:spPr>
            <a:solidFill>
              <a:schemeClr val="accent6">
                <a:lumMod val="75000"/>
              </a:schemeClr>
            </a:solidFill>
          </c:spPr>
          <c:dLbls>
            <c:dLbl>
              <c:idx val="1"/>
              <c:layout>
                <c:manualLayout>
                  <c:x val="-4.0436716538617117E-3"/>
                  <c:y val="0.23577954612437371"/>
                </c:manualLayout>
              </c:layout>
              <c:showVal val="1"/>
            </c:dLbl>
            <c:spPr>
              <a:noFill/>
              <a:ln>
                <a:noFill/>
              </a:ln>
              <a:effectLst/>
            </c:spPr>
            <c:txPr>
              <a:bodyPr/>
              <a:lstStyle/>
              <a:p>
                <a:pPr>
                  <a:defRPr lang="en-US" sz="800"/>
                </a:pPr>
                <a:endParaRPr lang="tr-TR"/>
              </a:p>
            </c:txPr>
            <c:showVal val="1"/>
            <c:extLst>
              <c:ext xmlns:c15="http://schemas.microsoft.com/office/drawing/2012/chart" uri="{CE6537A1-D6FC-4f65-9D91-7224C49458BB}">
                <c15:showLeaderLines val="0"/>
              </c:ext>
            </c:extLst>
          </c:dLbls>
          <c:cat>
            <c:strRef>
              <c:f>'mean sex '!$K$24:$M$24</c:f>
              <c:strCache>
                <c:ptCount val="3"/>
                <c:pt idx="0">
                  <c:v>Okuma</c:v>
                </c:pt>
                <c:pt idx="1">
                  <c:v>Matematik</c:v>
                </c:pt>
                <c:pt idx="2">
                  <c:v>Fen </c:v>
                </c:pt>
              </c:strCache>
            </c:strRef>
          </c:cat>
          <c:val>
            <c:numRef>
              <c:f>'mean sex '!$O$27:$Q$27</c:f>
              <c:numCache>
                <c:formatCode>0</c:formatCode>
                <c:ptCount val="3"/>
                <c:pt idx="0">
                  <c:v>43</c:v>
                </c:pt>
                <c:pt idx="1">
                  <c:v>-11</c:v>
                </c:pt>
                <c:pt idx="2">
                  <c:v>12</c:v>
                </c:pt>
              </c:numCache>
            </c:numRef>
          </c:val>
        </c:ser>
        <c:ser>
          <c:idx val="2"/>
          <c:order val="2"/>
          <c:tx>
            <c:v>2012</c:v>
          </c:tx>
          <c:dLbls>
            <c:dLbl>
              <c:idx val="1"/>
              <c:layout>
                <c:manualLayout>
                  <c:x val="0"/>
                  <c:y val="0.19451812555260845"/>
                </c:manualLayout>
              </c:layout>
              <c:showVal val="1"/>
            </c:dLbl>
            <c:spPr>
              <a:noFill/>
              <a:ln>
                <a:noFill/>
              </a:ln>
              <a:effectLst/>
            </c:spPr>
            <c:txPr>
              <a:bodyPr/>
              <a:lstStyle/>
              <a:p>
                <a:pPr>
                  <a:defRPr lang="en-US" sz="800"/>
                </a:pPr>
                <a:endParaRPr lang="tr-TR"/>
              </a:p>
            </c:txPr>
            <c:showVal val="1"/>
            <c:extLst>
              <c:ext xmlns:c15="http://schemas.microsoft.com/office/drawing/2012/chart" uri="{CE6537A1-D6FC-4f65-9D91-7224C49458BB}">
                <c15:showLeaderLines val="0"/>
              </c:ext>
            </c:extLst>
          </c:dLbls>
          <c:cat>
            <c:strRef>
              <c:f>'mean sex '!$K$24:$M$24</c:f>
              <c:strCache>
                <c:ptCount val="3"/>
                <c:pt idx="0">
                  <c:v>Okuma</c:v>
                </c:pt>
                <c:pt idx="1">
                  <c:v>Matematik</c:v>
                </c:pt>
                <c:pt idx="2">
                  <c:v>Fen </c:v>
                </c:pt>
              </c:strCache>
            </c:strRef>
          </c:cat>
          <c:val>
            <c:numRef>
              <c:f>'mean sex '!$O$28:$Q$28</c:f>
              <c:numCache>
                <c:formatCode>0</c:formatCode>
                <c:ptCount val="3"/>
                <c:pt idx="0">
                  <c:v>46</c:v>
                </c:pt>
                <c:pt idx="1">
                  <c:v>-8</c:v>
                </c:pt>
                <c:pt idx="2">
                  <c:v>11</c:v>
                </c:pt>
              </c:numCache>
            </c:numRef>
          </c:val>
        </c:ser>
        <c:dLbls>
          <c:showVal val="1"/>
        </c:dLbls>
        <c:gapWidth val="75"/>
        <c:axId val="47168128"/>
        <c:axId val="58925440"/>
      </c:barChart>
      <c:catAx>
        <c:axId val="47168128"/>
        <c:scaling>
          <c:orientation val="minMax"/>
        </c:scaling>
        <c:axPos val="b"/>
        <c:numFmt formatCode="General" sourceLinked="0"/>
        <c:majorTickMark val="none"/>
        <c:tickLblPos val="high"/>
        <c:txPr>
          <a:bodyPr/>
          <a:lstStyle/>
          <a:p>
            <a:pPr>
              <a:defRPr lang="en-US" sz="800" b="0"/>
            </a:pPr>
            <a:endParaRPr lang="tr-TR"/>
          </a:p>
        </c:txPr>
        <c:crossAx val="58925440"/>
        <c:crosses val="autoZero"/>
        <c:auto val="1"/>
        <c:lblAlgn val="ctr"/>
        <c:lblOffset val="100"/>
      </c:catAx>
      <c:valAx>
        <c:axId val="58925440"/>
        <c:scaling>
          <c:orientation val="minMax"/>
        </c:scaling>
        <c:delete val="1"/>
        <c:axPos val="l"/>
        <c:title>
          <c:tx>
            <c:rich>
              <a:bodyPr rot="-5400000" vert="horz"/>
              <a:lstStyle/>
              <a:p>
                <a:pPr>
                  <a:defRPr lang="en-US" sz="800"/>
                </a:pPr>
                <a:r>
                  <a:rPr lang="tr-TR" sz="800" b="0"/>
                  <a:t>PISA</a:t>
                </a:r>
                <a:r>
                  <a:rPr lang="tr-TR" sz="800" b="0" baseline="0"/>
                  <a:t> puanları</a:t>
                </a:r>
                <a:endParaRPr lang="tr-TR" sz="800" b="0"/>
              </a:p>
            </c:rich>
          </c:tx>
          <c:layout>
            <c:manualLayout>
              <c:xMode val="edge"/>
              <c:yMode val="edge"/>
              <c:x val="2.4869278403854653E-2"/>
              <c:y val="0.21678908173613656"/>
            </c:manualLayout>
          </c:layout>
        </c:title>
        <c:numFmt formatCode="0" sourceLinked="1"/>
        <c:majorTickMark val="none"/>
        <c:tickLblPos val="nextTo"/>
        <c:crossAx val="47168128"/>
        <c:crosses val="autoZero"/>
        <c:crossBetween val="between"/>
      </c:valAx>
      <c:spPr>
        <a:ln>
          <a:noFill/>
        </a:ln>
      </c:spPr>
    </c:plotArea>
    <c:legend>
      <c:legendPos val="b"/>
      <c:layout>
        <c:manualLayout>
          <c:xMode val="edge"/>
          <c:yMode val="edge"/>
          <c:x val="0.31797300610371548"/>
          <c:y val="0.90764914332658109"/>
          <c:w val="0.36405398779256953"/>
          <c:h val="9.2350856673419884E-2"/>
        </c:manualLayout>
      </c:layout>
      <c:txPr>
        <a:bodyPr/>
        <a:lstStyle/>
        <a:p>
          <a:pPr>
            <a:defRPr lang="en-US" sz="800" b="1"/>
          </a:pPr>
          <a:endParaRPr lang="tr-TR"/>
        </a:p>
      </c:txPr>
    </c:legend>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style val="8"/>
  <c:chart>
    <c:plotArea>
      <c:layout/>
      <c:barChart>
        <c:barDir val="col"/>
        <c:grouping val="clustered"/>
        <c:ser>
          <c:idx val="0"/>
          <c:order val="0"/>
          <c:tx>
            <c:v>2006-TR</c:v>
          </c:tx>
          <c:spPr>
            <a:solidFill>
              <a:schemeClr val="accent6">
                <a:lumMod val="5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Lbls>
            <c:dLbl>
              <c:idx val="0"/>
              <c:tx>
                <c:rich>
                  <a:bodyPr/>
                  <a:lstStyle/>
                  <a:p>
                    <a:r>
                      <a:rPr lang="en-US" sz="800"/>
                      <a:t>43,6</a:t>
                    </a:r>
                  </a:p>
                </c:rich>
              </c:tx>
              <c:dLblPos val="outEnd"/>
              <c:showVal val="1"/>
            </c:dLbl>
            <c:dLbl>
              <c:idx val="1"/>
              <c:tx>
                <c:rich>
                  <a:bodyPr/>
                  <a:lstStyle/>
                  <a:p>
                    <a:r>
                      <a:rPr lang="en-US" sz="800"/>
                      <a:t>54</a:t>
                    </a:r>
                  </a:p>
                </c:rich>
              </c:tx>
              <c:dLblPos val="outEnd"/>
              <c:showVal val="1"/>
            </c:dLbl>
            <c:dLbl>
              <c:idx val="2"/>
              <c:tx>
                <c:rich>
                  <a:bodyPr/>
                  <a:lstStyle/>
                  <a:p>
                    <a:r>
                      <a:rPr lang="en-US" sz="800"/>
                      <a:t>2,4</a:t>
                    </a:r>
                  </a:p>
                </c:rich>
              </c:tx>
              <c:dLblPos val="outEnd"/>
              <c:showVal val="1"/>
            </c:dLbl>
            <c:txPr>
              <a:bodyPr/>
              <a:lstStyle/>
              <a:p>
                <a:pPr>
                  <a:defRPr lang="tr-TR"/>
                </a:pPr>
                <a:endParaRPr lang="tr-TR"/>
              </a:p>
            </c:txPr>
            <c:dLblPos val="outEnd"/>
            <c:showVal val="1"/>
          </c:dLbls>
          <c:cat>
            <c:strRef>
              <c:f>distribution!$I$9:$I$11</c:f>
              <c:strCache>
                <c:ptCount val="3"/>
                <c:pt idx="0">
                  <c:v>Kademe 2'nin Altı</c:v>
                </c:pt>
                <c:pt idx="1">
                  <c:v>Kademe 2-5</c:v>
                </c:pt>
                <c:pt idx="2">
                  <c:v>Kademe 5 ve üzeri</c:v>
                </c:pt>
              </c:strCache>
            </c:strRef>
          </c:cat>
          <c:val>
            <c:numRef>
              <c:f>distribution!$B$17:$D$17</c:f>
              <c:numCache>
                <c:formatCode>0.0</c:formatCode>
                <c:ptCount val="3"/>
                <c:pt idx="0">
                  <c:v>43.631239217658731</c:v>
                </c:pt>
                <c:pt idx="1">
                  <c:v>53.974649294126444</c:v>
                </c:pt>
                <c:pt idx="2">
                  <c:v>2.3941114882147674</c:v>
                </c:pt>
              </c:numCache>
            </c:numRef>
          </c:val>
        </c:ser>
        <c:ser>
          <c:idx val="2"/>
          <c:order val="1"/>
          <c:tx>
            <c:v>2012-TR</c:v>
          </c:tx>
          <c:dLbls>
            <c:dLbl>
              <c:idx val="0"/>
              <c:tx>
                <c:rich>
                  <a:bodyPr/>
                  <a:lstStyle/>
                  <a:p>
                    <a:r>
                      <a:rPr lang="en-US" sz="800"/>
                      <a:t>30</a:t>
                    </a:r>
                  </a:p>
                </c:rich>
              </c:tx>
              <c:dLblPos val="outEnd"/>
              <c:showVal val="1"/>
            </c:dLbl>
            <c:dLbl>
              <c:idx val="1"/>
              <c:tx>
                <c:rich>
                  <a:bodyPr/>
                  <a:lstStyle/>
                  <a:p>
                    <a:r>
                      <a:rPr lang="en-US" sz="800"/>
                      <a:t>66</a:t>
                    </a:r>
                  </a:p>
                </c:rich>
              </c:tx>
              <c:dLblPos val="outEnd"/>
              <c:showVal val="1"/>
            </c:dLbl>
            <c:dLbl>
              <c:idx val="2"/>
              <c:tx>
                <c:rich>
                  <a:bodyPr/>
                  <a:lstStyle/>
                  <a:p>
                    <a:r>
                      <a:rPr lang="en-US" sz="800"/>
                      <a:t>4</a:t>
                    </a:r>
                  </a:p>
                </c:rich>
              </c:tx>
              <c:dLblPos val="outEnd"/>
              <c:showVal val="1"/>
            </c:dLbl>
            <c:txPr>
              <a:bodyPr/>
              <a:lstStyle/>
              <a:p>
                <a:pPr>
                  <a:defRPr lang="tr-TR"/>
                </a:pPr>
                <a:endParaRPr lang="tr-TR"/>
              </a:p>
            </c:txPr>
            <c:dLblPos val="outEnd"/>
            <c:showVal val="1"/>
          </c:dLbls>
          <c:cat>
            <c:strRef>
              <c:f>distribution!$I$9:$I$11</c:f>
              <c:strCache>
                <c:ptCount val="3"/>
                <c:pt idx="0">
                  <c:v>Kademe 2'nin Altı</c:v>
                </c:pt>
                <c:pt idx="1">
                  <c:v>Kademe 2-5</c:v>
                </c:pt>
                <c:pt idx="2">
                  <c:v>Kademe 5 ve üzeri</c:v>
                </c:pt>
              </c:strCache>
            </c:strRef>
          </c:cat>
          <c:val>
            <c:numRef>
              <c:f>distribution!$B$7:$D$7</c:f>
              <c:numCache>
                <c:formatCode>0.0</c:formatCode>
                <c:ptCount val="3"/>
                <c:pt idx="0">
                  <c:v>29.989582027768826</c:v>
                </c:pt>
                <c:pt idx="1">
                  <c:v>66.004128244935927</c:v>
                </c:pt>
                <c:pt idx="2">
                  <c:v>4.0062897272952798</c:v>
                </c:pt>
              </c:numCache>
            </c:numRef>
          </c:val>
        </c:ser>
        <c:ser>
          <c:idx val="1"/>
          <c:order val="2"/>
          <c:tx>
            <c:v>2006 OECD ORT. </c:v>
          </c:tx>
          <c:spPr>
            <a:solidFill>
              <a:srgbClr val="002060"/>
            </a:solidFill>
          </c:spPr>
          <c:dLbls>
            <c:dLbl>
              <c:idx val="0"/>
              <c:tx>
                <c:rich>
                  <a:bodyPr/>
                  <a:lstStyle/>
                  <a:p>
                    <a:r>
                      <a:rPr lang="en-US" sz="800"/>
                      <a:t>21,1</a:t>
                    </a:r>
                  </a:p>
                </c:rich>
              </c:tx>
              <c:dLblPos val="outEnd"/>
              <c:showVal val="1"/>
            </c:dLbl>
            <c:dLbl>
              <c:idx val="1"/>
              <c:tx>
                <c:rich>
                  <a:bodyPr/>
                  <a:lstStyle/>
                  <a:p>
                    <a:r>
                      <a:rPr lang="en-US" sz="800"/>
                      <a:t>69</a:t>
                    </a:r>
                  </a:p>
                </c:rich>
              </c:tx>
              <c:dLblPos val="outEnd"/>
              <c:showVal val="1"/>
            </c:dLbl>
            <c:dLbl>
              <c:idx val="2"/>
              <c:tx>
                <c:rich>
                  <a:bodyPr/>
                  <a:lstStyle/>
                  <a:p>
                    <a:r>
                      <a:rPr lang="en-US" sz="800"/>
                      <a:t>9,9</a:t>
                    </a:r>
                  </a:p>
                </c:rich>
              </c:tx>
              <c:dLblPos val="outEnd"/>
              <c:showVal val="1"/>
            </c:dLbl>
            <c:txPr>
              <a:bodyPr/>
              <a:lstStyle/>
              <a:p>
                <a:pPr>
                  <a:defRPr lang="tr-TR"/>
                </a:pPr>
                <a:endParaRPr lang="tr-TR"/>
              </a:p>
            </c:txPr>
            <c:dLblPos val="outEnd"/>
            <c:showVal val="1"/>
          </c:dLbls>
          <c:cat>
            <c:strRef>
              <c:f>distribution!$I$9:$I$11</c:f>
              <c:strCache>
                <c:ptCount val="3"/>
                <c:pt idx="0">
                  <c:v>Kademe 2'nin Altı</c:v>
                </c:pt>
                <c:pt idx="1">
                  <c:v>Kademe 2-5</c:v>
                </c:pt>
                <c:pt idx="2">
                  <c:v>Kademe 5 ve üzeri</c:v>
                </c:pt>
              </c:strCache>
            </c:strRef>
          </c:cat>
          <c:val>
            <c:numRef>
              <c:f>distribution!$E$17:$G$17</c:f>
              <c:numCache>
                <c:formatCode>0.0</c:formatCode>
                <c:ptCount val="3"/>
                <c:pt idx="0">
                  <c:v>21.066666666666666</c:v>
                </c:pt>
                <c:pt idx="1">
                  <c:v>69</c:v>
                </c:pt>
                <c:pt idx="2">
                  <c:v>9.9333333333333353</c:v>
                </c:pt>
              </c:numCache>
            </c:numRef>
          </c:val>
        </c:ser>
        <c:ser>
          <c:idx val="3"/>
          <c:order val="3"/>
          <c:tx>
            <c:v>2012-OECD</c:v>
          </c:tx>
          <c:spPr>
            <a:solidFill>
              <a:schemeClr val="tx2">
                <a:lumMod val="60000"/>
                <a:lumOff val="40000"/>
              </a:schemeClr>
            </a:solidFill>
          </c:spPr>
          <c:dLbls>
            <c:dLbl>
              <c:idx val="0"/>
              <c:tx>
                <c:rich>
                  <a:bodyPr/>
                  <a:lstStyle/>
                  <a:p>
                    <a:r>
                      <a:rPr lang="en-US" sz="800"/>
                      <a:t>19,6</a:t>
                    </a:r>
                  </a:p>
                </c:rich>
              </c:tx>
              <c:dLblPos val="outEnd"/>
              <c:showVal val="1"/>
            </c:dLbl>
            <c:dLbl>
              <c:idx val="1"/>
              <c:tx>
                <c:rich>
                  <a:bodyPr/>
                  <a:lstStyle/>
                  <a:p>
                    <a:r>
                      <a:rPr lang="en-US" sz="800"/>
                      <a:t>70,6</a:t>
                    </a:r>
                  </a:p>
                </c:rich>
              </c:tx>
              <c:dLblPos val="outEnd"/>
              <c:showVal val="1"/>
            </c:dLbl>
            <c:dLbl>
              <c:idx val="2"/>
              <c:tx>
                <c:rich>
                  <a:bodyPr/>
                  <a:lstStyle/>
                  <a:p>
                    <a:r>
                      <a:rPr lang="en-US" sz="800"/>
                      <a:t>9,8</a:t>
                    </a:r>
                  </a:p>
                </c:rich>
              </c:tx>
              <c:dLblPos val="outEnd"/>
              <c:showVal val="1"/>
            </c:dLbl>
            <c:txPr>
              <a:bodyPr/>
              <a:lstStyle/>
              <a:p>
                <a:pPr>
                  <a:defRPr lang="tr-TR"/>
                </a:pPr>
                <a:endParaRPr lang="tr-TR"/>
              </a:p>
            </c:txPr>
            <c:dLblPos val="outEnd"/>
            <c:showVal val="1"/>
          </c:dLbls>
          <c:cat>
            <c:strRef>
              <c:f>distribution!$I$9:$I$11</c:f>
              <c:strCache>
                <c:ptCount val="3"/>
                <c:pt idx="0">
                  <c:v>Kademe 2'nin Altı</c:v>
                </c:pt>
                <c:pt idx="1">
                  <c:v>Kademe 2-5</c:v>
                </c:pt>
                <c:pt idx="2">
                  <c:v>Kademe 5 ve üzeri</c:v>
                </c:pt>
              </c:strCache>
            </c:strRef>
          </c:cat>
          <c:val>
            <c:numRef>
              <c:f>distribution!$E$7:$G$7</c:f>
              <c:numCache>
                <c:formatCode>0.0</c:formatCode>
                <c:ptCount val="3"/>
                <c:pt idx="0">
                  <c:v>19.574156199734031</c:v>
                </c:pt>
                <c:pt idx="1">
                  <c:v>70.607017130763424</c:v>
                </c:pt>
                <c:pt idx="2">
                  <c:v>9.8188266695023145</c:v>
                </c:pt>
              </c:numCache>
            </c:numRef>
          </c:val>
        </c:ser>
        <c:dLbls>
          <c:showVal val="1"/>
        </c:dLbls>
        <c:gapWidth val="75"/>
        <c:axId val="62590976"/>
        <c:axId val="62592512"/>
      </c:barChart>
      <c:catAx>
        <c:axId val="62590976"/>
        <c:scaling>
          <c:orientation val="minMax"/>
        </c:scaling>
        <c:axPos val="b"/>
        <c:majorTickMark val="none"/>
        <c:tickLblPos val="nextTo"/>
        <c:txPr>
          <a:bodyPr/>
          <a:lstStyle/>
          <a:p>
            <a:pPr>
              <a:defRPr lang="tr-TR" sz="800" b="0"/>
            </a:pPr>
            <a:endParaRPr lang="tr-TR"/>
          </a:p>
        </c:txPr>
        <c:crossAx val="62592512"/>
        <c:crosses val="autoZero"/>
        <c:auto val="1"/>
        <c:lblAlgn val="ctr"/>
        <c:lblOffset val="100"/>
      </c:catAx>
      <c:valAx>
        <c:axId val="62592512"/>
        <c:scaling>
          <c:orientation val="minMax"/>
        </c:scaling>
        <c:delete val="1"/>
        <c:axPos val="l"/>
        <c:title>
          <c:tx>
            <c:rich>
              <a:bodyPr rot="-5400000" vert="horz"/>
              <a:lstStyle/>
              <a:p>
                <a:pPr>
                  <a:defRPr lang="tr-TR"/>
                </a:pPr>
                <a:r>
                  <a:rPr lang="tr-TR" sz="800" b="0"/>
                  <a:t>Yüzdelik</a:t>
                </a:r>
                <a:r>
                  <a:rPr lang="tr-TR" sz="800" b="0" baseline="0"/>
                  <a:t> oranlar</a:t>
                </a:r>
                <a:endParaRPr lang="tr-TR" sz="800" b="0"/>
              </a:p>
            </c:rich>
          </c:tx>
        </c:title>
        <c:numFmt formatCode="0.0" sourceLinked="1"/>
        <c:majorTickMark val="none"/>
        <c:tickLblPos val="nextTo"/>
        <c:crossAx val="62590976"/>
        <c:crosses val="autoZero"/>
        <c:crossBetween val="between"/>
        <c:majorUnit val="20"/>
      </c:valAx>
    </c:plotArea>
    <c:legend>
      <c:legendPos val="b"/>
      <c:txPr>
        <a:bodyPr/>
        <a:lstStyle/>
        <a:p>
          <a:pPr>
            <a:defRPr lang="tr-TR" sz="800" b="1"/>
          </a:pPr>
          <a:endParaRPr lang="tr-TR"/>
        </a:p>
      </c:txPr>
    </c:legend>
    <c:plotVisOnly val="1"/>
    <c:dispBlanksAs val="gap"/>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style val="8"/>
  <c:chart>
    <c:plotArea>
      <c:layout/>
      <c:barChart>
        <c:barDir val="col"/>
        <c:grouping val="clustered"/>
        <c:ser>
          <c:idx val="0"/>
          <c:order val="0"/>
          <c:tx>
            <c:v>2003</c:v>
          </c:tx>
          <c:spPr>
            <a:solidFill>
              <a:schemeClr val="accent6">
                <a:lumMod val="50000"/>
              </a:schemeClr>
            </a:solidFill>
          </c:spPr>
          <c:dLbls>
            <c:txPr>
              <a:bodyPr/>
              <a:lstStyle/>
              <a:p>
                <a:pPr>
                  <a:defRPr sz="800"/>
                </a:pPr>
                <a:endParaRPr lang="tr-TR"/>
              </a:p>
            </c:txPr>
            <c:showVal val="1"/>
          </c:dLbls>
          <c:val>
            <c:numRef>
              <c:f>'şekil 6'!$C$2:$C$6</c:f>
              <c:numCache>
                <c:formatCode>General</c:formatCode>
                <c:ptCount val="5"/>
                <c:pt idx="0">
                  <c:v>387</c:v>
                </c:pt>
                <c:pt idx="1">
                  <c:v>405</c:v>
                </c:pt>
                <c:pt idx="2">
                  <c:v>420</c:v>
                </c:pt>
                <c:pt idx="3">
                  <c:v>443</c:v>
                </c:pt>
                <c:pt idx="4">
                  <c:v>511</c:v>
                </c:pt>
              </c:numCache>
            </c:numRef>
          </c:val>
        </c:ser>
        <c:ser>
          <c:idx val="1"/>
          <c:order val="1"/>
          <c:tx>
            <c:v>2009</c:v>
          </c:tx>
          <c:dLbls>
            <c:txPr>
              <a:bodyPr/>
              <a:lstStyle/>
              <a:p>
                <a:pPr>
                  <a:defRPr sz="800"/>
                </a:pPr>
                <a:endParaRPr lang="tr-TR"/>
              </a:p>
            </c:txPr>
            <c:showVal val="1"/>
          </c:dLbls>
          <c:val>
            <c:numRef>
              <c:f>'şekil 6'!$C$7:$C$11</c:f>
              <c:numCache>
                <c:formatCode>General</c:formatCode>
                <c:ptCount val="5"/>
                <c:pt idx="0">
                  <c:v>408</c:v>
                </c:pt>
                <c:pt idx="1">
                  <c:v>435</c:v>
                </c:pt>
                <c:pt idx="2">
                  <c:v>451</c:v>
                </c:pt>
                <c:pt idx="3">
                  <c:v>467</c:v>
                </c:pt>
                <c:pt idx="4">
                  <c:v>514</c:v>
                </c:pt>
              </c:numCache>
            </c:numRef>
          </c:val>
        </c:ser>
        <c:ser>
          <c:idx val="2"/>
          <c:order val="2"/>
          <c:tx>
            <c:v>2012</c:v>
          </c:tx>
          <c:dLbls>
            <c:txPr>
              <a:bodyPr/>
              <a:lstStyle/>
              <a:p>
                <a:pPr>
                  <a:defRPr sz="800"/>
                </a:pPr>
                <a:endParaRPr lang="tr-TR"/>
              </a:p>
            </c:txPr>
            <c:showVal val="1"/>
          </c:dLbls>
          <c:val>
            <c:numRef>
              <c:f>'şekil 6'!$C$12:$C$16</c:f>
              <c:numCache>
                <c:formatCode>General</c:formatCode>
                <c:ptCount val="5"/>
                <c:pt idx="0">
                  <c:v>443</c:v>
                </c:pt>
                <c:pt idx="1">
                  <c:v>463</c:v>
                </c:pt>
                <c:pt idx="2">
                  <c:v>488</c:v>
                </c:pt>
                <c:pt idx="3">
                  <c:v>503</c:v>
                </c:pt>
                <c:pt idx="4">
                  <c:v>536</c:v>
                </c:pt>
              </c:numCache>
            </c:numRef>
          </c:val>
        </c:ser>
        <c:dLbls>
          <c:showVal val="1"/>
        </c:dLbls>
        <c:gapWidth val="75"/>
        <c:axId val="62660608"/>
        <c:axId val="62662528"/>
      </c:barChart>
      <c:catAx>
        <c:axId val="62660608"/>
        <c:scaling>
          <c:orientation val="minMax"/>
        </c:scaling>
        <c:axPos val="b"/>
        <c:title>
          <c:tx>
            <c:rich>
              <a:bodyPr/>
              <a:lstStyle/>
              <a:p>
                <a:pPr>
                  <a:defRPr/>
                </a:pPr>
                <a:r>
                  <a:rPr lang="tr-TR" sz="800" b="0"/>
                  <a:t>Sosyoekonomik</a:t>
                </a:r>
                <a:r>
                  <a:rPr lang="tr-TR" sz="800" b="0" baseline="0"/>
                  <a:t> Endeksteki yüzde 20'lik dilimler</a:t>
                </a:r>
                <a:endParaRPr lang="tr-TR" sz="800" b="0"/>
              </a:p>
            </c:rich>
          </c:tx>
        </c:title>
        <c:majorTickMark val="none"/>
        <c:tickLblPos val="nextTo"/>
        <c:txPr>
          <a:bodyPr/>
          <a:lstStyle/>
          <a:p>
            <a:pPr>
              <a:defRPr sz="800"/>
            </a:pPr>
            <a:endParaRPr lang="tr-TR"/>
          </a:p>
        </c:txPr>
        <c:crossAx val="62662528"/>
        <c:crosses val="autoZero"/>
        <c:auto val="1"/>
        <c:lblAlgn val="ctr"/>
        <c:lblOffset val="100"/>
      </c:catAx>
      <c:valAx>
        <c:axId val="62662528"/>
        <c:scaling>
          <c:orientation val="minMax"/>
          <c:min val="300"/>
        </c:scaling>
        <c:delete val="1"/>
        <c:axPos val="l"/>
        <c:title>
          <c:tx>
            <c:rich>
              <a:bodyPr rot="-5400000" vert="horz"/>
              <a:lstStyle/>
              <a:p>
                <a:pPr>
                  <a:defRPr/>
                </a:pPr>
                <a:r>
                  <a:rPr lang="tr-TR" sz="800" b="0"/>
                  <a:t>Ortalama</a:t>
                </a:r>
                <a:r>
                  <a:rPr lang="tr-TR" sz="800" b="0" baseline="0"/>
                  <a:t> </a:t>
                </a:r>
                <a:r>
                  <a:rPr lang="tr-TR" sz="800" b="0"/>
                  <a:t>PISA</a:t>
                </a:r>
                <a:r>
                  <a:rPr lang="tr-TR" sz="800" b="0" baseline="0"/>
                  <a:t> puanları</a:t>
                </a:r>
                <a:endParaRPr lang="tr-TR" sz="800" b="0"/>
              </a:p>
            </c:rich>
          </c:tx>
        </c:title>
        <c:numFmt formatCode="General" sourceLinked="1"/>
        <c:majorTickMark val="none"/>
        <c:tickLblPos val="nextTo"/>
        <c:crossAx val="62660608"/>
        <c:crosses val="autoZero"/>
        <c:crossBetween val="between"/>
        <c:majorUnit val="100"/>
      </c:valAx>
    </c:plotArea>
    <c:legend>
      <c:legendPos val="b"/>
      <c:txPr>
        <a:bodyPr/>
        <a:lstStyle/>
        <a:p>
          <a:pPr>
            <a:defRPr sz="800" b="1"/>
          </a:pPr>
          <a:endParaRPr lang="tr-TR"/>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style val="8"/>
  <c:chart>
    <c:autoTitleDeleted val="1"/>
    <c:plotArea>
      <c:layout/>
      <c:barChart>
        <c:barDir val="col"/>
        <c:grouping val="clustered"/>
        <c:ser>
          <c:idx val="0"/>
          <c:order val="0"/>
          <c:spPr>
            <a:solidFill>
              <a:schemeClr val="accent6">
                <a:lumMod val="60000"/>
                <a:lumOff val="40000"/>
              </a:schemeClr>
            </a:solidFill>
          </c:spPr>
          <c:dLbls>
            <c:dLbl>
              <c:idx val="0"/>
              <c:layout>
                <c:manualLayout>
                  <c:x val="-1.055594651653765E-2"/>
                  <c:y val="0"/>
                </c:manualLayout>
              </c:layout>
              <c:showVal val="1"/>
            </c:dLbl>
            <c:txPr>
              <a:bodyPr/>
              <a:lstStyle/>
              <a:p>
                <a:pPr>
                  <a:defRPr lang="tr-TR" sz="800"/>
                </a:pPr>
                <a:endParaRPr lang="tr-TR"/>
              </a:p>
            </c:txPr>
            <c:showVal val="1"/>
          </c:dLbls>
          <c:cat>
            <c:strRef>
              <c:f>Location!$J$3:$J$7</c:f>
              <c:strCache>
                <c:ptCount val="5"/>
                <c:pt idx="0">
                  <c:v>Köy</c:v>
                </c:pt>
                <c:pt idx="1">
                  <c:v>Küçük Kasaba</c:v>
                </c:pt>
                <c:pt idx="2">
                  <c:v>Kasaba</c:v>
                </c:pt>
                <c:pt idx="3">
                  <c:v>Şehir</c:v>
                </c:pt>
                <c:pt idx="4">
                  <c:v>Büyük Şehir</c:v>
                </c:pt>
              </c:strCache>
            </c:strRef>
          </c:cat>
          <c:val>
            <c:numRef>
              <c:f>Location!$H$54:$H$58</c:f>
              <c:numCache>
                <c:formatCode>0.00</c:formatCode>
                <c:ptCount val="5"/>
                <c:pt idx="0">
                  <c:v>3.8243333333333331</c:v>
                </c:pt>
                <c:pt idx="1">
                  <c:v>2.9393000000000038</c:v>
                </c:pt>
                <c:pt idx="2">
                  <c:v>3.2759999999999887</c:v>
                </c:pt>
                <c:pt idx="3">
                  <c:v>-5.962666666666661</c:v>
                </c:pt>
                <c:pt idx="4">
                  <c:v>3.8603333333333274</c:v>
                </c:pt>
              </c:numCache>
            </c:numRef>
          </c:val>
        </c:ser>
        <c:dLbls>
          <c:showVal val="1"/>
        </c:dLbls>
        <c:gapWidth val="75"/>
        <c:axId val="62703488"/>
        <c:axId val="62705024"/>
      </c:barChart>
      <c:catAx>
        <c:axId val="62703488"/>
        <c:scaling>
          <c:orientation val="minMax"/>
        </c:scaling>
        <c:axPos val="b"/>
        <c:majorTickMark val="none"/>
        <c:tickLblPos val="nextTo"/>
        <c:txPr>
          <a:bodyPr/>
          <a:lstStyle/>
          <a:p>
            <a:pPr>
              <a:defRPr lang="tr-TR" sz="800" b="0"/>
            </a:pPr>
            <a:endParaRPr lang="tr-TR"/>
          </a:p>
        </c:txPr>
        <c:crossAx val="62705024"/>
        <c:crosses val="autoZero"/>
        <c:auto val="1"/>
        <c:lblAlgn val="ctr"/>
        <c:lblOffset val="100"/>
      </c:catAx>
      <c:valAx>
        <c:axId val="62705024"/>
        <c:scaling>
          <c:orientation val="minMax"/>
          <c:max val="4"/>
          <c:min val="-6"/>
        </c:scaling>
        <c:axPos val="l"/>
        <c:title>
          <c:tx>
            <c:rich>
              <a:bodyPr rot="-5400000" vert="horz"/>
              <a:lstStyle/>
              <a:p>
                <a:pPr>
                  <a:defRPr lang="tr-TR"/>
                </a:pPr>
                <a:r>
                  <a:rPr lang="tr-TR" sz="800" b="0"/>
                  <a:t>PISA puanları</a:t>
                </a:r>
              </a:p>
            </c:rich>
          </c:tx>
        </c:title>
        <c:numFmt formatCode="0.00" sourceLinked="1"/>
        <c:majorTickMark val="none"/>
        <c:tickLblPos val="nextTo"/>
        <c:txPr>
          <a:bodyPr/>
          <a:lstStyle/>
          <a:p>
            <a:pPr>
              <a:defRPr lang="tr-TR" sz="800"/>
            </a:pPr>
            <a:endParaRPr lang="tr-TR"/>
          </a:p>
        </c:txPr>
        <c:crossAx val="62703488"/>
        <c:crosses val="autoZero"/>
        <c:crossBetween val="between"/>
        <c:majorUnit val="2"/>
      </c:valAx>
      <c:spPr>
        <a:ln>
          <a:noFill/>
        </a:ln>
      </c:spPr>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style val="8"/>
  <c:chart>
    <c:plotArea>
      <c:layout/>
      <c:barChart>
        <c:barDir val="col"/>
        <c:grouping val="clustered"/>
        <c:ser>
          <c:idx val="0"/>
          <c:order val="0"/>
          <c:tx>
            <c:v>2009</c:v>
          </c:tx>
          <c:spPr>
            <a:solidFill>
              <a:schemeClr val="accent6">
                <a:lumMod val="50000"/>
              </a:schemeClr>
            </a:solidFill>
          </c:spPr>
          <c:dLbls>
            <c:spPr>
              <a:noFill/>
              <a:ln>
                <a:noFill/>
              </a:ln>
              <a:effectLst/>
            </c:spPr>
            <c:txPr>
              <a:bodyPr/>
              <a:lstStyle/>
              <a:p>
                <a:pPr>
                  <a:defRPr lang="en-US" sz="800"/>
                </a:pPr>
                <a:endParaRPr lang="tr-TR"/>
              </a:p>
            </c:txPr>
            <c:showVal val="1"/>
            <c:extLst>
              <c:ext xmlns:c15="http://schemas.microsoft.com/office/drawing/2012/chart" uri="{CE6537A1-D6FC-4f65-9D91-7224C49458BB}">
                <c15:showLeaderLines val="0"/>
              </c:ext>
            </c:extLst>
          </c:dLbls>
          <c:cat>
            <c:strRef>
              <c:f>Location!$J$3:$J$7</c:f>
              <c:strCache>
                <c:ptCount val="5"/>
                <c:pt idx="0">
                  <c:v>Köy</c:v>
                </c:pt>
                <c:pt idx="1">
                  <c:v>Küçük Kasaba</c:v>
                </c:pt>
                <c:pt idx="2">
                  <c:v>Kasaba</c:v>
                </c:pt>
                <c:pt idx="3">
                  <c:v>Şehir</c:v>
                </c:pt>
                <c:pt idx="4">
                  <c:v>Büyük Şehir</c:v>
                </c:pt>
              </c:strCache>
            </c:strRef>
          </c:cat>
          <c:val>
            <c:numRef>
              <c:f>Location!$C$54:$C$58</c:f>
              <c:numCache>
                <c:formatCode>0</c:formatCode>
                <c:ptCount val="5"/>
                <c:pt idx="0">
                  <c:v>352.66666666666708</c:v>
                </c:pt>
                <c:pt idx="1">
                  <c:v>434.33333333333331</c:v>
                </c:pt>
                <c:pt idx="2">
                  <c:v>459.66666666666708</c:v>
                </c:pt>
                <c:pt idx="3">
                  <c:v>470</c:v>
                </c:pt>
                <c:pt idx="4">
                  <c:v>452</c:v>
                </c:pt>
              </c:numCache>
            </c:numRef>
          </c:val>
        </c:ser>
        <c:ser>
          <c:idx val="1"/>
          <c:order val="1"/>
          <c:tx>
            <c:v>2012</c:v>
          </c:tx>
          <c:dLbls>
            <c:spPr>
              <a:noFill/>
              <a:ln>
                <a:noFill/>
              </a:ln>
              <a:effectLst/>
            </c:spPr>
            <c:txPr>
              <a:bodyPr/>
              <a:lstStyle/>
              <a:p>
                <a:pPr>
                  <a:defRPr lang="en-US" sz="800"/>
                </a:pPr>
                <a:endParaRPr lang="tr-TR"/>
              </a:p>
            </c:txPr>
            <c:showVal val="1"/>
            <c:extLst>
              <c:ext xmlns:c15="http://schemas.microsoft.com/office/drawing/2012/chart" uri="{CE6537A1-D6FC-4f65-9D91-7224C49458BB}">
                <c15:showLeaderLines val="0"/>
              </c:ext>
            </c:extLst>
          </c:dLbls>
          <c:cat>
            <c:strRef>
              <c:f>Location!$J$3:$J$7</c:f>
              <c:strCache>
                <c:ptCount val="5"/>
                <c:pt idx="0">
                  <c:v>Köy</c:v>
                </c:pt>
                <c:pt idx="1">
                  <c:v>Küçük Kasaba</c:v>
                </c:pt>
                <c:pt idx="2">
                  <c:v>Kasaba</c:v>
                </c:pt>
                <c:pt idx="3">
                  <c:v>Şehir</c:v>
                </c:pt>
                <c:pt idx="4">
                  <c:v>Büyük Şehir</c:v>
                </c:pt>
              </c:strCache>
            </c:strRef>
          </c:cat>
          <c:val>
            <c:numRef>
              <c:f>Location!$D$54:$D$58</c:f>
              <c:numCache>
                <c:formatCode>0</c:formatCode>
                <c:ptCount val="5"/>
                <c:pt idx="0">
                  <c:v>481</c:v>
                </c:pt>
                <c:pt idx="1">
                  <c:v>464.66666666666708</c:v>
                </c:pt>
                <c:pt idx="2">
                  <c:v>471.33333333333331</c:v>
                </c:pt>
                <c:pt idx="3">
                  <c:v>448.66666666666708</c:v>
                </c:pt>
                <c:pt idx="4">
                  <c:v>464.33333333333331</c:v>
                </c:pt>
              </c:numCache>
            </c:numRef>
          </c:val>
        </c:ser>
        <c:dLbls>
          <c:showVal val="1"/>
        </c:dLbls>
        <c:gapWidth val="75"/>
        <c:axId val="67907968"/>
        <c:axId val="67909504"/>
      </c:barChart>
      <c:catAx>
        <c:axId val="67907968"/>
        <c:scaling>
          <c:orientation val="minMax"/>
        </c:scaling>
        <c:axPos val="b"/>
        <c:numFmt formatCode="General" sourceLinked="0"/>
        <c:majorTickMark val="none"/>
        <c:tickLblPos val="nextTo"/>
        <c:txPr>
          <a:bodyPr/>
          <a:lstStyle/>
          <a:p>
            <a:pPr>
              <a:defRPr lang="en-US" sz="800" b="0"/>
            </a:pPr>
            <a:endParaRPr lang="tr-TR"/>
          </a:p>
        </c:txPr>
        <c:crossAx val="67909504"/>
        <c:crosses val="autoZero"/>
        <c:auto val="1"/>
        <c:lblAlgn val="ctr"/>
        <c:lblOffset val="100"/>
      </c:catAx>
      <c:valAx>
        <c:axId val="67909504"/>
        <c:scaling>
          <c:orientation val="minMax"/>
          <c:min val="300"/>
        </c:scaling>
        <c:axPos val="l"/>
        <c:title>
          <c:tx>
            <c:rich>
              <a:bodyPr rot="-5400000" vert="horz"/>
              <a:lstStyle/>
              <a:p>
                <a:pPr>
                  <a:defRPr lang="en-US"/>
                </a:pPr>
                <a:r>
                  <a:rPr lang="tr-TR" sz="800" b="0"/>
                  <a:t>PISA puanları</a:t>
                </a:r>
              </a:p>
            </c:rich>
          </c:tx>
          <c:layout>
            <c:manualLayout>
              <c:xMode val="edge"/>
              <c:yMode val="edge"/>
              <c:x val="2.7777777777777901E-2"/>
              <c:y val="0.14741387056347732"/>
            </c:manualLayout>
          </c:layout>
        </c:title>
        <c:numFmt formatCode="0" sourceLinked="1"/>
        <c:tickLblPos val="nextTo"/>
        <c:txPr>
          <a:bodyPr/>
          <a:lstStyle/>
          <a:p>
            <a:pPr>
              <a:defRPr lang="en-US" sz="800"/>
            </a:pPr>
            <a:endParaRPr lang="tr-TR"/>
          </a:p>
        </c:txPr>
        <c:crossAx val="67907968"/>
        <c:crosses val="autoZero"/>
        <c:crossBetween val="between"/>
        <c:majorUnit val="100"/>
      </c:valAx>
    </c:plotArea>
    <c:legend>
      <c:legendPos val="b"/>
      <c:txPr>
        <a:bodyPr/>
        <a:lstStyle/>
        <a:p>
          <a:pPr>
            <a:defRPr lang="en-US" sz="800" b="1"/>
          </a:pPr>
          <a:endParaRPr lang="tr-TR"/>
        </a:p>
      </c:txPr>
    </c:legend>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0.10694</cdr:x>
      <cdr:y>0.43027</cdr:y>
    </cdr:from>
    <cdr:to>
      <cdr:x>0.14259</cdr:x>
      <cdr:y>0.49852</cdr:y>
    </cdr:to>
    <cdr:sp macro="" textlink="">
      <cdr:nvSpPr>
        <cdr:cNvPr id="2" name="TextBox 1"/>
        <cdr:cNvSpPr txBox="1"/>
      </cdr:nvSpPr>
      <cdr:spPr>
        <a:xfrm xmlns:a="http://schemas.openxmlformats.org/drawingml/2006/main">
          <a:off x="542926" y="1381126"/>
          <a:ext cx="18097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tr-TR" sz="1100"/>
        </a:p>
      </cdr:txBody>
    </cdr:sp>
  </cdr:relSizeAnchor>
</c:userShapes>
</file>

<file path=word/drawings/drawing2.xml><?xml version="1.0" encoding="utf-8"?>
<c:userShapes xmlns:c="http://schemas.openxmlformats.org/drawingml/2006/chart">
  <cdr:relSizeAnchor xmlns:cdr="http://schemas.openxmlformats.org/drawingml/2006/chartDrawing">
    <cdr:from>
      <cdr:x>0.122</cdr:x>
      <cdr:y>0.20231</cdr:y>
    </cdr:from>
    <cdr:to>
      <cdr:x>0.29945</cdr:x>
      <cdr:y>0.47977</cdr:y>
    </cdr:to>
    <cdr:sp macro="" textlink="">
      <cdr:nvSpPr>
        <cdr:cNvPr id="4" name="TextBox 3"/>
        <cdr:cNvSpPr txBox="1"/>
      </cdr:nvSpPr>
      <cdr:spPr>
        <a:xfrm xmlns:a="http://schemas.openxmlformats.org/drawingml/2006/main">
          <a:off x="628651" y="6667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0.13309</cdr:x>
      <cdr:y>0.18497</cdr:y>
    </cdr:from>
    <cdr:to>
      <cdr:x>0.20518</cdr:x>
      <cdr:y>0.2948</cdr:y>
    </cdr:to>
    <cdr:sp macro="" textlink="">
      <cdr:nvSpPr>
        <cdr:cNvPr id="5" name="TextBox 4"/>
        <cdr:cNvSpPr txBox="1"/>
      </cdr:nvSpPr>
      <cdr:spPr>
        <a:xfrm xmlns:a="http://schemas.openxmlformats.org/drawingml/2006/main">
          <a:off x="685801" y="609600"/>
          <a:ext cx="371475" cy="3619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FE24-3102-4AE4-BBE1-A177D781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mine.durmaz</dc:creator>
  <cp:lastModifiedBy>mine.durmaz</cp:lastModifiedBy>
  <cp:revision>86</cp:revision>
  <cp:lastPrinted>2014-01-21T07:44:00Z</cp:lastPrinted>
  <dcterms:created xsi:type="dcterms:W3CDTF">2014-01-15T14:11:00Z</dcterms:created>
  <dcterms:modified xsi:type="dcterms:W3CDTF">2014-01-22T07:29:00Z</dcterms:modified>
</cp:coreProperties>
</file>