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C" w:rsidRPr="00C407CF" w:rsidRDefault="00855EAA">
      <w:pPr>
        <w:rPr>
          <w:sz w:val="20"/>
          <w:szCs w:val="20"/>
          <w:lang w:val="tr-TR"/>
        </w:rPr>
      </w:pPr>
      <w:r w:rsidRPr="00C407CF">
        <w:rPr>
          <w:noProof/>
          <w:sz w:val="20"/>
          <w:szCs w:val="20"/>
          <w:lang w:val="tr-TR" w:eastAsia="tr-TR"/>
        </w:rPr>
        <w:pict>
          <v:shapetype id="_x0000_t202" coordsize="21600,21600" o:spt="202" path="m,l,21600r21600,l21600,xe">
            <v:stroke joinstyle="miter"/>
            <v:path gradientshapeok="t" o:connecttype="rect"/>
          </v:shapetype>
          <v:shape id="Text Box 3" o:spid="_x0000_s1026" type="#_x0000_t202" style="position:absolute;margin-left:131.6pt;margin-top:-36.3pt;width:312.1pt;height:36.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" stroked="f">
            <v:fill opacity="0"/>
            <v:textbox inset="0,0,0,0">
              <w:txbxContent>
                <w:p w:rsidR="00C13C55" w:rsidRPr="002865A7" w:rsidRDefault="00C13C55" w:rsidP="00C13C55">
                  <w:pPr>
                    <w:pStyle w:val="Heading1"/>
                    <w:rPr>
                      <w:rFonts w:ascii="Times New Roman" w:hAnsi="Times New Roman"/>
                      <w:sz w:val="52"/>
                      <w:szCs w:val="52"/>
                    </w:rPr>
                  </w:pPr>
                  <w:r>
                    <w:rPr>
                      <w:rFonts w:ascii="Times New Roman" w:hAnsi="Times New Roman"/>
                      <w:sz w:val="52"/>
                      <w:szCs w:val="52"/>
                    </w:rPr>
                    <w:t xml:space="preserve">Araştırma Notu </w:t>
                  </w:r>
                  <w:r w:rsidRPr="002865A7">
                    <w:rPr>
                      <w:rFonts w:ascii="Times New Roman" w:hAnsi="Times New Roman"/>
                      <w:sz w:val="52"/>
                      <w:szCs w:val="52"/>
                    </w:rPr>
                    <w:t>13/</w:t>
                  </w:r>
                  <w:r w:rsidR="009A482E">
                    <w:rPr>
                      <w:rFonts w:ascii="Times New Roman" w:hAnsi="Times New Roman"/>
                      <w:sz w:val="52"/>
                      <w:szCs w:val="52"/>
                    </w:rPr>
                    <w:t>15</w:t>
                  </w:r>
                  <w:r w:rsidR="00C407CF">
                    <w:rPr>
                      <w:rFonts w:ascii="Times New Roman" w:hAnsi="Times New Roman"/>
                      <w:sz w:val="52"/>
                      <w:szCs w:val="52"/>
                    </w:rPr>
                    <w:t>9</w:t>
                  </w:r>
                </w:p>
                <w:p w:rsidR="00C13C55" w:rsidRPr="00526178" w:rsidRDefault="00C13C55" w:rsidP="00C13C55">
                  <w:pPr>
                    <w:pStyle w:val="Heading2"/>
                    <w:rPr>
                      <w:b w:val="0"/>
                      <w:bCs w:val="0"/>
                      <w:i w:val="0"/>
                      <w:iCs w:val="0"/>
                    </w:rPr>
                  </w:pPr>
                </w:p>
              </w:txbxContent>
            </v:textbox>
          </v:shape>
        </w:pict>
      </w:r>
      <w:r w:rsidR="00C13C55" w:rsidRPr="00C407CF">
        <w:rPr>
          <w:noProof/>
          <w:sz w:val="20"/>
          <w:szCs w:val="20"/>
          <w:lang w:val="tr-TR" w:eastAsia="tr-TR"/>
        </w:rPr>
        <w:drawing>
          <wp:anchor distT="0" distB="0" distL="114300" distR="114300" simplePos="0" relativeHeight="251659264" behindDoc="1" locked="0" layoutInCell="1" allowOverlap="1">
            <wp:simplePos x="0" y="0"/>
            <wp:positionH relativeFrom="column">
              <wp:posOffset>-690245</wp:posOffset>
            </wp:positionH>
            <wp:positionV relativeFrom="paragraph">
              <wp:posOffset>-661670</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pic:spPr>
                </pic:pic>
              </a:graphicData>
            </a:graphic>
          </wp:anchor>
        </w:drawing>
      </w:r>
    </w:p>
    <w:p w:rsidR="00460BD0" w:rsidRPr="00C407CF" w:rsidRDefault="00460BD0">
      <w:pPr>
        <w:rPr>
          <w:sz w:val="20"/>
          <w:szCs w:val="20"/>
          <w:lang w:val="tr-TR"/>
        </w:rPr>
      </w:pPr>
    </w:p>
    <w:p w:rsidR="00C13C55" w:rsidRPr="00C407CF" w:rsidRDefault="00855EAA" w:rsidP="00257387">
      <w:pPr>
        <w:pStyle w:val="Caption"/>
        <w:keepNext/>
        <w:rPr>
          <w:b w:val="0"/>
          <w:lang w:val="tr-TR"/>
        </w:rPr>
      </w:pPr>
      <w:r w:rsidRPr="00C407CF">
        <w:rPr>
          <w:b w:val="0"/>
          <w:noProof/>
          <w:lang w:val="tr-TR" w:eastAsia="tr-TR"/>
        </w:rPr>
        <w:pict>
          <v:shape id="Text Box 2" o:spid="_x0000_s1027" type="#_x0000_t202" style="position:absolute;margin-left:401.8pt;margin-top:6.45pt;width:116.4pt;height:23.5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" stroked="f">
            <v:fill opacity="0"/>
            <v:textbox inset="0,0,0,0">
              <w:txbxContent>
                <w:p w:rsidR="00C13C55" w:rsidRDefault="00C407CF" w:rsidP="00C13C55">
                  <w:pPr>
                    <w:pStyle w:val="Heading3"/>
                    <w:jc w:val="center"/>
                  </w:pPr>
                  <w:r>
                    <w:rPr>
                      <w:color w:val="FFFFFF"/>
                      <w:sz w:val="22"/>
                      <w:szCs w:val="22"/>
                    </w:rPr>
                    <w:t>27 Aralık</w:t>
                  </w:r>
                  <w:r w:rsidR="00C13C55">
                    <w:rPr>
                      <w:color w:val="FFFFFF"/>
                      <w:sz w:val="22"/>
                      <w:szCs w:val="22"/>
                    </w:rPr>
                    <w:t xml:space="preserve"> </w:t>
                  </w:r>
                  <w:r w:rsidR="00C13C55">
                    <w:rPr>
                      <w:color w:val="FFFFFF"/>
                      <w:sz w:val="22"/>
                      <w:szCs w:val="22"/>
                      <w:lang w:val="tr-TR"/>
                    </w:rPr>
                    <w:t>2013</w:t>
                  </w:r>
                </w:p>
              </w:txbxContent>
            </v:textbox>
          </v:shape>
        </w:pict>
      </w:r>
    </w:p>
    <w:p w:rsidR="00C13C55" w:rsidRPr="00C407CF" w:rsidRDefault="00C13C55" w:rsidP="00257387">
      <w:pPr>
        <w:pStyle w:val="Caption"/>
        <w:keepNext/>
        <w:rPr>
          <w:b w:val="0"/>
          <w:lang w:val="tr-TR"/>
        </w:rPr>
      </w:pPr>
    </w:p>
    <w:p w:rsidR="00C13C55" w:rsidRPr="00C407CF" w:rsidRDefault="00C13C55" w:rsidP="00257387">
      <w:pPr>
        <w:pStyle w:val="Caption"/>
        <w:keepNext/>
        <w:rPr>
          <w:b w:val="0"/>
          <w:lang w:val="tr-TR"/>
        </w:rPr>
      </w:pPr>
    </w:p>
    <w:p w:rsidR="00C13C55" w:rsidRPr="00C407CF" w:rsidRDefault="00C13C55" w:rsidP="00257387">
      <w:pPr>
        <w:pStyle w:val="Caption"/>
        <w:keepNext/>
        <w:rPr>
          <w:b w:val="0"/>
          <w:lang w:val="tr-TR"/>
        </w:rPr>
      </w:pPr>
    </w:p>
    <w:p w:rsidR="00C13C55" w:rsidRPr="00C407CF" w:rsidRDefault="00C13C55" w:rsidP="00257387">
      <w:pPr>
        <w:pStyle w:val="Caption"/>
        <w:keepNext/>
        <w:rPr>
          <w:b w:val="0"/>
          <w:lang w:val="tr-TR"/>
        </w:rPr>
      </w:pPr>
    </w:p>
    <w:p w:rsidR="00C407CF" w:rsidRPr="00C407CF" w:rsidRDefault="00C407CF" w:rsidP="00C407CF">
      <w:pPr>
        <w:spacing w:before="120"/>
        <w:jc w:val="center"/>
        <w:rPr>
          <w:b/>
          <w:sz w:val="28"/>
          <w:szCs w:val="28"/>
        </w:rPr>
      </w:pPr>
      <w:r w:rsidRPr="00C407CF">
        <w:rPr>
          <w:b/>
          <w:sz w:val="28"/>
          <w:szCs w:val="28"/>
        </w:rPr>
        <w:t>1,4 MİLYON GENÇ NE OKULDA NE İŞTE</w:t>
      </w:r>
    </w:p>
    <w:p w:rsidR="00C407CF" w:rsidRPr="00C407CF" w:rsidRDefault="00C407CF" w:rsidP="00C407CF">
      <w:pPr>
        <w:spacing w:before="120"/>
        <w:jc w:val="center"/>
        <w:rPr>
          <w:b/>
          <w:bCs/>
          <w:sz w:val="20"/>
          <w:szCs w:val="20"/>
        </w:rPr>
      </w:pPr>
    </w:p>
    <w:p w:rsidR="00C407CF" w:rsidRPr="00C407CF" w:rsidRDefault="00C407CF" w:rsidP="00C407CF">
      <w:pPr>
        <w:spacing w:before="120"/>
        <w:jc w:val="center"/>
        <w:rPr>
          <w:b/>
          <w:bCs/>
          <w:sz w:val="20"/>
          <w:szCs w:val="20"/>
        </w:rPr>
      </w:pPr>
      <w:r w:rsidRPr="00C407CF">
        <w:rPr>
          <w:b/>
          <w:bCs/>
          <w:sz w:val="20"/>
          <w:szCs w:val="20"/>
        </w:rPr>
        <w:t>Seyfettin Gürsel</w:t>
      </w:r>
      <w:r w:rsidRPr="00C407CF">
        <w:rPr>
          <w:b/>
          <w:bCs/>
          <w:sz w:val="20"/>
          <w:szCs w:val="20"/>
          <w:vertAlign w:val="superscript"/>
        </w:rPr>
        <w:footnoteReference w:customMarkFollows="1" w:id="2"/>
        <w:sym w:font="Symbol" w:char="F02A"/>
      </w:r>
      <w:r w:rsidRPr="00C407CF">
        <w:rPr>
          <w:b/>
          <w:bCs/>
          <w:sz w:val="20"/>
          <w:szCs w:val="20"/>
        </w:rPr>
        <w:t>, Gökçe Uysal-Kolaşin</w:t>
      </w:r>
      <w:r w:rsidRPr="00C407CF">
        <w:rPr>
          <w:b/>
          <w:bCs/>
          <w:sz w:val="20"/>
          <w:szCs w:val="20"/>
          <w:vertAlign w:val="superscript"/>
        </w:rPr>
        <w:footnoteReference w:customMarkFollows="1" w:id="3"/>
        <w:sym w:font="Symbol" w:char="F02A"/>
      </w:r>
      <w:r w:rsidRPr="00C407CF">
        <w:rPr>
          <w:b/>
          <w:bCs/>
          <w:sz w:val="20"/>
          <w:szCs w:val="20"/>
          <w:vertAlign w:val="superscript"/>
        </w:rPr>
        <w:sym w:font="Symbol" w:char="F02A"/>
      </w:r>
      <w:r w:rsidRPr="00C407CF">
        <w:rPr>
          <w:b/>
          <w:bCs/>
          <w:sz w:val="20"/>
          <w:szCs w:val="20"/>
        </w:rPr>
        <w:t xml:space="preserve"> ve Melike Kökkızıl</w:t>
      </w:r>
      <w:r w:rsidRPr="00C407CF">
        <w:rPr>
          <w:b/>
          <w:bCs/>
          <w:sz w:val="20"/>
          <w:szCs w:val="20"/>
          <w:vertAlign w:val="superscript"/>
        </w:rPr>
        <w:footnoteReference w:customMarkFollows="1" w:id="4"/>
        <w:sym w:font="Symbol" w:char="F02A"/>
      </w:r>
      <w:r w:rsidRPr="00C407CF">
        <w:rPr>
          <w:b/>
          <w:bCs/>
          <w:sz w:val="20"/>
          <w:szCs w:val="20"/>
          <w:vertAlign w:val="superscript"/>
        </w:rPr>
        <w:sym w:font="Symbol" w:char="F02A"/>
      </w:r>
      <w:r w:rsidRPr="00C407CF">
        <w:rPr>
          <w:b/>
          <w:bCs/>
          <w:sz w:val="20"/>
          <w:szCs w:val="20"/>
          <w:vertAlign w:val="superscript"/>
        </w:rPr>
        <w:sym w:font="Symbol" w:char="F02A"/>
      </w:r>
    </w:p>
    <w:p w:rsidR="00C407CF" w:rsidRPr="00C407CF" w:rsidRDefault="00C407CF" w:rsidP="00C407CF">
      <w:pPr>
        <w:spacing w:before="120"/>
        <w:jc w:val="center"/>
        <w:rPr>
          <w:b/>
          <w:bCs/>
          <w:sz w:val="20"/>
          <w:szCs w:val="20"/>
        </w:rPr>
      </w:pPr>
    </w:p>
    <w:p w:rsidR="00C407CF" w:rsidRPr="00C407CF" w:rsidRDefault="00C407CF" w:rsidP="00C407CF">
      <w:pPr>
        <w:spacing w:before="120"/>
        <w:jc w:val="center"/>
        <w:rPr>
          <w:b/>
          <w:bCs/>
          <w:sz w:val="22"/>
          <w:szCs w:val="22"/>
        </w:rPr>
      </w:pPr>
      <w:r w:rsidRPr="00C407CF">
        <w:rPr>
          <w:b/>
          <w:bCs/>
          <w:sz w:val="22"/>
          <w:szCs w:val="22"/>
        </w:rPr>
        <w:t>Yönetici</w:t>
      </w:r>
      <w:r w:rsidR="00B5220E">
        <w:rPr>
          <w:b/>
          <w:bCs/>
          <w:sz w:val="22"/>
          <w:szCs w:val="22"/>
        </w:rPr>
        <w:t xml:space="preserve"> </w:t>
      </w:r>
      <w:r w:rsidRPr="00C407CF">
        <w:rPr>
          <w:b/>
          <w:bCs/>
          <w:sz w:val="22"/>
          <w:szCs w:val="22"/>
        </w:rPr>
        <w:t>Özeti</w:t>
      </w:r>
    </w:p>
    <w:p w:rsidR="00C407CF" w:rsidRPr="00C407CF" w:rsidRDefault="00C407CF" w:rsidP="00C407CF">
      <w:pPr>
        <w:spacing w:before="120"/>
        <w:jc w:val="center"/>
        <w:rPr>
          <w:sz w:val="20"/>
          <w:szCs w:val="20"/>
          <w:lang w:val="tr-TR"/>
        </w:rPr>
      </w:pPr>
      <w:r w:rsidRPr="00C407CF">
        <w:rPr>
          <w:sz w:val="20"/>
          <w:szCs w:val="20"/>
          <w:lang w:val="tr-TR"/>
        </w:rPr>
        <w:t>TÜİK tarafından açıklanan Hanehalkı İşgücü Anketi 2012 verilerine göre 15-19 yaş grubunda genç kadınların yüzde 58,4’ü, genç erkeklerin de yüzde</w:t>
      </w:r>
      <w:r w:rsidR="00B5220E">
        <w:rPr>
          <w:sz w:val="20"/>
          <w:szCs w:val="20"/>
          <w:lang w:val="tr-TR"/>
        </w:rPr>
        <w:t xml:space="preserve"> </w:t>
      </w:r>
      <w:r w:rsidRPr="00C407CF">
        <w:rPr>
          <w:sz w:val="20"/>
          <w:szCs w:val="20"/>
          <w:lang w:val="tr-TR"/>
        </w:rPr>
        <w:t>61,4’i bir eğitim kurumunda kayıtlıdır. Bu rakamlar 2009 verilerine göre bir artış olduğunu gösterse de 2011 yılı OECD ülkelerinde okula devam ortalaması olan yüzde 83,7’</w:t>
      </w:r>
      <w:r w:rsidR="00B5220E">
        <w:rPr>
          <w:sz w:val="20"/>
          <w:szCs w:val="20"/>
          <w:lang w:val="tr-TR"/>
        </w:rPr>
        <w:t>d</w:t>
      </w:r>
      <w:r w:rsidRPr="00C407CF">
        <w:rPr>
          <w:sz w:val="20"/>
          <w:szCs w:val="20"/>
          <w:lang w:val="tr-TR"/>
        </w:rPr>
        <w:t xml:space="preserve">en çok düşüktür. Bir eğitim kurumunda kayıtlı olmayan yaklaşık 2,5 milyon  gençten 2 milyonu en fazla ilköğretim mezunudur ve aralarında herhangi bir eğitim kurumundan mezun olmayanların oranı azımsanamayacak kadar çoktur. Diğer taraftan Türkiye 2009 yılına kıyasla özellikle genç kadınların eğitime katılımlarında önemli gelişmeler kaydetmiştir. Eğitimine devam eden ve işgücü piyasasına girmeyen genç kadınların oranı yüzde 50'den yüzde 54'e yükselmiş, genç erkeklerin oranı ise yüzde 50'den yüzde 51'e yükselmiştir. Ancak bu dönemde ne okula giden ne de işgücü piyasasına katılan genç kadın ve erkeklerin sayısında bir azalma görülmemektedir. Daha 15-19 yaşlarında 1,4 milyon gencin eğitim ve çalışma hayatının dışında kalmaları bu konuda acil politikalar geliştirilmesi gerektiğine işaret etmektedir.  </w:t>
      </w:r>
    </w:p>
    <w:p w:rsidR="00C407CF" w:rsidRPr="00C407CF" w:rsidRDefault="00C407CF" w:rsidP="00C407CF">
      <w:pPr>
        <w:spacing w:before="120"/>
        <w:jc w:val="center"/>
        <w:rPr>
          <w:sz w:val="20"/>
          <w:szCs w:val="20"/>
          <w:lang w:val="tr-TR"/>
        </w:rPr>
      </w:pPr>
    </w:p>
    <w:p w:rsidR="00C407CF" w:rsidRPr="00C407CF" w:rsidRDefault="00C407CF" w:rsidP="00C407CF">
      <w:pPr>
        <w:spacing w:before="120"/>
        <w:rPr>
          <w:b/>
          <w:sz w:val="22"/>
          <w:szCs w:val="22"/>
          <w:lang w:val="tr-TR"/>
        </w:rPr>
      </w:pPr>
      <w:r w:rsidRPr="00C407CF">
        <w:rPr>
          <w:b/>
          <w:sz w:val="22"/>
          <w:szCs w:val="22"/>
          <w:lang w:val="tr-TR"/>
        </w:rPr>
        <w:t>2,5 milyon genç okula gitmiyor</w:t>
      </w:r>
    </w:p>
    <w:p w:rsidR="00C407CF" w:rsidRPr="00C407CF" w:rsidRDefault="00C407CF" w:rsidP="00C407CF">
      <w:pPr>
        <w:spacing w:before="120"/>
        <w:jc w:val="both"/>
        <w:rPr>
          <w:sz w:val="20"/>
          <w:szCs w:val="20"/>
          <w:lang w:val="tr-TR"/>
        </w:rPr>
      </w:pPr>
      <w:r w:rsidRPr="00C407CF">
        <w:rPr>
          <w:sz w:val="20"/>
          <w:szCs w:val="20"/>
          <w:lang w:val="tr-TR"/>
        </w:rPr>
        <w:t>TÜİK’in son açıklamış olduğu 2012 Hanehalkı İşgücü verileri, 15-19 yaş aralığındaki gençlerin eğitim ve işgücü piyasası durumlarının incelenmesine olanak sağlamaktadır. Bu verilere göre 15-19 yaş aralığındaki gençlerin durumu 2009 yılına oranla bir</w:t>
      </w:r>
      <w:r w:rsidR="00B5220E">
        <w:rPr>
          <w:sz w:val="20"/>
          <w:szCs w:val="20"/>
          <w:lang w:val="tr-TR"/>
        </w:rPr>
        <w:t xml:space="preserve"> miktar düzelmekle beraber, geli</w:t>
      </w:r>
      <w:r w:rsidRPr="00C407CF">
        <w:rPr>
          <w:sz w:val="20"/>
          <w:szCs w:val="20"/>
          <w:lang w:val="tr-TR"/>
        </w:rPr>
        <w:t>nen nokta tatmin edici olmaktan uzaktır. Betam’ın Mayıs 2010’da yayımlamış olduğu “Gençler Beşeri Sermaye Yoksunu” başlıklı araştırma notu, 2009 yılında 15-19 yaş grubundaki genç kadınların sadece yüzde 50’sinin, genç erkeklerin ise yüzde 57’sinin eğitimine devam ettiğini göstermekteydi. Bu oranlar 2012 yılında sırasıyla yüzde 59 ve yüzde 61 olarak gerçekleşmiştir.</w:t>
      </w:r>
      <w:r w:rsidRPr="00C407CF">
        <w:rPr>
          <w:sz w:val="20"/>
          <w:szCs w:val="20"/>
          <w:vertAlign w:val="superscript"/>
          <w:lang w:val="tr-TR"/>
        </w:rPr>
        <w:footnoteReference w:id="5"/>
      </w:r>
      <w:r w:rsidR="00B5220E">
        <w:rPr>
          <w:sz w:val="20"/>
          <w:szCs w:val="20"/>
          <w:lang w:val="tr-TR"/>
        </w:rPr>
        <w:t xml:space="preserve"> </w:t>
      </w:r>
      <w:r w:rsidRPr="00C407CF">
        <w:rPr>
          <w:sz w:val="20"/>
          <w:szCs w:val="20"/>
          <w:lang w:val="tr-TR"/>
        </w:rPr>
        <w:t>Diğer bir deyişle eğitimine devam edenlerin payı genç kadınlarda 9 yüzde puan, genç erkeklerde ise 4 yüzde puan artmış, dolayısıyla toplumsal cinsiyet farklılıkları daralmıştır. Ancak uluslararası karşılaştırmalar gençlerin eğitim seviyelerinin halen çok düşük olduğunu ortaya koymaktadır:</w:t>
      </w:r>
    </w:p>
    <w:p w:rsidR="00C407CF" w:rsidRPr="00C407CF" w:rsidRDefault="00C407CF" w:rsidP="00C407CF">
      <w:pPr>
        <w:spacing w:before="120"/>
        <w:jc w:val="both"/>
        <w:rPr>
          <w:sz w:val="20"/>
          <w:szCs w:val="20"/>
          <w:lang w:val="tr-TR"/>
        </w:rPr>
      </w:pPr>
    </w:p>
    <w:p w:rsidR="00C407CF" w:rsidRPr="00C407CF" w:rsidRDefault="00C407CF" w:rsidP="00C407CF">
      <w:pPr>
        <w:spacing w:before="120"/>
        <w:jc w:val="both"/>
        <w:rPr>
          <w:sz w:val="20"/>
          <w:szCs w:val="20"/>
          <w:lang w:val="tr-TR"/>
        </w:rPr>
      </w:pPr>
      <w:r w:rsidRPr="00C407CF">
        <w:rPr>
          <w:sz w:val="20"/>
          <w:szCs w:val="20"/>
          <w:lang w:val="tr-TR"/>
        </w:rPr>
        <w:t>Şekil 1’deki veriler Türkiye’nin 15-19 yaş grubunda eğitime katılım oranının OECD ülkelerinin ve 21 AB ülkesinin ortalamalarından ne kadar uzak olduğunu göstermektedir. Türkiye’de 15-19 yaş grubunda okula kayıtlı olanların oranı yüzde 59,9 iken OECD ortalaması yüzde 83,7, AB 21 ülke ortalaması yüzde 87,4’tür. Türkiye'nin OECD ve AB ülkeleri arasında genç nüfusun okullaşma oranındaki uçurumu kapatmakta olduğu görülmektedir. Bu yaş grubunun eğitim katılım oranları 2007'den 2011'ye OECD ülkelerinde yüzde 81,5'ten yüzde 83,7'ye 2,2 yüzde puanlık bir artış kaydetmişken, Türkiye'de yüzde 53,9'dan yüzde 59,9'a 6 puan artmıştır. Bununla birlikte aradaki büyük farkın makul bir süre içinde kapatılabilmesi için gençlerin okula devam etmesi konusunda radikal önlemlerin alınması gerekir.</w:t>
      </w:r>
    </w:p>
    <w:p w:rsidR="00C407CF" w:rsidRPr="00C407CF" w:rsidRDefault="00C407CF" w:rsidP="00C407CF">
      <w:pPr>
        <w:spacing w:before="120"/>
        <w:jc w:val="both"/>
        <w:rPr>
          <w:b/>
          <w:sz w:val="20"/>
          <w:szCs w:val="20"/>
          <w:lang w:val="tr-TR"/>
        </w:rPr>
      </w:pPr>
      <w:r w:rsidRPr="00C407CF">
        <w:rPr>
          <w:b/>
          <w:bCs/>
          <w:sz w:val="20"/>
          <w:szCs w:val="20"/>
          <w:lang w:val="tr-TR"/>
        </w:rPr>
        <w:lastRenderedPageBreak/>
        <w:t xml:space="preserve">Şekil </w:t>
      </w:r>
      <w:r w:rsidRPr="00C407CF">
        <w:rPr>
          <w:b/>
          <w:bCs/>
          <w:sz w:val="20"/>
          <w:szCs w:val="20"/>
          <w:lang w:val="tr-TR"/>
        </w:rPr>
        <w:fldChar w:fldCharType="begin"/>
      </w:r>
      <w:r w:rsidRPr="00C407CF">
        <w:rPr>
          <w:b/>
          <w:bCs/>
          <w:sz w:val="20"/>
          <w:szCs w:val="20"/>
          <w:lang w:val="tr-TR"/>
        </w:rPr>
        <w:instrText xml:space="preserve"> SEQ Şekil \* ARABIC </w:instrText>
      </w:r>
      <w:r w:rsidRPr="00C407CF">
        <w:rPr>
          <w:b/>
          <w:bCs/>
          <w:sz w:val="20"/>
          <w:szCs w:val="20"/>
          <w:lang w:val="tr-TR"/>
        </w:rPr>
        <w:fldChar w:fldCharType="separate"/>
      </w:r>
      <w:r w:rsidR="0033114B">
        <w:rPr>
          <w:b/>
          <w:bCs/>
          <w:noProof/>
          <w:sz w:val="20"/>
          <w:szCs w:val="20"/>
          <w:lang w:val="tr-TR"/>
        </w:rPr>
        <w:t>1</w:t>
      </w:r>
      <w:r w:rsidRPr="00C407CF">
        <w:rPr>
          <w:b/>
          <w:sz w:val="20"/>
          <w:szCs w:val="20"/>
          <w:lang w:val="tr-TR"/>
        </w:rPr>
        <w:fldChar w:fldCharType="end"/>
      </w:r>
      <w:r w:rsidRPr="00C407CF">
        <w:rPr>
          <w:b/>
          <w:bCs/>
          <w:sz w:val="20"/>
          <w:szCs w:val="20"/>
          <w:lang w:val="tr-TR"/>
        </w:rPr>
        <w:t xml:space="preserve"> 15-19 yaş grubunda okula katılım oranı</w:t>
      </w:r>
      <w:r w:rsidR="00963202">
        <w:rPr>
          <w:b/>
          <w:bCs/>
          <w:sz w:val="20"/>
          <w:szCs w:val="20"/>
          <w:lang w:val="tr-TR"/>
        </w:rPr>
        <w:t>,</w:t>
      </w:r>
      <w:r w:rsidRPr="00C407CF">
        <w:rPr>
          <w:b/>
          <w:bCs/>
          <w:sz w:val="20"/>
          <w:szCs w:val="20"/>
          <w:lang w:val="tr-TR"/>
        </w:rPr>
        <w:t xml:space="preserve"> 2011</w:t>
      </w:r>
    </w:p>
    <w:p w:rsidR="00C407CF" w:rsidRPr="00C407CF" w:rsidRDefault="00C407CF" w:rsidP="00C407CF">
      <w:pPr>
        <w:spacing w:before="120"/>
        <w:jc w:val="both"/>
        <w:rPr>
          <w:sz w:val="20"/>
          <w:szCs w:val="20"/>
          <w:lang w:val="tr-TR"/>
        </w:rPr>
      </w:pPr>
      <w:r w:rsidRPr="00C407CF">
        <w:rPr>
          <w:sz w:val="20"/>
          <w:szCs w:val="20"/>
          <w:lang w:val="tr-TR"/>
        </w:rPr>
        <w:drawing>
          <wp:inline distT="0" distB="0" distL="0" distR="0">
            <wp:extent cx="4419600" cy="2762250"/>
            <wp:effectExtent l="19050" t="0" r="0" b="0"/>
            <wp:docPr id="1" name="Picture 9" descr="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9"/>
                    <a:stretch>
                      <a:fillRect/>
                    </a:stretch>
                  </pic:blipFill>
                  <pic:spPr>
                    <a:xfrm>
                      <a:off x="0" y="0"/>
                      <a:ext cx="4419600" cy="2762250"/>
                    </a:xfrm>
                    <a:prstGeom prst="rect">
                      <a:avLst/>
                    </a:prstGeom>
                  </pic:spPr>
                </pic:pic>
              </a:graphicData>
            </a:graphic>
          </wp:inline>
        </w:drawing>
      </w:r>
    </w:p>
    <w:p w:rsidR="00C407CF" w:rsidRPr="00C407CF" w:rsidRDefault="00C407CF" w:rsidP="00C407CF">
      <w:pPr>
        <w:spacing w:before="120"/>
        <w:jc w:val="both"/>
        <w:rPr>
          <w:lang w:val="tr-TR"/>
        </w:rPr>
      </w:pPr>
      <w:r w:rsidRPr="00C407CF">
        <w:rPr>
          <w:lang w:val="tr-TR"/>
        </w:rPr>
        <w:t>Kaynak: OECD Education at a Glance.2013</w:t>
      </w:r>
    </w:p>
    <w:p w:rsidR="00C407CF" w:rsidRPr="00C407CF" w:rsidRDefault="00C407CF" w:rsidP="00C407CF">
      <w:pPr>
        <w:spacing w:before="120"/>
        <w:jc w:val="both"/>
        <w:rPr>
          <w:sz w:val="20"/>
          <w:szCs w:val="20"/>
          <w:lang w:val="tr-TR"/>
        </w:rPr>
      </w:pPr>
    </w:p>
    <w:p w:rsidR="00C407CF" w:rsidRPr="00C407CF" w:rsidRDefault="00C407CF" w:rsidP="00C407CF">
      <w:pPr>
        <w:spacing w:before="120"/>
        <w:jc w:val="both"/>
        <w:rPr>
          <w:b/>
          <w:sz w:val="22"/>
          <w:szCs w:val="22"/>
          <w:lang w:val="tr-TR"/>
        </w:rPr>
      </w:pPr>
      <w:r w:rsidRPr="00C407CF">
        <w:rPr>
          <w:b/>
          <w:sz w:val="22"/>
          <w:szCs w:val="22"/>
          <w:lang w:val="tr-TR"/>
        </w:rPr>
        <w:t>Doğu ve Güneydoğu’da gençlerin yarısı okula devam etmiyor</w:t>
      </w:r>
    </w:p>
    <w:p w:rsidR="00C407CF" w:rsidRPr="00C407CF" w:rsidRDefault="00C407CF" w:rsidP="00C407CF">
      <w:pPr>
        <w:spacing w:before="120"/>
        <w:jc w:val="both"/>
        <w:rPr>
          <w:sz w:val="20"/>
          <w:szCs w:val="20"/>
          <w:lang w:val="tr-TR"/>
        </w:rPr>
      </w:pPr>
      <w:r w:rsidRPr="00C407CF">
        <w:rPr>
          <w:sz w:val="20"/>
          <w:szCs w:val="20"/>
          <w:lang w:val="tr-TR"/>
        </w:rPr>
        <w:t xml:space="preserve">Diğer taraftan Türkiye’nin önemli bir sorunu olan bölgesel farklılıklar okula devam etme oranlarında da gözlemlenmektedir (Şekil 2). Genç nüfusta eğitimine devam edenlerin oranının en yüksek olduğu bölge yüzde 67,9 ile İstanbul bölgesidir. Türkiye’nin bir çok açıdan en gelişmiş bölgesinde bile okula devam etme oranı OECD ortalamasının 15,8 yüzde puan altındadır. Bu oran Güney Doğu Anadolu bölgesinde yüzde 45,6’e kadar düşmekte, OECD ortalaması ile fark 38,1 yüzde puana çıkmaktadır. Bu durum, okula devam etme oranını artırmaya yönelik politikaların bölgesel farklılıkları giderici politikalarla mutlaka desteklenmesi gerektiğinin açık bir göstergesidir.  </w:t>
      </w:r>
    </w:p>
    <w:p w:rsidR="00C407CF" w:rsidRPr="00C407CF" w:rsidRDefault="00C407CF" w:rsidP="00C407CF">
      <w:pPr>
        <w:spacing w:before="120"/>
        <w:jc w:val="both"/>
        <w:rPr>
          <w:bCs/>
          <w:sz w:val="20"/>
          <w:szCs w:val="20"/>
          <w:lang w:val="tr-TR"/>
        </w:rPr>
      </w:pPr>
    </w:p>
    <w:p w:rsidR="00C407CF" w:rsidRPr="00C407CF" w:rsidRDefault="00C407CF" w:rsidP="00C407CF">
      <w:pPr>
        <w:spacing w:before="120"/>
        <w:rPr>
          <w:b/>
          <w:bCs/>
          <w:sz w:val="20"/>
          <w:szCs w:val="20"/>
          <w:lang w:val="tr-TR"/>
        </w:rPr>
      </w:pPr>
      <w:r w:rsidRPr="00C407CF">
        <w:rPr>
          <w:b/>
          <w:bCs/>
          <w:sz w:val="20"/>
          <w:szCs w:val="20"/>
          <w:lang w:val="tr-TR"/>
        </w:rPr>
        <w:t xml:space="preserve">Şekil </w:t>
      </w:r>
      <w:r w:rsidRPr="00C407CF">
        <w:rPr>
          <w:b/>
          <w:bCs/>
          <w:sz w:val="20"/>
          <w:szCs w:val="20"/>
          <w:lang w:val="tr-TR"/>
        </w:rPr>
        <w:fldChar w:fldCharType="begin"/>
      </w:r>
      <w:r w:rsidRPr="00C407CF">
        <w:rPr>
          <w:b/>
          <w:bCs/>
          <w:sz w:val="20"/>
          <w:szCs w:val="20"/>
          <w:lang w:val="tr-TR"/>
        </w:rPr>
        <w:instrText xml:space="preserve"> SEQ Şekil \* ARABIC </w:instrText>
      </w:r>
      <w:r w:rsidRPr="00C407CF">
        <w:rPr>
          <w:b/>
          <w:bCs/>
          <w:sz w:val="20"/>
          <w:szCs w:val="20"/>
          <w:lang w:val="tr-TR"/>
        </w:rPr>
        <w:fldChar w:fldCharType="separate"/>
      </w:r>
      <w:r w:rsidR="0033114B">
        <w:rPr>
          <w:b/>
          <w:bCs/>
          <w:noProof/>
          <w:sz w:val="20"/>
          <w:szCs w:val="20"/>
          <w:lang w:val="tr-TR"/>
        </w:rPr>
        <w:t>2</w:t>
      </w:r>
      <w:r w:rsidRPr="00C407CF">
        <w:rPr>
          <w:b/>
          <w:sz w:val="20"/>
          <w:szCs w:val="20"/>
          <w:lang w:val="tr-TR"/>
        </w:rPr>
        <w:fldChar w:fldCharType="end"/>
      </w:r>
      <w:r w:rsidRPr="00C407CF">
        <w:rPr>
          <w:b/>
          <w:bCs/>
          <w:sz w:val="20"/>
          <w:szCs w:val="20"/>
          <w:lang w:val="tr-TR"/>
        </w:rPr>
        <w:t xml:space="preserve"> Bölgelere göre okula devam etme oranı</w:t>
      </w:r>
      <w:r w:rsidR="00963202">
        <w:rPr>
          <w:b/>
          <w:bCs/>
          <w:sz w:val="20"/>
          <w:szCs w:val="20"/>
          <w:lang w:val="tr-TR"/>
        </w:rPr>
        <w:t>,</w:t>
      </w:r>
      <w:r w:rsidRPr="00C407CF">
        <w:rPr>
          <w:b/>
          <w:bCs/>
          <w:sz w:val="20"/>
          <w:szCs w:val="20"/>
          <w:lang w:val="tr-TR"/>
        </w:rPr>
        <w:t xml:space="preserve"> 2012</w:t>
      </w:r>
    </w:p>
    <w:p w:rsidR="00C407CF" w:rsidRPr="00C407CF" w:rsidRDefault="00C407CF" w:rsidP="00C407CF">
      <w:pPr>
        <w:spacing w:before="120"/>
        <w:rPr>
          <w:sz w:val="20"/>
          <w:szCs w:val="20"/>
          <w:lang w:val="tr-TR"/>
        </w:rPr>
      </w:pPr>
      <w:r w:rsidRPr="00C407CF">
        <w:rPr>
          <w:sz w:val="20"/>
          <w:szCs w:val="20"/>
          <w:lang w:val="tr-TR"/>
        </w:rPr>
        <w:drawing>
          <wp:inline distT="0" distB="0" distL="0" distR="0">
            <wp:extent cx="5760720" cy="2703830"/>
            <wp:effectExtent l="19050" t="0" r="0" b="0"/>
            <wp:docPr id="2" name="Picture 11" descr="Clipboa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2.jpg"/>
                    <pic:cNvPicPr/>
                  </pic:nvPicPr>
                  <pic:blipFill>
                    <a:blip r:embed="rId10"/>
                    <a:stretch>
                      <a:fillRect/>
                    </a:stretch>
                  </pic:blipFill>
                  <pic:spPr>
                    <a:xfrm>
                      <a:off x="0" y="0"/>
                      <a:ext cx="5760720" cy="2703830"/>
                    </a:xfrm>
                    <a:prstGeom prst="rect">
                      <a:avLst/>
                    </a:prstGeom>
                  </pic:spPr>
                </pic:pic>
              </a:graphicData>
            </a:graphic>
          </wp:inline>
        </w:drawing>
      </w:r>
    </w:p>
    <w:p w:rsidR="00C407CF" w:rsidRDefault="00C407CF" w:rsidP="00C407CF">
      <w:pPr>
        <w:spacing w:before="120"/>
        <w:rPr>
          <w:lang w:val="tr-TR"/>
        </w:rPr>
      </w:pPr>
      <w:r w:rsidRPr="00C407CF">
        <w:rPr>
          <w:lang w:val="tr-TR"/>
        </w:rPr>
        <w:t>Kaynak: HİA 2012. TÜİK; Betam</w:t>
      </w:r>
    </w:p>
    <w:p w:rsidR="00C407CF" w:rsidRPr="00C407CF" w:rsidRDefault="00C407CF" w:rsidP="00C407CF">
      <w:pPr>
        <w:spacing w:before="120"/>
        <w:rPr>
          <w:lang w:val="tr-TR"/>
        </w:rPr>
      </w:pPr>
    </w:p>
    <w:p w:rsidR="00C407CF" w:rsidRDefault="00C407CF" w:rsidP="00C407CF">
      <w:pPr>
        <w:spacing w:before="120"/>
        <w:rPr>
          <w:sz w:val="20"/>
          <w:szCs w:val="20"/>
          <w:lang w:val="tr-TR"/>
        </w:rPr>
      </w:pPr>
    </w:p>
    <w:p w:rsidR="00671845" w:rsidRPr="00C407CF" w:rsidRDefault="00671845" w:rsidP="00C407CF">
      <w:pPr>
        <w:spacing w:before="120"/>
        <w:rPr>
          <w:sz w:val="20"/>
          <w:szCs w:val="20"/>
          <w:lang w:val="tr-TR"/>
        </w:rPr>
      </w:pPr>
    </w:p>
    <w:p w:rsidR="00C407CF" w:rsidRPr="00C407CF" w:rsidRDefault="00C407CF" w:rsidP="00C407CF">
      <w:pPr>
        <w:spacing w:before="120"/>
        <w:rPr>
          <w:b/>
          <w:bCs/>
          <w:sz w:val="22"/>
          <w:szCs w:val="22"/>
          <w:lang w:val="tr-TR"/>
        </w:rPr>
      </w:pPr>
      <w:r w:rsidRPr="00C407CF">
        <w:rPr>
          <w:b/>
          <w:bCs/>
          <w:sz w:val="22"/>
          <w:szCs w:val="22"/>
          <w:lang w:val="tr-TR"/>
        </w:rPr>
        <w:lastRenderedPageBreak/>
        <w:t>Gençlerde okula kayıtlı olmayanların eğitim seviyesinde önemli bir değişiklik yok</w:t>
      </w:r>
    </w:p>
    <w:p w:rsidR="00C407CF" w:rsidRPr="00C407CF" w:rsidRDefault="00C407CF" w:rsidP="00C407CF">
      <w:pPr>
        <w:spacing w:before="120"/>
        <w:rPr>
          <w:sz w:val="20"/>
          <w:szCs w:val="20"/>
          <w:lang w:val="tr-TR"/>
        </w:rPr>
      </w:pPr>
      <w:r w:rsidRPr="00C407CF">
        <w:rPr>
          <w:sz w:val="20"/>
          <w:szCs w:val="20"/>
          <w:lang w:val="tr-TR"/>
        </w:rPr>
        <w:t xml:space="preserve">2012 Hanehalkı İşgücü Anketi (HİA) sonuçlarına göre Türkiye’de 15-19 yaş arasında 6 milyon 191 bin genç bulunmaktadır. Ne yazık ki 1 milyon 260 bin genç kadın (yüzde 41,6) ve 1 milyon 220 bin genç erkek (yüzde 38,6) eğitim sisteminin dışında kalmıştır. Tablo 1'de eğitimine devam etmeyen gençlerin eğitim durumları (en son mezun oldukları okul) verilmektedir. Herhangi bir eğitim kurumundan mezun olmayanlar, genç kadınların yüzde 17,5’ini, genç erkeklerin yüzde 12,5'ini oluşturmaktadır. Toplamda ise eğitime devam etmeyenlerin dörtte üçü en fazla ilköğretim mezunudur. </w:t>
      </w:r>
    </w:p>
    <w:p w:rsidR="00C407CF" w:rsidRPr="00C407CF" w:rsidRDefault="00C407CF" w:rsidP="00C407CF">
      <w:pPr>
        <w:spacing w:before="120"/>
        <w:rPr>
          <w:sz w:val="20"/>
          <w:szCs w:val="20"/>
          <w:lang w:val="tr-TR"/>
        </w:rPr>
      </w:pPr>
      <w:r w:rsidRPr="00C407CF">
        <w:rPr>
          <w:sz w:val="20"/>
          <w:szCs w:val="20"/>
          <w:lang w:val="tr-TR"/>
        </w:rPr>
        <w:t xml:space="preserve">Tablo 1'deki verileri 2009 HİA sonuçları ile karşılaştırdığımızda hem kadınların hem erkeklerin eğitim seviyelerinde iyileşmeler görülmektedir. En fazla ilköğretim mezunu olan genç erkek ve kadınların sayıları azalmıştır. Herhangi bir okulu bitirmeyen erkek sayısı 194 binden 153 bine, kadın sayısı 425 binden 282 bine, ilköğretim mezunu erkek sayısı 825 binden 774 bine, kadın sayısı ise 742 binden 688 bine gerilemiştir. Bu gelişmelere rağmen eğitimine devam etmeyen gençlerin içinde ilköğretim mezunlarının payı artmıştır. Bu oran erkeklerde yüzde 60,3'ten 63,4'e, kadınlarda ise yüzde 50'den yüzde 54,6'ya yükselmiştir. </w:t>
      </w:r>
    </w:p>
    <w:p w:rsidR="00C407CF" w:rsidRPr="00C407CF" w:rsidRDefault="00C407CF" w:rsidP="00C407CF">
      <w:pPr>
        <w:spacing w:before="120"/>
        <w:rPr>
          <w:sz w:val="20"/>
          <w:szCs w:val="20"/>
          <w:lang w:val="tr-TR"/>
        </w:rPr>
      </w:pPr>
      <w:r w:rsidRPr="00C407CF">
        <w:rPr>
          <w:sz w:val="20"/>
          <w:szCs w:val="20"/>
          <w:lang w:val="tr-TR"/>
        </w:rPr>
        <w:t>Diğer taraftan genel lise mezunlarının sayılarının azaldığı, buna karşın meslek lisesi mezunlarının sayılarının arttığı hem erkeklerde hem kadınlarda görülmektedir. Bu gelişme</w:t>
      </w:r>
      <w:r w:rsidR="00B5220E">
        <w:rPr>
          <w:sz w:val="20"/>
          <w:szCs w:val="20"/>
          <w:lang w:val="tr-TR"/>
        </w:rPr>
        <w:t>le</w:t>
      </w:r>
      <w:r w:rsidRPr="00C407CF">
        <w:rPr>
          <w:sz w:val="20"/>
          <w:szCs w:val="20"/>
          <w:lang w:val="tr-TR"/>
        </w:rPr>
        <w:t xml:space="preserve">ri ortaöğretimde meslek liselerinin giderek artan payına bağlamak mümkündür.   </w:t>
      </w:r>
    </w:p>
    <w:p w:rsidR="00C407CF" w:rsidRPr="00C407CF" w:rsidRDefault="00C407CF" w:rsidP="00C407CF">
      <w:pPr>
        <w:spacing w:before="120"/>
        <w:rPr>
          <w:sz w:val="20"/>
          <w:szCs w:val="20"/>
          <w:lang w:val="tr-TR"/>
        </w:rPr>
      </w:pPr>
    </w:p>
    <w:p w:rsidR="00C407CF" w:rsidRPr="00C407CF" w:rsidRDefault="00C407CF" w:rsidP="00C407CF">
      <w:pPr>
        <w:spacing w:before="120"/>
        <w:rPr>
          <w:b/>
          <w:bCs/>
          <w:sz w:val="20"/>
          <w:szCs w:val="20"/>
          <w:lang w:val="tr-TR"/>
        </w:rPr>
      </w:pPr>
      <w:r w:rsidRPr="00C407CF">
        <w:rPr>
          <w:b/>
          <w:bCs/>
          <w:sz w:val="20"/>
          <w:szCs w:val="20"/>
          <w:lang w:val="tr-TR"/>
        </w:rPr>
        <w:t xml:space="preserve">Tablo </w:t>
      </w:r>
      <w:r w:rsidRPr="00C407CF">
        <w:rPr>
          <w:b/>
          <w:bCs/>
          <w:sz w:val="20"/>
          <w:szCs w:val="20"/>
          <w:lang w:val="tr-TR"/>
        </w:rPr>
        <w:fldChar w:fldCharType="begin"/>
      </w:r>
      <w:r w:rsidRPr="00C407CF">
        <w:rPr>
          <w:b/>
          <w:bCs/>
          <w:sz w:val="20"/>
          <w:szCs w:val="20"/>
          <w:lang w:val="tr-TR"/>
        </w:rPr>
        <w:instrText xml:space="preserve"> SEQ Tablo \* ARABIC </w:instrText>
      </w:r>
      <w:r w:rsidRPr="00C407CF">
        <w:rPr>
          <w:b/>
          <w:bCs/>
          <w:sz w:val="20"/>
          <w:szCs w:val="20"/>
          <w:lang w:val="tr-TR"/>
        </w:rPr>
        <w:fldChar w:fldCharType="separate"/>
      </w:r>
      <w:r w:rsidR="0033114B">
        <w:rPr>
          <w:b/>
          <w:bCs/>
          <w:noProof/>
          <w:sz w:val="20"/>
          <w:szCs w:val="20"/>
          <w:lang w:val="tr-TR"/>
        </w:rPr>
        <w:t>1</w:t>
      </w:r>
      <w:r w:rsidRPr="00C407CF">
        <w:rPr>
          <w:b/>
          <w:sz w:val="20"/>
          <w:szCs w:val="20"/>
          <w:lang w:val="tr-TR"/>
        </w:rPr>
        <w:fldChar w:fldCharType="end"/>
      </w:r>
      <w:r w:rsidR="00B5220E">
        <w:rPr>
          <w:b/>
          <w:sz w:val="20"/>
          <w:szCs w:val="20"/>
          <w:lang w:val="tr-TR"/>
        </w:rPr>
        <w:t xml:space="preserve"> </w:t>
      </w:r>
      <w:r w:rsidRPr="00C407CF">
        <w:rPr>
          <w:b/>
          <w:bCs/>
          <w:sz w:val="20"/>
          <w:szCs w:val="20"/>
          <w:lang w:val="tr-TR"/>
        </w:rPr>
        <w:t>Okula kayıtlı olmayanların en son mezun olduğu okul</w:t>
      </w:r>
    </w:p>
    <w:tbl>
      <w:tblPr>
        <w:tblW w:w="9696"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3164"/>
        <w:gridCol w:w="1089"/>
        <w:gridCol w:w="1014"/>
        <w:gridCol w:w="1118"/>
        <w:gridCol w:w="1035"/>
        <w:gridCol w:w="1089"/>
        <w:gridCol w:w="1187"/>
      </w:tblGrid>
      <w:tr w:rsidR="00C407CF" w:rsidRPr="00C407CF" w:rsidTr="009842EC">
        <w:trPr>
          <w:trHeight w:val="319"/>
        </w:trPr>
        <w:tc>
          <w:tcPr>
            <w:tcW w:w="3164"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 </w:t>
            </w:r>
          </w:p>
        </w:tc>
        <w:tc>
          <w:tcPr>
            <w:tcW w:w="1089"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Kadın</w:t>
            </w:r>
          </w:p>
        </w:tc>
        <w:tc>
          <w:tcPr>
            <w:tcW w:w="1014"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Kadın (%)</w:t>
            </w:r>
          </w:p>
        </w:tc>
        <w:tc>
          <w:tcPr>
            <w:tcW w:w="111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Erkek</w:t>
            </w:r>
          </w:p>
        </w:tc>
        <w:tc>
          <w:tcPr>
            <w:tcW w:w="1035"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Erkek (%)</w:t>
            </w:r>
          </w:p>
        </w:tc>
        <w:tc>
          <w:tcPr>
            <w:tcW w:w="1089"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Toplam</w:t>
            </w:r>
          </w:p>
        </w:tc>
        <w:tc>
          <w:tcPr>
            <w:tcW w:w="1187"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Toplam(%)</w:t>
            </w:r>
          </w:p>
        </w:tc>
      </w:tr>
      <w:tr w:rsidR="00C407CF" w:rsidRPr="00C407CF" w:rsidTr="009842EC">
        <w:trPr>
          <w:trHeight w:val="319"/>
        </w:trPr>
        <w:tc>
          <w:tcPr>
            <w:tcW w:w="3164"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Herhangi bir okulu bitirmeyen</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281.579</w:t>
            </w:r>
          </w:p>
        </w:tc>
        <w:tc>
          <w:tcPr>
            <w:tcW w:w="1014"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22,4</w:t>
            </w:r>
          </w:p>
        </w:tc>
        <w:tc>
          <w:tcPr>
            <w:tcW w:w="111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152.924</w:t>
            </w:r>
          </w:p>
        </w:tc>
        <w:tc>
          <w:tcPr>
            <w:tcW w:w="1035"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12,5</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434.503</w:t>
            </w:r>
          </w:p>
        </w:tc>
        <w:tc>
          <w:tcPr>
            <w:tcW w:w="1187"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17,5</w:t>
            </w:r>
          </w:p>
        </w:tc>
      </w:tr>
      <w:tr w:rsidR="00C407CF" w:rsidRPr="00C407CF" w:rsidTr="009842EC">
        <w:trPr>
          <w:trHeight w:val="319"/>
        </w:trPr>
        <w:tc>
          <w:tcPr>
            <w:tcW w:w="3164"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İlköğretim</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688.448</w:t>
            </w:r>
          </w:p>
        </w:tc>
        <w:tc>
          <w:tcPr>
            <w:tcW w:w="1014"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54,6</w:t>
            </w:r>
          </w:p>
        </w:tc>
        <w:tc>
          <w:tcPr>
            <w:tcW w:w="111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774.084</w:t>
            </w:r>
          </w:p>
        </w:tc>
        <w:tc>
          <w:tcPr>
            <w:tcW w:w="1035"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63,4</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1.462.532</w:t>
            </w:r>
          </w:p>
        </w:tc>
        <w:tc>
          <w:tcPr>
            <w:tcW w:w="1187"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59,0</w:t>
            </w:r>
          </w:p>
        </w:tc>
      </w:tr>
      <w:tr w:rsidR="00C407CF" w:rsidRPr="00C407CF" w:rsidTr="009842EC">
        <w:trPr>
          <w:trHeight w:val="319"/>
        </w:trPr>
        <w:tc>
          <w:tcPr>
            <w:tcW w:w="3164"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Genel lise</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180.925</w:t>
            </w:r>
          </w:p>
        </w:tc>
        <w:tc>
          <w:tcPr>
            <w:tcW w:w="1014"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14,4</w:t>
            </w:r>
          </w:p>
        </w:tc>
        <w:tc>
          <w:tcPr>
            <w:tcW w:w="111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172.602</w:t>
            </w:r>
          </w:p>
        </w:tc>
        <w:tc>
          <w:tcPr>
            <w:tcW w:w="1035"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14,1</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353.527</w:t>
            </w:r>
          </w:p>
        </w:tc>
        <w:tc>
          <w:tcPr>
            <w:tcW w:w="1187"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14,3</w:t>
            </w:r>
          </w:p>
        </w:tc>
      </w:tr>
      <w:tr w:rsidR="00C407CF" w:rsidRPr="00C407CF" w:rsidTr="009842EC">
        <w:trPr>
          <w:trHeight w:val="319"/>
        </w:trPr>
        <w:tc>
          <w:tcPr>
            <w:tcW w:w="3164"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Meslek veya teknik lise</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106.700</w:t>
            </w:r>
          </w:p>
        </w:tc>
        <w:tc>
          <w:tcPr>
            <w:tcW w:w="1014"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8,5</w:t>
            </w:r>
          </w:p>
        </w:tc>
        <w:tc>
          <w:tcPr>
            <w:tcW w:w="111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118.050</w:t>
            </w:r>
          </w:p>
        </w:tc>
        <w:tc>
          <w:tcPr>
            <w:tcW w:w="1035"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9,7</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224.750</w:t>
            </w:r>
          </w:p>
        </w:tc>
        <w:tc>
          <w:tcPr>
            <w:tcW w:w="1187"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9,1</w:t>
            </w:r>
          </w:p>
        </w:tc>
      </w:tr>
      <w:tr w:rsidR="00C407CF" w:rsidRPr="00C407CF" w:rsidTr="009842EC">
        <w:trPr>
          <w:trHeight w:val="319"/>
        </w:trPr>
        <w:tc>
          <w:tcPr>
            <w:tcW w:w="3164"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Yüksekokul ve üzeri</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2.415</w:t>
            </w:r>
          </w:p>
        </w:tc>
        <w:tc>
          <w:tcPr>
            <w:tcW w:w="1014"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0,2</w:t>
            </w:r>
          </w:p>
        </w:tc>
        <w:tc>
          <w:tcPr>
            <w:tcW w:w="111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2.657</w:t>
            </w:r>
          </w:p>
        </w:tc>
        <w:tc>
          <w:tcPr>
            <w:tcW w:w="1035"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0,2</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5.072</w:t>
            </w:r>
          </w:p>
        </w:tc>
        <w:tc>
          <w:tcPr>
            <w:tcW w:w="1187"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0,2</w:t>
            </w:r>
          </w:p>
        </w:tc>
      </w:tr>
      <w:tr w:rsidR="00C407CF" w:rsidRPr="00C407CF" w:rsidTr="009842EC">
        <w:trPr>
          <w:trHeight w:val="319"/>
        </w:trPr>
        <w:tc>
          <w:tcPr>
            <w:tcW w:w="3164"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Toplam</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1.260.067</w:t>
            </w:r>
          </w:p>
        </w:tc>
        <w:tc>
          <w:tcPr>
            <w:tcW w:w="1014"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100</w:t>
            </w:r>
          </w:p>
        </w:tc>
        <w:tc>
          <w:tcPr>
            <w:tcW w:w="111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1.220.318</w:t>
            </w:r>
          </w:p>
        </w:tc>
        <w:tc>
          <w:tcPr>
            <w:tcW w:w="1035"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100</w:t>
            </w:r>
          </w:p>
        </w:tc>
        <w:tc>
          <w:tcPr>
            <w:tcW w:w="108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2.480.385</w:t>
            </w:r>
          </w:p>
        </w:tc>
        <w:tc>
          <w:tcPr>
            <w:tcW w:w="1187"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100</w:t>
            </w:r>
          </w:p>
        </w:tc>
      </w:tr>
    </w:tbl>
    <w:p w:rsidR="00C407CF" w:rsidRPr="00C407CF" w:rsidRDefault="00C407CF" w:rsidP="00C407CF">
      <w:pPr>
        <w:spacing w:before="120"/>
        <w:rPr>
          <w:lang w:val="tr-TR"/>
        </w:rPr>
      </w:pPr>
      <w:r w:rsidRPr="00C407CF">
        <w:rPr>
          <w:lang w:val="tr-TR"/>
        </w:rPr>
        <w:t>Kaynak: HİA 2012. TÜİK; Betam</w:t>
      </w:r>
    </w:p>
    <w:p w:rsidR="00C407CF" w:rsidRPr="00C407CF" w:rsidRDefault="00C407CF" w:rsidP="00C407CF">
      <w:pPr>
        <w:spacing w:before="120"/>
        <w:rPr>
          <w:sz w:val="20"/>
          <w:szCs w:val="20"/>
          <w:lang w:val="tr-TR"/>
        </w:rPr>
      </w:pPr>
    </w:p>
    <w:p w:rsidR="00C407CF" w:rsidRPr="00C407CF" w:rsidRDefault="00C407CF" w:rsidP="00C407CF">
      <w:pPr>
        <w:spacing w:before="120"/>
        <w:rPr>
          <w:b/>
          <w:sz w:val="20"/>
          <w:szCs w:val="20"/>
          <w:lang w:val="tr-TR"/>
        </w:rPr>
      </w:pPr>
      <w:r w:rsidRPr="00C407CF">
        <w:rPr>
          <w:b/>
          <w:sz w:val="20"/>
          <w:szCs w:val="20"/>
          <w:lang w:val="tr-TR"/>
        </w:rPr>
        <w:t>1,4 milyon genç ne okula gidiyor ne de işgücü piyasasında</w:t>
      </w:r>
    </w:p>
    <w:p w:rsidR="00C407CF" w:rsidRPr="00C407CF" w:rsidRDefault="00C407CF" w:rsidP="00C407CF">
      <w:pPr>
        <w:spacing w:before="120"/>
        <w:rPr>
          <w:sz w:val="20"/>
          <w:szCs w:val="20"/>
          <w:lang w:val="tr-TR"/>
        </w:rPr>
      </w:pPr>
      <w:r w:rsidRPr="00C407CF">
        <w:rPr>
          <w:sz w:val="20"/>
          <w:szCs w:val="20"/>
          <w:lang w:val="tr-TR"/>
        </w:rPr>
        <w:t>15-19 yaş grubunda 1 milyon 356 bin genç ne okula gidiyor, ne de işgücü piyasasında. Bir başka deyişle bu yaş grubundaki gençlerin yüzde 21,9'u atıl durmaktadır. Bu durum genç kadınlar arasında daha yaygındır. 922 bin genç kadın, yani bu yaş grubundaki kadınların üçte biri şimdiden eğitim ve işgücünden uzaklaşmış durumdadır. Daha yetişkin hayata girişti kadınların üçte birinin ev</w:t>
      </w:r>
      <w:r w:rsidR="001C524E">
        <w:rPr>
          <w:sz w:val="20"/>
          <w:szCs w:val="20"/>
          <w:lang w:val="tr-TR"/>
        </w:rPr>
        <w:t xml:space="preserve"> </w:t>
      </w:r>
      <w:r w:rsidRPr="00C407CF">
        <w:rPr>
          <w:sz w:val="20"/>
          <w:szCs w:val="20"/>
          <w:lang w:val="tr-TR"/>
        </w:rPr>
        <w:t xml:space="preserve">hanımlığını bir hayat tarzı olarak benimsemiş olması Türkiye'de kadın katılım oranlarının düşüklüğünün uzun süreler tartışılacağına işaret etmektedir. Genç erkeklerde de atalet azımsanamayacak boyuttadır. 434 bin genç erkek, yani bu yaş grubundaki erkeklerin yüzde 13,7'si, ne eğitimine devam etmekte, ne de işgücü piyasasına girmektedir. Gençlerdeki atalet oranları 2009 yılından bu yana herhangi bir düzelme kaydetmemiştir. Atıl genç kadınların toplam genç kadınlar arasındaki oranı gerilemekle beraber, sayılarında bir azalma olmamıştır. </w:t>
      </w:r>
    </w:p>
    <w:p w:rsidR="00C407CF" w:rsidRPr="00C407CF" w:rsidRDefault="00C407CF" w:rsidP="00C407CF">
      <w:pPr>
        <w:spacing w:before="120"/>
        <w:rPr>
          <w:sz w:val="20"/>
          <w:szCs w:val="20"/>
          <w:lang w:val="tr-TR"/>
        </w:rPr>
      </w:pPr>
      <w:r w:rsidRPr="00C407CF">
        <w:rPr>
          <w:sz w:val="20"/>
          <w:szCs w:val="20"/>
          <w:lang w:val="tr-TR"/>
        </w:rPr>
        <w:t>Şekil 3'te gençlerin eğitim ve işgücü durumları kadınlar ve erkekler için ayrı ayrı verilmektedir. Veriler genç kadınların yarısından fazlasının eğitimine devam ettiğini ve işgücüne katılmadığını göstermektedir. İşgücünde olmayan ve okula kayıtlı kadınların oranı yüzde 54'tür. Erkeklerde ise aynı oran sadece yüzde 51'dir. Genç kadınlarda okula kayıtlı ve işgücünde olmayanların oranının erkeklerdeki oranı geçmiş olması çok önemli bir gelişmedir. Diğer taraftan ne okula giden ne de işgücünd</w:t>
      </w:r>
      <w:r w:rsidR="001C524E">
        <w:rPr>
          <w:sz w:val="20"/>
          <w:szCs w:val="20"/>
          <w:lang w:val="tr-TR"/>
        </w:rPr>
        <w:t>e olan kadınların payı yüzde 30 i</w:t>
      </w:r>
      <w:r w:rsidRPr="00C407CF">
        <w:rPr>
          <w:sz w:val="20"/>
          <w:szCs w:val="20"/>
          <w:lang w:val="tr-TR"/>
        </w:rPr>
        <w:t xml:space="preserve">ken erkeklerde aynı grubun payı sadece yüzde 14'tür. Bu yaş grubunda işgücünde olanların payı erkeklerde yüzde 35 (okula kayıtlı olanlar yüzde 10, okula kayıtlı olmayanlar yüzde 25), kadınlarda ise yüzde 16'dır. Bu oranlar Türkiye'deki toplumsal cinsiyet rolleriyle tutarlı durmaktadır. </w:t>
      </w:r>
    </w:p>
    <w:p w:rsidR="00C407CF" w:rsidRPr="00C407CF" w:rsidRDefault="00C407CF" w:rsidP="00C407CF">
      <w:pPr>
        <w:spacing w:before="120"/>
        <w:rPr>
          <w:sz w:val="20"/>
          <w:szCs w:val="20"/>
          <w:lang w:val="tr-TR"/>
        </w:rPr>
      </w:pPr>
    </w:p>
    <w:p w:rsidR="00C407CF" w:rsidRPr="00C407CF" w:rsidRDefault="00C407CF" w:rsidP="00C407CF">
      <w:pPr>
        <w:spacing w:before="120"/>
        <w:rPr>
          <w:sz w:val="20"/>
          <w:szCs w:val="20"/>
          <w:lang w:val="tr-TR"/>
        </w:rPr>
      </w:pPr>
      <w:r w:rsidRPr="00C407CF">
        <w:rPr>
          <w:sz w:val="20"/>
          <w:szCs w:val="20"/>
          <w:lang w:val="tr-TR"/>
        </w:rPr>
        <w:lastRenderedPageBreak/>
        <w:t xml:space="preserve">2009 yılı verileriyle karşılaştırıldığında özellikle genç kadınların durumda kayda değer gelişmeler gözlemlenmektedir. Okula kayıtlı ve işgücü piyasasında olmayan kadınların payı yüzde 47,4'ten yüzde 50'ye yükselmiştir. Ayrıca ne okula giden ne de işgücü piyasasına giren kadınların oranı yüzde 35,3'ten yüzde 30'a gerilemiştir. Erkeklerde dikkat çeken gelişme hem işgücünde hem de okula kayıtlı gençlerde olmuştur. Hem çalışan hem de okula giden genç erkeklerin payı yüzde 7,1'den yüzde 10'a çıkmıştır. Bu gelişmenin arkasında meslek lisesine giden erkeklerin sayısındaki artışın olduğu düşünülebilir.  </w:t>
      </w:r>
    </w:p>
    <w:p w:rsidR="00C407CF" w:rsidRPr="00C407CF" w:rsidRDefault="00C407CF" w:rsidP="00C407CF">
      <w:pPr>
        <w:spacing w:before="120"/>
        <w:rPr>
          <w:sz w:val="20"/>
          <w:szCs w:val="20"/>
          <w:lang w:val="tr-TR"/>
        </w:rPr>
      </w:pPr>
    </w:p>
    <w:p w:rsidR="00C407CF" w:rsidRPr="00C407CF" w:rsidRDefault="00C407CF" w:rsidP="00C407CF">
      <w:pPr>
        <w:spacing w:before="120"/>
        <w:rPr>
          <w:b/>
          <w:bCs/>
          <w:sz w:val="20"/>
          <w:szCs w:val="20"/>
          <w:lang w:val="tr-TR"/>
        </w:rPr>
      </w:pPr>
      <w:r w:rsidRPr="00C407CF">
        <w:rPr>
          <w:b/>
          <w:bCs/>
          <w:sz w:val="20"/>
          <w:szCs w:val="20"/>
          <w:lang w:val="tr-TR"/>
        </w:rPr>
        <w:t xml:space="preserve">Şekil </w:t>
      </w:r>
      <w:r w:rsidRPr="00C407CF">
        <w:rPr>
          <w:b/>
          <w:bCs/>
          <w:sz w:val="20"/>
          <w:szCs w:val="20"/>
          <w:lang w:val="tr-TR"/>
        </w:rPr>
        <w:fldChar w:fldCharType="begin"/>
      </w:r>
      <w:r w:rsidRPr="00C407CF">
        <w:rPr>
          <w:b/>
          <w:bCs/>
          <w:sz w:val="20"/>
          <w:szCs w:val="20"/>
          <w:lang w:val="tr-TR"/>
        </w:rPr>
        <w:instrText xml:space="preserve"> SEQ Şekil \* ARABIC </w:instrText>
      </w:r>
      <w:r w:rsidRPr="00C407CF">
        <w:rPr>
          <w:b/>
          <w:bCs/>
          <w:sz w:val="20"/>
          <w:szCs w:val="20"/>
          <w:lang w:val="tr-TR"/>
        </w:rPr>
        <w:fldChar w:fldCharType="separate"/>
      </w:r>
      <w:r w:rsidR="0033114B">
        <w:rPr>
          <w:b/>
          <w:bCs/>
          <w:noProof/>
          <w:sz w:val="20"/>
          <w:szCs w:val="20"/>
          <w:lang w:val="tr-TR"/>
        </w:rPr>
        <w:t>3</w:t>
      </w:r>
      <w:r w:rsidRPr="00C407CF">
        <w:rPr>
          <w:b/>
          <w:sz w:val="20"/>
          <w:szCs w:val="20"/>
          <w:lang w:val="tr-TR"/>
        </w:rPr>
        <w:fldChar w:fldCharType="end"/>
      </w:r>
      <w:r w:rsidRPr="00C407CF">
        <w:rPr>
          <w:b/>
          <w:bCs/>
          <w:sz w:val="20"/>
          <w:szCs w:val="20"/>
          <w:lang w:val="tr-TR"/>
        </w:rPr>
        <w:t xml:space="preserve"> Gençlerin eğitim ve işgücüne katılım durumu</w:t>
      </w:r>
    </w:p>
    <w:p w:rsidR="00C407CF" w:rsidRPr="00C407CF" w:rsidRDefault="00C407CF" w:rsidP="00C407CF">
      <w:pPr>
        <w:spacing w:before="120"/>
        <w:rPr>
          <w:sz w:val="20"/>
          <w:szCs w:val="20"/>
          <w:lang w:val="tr-TR"/>
        </w:rPr>
      </w:pPr>
      <w:r w:rsidRPr="00C407CF">
        <w:rPr>
          <w:sz w:val="20"/>
          <w:szCs w:val="20"/>
          <w:lang w:val="tr-TR"/>
        </w:rPr>
        <w:drawing>
          <wp:inline distT="0" distB="0" distL="0" distR="0">
            <wp:extent cx="5760720" cy="2040890"/>
            <wp:effectExtent l="19050" t="0" r="0" b="0"/>
            <wp:docPr id="3" name="Picture 8" descr="Clipboa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3.jpg"/>
                    <pic:cNvPicPr/>
                  </pic:nvPicPr>
                  <pic:blipFill>
                    <a:blip r:embed="rId11"/>
                    <a:stretch>
                      <a:fillRect/>
                    </a:stretch>
                  </pic:blipFill>
                  <pic:spPr>
                    <a:xfrm>
                      <a:off x="0" y="0"/>
                      <a:ext cx="5760720" cy="2040890"/>
                    </a:xfrm>
                    <a:prstGeom prst="rect">
                      <a:avLst/>
                    </a:prstGeom>
                  </pic:spPr>
                </pic:pic>
              </a:graphicData>
            </a:graphic>
          </wp:inline>
        </w:drawing>
      </w:r>
    </w:p>
    <w:p w:rsidR="00C407CF" w:rsidRPr="00C407CF" w:rsidRDefault="00C407CF" w:rsidP="00C407CF">
      <w:pPr>
        <w:spacing w:before="120"/>
        <w:rPr>
          <w:lang w:val="tr-TR"/>
        </w:rPr>
      </w:pPr>
      <w:r w:rsidRPr="00C407CF">
        <w:rPr>
          <w:lang w:val="tr-TR"/>
        </w:rPr>
        <w:t>Kaynak: HİA 2012. TÜİK; Betam</w:t>
      </w:r>
    </w:p>
    <w:p w:rsidR="00C407CF" w:rsidRPr="00C407CF" w:rsidRDefault="00C407CF" w:rsidP="00C407CF">
      <w:pPr>
        <w:spacing w:before="120"/>
        <w:rPr>
          <w:sz w:val="20"/>
          <w:szCs w:val="20"/>
          <w:lang w:val="tr-TR"/>
        </w:rPr>
      </w:pPr>
    </w:p>
    <w:p w:rsidR="00C407CF" w:rsidRPr="00C407CF" w:rsidRDefault="00C407CF" w:rsidP="00C407CF">
      <w:pPr>
        <w:spacing w:before="120"/>
        <w:rPr>
          <w:sz w:val="20"/>
          <w:szCs w:val="20"/>
          <w:lang w:val="tr-TR"/>
        </w:rPr>
      </w:pPr>
    </w:p>
    <w:p w:rsidR="00C407CF" w:rsidRPr="00C407CF" w:rsidRDefault="00C407CF" w:rsidP="00C407CF">
      <w:pPr>
        <w:spacing w:before="120"/>
        <w:rPr>
          <w:b/>
          <w:sz w:val="22"/>
          <w:szCs w:val="22"/>
          <w:lang w:val="tr-TR"/>
        </w:rPr>
      </w:pPr>
      <w:r w:rsidRPr="00C407CF">
        <w:rPr>
          <w:b/>
          <w:sz w:val="22"/>
          <w:szCs w:val="22"/>
          <w:lang w:val="tr-TR"/>
        </w:rPr>
        <w:t>Toplumsal cinsiyet rolleri etkili olmaya devam ediyor</w:t>
      </w:r>
    </w:p>
    <w:p w:rsidR="00C407CF" w:rsidRPr="00C407CF" w:rsidRDefault="00C407CF" w:rsidP="00C407CF">
      <w:pPr>
        <w:spacing w:before="120"/>
        <w:rPr>
          <w:sz w:val="20"/>
          <w:szCs w:val="20"/>
          <w:lang w:val="tr-TR"/>
        </w:rPr>
      </w:pPr>
      <w:r w:rsidRPr="00C407CF">
        <w:rPr>
          <w:sz w:val="20"/>
          <w:szCs w:val="20"/>
          <w:lang w:val="tr-TR"/>
        </w:rPr>
        <w:t xml:space="preserve">Okula gitmeyen ve işgücü piyasasına girmemiş 1 milyon 353 bin genç arasında 325 bin genç eğitim ve öğretimine devam ettiğini belirtmektedir. %81,9’u liseden mezun bu gençlerin üniversite giriş sınavlarına hazırlanmakta oldukları tahmin edilmektedir. </w:t>
      </w:r>
    </w:p>
    <w:p w:rsidR="00C407CF" w:rsidRPr="00C407CF" w:rsidRDefault="00C407CF" w:rsidP="00C407CF">
      <w:pPr>
        <w:spacing w:before="120"/>
        <w:rPr>
          <w:sz w:val="20"/>
          <w:szCs w:val="20"/>
          <w:lang w:val="tr-TR"/>
        </w:rPr>
      </w:pPr>
    </w:p>
    <w:p w:rsidR="00C407CF" w:rsidRPr="00C407CF" w:rsidRDefault="00C407CF" w:rsidP="00C407CF">
      <w:pPr>
        <w:spacing w:before="120"/>
        <w:rPr>
          <w:b/>
          <w:bCs/>
          <w:sz w:val="20"/>
          <w:szCs w:val="20"/>
          <w:lang w:val="tr-TR"/>
        </w:rPr>
      </w:pPr>
      <w:r w:rsidRPr="00C407CF">
        <w:rPr>
          <w:b/>
          <w:bCs/>
          <w:sz w:val="20"/>
          <w:szCs w:val="20"/>
          <w:lang w:val="tr-TR"/>
        </w:rPr>
        <w:t>Tablo 2 Eğitime devam etmeyen ve işgücüne dahil olmayanların iş aramama nedenleri</w:t>
      </w:r>
    </w:p>
    <w:tbl>
      <w:tblPr>
        <w:tblW w:w="8262"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tblPr>
      <w:tblGrid>
        <w:gridCol w:w="4268"/>
        <w:gridCol w:w="936"/>
        <w:gridCol w:w="1048"/>
        <w:gridCol w:w="876"/>
        <w:gridCol w:w="1134"/>
      </w:tblGrid>
      <w:tr w:rsidR="00C407CF" w:rsidRPr="00C407CF" w:rsidTr="009842EC">
        <w:trPr>
          <w:trHeight w:val="297"/>
        </w:trPr>
        <w:tc>
          <w:tcPr>
            <w:tcW w:w="426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İş aramama nedenleri</w:t>
            </w:r>
          </w:p>
        </w:tc>
        <w:tc>
          <w:tcPr>
            <w:tcW w:w="936"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Kadın</w:t>
            </w:r>
          </w:p>
        </w:tc>
        <w:tc>
          <w:tcPr>
            <w:tcW w:w="104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Kadın(%)</w:t>
            </w:r>
          </w:p>
        </w:tc>
        <w:tc>
          <w:tcPr>
            <w:tcW w:w="876" w:type="dxa"/>
            <w:vAlign w:val="bottom"/>
          </w:tcPr>
          <w:p w:rsidR="00C407CF" w:rsidRPr="006B2C42" w:rsidRDefault="00C407CF" w:rsidP="00C407CF">
            <w:pPr>
              <w:spacing w:before="120"/>
              <w:rPr>
                <w:b/>
                <w:bCs/>
                <w:sz w:val="20"/>
                <w:szCs w:val="20"/>
                <w:lang w:val="tr-TR"/>
              </w:rPr>
            </w:pPr>
            <w:r w:rsidRPr="006B2C42">
              <w:rPr>
                <w:b/>
                <w:bCs/>
                <w:sz w:val="20"/>
                <w:szCs w:val="20"/>
                <w:lang w:val="tr-TR"/>
              </w:rPr>
              <w:t>Erkek</w:t>
            </w:r>
          </w:p>
        </w:tc>
        <w:tc>
          <w:tcPr>
            <w:tcW w:w="1134" w:type="dxa"/>
            <w:vAlign w:val="bottom"/>
          </w:tcPr>
          <w:p w:rsidR="00C407CF" w:rsidRPr="006B2C42" w:rsidRDefault="00C407CF" w:rsidP="00C407CF">
            <w:pPr>
              <w:spacing w:before="120"/>
              <w:rPr>
                <w:b/>
                <w:bCs/>
                <w:sz w:val="20"/>
                <w:szCs w:val="20"/>
                <w:lang w:val="tr-TR"/>
              </w:rPr>
            </w:pPr>
            <w:r w:rsidRPr="006B2C42">
              <w:rPr>
                <w:b/>
                <w:bCs/>
                <w:sz w:val="20"/>
                <w:szCs w:val="20"/>
                <w:lang w:val="tr-TR"/>
              </w:rPr>
              <w:t>Erkek (%)</w:t>
            </w:r>
          </w:p>
        </w:tc>
      </w:tr>
      <w:tr w:rsidR="00C407CF" w:rsidRPr="00C407CF" w:rsidTr="009842EC">
        <w:trPr>
          <w:trHeight w:val="297"/>
        </w:trPr>
        <w:tc>
          <w:tcPr>
            <w:tcW w:w="426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İş buldu başlamak için bekliyor</w:t>
            </w:r>
          </w:p>
        </w:tc>
        <w:tc>
          <w:tcPr>
            <w:tcW w:w="936"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4.674</w:t>
            </w:r>
          </w:p>
        </w:tc>
        <w:tc>
          <w:tcPr>
            <w:tcW w:w="104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0,5</w:t>
            </w:r>
          </w:p>
        </w:tc>
        <w:tc>
          <w:tcPr>
            <w:tcW w:w="876" w:type="dxa"/>
            <w:vAlign w:val="bottom"/>
          </w:tcPr>
          <w:p w:rsidR="00C407CF" w:rsidRPr="00C407CF" w:rsidRDefault="00C407CF" w:rsidP="00C407CF">
            <w:pPr>
              <w:spacing w:before="120"/>
              <w:rPr>
                <w:sz w:val="20"/>
                <w:szCs w:val="20"/>
                <w:lang w:val="tr-TR"/>
              </w:rPr>
            </w:pPr>
            <w:r w:rsidRPr="00C407CF">
              <w:rPr>
                <w:sz w:val="20"/>
                <w:szCs w:val="20"/>
                <w:lang w:val="tr-TR"/>
              </w:rPr>
              <w:t>8.232</w:t>
            </w:r>
          </w:p>
        </w:tc>
        <w:tc>
          <w:tcPr>
            <w:tcW w:w="1134" w:type="dxa"/>
            <w:vAlign w:val="bottom"/>
          </w:tcPr>
          <w:p w:rsidR="00C407CF" w:rsidRPr="00C407CF" w:rsidRDefault="00C407CF" w:rsidP="00C407CF">
            <w:pPr>
              <w:spacing w:before="120"/>
              <w:rPr>
                <w:sz w:val="20"/>
                <w:szCs w:val="20"/>
                <w:lang w:val="tr-TR"/>
              </w:rPr>
            </w:pPr>
            <w:r w:rsidRPr="00C407CF">
              <w:rPr>
                <w:sz w:val="20"/>
                <w:szCs w:val="20"/>
                <w:lang w:val="tr-TR"/>
              </w:rPr>
              <w:t>1,9</w:t>
            </w:r>
          </w:p>
        </w:tc>
      </w:tr>
      <w:tr w:rsidR="00C407CF" w:rsidRPr="00C407CF" w:rsidTr="009842EC">
        <w:trPr>
          <w:trHeight w:val="297"/>
        </w:trPr>
        <w:tc>
          <w:tcPr>
            <w:tcW w:w="426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Ümidi kırık</w:t>
            </w:r>
          </w:p>
        </w:tc>
        <w:tc>
          <w:tcPr>
            <w:tcW w:w="936"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22.483</w:t>
            </w:r>
          </w:p>
        </w:tc>
        <w:tc>
          <w:tcPr>
            <w:tcW w:w="104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2,5</w:t>
            </w:r>
          </w:p>
        </w:tc>
        <w:tc>
          <w:tcPr>
            <w:tcW w:w="876" w:type="dxa"/>
            <w:vAlign w:val="bottom"/>
          </w:tcPr>
          <w:p w:rsidR="00C407CF" w:rsidRPr="00C407CF" w:rsidRDefault="00C407CF" w:rsidP="00C407CF">
            <w:pPr>
              <w:spacing w:before="120"/>
              <w:rPr>
                <w:sz w:val="20"/>
                <w:szCs w:val="20"/>
                <w:lang w:val="tr-TR"/>
              </w:rPr>
            </w:pPr>
            <w:r w:rsidRPr="00C407CF">
              <w:rPr>
                <w:sz w:val="20"/>
                <w:szCs w:val="20"/>
                <w:lang w:val="tr-TR"/>
              </w:rPr>
              <w:t>102.916</w:t>
            </w:r>
          </w:p>
        </w:tc>
        <w:tc>
          <w:tcPr>
            <w:tcW w:w="1134" w:type="dxa"/>
            <w:vAlign w:val="bottom"/>
          </w:tcPr>
          <w:p w:rsidR="00C407CF" w:rsidRPr="00C407CF" w:rsidRDefault="00C407CF" w:rsidP="00C407CF">
            <w:pPr>
              <w:spacing w:before="120"/>
              <w:rPr>
                <w:sz w:val="20"/>
                <w:szCs w:val="20"/>
                <w:lang w:val="tr-TR"/>
              </w:rPr>
            </w:pPr>
            <w:r w:rsidRPr="00C407CF">
              <w:rPr>
                <w:sz w:val="20"/>
                <w:szCs w:val="20"/>
                <w:lang w:val="tr-TR"/>
              </w:rPr>
              <w:t>23,8</w:t>
            </w:r>
          </w:p>
        </w:tc>
      </w:tr>
      <w:tr w:rsidR="00C407CF" w:rsidRPr="00C407CF" w:rsidTr="009842EC">
        <w:trPr>
          <w:trHeight w:val="297"/>
        </w:trPr>
        <w:tc>
          <w:tcPr>
            <w:tcW w:w="426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Eğitim/öğretimine devam ediyor</w:t>
            </w:r>
          </w:p>
        </w:tc>
        <w:tc>
          <w:tcPr>
            <w:tcW w:w="936"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160.737</w:t>
            </w:r>
          </w:p>
        </w:tc>
        <w:tc>
          <w:tcPr>
            <w:tcW w:w="104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17,5</w:t>
            </w:r>
          </w:p>
        </w:tc>
        <w:tc>
          <w:tcPr>
            <w:tcW w:w="876" w:type="dxa"/>
            <w:vAlign w:val="bottom"/>
          </w:tcPr>
          <w:p w:rsidR="00C407CF" w:rsidRPr="00C407CF" w:rsidRDefault="00C407CF" w:rsidP="00C407CF">
            <w:pPr>
              <w:spacing w:before="120"/>
              <w:rPr>
                <w:sz w:val="20"/>
                <w:szCs w:val="20"/>
                <w:lang w:val="tr-TR"/>
              </w:rPr>
            </w:pPr>
            <w:r w:rsidRPr="00C407CF">
              <w:rPr>
                <w:sz w:val="20"/>
                <w:szCs w:val="20"/>
                <w:lang w:val="tr-TR"/>
              </w:rPr>
              <w:t>164.848</w:t>
            </w:r>
          </w:p>
        </w:tc>
        <w:tc>
          <w:tcPr>
            <w:tcW w:w="1134" w:type="dxa"/>
            <w:vAlign w:val="bottom"/>
          </w:tcPr>
          <w:p w:rsidR="00C407CF" w:rsidRPr="00C407CF" w:rsidRDefault="00C407CF" w:rsidP="00C407CF">
            <w:pPr>
              <w:spacing w:before="120"/>
              <w:rPr>
                <w:sz w:val="20"/>
                <w:szCs w:val="20"/>
                <w:lang w:val="tr-TR"/>
              </w:rPr>
            </w:pPr>
            <w:r w:rsidRPr="00C407CF">
              <w:rPr>
                <w:sz w:val="20"/>
                <w:szCs w:val="20"/>
                <w:lang w:val="tr-TR"/>
              </w:rPr>
              <w:t>38,1</w:t>
            </w:r>
          </w:p>
        </w:tc>
      </w:tr>
      <w:tr w:rsidR="00C407CF" w:rsidRPr="00C407CF" w:rsidTr="009842EC">
        <w:trPr>
          <w:trHeight w:val="297"/>
        </w:trPr>
        <w:tc>
          <w:tcPr>
            <w:tcW w:w="426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Ev işleriyle meşgul ya da ailedeki çocuklara/bakıma muhtaç yetişkinlere bakıyor</w:t>
            </w:r>
          </w:p>
        </w:tc>
        <w:tc>
          <w:tcPr>
            <w:tcW w:w="936"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623.628</w:t>
            </w:r>
          </w:p>
        </w:tc>
        <w:tc>
          <w:tcPr>
            <w:tcW w:w="104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67,8</w:t>
            </w:r>
          </w:p>
        </w:tc>
        <w:tc>
          <w:tcPr>
            <w:tcW w:w="876" w:type="dxa"/>
            <w:vAlign w:val="bottom"/>
          </w:tcPr>
          <w:p w:rsidR="00C407CF" w:rsidRPr="00C407CF" w:rsidRDefault="00C407CF" w:rsidP="00C407CF">
            <w:pPr>
              <w:spacing w:before="120"/>
              <w:rPr>
                <w:sz w:val="20"/>
                <w:szCs w:val="20"/>
                <w:lang w:val="tr-TR"/>
              </w:rPr>
            </w:pPr>
            <w:r w:rsidRPr="00C407CF">
              <w:rPr>
                <w:sz w:val="20"/>
                <w:szCs w:val="20"/>
                <w:lang w:val="tr-TR"/>
              </w:rPr>
              <w:t>106</w:t>
            </w:r>
          </w:p>
        </w:tc>
        <w:tc>
          <w:tcPr>
            <w:tcW w:w="1134" w:type="dxa"/>
            <w:vAlign w:val="bottom"/>
          </w:tcPr>
          <w:p w:rsidR="00C407CF" w:rsidRPr="00C407CF" w:rsidRDefault="00C407CF" w:rsidP="00C407CF">
            <w:pPr>
              <w:spacing w:before="120"/>
              <w:rPr>
                <w:sz w:val="20"/>
                <w:szCs w:val="20"/>
                <w:lang w:val="tr-TR"/>
              </w:rPr>
            </w:pPr>
            <w:r w:rsidRPr="00C407CF">
              <w:rPr>
                <w:sz w:val="20"/>
                <w:szCs w:val="20"/>
                <w:lang w:val="tr-TR"/>
              </w:rPr>
              <w:t>0,0</w:t>
            </w:r>
          </w:p>
        </w:tc>
      </w:tr>
      <w:tr w:rsidR="00C407CF" w:rsidRPr="00C407CF" w:rsidTr="009842EC">
        <w:trPr>
          <w:trHeight w:val="297"/>
        </w:trPr>
        <w:tc>
          <w:tcPr>
            <w:tcW w:w="426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Diğer ailevi ve kişisel nedenler</w:t>
            </w:r>
          </w:p>
        </w:tc>
        <w:tc>
          <w:tcPr>
            <w:tcW w:w="936"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48.606</w:t>
            </w:r>
          </w:p>
        </w:tc>
        <w:tc>
          <w:tcPr>
            <w:tcW w:w="104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5,3</w:t>
            </w:r>
          </w:p>
        </w:tc>
        <w:tc>
          <w:tcPr>
            <w:tcW w:w="876" w:type="dxa"/>
            <w:vAlign w:val="bottom"/>
          </w:tcPr>
          <w:p w:rsidR="00C407CF" w:rsidRPr="00C407CF" w:rsidRDefault="00C407CF" w:rsidP="00C407CF">
            <w:pPr>
              <w:spacing w:before="120"/>
              <w:rPr>
                <w:sz w:val="20"/>
                <w:szCs w:val="20"/>
                <w:lang w:val="tr-TR"/>
              </w:rPr>
            </w:pPr>
            <w:r w:rsidRPr="00C407CF">
              <w:rPr>
                <w:sz w:val="20"/>
                <w:szCs w:val="20"/>
                <w:lang w:val="tr-TR"/>
              </w:rPr>
              <w:t>52.427</w:t>
            </w:r>
          </w:p>
        </w:tc>
        <w:tc>
          <w:tcPr>
            <w:tcW w:w="1134" w:type="dxa"/>
            <w:vAlign w:val="bottom"/>
          </w:tcPr>
          <w:p w:rsidR="00C407CF" w:rsidRPr="00C407CF" w:rsidRDefault="00C407CF" w:rsidP="00C407CF">
            <w:pPr>
              <w:spacing w:before="120"/>
              <w:rPr>
                <w:sz w:val="20"/>
                <w:szCs w:val="20"/>
                <w:lang w:val="tr-TR"/>
              </w:rPr>
            </w:pPr>
            <w:r w:rsidRPr="00C407CF">
              <w:rPr>
                <w:sz w:val="20"/>
                <w:szCs w:val="20"/>
                <w:lang w:val="tr-TR"/>
              </w:rPr>
              <w:t>12,1</w:t>
            </w:r>
          </w:p>
        </w:tc>
      </w:tr>
      <w:tr w:rsidR="00C407CF" w:rsidRPr="00C407CF" w:rsidTr="009842EC">
        <w:trPr>
          <w:trHeight w:val="297"/>
        </w:trPr>
        <w:tc>
          <w:tcPr>
            <w:tcW w:w="426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Engelli veya hasta</w:t>
            </w:r>
          </w:p>
        </w:tc>
        <w:tc>
          <w:tcPr>
            <w:tcW w:w="936"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33.308</w:t>
            </w:r>
          </w:p>
        </w:tc>
        <w:tc>
          <w:tcPr>
            <w:tcW w:w="104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3,6</w:t>
            </w:r>
          </w:p>
        </w:tc>
        <w:tc>
          <w:tcPr>
            <w:tcW w:w="876" w:type="dxa"/>
            <w:vAlign w:val="bottom"/>
          </w:tcPr>
          <w:p w:rsidR="00C407CF" w:rsidRPr="00C407CF" w:rsidRDefault="00C407CF" w:rsidP="00C407CF">
            <w:pPr>
              <w:spacing w:before="120"/>
              <w:rPr>
                <w:sz w:val="20"/>
                <w:szCs w:val="20"/>
                <w:lang w:val="tr-TR"/>
              </w:rPr>
            </w:pPr>
            <w:r w:rsidRPr="00C407CF">
              <w:rPr>
                <w:sz w:val="20"/>
                <w:szCs w:val="20"/>
                <w:lang w:val="tr-TR"/>
              </w:rPr>
              <w:t>55.920</w:t>
            </w:r>
          </w:p>
        </w:tc>
        <w:tc>
          <w:tcPr>
            <w:tcW w:w="1134" w:type="dxa"/>
            <w:vAlign w:val="bottom"/>
          </w:tcPr>
          <w:p w:rsidR="00C407CF" w:rsidRPr="00C407CF" w:rsidRDefault="00C407CF" w:rsidP="00C407CF">
            <w:pPr>
              <w:spacing w:before="120"/>
              <w:rPr>
                <w:sz w:val="20"/>
                <w:szCs w:val="20"/>
                <w:lang w:val="tr-TR"/>
              </w:rPr>
            </w:pPr>
            <w:r w:rsidRPr="00C407CF">
              <w:rPr>
                <w:sz w:val="20"/>
                <w:szCs w:val="20"/>
                <w:lang w:val="tr-TR"/>
              </w:rPr>
              <w:t>12,9</w:t>
            </w:r>
          </w:p>
        </w:tc>
      </w:tr>
      <w:tr w:rsidR="00C407CF" w:rsidRPr="00C407CF" w:rsidTr="009842EC">
        <w:trPr>
          <w:trHeight w:val="297"/>
        </w:trPr>
        <w:tc>
          <w:tcPr>
            <w:tcW w:w="426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Diğer</w:t>
            </w:r>
          </w:p>
        </w:tc>
        <w:tc>
          <w:tcPr>
            <w:tcW w:w="936"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26.977</w:t>
            </w:r>
          </w:p>
        </w:tc>
        <w:tc>
          <w:tcPr>
            <w:tcW w:w="104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2,9</w:t>
            </w:r>
          </w:p>
        </w:tc>
        <w:tc>
          <w:tcPr>
            <w:tcW w:w="876" w:type="dxa"/>
            <w:vAlign w:val="bottom"/>
          </w:tcPr>
          <w:p w:rsidR="00C407CF" w:rsidRPr="00C407CF" w:rsidRDefault="00C407CF" w:rsidP="00C407CF">
            <w:pPr>
              <w:spacing w:before="120"/>
              <w:rPr>
                <w:sz w:val="20"/>
                <w:szCs w:val="20"/>
                <w:lang w:val="tr-TR"/>
              </w:rPr>
            </w:pPr>
            <w:r w:rsidRPr="00C407CF">
              <w:rPr>
                <w:sz w:val="20"/>
                <w:szCs w:val="20"/>
                <w:lang w:val="tr-TR"/>
              </w:rPr>
              <w:t>48.045</w:t>
            </w:r>
          </w:p>
        </w:tc>
        <w:tc>
          <w:tcPr>
            <w:tcW w:w="1134" w:type="dxa"/>
            <w:vAlign w:val="bottom"/>
          </w:tcPr>
          <w:p w:rsidR="00C407CF" w:rsidRPr="00C407CF" w:rsidRDefault="00C407CF" w:rsidP="00C407CF">
            <w:pPr>
              <w:spacing w:before="120"/>
              <w:rPr>
                <w:sz w:val="20"/>
                <w:szCs w:val="20"/>
                <w:lang w:val="tr-TR"/>
              </w:rPr>
            </w:pPr>
            <w:r w:rsidRPr="00C407CF">
              <w:rPr>
                <w:sz w:val="20"/>
                <w:szCs w:val="20"/>
                <w:lang w:val="tr-TR"/>
              </w:rPr>
              <w:t>11,1</w:t>
            </w:r>
          </w:p>
        </w:tc>
      </w:tr>
      <w:tr w:rsidR="00C407CF" w:rsidRPr="00C407CF" w:rsidTr="009842EC">
        <w:trPr>
          <w:trHeight w:val="297"/>
        </w:trPr>
        <w:tc>
          <w:tcPr>
            <w:tcW w:w="4268"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Toplam</w:t>
            </w:r>
          </w:p>
        </w:tc>
        <w:tc>
          <w:tcPr>
            <w:tcW w:w="936"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920.413</w:t>
            </w:r>
          </w:p>
        </w:tc>
        <w:tc>
          <w:tcPr>
            <w:tcW w:w="1048"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100</w:t>
            </w:r>
          </w:p>
        </w:tc>
        <w:tc>
          <w:tcPr>
            <w:tcW w:w="876" w:type="dxa"/>
            <w:vAlign w:val="bottom"/>
          </w:tcPr>
          <w:p w:rsidR="00C407CF" w:rsidRPr="00C407CF" w:rsidRDefault="00C407CF" w:rsidP="00C407CF">
            <w:pPr>
              <w:spacing w:before="120"/>
              <w:rPr>
                <w:sz w:val="20"/>
                <w:szCs w:val="20"/>
                <w:lang w:val="tr-TR"/>
              </w:rPr>
            </w:pPr>
            <w:r w:rsidRPr="00C407CF">
              <w:rPr>
                <w:sz w:val="20"/>
                <w:szCs w:val="20"/>
                <w:lang w:val="tr-TR"/>
              </w:rPr>
              <w:t>432.494</w:t>
            </w:r>
          </w:p>
        </w:tc>
        <w:tc>
          <w:tcPr>
            <w:tcW w:w="1134" w:type="dxa"/>
            <w:vAlign w:val="bottom"/>
          </w:tcPr>
          <w:p w:rsidR="00C407CF" w:rsidRPr="00C407CF" w:rsidRDefault="00C407CF" w:rsidP="00C407CF">
            <w:pPr>
              <w:spacing w:before="120"/>
              <w:rPr>
                <w:sz w:val="20"/>
                <w:szCs w:val="20"/>
                <w:lang w:val="tr-TR"/>
              </w:rPr>
            </w:pPr>
            <w:r w:rsidRPr="00C407CF">
              <w:rPr>
                <w:sz w:val="20"/>
                <w:szCs w:val="20"/>
                <w:lang w:val="tr-TR"/>
              </w:rPr>
              <w:t>100</w:t>
            </w:r>
          </w:p>
        </w:tc>
      </w:tr>
    </w:tbl>
    <w:p w:rsidR="00C407CF" w:rsidRPr="00C407CF" w:rsidRDefault="00C407CF" w:rsidP="00C407CF">
      <w:pPr>
        <w:spacing w:before="120"/>
        <w:rPr>
          <w:lang w:val="tr-TR"/>
        </w:rPr>
      </w:pPr>
      <w:r w:rsidRPr="00C407CF">
        <w:rPr>
          <w:lang w:val="tr-TR"/>
        </w:rPr>
        <w:t>Kaynak: HİA 2012. TÜİK; Betam</w:t>
      </w:r>
    </w:p>
    <w:p w:rsidR="00C407CF" w:rsidRPr="00C407CF" w:rsidRDefault="00C407CF" w:rsidP="00C407CF">
      <w:pPr>
        <w:spacing w:before="120"/>
        <w:rPr>
          <w:sz w:val="20"/>
          <w:szCs w:val="20"/>
          <w:lang w:val="tr-TR"/>
        </w:rPr>
      </w:pPr>
    </w:p>
    <w:p w:rsidR="00671845" w:rsidRDefault="00671845" w:rsidP="00C407CF">
      <w:pPr>
        <w:spacing w:before="120"/>
        <w:rPr>
          <w:sz w:val="20"/>
          <w:szCs w:val="20"/>
          <w:lang w:val="tr-TR"/>
        </w:rPr>
      </w:pPr>
    </w:p>
    <w:p w:rsidR="00671845" w:rsidRDefault="00671845" w:rsidP="00C407CF">
      <w:pPr>
        <w:spacing w:before="120"/>
        <w:rPr>
          <w:sz w:val="20"/>
          <w:szCs w:val="20"/>
          <w:lang w:val="tr-TR"/>
        </w:rPr>
      </w:pPr>
    </w:p>
    <w:p w:rsidR="00671845" w:rsidRDefault="00671845" w:rsidP="00C407CF">
      <w:pPr>
        <w:spacing w:before="120"/>
        <w:rPr>
          <w:sz w:val="20"/>
          <w:szCs w:val="20"/>
          <w:lang w:val="tr-TR"/>
        </w:rPr>
      </w:pPr>
    </w:p>
    <w:p w:rsidR="00C407CF" w:rsidRPr="00C407CF" w:rsidRDefault="00C407CF" w:rsidP="00C407CF">
      <w:pPr>
        <w:spacing w:before="120"/>
        <w:rPr>
          <w:sz w:val="20"/>
          <w:szCs w:val="20"/>
          <w:lang w:val="tr-TR"/>
        </w:rPr>
      </w:pPr>
      <w:r w:rsidRPr="00C407CF">
        <w:rPr>
          <w:sz w:val="20"/>
          <w:szCs w:val="20"/>
          <w:lang w:val="tr-TR"/>
        </w:rPr>
        <w:lastRenderedPageBreak/>
        <w:t xml:space="preserve">Genç kadınların işgücü piyasasına dahil olmamalarının ana nedeninin toplumsal roller olduğu Tablo 2’den açıkça görülmektedir; bu genç kadınların yüzde 67,8’i aile ile ilgili olan ev işleri, </w:t>
      </w:r>
      <w:r w:rsidR="001C524E">
        <w:rPr>
          <w:sz w:val="20"/>
          <w:szCs w:val="20"/>
          <w:lang w:val="tr-TR"/>
        </w:rPr>
        <w:t>çocuk ve bakıma muht</w:t>
      </w:r>
      <w:r w:rsidRPr="00C407CF">
        <w:rPr>
          <w:sz w:val="20"/>
          <w:szCs w:val="20"/>
          <w:lang w:val="tr-TR"/>
        </w:rPr>
        <w:t>aç yetişkin bakımı gibi sorumluluklar nedeniyle işgücüne katılmadıklarını belirtmektedir. Genç kadınlarda ev işleriyle meşgul olduğu için iş aramadığını söyleyenlerin oranı 2009 ve 2006 yılındaki oranlara oldukça benzerdir ve genç kadınların iş hayatına girmemesindeki önemli bir neden olarak karşımıza 2012 yılında da çıkmaktadır. Dolayısıyla, toplumsal cinsiyet rollerinin kadın işgücü katılımında sistematik bir problem olduğu rakamlarla desteklenmektedir. Daha 15-19 yaşında eğitimine devam etmeyen ve ekonomik hayatın dışında yer almayı kabullenen genç kadınların iş gücü piyasasına nasıl entegre olabileceği konusunda çalışmalar kadınların ve gelecek nesillerin refahı için önemli bir çalışma olacaktır. Kadınların ekonomik güce sahip olması hane tasarruflarını artırmakta, çocuklara yapılan eğitim ve sağlık harcamalarının aile bütçesi içindeki payını yükselttiği bilinmektedir.</w:t>
      </w:r>
    </w:p>
    <w:p w:rsidR="00C407CF" w:rsidRPr="00C407CF" w:rsidRDefault="00C407CF" w:rsidP="00C407CF">
      <w:pPr>
        <w:spacing w:before="120"/>
        <w:rPr>
          <w:sz w:val="20"/>
          <w:szCs w:val="20"/>
          <w:lang w:val="tr-TR"/>
        </w:rPr>
      </w:pPr>
    </w:p>
    <w:p w:rsidR="00C407CF" w:rsidRPr="00C407CF" w:rsidRDefault="00C407CF" w:rsidP="00C407CF">
      <w:pPr>
        <w:spacing w:before="120"/>
        <w:rPr>
          <w:b/>
          <w:sz w:val="20"/>
          <w:szCs w:val="20"/>
          <w:lang w:val="tr-TR"/>
        </w:rPr>
      </w:pPr>
      <w:r w:rsidRPr="00C407CF">
        <w:rPr>
          <w:b/>
          <w:sz w:val="20"/>
          <w:szCs w:val="20"/>
          <w:lang w:val="tr-TR"/>
        </w:rPr>
        <w:t>15-19 yaş arasındaki 125 bin genç şimdiden iş bulma ümidini kaybetmiş</w:t>
      </w:r>
    </w:p>
    <w:p w:rsidR="00C407CF" w:rsidRPr="00C407CF" w:rsidRDefault="00C407CF" w:rsidP="00C407CF">
      <w:pPr>
        <w:spacing w:before="120"/>
        <w:rPr>
          <w:sz w:val="20"/>
          <w:szCs w:val="20"/>
          <w:lang w:val="tr-TR"/>
        </w:rPr>
      </w:pPr>
      <w:r w:rsidRPr="00C407CF">
        <w:rPr>
          <w:sz w:val="20"/>
          <w:szCs w:val="20"/>
          <w:lang w:val="tr-TR"/>
        </w:rPr>
        <w:t>Erkeklerde ise işgücüne katılmayanların yüzde 23,8’i daha önce çok iş aradığını ancak başarısız olduğunu ya da vasıflarına uygun iş bulamadığını belirtmektedir. Bu grup Tablo 2'de "ümidi kırıklar" olarak adlandırılmıştır. Ümidi kırıkların</w:t>
      </w:r>
      <w:r w:rsidR="004A15A7">
        <w:rPr>
          <w:sz w:val="20"/>
          <w:szCs w:val="20"/>
          <w:lang w:val="tr-TR"/>
        </w:rPr>
        <w:t xml:space="preserve"> </w:t>
      </w:r>
      <w:r w:rsidRPr="00C407CF">
        <w:rPr>
          <w:sz w:val="20"/>
          <w:szCs w:val="20"/>
          <w:lang w:val="tr-TR"/>
        </w:rPr>
        <w:t>ezici çoğunluğunun (yüzde 92,7’si) ilköğretim ya da daha düşük eğitime sahip olduğu dikkat çekicidir.</w:t>
      </w:r>
      <w:r w:rsidR="004A15A7">
        <w:rPr>
          <w:sz w:val="20"/>
          <w:szCs w:val="20"/>
          <w:lang w:val="tr-TR"/>
        </w:rPr>
        <w:t xml:space="preserve"> </w:t>
      </w:r>
      <w:r w:rsidRPr="00C407CF">
        <w:rPr>
          <w:sz w:val="20"/>
          <w:szCs w:val="20"/>
          <w:lang w:val="tr-TR"/>
        </w:rPr>
        <w:t>Ümidi kırık gençlerin iş aramayanlar içerisindeki oranı 2009 yılınd</w:t>
      </w:r>
      <w:r w:rsidR="004A15A7">
        <w:rPr>
          <w:sz w:val="20"/>
          <w:szCs w:val="20"/>
          <w:lang w:val="tr-TR"/>
        </w:rPr>
        <w:t>an bu yana fazla değişmemiştir.</w:t>
      </w:r>
      <w:r w:rsidRPr="00C407CF">
        <w:rPr>
          <w:sz w:val="20"/>
          <w:szCs w:val="20"/>
          <w:lang w:val="tr-TR"/>
        </w:rPr>
        <w:t xml:space="preserve"> Henüz 15-19 yaşında işgücü piyasasında kendine yer olmadığını düşünen bu gençlerin varlığı vahim bir tabloyu gözler önüne sermektedir. Uzun yıllar çalışması gereken bu gençler için işgücü piyasası koşulları giderek kötüleşecektir, zira işgücü talebi teknolojik gelişmelere paralel olarak nitelikli işgücüne kaymaktadır. </w:t>
      </w:r>
    </w:p>
    <w:p w:rsidR="00C407CF" w:rsidRPr="00C407CF" w:rsidRDefault="00C407CF" w:rsidP="00C407CF">
      <w:pPr>
        <w:spacing w:before="120"/>
        <w:rPr>
          <w:bCs/>
          <w:sz w:val="20"/>
          <w:szCs w:val="20"/>
          <w:lang w:val="tr-TR"/>
        </w:rPr>
      </w:pPr>
    </w:p>
    <w:p w:rsidR="00C407CF" w:rsidRPr="00C407CF" w:rsidRDefault="00C407CF" w:rsidP="00C407CF">
      <w:pPr>
        <w:spacing w:before="120"/>
        <w:rPr>
          <w:b/>
          <w:bCs/>
          <w:sz w:val="20"/>
          <w:szCs w:val="20"/>
          <w:lang w:val="tr-TR"/>
        </w:rPr>
      </w:pPr>
      <w:r w:rsidRPr="00C407CF">
        <w:rPr>
          <w:b/>
          <w:bCs/>
          <w:sz w:val="20"/>
          <w:szCs w:val="20"/>
          <w:lang w:val="tr-TR"/>
        </w:rPr>
        <w:t>Tablo 3 Ümidi kırıkların en son mezun oldukları okullar</w:t>
      </w:r>
    </w:p>
    <w:tbl>
      <w:tblPr>
        <w:tblW w:w="9634"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tblPr>
      <w:tblGrid>
        <w:gridCol w:w="3317"/>
        <w:gridCol w:w="1029"/>
        <w:gridCol w:w="1029"/>
        <w:gridCol w:w="1029"/>
        <w:gridCol w:w="1029"/>
        <w:gridCol w:w="1029"/>
        <w:gridCol w:w="1172"/>
      </w:tblGrid>
      <w:tr w:rsidR="00C407CF" w:rsidRPr="00C407CF" w:rsidTr="009E620F">
        <w:trPr>
          <w:trHeight w:val="314"/>
        </w:trPr>
        <w:tc>
          <w:tcPr>
            <w:tcW w:w="3317" w:type="dxa"/>
            <w:shd w:val="clear" w:color="auto" w:fill="auto"/>
            <w:noWrap/>
            <w:vAlign w:val="bottom"/>
            <w:hideMark/>
          </w:tcPr>
          <w:p w:rsidR="00C407CF" w:rsidRPr="00C407CF" w:rsidRDefault="00C407CF" w:rsidP="00C407CF">
            <w:pPr>
              <w:spacing w:before="120"/>
              <w:rPr>
                <w:bCs/>
                <w:sz w:val="20"/>
                <w:szCs w:val="20"/>
                <w:lang w:val="tr-TR"/>
              </w:rPr>
            </w:pPr>
          </w:p>
        </w:tc>
        <w:tc>
          <w:tcPr>
            <w:tcW w:w="1029"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Kadın</w:t>
            </w:r>
          </w:p>
        </w:tc>
        <w:tc>
          <w:tcPr>
            <w:tcW w:w="1029"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Kadın(%)</w:t>
            </w:r>
          </w:p>
        </w:tc>
        <w:tc>
          <w:tcPr>
            <w:tcW w:w="1029" w:type="dxa"/>
            <w:vAlign w:val="bottom"/>
          </w:tcPr>
          <w:p w:rsidR="00C407CF" w:rsidRPr="006B2C42" w:rsidRDefault="00C407CF" w:rsidP="00C407CF">
            <w:pPr>
              <w:spacing w:before="120"/>
              <w:rPr>
                <w:b/>
                <w:bCs/>
                <w:sz w:val="20"/>
                <w:szCs w:val="20"/>
                <w:lang w:val="tr-TR"/>
              </w:rPr>
            </w:pPr>
            <w:r w:rsidRPr="006B2C42">
              <w:rPr>
                <w:b/>
                <w:bCs/>
                <w:sz w:val="20"/>
                <w:szCs w:val="20"/>
                <w:lang w:val="tr-TR"/>
              </w:rPr>
              <w:t>Erkek</w:t>
            </w:r>
          </w:p>
        </w:tc>
        <w:tc>
          <w:tcPr>
            <w:tcW w:w="1029" w:type="dxa"/>
            <w:vAlign w:val="bottom"/>
          </w:tcPr>
          <w:p w:rsidR="00C407CF" w:rsidRPr="006B2C42" w:rsidRDefault="00C407CF" w:rsidP="00C407CF">
            <w:pPr>
              <w:spacing w:before="120"/>
              <w:rPr>
                <w:b/>
                <w:bCs/>
                <w:sz w:val="20"/>
                <w:szCs w:val="20"/>
                <w:lang w:val="tr-TR"/>
              </w:rPr>
            </w:pPr>
            <w:r w:rsidRPr="006B2C42">
              <w:rPr>
                <w:b/>
                <w:bCs/>
                <w:sz w:val="20"/>
                <w:szCs w:val="20"/>
                <w:lang w:val="tr-TR"/>
              </w:rPr>
              <w:t>Erkek(%)</w:t>
            </w:r>
          </w:p>
        </w:tc>
        <w:tc>
          <w:tcPr>
            <w:tcW w:w="1029"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Toplam</w:t>
            </w:r>
          </w:p>
        </w:tc>
        <w:tc>
          <w:tcPr>
            <w:tcW w:w="1172"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Toplam(%)</w:t>
            </w:r>
          </w:p>
        </w:tc>
      </w:tr>
      <w:tr w:rsidR="00C407CF" w:rsidRPr="00C407CF" w:rsidTr="009E620F">
        <w:trPr>
          <w:trHeight w:val="314"/>
        </w:trPr>
        <w:tc>
          <w:tcPr>
            <w:tcW w:w="3317"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Herhangi bir eğitim kurumundan mezun olmayanlar</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4.841</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21,5</w:t>
            </w:r>
          </w:p>
        </w:tc>
        <w:tc>
          <w:tcPr>
            <w:tcW w:w="1029" w:type="dxa"/>
            <w:vAlign w:val="bottom"/>
          </w:tcPr>
          <w:p w:rsidR="00C407CF" w:rsidRPr="00C407CF" w:rsidRDefault="00C407CF" w:rsidP="00C407CF">
            <w:pPr>
              <w:spacing w:before="120"/>
              <w:rPr>
                <w:sz w:val="20"/>
                <w:szCs w:val="20"/>
                <w:lang w:val="tr-TR"/>
              </w:rPr>
            </w:pPr>
            <w:r w:rsidRPr="00C407CF">
              <w:rPr>
                <w:sz w:val="20"/>
                <w:szCs w:val="20"/>
                <w:lang w:val="tr-TR"/>
              </w:rPr>
              <w:t>22.813</w:t>
            </w:r>
          </w:p>
        </w:tc>
        <w:tc>
          <w:tcPr>
            <w:tcW w:w="1029" w:type="dxa"/>
            <w:vAlign w:val="bottom"/>
          </w:tcPr>
          <w:p w:rsidR="00C407CF" w:rsidRPr="00C407CF" w:rsidRDefault="00C407CF" w:rsidP="00C407CF">
            <w:pPr>
              <w:spacing w:before="120"/>
              <w:rPr>
                <w:sz w:val="20"/>
                <w:szCs w:val="20"/>
                <w:lang w:val="tr-TR"/>
              </w:rPr>
            </w:pPr>
            <w:r w:rsidRPr="00C407CF">
              <w:rPr>
                <w:sz w:val="20"/>
                <w:szCs w:val="20"/>
                <w:lang w:val="tr-TR"/>
              </w:rPr>
              <w:t>22,2</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27.654</w:t>
            </w:r>
          </w:p>
        </w:tc>
        <w:tc>
          <w:tcPr>
            <w:tcW w:w="1172"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22,1</w:t>
            </w:r>
          </w:p>
        </w:tc>
      </w:tr>
      <w:tr w:rsidR="00C407CF" w:rsidRPr="00C407CF" w:rsidTr="009E620F">
        <w:trPr>
          <w:trHeight w:val="314"/>
        </w:trPr>
        <w:tc>
          <w:tcPr>
            <w:tcW w:w="3317"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İlköğretim (8 yıl)</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13.730</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61,1</w:t>
            </w:r>
          </w:p>
        </w:tc>
        <w:tc>
          <w:tcPr>
            <w:tcW w:w="1029" w:type="dxa"/>
            <w:vAlign w:val="bottom"/>
          </w:tcPr>
          <w:p w:rsidR="00C407CF" w:rsidRPr="00C407CF" w:rsidRDefault="00C407CF" w:rsidP="00C407CF">
            <w:pPr>
              <w:spacing w:before="120"/>
              <w:rPr>
                <w:sz w:val="20"/>
                <w:szCs w:val="20"/>
                <w:lang w:val="tr-TR"/>
              </w:rPr>
            </w:pPr>
            <w:r w:rsidRPr="00C407CF">
              <w:rPr>
                <w:sz w:val="20"/>
                <w:szCs w:val="20"/>
                <w:lang w:val="tr-TR"/>
              </w:rPr>
              <w:t>72.581</w:t>
            </w:r>
          </w:p>
        </w:tc>
        <w:tc>
          <w:tcPr>
            <w:tcW w:w="1029" w:type="dxa"/>
            <w:vAlign w:val="bottom"/>
          </w:tcPr>
          <w:p w:rsidR="00C407CF" w:rsidRPr="00C407CF" w:rsidRDefault="00C407CF" w:rsidP="00C407CF">
            <w:pPr>
              <w:spacing w:before="120"/>
              <w:rPr>
                <w:sz w:val="20"/>
                <w:szCs w:val="20"/>
                <w:lang w:val="tr-TR"/>
              </w:rPr>
            </w:pPr>
            <w:r w:rsidRPr="00C407CF">
              <w:rPr>
                <w:sz w:val="20"/>
                <w:szCs w:val="20"/>
                <w:lang w:val="tr-TR"/>
              </w:rPr>
              <w:t>70,5</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86.311</w:t>
            </w:r>
          </w:p>
        </w:tc>
        <w:tc>
          <w:tcPr>
            <w:tcW w:w="1172"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68,8</w:t>
            </w:r>
          </w:p>
        </w:tc>
      </w:tr>
      <w:tr w:rsidR="00C407CF" w:rsidRPr="00C407CF" w:rsidTr="009E620F">
        <w:trPr>
          <w:trHeight w:val="314"/>
        </w:trPr>
        <w:tc>
          <w:tcPr>
            <w:tcW w:w="3317"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Genel lise</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1.594</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7,01</w:t>
            </w:r>
          </w:p>
        </w:tc>
        <w:tc>
          <w:tcPr>
            <w:tcW w:w="1029" w:type="dxa"/>
            <w:vAlign w:val="bottom"/>
          </w:tcPr>
          <w:p w:rsidR="00C407CF" w:rsidRPr="00C407CF" w:rsidRDefault="00C407CF" w:rsidP="00C407CF">
            <w:pPr>
              <w:spacing w:before="120"/>
              <w:rPr>
                <w:sz w:val="20"/>
                <w:szCs w:val="20"/>
                <w:lang w:val="tr-TR"/>
              </w:rPr>
            </w:pPr>
            <w:r w:rsidRPr="00C407CF">
              <w:rPr>
                <w:sz w:val="20"/>
                <w:szCs w:val="20"/>
                <w:lang w:val="tr-TR"/>
              </w:rPr>
              <w:t>5.657</w:t>
            </w:r>
          </w:p>
        </w:tc>
        <w:tc>
          <w:tcPr>
            <w:tcW w:w="1029" w:type="dxa"/>
            <w:vAlign w:val="bottom"/>
          </w:tcPr>
          <w:p w:rsidR="00C407CF" w:rsidRPr="00C407CF" w:rsidRDefault="00C407CF" w:rsidP="00C407CF">
            <w:pPr>
              <w:spacing w:before="120"/>
              <w:rPr>
                <w:sz w:val="20"/>
                <w:szCs w:val="20"/>
                <w:lang w:val="tr-TR"/>
              </w:rPr>
            </w:pPr>
            <w:r w:rsidRPr="00C407CF">
              <w:rPr>
                <w:sz w:val="20"/>
                <w:szCs w:val="20"/>
                <w:lang w:val="tr-TR"/>
              </w:rPr>
              <w:t>5,5</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7.251</w:t>
            </w:r>
          </w:p>
        </w:tc>
        <w:tc>
          <w:tcPr>
            <w:tcW w:w="1172"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5,8</w:t>
            </w:r>
          </w:p>
        </w:tc>
      </w:tr>
      <w:tr w:rsidR="00C407CF" w:rsidRPr="00C407CF" w:rsidTr="009E620F">
        <w:trPr>
          <w:trHeight w:val="314"/>
        </w:trPr>
        <w:tc>
          <w:tcPr>
            <w:tcW w:w="3317"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Mesleki veya teknik lise</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2.318</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10,3</w:t>
            </w:r>
          </w:p>
        </w:tc>
        <w:tc>
          <w:tcPr>
            <w:tcW w:w="1029" w:type="dxa"/>
            <w:vAlign w:val="bottom"/>
          </w:tcPr>
          <w:p w:rsidR="00C407CF" w:rsidRPr="00C407CF" w:rsidRDefault="00C407CF" w:rsidP="00C407CF">
            <w:pPr>
              <w:spacing w:before="120"/>
              <w:rPr>
                <w:sz w:val="20"/>
                <w:szCs w:val="20"/>
                <w:lang w:val="tr-TR"/>
              </w:rPr>
            </w:pPr>
            <w:r w:rsidRPr="00C407CF">
              <w:rPr>
                <w:sz w:val="20"/>
                <w:szCs w:val="20"/>
                <w:lang w:val="tr-TR"/>
              </w:rPr>
              <w:t>1.866</w:t>
            </w:r>
          </w:p>
        </w:tc>
        <w:tc>
          <w:tcPr>
            <w:tcW w:w="1029" w:type="dxa"/>
            <w:vAlign w:val="bottom"/>
          </w:tcPr>
          <w:p w:rsidR="00C407CF" w:rsidRPr="00C407CF" w:rsidRDefault="00C407CF" w:rsidP="00C407CF">
            <w:pPr>
              <w:spacing w:before="120"/>
              <w:rPr>
                <w:sz w:val="20"/>
                <w:szCs w:val="20"/>
                <w:lang w:val="tr-TR"/>
              </w:rPr>
            </w:pPr>
            <w:r w:rsidRPr="00C407CF">
              <w:rPr>
                <w:sz w:val="20"/>
                <w:szCs w:val="20"/>
                <w:lang w:val="tr-TR"/>
              </w:rPr>
              <w:t>1,8</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4.183</w:t>
            </w:r>
          </w:p>
        </w:tc>
        <w:tc>
          <w:tcPr>
            <w:tcW w:w="1172"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3,3</w:t>
            </w:r>
          </w:p>
        </w:tc>
      </w:tr>
      <w:tr w:rsidR="00C407CF" w:rsidRPr="00C407CF" w:rsidTr="009E620F">
        <w:trPr>
          <w:trHeight w:val="314"/>
        </w:trPr>
        <w:tc>
          <w:tcPr>
            <w:tcW w:w="3317" w:type="dxa"/>
            <w:shd w:val="clear" w:color="auto" w:fill="auto"/>
            <w:noWrap/>
            <w:vAlign w:val="bottom"/>
            <w:hideMark/>
          </w:tcPr>
          <w:p w:rsidR="00C407CF" w:rsidRPr="006B2C42" w:rsidRDefault="00C407CF" w:rsidP="00C407CF">
            <w:pPr>
              <w:spacing w:before="120"/>
              <w:rPr>
                <w:b/>
                <w:bCs/>
                <w:sz w:val="20"/>
                <w:szCs w:val="20"/>
                <w:lang w:val="tr-TR"/>
              </w:rPr>
            </w:pPr>
            <w:r w:rsidRPr="006B2C42">
              <w:rPr>
                <w:b/>
                <w:bCs/>
                <w:sz w:val="20"/>
                <w:szCs w:val="20"/>
                <w:lang w:val="tr-TR"/>
              </w:rPr>
              <w:t>To</w:t>
            </w:r>
            <w:r w:rsidR="00963202">
              <w:rPr>
                <w:b/>
                <w:bCs/>
                <w:sz w:val="20"/>
                <w:szCs w:val="20"/>
                <w:lang w:val="tr-TR"/>
              </w:rPr>
              <w:t>plam</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22.483</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100</w:t>
            </w:r>
          </w:p>
        </w:tc>
        <w:tc>
          <w:tcPr>
            <w:tcW w:w="1029" w:type="dxa"/>
            <w:vAlign w:val="bottom"/>
          </w:tcPr>
          <w:p w:rsidR="00C407CF" w:rsidRPr="00C407CF" w:rsidRDefault="00C407CF" w:rsidP="00C407CF">
            <w:pPr>
              <w:spacing w:before="120"/>
              <w:rPr>
                <w:sz w:val="20"/>
                <w:szCs w:val="20"/>
                <w:lang w:val="tr-TR"/>
              </w:rPr>
            </w:pPr>
            <w:r w:rsidRPr="00C407CF">
              <w:rPr>
                <w:sz w:val="20"/>
                <w:szCs w:val="20"/>
                <w:lang w:val="tr-TR"/>
              </w:rPr>
              <w:t>102.916</w:t>
            </w:r>
          </w:p>
        </w:tc>
        <w:tc>
          <w:tcPr>
            <w:tcW w:w="1029" w:type="dxa"/>
            <w:vAlign w:val="bottom"/>
          </w:tcPr>
          <w:p w:rsidR="00C407CF" w:rsidRPr="00C407CF" w:rsidRDefault="00C407CF" w:rsidP="00C407CF">
            <w:pPr>
              <w:spacing w:before="120"/>
              <w:rPr>
                <w:sz w:val="20"/>
                <w:szCs w:val="20"/>
                <w:lang w:val="tr-TR"/>
              </w:rPr>
            </w:pPr>
            <w:r w:rsidRPr="00C407CF">
              <w:rPr>
                <w:sz w:val="20"/>
                <w:szCs w:val="20"/>
                <w:lang w:val="tr-TR"/>
              </w:rPr>
              <w:t>100</w:t>
            </w:r>
          </w:p>
        </w:tc>
        <w:tc>
          <w:tcPr>
            <w:tcW w:w="1029"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125.399</w:t>
            </w:r>
          </w:p>
        </w:tc>
        <w:tc>
          <w:tcPr>
            <w:tcW w:w="1172" w:type="dxa"/>
            <w:shd w:val="clear" w:color="auto" w:fill="auto"/>
            <w:noWrap/>
            <w:vAlign w:val="bottom"/>
            <w:hideMark/>
          </w:tcPr>
          <w:p w:rsidR="00C407CF" w:rsidRPr="00C407CF" w:rsidRDefault="00C407CF" w:rsidP="00C407CF">
            <w:pPr>
              <w:spacing w:before="120"/>
              <w:rPr>
                <w:sz w:val="20"/>
                <w:szCs w:val="20"/>
                <w:lang w:val="tr-TR"/>
              </w:rPr>
            </w:pPr>
            <w:r w:rsidRPr="00C407CF">
              <w:rPr>
                <w:sz w:val="20"/>
                <w:szCs w:val="20"/>
                <w:lang w:val="tr-TR"/>
              </w:rPr>
              <w:t>100</w:t>
            </w:r>
          </w:p>
        </w:tc>
      </w:tr>
    </w:tbl>
    <w:p w:rsidR="00C407CF" w:rsidRPr="00C407CF" w:rsidRDefault="00C407CF" w:rsidP="00C407CF">
      <w:pPr>
        <w:spacing w:before="120"/>
        <w:rPr>
          <w:lang w:val="tr-TR"/>
        </w:rPr>
      </w:pPr>
      <w:r w:rsidRPr="00C407CF">
        <w:rPr>
          <w:lang w:val="tr-TR"/>
        </w:rPr>
        <w:t>Kaynak: HİA 2012. TÜİK; Betam</w:t>
      </w:r>
    </w:p>
    <w:p w:rsidR="00C407CF" w:rsidRPr="00C407CF" w:rsidRDefault="00C407CF" w:rsidP="00C407CF">
      <w:pPr>
        <w:spacing w:before="120"/>
        <w:rPr>
          <w:sz w:val="20"/>
          <w:szCs w:val="20"/>
          <w:lang w:val="tr-TR"/>
        </w:rPr>
      </w:pPr>
    </w:p>
    <w:p w:rsidR="00C407CF" w:rsidRPr="00C407CF" w:rsidRDefault="00C407CF" w:rsidP="00C407CF">
      <w:pPr>
        <w:spacing w:before="120"/>
        <w:rPr>
          <w:b/>
          <w:sz w:val="20"/>
          <w:szCs w:val="20"/>
          <w:lang w:val="tr-TR"/>
        </w:rPr>
      </w:pPr>
      <w:r w:rsidRPr="00C407CF">
        <w:rPr>
          <w:b/>
          <w:sz w:val="20"/>
          <w:szCs w:val="20"/>
          <w:lang w:val="tr-TR"/>
        </w:rPr>
        <w:t xml:space="preserve">Düşük eğitimli genç kuşak büyük zafiyet </w:t>
      </w:r>
    </w:p>
    <w:p w:rsidR="00C407CF" w:rsidRPr="00C407CF" w:rsidRDefault="00C407CF" w:rsidP="00C407CF">
      <w:pPr>
        <w:spacing w:before="120"/>
        <w:rPr>
          <w:sz w:val="20"/>
          <w:szCs w:val="20"/>
          <w:lang w:val="tr-TR"/>
        </w:rPr>
      </w:pPr>
      <w:r w:rsidRPr="00C407CF">
        <w:rPr>
          <w:sz w:val="20"/>
          <w:szCs w:val="20"/>
          <w:lang w:val="tr-TR"/>
        </w:rPr>
        <w:t xml:space="preserve">Türkiye'de 15-19 yaş grubundaki gençlerin diğer ülkelerdeki yaşıtlarına kıyasla eğitime katılım oranları düşüktür. Türkiye eğitime katılım konusunda 2009'dan beri önemli gelişmeler kaydetmiş olsa da aradaki farkın kapanması için daha çok çaba sarf edilmesi gerekmektedir. Önümüzdeki yıllarda çalışabilir nüfusun ortalama eğitim düzeyinin yeterince hızı artamayacağı görülmektedir. Bu durum hızlı ekonomik kalkınma açısından büyük zafiyet oluşturmaktadır. Zira emek verimlilik artışları göreli olarak düşük kalabilir ve bu da büyüme hızını olumsuz etkileyecektir. </w:t>
      </w:r>
    </w:p>
    <w:p w:rsidR="00C407CF" w:rsidRPr="00C407CF" w:rsidRDefault="00C407CF" w:rsidP="00C407CF">
      <w:pPr>
        <w:spacing w:before="120"/>
        <w:rPr>
          <w:sz w:val="20"/>
          <w:szCs w:val="20"/>
          <w:lang w:val="tr-TR"/>
        </w:rPr>
      </w:pPr>
      <w:r w:rsidRPr="00C407CF">
        <w:rPr>
          <w:sz w:val="20"/>
          <w:szCs w:val="20"/>
          <w:lang w:val="tr-TR"/>
        </w:rPr>
        <w:t xml:space="preserve">Ayrıca bu yaş grubunda ne okula giden ne de işgücü piyasasına giren 1,4 milyon genç bulunmaktadır. Atalet içerisinde olan bu gençlerin sayısında 2009'dan bu yana bir düzelme yoktur. Bir başka deyişle Türkiye atıl gençlerini eğitim ve/veya çalışma hayatına dahil etmek için gerekli politikaları geliştirememiştir. Daha yetişkin hayatına yeni başlayan bu gençlerin eğitimden ve işgücü piyasasından uzak kalmaları ilerideki hayatlarında bu sarmaldan çıkmalarını zorlaştıracaktır. Dolayısıyla daha yol yakınken bu gençleri ekonomik hayata entegre edecek politikalar geliştirilmesi elzemdir.   </w:t>
      </w:r>
    </w:p>
    <w:p w:rsidR="00C407CF" w:rsidRPr="00C407CF" w:rsidRDefault="00C407CF" w:rsidP="00C407CF">
      <w:pPr>
        <w:spacing w:before="120"/>
        <w:rPr>
          <w:sz w:val="20"/>
          <w:szCs w:val="20"/>
          <w:lang w:val="tr-TR"/>
        </w:rPr>
      </w:pPr>
    </w:p>
    <w:p w:rsidR="00C407CF" w:rsidRPr="00C407CF" w:rsidRDefault="00C407CF" w:rsidP="00C407CF">
      <w:pPr>
        <w:spacing w:before="120"/>
        <w:jc w:val="center"/>
        <w:rPr>
          <w:sz w:val="20"/>
          <w:szCs w:val="20"/>
          <w:lang w:val="tr-TR"/>
        </w:rPr>
      </w:pPr>
      <w:r w:rsidRPr="00C407CF">
        <w:rPr>
          <w:sz w:val="20"/>
          <w:szCs w:val="20"/>
          <w:lang w:val="tr-TR"/>
        </w:rPr>
        <w:br w:type="page"/>
      </w:r>
      <w:bookmarkStart w:id="0" w:name="_GoBack"/>
      <w:bookmarkEnd w:id="0"/>
    </w:p>
    <w:p w:rsidR="00C407CF" w:rsidRPr="00C407CF" w:rsidRDefault="00C407CF" w:rsidP="00C407CF">
      <w:pPr>
        <w:spacing w:before="120"/>
        <w:rPr>
          <w:b/>
          <w:bCs/>
          <w:sz w:val="20"/>
          <w:szCs w:val="20"/>
          <w:lang w:val="tr-TR"/>
        </w:rPr>
      </w:pPr>
      <w:r w:rsidRPr="00C407CF">
        <w:rPr>
          <w:b/>
          <w:bCs/>
          <w:sz w:val="20"/>
          <w:szCs w:val="20"/>
          <w:lang w:val="tr-TR"/>
        </w:rPr>
        <w:lastRenderedPageBreak/>
        <w:t>Ek Tablo 1 Okula devam etmeyip herhangi bir kursa katılanların en son bitirdikleri okul</w:t>
      </w:r>
    </w:p>
    <w:tbl>
      <w:tblPr>
        <w:tblW w:w="7103"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tblPr>
      <w:tblGrid>
        <w:gridCol w:w="3276"/>
        <w:gridCol w:w="1913"/>
        <w:gridCol w:w="1914"/>
      </w:tblGrid>
      <w:tr w:rsidR="00C407CF" w:rsidRPr="00C407CF" w:rsidTr="009842EC">
        <w:trPr>
          <w:trHeight w:val="300"/>
        </w:trPr>
        <w:tc>
          <w:tcPr>
            <w:tcW w:w="3276"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 </w:t>
            </w:r>
          </w:p>
        </w:tc>
        <w:tc>
          <w:tcPr>
            <w:tcW w:w="1913"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Kursa gidenler</w:t>
            </w:r>
          </w:p>
        </w:tc>
        <w:tc>
          <w:tcPr>
            <w:tcW w:w="1914"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Kursa gidenler(%)</w:t>
            </w:r>
          </w:p>
        </w:tc>
      </w:tr>
      <w:tr w:rsidR="00C407CF" w:rsidRPr="00C407CF" w:rsidTr="009842EC">
        <w:trPr>
          <w:trHeight w:val="300"/>
        </w:trPr>
        <w:tc>
          <w:tcPr>
            <w:tcW w:w="3276"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Herhangi bir okulu bitirmeyen</w:t>
            </w:r>
          </w:p>
        </w:tc>
        <w:tc>
          <w:tcPr>
            <w:tcW w:w="1913"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4.432</w:t>
            </w:r>
          </w:p>
        </w:tc>
        <w:tc>
          <w:tcPr>
            <w:tcW w:w="1914"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1,4</w:t>
            </w:r>
          </w:p>
        </w:tc>
      </w:tr>
      <w:tr w:rsidR="00C407CF" w:rsidRPr="00C407CF" w:rsidTr="009842EC">
        <w:trPr>
          <w:trHeight w:val="300"/>
        </w:trPr>
        <w:tc>
          <w:tcPr>
            <w:tcW w:w="3276"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İlköğretim</w:t>
            </w:r>
          </w:p>
        </w:tc>
        <w:tc>
          <w:tcPr>
            <w:tcW w:w="1913"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53.155</w:t>
            </w:r>
          </w:p>
        </w:tc>
        <w:tc>
          <w:tcPr>
            <w:tcW w:w="1914"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16,3</w:t>
            </w:r>
          </w:p>
        </w:tc>
      </w:tr>
      <w:tr w:rsidR="00C407CF" w:rsidRPr="00C407CF" w:rsidTr="009842EC">
        <w:trPr>
          <w:trHeight w:val="300"/>
        </w:trPr>
        <w:tc>
          <w:tcPr>
            <w:tcW w:w="3276"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Genel lise</w:t>
            </w:r>
          </w:p>
        </w:tc>
        <w:tc>
          <w:tcPr>
            <w:tcW w:w="1913"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187.424</w:t>
            </w:r>
          </w:p>
        </w:tc>
        <w:tc>
          <w:tcPr>
            <w:tcW w:w="1914"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57,6</w:t>
            </w:r>
          </w:p>
        </w:tc>
      </w:tr>
      <w:tr w:rsidR="00C407CF" w:rsidRPr="00C407CF" w:rsidTr="009842EC">
        <w:trPr>
          <w:trHeight w:val="300"/>
        </w:trPr>
        <w:tc>
          <w:tcPr>
            <w:tcW w:w="3276"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Meslek veya teknik lise</w:t>
            </w:r>
          </w:p>
        </w:tc>
        <w:tc>
          <w:tcPr>
            <w:tcW w:w="1913"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79.082</w:t>
            </w:r>
          </w:p>
        </w:tc>
        <w:tc>
          <w:tcPr>
            <w:tcW w:w="1914"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24,3</w:t>
            </w:r>
          </w:p>
        </w:tc>
      </w:tr>
      <w:tr w:rsidR="00C407CF" w:rsidRPr="00C407CF" w:rsidTr="009842EC">
        <w:trPr>
          <w:trHeight w:val="300"/>
        </w:trPr>
        <w:tc>
          <w:tcPr>
            <w:tcW w:w="3276"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Yüksekokul ve üzeri</w:t>
            </w:r>
          </w:p>
        </w:tc>
        <w:tc>
          <w:tcPr>
            <w:tcW w:w="1913"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1.491</w:t>
            </w:r>
          </w:p>
        </w:tc>
        <w:tc>
          <w:tcPr>
            <w:tcW w:w="1914"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0,5</w:t>
            </w:r>
          </w:p>
        </w:tc>
      </w:tr>
      <w:tr w:rsidR="00C407CF" w:rsidRPr="00C407CF" w:rsidTr="009842EC">
        <w:trPr>
          <w:trHeight w:val="300"/>
        </w:trPr>
        <w:tc>
          <w:tcPr>
            <w:tcW w:w="3276"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Toplam</w:t>
            </w:r>
          </w:p>
        </w:tc>
        <w:tc>
          <w:tcPr>
            <w:tcW w:w="1913"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325.585</w:t>
            </w:r>
          </w:p>
        </w:tc>
        <w:tc>
          <w:tcPr>
            <w:tcW w:w="1914"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100</w:t>
            </w:r>
          </w:p>
        </w:tc>
      </w:tr>
    </w:tbl>
    <w:p w:rsidR="00C407CF" w:rsidRPr="00C407CF" w:rsidRDefault="00C407CF" w:rsidP="00C407CF">
      <w:pPr>
        <w:spacing w:before="120"/>
        <w:rPr>
          <w:lang w:val="tr-TR"/>
        </w:rPr>
      </w:pPr>
      <w:r w:rsidRPr="00C407CF">
        <w:rPr>
          <w:lang w:val="tr-TR"/>
        </w:rPr>
        <w:t>Kaynak: HİA 2012. TÜİK; Betam</w:t>
      </w:r>
    </w:p>
    <w:p w:rsidR="00C407CF" w:rsidRPr="00C407CF" w:rsidRDefault="00C407CF" w:rsidP="00C407CF">
      <w:pPr>
        <w:spacing w:before="120"/>
        <w:jc w:val="center"/>
        <w:rPr>
          <w:sz w:val="20"/>
          <w:szCs w:val="20"/>
          <w:lang w:val="tr-TR"/>
        </w:rPr>
      </w:pPr>
    </w:p>
    <w:p w:rsidR="00C407CF" w:rsidRPr="00C407CF" w:rsidRDefault="00C407CF" w:rsidP="00C407CF">
      <w:pPr>
        <w:spacing w:before="120"/>
        <w:rPr>
          <w:b/>
          <w:bCs/>
          <w:sz w:val="20"/>
          <w:szCs w:val="20"/>
          <w:lang w:val="tr-TR"/>
        </w:rPr>
      </w:pPr>
      <w:r w:rsidRPr="00C407CF">
        <w:rPr>
          <w:b/>
          <w:bCs/>
          <w:sz w:val="20"/>
          <w:szCs w:val="20"/>
          <w:lang w:val="tr-TR"/>
        </w:rPr>
        <w:t>Ek Tablo 2 2006-2012 yılları arası genel ve genç işsizlik oranları(%)</w:t>
      </w:r>
    </w:p>
    <w:tbl>
      <w:tblPr>
        <w:tblW w:w="5006"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587"/>
        <w:gridCol w:w="1840"/>
        <w:gridCol w:w="1780"/>
        <w:gridCol w:w="799"/>
      </w:tblGrid>
      <w:tr w:rsidR="00C407CF" w:rsidRPr="00C407CF" w:rsidTr="009842EC">
        <w:trPr>
          <w:trHeight w:val="300"/>
        </w:trPr>
        <w:tc>
          <w:tcPr>
            <w:tcW w:w="587" w:type="dxa"/>
            <w:shd w:val="clear" w:color="auto" w:fill="auto"/>
            <w:noWrap/>
            <w:vAlign w:val="bottom"/>
            <w:hideMark/>
          </w:tcPr>
          <w:p w:rsidR="00C407CF" w:rsidRPr="00C407CF" w:rsidRDefault="00C407CF" w:rsidP="00C407CF">
            <w:pPr>
              <w:spacing w:before="120"/>
              <w:jc w:val="center"/>
              <w:rPr>
                <w:bCs/>
                <w:sz w:val="20"/>
                <w:szCs w:val="20"/>
                <w:lang w:val="tr-TR"/>
              </w:rPr>
            </w:pPr>
            <w:r w:rsidRPr="00C407CF">
              <w:rPr>
                <w:bCs/>
                <w:sz w:val="20"/>
                <w:szCs w:val="20"/>
                <w:lang w:val="tr-TR"/>
              </w:rPr>
              <w:t> </w:t>
            </w:r>
          </w:p>
        </w:tc>
        <w:tc>
          <w:tcPr>
            <w:tcW w:w="184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Genel işsizlik oranı</w:t>
            </w:r>
          </w:p>
        </w:tc>
        <w:tc>
          <w:tcPr>
            <w:tcW w:w="178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Genç işsizlik oranı (15-19)</w:t>
            </w:r>
          </w:p>
        </w:tc>
        <w:tc>
          <w:tcPr>
            <w:tcW w:w="799"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Fark</w:t>
            </w:r>
          </w:p>
        </w:tc>
      </w:tr>
      <w:tr w:rsidR="00C407CF" w:rsidRPr="00C407CF" w:rsidTr="009842EC">
        <w:trPr>
          <w:trHeight w:val="300"/>
        </w:trPr>
        <w:tc>
          <w:tcPr>
            <w:tcW w:w="587"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2006</w:t>
            </w:r>
          </w:p>
        </w:tc>
        <w:tc>
          <w:tcPr>
            <w:tcW w:w="184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10.2</w:t>
            </w:r>
          </w:p>
        </w:tc>
        <w:tc>
          <w:tcPr>
            <w:tcW w:w="178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17,0</w:t>
            </w:r>
          </w:p>
        </w:tc>
        <w:tc>
          <w:tcPr>
            <w:tcW w:w="799"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6,8</w:t>
            </w:r>
          </w:p>
        </w:tc>
      </w:tr>
      <w:tr w:rsidR="00C407CF" w:rsidRPr="00C407CF" w:rsidTr="009842EC">
        <w:trPr>
          <w:trHeight w:val="300"/>
        </w:trPr>
        <w:tc>
          <w:tcPr>
            <w:tcW w:w="587"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2009</w:t>
            </w:r>
          </w:p>
        </w:tc>
        <w:tc>
          <w:tcPr>
            <w:tcW w:w="184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14.0</w:t>
            </w:r>
          </w:p>
        </w:tc>
        <w:tc>
          <w:tcPr>
            <w:tcW w:w="178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24,3</w:t>
            </w:r>
          </w:p>
        </w:tc>
        <w:tc>
          <w:tcPr>
            <w:tcW w:w="799"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10,3</w:t>
            </w:r>
          </w:p>
        </w:tc>
      </w:tr>
      <w:tr w:rsidR="00C407CF" w:rsidRPr="00C407CF" w:rsidTr="009842EC">
        <w:trPr>
          <w:trHeight w:val="300"/>
        </w:trPr>
        <w:tc>
          <w:tcPr>
            <w:tcW w:w="587"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2012</w:t>
            </w:r>
          </w:p>
        </w:tc>
        <w:tc>
          <w:tcPr>
            <w:tcW w:w="184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9.2</w:t>
            </w:r>
          </w:p>
        </w:tc>
        <w:tc>
          <w:tcPr>
            <w:tcW w:w="178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14,9</w:t>
            </w:r>
          </w:p>
        </w:tc>
        <w:tc>
          <w:tcPr>
            <w:tcW w:w="799"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5,7</w:t>
            </w:r>
          </w:p>
        </w:tc>
      </w:tr>
    </w:tbl>
    <w:p w:rsidR="00C407CF" w:rsidRPr="00C407CF" w:rsidRDefault="00C407CF" w:rsidP="00C407CF">
      <w:pPr>
        <w:spacing w:before="120"/>
        <w:rPr>
          <w:lang w:val="tr-TR"/>
        </w:rPr>
      </w:pPr>
      <w:r w:rsidRPr="00C407CF">
        <w:rPr>
          <w:lang w:val="tr-TR"/>
        </w:rPr>
        <w:t>Kaynak: HİA2006-2009-2012. TÜİK; Betam</w:t>
      </w:r>
    </w:p>
    <w:p w:rsidR="00C407CF" w:rsidRPr="00C407CF" w:rsidRDefault="00C407CF" w:rsidP="00C407CF">
      <w:pPr>
        <w:spacing w:before="120"/>
        <w:jc w:val="center"/>
        <w:rPr>
          <w:sz w:val="20"/>
          <w:szCs w:val="20"/>
          <w:lang w:val="tr-TR"/>
        </w:rPr>
      </w:pPr>
    </w:p>
    <w:p w:rsidR="00C407CF" w:rsidRPr="00C407CF" w:rsidRDefault="00C407CF" w:rsidP="00C407CF">
      <w:pPr>
        <w:spacing w:before="120"/>
        <w:rPr>
          <w:b/>
          <w:bCs/>
          <w:sz w:val="20"/>
          <w:szCs w:val="20"/>
          <w:lang w:val="tr-TR"/>
        </w:rPr>
      </w:pPr>
      <w:r w:rsidRPr="00C407CF">
        <w:rPr>
          <w:b/>
          <w:bCs/>
          <w:sz w:val="20"/>
          <w:szCs w:val="20"/>
          <w:lang w:val="tr-TR"/>
        </w:rPr>
        <w:t>Ek Tablo 3 Gençlerin işgücü durumu</w:t>
      </w:r>
    </w:p>
    <w:tbl>
      <w:tblPr>
        <w:tblW w:w="6678"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2667"/>
        <w:gridCol w:w="1718"/>
        <w:gridCol w:w="2293"/>
      </w:tblGrid>
      <w:tr w:rsidR="00C407CF" w:rsidRPr="00C407CF" w:rsidTr="009842EC">
        <w:trPr>
          <w:trHeight w:val="316"/>
        </w:trPr>
        <w:tc>
          <w:tcPr>
            <w:tcW w:w="2667"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 </w:t>
            </w:r>
          </w:p>
        </w:tc>
        <w:tc>
          <w:tcPr>
            <w:tcW w:w="1718"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15-19 yaş grubu</w:t>
            </w:r>
          </w:p>
        </w:tc>
        <w:tc>
          <w:tcPr>
            <w:tcW w:w="2293"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15-19 yaş grubu (%)</w:t>
            </w:r>
          </w:p>
        </w:tc>
      </w:tr>
      <w:tr w:rsidR="00C407CF" w:rsidRPr="00C407CF" w:rsidTr="009842EC">
        <w:trPr>
          <w:trHeight w:val="316"/>
        </w:trPr>
        <w:tc>
          <w:tcPr>
            <w:tcW w:w="2667"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İş gücüne dahil olmayan</w:t>
            </w:r>
          </w:p>
        </w:tc>
        <w:tc>
          <w:tcPr>
            <w:tcW w:w="1718"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4.618.640</w:t>
            </w:r>
          </w:p>
        </w:tc>
        <w:tc>
          <w:tcPr>
            <w:tcW w:w="2293"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74,6</w:t>
            </w:r>
          </w:p>
        </w:tc>
      </w:tr>
      <w:tr w:rsidR="00C407CF" w:rsidRPr="00C407CF" w:rsidTr="009842EC">
        <w:trPr>
          <w:trHeight w:val="316"/>
        </w:trPr>
        <w:tc>
          <w:tcPr>
            <w:tcW w:w="2667"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İstihdam</w:t>
            </w:r>
          </w:p>
        </w:tc>
        <w:tc>
          <w:tcPr>
            <w:tcW w:w="1718"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1.338.201</w:t>
            </w:r>
          </w:p>
        </w:tc>
        <w:tc>
          <w:tcPr>
            <w:tcW w:w="2293"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21,6</w:t>
            </w:r>
          </w:p>
        </w:tc>
      </w:tr>
      <w:tr w:rsidR="00C407CF" w:rsidRPr="00C407CF" w:rsidTr="009842EC">
        <w:trPr>
          <w:trHeight w:val="316"/>
        </w:trPr>
        <w:tc>
          <w:tcPr>
            <w:tcW w:w="2667"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İşsiz</w:t>
            </w:r>
          </w:p>
        </w:tc>
        <w:tc>
          <w:tcPr>
            <w:tcW w:w="1718"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234.471</w:t>
            </w:r>
          </w:p>
        </w:tc>
        <w:tc>
          <w:tcPr>
            <w:tcW w:w="2293"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3,8</w:t>
            </w:r>
          </w:p>
        </w:tc>
      </w:tr>
      <w:tr w:rsidR="00C407CF" w:rsidRPr="00C407CF" w:rsidTr="009842EC">
        <w:trPr>
          <w:trHeight w:val="316"/>
        </w:trPr>
        <w:tc>
          <w:tcPr>
            <w:tcW w:w="2667"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Toplam</w:t>
            </w:r>
          </w:p>
        </w:tc>
        <w:tc>
          <w:tcPr>
            <w:tcW w:w="1718"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6.191.313</w:t>
            </w:r>
          </w:p>
        </w:tc>
        <w:tc>
          <w:tcPr>
            <w:tcW w:w="2293"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100</w:t>
            </w:r>
          </w:p>
        </w:tc>
      </w:tr>
    </w:tbl>
    <w:p w:rsidR="00C407CF" w:rsidRPr="00C407CF" w:rsidRDefault="00C407CF" w:rsidP="00C407CF">
      <w:pPr>
        <w:spacing w:before="120"/>
        <w:rPr>
          <w:lang w:val="tr-TR"/>
        </w:rPr>
      </w:pPr>
      <w:r w:rsidRPr="00C407CF">
        <w:rPr>
          <w:lang w:val="tr-TR"/>
        </w:rPr>
        <w:t>Kaynak: HİA 2012.TÜİK; Betam</w:t>
      </w:r>
    </w:p>
    <w:p w:rsidR="00C407CF" w:rsidRPr="00C407CF" w:rsidRDefault="00C407CF" w:rsidP="00C407CF">
      <w:pPr>
        <w:spacing w:before="120"/>
        <w:jc w:val="center"/>
        <w:rPr>
          <w:sz w:val="20"/>
          <w:szCs w:val="20"/>
          <w:lang w:val="tr-TR"/>
        </w:rPr>
      </w:pPr>
    </w:p>
    <w:p w:rsidR="00C407CF" w:rsidRPr="00C407CF" w:rsidRDefault="00C407CF" w:rsidP="006B2C42">
      <w:pPr>
        <w:spacing w:before="120"/>
        <w:rPr>
          <w:sz w:val="20"/>
          <w:szCs w:val="20"/>
          <w:lang w:val="tr-TR"/>
        </w:rPr>
      </w:pPr>
      <w:r w:rsidRPr="00C407CF">
        <w:rPr>
          <w:sz w:val="20"/>
          <w:szCs w:val="20"/>
          <w:lang w:val="tr-TR"/>
        </w:rPr>
        <w:t>Ek Tablo 2 ve 3'teki hesaplar eğitim durumları dikkate alınmadan yapılmıştır.</w:t>
      </w:r>
    </w:p>
    <w:p w:rsidR="00C407CF" w:rsidRPr="00C407CF" w:rsidRDefault="00C407CF" w:rsidP="00C407CF">
      <w:pPr>
        <w:spacing w:before="120"/>
        <w:jc w:val="center"/>
        <w:rPr>
          <w:sz w:val="20"/>
          <w:szCs w:val="20"/>
          <w:lang w:val="tr-TR"/>
        </w:rPr>
      </w:pPr>
    </w:p>
    <w:p w:rsidR="00C407CF" w:rsidRPr="00C407CF" w:rsidRDefault="00C407CF" w:rsidP="00C407CF">
      <w:pPr>
        <w:spacing w:before="120"/>
        <w:rPr>
          <w:b/>
          <w:bCs/>
          <w:sz w:val="20"/>
          <w:szCs w:val="20"/>
          <w:lang w:val="tr-TR"/>
        </w:rPr>
      </w:pPr>
      <w:r w:rsidRPr="00C407CF">
        <w:rPr>
          <w:b/>
          <w:bCs/>
          <w:sz w:val="20"/>
          <w:szCs w:val="20"/>
          <w:lang w:val="tr-TR"/>
        </w:rPr>
        <w:t>Ek Tablo 4 Okula gitmeyen gençlerin işgücü durumu ve işsizlik oranları</w:t>
      </w:r>
    </w:p>
    <w:tbl>
      <w:tblPr>
        <w:tblW w:w="556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2240"/>
        <w:gridCol w:w="1030"/>
        <w:gridCol w:w="1220"/>
        <w:gridCol w:w="1160"/>
      </w:tblGrid>
      <w:tr w:rsidR="00C407CF" w:rsidRPr="00C407CF" w:rsidTr="009842EC">
        <w:trPr>
          <w:trHeight w:val="300"/>
        </w:trPr>
        <w:tc>
          <w:tcPr>
            <w:tcW w:w="224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 </w:t>
            </w:r>
          </w:p>
        </w:tc>
        <w:tc>
          <w:tcPr>
            <w:tcW w:w="94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Kadın</w:t>
            </w:r>
          </w:p>
        </w:tc>
        <w:tc>
          <w:tcPr>
            <w:tcW w:w="122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Erkek</w:t>
            </w:r>
          </w:p>
        </w:tc>
        <w:tc>
          <w:tcPr>
            <w:tcW w:w="116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Toplam</w:t>
            </w:r>
          </w:p>
        </w:tc>
      </w:tr>
      <w:tr w:rsidR="00C407CF" w:rsidRPr="00C407CF" w:rsidTr="009842EC">
        <w:trPr>
          <w:trHeight w:val="300"/>
        </w:trPr>
        <w:tc>
          <w:tcPr>
            <w:tcW w:w="224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İstihdam edilenler</w:t>
            </w:r>
          </w:p>
        </w:tc>
        <w:tc>
          <w:tcPr>
            <w:tcW w:w="94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287.661</w:t>
            </w:r>
          </w:p>
        </w:tc>
        <w:tc>
          <w:tcPr>
            <w:tcW w:w="122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656.739</w:t>
            </w:r>
          </w:p>
        </w:tc>
        <w:tc>
          <w:tcPr>
            <w:tcW w:w="116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944.400</w:t>
            </w:r>
          </w:p>
        </w:tc>
      </w:tr>
      <w:tr w:rsidR="00C407CF" w:rsidRPr="00C407CF" w:rsidTr="009842EC">
        <w:trPr>
          <w:trHeight w:val="300"/>
        </w:trPr>
        <w:tc>
          <w:tcPr>
            <w:tcW w:w="224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İşsizler</w:t>
            </w:r>
          </w:p>
        </w:tc>
        <w:tc>
          <w:tcPr>
            <w:tcW w:w="94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50.899</w:t>
            </w:r>
          </w:p>
        </w:tc>
        <w:tc>
          <w:tcPr>
            <w:tcW w:w="122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129.551</w:t>
            </w:r>
          </w:p>
        </w:tc>
        <w:tc>
          <w:tcPr>
            <w:tcW w:w="116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180.450</w:t>
            </w:r>
          </w:p>
        </w:tc>
      </w:tr>
      <w:tr w:rsidR="00C407CF" w:rsidRPr="00C407CF" w:rsidTr="009842EC">
        <w:trPr>
          <w:trHeight w:val="300"/>
        </w:trPr>
        <w:tc>
          <w:tcPr>
            <w:tcW w:w="224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Aktif Olmayan</w:t>
            </w:r>
          </w:p>
        </w:tc>
        <w:tc>
          <w:tcPr>
            <w:tcW w:w="94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921.505</w:t>
            </w:r>
          </w:p>
        </w:tc>
        <w:tc>
          <w:tcPr>
            <w:tcW w:w="122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434.027</w:t>
            </w:r>
          </w:p>
        </w:tc>
        <w:tc>
          <w:tcPr>
            <w:tcW w:w="116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1.355.532</w:t>
            </w:r>
          </w:p>
        </w:tc>
      </w:tr>
      <w:tr w:rsidR="00C407CF" w:rsidRPr="00C407CF" w:rsidTr="009842EC">
        <w:trPr>
          <w:trHeight w:val="300"/>
        </w:trPr>
        <w:tc>
          <w:tcPr>
            <w:tcW w:w="224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Toplam</w:t>
            </w:r>
          </w:p>
        </w:tc>
        <w:tc>
          <w:tcPr>
            <w:tcW w:w="94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1.260.065</w:t>
            </w:r>
          </w:p>
        </w:tc>
        <w:tc>
          <w:tcPr>
            <w:tcW w:w="122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1.220.317</w:t>
            </w:r>
          </w:p>
        </w:tc>
        <w:tc>
          <w:tcPr>
            <w:tcW w:w="116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2.480.382</w:t>
            </w:r>
          </w:p>
        </w:tc>
      </w:tr>
      <w:tr w:rsidR="00C407CF" w:rsidRPr="00C407CF" w:rsidTr="009842EC">
        <w:trPr>
          <w:trHeight w:val="300"/>
        </w:trPr>
        <w:tc>
          <w:tcPr>
            <w:tcW w:w="224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İşgücüne katılım oranı</w:t>
            </w:r>
          </w:p>
        </w:tc>
        <w:tc>
          <w:tcPr>
            <w:tcW w:w="94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%26,9</w:t>
            </w:r>
          </w:p>
        </w:tc>
        <w:tc>
          <w:tcPr>
            <w:tcW w:w="122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%64,4</w:t>
            </w:r>
          </w:p>
        </w:tc>
        <w:tc>
          <w:tcPr>
            <w:tcW w:w="116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%45,3</w:t>
            </w:r>
          </w:p>
        </w:tc>
      </w:tr>
      <w:tr w:rsidR="00C407CF" w:rsidRPr="00C407CF" w:rsidTr="009842EC">
        <w:trPr>
          <w:trHeight w:val="300"/>
        </w:trPr>
        <w:tc>
          <w:tcPr>
            <w:tcW w:w="2240" w:type="dxa"/>
            <w:shd w:val="clear" w:color="auto" w:fill="auto"/>
            <w:noWrap/>
            <w:vAlign w:val="bottom"/>
            <w:hideMark/>
          </w:tcPr>
          <w:p w:rsidR="00C407CF" w:rsidRPr="006B2C42" w:rsidRDefault="00C407CF" w:rsidP="00C407CF">
            <w:pPr>
              <w:spacing w:before="120"/>
              <w:jc w:val="center"/>
              <w:rPr>
                <w:b/>
                <w:bCs/>
                <w:sz w:val="20"/>
                <w:szCs w:val="20"/>
                <w:lang w:val="tr-TR"/>
              </w:rPr>
            </w:pPr>
            <w:r w:rsidRPr="006B2C42">
              <w:rPr>
                <w:b/>
                <w:bCs/>
                <w:sz w:val="20"/>
                <w:szCs w:val="20"/>
                <w:lang w:val="tr-TR"/>
              </w:rPr>
              <w:t>İşsizlik oranı</w:t>
            </w:r>
          </w:p>
        </w:tc>
        <w:tc>
          <w:tcPr>
            <w:tcW w:w="94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%15,0</w:t>
            </w:r>
          </w:p>
        </w:tc>
        <w:tc>
          <w:tcPr>
            <w:tcW w:w="122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%16,5</w:t>
            </w:r>
          </w:p>
        </w:tc>
        <w:tc>
          <w:tcPr>
            <w:tcW w:w="1160" w:type="dxa"/>
            <w:shd w:val="clear" w:color="auto" w:fill="auto"/>
            <w:noWrap/>
            <w:vAlign w:val="bottom"/>
            <w:hideMark/>
          </w:tcPr>
          <w:p w:rsidR="00C407CF" w:rsidRPr="00C407CF" w:rsidRDefault="00C407CF" w:rsidP="00C407CF">
            <w:pPr>
              <w:spacing w:before="120"/>
              <w:jc w:val="center"/>
              <w:rPr>
                <w:sz w:val="20"/>
                <w:szCs w:val="20"/>
                <w:lang w:val="tr-TR"/>
              </w:rPr>
            </w:pPr>
            <w:r w:rsidRPr="00C407CF">
              <w:rPr>
                <w:sz w:val="20"/>
                <w:szCs w:val="20"/>
                <w:lang w:val="tr-TR"/>
              </w:rPr>
              <w:t>%16,0</w:t>
            </w:r>
          </w:p>
        </w:tc>
      </w:tr>
    </w:tbl>
    <w:p w:rsidR="00257387" w:rsidRPr="00C407CF" w:rsidRDefault="00C407CF" w:rsidP="00C407CF">
      <w:pPr>
        <w:spacing w:before="120"/>
        <w:rPr>
          <w:sz w:val="20"/>
          <w:szCs w:val="20"/>
          <w:lang w:val="tr-TR"/>
        </w:rPr>
      </w:pPr>
      <w:r w:rsidRPr="00C407CF">
        <w:rPr>
          <w:lang w:val="tr-TR"/>
        </w:rPr>
        <w:t>Kaynak: HİA 2012. TÜİK; Betam</w:t>
      </w:r>
    </w:p>
    <w:sectPr w:rsidR="00257387" w:rsidRPr="00C407CF" w:rsidSect="00B90F1C">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11B" w:rsidRDefault="0008311B" w:rsidP="00894DBA">
      <w:r>
        <w:separator/>
      </w:r>
    </w:p>
  </w:endnote>
  <w:endnote w:type="continuationSeparator" w:id="1">
    <w:p w:rsidR="0008311B" w:rsidRDefault="0008311B" w:rsidP="00894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052980"/>
      <w:docPartObj>
        <w:docPartGallery w:val="Page Numbers (Bottom of Page)"/>
        <w:docPartUnique/>
      </w:docPartObj>
    </w:sdtPr>
    <w:sdtContent>
      <w:p w:rsidR="003E40E7" w:rsidRDefault="00855EAA">
        <w:pPr>
          <w:pStyle w:val="Footer"/>
          <w:jc w:val="right"/>
        </w:pPr>
        <w:r>
          <w:fldChar w:fldCharType="begin"/>
        </w:r>
        <w:r w:rsidR="00E0056F">
          <w:instrText xml:space="preserve"> PAGE   \* MERGEFORMAT </w:instrText>
        </w:r>
        <w:r>
          <w:fldChar w:fldCharType="separate"/>
        </w:r>
        <w:r w:rsidR="009E620F">
          <w:rPr>
            <w:noProof/>
          </w:rPr>
          <w:t>5</w:t>
        </w:r>
        <w:r>
          <w:rPr>
            <w:noProof/>
          </w:rPr>
          <w:fldChar w:fldCharType="end"/>
        </w:r>
      </w:p>
    </w:sdtContent>
  </w:sdt>
  <w:p w:rsidR="004C4FE3" w:rsidRDefault="004C4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11B" w:rsidRDefault="0008311B" w:rsidP="00894DBA">
      <w:r>
        <w:separator/>
      </w:r>
    </w:p>
  </w:footnote>
  <w:footnote w:type="continuationSeparator" w:id="1">
    <w:p w:rsidR="0008311B" w:rsidRDefault="0008311B" w:rsidP="00894DBA">
      <w:r>
        <w:continuationSeparator/>
      </w:r>
    </w:p>
  </w:footnote>
  <w:footnote w:id="2">
    <w:p w:rsidR="00C407CF" w:rsidRPr="00CC3D09" w:rsidRDefault="00C407CF" w:rsidP="00C407CF">
      <w:pPr>
        <w:pStyle w:val="FootnoteText"/>
        <w:rPr>
          <w:rFonts w:ascii="Arial" w:hAnsi="Arial" w:cs="Arial"/>
          <w:sz w:val="16"/>
          <w:szCs w:val="16"/>
        </w:rPr>
      </w:pPr>
      <w:r w:rsidRPr="00CC3D09">
        <w:rPr>
          <w:rStyle w:val="FootnoteReference"/>
          <w:rFonts w:ascii="Arial" w:hAnsi="Arial" w:cs="Arial"/>
        </w:rPr>
        <w:sym w:font="Symbol" w:char="F02A"/>
      </w:r>
      <w:r w:rsidRPr="00CC3D09">
        <w:rPr>
          <w:rFonts w:ascii="Arial" w:hAnsi="Arial" w:cs="Arial"/>
        </w:rPr>
        <w:t xml:space="preserve"> </w:t>
      </w:r>
      <w:r>
        <w:rPr>
          <w:rFonts w:ascii="Arial" w:hAnsi="Arial" w:cs="Arial"/>
          <w:sz w:val="16"/>
          <w:szCs w:val="16"/>
        </w:rPr>
        <w:t>Prof. Dr. Seyfettin Gürsel, Betam, Direktör, seyfettin.gursel@bahcesehir.edu.tr</w:t>
      </w:r>
    </w:p>
  </w:footnote>
  <w:footnote w:id="3">
    <w:p w:rsidR="00C407CF" w:rsidRPr="00CC3D09" w:rsidRDefault="00C407CF" w:rsidP="00C407CF">
      <w:pPr>
        <w:pStyle w:val="FootnoteText"/>
        <w:rPr>
          <w:rFonts w:ascii="Arial" w:hAnsi="Arial" w:cs="Arial"/>
          <w:sz w:val="16"/>
          <w:szCs w:val="16"/>
        </w:rPr>
      </w:pPr>
      <w:r w:rsidRPr="00CC3D09">
        <w:rPr>
          <w:rStyle w:val="FootnoteReference"/>
          <w:rFonts w:ascii="Arial" w:hAnsi="Arial" w:cs="Arial"/>
        </w:rPr>
        <w:sym w:font="Symbol" w:char="F02A"/>
      </w:r>
      <w:r w:rsidRPr="00CC3D09">
        <w:rPr>
          <w:rStyle w:val="FootnoteReference"/>
          <w:rFonts w:ascii="Arial" w:hAnsi="Arial" w:cs="Arial"/>
        </w:rPr>
        <w:sym w:font="Symbol" w:char="F02A"/>
      </w:r>
      <w:r w:rsidRPr="00CC3D09">
        <w:rPr>
          <w:rFonts w:ascii="Arial" w:hAnsi="Arial" w:cs="Arial"/>
        </w:rPr>
        <w:t xml:space="preserve"> </w:t>
      </w:r>
      <w:r>
        <w:rPr>
          <w:rFonts w:ascii="Arial" w:hAnsi="Arial" w:cs="Arial"/>
          <w:sz w:val="16"/>
          <w:szCs w:val="16"/>
        </w:rPr>
        <w:t>Yrd. Doç. Dr. Gökçe Uysal-Kolaşin, Betam, Direktör Yardımcısı, gokce.uysal@bahcesehir.edu.tr</w:t>
      </w:r>
    </w:p>
  </w:footnote>
  <w:footnote w:id="4">
    <w:p w:rsidR="00C407CF" w:rsidRPr="00CC3D09" w:rsidRDefault="00C407CF" w:rsidP="00C407CF">
      <w:pPr>
        <w:pStyle w:val="FootnoteText"/>
        <w:rPr>
          <w:rFonts w:ascii="Arial" w:hAnsi="Arial" w:cs="Arial"/>
          <w:sz w:val="16"/>
          <w:szCs w:val="16"/>
        </w:rPr>
      </w:pPr>
      <w:r w:rsidRPr="00CC3D09">
        <w:rPr>
          <w:rStyle w:val="FootnoteReference"/>
          <w:rFonts w:ascii="Arial" w:hAnsi="Arial" w:cs="Arial"/>
        </w:rPr>
        <w:sym w:font="Symbol" w:char="F02A"/>
      </w:r>
      <w:r w:rsidRPr="00CC3D09">
        <w:rPr>
          <w:rStyle w:val="FootnoteReference"/>
          <w:rFonts w:ascii="Arial" w:hAnsi="Arial" w:cs="Arial"/>
        </w:rPr>
        <w:sym w:font="Symbol" w:char="F02A"/>
      </w:r>
      <w:r w:rsidRPr="00CC3D09">
        <w:rPr>
          <w:rStyle w:val="FootnoteReference"/>
          <w:rFonts w:ascii="Arial" w:hAnsi="Arial" w:cs="Arial"/>
        </w:rPr>
        <w:sym w:font="Symbol" w:char="F02A"/>
      </w:r>
      <w:r w:rsidRPr="00CC3D09">
        <w:rPr>
          <w:rFonts w:ascii="Arial" w:hAnsi="Arial" w:cs="Arial"/>
        </w:rPr>
        <w:t xml:space="preserve"> </w:t>
      </w:r>
      <w:r>
        <w:rPr>
          <w:rFonts w:ascii="Arial" w:hAnsi="Arial" w:cs="Arial"/>
          <w:sz w:val="16"/>
          <w:szCs w:val="16"/>
        </w:rPr>
        <w:t xml:space="preserve">Melike Kökkızıl, Betam, Araştırma Asistanı, melike.kokkizil@bahcesehir.edu.tr </w:t>
      </w:r>
    </w:p>
  </w:footnote>
  <w:footnote w:id="5">
    <w:p w:rsidR="00C407CF" w:rsidRPr="00A507EB" w:rsidRDefault="00C407CF" w:rsidP="00C407CF">
      <w:pPr>
        <w:pStyle w:val="FootnoteText"/>
        <w:rPr>
          <w:rFonts w:ascii="Arial" w:hAnsi="Arial" w:cs="Arial"/>
          <w:sz w:val="16"/>
          <w:szCs w:val="16"/>
        </w:rPr>
      </w:pPr>
      <w:r w:rsidRPr="00A507EB">
        <w:rPr>
          <w:rStyle w:val="FootnoteReference"/>
          <w:rFonts w:ascii="Arial" w:hAnsi="Arial" w:cs="Arial"/>
        </w:rPr>
        <w:footnoteRef/>
      </w:r>
      <w:r w:rsidRPr="00B22141">
        <w:rPr>
          <w:rFonts w:ascii="Arial" w:hAnsi="Arial" w:cs="Arial"/>
          <w:sz w:val="16"/>
          <w:szCs w:val="16"/>
        </w:rPr>
        <w:t>Liseden mezun olmuş ancak halihazırda herhangi bir eğitim kurumuna kayıtlı olmayan 266 bin genç eğitim öğretimine devam ettiğini belirtmektedir. Bu gençlerin Yükseköğrenime Geçiş Sınavı’na (YGS) hazırlandığı tahmin edilmektedir. Yükseköğretime kaydolabilmek için eğitimlerine devam ettiğinden yola çıkarak bu gençleri kayıtlı saydığımızda, kayıtlılık oranı 3,8 yüzde puan artmaktadır.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460BD0"/>
    <w:rsid w:val="00005CA1"/>
    <w:rsid w:val="000335CB"/>
    <w:rsid w:val="00033739"/>
    <w:rsid w:val="00070911"/>
    <w:rsid w:val="0008311B"/>
    <w:rsid w:val="0008507E"/>
    <w:rsid w:val="0009654D"/>
    <w:rsid w:val="000B474F"/>
    <w:rsid w:val="000C3901"/>
    <w:rsid w:val="000F42F1"/>
    <w:rsid w:val="00141EAF"/>
    <w:rsid w:val="00146316"/>
    <w:rsid w:val="001475D9"/>
    <w:rsid w:val="00170DEF"/>
    <w:rsid w:val="001C3218"/>
    <w:rsid w:val="001C524E"/>
    <w:rsid w:val="001F2584"/>
    <w:rsid w:val="001F29E8"/>
    <w:rsid w:val="00220951"/>
    <w:rsid w:val="00223158"/>
    <w:rsid w:val="002304DF"/>
    <w:rsid w:val="00257387"/>
    <w:rsid w:val="00273853"/>
    <w:rsid w:val="002A0B36"/>
    <w:rsid w:val="002A53A2"/>
    <w:rsid w:val="002B08B9"/>
    <w:rsid w:val="002F3288"/>
    <w:rsid w:val="0031214C"/>
    <w:rsid w:val="0032556E"/>
    <w:rsid w:val="0033114B"/>
    <w:rsid w:val="00333EA2"/>
    <w:rsid w:val="00352F0C"/>
    <w:rsid w:val="00362EA9"/>
    <w:rsid w:val="003C5ECD"/>
    <w:rsid w:val="003C777E"/>
    <w:rsid w:val="003D1C32"/>
    <w:rsid w:val="003D4AEC"/>
    <w:rsid w:val="003E0B43"/>
    <w:rsid w:val="003E40E7"/>
    <w:rsid w:val="00413828"/>
    <w:rsid w:val="00447F3E"/>
    <w:rsid w:val="00460BD0"/>
    <w:rsid w:val="00474190"/>
    <w:rsid w:val="004A15A7"/>
    <w:rsid w:val="004B602A"/>
    <w:rsid w:val="004C2ABE"/>
    <w:rsid w:val="004C4452"/>
    <w:rsid w:val="004C4FE3"/>
    <w:rsid w:val="004C7567"/>
    <w:rsid w:val="004D2987"/>
    <w:rsid w:val="00510674"/>
    <w:rsid w:val="0051749C"/>
    <w:rsid w:val="0055061C"/>
    <w:rsid w:val="005817A5"/>
    <w:rsid w:val="005D3649"/>
    <w:rsid w:val="005E18FA"/>
    <w:rsid w:val="005E5609"/>
    <w:rsid w:val="005F2081"/>
    <w:rsid w:val="0061058F"/>
    <w:rsid w:val="00627E3B"/>
    <w:rsid w:val="00630683"/>
    <w:rsid w:val="00637173"/>
    <w:rsid w:val="006425C3"/>
    <w:rsid w:val="00643F74"/>
    <w:rsid w:val="00671845"/>
    <w:rsid w:val="006861DD"/>
    <w:rsid w:val="006B285F"/>
    <w:rsid w:val="006B2C42"/>
    <w:rsid w:val="006C7E1D"/>
    <w:rsid w:val="006F24D3"/>
    <w:rsid w:val="00706403"/>
    <w:rsid w:val="00747ED5"/>
    <w:rsid w:val="007A4ADA"/>
    <w:rsid w:val="007A5177"/>
    <w:rsid w:val="007A6D2B"/>
    <w:rsid w:val="007B3323"/>
    <w:rsid w:val="007C7CA1"/>
    <w:rsid w:val="007F0B4B"/>
    <w:rsid w:val="007F1E97"/>
    <w:rsid w:val="007F53D1"/>
    <w:rsid w:val="007F79AC"/>
    <w:rsid w:val="00803D38"/>
    <w:rsid w:val="00823526"/>
    <w:rsid w:val="00851E16"/>
    <w:rsid w:val="00855EAA"/>
    <w:rsid w:val="00860ED0"/>
    <w:rsid w:val="00874250"/>
    <w:rsid w:val="00883107"/>
    <w:rsid w:val="00894DBA"/>
    <w:rsid w:val="008D07D8"/>
    <w:rsid w:val="008D45BD"/>
    <w:rsid w:val="009026AD"/>
    <w:rsid w:val="00907826"/>
    <w:rsid w:val="00915CDE"/>
    <w:rsid w:val="00937DBC"/>
    <w:rsid w:val="00957C3D"/>
    <w:rsid w:val="00963202"/>
    <w:rsid w:val="009756AA"/>
    <w:rsid w:val="009769DD"/>
    <w:rsid w:val="00983934"/>
    <w:rsid w:val="009A482E"/>
    <w:rsid w:val="009C3BCC"/>
    <w:rsid w:val="009E620F"/>
    <w:rsid w:val="009F29FF"/>
    <w:rsid w:val="009F487D"/>
    <w:rsid w:val="00A132BE"/>
    <w:rsid w:val="00A618D5"/>
    <w:rsid w:val="00A7360B"/>
    <w:rsid w:val="00A83E4C"/>
    <w:rsid w:val="00A8727C"/>
    <w:rsid w:val="00B045C6"/>
    <w:rsid w:val="00B11416"/>
    <w:rsid w:val="00B21484"/>
    <w:rsid w:val="00B329E3"/>
    <w:rsid w:val="00B338F3"/>
    <w:rsid w:val="00B50802"/>
    <w:rsid w:val="00B5220E"/>
    <w:rsid w:val="00B638CE"/>
    <w:rsid w:val="00B641C3"/>
    <w:rsid w:val="00B83AEE"/>
    <w:rsid w:val="00B8470B"/>
    <w:rsid w:val="00B90F1C"/>
    <w:rsid w:val="00B93CD3"/>
    <w:rsid w:val="00BA4E40"/>
    <w:rsid w:val="00BC5643"/>
    <w:rsid w:val="00BD1DBC"/>
    <w:rsid w:val="00BF7382"/>
    <w:rsid w:val="00BF7FAF"/>
    <w:rsid w:val="00C07AF4"/>
    <w:rsid w:val="00C13C55"/>
    <w:rsid w:val="00C2043D"/>
    <w:rsid w:val="00C407CF"/>
    <w:rsid w:val="00C44357"/>
    <w:rsid w:val="00CA4007"/>
    <w:rsid w:val="00CD445F"/>
    <w:rsid w:val="00D01C45"/>
    <w:rsid w:val="00D609B5"/>
    <w:rsid w:val="00DA0FC4"/>
    <w:rsid w:val="00DA64A1"/>
    <w:rsid w:val="00DE079F"/>
    <w:rsid w:val="00E0056F"/>
    <w:rsid w:val="00E4139A"/>
    <w:rsid w:val="00E54D08"/>
    <w:rsid w:val="00E67292"/>
    <w:rsid w:val="00EA61FE"/>
    <w:rsid w:val="00EC01DC"/>
    <w:rsid w:val="00EC7398"/>
    <w:rsid w:val="00F312EA"/>
    <w:rsid w:val="00F435E6"/>
    <w:rsid w:val="00F56A62"/>
    <w:rsid w:val="00F631EF"/>
    <w:rsid w:val="00F82607"/>
    <w:rsid w:val="00FC5130"/>
    <w:rsid w:val="00FD567A"/>
    <w:rsid w:val="00FE3E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semiHidden/>
    <w:rsid w:val="00894DBA"/>
    <w:rPr>
      <w:vertAlign w:val="superscript"/>
    </w:rPr>
  </w:style>
  <w:style w:type="paragraph" w:styleId="FootnoteText">
    <w:name w:val="footnote text"/>
    <w:basedOn w:val="Normal"/>
    <w:link w:val="FootnoteTextChar"/>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semiHidden/>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semiHidden/>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303431808">
      <w:bodyDiv w:val="1"/>
      <w:marLeft w:val="0"/>
      <w:marRight w:val="0"/>
      <w:marTop w:val="0"/>
      <w:marBottom w:val="0"/>
      <w:divBdr>
        <w:top w:val="none" w:sz="0" w:space="0" w:color="auto"/>
        <w:left w:val="none" w:sz="0" w:space="0" w:color="auto"/>
        <w:bottom w:val="none" w:sz="0" w:space="0" w:color="auto"/>
        <w:right w:val="none" w:sz="0" w:space="0" w:color="auto"/>
      </w:divBdr>
    </w:div>
    <w:div w:id="504517990">
      <w:bodyDiv w:val="1"/>
      <w:marLeft w:val="0"/>
      <w:marRight w:val="0"/>
      <w:marTop w:val="0"/>
      <w:marBottom w:val="0"/>
      <w:divBdr>
        <w:top w:val="none" w:sz="0" w:space="0" w:color="auto"/>
        <w:left w:val="none" w:sz="0" w:space="0" w:color="auto"/>
        <w:bottom w:val="none" w:sz="0" w:space="0" w:color="auto"/>
        <w:right w:val="none" w:sz="0" w:space="0" w:color="auto"/>
      </w:divBdr>
    </w:div>
    <w:div w:id="918952006">
      <w:bodyDiv w:val="1"/>
      <w:marLeft w:val="0"/>
      <w:marRight w:val="0"/>
      <w:marTop w:val="0"/>
      <w:marBottom w:val="0"/>
      <w:divBdr>
        <w:top w:val="none" w:sz="0" w:space="0" w:color="auto"/>
        <w:left w:val="none" w:sz="0" w:space="0" w:color="auto"/>
        <w:bottom w:val="none" w:sz="0" w:space="0" w:color="auto"/>
        <w:right w:val="none" w:sz="0" w:space="0" w:color="auto"/>
      </w:divBdr>
    </w:div>
    <w:div w:id="1190990026">
      <w:bodyDiv w:val="1"/>
      <w:marLeft w:val="0"/>
      <w:marRight w:val="0"/>
      <w:marTop w:val="0"/>
      <w:marBottom w:val="0"/>
      <w:divBdr>
        <w:top w:val="none" w:sz="0" w:space="0" w:color="auto"/>
        <w:left w:val="none" w:sz="0" w:space="0" w:color="auto"/>
        <w:bottom w:val="none" w:sz="0" w:space="0" w:color="auto"/>
        <w:right w:val="none" w:sz="0" w:space="0" w:color="auto"/>
      </w:divBdr>
    </w:div>
    <w:div w:id="1234051248">
      <w:bodyDiv w:val="1"/>
      <w:marLeft w:val="0"/>
      <w:marRight w:val="0"/>
      <w:marTop w:val="0"/>
      <w:marBottom w:val="0"/>
      <w:divBdr>
        <w:top w:val="none" w:sz="0" w:space="0" w:color="auto"/>
        <w:left w:val="none" w:sz="0" w:space="0" w:color="auto"/>
        <w:bottom w:val="none" w:sz="0" w:space="0" w:color="auto"/>
        <w:right w:val="none" w:sz="0" w:space="0" w:color="auto"/>
      </w:divBdr>
    </w:div>
    <w:div w:id="1370716653">
      <w:bodyDiv w:val="1"/>
      <w:marLeft w:val="0"/>
      <w:marRight w:val="0"/>
      <w:marTop w:val="0"/>
      <w:marBottom w:val="0"/>
      <w:divBdr>
        <w:top w:val="none" w:sz="0" w:space="0" w:color="auto"/>
        <w:left w:val="none" w:sz="0" w:space="0" w:color="auto"/>
        <w:bottom w:val="none" w:sz="0" w:space="0" w:color="auto"/>
        <w:right w:val="none" w:sz="0" w:space="0" w:color="auto"/>
      </w:divBdr>
    </w:div>
    <w:div w:id="15589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1CDF9-F008-47D5-B42A-76227CEE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5</cp:revision>
  <cp:lastPrinted>2013-12-27T07:45:00Z</cp:lastPrinted>
  <dcterms:created xsi:type="dcterms:W3CDTF">2013-12-27T07:43:00Z</dcterms:created>
  <dcterms:modified xsi:type="dcterms:W3CDTF">2013-12-27T07:56:00Z</dcterms:modified>
</cp:coreProperties>
</file>