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C" w:rsidRPr="00A813EB" w:rsidRDefault="0042645F">
      <w:r w:rsidRPr="00A813EB">
        <w:rPr>
          <w:noProof/>
          <w:lang w:eastAsia="en-US"/>
        </w:rPr>
        <w:pict>
          <v:shapetype id="_x0000_t202" coordsize="21600,21600" o:spt="202" path="m,l,21600r21600,l21600,xe">
            <v:stroke joinstyle="miter"/>
            <v:path gradientshapeok="t" o:connecttype="rect"/>
          </v:shapetype>
          <v:shape id="Text Box 3" o:spid="_x0000_s1026" type="#_x0000_t202" style="position:absolute;margin-left:131.6pt;margin-top:-36.3pt;width:312.1pt;height:36.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" stroked="f">
            <v:fill opacity="0"/>
            <v:textbox inset="0,0,0,0">
              <w:txbxContent>
                <w:p w:rsidR="009E3288" w:rsidRPr="002865A7" w:rsidRDefault="009E3288" w:rsidP="00C13C55">
                  <w:pPr>
                    <w:pStyle w:val="Balk1"/>
                    <w:rPr>
                      <w:rFonts w:ascii="Times New Roman" w:hAnsi="Times New Roman"/>
                      <w:sz w:val="52"/>
                      <w:szCs w:val="52"/>
                    </w:rPr>
                  </w:pPr>
                  <w:r>
                    <w:rPr>
                      <w:rFonts w:ascii="Times New Roman" w:hAnsi="Times New Roman"/>
                      <w:sz w:val="52"/>
                      <w:szCs w:val="52"/>
                    </w:rPr>
                    <w:t xml:space="preserve">Araştırma Notu </w:t>
                  </w:r>
                  <w:r w:rsidRPr="002865A7">
                    <w:rPr>
                      <w:rFonts w:ascii="Times New Roman" w:hAnsi="Times New Roman"/>
                      <w:sz w:val="52"/>
                      <w:szCs w:val="52"/>
                    </w:rPr>
                    <w:t>13/</w:t>
                  </w:r>
                  <w:r>
                    <w:rPr>
                      <w:rFonts w:ascii="Times New Roman" w:hAnsi="Times New Roman"/>
                      <w:sz w:val="52"/>
                      <w:szCs w:val="52"/>
                    </w:rPr>
                    <w:t>158</w:t>
                  </w:r>
                </w:p>
                <w:p w:rsidR="009E3288" w:rsidRPr="00526178" w:rsidRDefault="009E3288" w:rsidP="00C13C55">
                  <w:pPr>
                    <w:pStyle w:val="Balk2"/>
                    <w:rPr>
                      <w:b w:val="0"/>
                      <w:bCs w:val="0"/>
                      <w:i w:val="0"/>
                      <w:iCs w:val="0"/>
                    </w:rPr>
                  </w:pPr>
                </w:p>
              </w:txbxContent>
            </v:textbox>
          </v:shape>
        </w:pict>
      </w:r>
      <w:r w:rsidR="00C13C55" w:rsidRPr="00A813EB">
        <w:rPr>
          <w:noProof/>
          <w:lang w:eastAsia="tr-TR"/>
        </w:rPr>
        <w:drawing>
          <wp:anchor distT="0" distB="0" distL="114300" distR="114300" simplePos="0" relativeHeight="251659264" behindDoc="1" locked="0" layoutInCell="1" allowOverlap="1">
            <wp:simplePos x="0" y="0"/>
            <wp:positionH relativeFrom="column">
              <wp:posOffset>-690245</wp:posOffset>
            </wp:positionH>
            <wp:positionV relativeFrom="paragraph">
              <wp:posOffset>-661670</wp:posOffset>
            </wp:positionV>
            <wp:extent cx="7315200" cy="1333500"/>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0325"/>
                    </a:xfrm>
                    <a:prstGeom prst="rect">
                      <a:avLst/>
                    </a:prstGeom>
                    <a:noFill/>
                  </pic:spPr>
                </pic:pic>
              </a:graphicData>
            </a:graphic>
          </wp:anchor>
        </w:drawing>
      </w:r>
    </w:p>
    <w:p w:rsidR="00460BD0" w:rsidRPr="00A813EB" w:rsidRDefault="00460BD0"/>
    <w:p w:rsidR="00C13C55" w:rsidRPr="00A813EB" w:rsidRDefault="0042645F" w:rsidP="00257387">
      <w:pPr>
        <w:pStyle w:val="ResimYazs"/>
        <w:keepNext/>
      </w:pPr>
      <w:r w:rsidRPr="00A813EB">
        <w:rPr>
          <w:noProof/>
          <w:lang w:eastAsia="en-US"/>
        </w:rPr>
        <w:pict>
          <v:shape id="Text Box 2" o:spid="_x0000_s1027" type="#_x0000_t202" style="position:absolute;margin-left:419.35pt;margin-top:6.45pt;width:116.4pt;height:23.5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" stroked="f">
            <v:fill opacity="0"/>
            <v:textbox inset="0,0,0,0">
              <w:txbxContent>
                <w:p w:rsidR="009E3288" w:rsidRDefault="009E3288" w:rsidP="00C13C55">
                  <w:pPr>
                    <w:pStyle w:val="Balk3"/>
                    <w:jc w:val="center"/>
                  </w:pPr>
                  <w:r>
                    <w:rPr>
                      <w:color w:val="FFFFFF"/>
                      <w:sz w:val="22"/>
                      <w:szCs w:val="22"/>
                    </w:rPr>
                    <w:t xml:space="preserve">6 Aralık </w:t>
                  </w:r>
                  <w:r>
                    <w:rPr>
                      <w:color w:val="FFFFFF"/>
                      <w:sz w:val="22"/>
                      <w:szCs w:val="22"/>
                      <w:lang w:val="tr-TR"/>
                    </w:rPr>
                    <w:t>2013</w:t>
                  </w:r>
                </w:p>
              </w:txbxContent>
            </v:textbox>
          </v:shape>
        </w:pict>
      </w:r>
    </w:p>
    <w:p w:rsidR="00C13C55" w:rsidRPr="00A813EB" w:rsidRDefault="00C13C55" w:rsidP="00257387">
      <w:pPr>
        <w:pStyle w:val="ResimYazs"/>
        <w:keepNext/>
      </w:pPr>
    </w:p>
    <w:p w:rsidR="00C13C55" w:rsidRPr="00A813EB" w:rsidRDefault="00C13C55" w:rsidP="00257387">
      <w:pPr>
        <w:pStyle w:val="ResimYazs"/>
        <w:keepNext/>
      </w:pPr>
    </w:p>
    <w:p w:rsidR="00C13C55" w:rsidRPr="00A813EB" w:rsidRDefault="00C13C55" w:rsidP="00257387">
      <w:pPr>
        <w:pStyle w:val="ResimYazs"/>
        <w:keepNext/>
      </w:pPr>
    </w:p>
    <w:p w:rsidR="00C13C55" w:rsidRPr="00A813EB" w:rsidRDefault="00C13C55" w:rsidP="00257387">
      <w:pPr>
        <w:pStyle w:val="ResimYazs"/>
        <w:keepNext/>
      </w:pPr>
    </w:p>
    <w:p w:rsidR="00894DBA" w:rsidRPr="00A813EB" w:rsidRDefault="00256157" w:rsidP="00894DBA">
      <w:pPr>
        <w:spacing w:before="120"/>
        <w:jc w:val="center"/>
        <w:rPr>
          <w:b/>
          <w:sz w:val="28"/>
          <w:szCs w:val="28"/>
        </w:rPr>
      </w:pPr>
      <w:r w:rsidRPr="00A813EB">
        <w:rPr>
          <w:b/>
          <w:sz w:val="28"/>
          <w:szCs w:val="28"/>
        </w:rPr>
        <w:t>TÜRKİYE</w:t>
      </w:r>
      <w:r w:rsidR="00343F2F" w:rsidRPr="00A813EB">
        <w:rPr>
          <w:b/>
          <w:sz w:val="28"/>
          <w:szCs w:val="28"/>
        </w:rPr>
        <w:t>’</w:t>
      </w:r>
      <w:r w:rsidRPr="00A813EB">
        <w:rPr>
          <w:b/>
          <w:sz w:val="28"/>
          <w:szCs w:val="28"/>
        </w:rPr>
        <w:t xml:space="preserve">DE İNOVASYON: NİCELİK VAR NİTELİK YOK </w:t>
      </w:r>
    </w:p>
    <w:p w:rsidR="00894DBA" w:rsidRPr="00A813EB" w:rsidRDefault="00894DBA" w:rsidP="00894DBA">
      <w:pPr>
        <w:spacing w:before="120"/>
        <w:jc w:val="center"/>
        <w:rPr>
          <w:b/>
          <w:bCs/>
          <w:sz w:val="20"/>
          <w:szCs w:val="20"/>
        </w:rPr>
      </w:pPr>
    </w:p>
    <w:p w:rsidR="00894DBA" w:rsidRPr="00A813EB" w:rsidRDefault="00256157" w:rsidP="00894DBA">
      <w:pPr>
        <w:spacing w:before="120"/>
        <w:jc w:val="center"/>
        <w:rPr>
          <w:b/>
          <w:bCs/>
          <w:sz w:val="20"/>
          <w:szCs w:val="20"/>
        </w:rPr>
      </w:pPr>
      <w:r w:rsidRPr="00A813EB">
        <w:rPr>
          <w:b/>
          <w:bCs/>
          <w:sz w:val="20"/>
          <w:szCs w:val="20"/>
        </w:rPr>
        <w:t>Barış Soybilgen</w:t>
      </w:r>
      <w:r w:rsidR="00894DBA" w:rsidRPr="00A813EB">
        <w:rPr>
          <w:rStyle w:val="DipnotBavurusu"/>
          <w:b/>
          <w:bCs/>
          <w:sz w:val="20"/>
          <w:szCs w:val="20"/>
        </w:rPr>
        <w:footnoteReference w:customMarkFollows="1" w:id="2"/>
        <w:t>*</w:t>
      </w:r>
    </w:p>
    <w:p w:rsidR="00894DBA" w:rsidRPr="00A813EB" w:rsidRDefault="00894DBA" w:rsidP="00894DBA">
      <w:pPr>
        <w:rPr>
          <w:sz w:val="20"/>
          <w:szCs w:val="20"/>
        </w:rPr>
      </w:pPr>
    </w:p>
    <w:p w:rsidR="00894DBA" w:rsidRPr="00A813EB" w:rsidRDefault="00894DBA" w:rsidP="00894DBA">
      <w:pPr>
        <w:jc w:val="center"/>
        <w:rPr>
          <w:b/>
          <w:bCs/>
          <w:sz w:val="22"/>
          <w:szCs w:val="22"/>
        </w:rPr>
      </w:pPr>
      <w:r w:rsidRPr="00A813EB">
        <w:rPr>
          <w:b/>
          <w:bCs/>
          <w:sz w:val="22"/>
          <w:szCs w:val="22"/>
        </w:rPr>
        <w:t xml:space="preserve">Yönetici Özeti </w:t>
      </w:r>
    </w:p>
    <w:p w:rsidR="005B6723" w:rsidRPr="00A813EB" w:rsidRDefault="005B6723" w:rsidP="00894DBA">
      <w:pPr>
        <w:jc w:val="center"/>
        <w:rPr>
          <w:b/>
          <w:bCs/>
          <w:sz w:val="22"/>
          <w:szCs w:val="22"/>
        </w:rPr>
      </w:pPr>
    </w:p>
    <w:p w:rsidR="00946F3F" w:rsidRPr="00A813EB" w:rsidRDefault="005B6723" w:rsidP="005B6723">
      <w:pPr>
        <w:jc w:val="both"/>
        <w:rPr>
          <w:bCs/>
          <w:sz w:val="20"/>
          <w:szCs w:val="20"/>
        </w:rPr>
      </w:pPr>
      <w:r w:rsidRPr="00A813EB">
        <w:rPr>
          <w:bCs/>
          <w:sz w:val="20"/>
          <w:szCs w:val="20"/>
        </w:rPr>
        <w:t>İnovasyon ve teknolojik g</w:t>
      </w:r>
      <w:r w:rsidR="00D83F55" w:rsidRPr="00A813EB">
        <w:rPr>
          <w:bCs/>
          <w:sz w:val="20"/>
          <w:szCs w:val="20"/>
        </w:rPr>
        <w:t>elişme ülkelerin uzun dönemli ek</w:t>
      </w:r>
      <w:r w:rsidRPr="00A813EB">
        <w:rPr>
          <w:bCs/>
          <w:sz w:val="20"/>
          <w:szCs w:val="20"/>
        </w:rPr>
        <w:t xml:space="preserve">onomik büyümesinin arkasındaki en büyük itici güçtür. Uzun dönemi kapsayan ekonomik çalışmalar ülkelerin </w:t>
      </w:r>
      <w:r w:rsidR="00D83F55" w:rsidRPr="00A813EB">
        <w:rPr>
          <w:bCs/>
          <w:sz w:val="20"/>
          <w:szCs w:val="20"/>
        </w:rPr>
        <w:t xml:space="preserve">büyük ölçüde </w:t>
      </w:r>
      <w:r w:rsidRPr="00A813EB">
        <w:rPr>
          <w:bCs/>
          <w:sz w:val="20"/>
          <w:szCs w:val="20"/>
        </w:rPr>
        <w:t>inovasyon ve teknolojik gelişmeler</w:t>
      </w:r>
      <w:r w:rsidR="00D83F55" w:rsidRPr="00A813EB">
        <w:rPr>
          <w:bCs/>
          <w:sz w:val="20"/>
          <w:szCs w:val="20"/>
        </w:rPr>
        <w:t xml:space="preserve"> sayesinde</w:t>
      </w:r>
      <w:r w:rsidR="00946F3F" w:rsidRPr="00A813EB">
        <w:rPr>
          <w:bCs/>
          <w:sz w:val="20"/>
          <w:szCs w:val="20"/>
        </w:rPr>
        <w:t xml:space="preserve"> </w:t>
      </w:r>
      <w:r w:rsidR="00D83F55" w:rsidRPr="00A813EB">
        <w:rPr>
          <w:bCs/>
          <w:sz w:val="20"/>
          <w:szCs w:val="20"/>
        </w:rPr>
        <w:t>büyüdüğünü</w:t>
      </w:r>
      <w:r w:rsidR="00946F3F" w:rsidRPr="00A813EB">
        <w:rPr>
          <w:bCs/>
          <w:sz w:val="20"/>
          <w:szCs w:val="20"/>
        </w:rPr>
        <w:t xml:space="preserve"> gösteriyor</w:t>
      </w:r>
      <w:r w:rsidRPr="00A813EB">
        <w:rPr>
          <w:bCs/>
          <w:sz w:val="20"/>
          <w:szCs w:val="20"/>
        </w:rPr>
        <w:t xml:space="preserve">. </w:t>
      </w:r>
      <w:r w:rsidR="00946F3F" w:rsidRPr="00A813EB">
        <w:rPr>
          <w:bCs/>
          <w:sz w:val="20"/>
          <w:szCs w:val="20"/>
        </w:rPr>
        <w:t xml:space="preserve">Türkiye inovasyon yarışında geride kalmış olsa da son yıllarda </w:t>
      </w:r>
      <w:r w:rsidR="00D534F5" w:rsidRPr="00A813EB">
        <w:rPr>
          <w:bCs/>
          <w:sz w:val="20"/>
          <w:szCs w:val="20"/>
        </w:rPr>
        <w:t>öne geçebilmek</w:t>
      </w:r>
      <w:r w:rsidR="00946F3F" w:rsidRPr="00A813EB">
        <w:rPr>
          <w:bCs/>
          <w:sz w:val="20"/>
          <w:szCs w:val="20"/>
        </w:rPr>
        <w:t xml:space="preserve"> için çabalıyor. </w:t>
      </w:r>
    </w:p>
    <w:p w:rsidR="00946F3F" w:rsidRPr="00A813EB" w:rsidRDefault="00946F3F" w:rsidP="005B6723">
      <w:pPr>
        <w:jc w:val="both"/>
        <w:rPr>
          <w:bCs/>
          <w:sz w:val="20"/>
          <w:szCs w:val="20"/>
          <w:highlight w:val="yellow"/>
        </w:rPr>
      </w:pPr>
    </w:p>
    <w:p w:rsidR="00946F3F" w:rsidRPr="00A813EB" w:rsidRDefault="00946F3F" w:rsidP="00946F3F">
      <w:pPr>
        <w:jc w:val="both"/>
        <w:rPr>
          <w:sz w:val="20"/>
          <w:szCs w:val="20"/>
        </w:rPr>
      </w:pPr>
      <w:r w:rsidRPr="00A813EB">
        <w:rPr>
          <w:bCs/>
          <w:sz w:val="20"/>
          <w:szCs w:val="20"/>
        </w:rPr>
        <w:t xml:space="preserve">Türkiye’nin </w:t>
      </w:r>
      <w:r w:rsidR="005A449F" w:rsidRPr="00A813EB">
        <w:rPr>
          <w:bCs/>
          <w:sz w:val="20"/>
          <w:szCs w:val="20"/>
        </w:rPr>
        <w:t>Araştırma-Geliştirme (</w:t>
      </w:r>
      <w:r w:rsidRPr="00A813EB">
        <w:rPr>
          <w:bCs/>
          <w:sz w:val="20"/>
          <w:szCs w:val="20"/>
        </w:rPr>
        <w:t>AR-GE</w:t>
      </w:r>
      <w:r w:rsidR="005A449F" w:rsidRPr="00A813EB">
        <w:rPr>
          <w:bCs/>
          <w:sz w:val="20"/>
          <w:szCs w:val="20"/>
        </w:rPr>
        <w:t>) faaliyetlerine</w:t>
      </w:r>
      <w:r w:rsidRPr="00A813EB">
        <w:rPr>
          <w:bCs/>
          <w:sz w:val="20"/>
          <w:szCs w:val="20"/>
        </w:rPr>
        <w:t xml:space="preserve"> yaptığı harcamalar 2003 yılından beri düzenli bir artış gösteriyor. 2003 yılında Türkiye’nin AR-GE harcamaları GSYH’nın yüzde 0,48’ine karşılık gelirken, 2012 yılında bu oran yüzde 0,92’e çıkmış bulunuyor. Türkiye’deki yerleşiklerin yaptığı patent başvuru sayısı da hızla artıyor. Türkiye’deki yerleşikler 2003 yılında 657 patent başvurusu yaparken, bu rakam 2011’de 5283’e çıktı. </w:t>
      </w:r>
      <w:r w:rsidR="00D534F5" w:rsidRPr="00A813EB">
        <w:rPr>
          <w:bCs/>
          <w:sz w:val="20"/>
          <w:szCs w:val="20"/>
        </w:rPr>
        <w:t xml:space="preserve">Türkiye insan sermayesini yükseltebilmek için okullaşma oranını da hızlı bir şekilde </w:t>
      </w:r>
      <w:r w:rsidR="00BB02CF" w:rsidRPr="00A813EB">
        <w:rPr>
          <w:bCs/>
          <w:sz w:val="20"/>
          <w:szCs w:val="20"/>
        </w:rPr>
        <w:t>artırdı</w:t>
      </w:r>
      <w:r w:rsidR="00D534F5" w:rsidRPr="00A813EB">
        <w:rPr>
          <w:bCs/>
          <w:sz w:val="20"/>
          <w:szCs w:val="20"/>
        </w:rPr>
        <w:t>.</w:t>
      </w:r>
    </w:p>
    <w:p w:rsidR="00946F3F" w:rsidRPr="00A813EB" w:rsidRDefault="00946F3F" w:rsidP="00946F3F">
      <w:pPr>
        <w:jc w:val="both"/>
        <w:rPr>
          <w:bCs/>
          <w:sz w:val="20"/>
          <w:szCs w:val="20"/>
          <w:highlight w:val="yellow"/>
        </w:rPr>
      </w:pPr>
    </w:p>
    <w:p w:rsidR="00793016" w:rsidRPr="00A813EB" w:rsidRDefault="00BB02CF" w:rsidP="00946F3F">
      <w:pPr>
        <w:jc w:val="both"/>
        <w:rPr>
          <w:bCs/>
          <w:sz w:val="20"/>
          <w:szCs w:val="20"/>
        </w:rPr>
      </w:pPr>
      <w:r w:rsidRPr="00A813EB">
        <w:rPr>
          <w:bCs/>
          <w:sz w:val="20"/>
          <w:szCs w:val="20"/>
        </w:rPr>
        <w:t>Ancak</w:t>
      </w:r>
      <w:r w:rsidR="00666586" w:rsidRPr="00A813EB">
        <w:rPr>
          <w:bCs/>
          <w:sz w:val="20"/>
          <w:szCs w:val="20"/>
        </w:rPr>
        <w:t>, n</w:t>
      </w:r>
      <w:r w:rsidR="00D534F5" w:rsidRPr="00A813EB">
        <w:rPr>
          <w:bCs/>
          <w:sz w:val="20"/>
          <w:szCs w:val="20"/>
        </w:rPr>
        <w:t xml:space="preserve">icelik </w:t>
      </w:r>
      <w:r w:rsidRPr="00A813EB">
        <w:rPr>
          <w:bCs/>
          <w:sz w:val="20"/>
          <w:szCs w:val="20"/>
        </w:rPr>
        <w:t xml:space="preserve">hızla </w:t>
      </w:r>
      <w:r w:rsidR="00D534F5" w:rsidRPr="00A813EB">
        <w:rPr>
          <w:bCs/>
          <w:sz w:val="20"/>
          <w:szCs w:val="20"/>
        </w:rPr>
        <w:t xml:space="preserve">artmasına rağmen nitelik aynı </w:t>
      </w:r>
      <w:r w:rsidRPr="00A813EB">
        <w:rPr>
          <w:bCs/>
          <w:sz w:val="20"/>
          <w:szCs w:val="20"/>
        </w:rPr>
        <w:t>hızla</w:t>
      </w:r>
      <w:r w:rsidR="00D534F5" w:rsidRPr="00A813EB">
        <w:rPr>
          <w:bCs/>
          <w:sz w:val="20"/>
          <w:szCs w:val="20"/>
        </w:rPr>
        <w:t xml:space="preserve"> artmıyor. </w:t>
      </w:r>
      <w:r w:rsidR="00946F3F" w:rsidRPr="00A813EB">
        <w:rPr>
          <w:bCs/>
          <w:sz w:val="20"/>
          <w:szCs w:val="20"/>
        </w:rPr>
        <w:t>Patent başvuru</w:t>
      </w:r>
      <w:r w:rsidR="00173520" w:rsidRPr="00A813EB">
        <w:rPr>
          <w:bCs/>
          <w:sz w:val="20"/>
          <w:szCs w:val="20"/>
        </w:rPr>
        <w:t xml:space="preserve"> sayısındaki yüksek artış</w:t>
      </w:r>
      <w:r w:rsidR="00946F3F" w:rsidRPr="00A813EB">
        <w:rPr>
          <w:bCs/>
          <w:sz w:val="20"/>
          <w:szCs w:val="20"/>
        </w:rPr>
        <w:t xml:space="preserve">, yüksek teknoloji </w:t>
      </w:r>
      <w:r w:rsidR="00D534F5" w:rsidRPr="00A813EB">
        <w:rPr>
          <w:bCs/>
          <w:sz w:val="20"/>
          <w:szCs w:val="20"/>
        </w:rPr>
        <w:t xml:space="preserve">gerektiren </w:t>
      </w:r>
      <w:r w:rsidR="00A53B08" w:rsidRPr="00A813EB">
        <w:rPr>
          <w:bCs/>
          <w:sz w:val="20"/>
          <w:szCs w:val="20"/>
        </w:rPr>
        <w:t xml:space="preserve">sektörler </w:t>
      </w:r>
      <w:r w:rsidR="00D534F5" w:rsidRPr="00A813EB">
        <w:rPr>
          <w:bCs/>
          <w:sz w:val="20"/>
          <w:szCs w:val="20"/>
        </w:rPr>
        <w:t>y</w:t>
      </w:r>
      <w:r w:rsidR="00A53B08" w:rsidRPr="00A813EB">
        <w:rPr>
          <w:bCs/>
          <w:sz w:val="20"/>
          <w:szCs w:val="20"/>
        </w:rPr>
        <w:t>e</w:t>
      </w:r>
      <w:r w:rsidR="00D534F5" w:rsidRPr="00A813EB">
        <w:rPr>
          <w:bCs/>
          <w:sz w:val="20"/>
          <w:szCs w:val="20"/>
        </w:rPr>
        <w:t>rine düşük teknoloji gerektiren sektörlerde oluyor</w:t>
      </w:r>
      <w:r w:rsidR="00793016" w:rsidRPr="00A813EB">
        <w:rPr>
          <w:bCs/>
          <w:sz w:val="20"/>
          <w:szCs w:val="20"/>
        </w:rPr>
        <w:t>.</w:t>
      </w:r>
      <w:r w:rsidR="00B46288" w:rsidRPr="00A813EB">
        <w:rPr>
          <w:bCs/>
          <w:sz w:val="20"/>
          <w:szCs w:val="20"/>
        </w:rPr>
        <w:t xml:space="preserve"> Bunun yanında Türkiye’nin yüksek teknoloji ihracat</w:t>
      </w:r>
      <w:r w:rsidR="00005E24" w:rsidRPr="00A813EB">
        <w:rPr>
          <w:bCs/>
          <w:sz w:val="20"/>
          <w:szCs w:val="20"/>
        </w:rPr>
        <w:t>ı</w:t>
      </w:r>
      <w:r w:rsidR="00B46288" w:rsidRPr="00A813EB">
        <w:rPr>
          <w:bCs/>
          <w:sz w:val="20"/>
          <w:szCs w:val="20"/>
        </w:rPr>
        <w:t xml:space="preserve"> da yıllardır gelişemiyor ve yerinde saymaya devam ediyor.</w:t>
      </w:r>
      <w:r w:rsidR="00793016" w:rsidRPr="00A813EB">
        <w:rPr>
          <w:bCs/>
          <w:sz w:val="20"/>
          <w:szCs w:val="20"/>
        </w:rPr>
        <w:t xml:space="preserve"> </w:t>
      </w:r>
      <w:r w:rsidR="00666586" w:rsidRPr="00A813EB">
        <w:rPr>
          <w:bCs/>
          <w:sz w:val="20"/>
          <w:szCs w:val="20"/>
        </w:rPr>
        <w:t>Okullaşma oranı</w:t>
      </w:r>
      <w:r w:rsidR="00D534F5" w:rsidRPr="00A813EB">
        <w:rPr>
          <w:bCs/>
          <w:sz w:val="20"/>
          <w:szCs w:val="20"/>
        </w:rPr>
        <w:t xml:space="preserve"> artmasına rağmen en son açıklanan PISA verisinin</w:t>
      </w:r>
      <w:r w:rsidR="00B46288" w:rsidRPr="00A813EB">
        <w:rPr>
          <w:bCs/>
          <w:sz w:val="20"/>
          <w:szCs w:val="20"/>
        </w:rPr>
        <w:t xml:space="preserve"> de</w:t>
      </w:r>
      <w:r w:rsidR="00D534F5" w:rsidRPr="00A813EB">
        <w:rPr>
          <w:bCs/>
          <w:sz w:val="20"/>
          <w:szCs w:val="20"/>
        </w:rPr>
        <w:t xml:space="preserve"> gösterdiği gibi eğitimin kalitesi </w:t>
      </w:r>
      <w:r w:rsidR="004120BD" w:rsidRPr="00A813EB">
        <w:rPr>
          <w:bCs/>
          <w:sz w:val="20"/>
          <w:szCs w:val="20"/>
        </w:rPr>
        <w:t xml:space="preserve">de </w:t>
      </w:r>
      <w:r w:rsidR="00F96916" w:rsidRPr="00A813EB">
        <w:rPr>
          <w:bCs/>
          <w:sz w:val="20"/>
          <w:szCs w:val="20"/>
        </w:rPr>
        <w:t xml:space="preserve">hala </w:t>
      </w:r>
      <w:r w:rsidR="00A53B08" w:rsidRPr="00A813EB">
        <w:rPr>
          <w:bCs/>
          <w:sz w:val="20"/>
          <w:szCs w:val="20"/>
        </w:rPr>
        <w:t>vasat bir seviyede bulunuyor</w:t>
      </w:r>
      <w:r w:rsidR="00D534F5" w:rsidRPr="00A813EB">
        <w:rPr>
          <w:bCs/>
          <w:sz w:val="20"/>
          <w:szCs w:val="20"/>
        </w:rPr>
        <w:t>.</w:t>
      </w:r>
    </w:p>
    <w:p w:rsidR="00793016" w:rsidRPr="00A813EB" w:rsidRDefault="00793016" w:rsidP="005B6723">
      <w:pPr>
        <w:jc w:val="both"/>
        <w:rPr>
          <w:bCs/>
          <w:sz w:val="22"/>
          <w:szCs w:val="22"/>
        </w:rPr>
      </w:pPr>
    </w:p>
    <w:p w:rsidR="005B6723" w:rsidRPr="00A813EB" w:rsidRDefault="00343F2F" w:rsidP="00343F2F">
      <w:pPr>
        <w:rPr>
          <w:b/>
          <w:bCs/>
          <w:sz w:val="22"/>
          <w:szCs w:val="22"/>
        </w:rPr>
      </w:pPr>
      <w:r w:rsidRPr="00A813EB">
        <w:rPr>
          <w:b/>
          <w:bCs/>
          <w:sz w:val="22"/>
          <w:szCs w:val="22"/>
        </w:rPr>
        <w:t>İnovasyonun ö</w:t>
      </w:r>
      <w:r w:rsidR="0076585E" w:rsidRPr="00A813EB">
        <w:rPr>
          <w:b/>
          <w:bCs/>
          <w:sz w:val="22"/>
          <w:szCs w:val="22"/>
        </w:rPr>
        <w:t>nemi</w:t>
      </w:r>
    </w:p>
    <w:p w:rsidR="00F77FEB" w:rsidRPr="00A813EB" w:rsidRDefault="00F77FEB" w:rsidP="00894DBA">
      <w:pPr>
        <w:rPr>
          <w:bCs/>
          <w:sz w:val="22"/>
          <w:szCs w:val="22"/>
        </w:rPr>
      </w:pPr>
    </w:p>
    <w:p w:rsidR="006D5756" w:rsidRPr="00A813EB" w:rsidRDefault="006D5756" w:rsidP="00F77FEB">
      <w:pPr>
        <w:jc w:val="both"/>
        <w:rPr>
          <w:bCs/>
          <w:sz w:val="20"/>
          <w:szCs w:val="20"/>
        </w:rPr>
      </w:pPr>
      <w:r w:rsidRPr="00A813EB">
        <w:rPr>
          <w:bCs/>
          <w:sz w:val="20"/>
          <w:szCs w:val="20"/>
        </w:rPr>
        <w:t>İnovasyon ve teknolojik gelişme ülkelerin uzun dönemli ekonomik büyümesinde</w:t>
      </w:r>
      <w:r w:rsidR="007178A2" w:rsidRPr="00A813EB">
        <w:rPr>
          <w:bCs/>
          <w:sz w:val="20"/>
          <w:szCs w:val="20"/>
        </w:rPr>
        <w:t>ki</w:t>
      </w:r>
      <w:r w:rsidRPr="00A813EB">
        <w:rPr>
          <w:bCs/>
          <w:sz w:val="20"/>
          <w:szCs w:val="20"/>
        </w:rPr>
        <w:t xml:space="preserve"> en önemli itici güçtür.</w:t>
      </w:r>
      <w:r w:rsidR="007178A2" w:rsidRPr="00A813EB">
        <w:rPr>
          <w:bCs/>
          <w:sz w:val="20"/>
          <w:szCs w:val="20"/>
        </w:rPr>
        <w:t xml:space="preserve"> Uzun dönemi kapsayan</w:t>
      </w:r>
      <w:r w:rsidRPr="00A813EB">
        <w:rPr>
          <w:bCs/>
          <w:sz w:val="20"/>
          <w:szCs w:val="20"/>
        </w:rPr>
        <w:t xml:space="preserve"> ekonomik çalışmalar Batı Almanya’daki ekonomik büyümenin yüzde 78’inin, Fransa’daki büyümenin yüzde 76’sının, Japonya’daki büyümenin yüzde 55’inin ve A.B.D’deki büyümenin yüzde 50’sinin teknolojik gelişme ve inovasyon sayesinde gerçekleştiğini gösteriyor</w:t>
      </w:r>
      <w:r w:rsidR="007178A2" w:rsidRPr="00A813EB">
        <w:rPr>
          <w:rStyle w:val="DipnotBavurusu"/>
          <w:bCs/>
          <w:sz w:val="20"/>
          <w:szCs w:val="20"/>
        </w:rPr>
        <w:footnoteReference w:id="3"/>
      </w:r>
      <w:r w:rsidRPr="00A813EB">
        <w:rPr>
          <w:bCs/>
          <w:sz w:val="20"/>
          <w:szCs w:val="20"/>
        </w:rPr>
        <w:t xml:space="preserve">. İnnovasyon ve teknolojik </w:t>
      </w:r>
      <w:r w:rsidR="007178A2" w:rsidRPr="00A813EB">
        <w:rPr>
          <w:bCs/>
          <w:sz w:val="20"/>
          <w:szCs w:val="20"/>
        </w:rPr>
        <w:t>ilerleme</w:t>
      </w:r>
      <w:r w:rsidR="00A813EB" w:rsidRPr="00A813EB">
        <w:rPr>
          <w:bCs/>
          <w:sz w:val="20"/>
          <w:szCs w:val="20"/>
        </w:rPr>
        <w:t xml:space="preserve"> bir vaku</w:t>
      </w:r>
      <w:r w:rsidRPr="00A813EB">
        <w:rPr>
          <w:bCs/>
          <w:sz w:val="20"/>
          <w:szCs w:val="20"/>
        </w:rPr>
        <w:t xml:space="preserve">m içinde </w:t>
      </w:r>
      <w:r w:rsidR="007178A2" w:rsidRPr="00A813EB">
        <w:rPr>
          <w:bCs/>
          <w:sz w:val="20"/>
          <w:szCs w:val="20"/>
        </w:rPr>
        <w:t>gerçekleşmiyor</w:t>
      </w:r>
      <w:r w:rsidRPr="00A813EB">
        <w:rPr>
          <w:bCs/>
          <w:sz w:val="20"/>
          <w:szCs w:val="20"/>
        </w:rPr>
        <w:t xml:space="preserve">. Üniversiteler, özel sektör ve kamu kuruluşları arasındaki </w:t>
      </w:r>
      <w:r w:rsidR="00B46288" w:rsidRPr="00A813EB">
        <w:rPr>
          <w:bCs/>
          <w:sz w:val="20"/>
          <w:szCs w:val="20"/>
        </w:rPr>
        <w:t>karmaşık</w:t>
      </w:r>
      <w:r w:rsidR="00515B48" w:rsidRPr="00A813EB">
        <w:rPr>
          <w:bCs/>
          <w:sz w:val="20"/>
          <w:szCs w:val="20"/>
        </w:rPr>
        <w:t xml:space="preserve"> </w:t>
      </w:r>
      <w:r w:rsidRPr="00A813EB">
        <w:rPr>
          <w:bCs/>
          <w:sz w:val="20"/>
          <w:szCs w:val="20"/>
        </w:rPr>
        <w:t>ilişkilerin sonucunda oluşuyor. Bu il</w:t>
      </w:r>
      <w:r w:rsidR="00DD5C56" w:rsidRPr="00A813EB">
        <w:rPr>
          <w:bCs/>
          <w:sz w:val="20"/>
          <w:szCs w:val="20"/>
        </w:rPr>
        <w:t>i</w:t>
      </w:r>
      <w:r w:rsidR="006D25B6" w:rsidRPr="00A813EB">
        <w:rPr>
          <w:bCs/>
          <w:sz w:val="20"/>
          <w:szCs w:val="20"/>
        </w:rPr>
        <w:t>şkiler</w:t>
      </w:r>
      <w:r w:rsidRPr="00A813EB">
        <w:rPr>
          <w:bCs/>
          <w:sz w:val="20"/>
          <w:szCs w:val="20"/>
        </w:rPr>
        <w:t xml:space="preserve"> de ülke</w:t>
      </w:r>
      <w:r w:rsidR="006D25B6" w:rsidRPr="00A813EB">
        <w:rPr>
          <w:bCs/>
          <w:sz w:val="20"/>
          <w:szCs w:val="20"/>
        </w:rPr>
        <w:t>lerin insan sermayeleri</w:t>
      </w:r>
      <w:r w:rsidRPr="00A813EB">
        <w:rPr>
          <w:bCs/>
          <w:sz w:val="20"/>
          <w:szCs w:val="20"/>
        </w:rPr>
        <w:t>, yasalar</w:t>
      </w:r>
      <w:r w:rsidR="007178A2" w:rsidRPr="00A813EB">
        <w:rPr>
          <w:bCs/>
          <w:sz w:val="20"/>
          <w:szCs w:val="20"/>
        </w:rPr>
        <w:t>ı</w:t>
      </w:r>
      <w:r w:rsidR="00B46288" w:rsidRPr="00A813EB">
        <w:rPr>
          <w:bCs/>
          <w:sz w:val="20"/>
          <w:szCs w:val="20"/>
        </w:rPr>
        <w:t xml:space="preserve">, </w:t>
      </w:r>
      <w:r w:rsidR="006D25B6" w:rsidRPr="00A813EB">
        <w:rPr>
          <w:bCs/>
          <w:sz w:val="20"/>
          <w:szCs w:val="20"/>
        </w:rPr>
        <w:t>geçirdiği tarihsel süreçler, politik durumları,  kültürleri vs. çerçevesinde</w:t>
      </w:r>
      <w:r w:rsidRPr="00A813EB">
        <w:rPr>
          <w:bCs/>
          <w:sz w:val="20"/>
          <w:szCs w:val="20"/>
        </w:rPr>
        <w:t xml:space="preserve"> belir</w:t>
      </w:r>
      <w:r w:rsidR="006D25B6" w:rsidRPr="00A813EB">
        <w:rPr>
          <w:bCs/>
          <w:sz w:val="20"/>
          <w:szCs w:val="20"/>
        </w:rPr>
        <w:t>leniyor</w:t>
      </w:r>
      <w:r w:rsidRPr="00A813EB">
        <w:rPr>
          <w:bCs/>
          <w:sz w:val="20"/>
          <w:szCs w:val="20"/>
        </w:rPr>
        <w:t xml:space="preserve">.    </w:t>
      </w:r>
    </w:p>
    <w:p w:rsidR="00535BFB" w:rsidRPr="00A813EB" w:rsidRDefault="00535BFB" w:rsidP="00F77FEB">
      <w:pPr>
        <w:jc w:val="both"/>
        <w:rPr>
          <w:bCs/>
          <w:sz w:val="20"/>
          <w:szCs w:val="20"/>
        </w:rPr>
      </w:pPr>
    </w:p>
    <w:p w:rsidR="008975E6" w:rsidRPr="00A813EB" w:rsidRDefault="006D5756" w:rsidP="008975E6">
      <w:pPr>
        <w:jc w:val="both"/>
        <w:rPr>
          <w:bCs/>
          <w:sz w:val="20"/>
          <w:szCs w:val="20"/>
        </w:rPr>
      </w:pPr>
      <w:r w:rsidRPr="00A813EB">
        <w:rPr>
          <w:bCs/>
          <w:sz w:val="20"/>
          <w:szCs w:val="20"/>
        </w:rPr>
        <w:t xml:space="preserve">İnovasyon bu </w:t>
      </w:r>
      <w:r w:rsidR="00A813EB">
        <w:rPr>
          <w:bCs/>
          <w:sz w:val="20"/>
          <w:szCs w:val="20"/>
        </w:rPr>
        <w:t>g</w:t>
      </w:r>
      <w:r w:rsidR="00A813EB" w:rsidRPr="00A813EB">
        <w:rPr>
          <w:bCs/>
          <w:sz w:val="20"/>
          <w:szCs w:val="20"/>
        </w:rPr>
        <w:t>irift</w:t>
      </w:r>
      <w:r w:rsidR="00515B48" w:rsidRPr="00A813EB">
        <w:rPr>
          <w:bCs/>
          <w:sz w:val="20"/>
          <w:szCs w:val="20"/>
        </w:rPr>
        <w:t xml:space="preserve"> </w:t>
      </w:r>
      <w:r w:rsidRPr="00A813EB">
        <w:rPr>
          <w:bCs/>
          <w:sz w:val="20"/>
          <w:szCs w:val="20"/>
        </w:rPr>
        <w:t>ağın sonucunda ortaya çıktığı içi</w:t>
      </w:r>
      <w:r w:rsidR="007178A2" w:rsidRPr="00A813EB">
        <w:rPr>
          <w:bCs/>
          <w:sz w:val="20"/>
          <w:szCs w:val="20"/>
        </w:rPr>
        <w:t xml:space="preserve">n ülkeler </w:t>
      </w:r>
      <w:r w:rsidRPr="00A813EB">
        <w:rPr>
          <w:bCs/>
          <w:sz w:val="20"/>
          <w:szCs w:val="20"/>
        </w:rPr>
        <w:t>arası inovasyon farklarını</w:t>
      </w:r>
      <w:r w:rsidR="00BE649A" w:rsidRPr="00A813EB">
        <w:rPr>
          <w:bCs/>
          <w:sz w:val="20"/>
          <w:szCs w:val="20"/>
        </w:rPr>
        <w:t xml:space="preserve">n </w:t>
      </w:r>
      <w:r w:rsidR="007178A2" w:rsidRPr="00A813EB">
        <w:rPr>
          <w:bCs/>
          <w:sz w:val="20"/>
          <w:szCs w:val="20"/>
        </w:rPr>
        <w:t>nedenlerini</w:t>
      </w:r>
      <w:r w:rsidRPr="00A813EB">
        <w:rPr>
          <w:bCs/>
          <w:sz w:val="20"/>
          <w:szCs w:val="20"/>
        </w:rPr>
        <w:t xml:space="preserve"> belirleyebilmek zordur. </w:t>
      </w:r>
      <w:r w:rsidR="004874AB" w:rsidRPr="00A813EB">
        <w:rPr>
          <w:bCs/>
          <w:sz w:val="20"/>
          <w:szCs w:val="20"/>
        </w:rPr>
        <w:t xml:space="preserve">İnnovasyona etki eden </w:t>
      </w:r>
      <w:r w:rsidR="008944A5" w:rsidRPr="00A813EB">
        <w:rPr>
          <w:bCs/>
          <w:sz w:val="20"/>
          <w:szCs w:val="20"/>
        </w:rPr>
        <w:t>faktörleri</w:t>
      </w:r>
      <w:r w:rsidR="00DF6798" w:rsidRPr="00A813EB">
        <w:rPr>
          <w:bCs/>
          <w:sz w:val="20"/>
          <w:szCs w:val="20"/>
        </w:rPr>
        <w:t>n</w:t>
      </w:r>
      <w:r w:rsidR="008944A5" w:rsidRPr="00A813EB">
        <w:rPr>
          <w:bCs/>
          <w:sz w:val="20"/>
          <w:szCs w:val="20"/>
        </w:rPr>
        <w:t xml:space="preserve"> </w:t>
      </w:r>
      <w:r w:rsidR="00E54055" w:rsidRPr="00A813EB">
        <w:rPr>
          <w:bCs/>
          <w:sz w:val="20"/>
          <w:szCs w:val="20"/>
        </w:rPr>
        <w:t>tümünü</w:t>
      </w:r>
      <w:r w:rsidR="008944A5" w:rsidRPr="00A813EB">
        <w:rPr>
          <w:bCs/>
          <w:sz w:val="20"/>
          <w:szCs w:val="20"/>
        </w:rPr>
        <w:t xml:space="preserve"> incelemek bu araştırma notunun kapsamını aşar</w:t>
      </w:r>
      <w:r w:rsidR="004874AB" w:rsidRPr="00A813EB">
        <w:rPr>
          <w:bCs/>
          <w:sz w:val="20"/>
          <w:szCs w:val="20"/>
        </w:rPr>
        <w:t>.</w:t>
      </w:r>
      <w:r w:rsidR="00515B48" w:rsidRPr="00A813EB">
        <w:rPr>
          <w:bCs/>
          <w:sz w:val="20"/>
          <w:szCs w:val="20"/>
        </w:rPr>
        <w:t xml:space="preserve"> B</w:t>
      </w:r>
      <w:r w:rsidR="00D27605" w:rsidRPr="00A813EB">
        <w:rPr>
          <w:bCs/>
          <w:sz w:val="20"/>
          <w:szCs w:val="20"/>
        </w:rPr>
        <w:t>u araştırma notun</w:t>
      </w:r>
      <w:r w:rsidR="00E54055" w:rsidRPr="00A813EB">
        <w:rPr>
          <w:bCs/>
          <w:sz w:val="20"/>
          <w:szCs w:val="20"/>
        </w:rPr>
        <w:t>un amacı</w:t>
      </w:r>
      <w:r w:rsidR="008E17D2" w:rsidRPr="00A813EB">
        <w:rPr>
          <w:bCs/>
          <w:sz w:val="20"/>
          <w:szCs w:val="20"/>
        </w:rPr>
        <w:t>,</w:t>
      </w:r>
      <w:r w:rsidR="00E54055" w:rsidRPr="00A813EB">
        <w:rPr>
          <w:bCs/>
          <w:sz w:val="20"/>
          <w:szCs w:val="20"/>
        </w:rPr>
        <w:t xml:space="preserve"> Türkiye için</w:t>
      </w:r>
      <w:r w:rsidR="00BB5C11" w:rsidRPr="00A813EB">
        <w:rPr>
          <w:bCs/>
          <w:sz w:val="20"/>
          <w:szCs w:val="20"/>
        </w:rPr>
        <w:t xml:space="preserve"> inovasyon gösterge</w:t>
      </w:r>
      <w:r w:rsidR="00E54055" w:rsidRPr="00A813EB">
        <w:rPr>
          <w:bCs/>
          <w:sz w:val="20"/>
          <w:szCs w:val="20"/>
        </w:rPr>
        <w:t>lerini</w:t>
      </w:r>
      <w:r w:rsidR="000208E8" w:rsidRPr="00A813EB">
        <w:rPr>
          <w:rStyle w:val="DipnotBavurusu"/>
          <w:bCs/>
          <w:sz w:val="20"/>
          <w:szCs w:val="20"/>
        </w:rPr>
        <w:footnoteReference w:id="4"/>
      </w:r>
      <w:r w:rsidR="00E54055" w:rsidRPr="00A813EB">
        <w:rPr>
          <w:bCs/>
          <w:sz w:val="20"/>
          <w:szCs w:val="20"/>
        </w:rPr>
        <w:t xml:space="preserve"> </w:t>
      </w:r>
      <w:r w:rsidR="006D25B6" w:rsidRPr="00A813EB">
        <w:rPr>
          <w:bCs/>
          <w:sz w:val="20"/>
          <w:szCs w:val="20"/>
        </w:rPr>
        <w:t>(</w:t>
      </w:r>
      <w:r w:rsidR="00BB5C11" w:rsidRPr="00A813EB">
        <w:rPr>
          <w:bCs/>
          <w:sz w:val="20"/>
          <w:szCs w:val="20"/>
        </w:rPr>
        <w:t>patent başvuruları</w:t>
      </w:r>
      <w:r w:rsidR="000208E8" w:rsidRPr="00A813EB">
        <w:rPr>
          <w:bCs/>
          <w:sz w:val="20"/>
          <w:szCs w:val="20"/>
        </w:rPr>
        <w:t>nı</w:t>
      </w:r>
      <w:r w:rsidR="00BB5C11" w:rsidRPr="00A813EB">
        <w:rPr>
          <w:bCs/>
          <w:sz w:val="20"/>
          <w:szCs w:val="20"/>
        </w:rPr>
        <w:t>, AR-GE harcamaları</w:t>
      </w:r>
      <w:r w:rsidR="000208E8" w:rsidRPr="00A813EB">
        <w:rPr>
          <w:bCs/>
          <w:sz w:val="20"/>
          <w:szCs w:val="20"/>
        </w:rPr>
        <w:t>nı ve yüksek teknoloji ihracatını</w:t>
      </w:r>
      <w:r w:rsidR="006D25B6" w:rsidRPr="00A813EB">
        <w:rPr>
          <w:bCs/>
          <w:sz w:val="20"/>
          <w:szCs w:val="20"/>
        </w:rPr>
        <w:t>)</w:t>
      </w:r>
      <w:r w:rsidR="000208E8" w:rsidRPr="00A813EB">
        <w:rPr>
          <w:bCs/>
          <w:sz w:val="20"/>
          <w:szCs w:val="20"/>
        </w:rPr>
        <w:t xml:space="preserve"> incele</w:t>
      </w:r>
      <w:r w:rsidR="00E54055" w:rsidRPr="00A813EB">
        <w:rPr>
          <w:bCs/>
          <w:sz w:val="20"/>
          <w:szCs w:val="20"/>
        </w:rPr>
        <w:t>mek ve</w:t>
      </w:r>
      <w:r w:rsidR="000208E8" w:rsidRPr="00A813EB">
        <w:rPr>
          <w:bCs/>
          <w:sz w:val="20"/>
          <w:szCs w:val="20"/>
        </w:rPr>
        <w:t xml:space="preserve"> </w:t>
      </w:r>
      <w:r w:rsidR="00E54055" w:rsidRPr="00A813EB">
        <w:rPr>
          <w:bCs/>
          <w:sz w:val="20"/>
          <w:szCs w:val="20"/>
        </w:rPr>
        <w:t>b</w:t>
      </w:r>
      <w:r w:rsidR="000208E8" w:rsidRPr="00A813EB">
        <w:rPr>
          <w:bCs/>
          <w:sz w:val="20"/>
          <w:szCs w:val="20"/>
        </w:rPr>
        <w:t>u göstergele</w:t>
      </w:r>
      <w:r w:rsidR="00DF6798" w:rsidRPr="00A813EB">
        <w:rPr>
          <w:bCs/>
          <w:sz w:val="20"/>
          <w:szCs w:val="20"/>
        </w:rPr>
        <w:t>re bakarak Türkiye’de inovasyonu</w:t>
      </w:r>
      <w:r w:rsidR="000208E8" w:rsidRPr="00A813EB">
        <w:rPr>
          <w:bCs/>
          <w:sz w:val="20"/>
          <w:szCs w:val="20"/>
        </w:rPr>
        <w:t xml:space="preserve">n diğer </w:t>
      </w:r>
      <w:r w:rsidR="00A813EB">
        <w:rPr>
          <w:bCs/>
          <w:sz w:val="20"/>
          <w:szCs w:val="20"/>
        </w:rPr>
        <w:t>ülkel</w:t>
      </w:r>
      <w:r w:rsidR="000208E8" w:rsidRPr="00A813EB">
        <w:rPr>
          <w:bCs/>
          <w:sz w:val="20"/>
          <w:szCs w:val="20"/>
        </w:rPr>
        <w:t>e</w:t>
      </w:r>
      <w:r w:rsidR="00A813EB">
        <w:rPr>
          <w:bCs/>
          <w:sz w:val="20"/>
          <w:szCs w:val="20"/>
        </w:rPr>
        <w:t>re</w:t>
      </w:r>
      <w:r w:rsidR="000208E8" w:rsidRPr="00A813EB">
        <w:rPr>
          <w:bCs/>
          <w:sz w:val="20"/>
          <w:szCs w:val="20"/>
        </w:rPr>
        <w:t xml:space="preserve"> kıyasla hangi aşamada olduğunu </w:t>
      </w:r>
      <w:r w:rsidR="00E54055" w:rsidRPr="00A813EB">
        <w:rPr>
          <w:bCs/>
          <w:sz w:val="20"/>
          <w:szCs w:val="20"/>
        </w:rPr>
        <w:t>anlamaya çalışmaktır</w:t>
      </w:r>
      <w:r w:rsidR="000208E8" w:rsidRPr="00A813EB">
        <w:rPr>
          <w:bCs/>
          <w:sz w:val="20"/>
          <w:szCs w:val="20"/>
        </w:rPr>
        <w:t xml:space="preserve">. </w:t>
      </w:r>
      <w:r w:rsidR="00E54055" w:rsidRPr="00A813EB">
        <w:rPr>
          <w:bCs/>
          <w:sz w:val="20"/>
          <w:szCs w:val="20"/>
        </w:rPr>
        <w:t>Buna bağlı olarak</w:t>
      </w:r>
      <w:r w:rsidR="00A009B9" w:rsidRPr="00A813EB">
        <w:rPr>
          <w:bCs/>
          <w:sz w:val="20"/>
          <w:szCs w:val="20"/>
        </w:rPr>
        <w:t xml:space="preserve"> </w:t>
      </w:r>
      <w:r w:rsidR="000208E8" w:rsidRPr="00A813EB">
        <w:rPr>
          <w:bCs/>
          <w:sz w:val="20"/>
          <w:szCs w:val="20"/>
        </w:rPr>
        <w:t xml:space="preserve">inovasyonun en önemli girdisi olan insan sermayesinin diğer ülkelere kıyasla </w:t>
      </w:r>
      <w:r w:rsidR="00E54055" w:rsidRPr="00A813EB">
        <w:rPr>
          <w:bCs/>
          <w:sz w:val="20"/>
          <w:szCs w:val="20"/>
        </w:rPr>
        <w:t>ne durumda</w:t>
      </w:r>
      <w:r w:rsidR="008E17D2" w:rsidRPr="00A813EB">
        <w:rPr>
          <w:bCs/>
          <w:sz w:val="20"/>
          <w:szCs w:val="20"/>
        </w:rPr>
        <w:t xml:space="preserve"> olduğunu</w:t>
      </w:r>
      <w:r w:rsidR="006D25B6" w:rsidRPr="00A813EB">
        <w:rPr>
          <w:bCs/>
          <w:sz w:val="20"/>
          <w:szCs w:val="20"/>
        </w:rPr>
        <w:t xml:space="preserve"> da</w:t>
      </w:r>
      <w:r w:rsidR="008E17D2" w:rsidRPr="00A813EB">
        <w:rPr>
          <w:bCs/>
          <w:sz w:val="20"/>
          <w:szCs w:val="20"/>
        </w:rPr>
        <w:t xml:space="preserve"> ortaya koymaya çalışıyoruz</w:t>
      </w:r>
      <w:r w:rsidR="006D25B6" w:rsidRPr="00A813EB">
        <w:rPr>
          <w:bCs/>
          <w:sz w:val="20"/>
          <w:szCs w:val="20"/>
        </w:rPr>
        <w:t>.</w:t>
      </w:r>
    </w:p>
    <w:p w:rsidR="008975E6" w:rsidRPr="00A813EB" w:rsidRDefault="008975E6" w:rsidP="008975E6">
      <w:pPr>
        <w:jc w:val="both"/>
        <w:rPr>
          <w:bCs/>
          <w:sz w:val="22"/>
          <w:szCs w:val="22"/>
        </w:rPr>
      </w:pPr>
    </w:p>
    <w:p w:rsidR="00343F2F" w:rsidRPr="00A813EB" w:rsidRDefault="00343F2F" w:rsidP="00343F2F">
      <w:pPr>
        <w:rPr>
          <w:b/>
          <w:bCs/>
          <w:sz w:val="22"/>
          <w:szCs w:val="22"/>
        </w:rPr>
      </w:pPr>
      <w:r w:rsidRPr="00A813EB">
        <w:rPr>
          <w:b/>
          <w:bCs/>
          <w:sz w:val="22"/>
          <w:szCs w:val="22"/>
        </w:rPr>
        <w:t xml:space="preserve"> </w:t>
      </w:r>
    </w:p>
    <w:p w:rsidR="00C27A72" w:rsidRPr="00A813EB" w:rsidRDefault="00343F2F" w:rsidP="00343F2F">
      <w:pPr>
        <w:rPr>
          <w:b/>
          <w:bCs/>
          <w:sz w:val="22"/>
          <w:szCs w:val="22"/>
        </w:rPr>
      </w:pPr>
      <w:r w:rsidRPr="00A813EB">
        <w:rPr>
          <w:b/>
          <w:bCs/>
          <w:sz w:val="22"/>
          <w:szCs w:val="22"/>
        </w:rPr>
        <w:lastRenderedPageBreak/>
        <w:t>AR-GE h</w:t>
      </w:r>
      <w:r w:rsidR="00C27A72" w:rsidRPr="00A813EB">
        <w:rPr>
          <w:b/>
          <w:bCs/>
          <w:sz w:val="22"/>
          <w:szCs w:val="22"/>
        </w:rPr>
        <w:t>arcama</w:t>
      </w:r>
      <w:r w:rsidR="00DD5C56" w:rsidRPr="00A813EB">
        <w:rPr>
          <w:b/>
          <w:bCs/>
          <w:sz w:val="22"/>
          <w:szCs w:val="22"/>
        </w:rPr>
        <w:t xml:space="preserve">ları </w:t>
      </w:r>
    </w:p>
    <w:p w:rsidR="003F220A" w:rsidRPr="00A813EB" w:rsidRDefault="003F220A" w:rsidP="00F77FEB">
      <w:pPr>
        <w:jc w:val="both"/>
        <w:rPr>
          <w:bCs/>
          <w:sz w:val="22"/>
          <w:szCs w:val="22"/>
        </w:rPr>
      </w:pPr>
    </w:p>
    <w:p w:rsidR="00E7506B" w:rsidRPr="00A813EB" w:rsidRDefault="00C96BF1" w:rsidP="00F77FEB">
      <w:pPr>
        <w:jc w:val="both"/>
        <w:rPr>
          <w:bCs/>
          <w:sz w:val="20"/>
          <w:szCs w:val="20"/>
        </w:rPr>
      </w:pPr>
      <w:r w:rsidRPr="00A813EB">
        <w:rPr>
          <w:bCs/>
          <w:sz w:val="20"/>
          <w:szCs w:val="20"/>
        </w:rPr>
        <w:t>Türkiye’nin AR-GE’ye yaptığı harcamalar</w:t>
      </w:r>
      <w:r w:rsidR="003F220A" w:rsidRPr="00A813EB">
        <w:rPr>
          <w:bCs/>
          <w:sz w:val="20"/>
          <w:szCs w:val="20"/>
        </w:rPr>
        <w:t xml:space="preserve"> </w:t>
      </w:r>
      <w:r w:rsidR="00C27A72" w:rsidRPr="00A813EB">
        <w:rPr>
          <w:bCs/>
          <w:sz w:val="20"/>
          <w:szCs w:val="20"/>
        </w:rPr>
        <w:t xml:space="preserve">2003 yılından beri </w:t>
      </w:r>
      <w:r w:rsidR="003F220A" w:rsidRPr="00A813EB">
        <w:rPr>
          <w:bCs/>
          <w:sz w:val="20"/>
          <w:szCs w:val="20"/>
        </w:rPr>
        <w:t xml:space="preserve">düzenli </w:t>
      </w:r>
      <w:r w:rsidR="00ED6E21" w:rsidRPr="00A813EB">
        <w:rPr>
          <w:bCs/>
          <w:sz w:val="20"/>
          <w:szCs w:val="20"/>
        </w:rPr>
        <w:t>olarak artıyor</w:t>
      </w:r>
      <w:r w:rsidR="003F220A" w:rsidRPr="00A813EB">
        <w:rPr>
          <w:bCs/>
          <w:sz w:val="20"/>
          <w:szCs w:val="20"/>
        </w:rPr>
        <w:t>. 2003 yılında</w:t>
      </w:r>
      <w:r w:rsidR="006E58D3" w:rsidRPr="00A813EB">
        <w:rPr>
          <w:bCs/>
          <w:sz w:val="20"/>
          <w:szCs w:val="20"/>
        </w:rPr>
        <w:t xml:space="preserve"> Türkiye</w:t>
      </w:r>
      <w:r w:rsidR="00113A77" w:rsidRPr="00A813EB">
        <w:rPr>
          <w:bCs/>
          <w:sz w:val="20"/>
          <w:szCs w:val="20"/>
        </w:rPr>
        <w:t>’nin AR-GE harcamaları</w:t>
      </w:r>
      <w:r w:rsidR="006E58D3" w:rsidRPr="00A813EB">
        <w:rPr>
          <w:bCs/>
          <w:sz w:val="20"/>
          <w:szCs w:val="20"/>
        </w:rPr>
        <w:t xml:space="preserve"> GSYH’nın yüzde 0,</w:t>
      </w:r>
      <w:r w:rsidR="003F220A" w:rsidRPr="00A813EB">
        <w:rPr>
          <w:bCs/>
          <w:sz w:val="20"/>
          <w:szCs w:val="20"/>
        </w:rPr>
        <w:t>48</w:t>
      </w:r>
      <w:r w:rsidR="00113A77" w:rsidRPr="00A813EB">
        <w:rPr>
          <w:bCs/>
          <w:sz w:val="20"/>
          <w:szCs w:val="20"/>
        </w:rPr>
        <w:t xml:space="preserve">’ine </w:t>
      </w:r>
      <w:r w:rsidR="00413E20" w:rsidRPr="00A813EB">
        <w:rPr>
          <w:bCs/>
          <w:sz w:val="20"/>
          <w:szCs w:val="20"/>
        </w:rPr>
        <w:t>karşılık gelirken</w:t>
      </w:r>
      <w:r w:rsidR="003F220A" w:rsidRPr="00A813EB">
        <w:rPr>
          <w:bCs/>
          <w:sz w:val="20"/>
          <w:szCs w:val="20"/>
        </w:rPr>
        <w:t>, 2012 yılında</w:t>
      </w:r>
      <w:r w:rsidR="006E58D3" w:rsidRPr="00A813EB">
        <w:rPr>
          <w:bCs/>
          <w:sz w:val="20"/>
          <w:szCs w:val="20"/>
        </w:rPr>
        <w:t xml:space="preserve"> bu oran yüzde 0,</w:t>
      </w:r>
      <w:r w:rsidR="003F220A" w:rsidRPr="00A813EB">
        <w:rPr>
          <w:bCs/>
          <w:sz w:val="20"/>
          <w:szCs w:val="20"/>
        </w:rPr>
        <w:t>92’e çıkmış bulunuyor.</w:t>
      </w:r>
      <w:r w:rsidR="00ED6E21" w:rsidRPr="00A813EB">
        <w:rPr>
          <w:bCs/>
          <w:sz w:val="20"/>
          <w:szCs w:val="20"/>
        </w:rPr>
        <w:t xml:space="preserve"> </w:t>
      </w:r>
      <w:r w:rsidR="005325CA" w:rsidRPr="00A813EB">
        <w:rPr>
          <w:bCs/>
          <w:sz w:val="20"/>
          <w:szCs w:val="20"/>
        </w:rPr>
        <w:t xml:space="preserve">2003 yılından 2012 yılına kadar AR-GE harcamaları kayda değer bir artış </w:t>
      </w:r>
      <w:r w:rsidR="00ED6E21" w:rsidRPr="00A813EB">
        <w:rPr>
          <w:bCs/>
          <w:sz w:val="20"/>
          <w:szCs w:val="20"/>
        </w:rPr>
        <w:t>göstermiş olsa da, Türkiye hala</w:t>
      </w:r>
      <w:r w:rsidR="005325CA" w:rsidRPr="00A813EB">
        <w:rPr>
          <w:bCs/>
          <w:sz w:val="20"/>
          <w:szCs w:val="20"/>
        </w:rPr>
        <w:t xml:space="preserve"> AB-27 ülkelerinin </w:t>
      </w:r>
      <w:r w:rsidR="00ED6E21" w:rsidRPr="00A813EB">
        <w:rPr>
          <w:bCs/>
          <w:sz w:val="20"/>
          <w:szCs w:val="20"/>
        </w:rPr>
        <w:t>oldukça</w:t>
      </w:r>
      <w:r w:rsidR="005325CA" w:rsidRPr="00A813EB">
        <w:rPr>
          <w:bCs/>
          <w:sz w:val="20"/>
          <w:szCs w:val="20"/>
        </w:rPr>
        <w:t xml:space="preserve"> gerisinde</w:t>
      </w:r>
      <w:r w:rsidR="00DF6798" w:rsidRPr="00A813EB">
        <w:rPr>
          <w:bCs/>
          <w:sz w:val="20"/>
          <w:szCs w:val="20"/>
        </w:rPr>
        <w:t xml:space="preserve"> kalıyor</w:t>
      </w:r>
      <w:r w:rsidR="005325CA" w:rsidRPr="00A813EB">
        <w:rPr>
          <w:bCs/>
          <w:sz w:val="20"/>
          <w:szCs w:val="20"/>
        </w:rPr>
        <w:t xml:space="preserve">. </w:t>
      </w:r>
      <w:r w:rsidR="00ED6E21" w:rsidRPr="00A813EB">
        <w:rPr>
          <w:bCs/>
          <w:sz w:val="20"/>
          <w:szCs w:val="20"/>
        </w:rPr>
        <w:t xml:space="preserve">Tablo 1 Türkiye </w:t>
      </w:r>
      <w:r w:rsidR="008975E6" w:rsidRPr="00A813EB">
        <w:rPr>
          <w:bCs/>
          <w:sz w:val="20"/>
          <w:szCs w:val="20"/>
        </w:rPr>
        <w:t>ve başlıca Avrupa ülkelerinde AR-GE</w:t>
      </w:r>
      <w:r w:rsidR="00ED6E21" w:rsidRPr="00A813EB">
        <w:rPr>
          <w:bCs/>
          <w:sz w:val="20"/>
          <w:szCs w:val="20"/>
        </w:rPr>
        <w:t xml:space="preserve"> harcamalarının </w:t>
      </w:r>
      <w:r w:rsidR="009218C6" w:rsidRPr="00A813EB">
        <w:rPr>
          <w:bCs/>
          <w:sz w:val="20"/>
          <w:szCs w:val="20"/>
        </w:rPr>
        <w:t>GSYH’a oranını gösteriyor.</w:t>
      </w:r>
      <w:r w:rsidR="00ED6E21" w:rsidRPr="00A813EB">
        <w:rPr>
          <w:bCs/>
          <w:sz w:val="20"/>
          <w:szCs w:val="20"/>
        </w:rPr>
        <w:t xml:space="preserve"> </w:t>
      </w:r>
      <w:r w:rsidR="005325CA" w:rsidRPr="00A813EB">
        <w:rPr>
          <w:bCs/>
          <w:sz w:val="20"/>
          <w:szCs w:val="20"/>
        </w:rPr>
        <w:t>2</w:t>
      </w:r>
      <w:r w:rsidR="006E58D3" w:rsidRPr="00A813EB">
        <w:rPr>
          <w:bCs/>
          <w:sz w:val="20"/>
          <w:szCs w:val="20"/>
        </w:rPr>
        <w:t>003 yılında AB</w:t>
      </w:r>
      <w:r w:rsidR="00113A77" w:rsidRPr="00A813EB">
        <w:rPr>
          <w:bCs/>
          <w:sz w:val="20"/>
          <w:szCs w:val="20"/>
        </w:rPr>
        <w:t>’nin AR-GE harcamaları</w:t>
      </w:r>
      <w:r w:rsidR="006E58D3" w:rsidRPr="00A813EB">
        <w:rPr>
          <w:bCs/>
          <w:sz w:val="20"/>
          <w:szCs w:val="20"/>
        </w:rPr>
        <w:t xml:space="preserve"> GSYH’nın yüzde 1,86’</w:t>
      </w:r>
      <w:r w:rsidR="00113A77" w:rsidRPr="00A813EB">
        <w:rPr>
          <w:bCs/>
          <w:sz w:val="20"/>
          <w:szCs w:val="20"/>
        </w:rPr>
        <w:t>sına denk gelirken</w:t>
      </w:r>
      <w:r w:rsidR="005325CA" w:rsidRPr="00A813EB">
        <w:rPr>
          <w:bCs/>
          <w:sz w:val="20"/>
          <w:szCs w:val="20"/>
        </w:rPr>
        <w:t xml:space="preserve">, 2012 yılında Eurostat tahminlerine göre </w:t>
      </w:r>
      <w:r w:rsidR="00113A77" w:rsidRPr="00A813EB">
        <w:rPr>
          <w:bCs/>
          <w:sz w:val="20"/>
          <w:szCs w:val="20"/>
        </w:rPr>
        <w:t>bu oran yüzde 2,07’e çıktı</w:t>
      </w:r>
      <w:r w:rsidR="005325CA" w:rsidRPr="00A813EB">
        <w:rPr>
          <w:bCs/>
          <w:sz w:val="20"/>
          <w:szCs w:val="20"/>
        </w:rPr>
        <w:t xml:space="preserve">. AB’nin </w:t>
      </w:r>
      <w:r w:rsidR="007626FD" w:rsidRPr="00A813EB">
        <w:rPr>
          <w:bCs/>
          <w:sz w:val="20"/>
          <w:szCs w:val="20"/>
        </w:rPr>
        <w:t>lokomotifi</w:t>
      </w:r>
      <w:r w:rsidR="005325CA" w:rsidRPr="00A813EB">
        <w:rPr>
          <w:bCs/>
          <w:sz w:val="20"/>
          <w:szCs w:val="20"/>
        </w:rPr>
        <w:t xml:space="preserve"> Almanya ise Eurostat tahminl</w:t>
      </w:r>
      <w:r w:rsidR="006E58D3" w:rsidRPr="00A813EB">
        <w:rPr>
          <w:bCs/>
          <w:sz w:val="20"/>
          <w:szCs w:val="20"/>
        </w:rPr>
        <w:t>erine göre 2012 yılında</w:t>
      </w:r>
      <w:r w:rsidR="00413E20" w:rsidRPr="00A813EB">
        <w:rPr>
          <w:bCs/>
          <w:sz w:val="20"/>
          <w:szCs w:val="20"/>
        </w:rPr>
        <w:t xml:space="preserve"> AR-GE’ye</w:t>
      </w:r>
      <w:r w:rsidR="00DD5C56" w:rsidRPr="00A813EB">
        <w:rPr>
          <w:bCs/>
          <w:sz w:val="20"/>
          <w:szCs w:val="20"/>
        </w:rPr>
        <w:t xml:space="preserve"> GSYH’nın</w:t>
      </w:r>
      <w:r w:rsidR="006E58D3" w:rsidRPr="00A813EB">
        <w:rPr>
          <w:bCs/>
          <w:sz w:val="20"/>
          <w:szCs w:val="20"/>
        </w:rPr>
        <w:t xml:space="preserve"> yüzde 2,</w:t>
      </w:r>
      <w:r w:rsidR="00413E20" w:rsidRPr="00A813EB">
        <w:rPr>
          <w:bCs/>
          <w:sz w:val="20"/>
          <w:szCs w:val="20"/>
        </w:rPr>
        <w:t>92’si oranında</w:t>
      </w:r>
      <w:r w:rsidR="005325CA" w:rsidRPr="00A813EB">
        <w:rPr>
          <w:bCs/>
          <w:sz w:val="20"/>
          <w:szCs w:val="20"/>
        </w:rPr>
        <w:t xml:space="preserve"> </w:t>
      </w:r>
      <w:r w:rsidR="00413E20" w:rsidRPr="00A813EB">
        <w:rPr>
          <w:bCs/>
          <w:sz w:val="20"/>
          <w:szCs w:val="20"/>
        </w:rPr>
        <w:t>bir harcama yaptı</w:t>
      </w:r>
      <w:r w:rsidR="005325CA" w:rsidRPr="00A813EB">
        <w:rPr>
          <w:bCs/>
          <w:sz w:val="20"/>
          <w:szCs w:val="20"/>
        </w:rPr>
        <w:t>.</w:t>
      </w:r>
      <w:r w:rsidR="00B55B2A" w:rsidRPr="00A813EB">
        <w:rPr>
          <w:bCs/>
          <w:sz w:val="20"/>
          <w:szCs w:val="20"/>
        </w:rPr>
        <w:t xml:space="preserve"> Türkiye’nin AR-GE</w:t>
      </w:r>
      <w:r w:rsidR="003804B5" w:rsidRPr="00A813EB">
        <w:rPr>
          <w:bCs/>
          <w:sz w:val="20"/>
          <w:szCs w:val="20"/>
        </w:rPr>
        <w:t xml:space="preserve"> harcama düzeyi İtalya ve İspanya’ya yaklaşırken, Almanya ve Fransa’nın gerisinde kalmaya devam ediyor.</w:t>
      </w:r>
      <w:r w:rsidR="00BA6994" w:rsidRPr="00A813EB">
        <w:rPr>
          <w:bCs/>
          <w:sz w:val="20"/>
          <w:szCs w:val="20"/>
        </w:rPr>
        <w:t xml:space="preserve"> </w:t>
      </w:r>
    </w:p>
    <w:p w:rsidR="00CD439A" w:rsidRPr="007626FD" w:rsidRDefault="00CD439A" w:rsidP="00F77FEB">
      <w:pPr>
        <w:jc w:val="both"/>
        <w:rPr>
          <w:b/>
          <w:bCs/>
          <w:sz w:val="22"/>
          <w:szCs w:val="22"/>
        </w:rPr>
      </w:pPr>
    </w:p>
    <w:p w:rsidR="007B46CB" w:rsidRPr="007626FD" w:rsidRDefault="007B46CB" w:rsidP="00F77FEB">
      <w:pPr>
        <w:jc w:val="both"/>
        <w:rPr>
          <w:b/>
          <w:bCs/>
          <w:sz w:val="20"/>
          <w:szCs w:val="20"/>
        </w:rPr>
      </w:pPr>
      <w:r w:rsidRPr="007626FD">
        <w:rPr>
          <w:b/>
          <w:bCs/>
          <w:sz w:val="20"/>
          <w:szCs w:val="20"/>
        </w:rPr>
        <w:t>Tablo 1.</w:t>
      </w:r>
      <w:r w:rsidR="00343F2F" w:rsidRPr="007626FD">
        <w:rPr>
          <w:b/>
          <w:bCs/>
          <w:sz w:val="20"/>
          <w:szCs w:val="20"/>
        </w:rPr>
        <w:t xml:space="preserve"> AR-GE h</w:t>
      </w:r>
      <w:r w:rsidR="00DD5C56" w:rsidRPr="007626FD">
        <w:rPr>
          <w:b/>
          <w:bCs/>
          <w:sz w:val="20"/>
          <w:szCs w:val="20"/>
        </w:rPr>
        <w:t>arcamaları (GSYH’a oranı, %)</w:t>
      </w:r>
    </w:p>
    <w:tbl>
      <w:tblPr>
        <w:tblStyle w:val="TabloKlavuzu"/>
        <w:tblW w:w="9090" w:type="dxa"/>
        <w:tblInd w:w="108" w:type="dxa"/>
        <w:tblLook w:val="04A0"/>
      </w:tblPr>
      <w:tblGrid>
        <w:gridCol w:w="810"/>
        <w:gridCol w:w="1182"/>
        <w:gridCol w:w="1183"/>
        <w:gridCol w:w="1183"/>
        <w:gridCol w:w="1183"/>
        <w:gridCol w:w="1183"/>
        <w:gridCol w:w="1183"/>
        <w:gridCol w:w="1183"/>
      </w:tblGrid>
      <w:tr w:rsidR="006E58D3" w:rsidRPr="00A813EB" w:rsidTr="00FE575C">
        <w:tc>
          <w:tcPr>
            <w:tcW w:w="810" w:type="dxa"/>
          </w:tcPr>
          <w:p w:rsidR="006E58D3" w:rsidRPr="00A813EB" w:rsidRDefault="00603322" w:rsidP="00DD5C56">
            <w:pPr>
              <w:jc w:val="center"/>
              <w:rPr>
                <w:bCs/>
                <w:sz w:val="20"/>
                <w:szCs w:val="20"/>
              </w:rPr>
            </w:pPr>
            <w:r w:rsidRPr="00A813EB">
              <w:rPr>
                <w:bCs/>
                <w:sz w:val="20"/>
                <w:szCs w:val="20"/>
              </w:rPr>
              <w:t>Yıl</w:t>
            </w:r>
          </w:p>
        </w:tc>
        <w:tc>
          <w:tcPr>
            <w:tcW w:w="1182" w:type="dxa"/>
          </w:tcPr>
          <w:p w:rsidR="006E58D3" w:rsidRPr="00A813EB" w:rsidRDefault="006E58D3" w:rsidP="00DD5C56">
            <w:pPr>
              <w:jc w:val="center"/>
              <w:rPr>
                <w:bCs/>
                <w:sz w:val="20"/>
                <w:szCs w:val="20"/>
              </w:rPr>
            </w:pPr>
            <w:r w:rsidRPr="00A813EB">
              <w:rPr>
                <w:bCs/>
                <w:sz w:val="20"/>
                <w:szCs w:val="20"/>
              </w:rPr>
              <w:t>Türkiye</w:t>
            </w:r>
          </w:p>
        </w:tc>
        <w:tc>
          <w:tcPr>
            <w:tcW w:w="1183" w:type="dxa"/>
          </w:tcPr>
          <w:p w:rsidR="006E58D3" w:rsidRPr="00A813EB" w:rsidRDefault="006E58D3" w:rsidP="00DD5C56">
            <w:pPr>
              <w:jc w:val="center"/>
              <w:rPr>
                <w:bCs/>
                <w:sz w:val="20"/>
                <w:szCs w:val="20"/>
              </w:rPr>
            </w:pPr>
            <w:r w:rsidRPr="00A813EB">
              <w:rPr>
                <w:bCs/>
                <w:sz w:val="20"/>
                <w:szCs w:val="20"/>
              </w:rPr>
              <w:t>AB-27</w:t>
            </w:r>
          </w:p>
        </w:tc>
        <w:tc>
          <w:tcPr>
            <w:tcW w:w="1183" w:type="dxa"/>
          </w:tcPr>
          <w:p w:rsidR="006E58D3" w:rsidRPr="00A813EB" w:rsidRDefault="006E58D3" w:rsidP="00DD5C56">
            <w:pPr>
              <w:jc w:val="center"/>
              <w:rPr>
                <w:bCs/>
                <w:sz w:val="20"/>
                <w:szCs w:val="20"/>
              </w:rPr>
            </w:pPr>
            <w:r w:rsidRPr="00A813EB">
              <w:rPr>
                <w:bCs/>
                <w:sz w:val="20"/>
                <w:szCs w:val="20"/>
              </w:rPr>
              <w:t>Almanya</w:t>
            </w:r>
          </w:p>
        </w:tc>
        <w:tc>
          <w:tcPr>
            <w:tcW w:w="1183" w:type="dxa"/>
          </w:tcPr>
          <w:p w:rsidR="006E58D3" w:rsidRPr="00A813EB" w:rsidRDefault="006E58D3" w:rsidP="00DD5C56">
            <w:pPr>
              <w:jc w:val="center"/>
              <w:rPr>
                <w:bCs/>
                <w:sz w:val="20"/>
                <w:szCs w:val="20"/>
              </w:rPr>
            </w:pPr>
            <w:r w:rsidRPr="00A813EB">
              <w:rPr>
                <w:bCs/>
                <w:sz w:val="20"/>
                <w:szCs w:val="20"/>
              </w:rPr>
              <w:t>Fransa</w:t>
            </w:r>
          </w:p>
        </w:tc>
        <w:tc>
          <w:tcPr>
            <w:tcW w:w="1183" w:type="dxa"/>
          </w:tcPr>
          <w:p w:rsidR="006E58D3" w:rsidRPr="00A813EB" w:rsidRDefault="006E58D3" w:rsidP="00DD5C56">
            <w:pPr>
              <w:jc w:val="center"/>
              <w:rPr>
                <w:bCs/>
                <w:sz w:val="20"/>
                <w:szCs w:val="20"/>
              </w:rPr>
            </w:pPr>
            <w:r w:rsidRPr="00A813EB">
              <w:rPr>
                <w:bCs/>
                <w:sz w:val="20"/>
                <w:szCs w:val="20"/>
              </w:rPr>
              <w:t>İngiltere</w:t>
            </w:r>
          </w:p>
        </w:tc>
        <w:tc>
          <w:tcPr>
            <w:tcW w:w="1183" w:type="dxa"/>
          </w:tcPr>
          <w:p w:rsidR="006E58D3" w:rsidRPr="00A813EB" w:rsidRDefault="006E58D3" w:rsidP="00DD5C56">
            <w:pPr>
              <w:jc w:val="center"/>
              <w:rPr>
                <w:bCs/>
                <w:sz w:val="20"/>
                <w:szCs w:val="20"/>
              </w:rPr>
            </w:pPr>
            <w:r w:rsidRPr="00A813EB">
              <w:rPr>
                <w:bCs/>
                <w:sz w:val="20"/>
                <w:szCs w:val="20"/>
              </w:rPr>
              <w:t>İspanya</w:t>
            </w:r>
          </w:p>
        </w:tc>
        <w:tc>
          <w:tcPr>
            <w:tcW w:w="1183" w:type="dxa"/>
          </w:tcPr>
          <w:p w:rsidR="006E58D3" w:rsidRPr="00A813EB" w:rsidRDefault="006E58D3" w:rsidP="00DD5C56">
            <w:pPr>
              <w:jc w:val="center"/>
              <w:rPr>
                <w:bCs/>
                <w:sz w:val="20"/>
                <w:szCs w:val="20"/>
              </w:rPr>
            </w:pPr>
            <w:r w:rsidRPr="00A813EB">
              <w:rPr>
                <w:bCs/>
                <w:sz w:val="20"/>
                <w:szCs w:val="20"/>
              </w:rPr>
              <w:t>İtalya</w:t>
            </w:r>
          </w:p>
        </w:tc>
      </w:tr>
      <w:tr w:rsidR="006E58D3" w:rsidRPr="00A813EB" w:rsidTr="00FE575C">
        <w:tc>
          <w:tcPr>
            <w:tcW w:w="810" w:type="dxa"/>
          </w:tcPr>
          <w:p w:rsidR="006E58D3" w:rsidRPr="00A813EB" w:rsidRDefault="006E58D3" w:rsidP="00DD5C56">
            <w:pPr>
              <w:jc w:val="center"/>
              <w:rPr>
                <w:bCs/>
                <w:sz w:val="20"/>
                <w:szCs w:val="20"/>
              </w:rPr>
            </w:pPr>
            <w:r w:rsidRPr="00A813EB">
              <w:rPr>
                <w:bCs/>
                <w:sz w:val="20"/>
                <w:szCs w:val="20"/>
              </w:rPr>
              <w:t>2003</w:t>
            </w:r>
          </w:p>
        </w:tc>
        <w:tc>
          <w:tcPr>
            <w:tcW w:w="1182" w:type="dxa"/>
          </w:tcPr>
          <w:p w:rsidR="006E58D3" w:rsidRPr="00A813EB" w:rsidRDefault="006E58D3" w:rsidP="00DD5C56">
            <w:pPr>
              <w:jc w:val="center"/>
              <w:rPr>
                <w:bCs/>
                <w:sz w:val="20"/>
                <w:szCs w:val="20"/>
              </w:rPr>
            </w:pPr>
            <w:r w:rsidRPr="00A813EB">
              <w:rPr>
                <w:bCs/>
                <w:sz w:val="20"/>
                <w:szCs w:val="20"/>
              </w:rPr>
              <w:t>0,48</w:t>
            </w:r>
          </w:p>
        </w:tc>
        <w:tc>
          <w:tcPr>
            <w:tcW w:w="1183" w:type="dxa"/>
          </w:tcPr>
          <w:p w:rsidR="006E58D3" w:rsidRPr="00A813EB" w:rsidRDefault="006E58D3" w:rsidP="00DD5C56">
            <w:pPr>
              <w:jc w:val="center"/>
              <w:rPr>
                <w:bCs/>
                <w:sz w:val="20"/>
                <w:szCs w:val="20"/>
              </w:rPr>
            </w:pPr>
            <w:r w:rsidRPr="00A813EB">
              <w:rPr>
                <w:bCs/>
                <w:sz w:val="20"/>
                <w:szCs w:val="20"/>
              </w:rPr>
              <w:t>1,86</w:t>
            </w:r>
          </w:p>
        </w:tc>
        <w:tc>
          <w:tcPr>
            <w:tcW w:w="1183" w:type="dxa"/>
          </w:tcPr>
          <w:p w:rsidR="006E58D3" w:rsidRPr="00A813EB" w:rsidRDefault="006E58D3" w:rsidP="00DD5C56">
            <w:pPr>
              <w:jc w:val="center"/>
              <w:rPr>
                <w:bCs/>
                <w:sz w:val="20"/>
                <w:szCs w:val="20"/>
              </w:rPr>
            </w:pPr>
            <w:r w:rsidRPr="00A813EB">
              <w:rPr>
                <w:bCs/>
                <w:sz w:val="20"/>
                <w:szCs w:val="20"/>
              </w:rPr>
              <w:t>2,54</w:t>
            </w:r>
          </w:p>
        </w:tc>
        <w:tc>
          <w:tcPr>
            <w:tcW w:w="1183" w:type="dxa"/>
          </w:tcPr>
          <w:p w:rsidR="006E58D3" w:rsidRPr="00A813EB" w:rsidRDefault="006E58D3" w:rsidP="00DD5C56">
            <w:pPr>
              <w:jc w:val="center"/>
              <w:rPr>
                <w:bCs/>
                <w:sz w:val="20"/>
                <w:szCs w:val="20"/>
              </w:rPr>
            </w:pPr>
            <w:r w:rsidRPr="00A813EB">
              <w:rPr>
                <w:bCs/>
                <w:sz w:val="20"/>
                <w:szCs w:val="20"/>
              </w:rPr>
              <w:t>2,18</w:t>
            </w:r>
          </w:p>
        </w:tc>
        <w:tc>
          <w:tcPr>
            <w:tcW w:w="1183" w:type="dxa"/>
          </w:tcPr>
          <w:p w:rsidR="006E58D3" w:rsidRPr="00A813EB" w:rsidRDefault="006E58D3" w:rsidP="00DD5C56">
            <w:pPr>
              <w:jc w:val="center"/>
              <w:rPr>
                <w:bCs/>
                <w:sz w:val="20"/>
                <w:szCs w:val="20"/>
              </w:rPr>
            </w:pPr>
            <w:r w:rsidRPr="00A813EB">
              <w:rPr>
                <w:bCs/>
                <w:sz w:val="20"/>
                <w:szCs w:val="20"/>
              </w:rPr>
              <w:t>1,73</w:t>
            </w:r>
          </w:p>
        </w:tc>
        <w:tc>
          <w:tcPr>
            <w:tcW w:w="1183" w:type="dxa"/>
          </w:tcPr>
          <w:p w:rsidR="006E58D3" w:rsidRPr="00A813EB" w:rsidRDefault="006E58D3" w:rsidP="00DD5C56">
            <w:pPr>
              <w:jc w:val="center"/>
              <w:rPr>
                <w:bCs/>
                <w:sz w:val="20"/>
                <w:szCs w:val="20"/>
              </w:rPr>
            </w:pPr>
            <w:r w:rsidRPr="00A813EB">
              <w:rPr>
                <w:bCs/>
                <w:sz w:val="20"/>
                <w:szCs w:val="20"/>
              </w:rPr>
              <w:t>1,05</w:t>
            </w:r>
          </w:p>
        </w:tc>
        <w:tc>
          <w:tcPr>
            <w:tcW w:w="1183" w:type="dxa"/>
          </w:tcPr>
          <w:p w:rsidR="006E58D3" w:rsidRPr="00A813EB" w:rsidRDefault="006E58D3" w:rsidP="00DD5C56">
            <w:pPr>
              <w:jc w:val="center"/>
              <w:rPr>
                <w:bCs/>
                <w:sz w:val="20"/>
                <w:szCs w:val="20"/>
              </w:rPr>
            </w:pPr>
            <w:r w:rsidRPr="00A813EB">
              <w:rPr>
                <w:bCs/>
                <w:sz w:val="20"/>
                <w:szCs w:val="20"/>
              </w:rPr>
              <w:t>1,1</w:t>
            </w:r>
          </w:p>
        </w:tc>
      </w:tr>
      <w:tr w:rsidR="006E58D3" w:rsidRPr="00A813EB" w:rsidTr="00FE575C">
        <w:tc>
          <w:tcPr>
            <w:tcW w:w="810" w:type="dxa"/>
          </w:tcPr>
          <w:p w:rsidR="006E58D3" w:rsidRPr="00A813EB" w:rsidRDefault="006D45FA" w:rsidP="00DD5C56">
            <w:pPr>
              <w:jc w:val="center"/>
              <w:rPr>
                <w:bCs/>
                <w:sz w:val="20"/>
                <w:szCs w:val="20"/>
              </w:rPr>
            </w:pPr>
            <w:r w:rsidRPr="00A813EB">
              <w:rPr>
                <w:bCs/>
                <w:sz w:val="20"/>
                <w:szCs w:val="20"/>
              </w:rPr>
              <w:t>2012</w:t>
            </w:r>
          </w:p>
        </w:tc>
        <w:tc>
          <w:tcPr>
            <w:tcW w:w="1182" w:type="dxa"/>
          </w:tcPr>
          <w:p w:rsidR="006E58D3" w:rsidRPr="00A813EB" w:rsidRDefault="006E58D3" w:rsidP="00DD5C56">
            <w:pPr>
              <w:jc w:val="center"/>
              <w:rPr>
                <w:bCs/>
                <w:sz w:val="20"/>
                <w:szCs w:val="20"/>
              </w:rPr>
            </w:pPr>
            <w:r w:rsidRPr="00A813EB">
              <w:rPr>
                <w:bCs/>
                <w:sz w:val="20"/>
                <w:szCs w:val="20"/>
              </w:rPr>
              <w:t>0,92</w:t>
            </w:r>
          </w:p>
        </w:tc>
        <w:tc>
          <w:tcPr>
            <w:tcW w:w="1183" w:type="dxa"/>
          </w:tcPr>
          <w:p w:rsidR="006E58D3" w:rsidRPr="00A813EB" w:rsidRDefault="006E58D3" w:rsidP="00DD5C56">
            <w:pPr>
              <w:jc w:val="center"/>
              <w:rPr>
                <w:bCs/>
                <w:sz w:val="20"/>
                <w:szCs w:val="20"/>
              </w:rPr>
            </w:pPr>
            <w:r w:rsidRPr="00A813EB">
              <w:rPr>
                <w:bCs/>
                <w:sz w:val="20"/>
                <w:szCs w:val="20"/>
              </w:rPr>
              <w:t>2,07*</w:t>
            </w:r>
          </w:p>
        </w:tc>
        <w:tc>
          <w:tcPr>
            <w:tcW w:w="1183" w:type="dxa"/>
          </w:tcPr>
          <w:p w:rsidR="006E58D3" w:rsidRPr="00A813EB" w:rsidRDefault="006E58D3" w:rsidP="00DD5C56">
            <w:pPr>
              <w:jc w:val="center"/>
              <w:rPr>
                <w:bCs/>
                <w:sz w:val="20"/>
                <w:szCs w:val="20"/>
              </w:rPr>
            </w:pPr>
            <w:r w:rsidRPr="00A813EB">
              <w:rPr>
                <w:bCs/>
                <w:sz w:val="20"/>
                <w:szCs w:val="20"/>
              </w:rPr>
              <w:t>2,92*</w:t>
            </w:r>
          </w:p>
        </w:tc>
        <w:tc>
          <w:tcPr>
            <w:tcW w:w="1183" w:type="dxa"/>
          </w:tcPr>
          <w:p w:rsidR="006E58D3" w:rsidRPr="00A813EB" w:rsidRDefault="006E58D3" w:rsidP="00DD5C56">
            <w:pPr>
              <w:jc w:val="center"/>
              <w:rPr>
                <w:bCs/>
                <w:sz w:val="20"/>
                <w:szCs w:val="20"/>
              </w:rPr>
            </w:pPr>
            <w:r w:rsidRPr="00A813EB">
              <w:rPr>
                <w:bCs/>
                <w:sz w:val="20"/>
                <w:szCs w:val="20"/>
              </w:rPr>
              <w:t>2,26</w:t>
            </w:r>
          </w:p>
        </w:tc>
        <w:tc>
          <w:tcPr>
            <w:tcW w:w="1183" w:type="dxa"/>
          </w:tcPr>
          <w:p w:rsidR="006E58D3" w:rsidRPr="00A813EB" w:rsidRDefault="006E58D3" w:rsidP="00DD5C56">
            <w:pPr>
              <w:jc w:val="center"/>
              <w:rPr>
                <w:bCs/>
                <w:sz w:val="20"/>
                <w:szCs w:val="20"/>
              </w:rPr>
            </w:pPr>
            <w:r w:rsidRPr="00A813EB">
              <w:rPr>
                <w:bCs/>
                <w:sz w:val="20"/>
                <w:szCs w:val="20"/>
              </w:rPr>
              <w:t>1,77*</w:t>
            </w:r>
          </w:p>
        </w:tc>
        <w:tc>
          <w:tcPr>
            <w:tcW w:w="1183" w:type="dxa"/>
          </w:tcPr>
          <w:p w:rsidR="006E58D3" w:rsidRPr="00A813EB" w:rsidRDefault="006E58D3" w:rsidP="00DD5C56">
            <w:pPr>
              <w:jc w:val="center"/>
              <w:rPr>
                <w:bCs/>
                <w:sz w:val="20"/>
                <w:szCs w:val="20"/>
              </w:rPr>
            </w:pPr>
            <w:r w:rsidRPr="00A813EB">
              <w:rPr>
                <w:bCs/>
                <w:sz w:val="20"/>
                <w:szCs w:val="20"/>
              </w:rPr>
              <w:t>1,29</w:t>
            </w:r>
          </w:p>
        </w:tc>
        <w:tc>
          <w:tcPr>
            <w:tcW w:w="1183" w:type="dxa"/>
          </w:tcPr>
          <w:p w:rsidR="006E58D3" w:rsidRPr="00A813EB" w:rsidRDefault="006E58D3" w:rsidP="00DD5C56">
            <w:pPr>
              <w:jc w:val="center"/>
              <w:rPr>
                <w:bCs/>
                <w:sz w:val="20"/>
                <w:szCs w:val="20"/>
              </w:rPr>
            </w:pPr>
            <w:r w:rsidRPr="00A813EB">
              <w:rPr>
                <w:bCs/>
                <w:sz w:val="20"/>
                <w:szCs w:val="20"/>
              </w:rPr>
              <w:t>1,27</w:t>
            </w:r>
          </w:p>
        </w:tc>
      </w:tr>
    </w:tbl>
    <w:p w:rsidR="006E58D3" w:rsidRPr="00A813EB" w:rsidRDefault="006E58D3" w:rsidP="00F77FEB">
      <w:pPr>
        <w:jc w:val="both"/>
        <w:rPr>
          <w:bCs/>
        </w:rPr>
      </w:pPr>
      <w:r w:rsidRPr="00A813EB">
        <w:rPr>
          <w:bCs/>
        </w:rPr>
        <w:t>Kaynak: Eurostat</w:t>
      </w:r>
      <w:r w:rsidR="00E7506B" w:rsidRPr="00A813EB">
        <w:rPr>
          <w:bCs/>
        </w:rPr>
        <w:t>, Tüik</w:t>
      </w:r>
      <w:r w:rsidRPr="00A813EB">
        <w:rPr>
          <w:bCs/>
        </w:rPr>
        <w:t>.</w:t>
      </w:r>
    </w:p>
    <w:p w:rsidR="006E58D3" w:rsidRPr="00A813EB" w:rsidRDefault="006E58D3" w:rsidP="00F77FEB">
      <w:pPr>
        <w:jc w:val="both"/>
        <w:rPr>
          <w:bCs/>
        </w:rPr>
      </w:pPr>
      <w:r w:rsidRPr="00A813EB">
        <w:rPr>
          <w:bCs/>
        </w:rPr>
        <w:t>*Tahmini rakamlar</w:t>
      </w:r>
    </w:p>
    <w:p w:rsidR="00222494" w:rsidRPr="00A813EB" w:rsidRDefault="00222494" w:rsidP="00F77FEB">
      <w:pPr>
        <w:jc w:val="both"/>
        <w:rPr>
          <w:bCs/>
          <w:sz w:val="22"/>
          <w:szCs w:val="22"/>
        </w:rPr>
      </w:pPr>
    </w:p>
    <w:p w:rsidR="00A009B9" w:rsidRPr="007626FD" w:rsidRDefault="00A009B9" w:rsidP="00A009B9">
      <w:pPr>
        <w:jc w:val="both"/>
        <w:rPr>
          <w:b/>
          <w:bCs/>
          <w:sz w:val="20"/>
          <w:szCs w:val="20"/>
        </w:rPr>
      </w:pPr>
      <w:r w:rsidRPr="007626FD">
        <w:rPr>
          <w:b/>
          <w:bCs/>
          <w:sz w:val="20"/>
          <w:szCs w:val="20"/>
        </w:rPr>
        <w:t xml:space="preserve">Şekil 1. </w:t>
      </w:r>
      <w:r w:rsidR="008975E6" w:rsidRPr="007626FD">
        <w:rPr>
          <w:b/>
          <w:bCs/>
          <w:sz w:val="20"/>
          <w:szCs w:val="20"/>
        </w:rPr>
        <w:t>Türkiye’de s</w:t>
      </w:r>
      <w:r w:rsidRPr="007626FD">
        <w:rPr>
          <w:b/>
          <w:bCs/>
          <w:sz w:val="20"/>
          <w:szCs w:val="20"/>
        </w:rPr>
        <w:t>ektörlerin AR-GE harcamalarındaki payları (</w:t>
      </w:r>
      <w:r w:rsidR="003E01DB" w:rsidRPr="007626FD">
        <w:rPr>
          <w:b/>
          <w:bCs/>
          <w:sz w:val="20"/>
          <w:szCs w:val="20"/>
        </w:rPr>
        <w:t>2003-2012</w:t>
      </w:r>
      <w:r w:rsidRPr="007626FD">
        <w:rPr>
          <w:b/>
          <w:bCs/>
          <w:sz w:val="20"/>
          <w:szCs w:val="20"/>
        </w:rPr>
        <w:t>)</w:t>
      </w:r>
    </w:p>
    <w:p w:rsidR="00A009B9" w:rsidRPr="00A813EB" w:rsidRDefault="00F46B26" w:rsidP="00A009B9">
      <w:pPr>
        <w:jc w:val="both"/>
        <w:rPr>
          <w:bCs/>
          <w:sz w:val="22"/>
          <w:szCs w:val="22"/>
        </w:rPr>
      </w:pPr>
      <w:r w:rsidRPr="00A813EB">
        <w:rPr>
          <w:noProof/>
          <w:lang w:eastAsia="tr-TR"/>
        </w:rPr>
        <w:drawing>
          <wp:inline distT="0" distB="0" distL="0" distR="0">
            <wp:extent cx="5760720" cy="254754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547541"/>
                    </a:xfrm>
                    <a:prstGeom prst="rect">
                      <a:avLst/>
                    </a:prstGeom>
                    <a:noFill/>
                    <a:ln>
                      <a:noFill/>
                    </a:ln>
                  </pic:spPr>
                </pic:pic>
              </a:graphicData>
            </a:graphic>
          </wp:inline>
        </w:drawing>
      </w:r>
    </w:p>
    <w:p w:rsidR="00A009B9" w:rsidRPr="00A813EB" w:rsidRDefault="00A009B9" w:rsidP="00F77FEB">
      <w:pPr>
        <w:jc w:val="both"/>
        <w:rPr>
          <w:bCs/>
        </w:rPr>
      </w:pPr>
      <w:r w:rsidRPr="00A813EB">
        <w:rPr>
          <w:bCs/>
        </w:rPr>
        <w:t>Kaynak: Tüik.</w:t>
      </w:r>
    </w:p>
    <w:p w:rsidR="00A009B9" w:rsidRPr="00A813EB" w:rsidRDefault="00A009B9" w:rsidP="00F77FEB">
      <w:pPr>
        <w:jc w:val="both"/>
        <w:rPr>
          <w:bCs/>
          <w:sz w:val="22"/>
          <w:szCs w:val="22"/>
        </w:rPr>
      </w:pPr>
    </w:p>
    <w:p w:rsidR="00D34065" w:rsidRPr="00A813EB" w:rsidRDefault="00413E20" w:rsidP="00F77FEB">
      <w:pPr>
        <w:jc w:val="both"/>
        <w:rPr>
          <w:bCs/>
          <w:sz w:val="20"/>
          <w:szCs w:val="20"/>
        </w:rPr>
      </w:pPr>
      <w:r w:rsidRPr="00A813EB">
        <w:rPr>
          <w:bCs/>
          <w:sz w:val="20"/>
          <w:szCs w:val="20"/>
        </w:rPr>
        <w:t>Bir ülke için AR-GE’ye harcanan paranın miktarı kadar, AR-GE harcamalarının sektörel kompozisyonu da önemlidir</w:t>
      </w:r>
      <w:r w:rsidR="00511770" w:rsidRPr="00A813EB">
        <w:rPr>
          <w:bCs/>
          <w:sz w:val="20"/>
          <w:szCs w:val="20"/>
        </w:rPr>
        <w:t>.</w:t>
      </w:r>
      <w:r w:rsidR="006E58D3" w:rsidRPr="00A813EB">
        <w:rPr>
          <w:bCs/>
          <w:sz w:val="20"/>
          <w:szCs w:val="20"/>
        </w:rPr>
        <w:t xml:space="preserve"> </w:t>
      </w:r>
      <w:r w:rsidR="00511770" w:rsidRPr="00A813EB">
        <w:rPr>
          <w:bCs/>
          <w:sz w:val="20"/>
          <w:szCs w:val="20"/>
        </w:rPr>
        <w:t>2012 yılında</w:t>
      </w:r>
      <w:r w:rsidR="007B46CB" w:rsidRPr="00A813EB">
        <w:rPr>
          <w:bCs/>
          <w:sz w:val="20"/>
          <w:szCs w:val="20"/>
        </w:rPr>
        <w:t xml:space="preserve"> AB’deki AR-GE harcamalarının</w:t>
      </w:r>
      <w:r w:rsidR="00511770" w:rsidRPr="00A813EB">
        <w:rPr>
          <w:bCs/>
          <w:sz w:val="20"/>
          <w:szCs w:val="20"/>
        </w:rPr>
        <w:t xml:space="preserve"> yüzde 63’ünü</w:t>
      </w:r>
      <w:r w:rsidR="007B46CB" w:rsidRPr="00A813EB">
        <w:rPr>
          <w:bCs/>
          <w:sz w:val="20"/>
          <w:szCs w:val="20"/>
        </w:rPr>
        <w:t xml:space="preserve"> özel sektör</w:t>
      </w:r>
      <w:r w:rsidR="00511770" w:rsidRPr="00A813EB">
        <w:rPr>
          <w:bCs/>
          <w:sz w:val="20"/>
          <w:szCs w:val="20"/>
        </w:rPr>
        <w:t>,</w:t>
      </w:r>
      <w:r w:rsidR="00D34065" w:rsidRPr="00A813EB">
        <w:rPr>
          <w:bCs/>
          <w:sz w:val="20"/>
          <w:szCs w:val="20"/>
        </w:rPr>
        <w:t xml:space="preserve"> yüzde</w:t>
      </w:r>
      <w:r w:rsidR="00511770" w:rsidRPr="00A813EB">
        <w:rPr>
          <w:bCs/>
          <w:sz w:val="20"/>
          <w:szCs w:val="20"/>
        </w:rPr>
        <w:t xml:space="preserve"> 13’ünü</w:t>
      </w:r>
      <w:r w:rsidR="007B46CB" w:rsidRPr="00A813EB">
        <w:rPr>
          <w:bCs/>
          <w:sz w:val="20"/>
          <w:szCs w:val="20"/>
        </w:rPr>
        <w:t xml:space="preserve"> kamu sektörü</w:t>
      </w:r>
      <w:r w:rsidR="00511770" w:rsidRPr="00A813EB">
        <w:rPr>
          <w:bCs/>
          <w:sz w:val="20"/>
          <w:szCs w:val="20"/>
        </w:rPr>
        <w:t>,</w:t>
      </w:r>
      <w:r w:rsidR="007B46CB" w:rsidRPr="00A813EB">
        <w:rPr>
          <w:bCs/>
          <w:sz w:val="20"/>
          <w:szCs w:val="20"/>
        </w:rPr>
        <w:t xml:space="preserve"> yüzde</w:t>
      </w:r>
      <w:r w:rsidR="00511770" w:rsidRPr="00A813EB">
        <w:rPr>
          <w:bCs/>
          <w:sz w:val="20"/>
          <w:szCs w:val="20"/>
        </w:rPr>
        <w:t xml:space="preserve"> 24’ünü</w:t>
      </w:r>
      <w:r w:rsidR="00D34065" w:rsidRPr="00A813EB">
        <w:rPr>
          <w:bCs/>
          <w:sz w:val="20"/>
          <w:szCs w:val="20"/>
        </w:rPr>
        <w:t xml:space="preserve"> ise yüksek öğretim kurumları</w:t>
      </w:r>
      <w:r w:rsidR="00511770" w:rsidRPr="00A813EB">
        <w:rPr>
          <w:bCs/>
          <w:sz w:val="20"/>
          <w:szCs w:val="20"/>
        </w:rPr>
        <w:t xml:space="preserve"> yaptı.</w:t>
      </w:r>
      <w:r w:rsidR="00D34065" w:rsidRPr="00A813EB">
        <w:rPr>
          <w:bCs/>
          <w:sz w:val="20"/>
          <w:szCs w:val="20"/>
        </w:rPr>
        <w:t xml:space="preserve"> </w:t>
      </w:r>
      <w:r w:rsidR="00BA6994" w:rsidRPr="00A813EB">
        <w:rPr>
          <w:bCs/>
          <w:sz w:val="20"/>
          <w:szCs w:val="20"/>
        </w:rPr>
        <w:t xml:space="preserve">Türkiye’de ise bu paylar sırasıyla </w:t>
      </w:r>
      <w:r w:rsidR="00CD439A" w:rsidRPr="00A813EB">
        <w:rPr>
          <w:bCs/>
          <w:sz w:val="20"/>
          <w:szCs w:val="20"/>
        </w:rPr>
        <w:t>yüzde 45, yüzde 11 ve yüzde 44’dür</w:t>
      </w:r>
      <w:r w:rsidR="00BA6994" w:rsidRPr="00A813EB">
        <w:rPr>
          <w:bCs/>
          <w:sz w:val="20"/>
          <w:szCs w:val="20"/>
        </w:rPr>
        <w:t xml:space="preserve">. </w:t>
      </w:r>
      <w:r w:rsidR="00D34065" w:rsidRPr="00A813EB">
        <w:rPr>
          <w:bCs/>
          <w:sz w:val="20"/>
          <w:szCs w:val="20"/>
        </w:rPr>
        <w:t>Şekil 1’de</w:t>
      </w:r>
      <w:r w:rsidR="00511770" w:rsidRPr="00A813EB">
        <w:rPr>
          <w:bCs/>
          <w:sz w:val="20"/>
          <w:szCs w:val="20"/>
        </w:rPr>
        <w:t xml:space="preserve"> </w:t>
      </w:r>
      <w:r w:rsidRPr="00A813EB">
        <w:rPr>
          <w:bCs/>
          <w:sz w:val="20"/>
          <w:szCs w:val="20"/>
        </w:rPr>
        <w:t>Türkiye’de 2003-</w:t>
      </w:r>
      <w:r w:rsidR="00D65483" w:rsidRPr="00A813EB">
        <w:rPr>
          <w:bCs/>
          <w:sz w:val="20"/>
          <w:szCs w:val="20"/>
        </w:rPr>
        <w:t>2012 yılları arasında sektörler</w:t>
      </w:r>
      <w:r w:rsidR="00BA6994" w:rsidRPr="00A813EB">
        <w:rPr>
          <w:bCs/>
          <w:sz w:val="20"/>
          <w:szCs w:val="20"/>
        </w:rPr>
        <w:t xml:space="preserve">in </w:t>
      </w:r>
      <w:r w:rsidR="00B5366D">
        <w:rPr>
          <w:bCs/>
          <w:sz w:val="20"/>
          <w:szCs w:val="20"/>
        </w:rPr>
        <w:t>AR-GE harcama</w:t>
      </w:r>
      <w:r w:rsidR="00BB306D">
        <w:rPr>
          <w:bCs/>
          <w:sz w:val="20"/>
          <w:szCs w:val="20"/>
        </w:rPr>
        <w:t>larındaki</w:t>
      </w:r>
      <w:r w:rsidR="00BA6994" w:rsidRPr="00A813EB">
        <w:rPr>
          <w:bCs/>
          <w:sz w:val="20"/>
          <w:szCs w:val="20"/>
        </w:rPr>
        <w:t xml:space="preserve"> pay</w:t>
      </w:r>
      <w:r w:rsidR="00B5366D">
        <w:rPr>
          <w:bCs/>
          <w:sz w:val="20"/>
          <w:szCs w:val="20"/>
        </w:rPr>
        <w:t>larını</w:t>
      </w:r>
      <w:r w:rsidR="00BA6994" w:rsidRPr="00A813EB">
        <w:rPr>
          <w:bCs/>
          <w:sz w:val="20"/>
          <w:szCs w:val="20"/>
        </w:rPr>
        <w:t xml:space="preserve"> </w:t>
      </w:r>
      <w:r w:rsidR="00D65483" w:rsidRPr="00A813EB">
        <w:rPr>
          <w:bCs/>
          <w:sz w:val="20"/>
          <w:szCs w:val="20"/>
        </w:rPr>
        <w:t>görüyoruz.</w:t>
      </w:r>
      <w:r w:rsidR="00D34065" w:rsidRPr="00A813EB">
        <w:rPr>
          <w:bCs/>
          <w:sz w:val="20"/>
          <w:szCs w:val="20"/>
        </w:rPr>
        <w:t xml:space="preserve"> </w:t>
      </w:r>
      <w:r w:rsidR="00BA6994" w:rsidRPr="00A813EB">
        <w:rPr>
          <w:bCs/>
          <w:sz w:val="20"/>
          <w:szCs w:val="20"/>
        </w:rPr>
        <w:t>Ö</w:t>
      </w:r>
      <w:r w:rsidR="00A80FCC" w:rsidRPr="00A813EB">
        <w:rPr>
          <w:bCs/>
          <w:sz w:val="20"/>
          <w:szCs w:val="20"/>
        </w:rPr>
        <w:t xml:space="preserve">zel </w:t>
      </w:r>
      <w:r w:rsidRPr="00A813EB">
        <w:rPr>
          <w:bCs/>
          <w:sz w:val="20"/>
          <w:szCs w:val="20"/>
        </w:rPr>
        <w:t>s</w:t>
      </w:r>
      <w:r w:rsidR="00A80FCC" w:rsidRPr="00A813EB">
        <w:rPr>
          <w:bCs/>
          <w:sz w:val="20"/>
          <w:szCs w:val="20"/>
        </w:rPr>
        <w:t>ektörün AR-GE harcam</w:t>
      </w:r>
      <w:r w:rsidR="008434B3" w:rsidRPr="00A813EB">
        <w:rPr>
          <w:bCs/>
          <w:sz w:val="20"/>
          <w:szCs w:val="20"/>
        </w:rPr>
        <w:t>a</w:t>
      </w:r>
      <w:r w:rsidR="00A80FCC" w:rsidRPr="00A813EB">
        <w:rPr>
          <w:bCs/>
          <w:sz w:val="20"/>
          <w:szCs w:val="20"/>
        </w:rPr>
        <w:t>larındaki payı</w:t>
      </w:r>
      <w:r w:rsidR="00D34065" w:rsidRPr="00A813EB">
        <w:rPr>
          <w:bCs/>
          <w:sz w:val="20"/>
          <w:szCs w:val="20"/>
        </w:rPr>
        <w:t xml:space="preserve"> 2009 kriz yılını saymazsak 2003 yılından beri</w:t>
      </w:r>
      <w:r w:rsidR="00A80FCC" w:rsidRPr="00A813EB">
        <w:rPr>
          <w:bCs/>
          <w:sz w:val="20"/>
          <w:szCs w:val="20"/>
        </w:rPr>
        <w:t xml:space="preserve"> düzenli bir bi</w:t>
      </w:r>
      <w:r w:rsidR="00A9703E" w:rsidRPr="00A813EB">
        <w:rPr>
          <w:bCs/>
          <w:sz w:val="20"/>
          <w:szCs w:val="20"/>
        </w:rPr>
        <w:t>çimde artı</w:t>
      </w:r>
      <w:r w:rsidR="00D34065" w:rsidRPr="00A813EB">
        <w:rPr>
          <w:bCs/>
          <w:sz w:val="20"/>
          <w:szCs w:val="20"/>
        </w:rPr>
        <w:t>yor.</w:t>
      </w:r>
      <w:r w:rsidR="00B55B2A" w:rsidRPr="00A813EB">
        <w:rPr>
          <w:bCs/>
          <w:sz w:val="20"/>
          <w:szCs w:val="20"/>
        </w:rPr>
        <w:t xml:space="preserve"> Ama bu artış 2003-2008 yıllarında 2009-2012 yıllarına göre çok daha hızlıydı. Örnek vermek gerekirse özel sektörün AR-GE harcamaları bir önceki yıla göre 2005 yılında yüzde 85,2</w:t>
      </w:r>
      <w:r w:rsidR="008975E6" w:rsidRPr="00A813EB">
        <w:rPr>
          <w:bCs/>
          <w:sz w:val="20"/>
          <w:szCs w:val="20"/>
        </w:rPr>
        <w:t>,</w:t>
      </w:r>
      <w:r w:rsidR="00B55B2A" w:rsidRPr="00A813EB">
        <w:rPr>
          <w:bCs/>
          <w:sz w:val="20"/>
          <w:szCs w:val="20"/>
        </w:rPr>
        <w:t xml:space="preserve"> 2007 yılında ise yüzde 54,3 arttı. 2010-2012 yılları arasında ise özel sektörün AR-GE harcamaları ortalama olarak yıllık yüzde 22 civarında arttı.</w:t>
      </w:r>
      <w:r w:rsidR="00A80FCC" w:rsidRPr="00A813EB">
        <w:rPr>
          <w:bCs/>
          <w:sz w:val="20"/>
          <w:szCs w:val="20"/>
        </w:rPr>
        <w:t xml:space="preserve"> Buna rağmen</w:t>
      </w:r>
      <w:r w:rsidR="00D34065" w:rsidRPr="00A813EB">
        <w:rPr>
          <w:bCs/>
          <w:sz w:val="20"/>
          <w:szCs w:val="20"/>
        </w:rPr>
        <w:t xml:space="preserve"> Türkiye’deki özel sektörün</w:t>
      </w:r>
      <w:r w:rsidR="00191A21" w:rsidRPr="00A813EB">
        <w:rPr>
          <w:bCs/>
          <w:sz w:val="20"/>
          <w:szCs w:val="20"/>
        </w:rPr>
        <w:t xml:space="preserve"> </w:t>
      </w:r>
      <w:r w:rsidR="00D34065" w:rsidRPr="00A813EB">
        <w:rPr>
          <w:bCs/>
          <w:sz w:val="20"/>
          <w:szCs w:val="20"/>
        </w:rPr>
        <w:t>AR-GE</w:t>
      </w:r>
      <w:r w:rsidR="00191A21" w:rsidRPr="00A813EB">
        <w:rPr>
          <w:bCs/>
          <w:sz w:val="20"/>
          <w:szCs w:val="20"/>
        </w:rPr>
        <w:t>’deki ağırlığının</w:t>
      </w:r>
      <w:r w:rsidR="00D34065" w:rsidRPr="00A813EB">
        <w:rPr>
          <w:bCs/>
          <w:sz w:val="20"/>
          <w:szCs w:val="20"/>
        </w:rPr>
        <w:t xml:space="preserve"> </w:t>
      </w:r>
      <w:r w:rsidR="00191A21" w:rsidRPr="00A813EB">
        <w:rPr>
          <w:bCs/>
          <w:sz w:val="20"/>
          <w:szCs w:val="20"/>
        </w:rPr>
        <w:t>AB seviyesine yetişebilmesi zaman alacak gibi görünüyor.</w:t>
      </w:r>
      <w:r w:rsidR="007A56C3" w:rsidRPr="00A813EB">
        <w:rPr>
          <w:bCs/>
          <w:sz w:val="20"/>
          <w:szCs w:val="20"/>
        </w:rPr>
        <w:t xml:space="preserve"> </w:t>
      </w:r>
    </w:p>
    <w:p w:rsidR="008975E6" w:rsidRPr="00A813EB" w:rsidRDefault="008975E6" w:rsidP="00F77FEB">
      <w:pPr>
        <w:jc w:val="both"/>
        <w:rPr>
          <w:bCs/>
          <w:sz w:val="22"/>
          <w:szCs w:val="22"/>
        </w:rPr>
      </w:pPr>
    </w:p>
    <w:p w:rsidR="008975E6" w:rsidRPr="00A813EB" w:rsidRDefault="00343F2F" w:rsidP="00343F2F">
      <w:pPr>
        <w:rPr>
          <w:b/>
          <w:bCs/>
          <w:sz w:val="22"/>
          <w:szCs w:val="22"/>
        </w:rPr>
      </w:pPr>
      <w:r w:rsidRPr="00A813EB">
        <w:rPr>
          <w:b/>
          <w:bCs/>
          <w:sz w:val="22"/>
          <w:szCs w:val="22"/>
        </w:rPr>
        <w:t>Patent b</w:t>
      </w:r>
      <w:r w:rsidR="008975E6" w:rsidRPr="00A813EB">
        <w:rPr>
          <w:b/>
          <w:bCs/>
          <w:sz w:val="22"/>
          <w:szCs w:val="22"/>
        </w:rPr>
        <w:t>aşvuruları</w:t>
      </w:r>
    </w:p>
    <w:p w:rsidR="008975E6" w:rsidRPr="00A813EB" w:rsidRDefault="008975E6" w:rsidP="00F77FEB">
      <w:pPr>
        <w:jc w:val="both"/>
        <w:rPr>
          <w:bCs/>
          <w:sz w:val="22"/>
          <w:szCs w:val="22"/>
        </w:rPr>
      </w:pPr>
    </w:p>
    <w:p w:rsidR="007A56C3" w:rsidRPr="00A813EB" w:rsidRDefault="00D93E20" w:rsidP="007A56C3">
      <w:pPr>
        <w:jc w:val="both"/>
        <w:rPr>
          <w:bCs/>
          <w:sz w:val="20"/>
          <w:szCs w:val="20"/>
        </w:rPr>
      </w:pPr>
      <w:r w:rsidRPr="00A813EB">
        <w:rPr>
          <w:bCs/>
          <w:sz w:val="20"/>
          <w:szCs w:val="20"/>
        </w:rPr>
        <w:t xml:space="preserve">2003-2012 döneminde </w:t>
      </w:r>
      <w:r w:rsidR="002A3A7E" w:rsidRPr="00A813EB">
        <w:rPr>
          <w:bCs/>
          <w:sz w:val="20"/>
          <w:szCs w:val="20"/>
        </w:rPr>
        <w:t>AR-GE</w:t>
      </w:r>
      <w:r w:rsidR="00F408FA" w:rsidRPr="00A813EB">
        <w:rPr>
          <w:bCs/>
          <w:sz w:val="20"/>
          <w:szCs w:val="20"/>
        </w:rPr>
        <w:t xml:space="preserve"> harcamalarına paralel olarak </w:t>
      </w:r>
      <w:r w:rsidRPr="00A813EB">
        <w:rPr>
          <w:bCs/>
          <w:sz w:val="20"/>
          <w:szCs w:val="20"/>
        </w:rPr>
        <w:t>patent başvuru sayısı da arttı.</w:t>
      </w:r>
      <w:r w:rsidR="008367C9" w:rsidRPr="00A813EB">
        <w:rPr>
          <w:bCs/>
          <w:sz w:val="20"/>
          <w:szCs w:val="20"/>
        </w:rPr>
        <w:t xml:space="preserve"> Türkiye</w:t>
      </w:r>
      <w:r w:rsidR="00FE575C" w:rsidRPr="00A813EB">
        <w:rPr>
          <w:bCs/>
          <w:sz w:val="20"/>
          <w:szCs w:val="20"/>
        </w:rPr>
        <w:t>’</w:t>
      </w:r>
      <w:r w:rsidR="008367C9" w:rsidRPr="00A813EB">
        <w:rPr>
          <w:bCs/>
          <w:sz w:val="20"/>
          <w:szCs w:val="20"/>
        </w:rPr>
        <w:t xml:space="preserve">deki yerleşikler 2003 yılında </w:t>
      </w:r>
      <w:r w:rsidR="009804F6" w:rsidRPr="00A813EB">
        <w:rPr>
          <w:bCs/>
          <w:sz w:val="20"/>
          <w:szCs w:val="20"/>
        </w:rPr>
        <w:t>657</w:t>
      </w:r>
      <w:r w:rsidR="00191A21" w:rsidRPr="00A813EB">
        <w:rPr>
          <w:bCs/>
          <w:sz w:val="20"/>
          <w:szCs w:val="20"/>
        </w:rPr>
        <w:t xml:space="preserve"> </w:t>
      </w:r>
      <w:r w:rsidR="00946F3F" w:rsidRPr="00A813EB">
        <w:rPr>
          <w:bCs/>
          <w:sz w:val="20"/>
          <w:szCs w:val="20"/>
        </w:rPr>
        <w:t xml:space="preserve">patent </w:t>
      </w:r>
      <w:r w:rsidR="00191A21" w:rsidRPr="00A813EB">
        <w:rPr>
          <w:bCs/>
          <w:sz w:val="20"/>
          <w:szCs w:val="20"/>
        </w:rPr>
        <w:t>başvuru</w:t>
      </w:r>
      <w:r w:rsidR="00946F3F" w:rsidRPr="00A813EB">
        <w:rPr>
          <w:bCs/>
          <w:sz w:val="20"/>
          <w:szCs w:val="20"/>
        </w:rPr>
        <w:t>su</w:t>
      </w:r>
      <w:r w:rsidR="00191A21" w:rsidRPr="00A813EB">
        <w:rPr>
          <w:bCs/>
          <w:sz w:val="20"/>
          <w:szCs w:val="20"/>
        </w:rPr>
        <w:t xml:space="preserve"> yaparken</w:t>
      </w:r>
      <w:r w:rsidR="00FE575C" w:rsidRPr="00A813EB">
        <w:rPr>
          <w:bCs/>
          <w:sz w:val="20"/>
          <w:szCs w:val="20"/>
        </w:rPr>
        <w:t>,</w:t>
      </w:r>
      <w:r w:rsidR="00191A21" w:rsidRPr="00A813EB">
        <w:rPr>
          <w:bCs/>
          <w:sz w:val="20"/>
          <w:szCs w:val="20"/>
        </w:rPr>
        <w:t xml:space="preserve"> </w:t>
      </w:r>
      <w:r w:rsidR="00FE575C" w:rsidRPr="00A813EB">
        <w:rPr>
          <w:bCs/>
          <w:sz w:val="20"/>
          <w:szCs w:val="20"/>
        </w:rPr>
        <w:t>bu rakam 2011’de 5283’e çıktı</w:t>
      </w:r>
      <w:r w:rsidR="008367C9" w:rsidRPr="00A813EB">
        <w:rPr>
          <w:bCs/>
          <w:sz w:val="20"/>
          <w:szCs w:val="20"/>
        </w:rPr>
        <w:t>.</w:t>
      </w:r>
      <w:r w:rsidR="00BE1BDA" w:rsidRPr="00A813EB">
        <w:rPr>
          <w:bCs/>
          <w:sz w:val="20"/>
          <w:szCs w:val="20"/>
        </w:rPr>
        <w:t xml:space="preserve"> Aynı dönemde milyon kişi başına başvuru sayısı da </w:t>
      </w:r>
      <w:r w:rsidR="00191A21" w:rsidRPr="00A813EB">
        <w:rPr>
          <w:bCs/>
          <w:sz w:val="20"/>
          <w:szCs w:val="20"/>
        </w:rPr>
        <w:t>10’da</w:t>
      </w:r>
      <w:r w:rsidR="00BE1BDA" w:rsidRPr="00A813EB">
        <w:rPr>
          <w:bCs/>
          <w:sz w:val="20"/>
          <w:szCs w:val="20"/>
        </w:rPr>
        <w:t xml:space="preserve">n </w:t>
      </w:r>
      <w:r w:rsidR="004C6400" w:rsidRPr="00A813EB">
        <w:rPr>
          <w:bCs/>
          <w:sz w:val="20"/>
          <w:szCs w:val="20"/>
        </w:rPr>
        <w:t>72.3</w:t>
      </w:r>
      <w:r w:rsidR="00191A21" w:rsidRPr="00A813EB">
        <w:rPr>
          <w:bCs/>
          <w:sz w:val="20"/>
          <w:szCs w:val="20"/>
        </w:rPr>
        <w:t>’</w:t>
      </w:r>
      <w:r w:rsidR="00BE1BDA" w:rsidRPr="00A813EB">
        <w:rPr>
          <w:bCs/>
          <w:sz w:val="20"/>
          <w:szCs w:val="20"/>
        </w:rPr>
        <w:t>e çık</w:t>
      </w:r>
      <w:r w:rsidR="00FE575C" w:rsidRPr="00A813EB">
        <w:rPr>
          <w:bCs/>
          <w:sz w:val="20"/>
          <w:szCs w:val="20"/>
        </w:rPr>
        <w:t>tı</w:t>
      </w:r>
      <w:r w:rsidR="00BE1BDA" w:rsidRPr="00A813EB">
        <w:rPr>
          <w:bCs/>
          <w:sz w:val="20"/>
          <w:szCs w:val="20"/>
        </w:rPr>
        <w:t>.</w:t>
      </w:r>
      <w:r w:rsidR="002B13B4" w:rsidRPr="00A813EB">
        <w:rPr>
          <w:bCs/>
          <w:sz w:val="20"/>
          <w:szCs w:val="20"/>
        </w:rPr>
        <w:t xml:space="preserve"> Fikir vermesi açısından</w:t>
      </w:r>
      <w:r w:rsidR="00BE1BDA" w:rsidRPr="00A813EB">
        <w:rPr>
          <w:bCs/>
          <w:sz w:val="20"/>
          <w:szCs w:val="20"/>
        </w:rPr>
        <w:t xml:space="preserve"> </w:t>
      </w:r>
      <w:r w:rsidR="006D45FA" w:rsidRPr="00A813EB">
        <w:rPr>
          <w:bCs/>
          <w:sz w:val="20"/>
          <w:szCs w:val="20"/>
        </w:rPr>
        <w:t>Tablo 2’de bazı ülkelerin</w:t>
      </w:r>
      <w:r w:rsidR="00F46B26" w:rsidRPr="00A813EB">
        <w:rPr>
          <w:bCs/>
          <w:sz w:val="20"/>
          <w:szCs w:val="20"/>
        </w:rPr>
        <w:t xml:space="preserve"> 2003 ve 2011 yılları için</w:t>
      </w:r>
      <w:r w:rsidR="006D45FA" w:rsidRPr="00A813EB">
        <w:rPr>
          <w:bCs/>
          <w:sz w:val="20"/>
          <w:szCs w:val="20"/>
        </w:rPr>
        <w:t xml:space="preserve"> milyon kişi başına düşen patent sayıları var.</w:t>
      </w:r>
      <w:r w:rsidR="00F46B26" w:rsidRPr="00A813EB">
        <w:rPr>
          <w:bCs/>
          <w:sz w:val="20"/>
          <w:szCs w:val="20"/>
        </w:rPr>
        <w:t xml:space="preserve"> </w:t>
      </w:r>
      <w:r w:rsidR="006D45FA" w:rsidRPr="00A813EB">
        <w:rPr>
          <w:bCs/>
          <w:sz w:val="20"/>
          <w:szCs w:val="20"/>
        </w:rPr>
        <w:t>Görüldüğü üzere Türkiye’nin milyon kişi başına düşen patent başvuru sayısı Almanya, Japonya ve Kore gibi gelişmiş</w:t>
      </w:r>
      <w:r w:rsidR="00F37AA4" w:rsidRPr="00A813EB">
        <w:rPr>
          <w:bCs/>
          <w:sz w:val="20"/>
          <w:szCs w:val="20"/>
        </w:rPr>
        <w:t xml:space="preserve"> ülkelerin </w:t>
      </w:r>
      <w:r w:rsidR="00B55B2A" w:rsidRPr="00A813EB">
        <w:rPr>
          <w:bCs/>
          <w:sz w:val="20"/>
          <w:szCs w:val="20"/>
        </w:rPr>
        <w:t>patent başvuru sayısından 30 ila 50 kat daha düşüktür</w:t>
      </w:r>
      <w:r w:rsidR="00F37AA4" w:rsidRPr="00A813EB">
        <w:rPr>
          <w:bCs/>
          <w:sz w:val="20"/>
          <w:szCs w:val="20"/>
        </w:rPr>
        <w:t>.</w:t>
      </w:r>
      <w:r w:rsidR="00B55B2A" w:rsidRPr="00A813EB">
        <w:rPr>
          <w:bCs/>
          <w:sz w:val="20"/>
          <w:szCs w:val="20"/>
        </w:rPr>
        <w:t xml:space="preserve"> </w:t>
      </w:r>
      <w:r w:rsidR="00F72F16" w:rsidRPr="00A813EB">
        <w:rPr>
          <w:bCs/>
          <w:sz w:val="20"/>
          <w:szCs w:val="20"/>
        </w:rPr>
        <w:t>Çin’den ve Rusya’dan ise 3-</w:t>
      </w:r>
      <w:r w:rsidR="00F72F16" w:rsidRPr="00A813EB">
        <w:rPr>
          <w:bCs/>
          <w:sz w:val="20"/>
          <w:szCs w:val="20"/>
        </w:rPr>
        <w:lastRenderedPageBreak/>
        <w:t>5 kat daha düşüktür. Buna karşılık Türkiye’nin milyon kişi başına patent sayısı Hindistan’ın bir hayli ilerisindedir.</w:t>
      </w:r>
      <w:r w:rsidR="009A2B2E" w:rsidRPr="00A813EB">
        <w:rPr>
          <w:bCs/>
          <w:sz w:val="20"/>
          <w:szCs w:val="20"/>
        </w:rPr>
        <w:t xml:space="preserve"> </w:t>
      </w:r>
    </w:p>
    <w:p w:rsidR="00FE575C" w:rsidRPr="00A813EB" w:rsidRDefault="00FE575C" w:rsidP="00F77FEB">
      <w:pPr>
        <w:jc w:val="both"/>
        <w:rPr>
          <w:bCs/>
          <w:sz w:val="22"/>
          <w:szCs w:val="22"/>
        </w:rPr>
      </w:pPr>
    </w:p>
    <w:p w:rsidR="00FE575C" w:rsidRPr="00B5366D" w:rsidRDefault="002B13B4" w:rsidP="00FE575C">
      <w:pPr>
        <w:jc w:val="both"/>
        <w:rPr>
          <w:b/>
          <w:bCs/>
          <w:sz w:val="20"/>
          <w:szCs w:val="20"/>
        </w:rPr>
      </w:pPr>
      <w:r w:rsidRPr="00B5366D">
        <w:rPr>
          <w:b/>
          <w:bCs/>
          <w:sz w:val="20"/>
          <w:szCs w:val="20"/>
        </w:rPr>
        <w:t>Tablo 2</w:t>
      </w:r>
      <w:r w:rsidR="00FE575C" w:rsidRPr="00B5366D">
        <w:rPr>
          <w:b/>
          <w:bCs/>
          <w:sz w:val="20"/>
          <w:szCs w:val="20"/>
        </w:rPr>
        <w:t>. Milyon kişi başına yerleşiklerin patent başvuru sayıları</w:t>
      </w:r>
    </w:p>
    <w:tbl>
      <w:tblPr>
        <w:tblStyle w:val="TabloKlavuzu"/>
        <w:tblW w:w="9090" w:type="dxa"/>
        <w:tblInd w:w="108" w:type="dxa"/>
        <w:tblLook w:val="04A0"/>
      </w:tblPr>
      <w:tblGrid>
        <w:gridCol w:w="810"/>
        <w:gridCol w:w="1182"/>
        <w:gridCol w:w="1183"/>
        <w:gridCol w:w="1183"/>
        <w:gridCol w:w="1183"/>
        <w:gridCol w:w="1183"/>
        <w:gridCol w:w="1183"/>
        <w:gridCol w:w="1183"/>
      </w:tblGrid>
      <w:tr w:rsidR="00FE575C" w:rsidRPr="00A813EB" w:rsidTr="00FE575C">
        <w:tc>
          <w:tcPr>
            <w:tcW w:w="810" w:type="dxa"/>
          </w:tcPr>
          <w:p w:rsidR="00FE575C" w:rsidRPr="00A813EB" w:rsidRDefault="00603322" w:rsidP="005B57D1">
            <w:pPr>
              <w:jc w:val="center"/>
              <w:rPr>
                <w:bCs/>
                <w:sz w:val="20"/>
                <w:szCs w:val="20"/>
              </w:rPr>
            </w:pPr>
            <w:r w:rsidRPr="00A813EB">
              <w:rPr>
                <w:bCs/>
                <w:sz w:val="20"/>
                <w:szCs w:val="20"/>
              </w:rPr>
              <w:t>Yıl</w:t>
            </w:r>
          </w:p>
        </w:tc>
        <w:tc>
          <w:tcPr>
            <w:tcW w:w="1182" w:type="dxa"/>
          </w:tcPr>
          <w:p w:rsidR="00FE575C" w:rsidRPr="00A813EB" w:rsidRDefault="00FE575C" w:rsidP="005B57D1">
            <w:pPr>
              <w:jc w:val="center"/>
              <w:rPr>
                <w:bCs/>
                <w:sz w:val="20"/>
                <w:szCs w:val="20"/>
              </w:rPr>
            </w:pPr>
            <w:r w:rsidRPr="00A813EB">
              <w:rPr>
                <w:bCs/>
                <w:sz w:val="20"/>
                <w:szCs w:val="20"/>
              </w:rPr>
              <w:t>Türkiye</w:t>
            </w:r>
          </w:p>
        </w:tc>
        <w:tc>
          <w:tcPr>
            <w:tcW w:w="1183" w:type="dxa"/>
          </w:tcPr>
          <w:p w:rsidR="00FE575C" w:rsidRPr="00A813EB" w:rsidRDefault="00FE575C" w:rsidP="005B57D1">
            <w:pPr>
              <w:jc w:val="center"/>
              <w:rPr>
                <w:bCs/>
                <w:sz w:val="20"/>
                <w:szCs w:val="20"/>
              </w:rPr>
            </w:pPr>
            <w:r w:rsidRPr="00A813EB">
              <w:rPr>
                <w:bCs/>
                <w:sz w:val="20"/>
                <w:szCs w:val="20"/>
              </w:rPr>
              <w:t>Almanya</w:t>
            </w:r>
          </w:p>
        </w:tc>
        <w:tc>
          <w:tcPr>
            <w:tcW w:w="1183" w:type="dxa"/>
          </w:tcPr>
          <w:p w:rsidR="00FE575C" w:rsidRPr="00A813EB" w:rsidRDefault="00FE575C" w:rsidP="005B57D1">
            <w:pPr>
              <w:jc w:val="center"/>
              <w:rPr>
                <w:bCs/>
                <w:sz w:val="20"/>
                <w:szCs w:val="20"/>
              </w:rPr>
            </w:pPr>
            <w:r w:rsidRPr="00A813EB">
              <w:rPr>
                <w:bCs/>
                <w:sz w:val="20"/>
                <w:szCs w:val="20"/>
              </w:rPr>
              <w:t>Japonya</w:t>
            </w:r>
          </w:p>
        </w:tc>
        <w:tc>
          <w:tcPr>
            <w:tcW w:w="1183" w:type="dxa"/>
          </w:tcPr>
          <w:p w:rsidR="00FE575C" w:rsidRPr="00A813EB" w:rsidRDefault="00FE575C" w:rsidP="005B57D1">
            <w:pPr>
              <w:jc w:val="center"/>
              <w:rPr>
                <w:bCs/>
                <w:sz w:val="20"/>
                <w:szCs w:val="20"/>
              </w:rPr>
            </w:pPr>
            <w:r w:rsidRPr="00A813EB">
              <w:rPr>
                <w:bCs/>
                <w:sz w:val="20"/>
                <w:szCs w:val="20"/>
              </w:rPr>
              <w:t>Kore</w:t>
            </w:r>
          </w:p>
        </w:tc>
        <w:tc>
          <w:tcPr>
            <w:tcW w:w="1183" w:type="dxa"/>
          </w:tcPr>
          <w:p w:rsidR="00FE575C" w:rsidRPr="00A813EB" w:rsidRDefault="00FE575C" w:rsidP="005B57D1">
            <w:pPr>
              <w:jc w:val="center"/>
              <w:rPr>
                <w:bCs/>
                <w:sz w:val="20"/>
                <w:szCs w:val="20"/>
              </w:rPr>
            </w:pPr>
            <w:r w:rsidRPr="00A813EB">
              <w:rPr>
                <w:bCs/>
                <w:sz w:val="20"/>
                <w:szCs w:val="20"/>
              </w:rPr>
              <w:t>Çin</w:t>
            </w:r>
          </w:p>
        </w:tc>
        <w:tc>
          <w:tcPr>
            <w:tcW w:w="1183" w:type="dxa"/>
          </w:tcPr>
          <w:p w:rsidR="00FE575C" w:rsidRPr="00A813EB" w:rsidRDefault="00FE575C" w:rsidP="005B57D1">
            <w:pPr>
              <w:jc w:val="center"/>
              <w:rPr>
                <w:bCs/>
                <w:sz w:val="20"/>
                <w:szCs w:val="20"/>
              </w:rPr>
            </w:pPr>
            <w:r w:rsidRPr="00A813EB">
              <w:rPr>
                <w:bCs/>
                <w:sz w:val="20"/>
                <w:szCs w:val="20"/>
              </w:rPr>
              <w:t>Rusya</w:t>
            </w:r>
          </w:p>
        </w:tc>
        <w:tc>
          <w:tcPr>
            <w:tcW w:w="1183" w:type="dxa"/>
          </w:tcPr>
          <w:p w:rsidR="00FE575C" w:rsidRPr="00A813EB" w:rsidRDefault="00FE575C" w:rsidP="005B57D1">
            <w:pPr>
              <w:jc w:val="center"/>
              <w:rPr>
                <w:bCs/>
                <w:sz w:val="20"/>
                <w:szCs w:val="20"/>
              </w:rPr>
            </w:pPr>
            <w:r w:rsidRPr="00A813EB">
              <w:rPr>
                <w:bCs/>
                <w:sz w:val="20"/>
                <w:szCs w:val="20"/>
              </w:rPr>
              <w:t>Hindistan</w:t>
            </w:r>
          </w:p>
        </w:tc>
      </w:tr>
      <w:tr w:rsidR="00FE575C" w:rsidRPr="00A813EB" w:rsidTr="00FE575C">
        <w:tc>
          <w:tcPr>
            <w:tcW w:w="810" w:type="dxa"/>
          </w:tcPr>
          <w:p w:rsidR="00FE575C" w:rsidRPr="00A813EB" w:rsidRDefault="00FE575C" w:rsidP="005B57D1">
            <w:pPr>
              <w:jc w:val="center"/>
              <w:rPr>
                <w:bCs/>
                <w:sz w:val="20"/>
                <w:szCs w:val="20"/>
              </w:rPr>
            </w:pPr>
            <w:r w:rsidRPr="00A813EB">
              <w:rPr>
                <w:bCs/>
                <w:sz w:val="20"/>
                <w:szCs w:val="20"/>
              </w:rPr>
              <w:t>2003</w:t>
            </w:r>
          </w:p>
        </w:tc>
        <w:tc>
          <w:tcPr>
            <w:tcW w:w="1182" w:type="dxa"/>
          </w:tcPr>
          <w:p w:rsidR="00FE575C" w:rsidRPr="00A813EB" w:rsidRDefault="006D45FA" w:rsidP="00CD439A">
            <w:pPr>
              <w:jc w:val="center"/>
              <w:rPr>
                <w:bCs/>
                <w:sz w:val="20"/>
                <w:szCs w:val="20"/>
              </w:rPr>
            </w:pPr>
            <w:r w:rsidRPr="00A813EB">
              <w:rPr>
                <w:bCs/>
                <w:sz w:val="20"/>
                <w:szCs w:val="20"/>
              </w:rPr>
              <w:t>10</w:t>
            </w:r>
          </w:p>
        </w:tc>
        <w:tc>
          <w:tcPr>
            <w:tcW w:w="1183" w:type="dxa"/>
          </w:tcPr>
          <w:p w:rsidR="00FE575C" w:rsidRPr="00A813EB" w:rsidRDefault="00FE575C" w:rsidP="00CD439A">
            <w:pPr>
              <w:jc w:val="center"/>
              <w:rPr>
                <w:bCs/>
                <w:sz w:val="20"/>
                <w:szCs w:val="20"/>
              </w:rPr>
            </w:pPr>
            <w:r w:rsidRPr="00A813EB">
              <w:rPr>
                <w:bCs/>
                <w:sz w:val="20"/>
                <w:szCs w:val="20"/>
              </w:rPr>
              <w:t>1633</w:t>
            </w:r>
            <w:r w:rsidR="003E01DB" w:rsidRPr="00A813EB">
              <w:rPr>
                <w:bCs/>
                <w:sz w:val="20"/>
                <w:szCs w:val="20"/>
              </w:rPr>
              <w:t>,</w:t>
            </w:r>
            <w:r w:rsidRPr="00A813EB">
              <w:rPr>
                <w:bCs/>
                <w:sz w:val="20"/>
                <w:szCs w:val="20"/>
              </w:rPr>
              <w:t>5</w:t>
            </w:r>
          </w:p>
        </w:tc>
        <w:tc>
          <w:tcPr>
            <w:tcW w:w="1183" w:type="dxa"/>
          </w:tcPr>
          <w:p w:rsidR="00FE575C" w:rsidRPr="00A813EB" w:rsidRDefault="00FE575C" w:rsidP="00CD439A">
            <w:pPr>
              <w:jc w:val="center"/>
              <w:rPr>
                <w:bCs/>
                <w:sz w:val="20"/>
                <w:szCs w:val="20"/>
              </w:rPr>
            </w:pPr>
            <w:r w:rsidRPr="00A813EB">
              <w:rPr>
                <w:bCs/>
                <w:sz w:val="20"/>
                <w:szCs w:val="20"/>
              </w:rPr>
              <w:t>3799</w:t>
            </w:r>
            <w:r w:rsidR="003E01DB" w:rsidRPr="00A813EB">
              <w:rPr>
                <w:bCs/>
                <w:sz w:val="20"/>
                <w:szCs w:val="20"/>
              </w:rPr>
              <w:t>,</w:t>
            </w:r>
            <w:r w:rsidRPr="00A813EB">
              <w:rPr>
                <w:bCs/>
                <w:sz w:val="20"/>
                <w:szCs w:val="20"/>
              </w:rPr>
              <w:t>7</w:t>
            </w:r>
          </w:p>
        </w:tc>
        <w:tc>
          <w:tcPr>
            <w:tcW w:w="1183" w:type="dxa"/>
          </w:tcPr>
          <w:p w:rsidR="00FE575C" w:rsidRPr="00A813EB" w:rsidRDefault="006D45FA" w:rsidP="00CD439A">
            <w:pPr>
              <w:jc w:val="center"/>
              <w:rPr>
                <w:bCs/>
                <w:sz w:val="20"/>
                <w:szCs w:val="20"/>
              </w:rPr>
            </w:pPr>
            <w:r w:rsidRPr="00A813EB">
              <w:rPr>
                <w:bCs/>
                <w:sz w:val="20"/>
                <w:szCs w:val="20"/>
              </w:rPr>
              <w:t>2358</w:t>
            </w:r>
            <w:r w:rsidR="003E01DB" w:rsidRPr="00A813EB">
              <w:rPr>
                <w:bCs/>
                <w:sz w:val="20"/>
                <w:szCs w:val="20"/>
              </w:rPr>
              <w:t>,</w:t>
            </w:r>
            <w:r w:rsidRPr="00A813EB">
              <w:rPr>
                <w:bCs/>
                <w:sz w:val="20"/>
                <w:szCs w:val="20"/>
              </w:rPr>
              <w:t>0</w:t>
            </w:r>
          </w:p>
        </w:tc>
        <w:tc>
          <w:tcPr>
            <w:tcW w:w="1183" w:type="dxa"/>
          </w:tcPr>
          <w:p w:rsidR="00FE575C" w:rsidRPr="00A813EB" w:rsidRDefault="006D45FA" w:rsidP="00CD439A">
            <w:pPr>
              <w:jc w:val="center"/>
              <w:rPr>
                <w:bCs/>
                <w:sz w:val="20"/>
                <w:szCs w:val="20"/>
              </w:rPr>
            </w:pPr>
            <w:r w:rsidRPr="00A813EB">
              <w:rPr>
                <w:bCs/>
                <w:sz w:val="20"/>
                <w:szCs w:val="20"/>
              </w:rPr>
              <w:t>45</w:t>
            </w:r>
            <w:r w:rsidR="003E01DB" w:rsidRPr="00A813EB">
              <w:rPr>
                <w:bCs/>
                <w:sz w:val="20"/>
                <w:szCs w:val="20"/>
              </w:rPr>
              <w:t>,</w:t>
            </w:r>
            <w:r w:rsidRPr="00A813EB">
              <w:rPr>
                <w:bCs/>
                <w:sz w:val="20"/>
                <w:szCs w:val="20"/>
              </w:rPr>
              <w:t>6</w:t>
            </w:r>
          </w:p>
        </w:tc>
        <w:tc>
          <w:tcPr>
            <w:tcW w:w="1183" w:type="dxa"/>
          </w:tcPr>
          <w:p w:rsidR="00FE575C" w:rsidRPr="00A813EB" w:rsidRDefault="006D45FA" w:rsidP="00CD439A">
            <w:pPr>
              <w:jc w:val="center"/>
              <w:rPr>
                <w:bCs/>
                <w:sz w:val="20"/>
                <w:szCs w:val="20"/>
              </w:rPr>
            </w:pPr>
            <w:r w:rsidRPr="00A813EB">
              <w:rPr>
                <w:bCs/>
                <w:sz w:val="20"/>
                <w:szCs w:val="20"/>
              </w:rPr>
              <w:t>177</w:t>
            </w:r>
            <w:r w:rsidR="003E01DB" w:rsidRPr="00A813EB">
              <w:rPr>
                <w:bCs/>
                <w:sz w:val="20"/>
                <w:szCs w:val="20"/>
              </w:rPr>
              <w:t>,</w:t>
            </w:r>
            <w:r w:rsidRPr="00A813EB">
              <w:rPr>
                <w:bCs/>
                <w:sz w:val="20"/>
                <w:szCs w:val="20"/>
              </w:rPr>
              <w:t>4</w:t>
            </w:r>
          </w:p>
        </w:tc>
        <w:tc>
          <w:tcPr>
            <w:tcW w:w="1183" w:type="dxa"/>
          </w:tcPr>
          <w:p w:rsidR="00FE575C" w:rsidRPr="00A813EB" w:rsidRDefault="006D45FA" w:rsidP="00CD439A">
            <w:pPr>
              <w:jc w:val="center"/>
              <w:rPr>
                <w:bCs/>
                <w:sz w:val="20"/>
                <w:szCs w:val="20"/>
              </w:rPr>
            </w:pPr>
            <w:r w:rsidRPr="00A813EB">
              <w:rPr>
                <w:bCs/>
                <w:sz w:val="20"/>
                <w:szCs w:val="20"/>
              </w:rPr>
              <w:t>5</w:t>
            </w:r>
            <w:r w:rsidR="003E01DB" w:rsidRPr="00A813EB">
              <w:rPr>
                <w:bCs/>
                <w:sz w:val="20"/>
                <w:szCs w:val="20"/>
              </w:rPr>
              <w:t>,</w:t>
            </w:r>
            <w:r w:rsidRPr="00A813EB">
              <w:rPr>
                <w:bCs/>
                <w:sz w:val="20"/>
                <w:szCs w:val="20"/>
              </w:rPr>
              <w:t>0</w:t>
            </w:r>
          </w:p>
        </w:tc>
      </w:tr>
      <w:tr w:rsidR="00FE575C" w:rsidRPr="00A813EB" w:rsidTr="00FE575C">
        <w:tc>
          <w:tcPr>
            <w:tcW w:w="810" w:type="dxa"/>
          </w:tcPr>
          <w:p w:rsidR="00FE575C" w:rsidRPr="00A813EB" w:rsidRDefault="006D45FA" w:rsidP="005B57D1">
            <w:pPr>
              <w:jc w:val="center"/>
              <w:rPr>
                <w:bCs/>
                <w:sz w:val="20"/>
                <w:szCs w:val="20"/>
              </w:rPr>
            </w:pPr>
            <w:r w:rsidRPr="00A813EB">
              <w:rPr>
                <w:bCs/>
                <w:sz w:val="20"/>
                <w:szCs w:val="20"/>
              </w:rPr>
              <w:t>2011</w:t>
            </w:r>
          </w:p>
        </w:tc>
        <w:tc>
          <w:tcPr>
            <w:tcW w:w="1182" w:type="dxa"/>
          </w:tcPr>
          <w:p w:rsidR="00FE575C" w:rsidRPr="00A813EB" w:rsidRDefault="006D45FA" w:rsidP="00CD439A">
            <w:pPr>
              <w:jc w:val="center"/>
              <w:rPr>
                <w:bCs/>
                <w:sz w:val="20"/>
                <w:szCs w:val="20"/>
              </w:rPr>
            </w:pPr>
            <w:r w:rsidRPr="00A813EB">
              <w:rPr>
                <w:bCs/>
                <w:sz w:val="20"/>
                <w:szCs w:val="20"/>
              </w:rPr>
              <w:t>72</w:t>
            </w:r>
            <w:r w:rsidR="003E01DB" w:rsidRPr="00A813EB">
              <w:rPr>
                <w:bCs/>
                <w:sz w:val="20"/>
                <w:szCs w:val="20"/>
              </w:rPr>
              <w:t>,</w:t>
            </w:r>
            <w:r w:rsidRPr="00A813EB">
              <w:rPr>
                <w:bCs/>
                <w:sz w:val="20"/>
                <w:szCs w:val="20"/>
              </w:rPr>
              <w:t>3</w:t>
            </w:r>
          </w:p>
        </w:tc>
        <w:tc>
          <w:tcPr>
            <w:tcW w:w="1183" w:type="dxa"/>
          </w:tcPr>
          <w:p w:rsidR="00FE575C" w:rsidRPr="00A813EB" w:rsidRDefault="00FE575C" w:rsidP="00CD439A">
            <w:pPr>
              <w:jc w:val="center"/>
              <w:rPr>
                <w:bCs/>
                <w:sz w:val="20"/>
                <w:szCs w:val="20"/>
              </w:rPr>
            </w:pPr>
            <w:r w:rsidRPr="00A813EB">
              <w:rPr>
                <w:bCs/>
                <w:sz w:val="20"/>
                <w:szCs w:val="20"/>
              </w:rPr>
              <w:t>2146</w:t>
            </w:r>
            <w:r w:rsidR="003E01DB" w:rsidRPr="00A813EB">
              <w:rPr>
                <w:bCs/>
                <w:sz w:val="20"/>
                <w:szCs w:val="20"/>
              </w:rPr>
              <w:t>,</w:t>
            </w:r>
            <w:r w:rsidRPr="00A813EB">
              <w:rPr>
                <w:bCs/>
                <w:sz w:val="20"/>
                <w:szCs w:val="20"/>
              </w:rPr>
              <w:t>1</w:t>
            </w:r>
          </w:p>
        </w:tc>
        <w:tc>
          <w:tcPr>
            <w:tcW w:w="1183" w:type="dxa"/>
          </w:tcPr>
          <w:p w:rsidR="00FE575C" w:rsidRPr="00A813EB" w:rsidRDefault="006D45FA" w:rsidP="00CD439A">
            <w:pPr>
              <w:jc w:val="center"/>
              <w:rPr>
                <w:bCs/>
                <w:sz w:val="20"/>
                <w:szCs w:val="20"/>
              </w:rPr>
            </w:pPr>
            <w:r w:rsidRPr="00A813EB">
              <w:rPr>
                <w:bCs/>
                <w:sz w:val="20"/>
                <w:szCs w:val="20"/>
              </w:rPr>
              <w:t>3716</w:t>
            </w:r>
            <w:r w:rsidR="003E01DB" w:rsidRPr="00A813EB">
              <w:rPr>
                <w:bCs/>
                <w:sz w:val="20"/>
                <w:szCs w:val="20"/>
              </w:rPr>
              <w:t>,</w:t>
            </w:r>
            <w:r w:rsidRPr="00A813EB">
              <w:rPr>
                <w:bCs/>
                <w:sz w:val="20"/>
                <w:szCs w:val="20"/>
              </w:rPr>
              <w:t>1</w:t>
            </w:r>
          </w:p>
        </w:tc>
        <w:tc>
          <w:tcPr>
            <w:tcW w:w="1183" w:type="dxa"/>
          </w:tcPr>
          <w:p w:rsidR="00FE575C" w:rsidRPr="00A813EB" w:rsidRDefault="006D45FA" w:rsidP="00CD439A">
            <w:pPr>
              <w:jc w:val="center"/>
              <w:rPr>
                <w:bCs/>
                <w:sz w:val="20"/>
                <w:szCs w:val="20"/>
              </w:rPr>
            </w:pPr>
            <w:r w:rsidRPr="00A813EB">
              <w:rPr>
                <w:bCs/>
                <w:sz w:val="20"/>
                <w:szCs w:val="20"/>
              </w:rPr>
              <w:t>3771</w:t>
            </w:r>
            <w:r w:rsidR="003E01DB" w:rsidRPr="00A813EB">
              <w:rPr>
                <w:bCs/>
                <w:sz w:val="20"/>
                <w:szCs w:val="20"/>
              </w:rPr>
              <w:t>,</w:t>
            </w:r>
            <w:r w:rsidRPr="00A813EB">
              <w:rPr>
                <w:bCs/>
                <w:sz w:val="20"/>
                <w:szCs w:val="20"/>
              </w:rPr>
              <w:t>4</w:t>
            </w:r>
          </w:p>
        </w:tc>
        <w:tc>
          <w:tcPr>
            <w:tcW w:w="1183" w:type="dxa"/>
          </w:tcPr>
          <w:p w:rsidR="00FE575C" w:rsidRPr="00A813EB" w:rsidRDefault="006D45FA" w:rsidP="00CD439A">
            <w:pPr>
              <w:jc w:val="center"/>
              <w:rPr>
                <w:bCs/>
                <w:sz w:val="20"/>
                <w:szCs w:val="20"/>
              </w:rPr>
            </w:pPr>
            <w:r w:rsidRPr="00A813EB">
              <w:rPr>
                <w:bCs/>
                <w:sz w:val="20"/>
                <w:szCs w:val="20"/>
              </w:rPr>
              <w:t>324</w:t>
            </w:r>
            <w:r w:rsidR="003E01DB" w:rsidRPr="00A813EB">
              <w:rPr>
                <w:bCs/>
                <w:sz w:val="20"/>
                <w:szCs w:val="20"/>
              </w:rPr>
              <w:t>,</w:t>
            </w:r>
            <w:r w:rsidRPr="00A813EB">
              <w:rPr>
                <w:bCs/>
                <w:sz w:val="20"/>
                <w:szCs w:val="20"/>
              </w:rPr>
              <w:t>5</w:t>
            </w:r>
          </w:p>
        </w:tc>
        <w:tc>
          <w:tcPr>
            <w:tcW w:w="1183" w:type="dxa"/>
          </w:tcPr>
          <w:p w:rsidR="00FE575C" w:rsidRPr="00A813EB" w:rsidRDefault="006D45FA" w:rsidP="00CD439A">
            <w:pPr>
              <w:jc w:val="center"/>
              <w:rPr>
                <w:bCs/>
                <w:sz w:val="20"/>
                <w:szCs w:val="20"/>
              </w:rPr>
            </w:pPr>
            <w:r w:rsidRPr="00A813EB">
              <w:rPr>
                <w:bCs/>
                <w:sz w:val="20"/>
                <w:szCs w:val="20"/>
              </w:rPr>
              <w:t>220</w:t>
            </w:r>
            <w:r w:rsidR="003E01DB" w:rsidRPr="00A813EB">
              <w:rPr>
                <w:bCs/>
                <w:sz w:val="20"/>
                <w:szCs w:val="20"/>
              </w:rPr>
              <w:t>,</w:t>
            </w:r>
            <w:r w:rsidRPr="00A813EB">
              <w:rPr>
                <w:bCs/>
                <w:sz w:val="20"/>
                <w:szCs w:val="20"/>
              </w:rPr>
              <w:t>1</w:t>
            </w:r>
          </w:p>
        </w:tc>
        <w:tc>
          <w:tcPr>
            <w:tcW w:w="1183" w:type="dxa"/>
          </w:tcPr>
          <w:p w:rsidR="00FE575C" w:rsidRPr="00A813EB" w:rsidRDefault="006D45FA" w:rsidP="00CD439A">
            <w:pPr>
              <w:jc w:val="center"/>
              <w:rPr>
                <w:bCs/>
                <w:sz w:val="20"/>
                <w:szCs w:val="20"/>
              </w:rPr>
            </w:pPr>
            <w:r w:rsidRPr="00A813EB">
              <w:rPr>
                <w:bCs/>
                <w:sz w:val="20"/>
                <w:szCs w:val="20"/>
              </w:rPr>
              <w:t>13</w:t>
            </w:r>
            <w:r w:rsidR="003E01DB" w:rsidRPr="00A813EB">
              <w:rPr>
                <w:bCs/>
                <w:sz w:val="20"/>
                <w:szCs w:val="20"/>
              </w:rPr>
              <w:t>,</w:t>
            </w:r>
            <w:r w:rsidRPr="00A813EB">
              <w:rPr>
                <w:bCs/>
                <w:sz w:val="20"/>
                <w:szCs w:val="20"/>
              </w:rPr>
              <w:t>0</w:t>
            </w:r>
          </w:p>
        </w:tc>
      </w:tr>
    </w:tbl>
    <w:p w:rsidR="00FE575C" w:rsidRPr="00A813EB" w:rsidRDefault="00FE575C" w:rsidP="00FE575C">
      <w:pPr>
        <w:jc w:val="both"/>
        <w:rPr>
          <w:bCs/>
        </w:rPr>
      </w:pPr>
      <w:r w:rsidRPr="00A813EB">
        <w:rPr>
          <w:bCs/>
        </w:rPr>
        <w:t>Kaynak: WIPO</w:t>
      </w:r>
      <w:r w:rsidR="00D038B6" w:rsidRPr="00A813EB">
        <w:rPr>
          <w:bCs/>
        </w:rPr>
        <w:t>, Dünya Bankası, Betam Hesaplamaları.</w:t>
      </w:r>
    </w:p>
    <w:p w:rsidR="003D661E" w:rsidRPr="00A813EB" w:rsidRDefault="003D661E" w:rsidP="00F77FEB">
      <w:pPr>
        <w:jc w:val="both"/>
        <w:rPr>
          <w:bCs/>
          <w:sz w:val="22"/>
          <w:szCs w:val="22"/>
        </w:rPr>
      </w:pPr>
    </w:p>
    <w:p w:rsidR="00A009B9" w:rsidRPr="008A4EB2" w:rsidRDefault="00A009B9" w:rsidP="00A009B9">
      <w:pPr>
        <w:jc w:val="both"/>
        <w:rPr>
          <w:b/>
          <w:bCs/>
          <w:sz w:val="20"/>
          <w:szCs w:val="20"/>
        </w:rPr>
      </w:pPr>
      <w:r w:rsidRPr="008A4EB2">
        <w:rPr>
          <w:b/>
          <w:bCs/>
          <w:sz w:val="20"/>
          <w:szCs w:val="20"/>
        </w:rPr>
        <w:t>Şekil 2. Teknoloji gruplarına göre patent yayınlarının dağılımı (2011)</w:t>
      </w:r>
    </w:p>
    <w:p w:rsidR="00A009B9" w:rsidRPr="00A813EB" w:rsidRDefault="003E01DB" w:rsidP="00F77FEB">
      <w:pPr>
        <w:jc w:val="both"/>
        <w:rPr>
          <w:bCs/>
          <w:sz w:val="18"/>
          <w:szCs w:val="18"/>
        </w:rPr>
      </w:pPr>
      <w:r w:rsidRPr="00A813EB">
        <w:rPr>
          <w:noProof/>
          <w:lang w:eastAsia="tr-TR"/>
        </w:rPr>
        <w:drawing>
          <wp:inline distT="0" distB="0" distL="0" distR="0">
            <wp:extent cx="5760720" cy="222695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226956"/>
                    </a:xfrm>
                    <a:prstGeom prst="rect">
                      <a:avLst/>
                    </a:prstGeom>
                    <a:noFill/>
                    <a:ln>
                      <a:noFill/>
                    </a:ln>
                  </pic:spPr>
                </pic:pic>
              </a:graphicData>
            </a:graphic>
          </wp:inline>
        </w:drawing>
      </w:r>
      <w:r w:rsidR="00A009B9" w:rsidRPr="00A813EB">
        <w:rPr>
          <w:bCs/>
          <w:sz w:val="22"/>
          <w:szCs w:val="22"/>
        </w:rPr>
        <w:t xml:space="preserve"> </w:t>
      </w:r>
      <w:r w:rsidR="00A009B9" w:rsidRPr="00A813EB">
        <w:rPr>
          <w:bCs/>
        </w:rPr>
        <w:t>Kaynak: WIPO, Betam Hesaplamaları.</w:t>
      </w:r>
    </w:p>
    <w:p w:rsidR="00A009B9" w:rsidRPr="00A813EB" w:rsidRDefault="00A009B9" w:rsidP="00F77FEB">
      <w:pPr>
        <w:jc w:val="both"/>
        <w:rPr>
          <w:bCs/>
          <w:sz w:val="22"/>
          <w:szCs w:val="22"/>
          <w:highlight w:val="yellow"/>
        </w:rPr>
      </w:pPr>
    </w:p>
    <w:p w:rsidR="00AC7AE8" w:rsidRPr="00A813EB" w:rsidRDefault="002B13B4" w:rsidP="00F77FEB">
      <w:pPr>
        <w:jc w:val="both"/>
        <w:rPr>
          <w:bCs/>
          <w:sz w:val="20"/>
          <w:szCs w:val="20"/>
        </w:rPr>
      </w:pPr>
      <w:r w:rsidRPr="00A813EB">
        <w:rPr>
          <w:bCs/>
          <w:sz w:val="20"/>
          <w:szCs w:val="20"/>
        </w:rPr>
        <w:t>Patent başvurularının niceliği kadar niteliği de önemli</w:t>
      </w:r>
      <w:r w:rsidR="00F72F16" w:rsidRPr="00A813EB">
        <w:rPr>
          <w:bCs/>
          <w:sz w:val="20"/>
          <w:szCs w:val="20"/>
        </w:rPr>
        <w:t>dir</w:t>
      </w:r>
      <w:r w:rsidRPr="00A813EB">
        <w:rPr>
          <w:bCs/>
          <w:sz w:val="20"/>
          <w:szCs w:val="20"/>
        </w:rPr>
        <w:t>. Eğer patent başvuruları düşük teknoloji grubundaki ürünler için yapılı</w:t>
      </w:r>
      <w:r w:rsidR="00467FB3" w:rsidRPr="00A813EB">
        <w:rPr>
          <w:bCs/>
          <w:sz w:val="20"/>
          <w:szCs w:val="20"/>
        </w:rPr>
        <w:t>yorsa bu ülke ekonomisine yüksek teknoloji grubundaki patentler kadar katkı sağlamayacaktır. Patent başvuruların</w:t>
      </w:r>
      <w:r w:rsidR="008434B3" w:rsidRPr="00A813EB">
        <w:rPr>
          <w:bCs/>
          <w:sz w:val="20"/>
          <w:szCs w:val="20"/>
        </w:rPr>
        <w:t>ın kompozisyonu anlamak için p</w:t>
      </w:r>
      <w:r w:rsidR="00467FB3" w:rsidRPr="00A813EB">
        <w:rPr>
          <w:bCs/>
          <w:sz w:val="20"/>
          <w:szCs w:val="20"/>
        </w:rPr>
        <w:t>atent başvurularını</w:t>
      </w:r>
      <w:r w:rsidR="00467FB3" w:rsidRPr="00A813EB">
        <w:rPr>
          <w:rStyle w:val="DipnotBavurusu"/>
          <w:bCs/>
          <w:sz w:val="20"/>
          <w:szCs w:val="20"/>
        </w:rPr>
        <w:footnoteReference w:id="5"/>
      </w:r>
      <w:r w:rsidR="00467FB3" w:rsidRPr="00A813EB">
        <w:rPr>
          <w:bCs/>
          <w:sz w:val="20"/>
          <w:szCs w:val="20"/>
        </w:rPr>
        <w:t xml:space="preserve"> WIPO’nun 5 ana </w:t>
      </w:r>
      <w:r w:rsidR="00AC7AE8" w:rsidRPr="00A813EB">
        <w:rPr>
          <w:bCs/>
          <w:sz w:val="20"/>
          <w:szCs w:val="20"/>
        </w:rPr>
        <w:t xml:space="preserve">teknolojik grubuna </w:t>
      </w:r>
      <w:r w:rsidR="00467FB3" w:rsidRPr="00A813EB">
        <w:rPr>
          <w:bCs/>
          <w:sz w:val="20"/>
          <w:szCs w:val="20"/>
        </w:rPr>
        <w:t>(</w:t>
      </w:r>
      <w:r w:rsidR="00AC7AE8" w:rsidRPr="00A813EB">
        <w:rPr>
          <w:bCs/>
          <w:sz w:val="20"/>
          <w:szCs w:val="20"/>
        </w:rPr>
        <w:t>Elektrik Mühendisliği</w:t>
      </w:r>
      <w:r w:rsidR="00AC7AE8" w:rsidRPr="00A813EB">
        <w:rPr>
          <w:rStyle w:val="DipnotBavurusu"/>
          <w:bCs/>
          <w:sz w:val="20"/>
          <w:szCs w:val="20"/>
        </w:rPr>
        <w:footnoteReference w:id="6"/>
      </w:r>
      <w:r w:rsidR="00AC7AE8" w:rsidRPr="00A813EB">
        <w:rPr>
          <w:bCs/>
          <w:sz w:val="20"/>
          <w:szCs w:val="20"/>
        </w:rPr>
        <w:t>, Enstrümanlar</w:t>
      </w:r>
      <w:r w:rsidR="00AC7AE8" w:rsidRPr="00A813EB">
        <w:rPr>
          <w:rStyle w:val="DipnotBavurusu"/>
          <w:bCs/>
          <w:sz w:val="20"/>
          <w:szCs w:val="20"/>
        </w:rPr>
        <w:footnoteReference w:id="7"/>
      </w:r>
      <w:r w:rsidR="00AC7AE8" w:rsidRPr="00A813EB">
        <w:rPr>
          <w:bCs/>
          <w:sz w:val="20"/>
          <w:szCs w:val="20"/>
        </w:rPr>
        <w:t>, Kimya</w:t>
      </w:r>
      <w:r w:rsidR="00AC7AE8" w:rsidRPr="00A813EB">
        <w:rPr>
          <w:rStyle w:val="DipnotBavurusu"/>
          <w:bCs/>
          <w:sz w:val="20"/>
          <w:szCs w:val="20"/>
        </w:rPr>
        <w:footnoteReference w:id="8"/>
      </w:r>
      <w:r w:rsidR="00AC7AE8" w:rsidRPr="00A813EB">
        <w:rPr>
          <w:bCs/>
          <w:sz w:val="20"/>
          <w:szCs w:val="20"/>
        </w:rPr>
        <w:t>, Makine Mühendisliği</w:t>
      </w:r>
      <w:r w:rsidR="00AC7AE8" w:rsidRPr="00A813EB">
        <w:rPr>
          <w:rStyle w:val="DipnotBavurusu"/>
          <w:bCs/>
          <w:sz w:val="20"/>
          <w:szCs w:val="20"/>
        </w:rPr>
        <w:footnoteReference w:id="9"/>
      </w:r>
      <w:r w:rsidR="00AC7AE8" w:rsidRPr="00A813EB">
        <w:rPr>
          <w:bCs/>
          <w:sz w:val="20"/>
          <w:szCs w:val="20"/>
        </w:rPr>
        <w:t xml:space="preserve"> ve Diğer Alanlar</w:t>
      </w:r>
      <w:r w:rsidR="00AC7AE8" w:rsidRPr="00A813EB">
        <w:rPr>
          <w:rStyle w:val="DipnotBavurusu"/>
          <w:bCs/>
          <w:sz w:val="20"/>
          <w:szCs w:val="20"/>
        </w:rPr>
        <w:footnoteReference w:id="10"/>
      </w:r>
      <w:r w:rsidR="00AC7AE8" w:rsidRPr="00A813EB">
        <w:rPr>
          <w:bCs/>
          <w:sz w:val="20"/>
          <w:szCs w:val="20"/>
        </w:rPr>
        <w:t>)</w:t>
      </w:r>
      <w:r w:rsidR="008434B3" w:rsidRPr="00A813EB">
        <w:rPr>
          <w:bCs/>
          <w:sz w:val="20"/>
          <w:szCs w:val="20"/>
        </w:rPr>
        <w:t xml:space="preserve"> göre</w:t>
      </w:r>
      <w:r w:rsidR="00467FB3" w:rsidRPr="00A813EB">
        <w:rPr>
          <w:bCs/>
          <w:sz w:val="20"/>
          <w:szCs w:val="20"/>
        </w:rPr>
        <w:t xml:space="preserve"> sınıflandırıyoruz</w:t>
      </w:r>
      <w:r w:rsidR="00603322" w:rsidRPr="00A813EB">
        <w:rPr>
          <w:bCs/>
          <w:sz w:val="20"/>
          <w:szCs w:val="20"/>
        </w:rPr>
        <w:t xml:space="preserve"> (Şekil 2)</w:t>
      </w:r>
      <w:r w:rsidR="00467FB3" w:rsidRPr="00A813EB">
        <w:rPr>
          <w:bCs/>
          <w:sz w:val="20"/>
          <w:szCs w:val="20"/>
        </w:rPr>
        <w:t>.</w:t>
      </w:r>
      <w:r w:rsidR="00740FDB" w:rsidRPr="00A813EB">
        <w:rPr>
          <w:bCs/>
          <w:sz w:val="20"/>
          <w:szCs w:val="20"/>
        </w:rPr>
        <w:t xml:space="preserve"> WIPO’nun sınıflandırılması aşağıda </w:t>
      </w:r>
      <w:r w:rsidR="00F72F16" w:rsidRPr="00A813EB">
        <w:rPr>
          <w:bCs/>
          <w:sz w:val="20"/>
          <w:szCs w:val="20"/>
        </w:rPr>
        <w:t xml:space="preserve">imalat endüstrilerini teknolojik </w:t>
      </w:r>
      <w:r w:rsidR="00732808" w:rsidRPr="00A813EB">
        <w:rPr>
          <w:bCs/>
          <w:sz w:val="20"/>
          <w:szCs w:val="20"/>
        </w:rPr>
        <w:t>sektörlere</w:t>
      </w:r>
      <w:r w:rsidR="00F72F16" w:rsidRPr="00A813EB">
        <w:rPr>
          <w:bCs/>
          <w:sz w:val="20"/>
          <w:szCs w:val="20"/>
        </w:rPr>
        <w:t xml:space="preserve"> göre </w:t>
      </w:r>
      <w:r w:rsidR="008975E6" w:rsidRPr="00A813EB">
        <w:rPr>
          <w:bCs/>
          <w:sz w:val="20"/>
          <w:szCs w:val="20"/>
        </w:rPr>
        <w:t>grupladığımız</w:t>
      </w:r>
      <w:r w:rsidR="00740FDB" w:rsidRPr="00A813EB">
        <w:rPr>
          <w:bCs/>
          <w:sz w:val="20"/>
          <w:szCs w:val="20"/>
        </w:rPr>
        <w:t xml:space="preserve"> OECD </w:t>
      </w:r>
      <w:r w:rsidR="00F72F16" w:rsidRPr="00A813EB">
        <w:rPr>
          <w:bCs/>
          <w:sz w:val="20"/>
          <w:szCs w:val="20"/>
        </w:rPr>
        <w:t>sınıflandırmasıyla</w:t>
      </w:r>
      <w:r w:rsidR="00740FDB" w:rsidRPr="00A813EB">
        <w:rPr>
          <w:bCs/>
          <w:sz w:val="20"/>
          <w:szCs w:val="20"/>
        </w:rPr>
        <w:t xml:space="preserve"> ile </w:t>
      </w:r>
      <w:r w:rsidR="00F72F16" w:rsidRPr="00A813EB">
        <w:rPr>
          <w:bCs/>
          <w:sz w:val="20"/>
          <w:szCs w:val="20"/>
        </w:rPr>
        <w:t>karşılaştırdığımızda</w:t>
      </w:r>
      <w:r w:rsidR="00AC7AE8" w:rsidRPr="00A813EB">
        <w:rPr>
          <w:bCs/>
          <w:sz w:val="20"/>
          <w:szCs w:val="20"/>
        </w:rPr>
        <w:t xml:space="preserve"> </w:t>
      </w:r>
      <w:r w:rsidR="00F72F16" w:rsidRPr="00A813EB">
        <w:rPr>
          <w:bCs/>
          <w:sz w:val="20"/>
          <w:szCs w:val="20"/>
        </w:rPr>
        <w:t>e</w:t>
      </w:r>
      <w:r w:rsidR="00AC7AE8" w:rsidRPr="00A813EB">
        <w:rPr>
          <w:bCs/>
          <w:sz w:val="20"/>
          <w:szCs w:val="20"/>
        </w:rPr>
        <w:t>lektrik mühendisliği, enstrümanlar ve kimya dallarındaki patent başvuruları</w:t>
      </w:r>
      <w:r w:rsidR="00603322" w:rsidRPr="00A813EB">
        <w:rPr>
          <w:bCs/>
          <w:sz w:val="20"/>
          <w:szCs w:val="20"/>
        </w:rPr>
        <w:t>nın</w:t>
      </w:r>
      <w:r w:rsidR="00AC7AE8" w:rsidRPr="00A813EB">
        <w:rPr>
          <w:bCs/>
          <w:sz w:val="20"/>
          <w:szCs w:val="20"/>
        </w:rPr>
        <w:t xml:space="preserve"> makine mühendisliği ve diğer alanlardaki başvurulara göre daha yüksek teknoloji </w:t>
      </w:r>
      <w:r w:rsidR="00272752" w:rsidRPr="00A813EB">
        <w:rPr>
          <w:bCs/>
          <w:sz w:val="20"/>
          <w:szCs w:val="20"/>
        </w:rPr>
        <w:t>gerektird</w:t>
      </w:r>
      <w:r w:rsidR="00603322" w:rsidRPr="00A813EB">
        <w:rPr>
          <w:bCs/>
          <w:sz w:val="20"/>
          <w:szCs w:val="20"/>
        </w:rPr>
        <w:t>i</w:t>
      </w:r>
      <w:r w:rsidR="00272752" w:rsidRPr="00A813EB">
        <w:rPr>
          <w:bCs/>
          <w:sz w:val="20"/>
          <w:szCs w:val="20"/>
        </w:rPr>
        <w:t>ği</w:t>
      </w:r>
      <w:r w:rsidR="00603322" w:rsidRPr="00A813EB">
        <w:rPr>
          <w:bCs/>
          <w:sz w:val="20"/>
          <w:szCs w:val="20"/>
        </w:rPr>
        <w:t>ni</w:t>
      </w:r>
      <w:r w:rsidR="00AC7AE8" w:rsidRPr="00A813EB">
        <w:rPr>
          <w:bCs/>
          <w:sz w:val="20"/>
          <w:szCs w:val="20"/>
        </w:rPr>
        <w:t xml:space="preserve"> söyleyebiliriz.</w:t>
      </w:r>
      <w:r w:rsidR="0054110D" w:rsidRPr="00A813EB">
        <w:rPr>
          <w:bCs/>
          <w:sz w:val="20"/>
          <w:szCs w:val="20"/>
        </w:rPr>
        <w:t xml:space="preserve"> Özellikle diğer alanlar en alt teknoloji grubuna ait patentleri içeriyor.</w:t>
      </w:r>
      <w:r w:rsidR="00AC7AE8" w:rsidRPr="00A813EB">
        <w:rPr>
          <w:bCs/>
          <w:sz w:val="20"/>
          <w:szCs w:val="20"/>
        </w:rPr>
        <w:t xml:space="preserve"> </w:t>
      </w:r>
      <w:r w:rsidR="00603322" w:rsidRPr="00A813EB">
        <w:rPr>
          <w:bCs/>
          <w:sz w:val="20"/>
          <w:szCs w:val="20"/>
        </w:rPr>
        <w:t>Günümüzde en önemli teknoloji alanı elektrik mühendisliği olarak karşımız</w:t>
      </w:r>
      <w:r w:rsidR="00D27605" w:rsidRPr="00A813EB">
        <w:rPr>
          <w:bCs/>
          <w:sz w:val="20"/>
          <w:szCs w:val="20"/>
        </w:rPr>
        <w:t>a çıkıyor. Bu nedenle o</w:t>
      </w:r>
      <w:r w:rsidR="00603322" w:rsidRPr="00A813EB">
        <w:rPr>
          <w:bCs/>
          <w:sz w:val="20"/>
          <w:szCs w:val="20"/>
        </w:rPr>
        <w:t>rta-</w:t>
      </w:r>
      <w:r w:rsidR="00D27605" w:rsidRPr="00A813EB">
        <w:rPr>
          <w:bCs/>
          <w:sz w:val="20"/>
          <w:szCs w:val="20"/>
        </w:rPr>
        <w:t>ü</w:t>
      </w:r>
      <w:r w:rsidR="00603322" w:rsidRPr="00A813EB">
        <w:rPr>
          <w:bCs/>
          <w:sz w:val="20"/>
          <w:szCs w:val="20"/>
        </w:rPr>
        <w:t xml:space="preserve">st ve </w:t>
      </w:r>
      <w:r w:rsidR="00D27605" w:rsidRPr="00A813EB">
        <w:rPr>
          <w:bCs/>
          <w:sz w:val="20"/>
          <w:szCs w:val="20"/>
        </w:rPr>
        <w:t>ü</w:t>
      </w:r>
      <w:r w:rsidR="00603322" w:rsidRPr="00A813EB">
        <w:rPr>
          <w:bCs/>
          <w:sz w:val="20"/>
          <w:szCs w:val="20"/>
        </w:rPr>
        <w:t xml:space="preserve">st gelir grubundaki ülkelerdeki yerleşiklerin yaptığı patent başvurularının yüzde 30’undan fazlasının bu teknoloji dalında olduğu </w:t>
      </w:r>
      <w:r w:rsidR="0054110D" w:rsidRPr="00A813EB">
        <w:rPr>
          <w:bCs/>
          <w:sz w:val="20"/>
          <w:szCs w:val="20"/>
        </w:rPr>
        <w:t>görülebilir</w:t>
      </w:r>
      <w:r w:rsidR="00603322" w:rsidRPr="00A813EB">
        <w:rPr>
          <w:bCs/>
          <w:sz w:val="20"/>
          <w:szCs w:val="20"/>
        </w:rPr>
        <w:t>. Türkiye’deki yerleşiklerin yaptığı patent başvurularının ise yalnızca yüzde 13’ü bu alana yapılmış. Enstrümanlar ve kimya dalına yapılan pa</w:t>
      </w:r>
      <w:r w:rsidR="0054110D" w:rsidRPr="00A813EB">
        <w:rPr>
          <w:bCs/>
          <w:sz w:val="20"/>
          <w:szCs w:val="20"/>
        </w:rPr>
        <w:t>tent başvurularında da Türkiye o</w:t>
      </w:r>
      <w:r w:rsidR="00603322" w:rsidRPr="00A813EB">
        <w:rPr>
          <w:bCs/>
          <w:sz w:val="20"/>
          <w:szCs w:val="20"/>
        </w:rPr>
        <w:t>rta-</w:t>
      </w:r>
      <w:r w:rsidR="0054110D" w:rsidRPr="00A813EB">
        <w:rPr>
          <w:bCs/>
          <w:sz w:val="20"/>
          <w:szCs w:val="20"/>
        </w:rPr>
        <w:t>ü</w:t>
      </w:r>
      <w:r w:rsidR="00603322" w:rsidRPr="00A813EB">
        <w:rPr>
          <w:bCs/>
          <w:sz w:val="20"/>
          <w:szCs w:val="20"/>
        </w:rPr>
        <w:t xml:space="preserve">st ve </w:t>
      </w:r>
      <w:r w:rsidR="0054110D" w:rsidRPr="00A813EB">
        <w:rPr>
          <w:bCs/>
          <w:sz w:val="20"/>
          <w:szCs w:val="20"/>
        </w:rPr>
        <w:t>ü</w:t>
      </w:r>
      <w:r w:rsidR="00603322" w:rsidRPr="00A813EB">
        <w:rPr>
          <w:bCs/>
          <w:sz w:val="20"/>
          <w:szCs w:val="20"/>
        </w:rPr>
        <w:t>st gelir grubundaki ülkelerin gerisinde kalıyor. Buna karşın Türkiye’deki yerleşikler patent başvurularının yüzde 25’inden fazlasını en düşük teknoloji gerektiren sektör olan diğer alanlar</w:t>
      </w:r>
      <w:r w:rsidR="00F46B26" w:rsidRPr="00A813EB">
        <w:rPr>
          <w:bCs/>
          <w:sz w:val="20"/>
          <w:szCs w:val="20"/>
        </w:rPr>
        <w:t>da</w:t>
      </w:r>
      <w:r w:rsidR="00603322" w:rsidRPr="00A813EB">
        <w:rPr>
          <w:bCs/>
          <w:sz w:val="20"/>
          <w:szCs w:val="20"/>
        </w:rPr>
        <w:t xml:space="preserve"> yapmış. </w:t>
      </w:r>
      <w:r w:rsidR="006A4CC0" w:rsidRPr="00A813EB">
        <w:rPr>
          <w:bCs/>
          <w:sz w:val="20"/>
          <w:szCs w:val="20"/>
        </w:rPr>
        <w:t>Bu da Türkiye’nin AR-GE kaynaklarını genelde daha düşük tekno</w:t>
      </w:r>
      <w:r w:rsidR="00D038B6" w:rsidRPr="00A813EB">
        <w:rPr>
          <w:bCs/>
          <w:sz w:val="20"/>
          <w:szCs w:val="20"/>
        </w:rPr>
        <w:t>loji içeren alanlara yönlendir</w:t>
      </w:r>
      <w:r w:rsidR="006A4CC0" w:rsidRPr="00A813EB">
        <w:rPr>
          <w:bCs/>
          <w:sz w:val="20"/>
          <w:szCs w:val="20"/>
        </w:rPr>
        <w:t>diğini gösteriyor.</w:t>
      </w:r>
      <w:r w:rsidR="00603322" w:rsidRPr="00A813EB">
        <w:rPr>
          <w:bCs/>
          <w:sz w:val="20"/>
          <w:szCs w:val="20"/>
        </w:rPr>
        <w:t xml:space="preserve">   </w:t>
      </w:r>
    </w:p>
    <w:p w:rsidR="008975E6" w:rsidRPr="00A813EB" w:rsidRDefault="008975E6" w:rsidP="00F77FEB">
      <w:pPr>
        <w:jc w:val="both"/>
        <w:rPr>
          <w:bCs/>
          <w:sz w:val="22"/>
          <w:szCs w:val="22"/>
        </w:rPr>
      </w:pPr>
    </w:p>
    <w:p w:rsidR="008975E6" w:rsidRPr="00A813EB" w:rsidRDefault="00343F2F" w:rsidP="00343F2F">
      <w:pPr>
        <w:rPr>
          <w:b/>
          <w:bCs/>
          <w:sz w:val="22"/>
          <w:szCs w:val="22"/>
        </w:rPr>
      </w:pPr>
      <w:r w:rsidRPr="00A813EB">
        <w:rPr>
          <w:b/>
          <w:bCs/>
          <w:sz w:val="22"/>
          <w:szCs w:val="22"/>
        </w:rPr>
        <w:t>Yüksek teknoloji ürün i</w:t>
      </w:r>
      <w:r w:rsidR="008975E6" w:rsidRPr="00A813EB">
        <w:rPr>
          <w:b/>
          <w:bCs/>
          <w:sz w:val="22"/>
          <w:szCs w:val="22"/>
        </w:rPr>
        <w:t>hracatı</w:t>
      </w:r>
    </w:p>
    <w:p w:rsidR="00CF04A8" w:rsidRPr="00A813EB" w:rsidRDefault="00CF04A8" w:rsidP="00F77FEB">
      <w:pPr>
        <w:jc w:val="both"/>
        <w:rPr>
          <w:bCs/>
          <w:sz w:val="18"/>
          <w:szCs w:val="18"/>
        </w:rPr>
      </w:pPr>
    </w:p>
    <w:p w:rsidR="008975E6" w:rsidRPr="00A813EB" w:rsidRDefault="002445DB" w:rsidP="00361CF8">
      <w:pPr>
        <w:jc w:val="both"/>
        <w:rPr>
          <w:bCs/>
          <w:sz w:val="20"/>
          <w:szCs w:val="20"/>
        </w:rPr>
      </w:pPr>
      <w:r w:rsidRPr="00A813EB">
        <w:rPr>
          <w:bCs/>
          <w:sz w:val="20"/>
          <w:szCs w:val="20"/>
        </w:rPr>
        <w:t>Dünya Bankası yüksek teknoloji mal ihracatı rakamlarına göre</w:t>
      </w:r>
      <w:r w:rsidR="00361CF8" w:rsidRPr="00A813EB">
        <w:rPr>
          <w:bCs/>
          <w:sz w:val="20"/>
          <w:szCs w:val="20"/>
        </w:rPr>
        <w:t xml:space="preserve"> Türkiye’nin</w:t>
      </w:r>
      <w:r w:rsidRPr="00A813EB">
        <w:rPr>
          <w:bCs/>
          <w:sz w:val="20"/>
          <w:szCs w:val="20"/>
        </w:rPr>
        <w:t xml:space="preserve"> yüksek teknoloji ihracatının</w:t>
      </w:r>
      <w:r w:rsidR="00361CF8" w:rsidRPr="00A813EB">
        <w:rPr>
          <w:bCs/>
          <w:sz w:val="20"/>
          <w:szCs w:val="20"/>
        </w:rPr>
        <w:t xml:space="preserve"> toplam imalat ihracatının içindeki </w:t>
      </w:r>
      <w:r w:rsidRPr="00A813EB">
        <w:rPr>
          <w:bCs/>
          <w:sz w:val="20"/>
          <w:szCs w:val="20"/>
        </w:rPr>
        <w:t>payı</w:t>
      </w:r>
      <w:r w:rsidR="00361CF8" w:rsidRPr="00A813EB">
        <w:rPr>
          <w:bCs/>
          <w:sz w:val="20"/>
          <w:szCs w:val="20"/>
        </w:rPr>
        <w:t xml:space="preserve"> 2003-2011 yılları arasında yüzde 1</w:t>
      </w:r>
      <w:r w:rsidR="003E01DB" w:rsidRPr="00A813EB">
        <w:rPr>
          <w:bCs/>
          <w:sz w:val="20"/>
          <w:szCs w:val="20"/>
        </w:rPr>
        <w:t>,8-1,</w:t>
      </w:r>
      <w:r w:rsidR="00361CF8" w:rsidRPr="00A813EB">
        <w:rPr>
          <w:bCs/>
          <w:sz w:val="20"/>
          <w:szCs w:val="20"/>
        </w:rPr>
        <w:t xml:space="preserve">9 </w:t>
      </w:r>
      <w:r w:rsidR="00427C01" w:rsidRPr="00A813EB">
        <w:rPr>
          <w:bCs/>
          <w:sz w:val="20"/>
          <w:szCs w:val="20"/>
        </w:rPr>
        <w:t>aralığında durgun</w:t>
      </w:r>
      <w:r w:rsidR="00361CF8" w:rsidRPr="00A813EB">
        <w:rPr>
          <w:bCs/>
          <w:sz w:val="20"/>
          <w:szCs w:val="20"/>
        </w:rPr>
        <w:t xml:space="preserve"> bir seyir izliyor. Buna karşılık orta-üst ve üst gelir g</w:t>
      </w:r>
      <w:r w:rsidR="000B304A" w:rsidRPr="00A813EB">
        <w:rPr>
          <w:bCs/>
          <w:sz w:val="20"/>
          <w:szCs w:val="20"/>
        </w:rPr>
        <w:t xml:space="preserve">rubundaki ülkelerin yüksek teknoloji ürünleri ihracatının toplam imalat ihracatının içindeki payı yüzde 16 ile </w:t>
      </w:r>
      <w:r w:rsidR="00361CF8" w:rsidRPr="00A813EB">
        <w:rPr>
          <w:bCs/>
          <w:sz w:val="20"/>
          <w:szCs w:val="20"/>
        </w:rPr>
        <w:t>20 arası</w:t>
      </w:r>
      <w:r w:rsidR="000B304A" w:rsidRPr="00A813EB">
        <w:rPr>
          <w:bCs/>
          <w:sz w:val="20"/>
          <w:szCs w:val="20"/>
        </w:rPr>
        <w:t>nda seyrediyor</w:t>
      </w:r>
      <w:r w:rsidR="00361CF8" w:rsidRPr="00A813EB">
        <w:rPr>
          <w:bCs/>
          <w:sz w:val="20"/>
          <w:szCs w:val="20"/>
        </w:rPr>
        <w:t>.</w:t>
      </w:r>
      <w:r w:rsidRPr="00A813EB">
        <w:rPr>
          <w:bCs/>
          <w:sz w:val="20"/>
          <w:szCs w:val="20"/>
        </w:rPr>
        <w:t xml:space="preserve"> </w:t>
      </w:r>
    </w:p>
    <w:p w:rsidR="008975E6" w:rsidRPr="00A813EB" w:rsidRDefault="008975E6" w:rsidP="00361CF8">
      <w:pPr>
        <w:jc w:val="both"/>
        <w:rPr>
          <w:bCs/>
          <w:sz w:val="20"/>
          <w:szCs w:val="20"/>
        </w:rPr>
      </w:pPr>
    </w:p>
    <w:p w:rsidR="00361CF8" w:rsidRPr="00A813EB" w:rsidRDefault="00272752" w:rsidP="00361CF8">
      <w:pPr>
        <w:jc w:val="both"/>
        <w:rPr>
          <w:bCs/>
          <w:sz w:val="20"/>
          <w:szCs w:val="20"/>
        </w:rPr>
      </w:pPr>
      <w:r w:rsidRPr="00A813EB">
        <w:rPr>
          <w:bCs/>
          <w:sz w:val="20"/>
          <w:szCs w:val="20"/>
        </w:rPr>
        <w:t>Dünya Bankası tanımının yanında bir de OECD tanımına göre yüksek teknoloji ihracatını sınıflandırabiliriz.</w:t>
      </w:r>
      <w:r w:rsidR="002445DB" w:rsidRPr="00A813EB">
        <w:rPr>
          <w:bCs/>
          <w:sz w:val="20"/>
          <w:szCs w:val="20"/>
        </w:rPr>
        <w:t xml:space="preserve"> OECD tanımına göre</w:t>
      </w:r>
      <w:r w:rsidR="002445DB" w:rsidRPr="00A813EB">
        <w:rPr>
          <w:rStyle w:val="DipnotBavurusu"/>
          <w:bCs/>
          <w:sz w:val="20"/>
          <w:szCs w:val="20"/>
        </w:rPr>
        <w:footnoteReference w:id="11"/>
      </w:r>
      <w:r w:rsidR="002445DB" w:rsidRPr="00A813EB">
        <w:rPr>
          <w:bCs/>
          <w:sz w:val="20"/>
          <w:szCs w:val="20"/>
        </w:rPr>
        <w:t xml:space="preserve"> imalat sanayi endüstrilerini yüksek teknoloji, orta-yüksek teknoloji, orta-düşük teknoloji ve düşük teknoloji endüstriler olarak </w:t>
      </w:r>
      <w:r w:rsidR="0031622B" w:rsidRPr="00A813EB">
        <w:rPr>
          <w:bCs/>
          <w:sz w:val="20"/>
          <w:szCs w:val="20"/>
        </w:rPr>
        <w:t>tanımlamak mümkün</w:t>
      </w:r>
      <w:r w:rsidR="00F72F16" w:rsidRPr="00A813EB">
        <w:rPr>
          <w:bCs/>
          <w:sz w:val="20"/>
          <w:szCs w:val="20"/>
        </w:rPr>
        <w:t>dür</w:t>
      </w:r>
      <w:r w:rsidR="002445DB" w:rsidRPr="00A813EB">
        <w:rPr>
          <w:bCs/>
          <w:sz w:val="20"/>
          <w:szCs w:val="20"/>
        </w:rPr>
        <w:t>.</w:t>
      </w:r>
      <w:r w:rsidR="00F72F16" w:rsidRPr="00A813EB">
        <w:rPr>
          <w:bCs/>
          <w:sz w:val="20"/>
          <w:szCs w:val="20"/>
        </w:rPr>
        <w:t xml:space="preserve"> Bu</w:t>
      </w:r>
      <w:r w:rsidR="0031622B" w:rsidRPr="00A813EB">
        <w:rPr>
          <w:bCs/>
          <w:sz w:val="20"/>
          <w:szCs w:val="20"/>
        </w:rPr>
        <w:t xml:space="preserve"> tanıma göre</w:t>
      </w:r>
      <w:r w:rsidR="002445DB" w:rsidRPr="00A813EB">
        <w:rPr>
          <w:bCs/>
          <w:sz w:val="20"/>
          <w:szCs w:val="20"/>
        </w:rPr>
        <w:t xml:space="preserve"> </w:t>
      </w:r>
      <w:r w:rsidR="009E713A" w:rsidRPr="00A813EB">
        <w:rPr>
          <w:bCs/>
          <w:sz w:val="20"/>
          <w:szCs w:val="20"/>
        </w:rPr>
        <w:t>o</w:t>
      </w:r>
      <w:r w:rsidR="002445DB" w:rsidRPr="00A813EB">
        <w:rPr>
          <w:bCs/>
          <w:sz w:val="20"/>
          <w:szCs w:val="20"/>
        </w:rPr>
        <w:t>rta-yüksek ve orta-düşük teknoloji</w:t>
      </w:r>
      <w:r w:rsidR="009E713A" w:rsidRPr="00A813EB">
        <w:rPr>
          <w:bCs/>
          <w:sz w:val="20"/>
          <w:szCs w:val="20"/>
        </w:rPr>
        <w:t>li endüstrilerin</w:t>
      </w:r>
      <w:r w:rsidR="00C7359B" w:rsidRPr="00A813EB">
        <w:rPr>
          <w:bCs/>
          <w:sz w:val="20"/>
          <w:szCs w:val="20"/>
        </w:rPr>
        <w:t xml:space="preserve"> 2012 yılı itibariyle</w:t>
      </w:r>
      <w:r w:rsidR="009E713A" w:rsidRPr="00A813EB">
        <w:rPr>
          <w:bCs/>
          <w:sz w:val="20"/>
          <w:szCs w:val="20"/>
        </w:rPr>
        <w:t xml:space="preserve"> Türkiye’nin</w:t>
      </w:r>
      <w:r w:rsidR="003E01DB" w:rsidRPr="00A813EB">
        <w:rPr>
          <w:bCs/>
          <w:sz w:val="20"/>
          <w:szCs w:val="20"/>
        </w:rPr>
        <w:t xml:space="preserve"> imalat</w:t>
      </w:r>
      <w:r w:rsidR="009E713A" w:rsidRPr="00A813EB">
        <w:rPr>
          <w:bCs/>
          <w:sz w:val="20"/>
          <w:szCs w:val="20"/>
        </w:rPr>
        <w:t xml:space="preserve"> ihracatının yüzde 70’</w:t>
      </w:r>
      <w:r w:rsidR="00740C63" w:rsidRPr="00A813EB">
        <w:rPr>
          <w:bCs/>
          <w:sz w:val="20"/>
          <w:szCs w:val="20"/>
        </w:rPr>
        <w:t>in</w:t>
      </w:r>
      <w:r w:rsidR="009E713A" w:rsidRPr="00A813EB">
        <w:rPr>
          <w:bCs/>
          <w:sz w:val="20"/>
          <w:szCs w:val="20"/>
        </w:rPr>
        <w:t>den fazlasını yaptığı görülüyor</w:t>
      </w:r>
      <w:r w:rsidR="0031622B" w:rsidRPr="00A813EB">
        <w:rPr>
          <w:bCs/>
          <w:sz w:val="20"/>
          <w:szCs w:val="20"/>
        </w:rPr>
        <w:t xml:space="preserve"> (Şekil 3)</w:t>
      </w:r>
      <w:r w:rsidR="002445DB" w:rsidRPr="00A813EB">
        <w:rPr>
          <w:bCs/>
          <w:sz w:val="20"/>
          <w:szCs w:val="20"/>
        </w:rPr>
        <w:t xml:space="preserve">. </w:t>
      </w:r>
      <w:r w:rsidR="009E713A" w:rsidRPr="00A813EB">
        <w:rPr>
          <w:bCs/>
          <w:sz w:val="20"/>
          <w:szCs w:val="20"/>
        </w:rPr>
        <w:t>Orta-d</w:t>
      </w:r>
      <w:r w:rsidR="0066015E" w:rsidRPr="00A813EB">
        <w:rPr>
          <w:bCs/>
          <w:sz w:val="20"/>
          <w:szCs w:val="20"/>
        </w:rPr>
        <w:t xml:space="preserve">üşük teknoloji grubundaki en büyük </w:t>
      </w:r>
      <w:r w:rsidR="009E713A" w:rsidRPr="00A813EB">
        <w:rPr>
          <w:bCs/>
          <w:sz w:val="20"/>
          <w:szCs w:val="20"/>
        </w:rPr>
        <w:t>endüstri</w:t>
      </w:r>
      <w:r w:rsidR="0066015E" w:rsidRPr="00A813EB">
        <w:rPr>
          <w:bCs/>
          <w:sz w:val="20"/>
          <w:szCs w:val="20"/>
        </w:rPr>
        <w:t xml:space="preserve"> ana metal sanayi, </w:t>
      </w:r>
      <w:r w:rsidR="009E713A" w:rsidRPr="00A813EB">
        <w:rPr>
          <w:bCs/>
          <w:sz w:val="20"/>
          <w:szCs w:val="20"/>
        </w:rPr>
        <w:t>o</w:t>
      </w:r>
      <w:r w:rsidR="0066015E" w:rsidRPr="00A813EB">
        <w:rPr>
          <w:bCs/>
          <w:sz w:val="20"/>
          <w:szCs w:val="20"/>
        </w:rPr>
        <w:t>rta-</w:t>
      </w:r>
      <w:r w:rsidR="009E713A" w:rsidRPr="00A813EB">
        <w:rPr>
          <w:bCs/>
          <w:sz w:val="20"/>
          <w:szCs w:val="20"/>
        </w:rPr>
        <w:t>y</w:t>
      </w:r>
      <w:r w:rsidR="0066015E" w:rsidRPr="00A813EB">
        <w:rPr>
          <w:bCs/>
          <w:sz w:val="20"/>
          <w:szCs w:val="20"/>
        </w:rPr>
        <w:t xml:space="preserve">üksek teknoloji grubundaki en büyük </w:t>
      </w:r>
      <w:r w:rsidR="009E713A" w:rsidRPr="00A813EB">
        <w:rPr>
          <w:bCs/>
          <w:sz w:val="20"/>
          <w:szCs w:val="20"/>
        </w:rPr>
        <w:t>endüstri</w:t>
      </w:r>
      <w:r w:rsidR="0066015E" w:rsidRPr="00A813EB">
        <w:rPr>
          <w:bCs/>
          <w:sz w:val="20"/>
          <w:szCs w:val="20"/>
        </w:rPr>
        <w:t xml:space="preserve"> ise motorlu kara taşıtları ve römorklar. Yüksek teknoloji endüstriler</w:t>
      </w:r>
      <w:r w:rsidR="0066015E" w:rsidRPr="00A813EB">
        <w:rPr>
          <w:rStyle w:val="DipnotBavurusu"/>
          <w:bCs/>
          <w:sz w:val="20"/>
          <w:szCs w:val="20"/>
        </w:rPr>
        <w:footnoteReference w:id="12"/>
      </w:r>
      <w:r w:rsidR="0066015E" w:rsidRPr="00A813EB">
        <w:rPr>
          <w:bCs/>
          <w:sz w:val="20"/>
          <w:szCs w:val="20"/>
        </w:rPr>
        <w:t xml:space="preserve"> grubunda bulunan</w:t>
      </w:r>
      <w:r w:rsidR="002445DB" w:rsidRPr="00A813EB">
        <w:rPr>
          <w:bCs/>
          <w:sz w:val="20"/>
          <w:szCs w:val="20"/>
        </w:rPr>
        <w:t xml:space="preserve"> </w:t>
      </w:r>
      <w:r w:rsidR="0066015E" w:rsidRPr="00A813EB">
        <w:rPr>
          <w:bCs/>
          <w:sz w:val="20"/>
          <w:szCs w:val="20"/>
        </w:rPr>
        <w:t>endüstrileri</w:t>
      </w:r>
      <w:r w:rsidR="009E713A" w:rsidRPr="00A813EB">
        <w:rPr>
          <w:bCs/>
          <w:sz w:val="20"/>
          <w:szCs w:val="20"/>
        </w:rPr>
        <w:t>ler</w:t>
      </w:r>
      <w:r w:rsidR="008A4EB2">
        <w:rPr>
          <w:bCs/>
          <w:sz w:val="20"/>
          <w:szCs w:val="20"/>
        </w:rPr>
        <w:t xml:space="preserve"> ise</w:t>
      </w:r>
      <w:r w:rsidR="002809A4" w:rsidRPr="00A813EB">
        <w:rPr>
          <w:bCs/>
          <w:sz w:val="20"/>
          <w:szCs w:val="20"/>
        </w:rPr>
        <w:t xml:space="preserve"> 2012 yılında</w:t>
      </w:r>
      <w:r w:rsidR="0066015E" w:rsidRPr="00A813EB">
        <w:rPr>
          <w:bCs/>
          <w:sz w:val="20"/>
          <w:szCs w:val="20"/>
        </w:rPr>
        <w:t xml:space="preserve"> toplam</w:t>
      </w:r>
      <w:r w:rsidR="003E01DB" w:rsidRPr="00A813EB">
        <w:rPr>
          <w:bCs/>
          <w:sz w:val="20"/>
          <w:szCs w:val="20"/>
        </w:rPr>
        <w:t xml:space="preserve"> imalat</w:t>
      </w:r>
      <w:r w:rsidR="002809A4" w:rsidRPr="00A813EB">
        <w:rPr>
          <w:bCs/>
          <w:sz w:val="20"/>
          <w:szCs w:val="20"/>
        </w:rPr>
        <w:t xml:space="preserve"> sektörü</w:t>
      </w:r>
      <w:r w:rsidR="0066015E" w:rsidRPr="00A813EB">
        <w:rPr>
          <w:bCs/>
          <w:sz w:val="20"/>
          <w:szCs w:val="20"/>
        </w:rPr>
        <w:t xml:space="preserve"> ihracatın</w:t>
      </w:r>
      <w:r w:rsidR="002809A4" w:rsidRPr="00A813EB">
        <w:rPr>
          <w:bCs/>
          <w:sz w:val="20"/>
          <w:szCs w:val="20"/>
        </w:rPr>
        <w:t>ın</w:t>
      </w:r>
      <w:r w:rsidR="0066015E" w:rsidRPr="00A813EB">
        <w:rPr>
          <w:bCs/>
          <w:sz w:val="20"/>
          <w:szCs w:val="20"/>
        </w:rPr>
        <w:t xml:space="preserve"> sadece yüzde 3,7’</w:t>
      </w:r>
      <w:r w:rsidR="009E713A" w:rsidRPr="00A813EB">
        <w:rPr>
          <w:bCs/>
          <w:sz w:val="20"/>
          <w:szCs w:val="20"/>
        </w:rPr>
        <w:t xml:space="preserve">sini </w:t>
      </w:r>
      <w:r w:rsidR="003E01DB" w:rsidRPr="00A813EB">
        <w:rPr>
          <w:bCs/>
          <w:sz w:val="20"/>
          <w:szCs w:val="20"/>
        </w:rPr>
        <w:t>yapmış</w:t>
      </w:r>
      <w:r w:rsidR="0066015E" w:rsidRPr="00A813EB">
        <w:rPr>
          <w:bCs/>
          <w:sz w:val="20"/>
          <w:szCs w:val="20"/>
        </w:rPr>
        <w:t xml:space="preserve"> durumda</w:t>
      </w:r>
      <w:r w:rsidRPr="00A813EB">
        <w:rPr>
          <w:bCs/>
          <w:sz w:val="20"/>
          <w:szCs w:val="20"/>
        </w:rPr>
        <w:t>dır</w:t>
      </w:r>
      <w:r w:rsidR="0066015E" w:rsidRPr="00A813EB">
        <w:rPr>
          <w:bCs/>
          <w:sz w:val="20"/>
          <w:szCs w:val="20"/>
        </w:rPr>
        <w:t>.</w:t>
      </w:r>
      <w:r w:rsidR="002445DB" w:rsidRPr="00A813EB">
        <w:rPr>
          <w:bCs/>
          <w:sz w:val="20"/>
          <w:szCs w:val="20"/>
        </w:rPr>
        <w:t xml:space="preserve"> </w:t>
      </w:r>
    </w:p>
    <w:p w:rsidR="002445DB" w:rsidRPr="00A813EB" w:rsidRDefault="002445DB" w:rsidP="00361CF8">
      <w:pPr>
        <w:jc w:val="both"/>
        <w:rPr>
          <w:bCs/>
          <w:sz w:val="20"/>
          <w:szCs w:val="20"/>
        </w:rPr>
      </w:pPr>
    </w:p>
    <w:p w:rsidR="009E713A" w:rsidRPr="008A4EB2" w:rsidRDefault="009E713A" w:rsidP="00361CF8">
      <w:pPr>
        <w:jc w:val="both"/>
        <w:rPr>
          <w:b/>
          <w:bCs/>
          <w:sz w:val="20"/>
          <w:szCs w:val="20"/>
        </w:rPr>
      </w:pPr>
      <w:r w:rsidRPr="008A4EB2">
        <w:rPr>
          <w:b/>
          <w:bCs/>
          <w:sz w:val="20"/>
          <w:szCs w:val="20"/>
        </w:rPr>
        <w:t xml:space="preserve">Şekil 3. Teknolojik </w:t>
      </w:r>
      <w:r w:rsidR="008D1F40" w:rsidRPr="008A4EB2">
        <w:rPr>
          <w:b/>
          <w:bCs/>
          <w:sz w:val="20"/>
          <w:szCs w:val="20"/>
        </w:rPr>
        <w:t>gruplandırmaya göre Türkiye’de</w:t>
      </w:r>
      <w:r w:rsidRPr="008A4EB2">
        <w:rPr>
          <w:b/>
          <w:bCs/>
          <w:sz w:val="20"/>
          <w:szCs w:val="20"/>
        </w:rPr>
        <w:t xml:space="preserve"> endüstriler</w:t>
      </w:r>
      <w:r w:rsidR="003E01DB" w:rsidRPr="008A4EB2">
        <w:rPr>
          <w:b/>
          <w:bCs/>
          <w:sz w:val="20"/>
          <w:szCs w:val="20"/>
        </w:rPr>
        <w:t>in yaptığı ihracat (1982-2012</w:t>
      </w:r>
      <w:r w:rsidRPr="008A4EB2">
        <w:rPr>
          <w:b/>
          <w:bCs/>
          <w:sz w:val="20"/>
          <w:szCs w:val="20"/>
        </w:rPr>
        <w:t>)</w:t>
      </w:r>
    </w:p>
    <w:p w:rsidR="002445DB" w:rsidRPr="00A813EB" w:rsidRDefault="003E01DB" w:rsidP="00361CF8">
      <w:pPr>
        <w:jc w:val="both"/>
        <w:rPr>
          <w:bCs/>
          <w:sz w:val="22"/>
          <w:szCs w:val="22"/>
        </w:rPr>
      </w:pPr>
      <w:r w:rsidRPr="00A813EB">
        <w:rPr>
          <w:noProof/>
          <w:lang w:eastAsia="tr-TR"/>
        </w:rPr>
        <w:drawing>
          <wp:inline distT="0" distB="0" distL="0" distR="0">
            <wp:extent cx="5760720" cy="259096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590963"/>
                    </a:xfrm>
                    <a:prstGeom prst="rect">
                      <a:avLst/>
                    </a:prstGeom>
                    <a:noFill/>
                    <a:ln>
                      <a:noFill/>
                    </a:ln>
                  </pic:spPr>
                </pic:pic>
              </a:graphicData>
            </a:graphic>
          </wp:inline>
        </w:drawing>
      </w:r>
    </w:p>
    <w:p w:rsidR="00361CF8" w:rsidRPr="00A813EB" w:rsidRDefault="009E713A" w:rsidP="00F77FEB">
      <w:pPr>
        <w:jc w:val="both"/>
        <w:rPr>
          <w:bCs/>
          <w:sz w:val="18"/>
          <w:szCs w:val="18"/>
        </w:rPr>
      </w:pPr>
      <w:r w:rsidRPr="00A813EB">
        <w:rPr>
          <w:bCs/>
        </w:rPr>
        <w:t>Kaynak: Tüik, Betam Hesaplamaları.</w:t>
      </w:r>
    </w:p>
    <w:p w:rsidR="008975E6" w:rsidRPr="00A813EB" w:rsidRDefault="008975E6" w:rsidP="00331293">
      <w:pPr>
        <w:rPr>
          <w:bCs/>
          <w:sz w:val="22"/>
          <w:szCs w:val="22"/>
          <w:highlight w:val="magenta"/>
        </w:rPr>
      </w:pPr>
    </w:p>
    <w:p w:rsidR="007208E8" w:rsidRPr="00A813EB" w:rsidRDefault="00343F2F" w:rsidP="00343F2F">
      <w:pPr>
        <w:rPr>
          <w:b/>
          <w:bCs/>
          <w:sz w:val="22"/>
          <w:szCs w:val="22"/>
        </w:rPr>
      </w:pPr>
      <w:r w:rsidRPr="00A813EB">
        <w:rPr>
          <w:b/>
          <w:bCs/>
          <w:sz w:val="22"/>
          <w:szCs w:val="22"/>
        </w:rPr>
        <w:t xml:space="preserve">AR-GE harcamalarıyla patent başvuruları ve yüksek </w:t>
      </w:r>
      <w:r w:rsidR="00755111" w:rsidRPr="00A813EB">
        <w:rPr>
          <w:b/>
          <w:bCs/>
          <w:sz w:val="22"/>
          <w:szCs w:val="22"/>
        </w:rPr>
        <w:t>teknoloji</w:t>
      </w:r>
      <w:r w:rsidRPr="00A813EB">
        <w:rPr>
          <w:b/>
          <w:bCs/>
          <w:sz w:val="22"/>
          <w:szCs w:val="22"/>
        </w:rPr>
        <w:t xml:space="preserve"> ihracatı arasındaki ilişki</w:t>
      </w:r>
    </w:p>
    <w:p w:rsidR="007208E8" w:rsidRPr="00A813EB" w:rsidRDefault="007208E8" w:rsidP="00331293">
      <w:pPr>
        <w:rPr>
          <w:bCs/>
          <w:sz w:val="22"/>
          <w:szCs w:val="22"/>
          <w:highlight w:val="magenta"/>
        </w:rPr>
      </w:pPr>
    </w:p>
    <w:p w:rsidR="009854FF" w:rsidRPr="00A813EB" w:rsidRDefault="00740C63" w:rsidP="009854FF">
      <w:pPr>
        <w:jc w:val="both"/>
        <w:rPr>
          <w:bCs/>
          <w:sz w:val="20"/>
          <w:szCs w:val="20"/>
        </w:rPr>
      </w:pPr>
      <w:r w:rsidRPr="00A813EB">
        <w:rPr>
          <w:bCs/>
          <w:sz w:val="20"/>
          <w:szCs w:val="20"/>
        </w:rPr>
        <w:t>Yukarıda Türkiye’nin 2003 yılından sonra hem AR-GE harcamalarını hem de patent başvuru sayısını artırdığını belirttik. Peki Türkiye</w:t>
      </w:r>
      <w:r w:rsidR="00337169" w:rsidRPr="00A813EB">
        <w:rPr>
          <w:bCs/>
          <w:sz w:val="20"/>
          <w:szCs w:val="20"/>
        </w:rPr>
        <w:t xml:space="preserve"> yaptığı</w:t>
      </w:r>
      <w:r w:rsidR="009854FF" w:rsidRPr="00A813EB">
        <w:rPr>
          <w:bCs/>
          <w:sz w:val="20"/>
          <w:szCs w:val="20"/>
        </w:rPr>
        <w:t xml:space="preserve"> </w:t>
      </w:r>
      <w:r w:rsidR="0038206B" w:rsidRPr="00A813EB">
        <w:rPr>
          <w:bCs/>
          <w:sz w:val="20"/>
          <w:szCs w:val="20"/>
        </w:rPr>
        <w:t xml:space="preserve">birim </w:t>
      </w:r>
      <w:r w:rsidR="009854FF" w:rsidRPr="00A813EB">
        <w:rPr>
          <w:bCs/>
          <w:sz w:val="20"/>
          <w:szCs w:val="20"/>
        </w:rPr>
        <w:t>AR-GE harcama</w:t>
      </w:r>
      <w:r w:rsidR="0038206B" w:rsidRPr="00A813EB">
        <w:rPr>
          <w:bCs/>
          <w:sz w:val="20"/>
          <w:szCs w:val="20"/>
        </w:rPr>
        <w:t>sı</w:t>
      </w:r>
      <w:r w:rsidR="009854FF" w:rsidRPr="00A813EB">
        <w:rPr>
          <w:bCs/>
          <w:sz w:val="20"/>
          <w:szCs w:val="20"/>
        </w:rPr>
        <w:t xml:space="preserve"> karşılığında </w:t>
      </w:r>
      <w:r w:rsidR="0038206B" w:rsidRPr="00A813EB">
        <w:rPr>
          <w:bCs/>
          <w:sz w:val="20"/>
          <w:szCs w:val="20"/>
        </w:rPr>
        <w:t xml:space="preserve">diğer ülkelere kıyasla </w:t>
      </w:r>
      <w:r w:rsidR="009854FF" w:rsidRPr="00A813EB">
        <w:rPr>
          <w:bCs/>
          <w:sz w:val="20"/>
          <w:szCs w:val="20"/>
        </w:rPr>
        <w:t>yeteri kadar patent</w:t>
      </w:r>
      <w:r w:rsidR="00337169" w:rsidRPr="00A813EB">
        <w:rPr>
          <w:bCs/>
          <w:sz w:val="20"/>
          <w:szCs w:val="20"/>
        </w:rPr>
        <w:t xml:space="preserve"> başvurusu</w:t>
      </w:r>
      <w:r w:rsidR="009854FF" w:rsidRPr="00A813EB">
        <w:rPr>
          <w:bCs/>
          <w:sz w:val="20"/>
          <w:szCs w:val="20"/>
        </w:rPr>
        <w:t xml:space="preserve"> veya yüksek teknoloji ihracat</w:t>
      </w:r>
      <w:r w:rsidR="009C7B0B" w:rsidRPr="00A813EB">
        <w:rPr>
          <w:bCs/>
          <w:sz w:val="20"/>
          <w:szCs w:val="20"/>
        </w:rPr>
        <w:t>ı yapı</w:t>
      </w:r>
      <w:r w:rsidRPr="00A813EB">
        <w:rPr>
          <w:bCs/>
          <w:sz w:val="20"/>
          <w:szCs w:val="20"/>
        </w:rPr>
        <w:t>yor mu?</w:t>
      </w:r>
      <w:r w:rsidR="009854FF" w:rsidRPr="00A813EB">
        <w:rPr>
          <w:bCs/>
          <w:sz w:val="20"/>
          <w:szCs w:val="20"/>
        </w:rPr>
        <w:t xml:space="preserve"> </w:t>
      </w:r>
      <w:r w:rsidR="0038206B" w:rsidRPr="00A813EB">
        <w:rPr>
          <w:bCs/>
          <w:sz w:val="20"/>
          <w:szCs w:val="20"/>
        </w:rPr>
        <w:t>Şekil 4</w:t>
      </w:r>
      <w:r w:rsidR="00872562" w:rsidRPr="00A813EB">
        <w:rPr>
          <w:bCs/>
          <w:sz w:val="20"/>
          <w:szCs w:val="20"/>
        </w:rPr>
        <w:t>,</w:t>
      </w:r>
      <w:r w:rsidR="0038206B" w:rsidRPr="00A813EB">
        <w:rPr>
          <w:bCs/>
          <w:sz w:val="20"/>
          <w:szCs w:val="20"/>
        </w:rPr>
        <w:t xml:space="preserve"> </w:t>
      </w:r>
      <w:r w:rsidR="00872562" w:rsidRPr="00A813EB">
        <w:rPr>
          <w:bCs/>
          <w:sz w:val="20"/>
          <w:szCs w:val="20"/>
        </w:rPr>
        <w:t xml:space="preserve">62 </w:t>
      </w:r>
      <w:r w:rsidR="0038206B" w:rsidRPr="00A813EB">
        <w:rPr>
          <w:bCs/>
          <w:sz w:val="20"/>
          <w:szCs w:val="20"/>
        </w:rPr>
        <w:t xml:space="preserve">ülke için 2003-2007 yılları arasında AR-GE harcamaları ile patent başvuruları arsındaki ilişkiyi gösteriyor. Şekilde görüldüğü gibi bu ilişki </w:t>
      </w:r>
      <w:r w:rsidR="00872562" w:rsidRPr="00A813EB">
        <w:rPr>
          <w:bCs/>
          <w:sz w:val="20"/>
          <w:szCs w:val="20"/>
        </w:rPr>
        <w:t xml:space="preserve">doğrusal ve </w:t>
      </w:r>
      <w:r w:rsidR="0038206B" w:rsidRPr="00A813EB">
        <w:rPr>
          <w:bCs/>
          <w:sz w:val="20"/>
          <w:szCs w:val="20"/>
        </w:rPr>
        <w:t>ol</w:t>
      </w:r>
      <w:r w:rsidR="00872562" w:rsidRPr="00A813EB">
        <w:rPr>
          <w:bCs/>
          <w:sz w:val="20"/>
          <w:szCs w:val="20"/>
        </w:rPr>
        <w:t>dukça güçlü.</w:t>
      </w:r>
      <w:r w:rsidR="003625C6" w:rsidRPr="00A813EB">
        <w:rPr>
          <w:bCs/>
          <w:sz w:val="20"/>
          <w:szCs w:val="20"/>
        </w:rPr>
        <w:t xml:space="preserve"> </w:t>
      </w:r>
      <w:r w:rsidR="00337169" w:rsidRPr="00A813EB">
        <w:rPr>
          <w:bCs/>
          <w:sz w:val="20"/>
          <w:szCs w:val="20"/>
        </w:rPr>
        <w:t>Yapılan AR-GE harcaması arttıkça patent başvuru sayısı artıyor.</w:t>
      </w:r>
      <w:r w:rsidR="009854FF" w:rsidRPr="00A813EB">
        <w:rPr>
          <w:bCs/>
          <w:sz w:val="20"/>
          <w:szCs w:val="20"/>
        </w:rPr>
        <w:t xml:space="preserve"> Regresyon çizgisinin altında kalan ülkeler ortalama olarak diğer ülkelere kıyasla yaptıkları </w:t>
      </w:r>
      <w:r w:rsidR="00872562" w:rsidRPr="00A813EB">
        <w:rPr>
          <w:bCs/>
          <w:sz w:val="20"/>
          <w:szCs w:val="20"/>
        </w:rPr>
        <w:t xml:space="preserve">birim </w:t>
      </w:r>
      <w:r w:rsidR="009854FF" w:rsidRPr="00A813EB">
        <w:rPr>
          <w:bCs/>
          <w:sz w:val="20"/>
          <w:szCs w:val="20"/>
        </w:rPr>
        <w:t xml:space="preserve">AR-GE harcaması başına daha az patent başvurusu yapıyorlar. </w:t>
      </w:r>
      <w:r w:rsidR="004262C5" w:rsidRPr="00A813EB">
        <w:rPr>
          <w:bCs/>
          <w:sz w:val="20"/>
          <w:szCs w:val="20"/>
        </w:rPr>
        <w:t>Türkiye</w:t>
      </w:r>
      <w:r w:rsidR="00693846">
        <w:rPr>
          <w:bCs/>
          <w:sz w:val="20"/>
          <w:szCs w:val="20"/>
        </w:rPr>
        <w:t xml:space="preserve"> </w:t>
      </w:r>
      <w:r w:rsidR="004262C5" w:rsidRPr="00A813EB">
        <w:rPr>
          <w:bCs/>
          <w:sz w:val="20"/>
          <w:szCs w:val="20"/>
        </w:rPr>
        <w:t xml:space="preserve">de çizginin altında kalan ülkelerden biri. Eğer Türkiye regresyon çizgisinin tam üzerinde yer alsaydı, diğer bir deyişle </w:t>
      </w:r>
      <w:r w:rsidR="006705EF" w:rsidRPr="00A813EB">
        <w:rPr>
          <w:bCs/>
          <w:sz w:val="20"/>
          <w:szCs w:val="20"/>
        </w:rPr>
        <w:t xml:space="preserve">Türkiye’de </w:t>
      </w:r>
      <w:r w:rsidR="004262C5" w:rsidRPr="00A813EB">
        <w:rPr>
          <w:bCs/>
          <w:sz w:val="20"/>
          <w:szCs w:val="20"/>
        </w:rPr>
        <w:t>birim harcama başına başvuru sayısı ortalama bir ülkeninki kadar olsaydı, 2003-2007 yıllarında yapılan başvuruların yaklaşık 3 katı kadar patent başvurusu yap</w:t>
      </w:r>
      <w:r w:rsidR="006705EF" w:rsidRPr="00A813EB">
        <w:rPr>
          <w:bCs/>
          <w:sz w:val="20"/>
          <w:szCs w:val="20"/>
        </w:rPr>
        <w:t>ıl</w:t>
      </w:r>
      <w:r w:rsidR="004262C5" w:rsidRPr="00A813EB">
        <w:rPr>
          <w:bCs/>
          <w:sz w:val="20"/>
          <w:szCs w:val="20"/>
        </w:rPr>
        <w:t xml:space="preserve">mış olacaktı. </w:t>
      </w:r>
    </w:p>
    <w:p w:rsidR="003625C6" w:rsidRPr="00A813EB" w:rsidRDefault="003625C6" w:rsidP="009854FF">
      <w:pPr>
        <w:jc w:val="both"/>
        <w:rPr>
          <w:bCs/>
          <w:sz w:val="20"/>
          <w:szCs w:val="20"/>
          <w:highlight w:val="yellow"/>
        </w:rPr>
      </w:pPr>
    </w:p>
    <w:p w:rsidR="003625C6" w:rsidRPr="00A813EB" w:rsidRDefault="003625C6" w:rsidP="003625C6">
      <w:pPr>
        <w:jc w:val="both"/>
        <w:rPr>
          <w:bCs/>
          <w:sz w:val="20"/>
          <w:szCs w:val="20"/>
        </w:rPr>
      </w:pPr>
      <w:r w:rsidRPr="00A813EB">
        <w:rPr>
          <w:bCs/>
          <w:sz w:val="20"/>
          <w:szCs w:val="20"/>
        </w:rPr>
        <w:t>Aynı analizi yüksek teknoloji ihracatı için de yapmak mümkün. Şekil 5 AR-GE harcamaları ile yüksek teknoloji ihracatı arasındaki ilişkiyi gösteriyor. Türkiye yine birim harcama başına yapılan yüksek teknoloji ihracatında ortalamanın oldukça altında kalıyor. AR-GE harcamaları ülkemizde ortalama bir ülkede olduğu kadar yüksek teknoloji ihracatı yaratıyor olsaydı, Türkiye 2003-2007 yılları arasında 4 kat fazla yüksek teknoloji ürünleri ihracatı yapmış olacaktı.</w:t>
      </w:r>
    </w:p>
    <w:p w:rsidR="00CE2939" w:rsidRPr="00A813EB" w:rsidRDefault="00CE2939" w:rsidP="003625C6">
      <w:pPr>
        <w:jc w:val="both"/>
        <w:rPr>
          <w:bCs/>
          <w:sz w:val="20"/>
          <w:szCs w:val="20"/>
        </w:rPr>
      </w:pPr>
    </w:p>
    <w:p w:rsidR="00CE2939" w:rsidRPr="00A813EB" w:rsidRDefault="00CE2939" w:rsidP="009854FF">
      <w:pPr>
        <w:jc w:val="both"/>
        <w:rPr>
          <w:bCs/>
          <w:sz w:val="20"/>
          <w:szCs w:val="20"/>
        </w:rPr>
      </w:pPr>
      <w:r w:rsidRPr="00A813EB">
        <w:rPr>
          <w:bCs/>
          <w:sz w:val="20"/>
          <w:szCs w:val="20"/>
        </w:rPr>
        <w:t>Sonuç olarak Türkiye, yaptığı her milyon dolarlık AR-GE harcaması başına, diğer ülkelere kıyasla daha az patent başvurusu ve daha az yüksek teknoloji ihracatı yapıyor. Yukarıdaki analiz Türkiye’nin AR-GE harcamalarını diğer ülkeler kadar başarılı bir şekilde son ürüne çeviremediğini gösteriyor. Bu şu anlama geliyor, Türkiye AR-GE harcamalarını arttırmaya devam ettikçe, daha fazla patent başvurusu ve yüksek teknoloji ihracatı yapacaktır, ancak birim harcama başına başvuru sayısını ve yüksek teknoloji ihracatını artırmak için kaliteyi artırmak gerekiyor.</w:t>
      </w:r>
    </w:p>
    <w:p w:rsidR="00CF04A8" w:rsidRPr="0013774F" w:rsidRDefault="00A81E85" w:rsidP="009854FF">
      <w:pPr>
        <w:jc w:val="both"/>
        <w:rPr>
          <w:b/>
          <w:bCs/>
          <w:sz w:val="20"/>
          <w:szCs w:val="20"/>
        </w:rPr>
      </w:pPr>
      <w:r w:rsidRPr="00A813EB">
        <w:rPr>
          <w:bCs/>
          <w:sz w:val="22"/>
          <w:szCs w:val="22"/>
        </w:rPr>
        <w:lastRenderedPageBreak/>
        <w:br/>
      </w:r>
      <w:r w:rsidR="004E7A9B" w:rsidRPr="0013774F">
        <w:rPr>
          <w:b/>
          <w:bCs/>
          <w:sz w:val="20"/>
          <w:szCs w:val="20"/>
        </w:rPr>
        <w:t>Şekil 4</w:t>
      </w:r>
      <w:r w:rsidR="00872562" w:rsidRPr="0013774F">
        <w:rPr>
          <w:b/>
          <w:bCs/>
          <w:sz w:val="20"/>
          <w:szCs w:val="20"/>
        </w:rPr>
        <w:t>. Patent b</w:t>
      </w:r>
      <w:r w:rsidR="00543D3E" w:rsidRPr="0013774F">
        <w:rPr>
          <w:b/>
          <w:bCs/>
          <w:sz w:val="20"/>
          <w:szCs w:val="20"/>
        </w:rPr>
        <w:t>aş</w:t>
      </w:r>
      <w:r w:rsidR="00872562" w:rsidRPr="0013774F">
        <w:rPr>
          <w:b/>
          <w:bCs/>
          <w:sz w:val="20"/>
          <w:szCs w:val="20"/>
        </w:rPr>
        <w:t>vuruları ve AR-GE h</w:t>
      </w:r>
      <w:r w:rsidR="005A62D0" w:rsidRPr="0013774F">
        <w:rPr>
          <w:b/>
          <w:bCs/>
          <w:sz w:val="20"/>
          <w:szCs w:val="20"/>
        </w:rPr>
        <w:t xml:space="preserve">arcamaları </w:t>
      </w:r>
      <w:r w:rsidR="005807DC" w:rsidRPr="0013774F">
        <w:rPr>
          <w:b/>
          <w:bCs/>
          <w:sz w:val="20"/>
          <w:szCs w:val="20"/>
        </w:rPr>
        <w:t>(2003-2007</w:t>
      </w:r>
      <w:r w:rsidR="007208E8" w:rsidRPr="0013774F">
        <w:rPr>
          <w:b/>
          <w:bCs/>
          <w:sz w:val="20"/>
          <w:szCs w:val="20"/>
        </w:rPr>
        <w:t xml:space="preserve"> ortalaması</w:t>
      </w:r>
      <w:r w:rsidR="005807DC" w:rsidRPr="0013774F">
        <w:rPr>
          <w:b/>
          <w:bCs/>
          <w:sz w:val="20"/>
          <w:szCs w:val="20"/>
        </w:rPr>
        <w:t>)</w:t>
      </w:r>
    </w:p>
    <w:p w:rsidR="007208E8" w:rsidRPr="00A813EB" w:rsidRDefault="007208E8" w:rsidP="00331293">
      <w:pPr>
        <w:rPr>
          <w:bCs/>
          <w:sz w:val="18"/>
          <w:szCs w:val="18"/>
        </w:rPr>
      </w:pPr>
      <w:r w:rsidRPr="00A813EB">
        <w:rPr>
          <w:noProof/>
          <w:lang w:eastAsia="tr-TR"/>
        </w:rPr>
        <w:drawing>
          <wp:inline distT="0" distB="0" distL="0" distR="0">
            <wp:extent cx="5743575" cy="2466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3575" cy="2466975"/>
                    </a:xfrm>
                    <a:prstGeom prst="rect">
                      <a:avLst/>
                    </a:prstGeom>
                    <a:noFill/>
                    <a:ln>
                      <a:noFill/>
                    </a:ln>
                  </pic:spPr>
                </pic:pic>
              </a:graphicData>
            </a:graphic>
          </wp:inline>
        </w:drawing>
      </w:r>
    </w:p>
    <w:p w:rsidR="00791FF5" w:rsidRPr="00A813EB" w:rsidRDefault="008A3C5C" w:rsidP="00F77FEB">
      <w:pPr>
        <w:jc w:val="both"/>
        <w:rPr>
          <w:bCs/>
        </w:rPr>
      </w:pPr>
      <w:r w:rsidRPr="00A813EB">
        <w:rPr>
          <w:bCs/>
        </w:rPr>
        <w:t>Kaynak: Dünya Bankası, WIPO, Betam Hesaplamaları.</w:t>
      </w:r>
      <w:r w:rsidR="00791FF5" w:rsidRPr="00A813EB">
        <w:rPr>
          <w:bCs/>
        </w:rPr>
        <w:t xml:space="preserve"> </w:t>
      </w:r>
    </w:p>
    <w:p w:rsidR="004E7A9B" w:rsidRPr="00A813EB" w:rsidRDefault="004E7A9B" w:rsidP="00F77FEB">
      <w:pPr>
        <w:jc w:val="both"/>
        <w:rPr>
          <w:bCs/>
          <w:sz w:val="18"/>
          <w:szCs w:val="18"/>
        </w:rPr>
      </w:pPr>
    </w:p>
    <w:p w:rsidR="00AB44C0" w:rsidRPr="0013774F" w:rsidRDefault="00AB44C0" w:rsidP="00AB44C0">
      <w:pPr>
        <w:jc w:val="both"/>
        <w:rPr>
          <w:b/>
          <w:bCs/>
          <w:sz w:val="20"/>
          <w:szCs w:val="20"/>
        </w:rPr>
      </w:pPr>
      <w:r w:rsidRPr="0013774F">
        <w:rPr>
          <w:b/>
          <w:bCs/>
          <w:sz w:val="20"/>
          <w:szCs w:val="20"/>
        </w:rPr>
        <w:t xml:space="preserve">Şekil 5. Yüksek Teknoloji İhracatı ve AR-GE Harcamaları </w:t>
      </w:r>
      <w:r w:rsidR="007208E8" w:rsidRPr="0013774F">
        <w:rPr>
          <w:b/>
          <w:bCs/>
          <w:sz w:val="20"/>
          <w:szCs w:val="20"/>
        </w:rPr>
        <w:t>(2003-2007 ortalaması)</w:t>
      </w:r>
    </w:p>
    <w:p w:rsidR="00AB44C0" w:rsidRPr="00A813EB" w:rsidRDefault="00A34288" w:rsidP="00AB44C0">
      <w:pPr>
        <w:jc w:val="both"/>
        <w:rPr>
          <w:bCs/>
          <w:sz w:val="22"/>
          <w:szCs w:val="22"/>
        </w:rPr>
      </w:pPr>
      <w:r w:rsidRPr="00A813EB">
        <w:rPr>
          <w:noProof/>
          <w:lang w:eastAsia="tr-TR"/>
        </w:rPr>
        <w:drawing>
          <wp:inline distT="0" distB="0" distL="0" distR="0">
            <wp:extent cx="5760720" cy="241855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418550"/>
                    </a:xfrm>
                    <a:prstGeom prst="rect">
                      <a:avLst/>
                    </a:prstGeom>
                    <a:noFill/>
                    <a:ln>
                      <a:noFill/>
                    </a:ln>
                  </pic:spPr>
                </pic:pic>
              </a:graphicData>
            </a:graphic>
          </wp:inline>
        </w:drawing>
      </w:r>
    </w:p>
    <w:p w:rsidR="00AB44C0" w:rsidRPr="00A813EB" w:rsidRDefault="00AB44C0" w:rsidP="00AB44C0">
      <w:pPr>
        <w:jc w:val="both"/>
        <w:rPr>
          <w:bCs/>
        </w:rPr>
      </w:pPr>
      <w:r w:rsidRPr="00A813EB">
        <w:rPr>
          <w:bCs/>
        </w:rPr>
        <w:t>Kaynak: Dünya Bankası, Betam Hesaplamaları.</w:t>
      </w:r>
    </w:p>
    <w:p w:rsidR="00A81E85" w:rsidRPr="00A813EB" w:rsidRDefault="00A81E85" w:rsidP="00F77FEB">
      <w:pPr>
        <w:jc w:val="both"/>
        <w:rPr>
          <w:bCs/>
          <w:sz w:val="22"/>
          <w:szCs w:val="22"/>
        </w:rPr>
      </w:pPr>
    </w:p>
    <w:p w:rsidR="007863C0" w:rsidRPr="00A813EB" w:rsidRDefault="00343F2F" w:rsidP="00343F2F">
      <w:pPr>
        <w:rPr>
          <w:b/>
          <w:bCs/>
          <w:sz w:val="22"/>
          <w:szCs w:val="22"/>
        </w:rPr>
      </w:pPr>
      <w:r w:rsidRPr="00A813EB">
        <w:rPr>
          <w:b/>
          <w:bCs/>
          <w:sz w:val="22"/>
          <w:szCs w:val="22"/>
        </w:rPr>
        <w:t>Okullaşma oranı ve eğitimin k</w:t>
      </w:r>
      <w:r w:rsidR="009C7B0B" w:rsidRPr="00A813EB">
        <w:rPr>
          <w:b/>
          <w:bCs/>
          <w:sz w:val="22"/>
          <w:szCs w:val="22"/>
        </w:rPr>
        <w:t>alitesi</w:t>
      </w:r>
    </w:p>
    <w:p w:rsidR="007863C0" w:rsidRPr="00A813EB" w:rsidRDefault="007863C0" w:rsidP="00F77FEB">
      <w:pPr>
        <w:jc w:val="both"/>
        <w:rPr>
          <w:b/>
          <w:bCs/>
          <w:sz w:val="22"/>
          <w:szCs w:val="22"/>
        </w:rPr>
      </w:pPr>
    </w:p>
    <w:p w:rsidR="0053032A" w:rsidRPr="00A813EB" w:rsidRDefault="00BD09E9" w:rsidP="0053032A">
      <w:pPr>
        <w:jc w:val="both"/>
        <w:rPr>
          <w:bCs/>
          <w:sz w:val="20"/>
          <w:szCs w:val="20"/>
        </w:rPr>
      </w:pPr>
      <w:r w:rsidRPr="00A813EB">
        <w:rPr>
          <w:bCs/>
          <w:sz w:val="20"/>
          <w:szCs w:val="20"/>
        </w:rPr>
        <w:t>Bir</w:t>
      </w:r>
      <w:r w:rsidR="0044317E" w:rsidRPr="00A813EB">
        <w:rPr>
          <w:bCs/>
          <w:sz w:val="20"/>
          <w:szCs w:val="20"/>
        </w:rPr>
        <w:t xml:space="preserve"> ülkenin</w:t>
      </w:r>
      <w:r w:rsidRPr="00A813EB">
        <w:rPr>
          <w:bCs/>
          <w:sz w:val="20"/>
          <w:szCs w:val="20"/>
        </w:rPr>
        <w:t xml:space="preserve"> </w:t>
      </w:r>
      <w:r w:rsidR="00E23895" w:rsidRPr="00A813EB">
        <w:rPr>
          <w:bCs/>
          <w:sz w:val="20"/>
          <w:szCs w:val="20"/>
        </w:rPr>
        <w:t>eğitim seviyes</w:t>
      </w:r>
      <w:r w:rsidR="009C7B0B" w:rsidRPr="00A813EB">
        <w:rPr>
          <w:bCs/>
          <w:sz w:val="20"/>
          <w:szCs w:val="20"/>
        </w:rPr>
        <w:t xml:space="preserve">i yüksek ve kaliteli </w:t>
      </w:r>
      <w:r w:rsidR="0044317E" w:rsidRPr="00A813EB">
        <w:rPr>
          <w:bCs/>
          <w:sz w:val="20"/>
          <w:szCs w:val="20"/>
        </w:rPr>
        <w:t>i</w:t>
      </w:r>
      <w:r w:rsidR="00E23895" w:rsidRPr="00A813EB">
        <w:rPr>
          <w:bCs/>
          <w:sz w:val="20"/>
          <w:szCs w:val="20"/>
        </w:rPr>
        <w:t xml:space="preserve">şgücü olmadan teknoloji geliştirmesi veya inovasyon yapması </w:t>
      </w:r>
      <w:r w:rsidR="00574A6C" w:rsidRPr="00A813EB">
        <w:rPr>
          <w:bCs/>
          <w:sz w:val="20"/>
          <w:szCs w:val="20"/>
        </w:rPr>
        <w:t>düşünülemez</w:t>
      </w:r>
      <w:r w:rsidRPr="00A813EB">
        <w:rPr>
          <w:bCs/>
          <w:sz w:val="20"/>
          <w:szCs w:val="20"/>
        </w:rPr>
        <w:t xml:space="preserve">. Bu </w:t>
      </w:r>
      <w:r w:rsidR="00574A6C" w:rsidRPr="00A813EB">
        <w:rPr>
          <w:bCs/>
          <w:sz w:val="20"/>
          <w:szCs w:val="20"/>
        </w:rPr>
        <w:t>açıdan</w:t>
      </w:r>
      <w:r w:rsidRPr="00A813EB">
        <w:rPr>
          <w:bCs/>
          <w:sz w:val="20"/>
          <w:szCs w:val="20"/>
        </w:rPr>
        <w:t xml:space="preserve"> inovasyonun en önemli girdisinin insan sermayesi </w:t>
      </w:r>
      <w:r w:rsidR="002E3ECC" w:rsidRPr="00A813EB">
        <w:rPr>
          <w:bCs/>
          <w:sz w:val="20"/>
          <w:szCs w:val="20"/>
        </w:rPr>
        <w:t>olduğunu söyleyebiliriz</w:t>
      </w:r>
      <w:r w:rsidRPr="00A813EB">
        <w:rPr>
          <w:bCs/>
          <w:sz w:val="20"/>
          <w:szCs w:val="20"/>
        </w:rPr>
        <w:t>.</w:t>
      </w:r>
      <w:r w:rsidR="0053032A" w:rsidRPr="00A813EB">
        <w:rPr>
          <w:bCs/>
          <w:sz w:val="20"/>
          <w:szCs w:val="20"/>
        </w:rPr>
        <w:t xml:space="preserve"> Türkiye insan sermayesini arttırmak amacıyla eğitim alanında bir dizi reform yaptı (</w:t>
      </w:r>
      <w:r w:rsidR="00740FDB" w:rsidRPr="00A813EB">
        <w:rPr>
          <w:bCs/>
          <w:sz w:val="20"/>
          <w:szCs w:val="20"/>
        </w:rPr>
        <w:t xml:space="preserve">örn. </w:t>
      </w:r>
      <w:r w:rsidR="0053032A" w:rsidRPr="00A813EB">
        <w:rPr>
          <w:bCs/>
          <w:sz w:val="20"/>
          <w:szCs w:val="20"/>
        </w:rPr>
        <w:t xml:space="preserve">8 yıllık zorunlu eğitim) ve bunun sonucunda </w:t>
      </w:r>
      <w:r w:rsidR="00E23895" w:rsidRPr="00A813EB">
        <w:rPr>
          <w:bCs/>
          <w:sz w:val="20"/>
          <w:szCs w:val="20"/>
        </w:rPr>
        <w:t xml:space="preserve">ortalama </w:t>
      </w:r>
      <w:r w:rsidR="0053032A" w:rsidRPr="00A813EB">
        <w:rPr>
          <w:bCs/>
          <w:sz w:val="20"/>
          <w:szCs w:val="20"/>
        </w:rPr>
        <w:t xml:space="preserve">eğitim </w:t>
      </w:r>
      <w:r w:rsidR="00E23895" w:rsidRPr="00A813EB">
        <w:rPr>
          <w:bCs/>
          <w:sz w:val="20"/>
          <w:szCs w:val="20"/>
        </w:rPr>
        <w:t>süresinde</w:t>
      </w:r>
      <w:r w:rsidR="0053032A" w:rsidRPr="00A813EB">
        <w:rPr>
          <w:bCs/>
          <w:sz w:val="20"/>
          <w:szCs w:val="20"/>
        </w:rPr>
        <w:t xml:space="preserve"> önemli aşamalar kaydedildi. Şekil 6’da görüldüğü üzere gençler arasında okuma-yazma bilmeyenlerin oranı artık neredeyse sıfırlanmış durumda. 6-13 yaş aralığında okuma yazma bilmeyenlerin seviyesi erkeklerde onbinde 1’e kadınlarda onbinde 4’e kadar düştü. </w:t>
      </w:r>
    </w:p>
    <w:p w:rsidR="002E3ECC" w:rsidRPr="00A813EB" w:rsidRDefault="002E3ECC" w:rsidP="00F77FEB">
      <w:pPr>
        <w:jc w:val="both"/>
        <w:rPr>
          <w:bCs/>
          <w:sz w:val="22"/>
          <w:szCs w:val="22"/>
        </w:rPr>
      </w:pPr>
    </w:p>
    <w:p w:rsidR="00CE2939" w:rsidRPr="00A813EB" w:rsidRDefault="00CE2939" w:rsidP="00CE2939">
      <w:pPr>
        <w:jc w:val="both"/>
        <w:rPr>
          <w:bCs/>
          <w:sz w:val="20"/>
          <w:szCs w:val="20"/>
        </w:rPr>
      </w:pPr>
      <w:r w:rsidRPr="00A813EB">
        <w:rPr>
          <w:bCs/>
          <w:sz w:val="20"/>
          <w:szCs w:val="20"/>
        </w:rPr>
        <w:t>Bunun yanında okullaşma oranı da zaman içerisinde giderek artıyor. 2012 yılı itibariyle 25-29 yaş arası</w:t>
      </w:r>
      <w:r w:rsidR="00124F98">
        <w:rPr>
          <w:bCs/>
          <w:sz w:val="20"/>
          <w:szCs w:val="20"/>
        </w:rPr>
        <w:t>ndaki kadın popülasyonun yüzde 9</w:t>
      </w:r>
      <w:r w:rsidRPr="00A813EB">
        <w:rPr>
          <w:bCs/>
          <w:sz w:val="20"/>
          <w:szCs w:val="20"/>
        </w:rPr>
        <w:t>2’si bir okuldan mezunken, erkek popülasyonun ise yüzde 95,7’si bir okuldan mezundur. Bu yaş grubundaki erkeklerin yüzde 23’ü yüksekokul veya bir</w:t>
      </w:r>
      <w:r w:rsidR="00124F98">
        <w:rPr>
          <w:bCs/>
          <w:sz w:val="20"/>
          <w:szCs w:val="20"/>
        </w:rPr>
        <w:t xml:space="preserve"> fakülte mezunuyken, yüzde 36,7</w:t>
      </w:r>
      <w:r w:rsidRPr="00A813EB">
        <w:rPr>
          <w:bCs/>
          <w:sz w:val="20"/>
          <w:szCs w:val="20"/>
        </w:rPr>
        <w:t>’si lise veya</w:t>
      </w:r>
      <w:r w:rsidR="00124F98">
        <w:rPr>
          <w:bCs/>
          <w:sz w:val="20"/>
          <w:szCs w:val="20"/>
        </w:rPr>
        <w:t xml:space="preserve"> dengi bir okul mezunu, yüzde 36</w:t>
      </w:r>
      <w:r w:rsidRPr="00A813EB">
        <w:rPr>
          <w:bCs/>
          <w:sz w:val="20"/>
          <w:szCs w:val="20"/>
        </w:rPr>
        <w:t xml:space="preserve">’sı ise ilköğretim veya dengi bir okul mezunudur. Aynı yaş grubundaki kadınların ise yüzde 21,1’i yüksekokul veya bir fakülte mezunuyken, yüzde 27,3’ü lise veya dengi bir okul mezunu, yüzde 43,6’sı ise ilköğretim veya dengi bir okul mezunudur. Daha yüksek yaş gruplarında ise lise veya dengi okul mezunu ve yüksekokul veya fakülte mezunu sayısı hızlı bir biçimde düşmektedir. </w:t>
      </w:r>
    </w:p>
    <w:p w:rsidR="00CE2939" w:rsidRPr="00A813EB" w:rsidRDefault="00CE2939" w:rsidP="00F77FEB">
      <w:pPr>
        <w:jc w:val="both"/>
        <w:rPr>
          <w:bCs/>
          <w:sz w:val="22"/>
          <w:szCs w:val="22"/>
        </w:rPr>
      </w:pPr>
    </w:p>
    <w:p w:rsidR="00CE2939" w:rsidRPr="00A813EB" w:rsidRDefault="00CE2939" w:rsidP="00F77FEB">
      <w:pPr>
        <w:jc w:val="both"/>
        <w:rPr>
          <w:bCs/>
          <w:sz w:val="22"/>
          <w:szCs w:val="22"/>
        </w:rPr>
      </w:pPr>
    </w:p>
    <w:p w:rsidR="00C4579F" w:rsidRPr="0013774F" w:rsidRDefault="00C4579F" w:rsidP="00F77FEB">
      <w:pPr>
        <w:jc w:val="both"/>
        <w:rPr>
          <w:b/>
          <w:bCs/>
          <w:sz w:val="20"/>
          <w:szCs w:val="20"/>
        </w:rPr>
      </w:pPr>
      <w:r w:rsidRPr="0013774F">
        <w:rPr>
          <w:b/>
          <w:bCs/>
          <w:sz w:val="20"/>
          <w:szCs w:val="20"/>
        </w:rPr>
        <w:lastRenderedPageBreak/>
        <w:t>Şekil 6. Yaş grupları ve cinsiyete göre okuma yazma bilmeyenlerin oranı (</w:t>
      </w:r>
      <w:r w:rsidR="004132E0" w:rsidRPr="0013774F">
        <w:rPr>
          <w:b/>
          <w:bCs/>
          <w:sz w:val="20"/>
          <w:szCs w:val="20"/>
        </w:rPr>
        <w:t xml:space="preserve">2012, </w:t>
      </w:r>
      <w:r w:rsidRPr="0013774F">
        <w:rPr>
          <w:b/>
          <w:bCs/>
          <w:sz w:val="20"/>
          <w:szCs w:val="20"/>
        </w:rPr>
        <w:t>%).</w:t>
      </w:r>
    </w:p>
    <w:p w:rsidR="002E3ECC" w:rsidRPr="00A813EB" w:rsidRDefault="009248D9" w:rsidP="00F77FEB">
      <w:pPr>
        <w:jc w:val="both"/>
        <w:rPr>
          <w:bCs/>
          <w:sz w:val="22"/>
          <w:szCs w:val="22"/>
        </w:rPr>
      </w:pPr>
      <w:r w:rsidRPr="00A813EB">
        <w:rPr>
          <w:noProof/>
          <w:lang w:eastAsia="tr-TR"/>
        </w:rPr>
        <w:drawing>
          <wp:inline distT="0" distB="0" distL="0" distR="0">
            <wp:extent cx="5760720" cy="24818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481845"/>
                    </a:xfrm>
                    <a:prstGeom prst="rect">
                      <a:avLst/>
                    </a:prstGeom>
                    <a:noFill/>
                    <a:ln>
                      <a:noFill/>
                    </a:ln>
                  </pic:spPr>
                </pic:pic>
              </a:graphicData>
            </a:graphic>
          </wp:inline>
        </w:drawing>
      </w:r>
    </w:p>
    <w:p w:rsidR="00BD09E9" w:rsidRPr="00A813EB" w:rsidRDefault="00C4579F" w:rsidP="00F77FEB">
      <w:pPr>
        <w:jc w:val="both"/>
        <w:rPr>
          <w:bCs/>
        </w:rPr>
      </w:pPr>
      <w:r w:rsidRPr="00A813EB">
        <w:rPr>
          <w:bCs/>
        </w:rPr>
        <w:t>Kaynak: Tüik.</w:t>
      </w:r>
    </w:p>
    <w:p w:rsidR="009C7B0B" w:rsidRPr="00A813EB" w:rsidRDefault="009C7B0B" w:rsidP="0053032A">
      <w:pPr>
        <w:jc w:val="both"/>
        <w:rPr>
          <w:bCs/>
          <w:sz w:val="22"/>
          <w:szCs w:val="22"/>
        </w:rPr>
      </w:pPr>
    </w:p>
    <w:p w:rsidR="0053032A" w:rsidRPr="00A813EB" w:rsidRDefault="0053032A" w:rsidP="0053032A">
      <w:pPr>
        <w:jc w:val="both"/>
        <w:rPr>
          <w:bCs/>
          <w:sz w:val="20"/>
          <w:szCs w:val="20"/>
        </w:rPr>
      </w:pPr>
      <w:r w:rsidRPr="00A813EB">
        <w:rPr>
          <w:bCs/>
          <w:sz w:val="20"/>
          <w:szCs w:val="20"/>
        </w:rPr>
        <w:t>Dünya Ekonomik Forumu’nun (WEF) yayınladığı İnsan Sermayesi Raporu 2013’</w:t>
      </w:r>
      <w:r w:rsidR="00E23895" w:rsidRPr="00A813EB">
        <w:rPr>
          <w:bCs/>
          <w:sz w:val="20"/>
          <w:szCs w:val="20"/>
        </w:rPr>
        <w:t>e göre</w:t>
      </w:r>
      <w:r w:rsidR="00D13D68" w:rsidRPr="00A813EB">
        <w:rPr>
          <w:bCs/>
          <w:sz w:val="20"/>
          <w:szCs w:val="20"/>
        </w:rPr>
        <w:t xml:space="preserve"> Türkiye’nin</w:t>
      </w:r>
      <w:r w:rsidR="00E23895" w:rsidRPr="00A813EB">
        <w:rPr>
          <w:bCs/>
          <w:sz w:val="20"/>
          <w:szCs w:val="20"/>
        </w:rPr>
        <w:t xml:space="preserve"> 25 yaş üstü popülasyonun </w:t>
      </w:r>
      <w:r w:rsidR="00D13D68" w:rsidRPr="00A813EB">
        <w:rPr>
          <w:bCs/>
          <w:sz w:val="20"/>
          <w:szCs w:val="20"/>
        </w:rPr>
        <w:t>temel</w:t>
      </w:r>
      <w:r w:rsidR="00E23895" w:rsidRPr="00A813EB">
        <w:rPr>
          <w:bCs/>
          <w:sz w:val="20"/>
          <w:szCs w:val="20"/>
        </w:rPr>
        <w:t xml:space="preserve"> eğitimi </w:t>
      </w:r>
      <w:r w:rsidR="00D13D68" w:rsidRPr="00A813EB">
        <w:rPr>
          <w:bCs/>
          <w:sz w:val="20"/>
          <w:szCs w:val="20"/>
        </w:rPr>
        <w:t>bitirme</w:t>
      </w:r>
      <w:r w:rsidR="00E23895" w:rsidRPr="00A813EB">
        <w:rPr>
          <w:bCs/>
          <w:sz w:val="20"/>
          <w:szCs w:val="20"/>
        </w:rPr>
        <w:t xml:space="preserve"> oranı 122 ülke arasında 41. sırada, </w:t>
      </w:r>
      <w:r w:rsidR="00D13D68" w:rsidRPr="00A813EB">
        <w:rPr>
          <w:bCs/>
          <w:sz w:val="20"/>
          <w:szCs w:val="20"/>
        </w:rPr>
        <w:t>lise/orta okul</w:t>
      </w:r>
      <w:r w:rsidR="00E23895" w:rsidRPr="00A813EB">
        <w:rPr>
          <w:bCs/>
          <w:sz w:val="20"/>
          <w:szCs w:val="20"/>
        </w:rPr>
        <w:t xml:space="preserve"> eğitimi </w:t>
      </w:r>
      <w:r w:rsidR="00D13D68" w:rsidRPr="00A813EB">
        <w:rPr>
          <w:bCs/>
          <w:sz w:val="20"/>
          <w:szCs w:val="20"/>
        </w:rPr>
        <w:t>bitirme oranı 122 ülke arasında 71. sırada, yükseköğrenimi bitirme oranı ise 122 ülke arasında 67. sıradadır</w:t>
      </w:r>
      <w:r w:rsidRPr="00A813EB">
        <w:rPr>
          <w:bCs/>
          <w:sz w:val="20"/>
          <w:szCs w:val="20"/>
        </w:rPr>
        <w:t xml:space="preserve">. </w:t>
      </w:r>
    </w:p>
    <w:p w:rsidR="00343F2F" w:rsidRPr="0013774F" w:rsidRDefault="00343F2F" w:rsidP="00F77FEB">
      <w:pPr>
        <w:jc w:val="both"/>
        <w:rPr>
          <w:b/>
          <w:bCs/>
          <w:sz w:val="22"/>
          <w:szCs w:val="22"/>
        </w:rPr>
      </w:pPr>
    </w:p>
    <w:p w:rsidR="00C4579F" w:rsidRPr="0013774F" w:rsidRDefault="00C4579F" w:rsidP="00F77FEB">
      <w:pPr>
        <w:jc w:val="both"/>
        <w:rPr>
          <w:b/>
          <w:bCs/>
          <w:sz w:val="20"/>
          <w:szCs w:val="20"/>
        </w:rPr>
      </w:pPr>
      <w:r w:rsidRPr="0013774F">
        <w:rPr>
          <w:b/>
          <w:bCs/>
          <w:sz w:val="20"/>
          <w:szCs w:val="20"/>
        </w:rPr>
        <w:t>Şekil 7. Yaş grupları ve cinsiyete</w:t>
      </w:r>
      <w:r w:rsidR="00984932" w:rsidRPr="0013774F">
        <w:rPr>
          <w:b/>
          <w:bCs/>
          <w:sz w:val="20"/>
          <w:szCs w:val="20"/>
        </w:rPr>
        <w:t xml:space="preserve"> göre</w:t>
      </w:r>
      <w:r w:rsidRPr="0013774F">
        <w:rPr>
          <w:b/>
          <w:bCs/>
          <w:sz w:val="20"/>
          <w:szCs w:val="20"/>
        </w:rPr>
        <w:t xml:space="preserve"> eğitim durumları</w:t>
      </w:r>
      <w:r w:rsidR="00984932" w:rsidRPr="0013774F">
        <w:rPr>
          <w:b/>
          <w:bCs/>
          <w:sz w:val="20"/>
          <w:szCs w:val="20"/>
        </w:rPr>
        <w:t xml:space="preserve"> (2012</w:t>
      </w:r>
      <w:r w:rsidR="00953E58">
        <w:rPr>
          <w:b/>
          <w:bCs/>
          <w:sz w:val="20"/>
          <w:szCs w:val="20"/>
        </w:rPr>
        <w:t>, sol taraf: erkek, sağ taraf: kadın</w:t>
      </w:r>
      <w:r w:rsidR="00984932" w:rsidRPr="0013774F">
        <w:rPr>
          <w:b/>
          <w:bCs/>
          <w:sz w:val="20"/>
          <w:szCs w:val="20"/>
        </w:rPr>
        <w:t>)</w:t>
      </w:r>
    </w:p>
    <w:p w:rsidR="00C4579F" w:rsidRPr="00A813EB" w:rsidRDefault="00C4579F" w:rsidP="00F77FEB">
      <w:pPr>
        <w:jc w:val="both"/>
        <w:rPr>
          <w:bCs/>
          <w:sz w:val="22"/>
          <w:szCs w:val="22"/>
        </w:rPr>
      </w:pPr>
      <w:r w:rsidRPr="00A813EB">
        <w:rPr>
          <w:bCs/>
          <w:noProof/>
          <w:sz w:val="22"/>
          <w:szCs w:val="22"/>
          <w:lang w:eastAsia="tr-TR"/>
        </w:rPr>
        <w:drawing>
          <wp:inline distT="0" distB="0" distL="0" distR="0">
            <wp:extent cx="5756910" cy="2113915"/>
            <wp:effectExtent l="0" t="0" r="0" b="63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2113915"/>
                    </a:xfrm>
                    <a:prstGeom prst="rect">
                      <a:avLst/>
                    </a:prstGeom>
                    <a:noFill/>
                    <a:ln>
                      <a:noFill/>
                    </a:ln>
                  </pic:spPr>
                </pic:pic>
              </a:graphicData>
            </a:graphic>
          </wp:inline>
        </w:drawing>
      </w:r>
    </w:p>
    <w:p w:rsidR="00C4579F" w:rsidRPr="00A813EB" w:rsidRDefault="00C4579F" w:rsidP="00C4579F">
      <w:pPr>
        <w:jc w:val="both"/>
        <w:rPr>
          <w:bCs/>
        </w:rPr>
      </w:pPr>
      <w:r w:rsidRPr="00A813EB">
        <w:rPr>
          <w:bCs/>
        </w:rPr>
        <w:t>Kaynak: Tüik, Betam Hesaplamaları.</w:t>
      </w:r>
    </w:p>
    <w:p w:rsidR="00495B86" w:rsidRPr="00A813EB" w:rsidRDefault="00495B86" w:rsidP="00F77FEB">
      <w:pPr>
        <w:jc w:val="both"/>
        <w:rPr>
          <w:bCs/>
          <w:sz w:val="22"/>
          <w:szCs w:val="22"/>
        </w:rPr>
      </w:pPr>
    </w:p>
    <w:p w:rsidR="00873CA8" w:rsidRPr="00A813EB" w:rsidRDefault="00495B86" w:rsidP="00F77FEB">
      <w:pPr>
        <w:jc w:val="both"/>
        <w:rPr>
          <w:bCs/>
          <w:sz w:val="20"/>
          <w:szCs w:val="20"/>
        </w:rPr>
      </w:pPr>
      <w:r w:rsidRPr="00A813EB">
        <w:rPr>
          <w:bCs/>
          <w:sz w:val="20"/>
          <w:szCs w:val="20"/>
        </w:rPr>
        <w:t xml:space="preserve">Inovasyona giden yolda sadece </w:t>
      </w:r>
      <w:r w:rsidR="00930BAF" w:rsidRPr="00A813EB">
        <w:rPr>
          <w:bCs/>
          <w:sz w:val="20"/>
          <w:szCs w:val="20"/>
        </w:rPr>
        <w:t>okullaşma oranı yeterli değildir okullarda verilen eğitim</w:t>
      </w:r>
      <w:r w:rsidR="00D71392" w:rsidRPr="00A813EB">
        <w:rPr>
          <w:bCs/>
          <w:sz w:val="20"/>
          <w:szCs w:val="20"/>
        </w:rPr>
        <w:t>in</w:t>
      </w:r>
      <w:r w:rsidR="00873CA8" w:rsidRPr="00A813EB">
        <w:rPr>
          <w:bCs/>
          <w:sz w:val="20"/>
          <w:szCs w:val="20"/>
        </w:rPr>
        <w:t xml:space="preserve"> </w:t>
      </w:r>
      <w:r w:rsidR="00930BAF" w:rsidRPr="00A813EB">
        <w:rPr>
          <w:bCs/>
          <w:sz w:val="20"/>
          <w:szCs w:val="20"/>
        </w:rPr>
        <w:t>de kaliteli olması</w:t>
      </w:r>
      <w:r w:rsidR="00221FC3" w:rsidRPr="00A813EB">
        <w:rPr>
          <w:bCs/>
          <w:sz w:val="20"/>
          <w:szCs w:val="20"/>
        </w:rPr>
        <w:t xml:space="preserve"> </w:t>
      </w:r>
      <w:r w:rsidR="00930BAF" w:rsidRPr="00A813EB">
        <w:rPr>
          <w:bCs/>
          <w:sz w:val="20"/>
          <w:szCs w:val="20"/>
        </w:rPr>
        <w:t>gerekmektedir. Uluslararası karşılaştırmalarda en çok kullana</w:t>
      </w:r>
      <w:r w:rsidR="000812D7" w:rsidRPr="00A813EB">
        <w:rPr>
          <w:bCs/>
          <w:sz w:val="20"/>
          <w:szCs w:val="20"/>
        </w:rPr>
        <w:t xml:space="preserve">n verilerden biri PISA skorları ve </w:t>
      </w:r>
      <w:r w:rsidR="00930BAF" w:rsidRPr="00A813EB">
        <w:rPr>
          <w:bCs/>
          <w:sz w:val="20"/>
          <w:szCs w:val="20"/>
        </w:rPr>
        <w:t>sıralamasıdır. 2006-2012 arası</w:t>
      </w:r>
      <w:r w:rsidR="000812D7" w:rsidRPr="00A813EB">
        <w:rPr>
          <w:bCs/>
          <w:sz w:val="20"/>
          <w:szCs w:val="20"/>
        </w:rPr>
        <w:t xml:space="preserve"> Türkiye’nin</w:t>
      </w:r>
      <w:r w:rsidR="00930BAF" w:rsidRPr="00A813EB">
        <w:rPr>
          <w:bCs/>
          <w:sz w:val="20"/>
          <w:szCs w:val="20"/>
        </w:rPr>
        <w:t xml:space="preserve"> PISA sıralamasını incelemek için </w:t>
      </w:r>
      <w:r w:rsidR="000812D7" w:rsidRPr="00A813EB">
        <w:rPr>
          <w:bCs/>
          <w:sz w:val="20"/>
          <w:szCs w:val="20"/>
        </w:rPr>
        <w:t xml:space="preserve">sadece 2006’dan beri </w:t>
      </w:r>
      <w:r w:rsidR="00C7359B" w:rsidRPr="00A813EB">
        <w:rPr>
          <w:bCs/>
          <w:sz w:val="20"/>
          <w:szCs w:val="20"/>
        </w:rPr>
        <w:t>bütün PISA testlerine</w:t>
      </w:r>
      <w:r w:rsidR="00873CA8" w:rsidRPr="00A813EB">
        <w:rPr>
          <w:bCs/>
          <w:sz w:val="20"/>
          <w:szCs w:val="20"/>
        </w:rPr>
        <w:t xml:space="preserve"> katılan ülkeler arasında karşılaştırma yaptığımızda Türkiye’nın sıralamada yerinin fazla değişmediği görülüyor</w:t>
      </w:r>
      <w:r w:rsidR="00930BAF" w:rsidRPr="00A813EB">
        <w:rPr>
          <w:bCs/>
          <w:sz w:val="20"/>
          <w:szCs w:val="20"/>
        </w:rPr>
        <w:t>. Türkiye</w:t>
      </w:r>
      <w:r w:rsidR="006002CB" w:rsidRPr="00A813EB">
        <w:rPr>
          <w:bCs/>
          <w:sz w:val="20"/>
          <w:szCs w:val="20"/>
        </w:rPr>
        <w:t xml:space="preserve"> PISA’nın matematik testinde</w:t>
      </w:r>
      <w:r w:rsidR="005C0044" w:rsidRPr="00A813EB">
        <w:rPr>
          <w:bCs/>
          <w:sz w:val="20"/>
          <w:szCs w:val="20"/>
        </w:rPr>
        <w:t xml:space="preserve"> 2006’da 55</w:t>
      </w:r>
      <w:r w:rsidR="00930BAF" w:rsidRPr="00A813EB">
        <w:rPr>
          <w:bCs/>
          <w:sz w:val="20"/>
          <w:szCs w:val="20"/>
        </w:rPr>
        <w:t xml:space="preserve"> ülke arasında 4</w:t>
      </w:r>
      <w:r w:rsidR="00D71392" w:rsidRPr="00A813EB">
        <w:rPr>
          <w:bCs/>
          <w:sz w:val="20"/>
          <w:szCs w:val="20"/>
        </w:rPr>
        <w:t>2</w:t>
      </w:r>
      <w:r w:rsidR="000812D7" w:rsidRPr="00A813EB">
        <w:rPr>
          <w:bCs/>
          <w:sz w:val="20"/>
          <w:szCs w:val="20"/>
        </w:rPr>
        <w:t>.</w:t>
      </w:r>
      <w:r w:rsidR="00930BAF" w:rsidRPr="00A813EB">
        <w:rPr>
          <w:bCs/>
          <w:sz w:val="20"/>
          <w:szCs w:val="20"/>
        </w:rPr>
        <w:t xml:space="preserve"> </w:t>
      </w:r>
      <w:r w:rsidR="000812D7" w:rsidRPr="00A813EB">
        <w:rPr>
          <w:bCs/>
          <w:sz w:val="20"/>
          <w:szCs w:val="20"/>
        </w:rPr>
        <w:t>sıradayken</w:t>
      </w:r>
      <w:r w:rsidR="00D71392" w:rsidRPr="00A813EB">
        <w:rPr>
          <w:bCs/>
          <w:sz w:val="20"/>
          <w:szCs w:val="20"/>
        </w:rPr>
        <w:t>, 2009 yılında Sırbistan ve</w:t>
      </w:r>
      <w:r w:rsidR="00930BAF" w:rsidRPr="00A813EB">
        <w:rPr>
          <w:bCs/>
          <w:sz w:val="20"/>
          <w:szCs w:val="20"/>
        </w:rPr>
        <w:t xml:space="preserve"> Uruguay</w:t>
      </w:r>
      <w:r w:rsidR="005C0044" w:rsidRPr="00A813EB">
        <w:rPr>
          <w:bCs/>
          <w:sz w:val="20"/>
          <w:szCs w:val="20"/>
        </w:rPr>
        <w:t>’ı geçerek 40’ıncı sıraya çık</w:t>
      </w:r>
      <w:r w:rsidR="00873CA8" w:rsidRPr="00A813EB">
        <w:rPr>
          <w:bCs/>
          <w:sz w:val="20"/>
          <w:szCs w:val="20"/>
        </w:rPr>
        <w:t>tı.</w:t>
      </w:r>
      <w:r w:rsidR="005C0044" w:rsidRPr="00A813EB">
        <w:rPr>
          <w:bCs/>
          <w:sz w:val="20"/>
          <w:szCs w:val="20"/>
        </w:rPr>
        <w:t xml:space="preserve"> 2012 yılında</w:t>
      </w:r>
      <w:r w:rsidR="000812D7" w:rsidRPr="00A813EB">
        <w:rPr>
          <w:bCs/>
          <w:sz w:val="20"/>
          <w:szCs w:val="20"/>
        </w:rPr>
        <w:t xml:space="preserve"> ise</w:t>
      </w:r>
      <w:r w:rsidR="005C0044" w:rsidRPr="00A813EB">
        <w:rPr>
          <w:bCs/>
          <w:sz w:val="20"/>
          <w:szCs w:val="20"/>
        </w:rPr>
        <w:t xml:space="preserve"> yine Sırbistan’a geçilerek 41. </w:t>
      </w:r>
      <w:r w:rsidR="000812D7" w:rsidRPr="00A813EB">
        <w:rPr>
          <w:bCs/>
          <w:sz w:val="20"/>
          <w:szCs w:val="20"/>
        </w:rPr>
        <w:t>s</w:t>
      </w:r>
      <w:r w:rsidR="005C0044" w:rsidRPr="00A813EB">
        <w:rPr>
          <w:bCs/>
          <w:sz w:val="20"/>
          <w:szCs w:val="20"/>
        </w:rPr>
        <w:t xml:space="preserve">ıraya geriledi. </w:t>
      </w:r>
      <w:r w:rsidR="006002CB" w:rsidRPr="00A813EB">
        <w:rPr>
          <w:bCs/>
          <w:sz w:val="20"/>
          <w:szCs w:val="20"/>
        </w:rPr>
        <w:t>PI</w:t>
      </w:r>
      <w:r w:rsidR="005C0044" w:rsidRPr="00A813EB">
        <w:rPr>
          <w:bCs/>
          <w:sz w:val="20"/>
          <w:szCs w:val="20"/>
        </w:rPr>
        <w:t>SA Bilim testinde ise</w:t>
      </w:r>
      <w:r w:rsidR="000812D7" w:rsidRPr="00A813EB">
        <w:rPr>
          <w:bCs/>
          <w:sz w:val="20"/>
          <w:szCs w:val="20"/>
        </w:rPr>
        <w:t xml:space="preserve"> Türkiye</w:t>
      </w:r>
      <w:r w:rsidR="005C0044" w:rsidRPr="00A813EB">
        <w:rPr>
          <w:bCs/>
          <w:sz w:val="20"/>
          <w:szCs w:val="20"/>
        </w:rPr>
        <w:t xml:space="preserve"> 2006’da 55</w:t>
      </w:r>
      <w:r w:rsidR="006002CB" w:rsidRPr="00A813EB">
        <w:rPr>
          <w:bCs/>
          <w:sz w:val="20"/>
          <w:szCs w:val="20"/>
        </w:rPr>
        <w:t xml:space="preserve"> ülke arasında 44. </w:t>
      </w:r>
      <w:r w:rsidR="000812D7" w:rsidRPr="00A813EB">
        <w:rPr>
          <w:bCs/>
          <w:sz w:val="20"/>
          <w:szCs w:val="20"/>
        </w:rPr>
        <w:t>sıradayken</w:t>
      </w:r>
      <w:r w:rsidR="006002CB" w:rsidRPr="00A813EB">
        <w:rPr>
          <w:bCs/>
          <w:sz w:val="20"/>
          <w:szCs w:val="20"/>
        </w:rPr>
        <w:t>, 2009 yılında Şili, Sırbistan, Bulgaristan ve Uruguay’ı geçerek 40’ıncı sıraya çıktı</w:t>
      </w:r>
      <w:r w:rsidR="00B45FA2" w:rsidRPr="00A813EB">
        <w:rPr>
          <w:bCs/>
          <w:sz w:val="20"/>
          <w:szCs w:val="20"/>
        </w:rPr>
        <w:t>, 2012 yılında da sırasını korudu</w:t>
      </w:r>
      <w:r w:rsidR="006002CB" w:rsidRPr="00A813EB">
        <w:rPr>
          <w:bCs/>
          <w:sz w:val="20"/>
          <w:szCs w:val="20"/>
        </w:rPr>
        <w:t>.</w:t>
      </w:r>
    </w:p>
    <w:p w:rsidR="00873CA8" w:rsidRPr="00A813EB" w:rsidRDefault="00873CA8" w:rsidP="00F77FEB">
      <w:pPr>
        <w:jc w:val="both"/>
        <w:rPr>
          <w:bCs/>
          <w:sz w:val="22"/>
          <w:szCs w:val="22"/>
        </w:rPr>
      </w:pPr>
    </w:p>
    <w:p w:rsidR="00A4050A" w:rsidRPr="0013774F" w:rsidRDefault="00343F2F" w:rsidP="00A4050A">
      <w:pPr>
        <w:jc w:val="both"/>
        <w:rPr>
          <w:b/>
          <w:bCs/>
          <w:sz w:val="20"/>
          <w:szCs w:val="20"/>
        </w:rPr>
      </w:pPr>
      <w:r w:rsidRPr="0013774F">
        <w:rPr>
          <w:b/>
          <w:bCs/>
          <w:sz w:val="20"/>
          <w:szCs w:val="20"/>
        </w:rPr>
        <w:t>Tablo 3. Yıllara Göre Türkiye’nin PISA</w:t>
      </w:r>
      <w:r w:rsidR="00A4050A" w:rsidRPr="0013774F">
        <w:rPr>
          <w:b/>
          <w:bCs/>
          <w:sz w:val="20"/>
          <w:szCs w:val="20"/>
        </w:rPr>
        <w:t xml:space="preserve"> </w:t>
      </w:r>
      <w:r w:rsidRPr="0013774F">
        <w:rPr>
          <w:b/>
          <w:bCs/>
          <w:sz w:val="20"/>
          <w:szCs w:val="20"/>
        </w:rPr>
        <w:t>matematik/f</w:t>
      </w:r>
      <w:r w:rsidR="00A4050A" w:rsidRPr="0013774F">
        <w:rPr>
          <w:b/>
          <w:bCs/>
          <w:sz w:val="20"/>
          <w:szCs w:val="20"/>
        </w:rPr>
        <w:t xml:space="preserve">en </w:t>
      </w:r>
      <w:r w:rsidRPr="0013774F">
        <w:rPr>
          <w:b/>
          <w:bCs/>
          <w:sz w:val="20"/>
          <w:szCs w:val="20"/>
        </w:rPr>
        <w:t>s</w:t>
      </w:r>
      <w:r w:rsidR="00A4050A" w:rsidRPr="0013774F">
        <w:rPr>
          <w:b/>
          <w:bCs/>
          <w:sz w:val="20"/>
          <w:szCs w:val="20"/>
        </w:rPr>
        <w:t xml:space="preserve">koru ve 55 </w:t>
      </w:r>
      <w:r w:rsidRPr="0013774F">
        <w:rPr>
          <w:b/>
          <w:bCs/>
          <w:sz w:val="20"/>
          <w:szCs w:val="20"/>
        </w:rPr>
        <w:t>ü</w:t>
      </w:r>
      <w:r w:rsidR="00A4050A" w:rsidRPr="0013774F">
        <w:rPr>
          <w:b/>
          <w:bCs/>
          <w:sz w:val="20"/>
          <w:szCs w:val="20"/>
        </w:rPr>
        <w:t xml:space="preserve">lke </w:t>
      </w:r>
      <w:r w:rsidRPr="0013774F">
        <w:rPr>
          <w:b/>
          <w:bCs/>
          <w:sz w:val="20"/>
          <w:szCs w:val="20"/>
        </w:rPr>
        <w:t>a</w:t>
      </w:r>
      <w:r w:rsidR="00A4050A" w:rsidRPr="0013774F">
        <w:rPr>
          <w:b/>
          <w:bCs/>
          <w:sz w:val="20"/>
          <w:szCs w:val="20"/>
        </w:rPr>
        <w:t xml:space="preserve">rasındaki </w:t>
      </w:r>
      <w:r w:rsidRPr="0013774F">
        <w:rPr>
          <w:b/>
          <w:bCs/>
          <w:sz w:val="20"/>
          <w:szCs w:val="20"/>
        </w:rPr>
        <w:t>s</w:t>
      </w:r>
      <w:r w:rsidR="00A4050A" w:rsidRPr="0013774F">
        <w:rPr>
          <w:b/>
          <w:bCs/>
          <w:sz w:val="20"/>
          <w:szCs w:val="20"/>
        </w:rPr>
        <w:t>ıralaması</w:t>
      </w:r>
    </w:p>
    <w:tbl>
      <w:tblPr>
        <w:tblStyle w:val="TabloKlavuzu"/>
        <w:tblW w:w="0" w:type="auto"/>
        <w:tblInd w:w="108" w:type="dxa"/>
        <w:tblLook w:val="04A0"/>
      </w:tblPr>
      <w:tblGrid>
        <w:gridCol w:w="1218"/>
        <w:gridCol w:w="1312"/>
        <w:gridCol w:w="1312"/>
        <w:gridCol w:w="1312"/>
        <w:gridCol w:w="1312"/>
        <w:gridCol w:w="1312"/>
        <w:gridCol w:w="1312"/>
      </w:tblGrid>
      <w:tr w:rsidR="00A4050A" w:rsidRPr="00A813EB" w:rsidTr="005E40C3">
        <w:tc>
          <w:tcPr>
            <w:tcW w:w="1218" w:type="dxa"/>
          </w:tcPr>
          <w:p w:rsidR="00A4050A" w:rsidRPr="00A813EB" w:rsidRDefault="00A4050A" w:rsidP="005E40C3">
            <w:pPr>
              <w:jc w:val="both"/>
              <w:rPr>
                <w:bCs/>
                <w:sz w:val="20"/>
                <w:szCs w:val="20"/>
              </w:rPr>
            </w:pPr>
          </w:p>
        </w:tc>
        <w:tc>
          <w:tcPr>
            <w:tcW w:w="3936" w:type="dxa"/>
            <w:gridSpan w:val="3"/>
          </w:tcPr>
          <w:p w:rsidR="00A4050A" w:rsidRPr="00A813EB" w:rsidRDefault="00A4050A" w:rsidP="005E40C3">
            <w:pPr>
              <w:jc w:val="center"/>
              <w:rPr>
                <w:bCs/>
                <w:sz w:val="20"/>
                <w:szCs w:val="20"/>
              </w:rPr>
            </w:pPr>
            <w:r w:rsidRPr="00A813EB">
              <w:rPr>
                <w:bCs/>
                <w:sz w:val="20"/>
                <w:szCs w:val="20"/>
              </w:rPr>
              <w:t>PISA Matematik Skoru</w:t>
            </w:r>
          </w:p>
        </w:tc>
        <w:tc>
          <w:tcPr>
            <w:tcW w:w="3936" w:type="dxa"/>
            <w:gridSpan w:val="3"/>
          </w:tcPr>
          <w:p w:rsidR="00A4050A" w:rsidRPr="00A813EB" w:rsidRDefault="00A4050A" w:rsidP="005E40C3">
            <w:pPr>
              <w:jc w:val="center"/>
              <w:rPr>
                <w:bCs/>
                <w:sz w:val="20"/>
                <w:szCs w:val="20"/>
              </w:rPr>
            </w:pPr>
            <w:r w:rsidRPr="00A813EB">
              <w:rPr>
                <w:bCs/>
                <w:sz w:val="20"/>
                <w:szCs w:val="20"/>
              </w:rPr>
              <w:t>PISA Fen Skoru</w:t>
            </w:r>
          </w:p>
        </w:tc>
      </w:tr>
      <w:tr w:rsidR="00A4050A" w:rsidRPr="00A813EB" w:rsidTr="005E40C3">
        <w:tc>
          <w:tcPr>
            <w:tcW w:w="1218" w:type="dxa"/>
          </w:tcPr>
          <w:p w:rsidR="00A4050A" w:rsidRPr="00A813EB" w:rsidRDefault="00A4050A" w:rsidP="005E40C3">
            <w:pPr>
              <w:jc w:val="both"/>
              <w:rPr>
                <w:bCs/>
                <w:sz w:val="20"/>
                <w:szCs w:val="20"/>
              </w:rPr>
            </w:pPr>
          </w:p>
        </w:tc>
        <w:tc>
          <w:tcPr>
            <w:tcW w:w="1312" w:type="dxa"/>
          </w:tcPr>
          <w:p w:rsidR="00A4050A" w:rsidRPr="00A813EB" w:rsidRDefault="00A4050A" w:rsidP="005E40C3">
            <w:pPr>
              <w:jc w:val="center"/>
              <w:rPr>
                <w:bCs/>
                <w:sz w:val="20"/>
                <w:szCs w:val="20"/>
              </w:rPr>
            </w:pPr>
            <w:r w:rsidRPr="00A813EB">
              <w:rPr>
                <w:bCs/>
                <w:sz w:val="20"/>
                <w:szCs w:val="20"/>
              </w:rPr>
              <w:t>2006</w:t>
            </w:r>
          </w:p>
        </w:tc>
        <w:tc>
          <w:tcPr>
            <w:tcW w:w="1312" w:type="dxa"/>
          </w:tcPr>
          <w:p w:rsidR="00A4050A" w:rsidRPr="00A813EB" w:rsidRDefault="00A4050A" w:rsidP="005E40C3">
            <w:pPr>
              <w:jc w:val="center"/>
              <w:rPr>
                <w:bCs/>
                <w:sz w:val="20"/>
                <w:szCs w:val="20"/>
              </w:rPr>
            </w:pPr>
            <w:r w:rsidRPr="00A813EB">
              <w:rPr>
                <w:bCs/>
                <w:sz w:val="20"/>
                <w:szCs w:val="20"/>
              </w:rPr>
              <w:t>2009</w:t>
            </w:r>
          </w:p>
        </w:tc>
        <w:tc>
          <w:tcPr>
            <w:tcW w:w="1312" w:type="dxa"/>
          </w:tcPr>
          <w:p w:rsidR="00A4050A" w:rsidRPr="00A813EB" w:rsidRDefault="00A4050A" w:rsidP="005E40C3">
            <w:pPr>
              <w:jc w:val="center"/>
              <w:rPr>
                <w:bCs/>
                <w:sz w:val="20"/>
                <w:szCs w:val="20"/>
              </w:rPr>
            </w:pPr>
            <w:r w:rsidRPr="00A813EB">
              <w:rPr>
                <w:bCs/>
                <w:sz w:val="20"/>
                <w:szCs w:val="20"/>
              </w:rPr>
              <w:t>2012</w:t>
            </w:r>
          </w:p>
        </w:tc>
        <w:tc>
          <w:tcPr>
            <w:tcW w:w="1312" w:type="dxa"/>
          </w:tcPr>
          <w:p w:rsidR="00A4050A" w:rsidRPr="00A813EB" w:rsidRDefault="00A4050A" w:rsidP="005E40C3">
            <w:pPr>
              <w:jc w:val="center"/>
              <w:rPr>
                <w:bCs/>
                <w:sz w:val="20"/>
                <w:szCs w:val="20"/>
              </w:rPr>
            </w:pPr>
            <w:r w:rsidRPr="00A813EB">
              <w:rPr>
                <w:bCs/>
                <w:sz w:val="20"/>
                <w:szCs w:val="20"/>
              </w:rPr>
              <w:t>2006</w:t>
            </w:r>
          </w:p>
        </w:tc>
        <w:tc>
          <w:tcPr>
            <w:tcW w:w="1312" w:type="dxa"/>
          </w:tcPr>
          <w:p w:rsidR="00A4050A" w:rsidRPr="00A813EB" w:rsidRDefault="00A4050A" w:rsidP="005E40C3">
            <w:pPr>
              <w:jc w:val="center"/>
              <w:rPr>
                <w:bCs/>
                <w:sz w:val="20"/>
                <w:szCs w:val="20"/>
              </w:rPr>
            </w:pPr>
            <w:r w:rsidRPr="00A813EB">
              <w:rPr>
                <w:bCs/>
                <w:sz w:val="20"/>
                <w:szCs w:val="20"/>
              </w:rPr>
              <w:t>2009</w:t>
            </w:r>
          </w:p>
        </w:tc>
        <w:tc>
          <w:tcPr>
            <w:tcW w:w="1312" w:type="dxa"/>
          </w:tcPr>
          <w:p w:rsidR="00A4050A" w:rsidRPr="00A813EB" w:rsidRDefault="00A4050A" w:rsidP="005E40C3">
            <w:pPr>
              <w:jc w:val="center"/>
              <w:rPr>
                <w:bCs/>
                <w:sz w:val="20"/>
                <w:szCs w:val="20"/>
              </w:rPr>
            </w:pPr>
            <w:r w:rsidRPr="00A813EB">
              <w:rPr>
                <w:bCs/>
                <w:sz w:val="20"/>
                <w:szCs w:val="20"/>
              </w:rPr>
              <w:t>2012</w:t>
            </w:r>
          </w:p>
        </w:tc>
      </w:tr>
      <w:tr w:rsidR="00A4050A" w:rsidRPr="00A813EB" w:rsidTr="005E40C3">
        <w:tc>
          <w:tcPr>
            <w:tcW w:w="1218" w:type="dxa"/>
          </w:tcPr>
          <w:p w:rsidR="00A4050A" w:rsidRPr="00A813EB" w:rsidRDefault="00A4050A" w:rsidP="005E40C3">
            <w:pPr>
              <w:jc w:val="both"/>
              <w:rPr>
                <w:bCs/>
                <w:sz w:val="20"/>
                <w:szCs w:val="20"/>
              </w:rPr>
            </w:pPr>
            <w:r w:rsidRPr="00A813EB">
              <w:rPr>
                <w:bCs/>
                <w:sz w:val="20"/>
                <w:szCs w:val="20"/>
              </w:rPr>
              <w:t>Skor</w:t>
            </w:r>
          </w:p>
        </w:tc>
        <w:tc>
          <w:tcPr>
            <w:tcW w:w="1312" w:type="dxa"/>
          </w:tcPr>
          <w:p w:rsidR="00A4050A" w:rsidRPr="00A813EB" w:rsidRDefault="00A4050A" w:rsidP="005E40C3">
            <w:pPr>
              <w:jc w:val="center"/>
              <w:rPr>
                <w:bCs/>
                <w:sz w:val="20"/>
                <w:szCs w:val="20"/>
              </w:rPr>
            </w:pPr>
            <w:r w:rsidRPr="00A813EB">
              <w:rPr>
                <w:bCs/>
                <w:sz w:val="20"/>
                <w:szCs w:val="20"/>
              </w:rPr>
              <w:t>424</w:t>
            </w:r>
          </w:p>
        </w:tc>
        <w:tc>
          <w:tcPr>
            <w:tcW w:w="1312" w:type="dxa"/>
          </w:tcPr>
          <w:p w:rsidR="00A4050A" w:rsidRPr="00A813EB" w:rsidRDefault="00A4050A" w:rsidP="005E40C3">
            <w:pPr>
              <w:jc w:val="center"/>
              <w:rPr>
                <w:bCs/>
                <w:sz w:val="20"/>
                <w:szCs w:val="20"/>
              </w:rPr>
            </w:pPr>
            <w:r w:rsidRPr="00A813EB">
              <w:rPr>
                <w:bCs/>
                <w:sz w:val="20"/>
                <w:szCs w:val="20"/>
              </w:rPr>
              <w:t>445</w:t>
            </w:r>
          </w:p>
        </w:tc>
        <w:tc>
          <w:tcPr>
            <w:tcW w:w="1312" w:type="dxa"/>
          </w:tcPr>
          <w:p w:rsidR="00A4050A" w:rsidRPr="00A813EB" w:rsidRDefault="00A4050A" w:rsidP="005E40C3">
            <w:pPr>
              <w:jc w:val="center"/>
              <w:rPr>
                <w:bCs/>
                <w:sz w:val="20"/>
                <w:szCs w:val="20"/>
              </w:rPr>
            </w:pPr>
            <w:r w:rsidRPr="00A813EB">
              <w:rPr>
                <w:bCs/>
                <w:sz w:val="20"/>
                <w:szCs w:val="20"/>
              </w:rPr>
              <w:t>448</w:t>
            </w:r>
          </w:p>
        </w:tc>
        <w:tc>
          <w:tcPr>
            <w:tcW w:w="1312" w:type="dxa"/>
          </w:tcPr>
          <w:p w:rsidR="00A4050A" w:rsidRPr="00A813EB" w:rsidRDefault="00D13D68" w:rsidP="005E40C3">
            <w:pPr>
              <w:jc w:val="center"/>
              <w:rPr>
                <w:bCs/>
                <w:sz w:val="20"/>
                <w:szCs w:val="20"/>
              </w:rPr>
            </w:pPr>
            <w:r w:rsidRPr="00A813EB">
              <w:rPr>
                <w:bCs/>
                <w:sz w:val="20"/>
                <w:szCs w:val="20"/>
              </w:rPr>
              <w:t>424</w:t>
            </w:r>
          </w:p>
        </w:tc>
        <w:tc>
          <w:tcPr>
            <w:tcW w:w="1312" w:type="dxa"/>
          </w:tcPr>
          <w:p w:rsidR="00A4050A" w:rsidRPr="00A813EB" w:rsidRDefault="00D13D68" w:rsidP="005E40C3">
            <w:pPr>
              <w:jc w:val="center"/>
              <w:rPr>
                <w:bCs/>
                <w:sz w:val="20"/>
                <w:szCs w:val="20"/>
              </w:rPr>
            </w:pPr>
            <w:r w:rsidRPr="00A813EB">
              <w:rPr>
                <w:bCs/>
                <w:sz w:val="20"/>
                <w:szCs w:val="20"/>
              </w:rPr>
              <w:t>454</w:t>
            </w:r>
          </w:p>
        </w:tc>
        <w:tc>
          <w:tcPr>
            <w:tcW w:w="1312" w:type="dxa"/>
          </w:tcPr>
          <w:p w:rsidR="00A4050A" w:rsidRPr="00A813EB" w:rsidRDefault="00D13D68" w:rsidP="005E40C3">
            <w:pPr>
              <w:jc w:val="center"/>
              <w:rPr>
                <w:bCs/>
                <w:sz w:val="20"/>
                <w:szCs w:val="20"/>
              </w:rPr>
            </w:pPr>
            <w:r w:rsidRPr="00A813EB">
              <w:rPr>
                <w:bCs/>
                <w:sz w:val="20"/>
                <w:szCs w:val="20"/>
              </w:rPr>
              <w:t>463</w:t>
            </w:r>
          </w:p>
        </w:tc>
      </w:tr>
      <w:tr w:rsidR="00A4050A" w:rsidRPr="00A813EB" w:rsidTr="005E40C3">
        <w:tc>
          <w:tcPr>
            <w:tcW w:w="1218" w:type="dxa"/>
          </w:tcPr>
          <w:p w:rsidR="00A4050A" w:rsidRPr="00A813EB" w:rsidRDefault="00A4050A" w:rsidP="005E40C3">
            <w:pPr>
              <w:jc w:val="both"/>
              <w:rPr>
                <w:bCs/>
                <w:sz w:val="20"/>
                <w:szCs w:val="20"/>
              </w:rPr>
            </w:pPr>
            <w:r w:rsidRPr="00A813EB">
              <w:rPr>
                <w:bCs/>
                <w:sz w:val="20"/>
                <w:szCs w:val="20"/>
              </w:rPr>
              <w:t>Sıralama</w:t>
            </w:r>
          </w:p>
        </w:tc>
        <w:tc>
          <w:tcPr>
            <w:tcW w:w="1312" w:type="dxa"/>
          </w:tcPr>
          <w:p w:rsidR="00A4050A" w:rsidRPr="00A813EB" w:rsidRDefault="00A4050A" w:rsidP="005E40C3">
            <w:pPr>
              <w:jc w:val="center"/>
              <w:rPr>
                <w:bCs/>
                <w:sz w:val="20"/>
                <w:szCs w:val="20"/>
              </w:rPr>
            </w:pPr>
            <w:r w:rsidRPr="00A813EB">
              <w:rPr>
                <w:bCs/>
                <w:sz w:val="20"/>
                <w:szCs w:val="20"/>
              </w:rPr>
              <w:t>42</w:t>
            </w:r>
          </w:p>
        </w:tc>
        <w:tc>
          <w:tcPr>
            <w:tcW w:w="1312" w:type="dxa"/>
          </w:tcPr>
          <w:p w:rsidR="00A4050A" w:rsidRPr="00A813EB" w:rsidRDefault="00A4050A" w:rsidP="005E40C3">
            <w:pPr>
              <w:jc w:val="center"/>
              <w:rPr>
                <w:bCs/>
                <w:sz w:val="20"/>
                <w:szCs w:val="20"/>
              </w:rPr>
            </w:pPr>
            <w:r w:rsidRPr="00A813EB">
              <w:rPr>
                <w:bCs/>
                <w:sz w:val="20"/>
                <w:szCs w:val="20"/>
              </w:rPr>
              <w:t>40</w:t>
            </w:r>
          </w:p>
        </w:tc>
        <w:tc>
          <w:tcPr>
            <w:tcW w:w="1312" w:type="dxa"/>
          </w:tcPr>
          <w:p w:rsidR="00A4050A" w:rsidRPr="00A813EB" w:rsidRDefault="00A4050A" w:rsidP="005E40C3">
            <w:pPr>
              <w:jc w:val="center"/>
              <w:rPr>
                <w:bCs/>
                <w:sz w:val="20"/>
                <w:szCs w:val="20"/>
              </w:rPr>
            </w:pPr>
            <w:r w:rsidRPr="00A813EB">
              <w:rPr>
                <w:bCs/>
                <w:sz w:val="20"/>
                <w:szCs w:val="20"/>
              </w:rPr>
              <w:t>41</w:t>
            </w:r>
          </w:p>
        </w:tc>
        <w:tc>
          <w:tcPr>
            <w:tcW w:w="1312" w:type="dxa"/>
          </w:tcPr>
          <w:p w:rsidR="00A4050A" w:rsidRPr="00A813EB" w:rsidRDefault="00A4050A" w:rsidP="005E40C3">
            <w:pPr>
              <w:jc w:val="center"/>
              <w:rPr>
                <w:bCs/>
                <w:sz w:val="20"/>
                <w:szCs w:val="20"/>
              </w:rPr>
            </w:pPr>
            <w:r w:rsidRPr="00A813EB">
              <w:rPr>
                <w:bCs/>
                <w:sz w:val="20"/>
                <w:szCs w:val="20"/>
              </w:rPr>
              <w:t>44</w:t>
            </w:r>
          </w:p>
        </w:tc>
        <w:tc>
          <w:tcPr>
            <w:tcW w:w="1312" w:type="dxa"/>
          </w:tcPr>
          <w:p w:rsidR="00A4050A" w:rsidRPr="00A813EB" w:rsidRDefault="00A4050A" w:rsidP="005E40C3">
            <w:pPr>
              <w:jc w:val="center"/>
              <w:rPr>
                <w:bCs/>
                <w:sz w:val="20"/>
                <w:szCs w:val="20"/>
              </w:rPr>
            </w:pPr>
            <w:r w:rsidRPr="00A813EB">
              <w:rPr>
                <w:bCs/>
                <w:sz w:val="20"/>
                <w:szCs w:val="20"/>
              </w:rPr>
              <w:t>40</w:t>
            </w:r>
          </w:p>
        </w:tc>
        <w:tc>
          <w:tcPr>
            <w:tcW w:w="1312" w:type="dxa"/>
          </w:tcPr>
          <w:p w:rsidR="00A4050A" w:rsidRPr="00A813EB" w:rsidRDefault="00A4050A" w:rsidP="005E40C3">
            <w:pPr>
              <w:jc w:val="center"/>
              <w:rPr>
                <w:bCs/>
                <w:sz w:val="20"/>
                <w:szCs w:val="20"/>
              </w:rPr>
            </w:pPr>
            <w:r w:rsidRPr="00A813EB">
              <w:rPr>
                <w:bCs/>
                <w:sz w:val="20"/>
                <w:szCs w:val="20"/>
              </w:rPr>
              <w:t>40</w:t>
            </w:r>
          </w:p>
        </w:tc>
      </w:tr>
    </w:tbl>
    <w:p w:rsidR="00A4050A" w:rsidRPr="00A813EB" w:rsidRDefault="00A4050A" w:rsidP="00A4050A">
      <w:pPr>
        <w:jc w:val="both"/>
        <w:rPr>
          <w:bCs/>
        </w:rPr>
      </w:pPr>
      <w:r w:rsidRPr="00A813EB">
        <w:rPr>
          <w:bCs/>
        </w:rPr>
        <w:t>Kaynak: OECD, Betam Hesaplamaları.</w:t>
      </w:r>
    </w:p>
    <w:p w:rsidR="00A4050A" w:rsidRPr="00A813EB" w:rsidRDefault="00A4050A" w:rsidP="00F77FEB">
      <w:pPr>
        <w:jc w:val="both"/>
        <w:rPr>
          <w:bCs/>
          <w:sz w:val="22"/>
          <w:szCs w:val="22"/>
        </w:rPr>
      </w:pPr>
    </w:p>
    <w:p w:rsidR="0048570A" w:rsidRPr="00A813EB" w:rsidRDefault="009F21DB" w:rsidP="00F77FEB">
      <w:pPr>
        <w:jc w:val="both"/>
        <w:rPr>
          <w:bCs/>
          <w:sz w:val="20"/>
          <w:szCs w:val="20"/>
        </w:rPr>
      </w:pPr>
      <w:r w:rsidRPr="00A813EB">
        <w:rPr>
          <w:bCs/>
          <w:sz w:val="20"/>
          <w:szCs w:val="20"/>
        </w:rPr>
        <w:lastRenderedPageBreak/>
        <w:t>Her yıl WEF ülkelerdeki</w:t>
      </w:r>
      <w:r w:rsidR="00D13D68" w:rsidRPr="00A813EB">
        <w:rPr>
          <w:bCs/>
          <w:sz w:val="20"/>
          <w:szCs w:val="20"/>
        </w:rPr>
        <w:t xml:space="preserve"> firma</w:t>
      </w:r>
      <w:r w:rsidRPr="00A813EB">
        <w:rPr>
          <w:bCs/>
          <w:sz w:val="20"/>
          <w:szCs w:val="20"/>
        </w:rPr>
        <w:t xml:space="preserve"> yöneticilere gönderdiği sorular ve bazı makroekonomik verilere göre global rekabetçilik </w:t>
      </w:r>
      <w:r w:rsidR="00221FC3" w:rsidRPr="00A813EB">
        <w:rPr>
          <w:bCs/>
          <w:sz w:val="20"/>
          <w:szCs w:val="20"/>
        </w:rPr>
        <w:t>endeksini</w:t>
      </w:r>
      <w:r w:rsidRPr="00A813EB">
        <w:rPr>
          <w:bCs/>
          <w:sz w:val="20"/>
          <w:szCs w:val="20"/>
        </w:rPr>
        <w:t xml:space="preserve"> oluşturuyor.</w:t>
      </w:r>
      <w:r w:rsidR="00221FC3" w:rsidRPr="00A813EB">
        <w:rPr>
          <w:bCs/>
          <w:sz w:val="20"/>
          <w:szCs w:val="20"/>
        </w:rPr>
        <w:t xml:space="preserve"> Bunun alt endekslerinden biri de yöneticilerin ülkedeki matematik ve fen bilimleri eğitiminin kalitesini nasıl buldu</w:t>
      </w:r>
      <w:r w:rsidR="00A238F7" w:rsidRPr="00A813EB">
        <w:rPr>
          <w:bCs/>
          <w:sz w:val="20"/>
          <w:szCs w:val="20"/>
        </w:rPr>
        <w:t>klarını</w:t>
      </w:r>
      <w:r w:rsidR="00221FC3" w:rsidRPr="00A813EB">
        <w:rPr>
          <w:bCs/>
          <w:sz w:val="20"/>
          <w:szCs w:val="20"/>
        </w:rPr>
        <w:t xml:space="preserve"> içeren endeks.</w:t>
      </w:r>
      <w:r w:rsidRPr="00A813EB">
        <w:rPr>
          <w:bCs/>
          <w:sz w:val="20"/>
          <w:szCs w:val="20"/>
        </w:rPr>
        <w:t xml:space="preserve"> </w:t>
      </w:r>
      <w:r w:rsidR="00221FC3" w:rsidRPr="00A813EB">
        <w:rPr>
          <w:bCs/>
          <w:sz w:val="20"/>
          <w:szCs w:val="20"/>
        </w:rPr>
        <w:t xml:space="preserve">Bu endekse </w:t>
      </w:r>
      <w:r w:rsidR="004132E0" w:rsidRPr="00A813EB">
        <w:rPr>
          <w:bCs/>
          <w:sz w:val="20"/>
          <w:szCs w:val="20"/>
        </w:rPr>
        <w:t>bakıldığında</w:t>
      </w:r>
      <w:r w:rsidRPr="00A813EB">
        <w:rPr>
          <w:bCs/>
          <w:sz w:val="20"/>
          <w:szCs w:val="20"/>
        </w:rPr>
        <w:t xml:space="preserve"> </w:t>
      </w:r>
      <w:r w:rsidR="00221FC3" w:rsidRPr="00A813EB">
        <w:rPr>
          <w:bCs/>
          <w:sz w:val="20"/>
          <w:szCs w:val="20"/>
        </w:rPr>
        <w:t>Türkiye’</w:t>
      </w:r>
      <w:r w:rsidR="00873CA8" w:rsidRPr="00A813EB">
        <w:rPr>
          <w:bCs/>
          <w:sz w:val="20"/>
          <w:szCs w:val="20"/>
        </w:rPr>
        <w:t>de</w:t>
      </w:r>
      <w:r w:rsidRPr="00A813EB">
        <w:rPr>
          <w:bCs/>
          <w:sz w:val="20"/>
          <w:szCs w:val="20"/>
        </w:rPr>
        <w:t xml:space="preserve"> matematik ve fen</w:t>
      </w:r>
      <w:r w:rsidR="00221FC3" w:rsidRPr="00A813EB">
        <w:rPr>
          <w:bCs/>
          <w:sz w:val="20"/>
          <w:szCs w:val="20"/>
        </w:rPr>
        <w:t xml:space="preserve"> eğitimi</w:t>
      </w:r>
      <w:r w:rsidR="00A238F7" w:rsidRPr="00A813EB">
        <w:rPr>
          <w:bCs/>
          <w:sz w:val="20"/>
          <w:szCs w:val="20"/>
        </w:rPr>
        <w:t>nin</w:t>
      </w:r>
      <w:r w:rsidRPr="00A813EB">
        <w:rPr>
          <w:bCs/>
          <w:sz w:val="20"/>
          <w:szCs w:val="20"/>
        </w:rPr>
        <w:t xml:space="preserve"> kalitesi </w:t>
      </w:r>
      <w:r w:rsidR="006002CB" w:rsidRPr="00A813EB">
        <w:rPr>
          <w:bCs/>
          <w:sz w:val="20"/>
          <w:szCs w:val="20"/>
        </w:rPr>
        <w:t>2006 y</w:t>
      </w:r>
      <w:r w:rsidR="00221FC3" w:rsidRPr="00A813EB">
        <w:rPr>
          <w:bCs/>
          <w:sz w:val="20"/>
          <w:szCs w:val="20"/>
        </w:rPr>
        <w:t>ılında 119 ülke arasında 52.</w:t>
      </w:r>
      <w:r w:rsidR="006002CB" w:rsidRPr="00A813EB">
        <w:rPr>
          <w:bCs/>
          <w:sz w:val="20"/>
          <w:szCs w:val="20"/>
        </w:rPr>
        <w:t xml:space="preserve"> sırada</w:t>
      </w:r>
      <w:r w:rsidR="00221FC3" w:rsidRPr="00A813EB">
        <w:rPr>
          <w:bCs/>
          <w:sz w:val="20"/>
          <w:szCs w:val="20"/>
        </w:rPr>
        <w:t>yken,</w:t>
      </w:r>
      <w:r w:rsidR="006002CB" w:rsidRPr="00A813EB">
        <w:rPr>
          <w:bCs/>
          <w:sz w:val="20"/>
          <w:szCs w:val="20"/>
        </w:rPr>
        <w:t xml:space="preserve"> 2013 y</w:t>
      </w:r>
      <w:r w:rsidR="00221FC3" w:rsidRPr="00A813EB">
        <w:rPr>
          <w:bCs/>
          <w:sz w:val="20"/>
          <w:szCs w:val="20"/>
        </w:rPr>
        <w:t>ılında 83.</w:t>
      </w:r>
      <w:r w:rsidR="006002CB" w:rsidRPr="00A813EB">
        <w:rPr>
          <w:bCs/>
          <w:sz w:val="20"/>
          <w:szCs w:val="20"/>
        </w:rPr>
        <w:t xml:space="preserve"> sıraya</w:t>
      </w:r>
      <w:r w:rsidR="00B45FA2" w:rsidRPr="00A813EB">
        <w:rPr>
          <w:bCs/>
          <w:sz w:val="20"/>
          <w:szCs w:val="20"/>
        </w:rPr>
        <w:t xml:space="preserve"> kadar</w:t>
      </w:r>
      <w:r w:rsidR="006002CB" w:rsidRPr="00A813EB">
        <w:rPr>
          <w:bCs/>
          <w:sz w:val="20"/>
          <w:szCs w:val="20"/>
        </w:rPr>
        <w:t xml:space="preserve"> geriledi.</w:t>
      </w:r>
      <w:r w:rsidR="00221FC3" w:rsidRPr="00A813EB">
        <w:rPr>
          <w:rStyle w:val="DipnotBavurusu"/>
          <w:bCs/>
          <w:sz w:val="20"/>
          <w:szCs w:val="20"/>
        </w:rPr>
        <w:footnoteReference w:id="13"/>
      </w:r>
      <w:r w:rsidR="006002CB" w:rsidRPr="00A813EB">
        <w:rPr>
          <w:bCs/>
          <w:sz w:val="20"/>
          <w:szCs w:val="20"/>
        </w:rPr>
        <w:t xml:space="preserve"> </w:t>
      </w:r>
    </w:p>
    <w:p w:rsidR="009C7B0B" w:rsidRPr="00A813EB" w:rsidRDefault="009C7B0B" w:rsidP="00F77FEB">
      <w:pPr>
        <w:jc w:val="both"/>
        <w:rPr>
          <w:bCs/>
          <w:sz w:val="22"/>
          <w:szCs w:val="22"/>
        </w:rPr>
      </w:pPr>
    </w:p>
    <w:p w:rsidR="009C7B0B" w:rsidRPr="00A813EB" w:rsidRDefault="00427BD7" w:rsidP="00343F2F">
      <w:pPr>
        <w:rPr>
          <w:b/>
          <w:bCs/>
          <w:sz w:val="22"/>
          <w:szCs w:val="22"/>
        </w:rPr>
      </w:pPr>
      <w:r w:rsidRPr="00A813EB">
        <w:rPr>
          <w:b/>
          <w:bCs/>
          <w:sz w:val="22"/>
          <w:szCs w:val="22"/>
        </w:rPr>
        <w:t xml:space="preserve">Araştırma </w:t>
      </w:r>
      <w:r w:rsidR="00343F2F" w:rsidRPr="00A813EB">
        <w:rPr>
          <w:b/>
          <w:bCs/>
          <w:sz w:val="22"/>
          <w:szCs w:val="22"/>
        </w:rPr>
        <w:t>p</w:t>
      </w:r>
      <w:r w:rsidR="00465F99" w:rsidRPr="00A813EB">
        <w:rPr>
          <w:b/>
          <w:bCs/>
          <w:sz w:val="22"/>
          <w:szCs w:val="22"/>
        </w:rPr>
        <w:t>erformansı</w:t>
      </w:r>
      <w:r w:rsidRPr="00A813EB">
        <w:rPr>
          <w:b/>
          <w:bCs/>
          <w:sz w:val="22"/>
          <w:szCs w:val="22"/>
        </w:rPr>
        <w:t xml:space="preserve"> ve </w:t>
      </w:r>
      <w:r w:rsidR="00343F2F" w:rsidRPr="00A813EB">
        <w:rPr>
          <w:b/>
          <w:bCs/>
          <w:sz w:val="22"/>
          <w:szCs w:val="22"/>
        </w:rPr>
        <w:t>a</w:t>
      </w:r>
      <w:r w:rsidRPr="00A813EB">
        <w:rPr>
          <w:b/>
          <w:bCs/>
          <w:sz w:val="22"/>
          <w:szCs w:val="22"/>
        </w:rPr>
        <w:t xml:space="preserve">raştırmacı </w:t>
      </w:r>
      <w:r w:rsidR="00343F2F" w:rsidRPr="00A813EB">
        <w:rPr>
          <w:b/>
          <w:bCs/>
          <w:sz w:val="22"/>
          <w:szCs w:val="22"/>
        </w:rPr>
        <w:t>s</w:t>
      </w:r>
      <w:r w:rsidRPr="00A813EB">
        <w:rPr>
          <w:b/>
          <w:bCs/>
          <w:sz w:val="22"/>
          <w:szCs w:val="22"/>
        </w:rPr>
        <w:t>ayısı</w:t>
      </w:r>
    </w:p>
    <w:p w:rsidR="00B45FA2" w:rsidRPr="00A813EB" w:rsidRDefault="00B45FA2" w:rsidP="00F77FEB">
      <w:pPr>
        <w:jc w:val="both"/>
        <w:rPr>
          <w:bCs/>
          <w:sz w:val="22"/>
          <w:szCs w:val="22"/>
        </w:rPr>
      </w:pPr>
    </w:p>
    <w:p w:rsidR="00B45FA2" w:rsidRPr="00A813EB" w:rsidRDefault="00A4050A" w:rsidP="00F77FEB">
      <w:pPr>
        <w:jc w:val="both"/>
        <w:rPr>
          <w:bCs/>
          <w:sz w:val="20"/>
          <w:szCs w:val="20"/>
        </w:rPr>
      </w:pPr>
      <w:r w:rsidRPr="00A813EB">
        <w:rPr>
          <w:bCs/>
          <w:sz w:val="20"/>
          <w:szCs w:val="20"/>
        </w:rPr>
        <w:t>Asli görevi araştırma yapmak olan üniversitelerin performansına baktığımızda</w:t>
      </w:r>
      <w:r w:rsidR="004132E0" w:rsidRPr="00A813EB">
        <w:rPr>
          <w:bCs/>
          <w:sz w:val="20"/>
          <w:szCs w:val="20"/>
        </w:rPr>
        <w:t xml:space="preserve"> </w:t>
      </w:r>
      <w:r w:rsidR="005B57D1" w:rsidRPr="00A813EB">
        <w:rPr>
          <w:bCs/>
          <w:sz w:val="20"/>
          <w:szCs w:val="20"/>
        </w:rPr>
        <w:t>Dünya Bankası verilerine göre</w:t>
      </w:r>
      <w:r w:rsidR="00B45FA2" w:rsidRPr="00A813EB">
        <w:rPr>
          <w:bCs/>
          <w:sz w:val="20"/>
          <w:szCs w:val="20"/>
        </w:rPr>
        <w:t xml:space="preserve"> </w:t>
      </w:r>
      <w:r w:rsidR="005D6243" w:rsidRPr="00A813EB">
        <w:rPr>
          <w:bCs/>
          <w:sz w:val="20"/>
          <w:szCs w:val="20"/>
        </w:rPr>
        <w:t>2009 yılında Türkiye’de bir milyon kişi başına 116,5</w:t>
      </w:r>
      <w:r w:rsidR="00FA27DF" w:rsidRPr="00A813EB">
        <w:rPr>
          <w:bCs/>
          <w:sz w:val="20"/>
          <w:szCs w:val="20"/>
        </w:rPr>
        <w:t xml:space="preserve"> adet</w:t>
      </w:r>
      <w:r w:rsidR="005D6243" w:rsidRPr="00A813EB">
        <w:rPr>
          <w:bCs/>
          <w:sz w:val="20"/>
          <w:szCs w:val="20"/>
        </w:rPr>
        <w:t xml:space="preserve"> mühendislik veya fen bilimleri</w:t>
      </w:r>
      <w:r w:rsidR="005B57D1" w:rsidRPr="00A813EB">
        <w:rPr>
          <w:bCs/>
          <w:sz w:val="20"/>
          <w:szCs w:val="20"/>
        </w:rPr>
        <w:t xml:space="preserve"> makalesi</w:t>
      </w:r>
      <w:r w:rsidR="005D6243" w:rsidRPr="00A813EB">
        <w:rPr>
          <w:bCs/>
          <w:sz w:val="20"/>
          <w:szCs w:val="20"/>
        </w:rPr>
        <w:t xml:space="preserve"> </w:t>
      </w:r>
      <w:r w:rsidR="004132E0" w:rsidRPr="00A813EB">
        <w:rPr>
          <w:bCs/>
          <w:sz w:val="20"/>
          <w:szCs w:val="20"/>
        </w:rPr>
        <w:t>basıldı</w:t>
      </w:r>
      <w:r w:rsidR="005D6243" w:rsidRPr="00A813EB">
        <w:rPr>
          <w:bCs/>
          <w:sz w:val="20"/>
          <w:szCs w:val="20"/>
        </w:rPr>
        <w:t xml:space="preserve">. </w:t>
      </w:r>
      <w:r w:rsidR="000662AA" w:rsidRPr="00A813EB">
        <w:rPr>
          <w:bCs/>
          <w:sz w:val="20"/>
          <w:szCs w:val="20"/>
        </w:rPr>
        <w:t>B</w:t>
      </w:r>
      <w:r w:rsidR="005D6243" w:rsidRPr="00A813EB">
        <w:rPr>
          <w:bCs/>
          <w:sz w:val="20"/>
          <w:szCs w:val="20"/>
        </w:rPr>
        <w:t>u rakam Türkiye’yi 64 ülke içerisinde 33’üncü sıraya koyuyor.</w:t>
      </w:r>
      <w:r w:rsidR="005B57D1" w:rsidRPr="00A813EB">
        <w:rPr>
          <w:bCs/>
          <w:sz w:val="20"/>
          <w:szCs w:val="20"/>
        </w:rPr>
        <w:t xml:space="preserve"> Türkiye’nin</w:t>
      </w:r>
      <w:r w:rsidR="005D6243" w:rsidRPr="00A813EB">
        <w:rPr>
          <w:bCs/>
          <w:sz w:val="20"/>
          <w:szCs w:val="20"/>
        </w:rPr>
        <w:t xml:space="preserve"> </w:t>
      </w:r>
      <w:r w:rsidR="005B57D1" w:rsidRPr="00A813EB">
        <w:rPr>
          <w:bCs/>
          <w:sz w:val="20"/>
          <w:szCs w:val="20"/>
        </w:rPr>
        <w:t>p</w:t>
      </w:r>
      <w:r w:rsidR="005D6243" w:rsidRPr="00A813EB">
        <w:rPr>
          <w:bCs/>
          <w:sz w:val="20"/>
          <w:szCs w:val="20"/>
        </w:rPr>
        <w:t xml:space="preserve">erformansı gelişmiş ülkelerin gerisinde ama Çin’den </w:t>
      </w:r>
      <w:r w:rsidR="0088447A" w:rsidRPr="00A813EB">
        <w:rPr>
          <w:bCs/>
          <w:sz w:val="20"/>
          <w:szCs w:val="20"/>
        </w:rPr>
        <w:t>ve Rusya’dan yüksek</w:t>
      </w:r>
      <w:r w:rsidR="005D6243" w:rsidRPr="00A813EB">
        <w:rPr>
          <w:bCs/>
          <w:sz w:val="20"/>
          <w:szCs w:val="20"/>
        </w:rPr>
        <w:t>. Hem yapılan atıf sayısı</w:t>
      </w:r>
      <w:r w:rsidR="00465F99" w:rsidRPr="00A813EB">
        <w:rPr>
          <w:bCs/>
          <w:sz w:val="20"/>
          <w:szCs w:val="20"/>
        </w:rPr>
        <w:t>nı</w:t>
      </w:r>
      <w:r w:rsidR="005D6243" w:rsidRPr="00A813EB">
        <w:rPr>
          <w:bCs/>
          <w:sz w:val="20"/>
          <w:szCs w:val="20"/>
        </w:rPr>
        <w:t xml:space="preserve"> hem de basılan makale sayısını dikkate alan H-Index’</w:t>
      </w:r>
      <w:r w:rsidR="00E1086B" w:rsidRPr="00A813EB">
        <w:rPr>
          <w:bCs/>
          <w:sz w:val="20"/>
          <w:szCs w:val="20"/>
        </w:rPr>
        <w:t>in</w:t>
      </w:r>
      <w:r w:rsidR="005D6243" w:rsidRPr="00A813EB">
        <w:rPr>
          <w:bCs/>
          <w:sz w:val="20"/>
          <w:szCs w:val="20"/>
        </w:rPr>
        <w:t>e göre</w:t>
      </w:r>
      <w:r w:rsidR="000662AA" w:rsidRPr="00A813EB">
        <w:rPr>
          <w:bCs/>
          <w:sz w:val="20"/>
          <w:szCs w:val="20"/>
        </w:rPr>
        <w:t>,</w:t>
      </w:r>
      <w:r w:rsidR="005D6243" w:rsidRPr="00A813EB">
        <w:rPr>
          <w:bCs/>
          <w:sz w:val="20"/>
          <w:szCs w:val="20"/>
        </w:rPr>
        <w:t xml:space="preserve"> </w:t>
      </w:r>
      <w:r w:rsidR="002B122C" w:rsidRPr="00A813EB">
        <w:rPr>
          <w:bCs/>
          <w:sz w:val="20"/>
          <w:szCs w:val="20"/>
        </w:rPr>
        <w:t xml:space="preserve">Türkiye bütün ülkeler içerisinde mühendislik alanında 25., matematik alanında 29., </w:t>
      </w:r>
      <w:r w:rsidR="005B57D1" w:rsidRPr="00A813EB">
        <w:rPr>
          <w:bCs/>
          <w:sz w:val="20"/>
          <w:szCs w:val="20"/>
        </w:rPr>
        <w:t>fizik ve a</w:t>
      </w:r>
      <w:r w:rsidR="002B122C" w:rsidRPr="00A813EB">
        <w:rPr>
          <w:bCs/>
          <w:sz w:val="20"/>
          <w:szCs w:val="20"/>
        </w:rPr>
        <w:t xml:space="preserve">stronomi </w:t>
      </w:r>
      <w:r w:rsidR="005B57D1" w:rsidRPr="00A813EB">
        <w:rPr>
          <w:bCs/>
          <w:sz w:val="20"/>
          <w:szCs w:val="20"/>
        </w:rPr>
        <w:t xml:space="preserve">alanında ise </w:t>
      </w:r>
      <w:r w:rsidR="002B122C" w:rsidRPr="00A813EB">
        <w:rPr>
          <w:bCs/>
          <w:sz w:val="20"/>
          <w:szCs w:val="20"/>
        </w:rPr>
        <w:t xml:space="preserve">40. </w:t>
      </w:r>
      <w:r w:rsidR="005B57D1" w:rsidRPr="00A813EB">
        <w:rPr>
          <w:bCs/>
          <w:sz w:val="20"/>
          <w:szCs w:val="20"/>
        </w:rPr>
        <w:t>s</w:t>
      </w:r>
      <w:r w:rsidR="002B122C" w:rsidRPr="00A813EB">
        <w:rPr>
          <w:bCs/>
          <w:sz w:val="20"/>
          <w:szCs w:val="20"/>
        </w:rPr>
        <w:t>ırada bulunuyor.</w:t>
      </w:r>
      <w:r w:rsidR="00D71392" w:rsidRPr="00A813EB">
        <w:rPr>
          <w:rStyle w:val="DipnotBavurusu"/>
          <w:bCs/>
          <w:sz w:val="20"/>
          <w:szCs w:val="20"/>
        </w:rPr>
        <w:footnoteReference w:id="14"/>
      </w:r>
      <w:r w:rsidR="002B122C" w:rsidRPr="00A813EB">
        <w:rPr>
          <w:bCs/>
          <w:sz w:val="20"/>
          <w:szCs w:val="20"/>
        </w:rPr>
        <w:t xml:space="preserve"> </w:t>
      </w:r>
    </w:p>
    <w:p w:rsidR="00D13D68" w:rsidRPr="00A813EB" w:rsidRDefault="00D13D68" w:rsidP="00F77FEB">
      <w:pPr>
        <w:jc w:val="both"/>
        <w:rPr>
          <w:bCs/>
          <w:sz w:val="20"/>
          <w:szCs w:val="20"/>
        </w:rPr>
      </w:pPr>
    </w:p>
    <w:p w:rsidR="00D13D68" w:rsidRPr="00A813EB" w:rsidRDefault="007F5D7A" w:rsidP="00F77FEB">
      <w:pPr>
        <w:jc w:val="both"/>
        <w:rPr>
          <w:bCs/>
          <w:sz w:val="20"/>
          <w:szCs w:val="20"/>
        </w:rPr>
      </w:pPr>
      <w:r w:rsidRPr="00A813EB">
        <w:rPr>
          <w:bCs/>
          <w:sz w:val="20"/>
          <w:szCs w:val="20"/>
        </w:rPr>
        <w:t>Türkiye</w:t>
      </w:r>
      <w:r w:rsidR="00E80E6E" w:rsidRPr="00A813EB">
        <w:rPr>
          <w:bCs/>
          <w:sz w:val="20"/>
          <w:szCs w:val="20"/>
        </w:rPr>
        <w:t>’nin</w:t>
      </w:r>
      <w:r w:rsidRPr="00A813EB">
        <w:rPr>
          <w:bCs/>
          <w:sz w:val="20"/>
          <w:szCs w:val="20"/>
        </w:rPr>
        <w:t xml:space="preserve"> AR-GE harcamalarına aktardığı kaynak arttıkça, AR-GE’de çalışan araştırmacı sayısı da tahmin edildiği gibi yükseliyor. </w:t>
      </w:r>
      <w:r w:rsidR="006A4CC0" w:rsidRPr="00A813EB">
        <w:rPr>
          <w:bCs/>
          <w:sz w:val="20"/>
          <w:szCs w:val="20"/>
        </w:rPr>
        <w:t>2003 yılında 38</w:t>
      </w:r>
      <w:r w:rsidR="00D71392" w:rsidRPr="00A813EB">
        <w:rPr>
          <w:bCs/>
          <w:sz w:val="20"/>
          <w:szCs w:val="20"/>
        </w:rPr>
        <w:t>.</w:t>
      </w:r>
      <w:r w:rsidR="006A4CC0" w:rsidRPr="00A813EB">
        <w:rPr>
          <w:bCs/>
          <w:sz w:val="20"/>
          <w:szCs w:val="20"/>
        </w:rPr>
        <w:t xml:space="preserve">308 </w:t>
      </w:r>
      <w:r w:rsidRPr="00A813EB">
        <w:rPr>
          <w:bCs/>
          <w:sz w:val="20"/>
          <w:szCs w:val="20"/>
        </w:rPr>
        <w:t>tam zamanlı eşdeğer (</w:t>
      </w:r>
      <w:r w:rsidR="00D71392" w:rsidRPr="00A813EB">
        <w:rPr>
          <w:bCs/>
          <w:sz w:val="20"/>
          <w:szCs w:val="20"/>
        </w:rPr>
        <w:t>TZE</w:t>
      </w:r>
      <w:r w:rsidRPr="00A813EB">
        <w:rPr>
          <w:bCs/>
          <w:sz w:val="20"/>
          <w:szCs w:val="20"/>
        </w:rPr>
        <w:t>)</w:t>
      </w:r>
      <w:r w:rsidR="00D71392" w:rsidRPr="00A813EB">
        <w:rPr>
          <w:bCs/>
          <w:sz w:val="20"/>
          <w:szCs w:val="20"/>
        </w:rPr>
        <w:t xml:space="preserve"> </w:t>
      </w:r>
      <w:r w:rsidR="006A4CC0" w:rsidRPr="00A813EB">
        <w:rPr>
          <w:bCs/>
          <w:sz w:val="20"/>
          <w:szCs w:val="20"/>
        </w:rPr>
        <w:t>araştırmacı varken 2012’de</w:t>
      </w:r>
      <w:r w:rsidR="00BE060E" w:rsidRPr="00A813EB">
        <w:rPr>
          <w:bCs/>
          <w:sz w:val="20"/>
          <w:szCs w:val="20"/>
        </w:rPr>
        <w:t xml:space="preserve"> bu rak</w:t>
      </w:r>
      <w:r w:rsidR="00D71392" w:rsidRPr="00A813EB">
        <w:rPr>
          <w:bCs/>
          <w:sz w:val="20"/>
          <w:szCs w:val="20"/>
        </w:rPr>
        <w:t>am</w:t>
      </w:r>
      <w:r w:rsidR="006A4CC0" w:rsidRPr="00A813EB">
        <w:rPr>
          <w:bCs/>
          <w:sz w:val="20"/>
          <w:szCs w:val="20"/>
        </w:rPr>
        <w:t xml:space="preserve"> 105</w:t>
      </w:r>
      <w:r w:rsidR="00D71392" w:rsidRPr="00A813EB">
        <w:rPr>
          <w:bCs/>
          <w:sz w:val="20"/>
          <w:szCs w:val="20"/>
        </w:rPr>
        <w:t>.</w:t>
      </w:r>
      <w:r w:rsidR="006A4CC0" w:rsidRPr="00A813EB">
        <w:rPr>
          <w:bCs/>
          <w:sz w:val="20"/>
          <w:szCs w:val="20"/>
        </w:rPr>
        <w:t xml:space="preserve">122’e çıktı. Milyon kişi başına düşen </w:t>
      </w:r>
      <w:r w:rsidR="00D71392" w:rsidRPr="00A813EB">
        <w:rPr>
          <w:bCs/>
          <w:sz w:val="20"/>
          <w:szCs w:val="20"/>
        </w:rPr>
        <w:t xml:space="preserve">TZE </w:t>
      </w:r>
      <w:r w:rsidR="006A4CC0" w:rsidRPr="00A813EB">
        <w:rPr>
          <w:bCs/>
          <w:sz w:val="20"/>
          <w:szCs w:val="20"/>
        </w:rPr>
        <w:t>araştırmacı sayısı ise 2012 yılında 1420 oldu. AB-27 ülkelerinde ise milyon kişi başına düşen</w:t>
      </w:r>
      <w:r w:rsidR="00D71392" w:rsidRPr="00A813EB">
        <w:rPr>
          <w:bCs/>
          <w:sz w:val="20"/>
          <w:szCs w:val="20"/>
        </w:rPr>
        <w:t xml:space="preserve"> TZE</w:t>
      </w:r>
      <w:r w:rsidR="006A4CC0" w:rsidRPr="00A813EB">
        <w:rPr>
          <w:bCs/>
          <w:sz w:val="20"/>
          <w:szCs w:val="20"/>
        </w:rPr>
        <w:t xml:space="preserve"> araştırmacı sayısı 2012 yılı itibariyle 3227’dir. </w:t>
      </w:r>
    </w:p>
    <w:p w:rsidR="00D13D68" w:rsidRPr="00A813EB" w:rsidRDefault="00D13D68" w:rsidP="00F77FEB">
      <w:pPr>
        <w:jc w:val="both"/>
        <w:rPr>
          <w:bCs/>
          <w:sz w:val="20"/>
          <w:szCs w:val="20"/>
        </w:rPr>
      </w:pPr>
    </w:p>
    <w:p w:rsidR="00D879C2" w:rsidRPr="00A813EB" w:rsidRDefault="00BE060E" w:rsidP="00F77FEB">
      <w:pPr>
        <w:jc w:val="both"/>
        <w:rPr>
          <w:bCs/>
          <w:sz w:val="20"/>
          <w:szCs w:val="20"/>
        </w:rPr>
      </w:pPr>
      <w:r w:rsidRPr="00A813EB">
        <w:rPr>
          <w:bCs/>
          <w:sz w:val="20"/>
          <w:szCs w:val="20"/>
        </w:rPr>
        <w:t xml:space="preserve">AB-27’deki araştırmacıların yüzde 46’sı özel sektörde, yüzde 12,2’si kamuda, yüzde 40,1’i ise yüksek öğretim </w:t>
      </w:r>
      <w:r w:rsidR="00D13D68" w:rsidRPr="00A813EB">
        <w:rPr>
          <w:bCs/>
          <w:sz w:val="20"/>
          <w:szCs w:val="20"/>
        </w:rPr>
        <w:t xml:space="preserve">kurumlarında istihdam ediliyor. </w:t>
      </w:r>
      <w:r w:rsidR="007F5D7A" w:rsidRPr="00A813EB">
        <w:rPr>
          <w:bCs/>
          <w:sz w:val="20"/>
          <w:szCs w:val="20"/>
        </w:rPr>
        <w:t>Türkiye’</w:t>
      </w:r>
      <w:r w:rsidR="006615E6" w:rsidRPr="00A813EB">
        <w:rPr>
          <w:bCs/>
          <w:sz w:val="20"/>
          <w:szCs w:val="20"/>
        </w:rPr>
        <w:t>deki</w:t>
      </w:r>
      <w:r w:rsidR="007F5D7A" w:rsidRPr="00A813EB">
        <w:rPr>
          <w:bCs/>
          <w:sz w:val="20"/>
          <w:szCs w:val="20"/>
        </w:rPr>
        <w:t xml:space="preserve"> araştırm</w:t>
      </w:r>
      <w:r w:rsidR="0013774F">
        <w:rPr>
          <w:bCs/>
          <w:sz w:val="20"/>
          <w:szCs w:val="20"/>
        </w:rPr>
        <w:t>acıların sektörel komposizyonu</w:t>
      </w:r>
      <w:r w:rsidR="007F5D7A" w:rsidRPr="00A813EB">
        <w:rPr>
          <w:bCs/>
          <w:sz w:val="20"/>
          <w:szCs w:val="20"/>
        </w:rPr>
        <w:t xml:space="preserve"> da AB ülkelerine çok benziyor.</w:t>
      </w:r>
      <w:r w:rsidR="00D71392" w:rsidRPr="00A813EB">
        <w:rPr>
          <w:bCs/>
          <w:sz w:val="20"/>
          <w:szCs w:val="20"/>
        </w:rPr>
        <w:t xml:space="preserve"> 2012</w:t>
      </w:r>
      <w:r w:rsidR="006A4CC0" w:rsidRPr="00A813EB">
        <w:rPr>
          <w:bCs/>
          <w:sz w:val="20"/>
          <w:szCs w:val="20"/>
        </w:rPr>
        <w:t xml:space="preserve"> yılı itibariyle</w:t>
      </w:r>
      <w:r w:rsidRPr="00A813EB">
        <w:rPr>
          <w:bCs/>
          <w:sz w:val="20"/>
          <w:szCs w:val="20"/>
        </w:rPr>
        <w:t xml:space="preserve"> </w:t>
      </w:r>
      <w:r w:rsidR="006A4CC0" w:rsidRPr="00A813EB">
        <w:rPr>
          <w:bCs/>
          <w:sz w:val="20"/>
          <w:szCs w:val="20"/>
        </w:rPr>
        <w:t xml:space="preserve">araştırmacıların yüzde 49.7’si özel sektörde, yüzde 38.8’i yüksek öğretim kurumlarında, yüzde 11.5’i ise kamuda istihdam </w:t>
      </w:r>
      <w:r w:rsidRPr="00A813EB">
        <w:rPr>
          <w:bCs/>
          <w:sz w:val="20"/>
          <w:szCs w:val="20"/>
        </w:rPr>
        <w:t>ediliyor</w:t>
      </w:r>
      <w:r w:rsidR="00E75884" w:rsidRPr="00A813EB">
        <w:rPr>
          <w:bCs/>
          <w:sz w:val="20"/>
          <w:szCs w:val="20"/>
        </w:rPr>
        <w:t xml:space="preserve"> (Şekil 8)</w:t>
      </w:r>
      <w:r w:rsidRPr="00A813EB">
        <w:rPr>
          <w:bCs/>
          <w:sz w:val="20"/>
          <w:szCs w:val="20"/>
        </w:rPr>
        <w:t xml:space="preserve">. </w:t>
      </w:r>
    </w:p>
    <w:p w:rsidR="007F5D7A" w:rsidRPr="00A813EB" w:rsidRDefault="007F5D7A" w:rsidP="007F5D7A">
      <w:pPr>
        <w:jc w:val="both"/>
        <w:rPr>
          <w:bCs/>
        </w:rPr>
      </w:pPr>
    </w:p>
    <w:p w:rsidR="007F5D7A" w:rsidRPr="00124F98" w:rsidRDefault="007F5D7A" w:rsidP="007F5D7A">
      <w:pPr>
        <w:jc w:val="both"/>
        <w:rPr>
          <w:b/>
          <w:bCs/>
          <w:sz w:val="20"/>
          <w:szCs w:val="20"/>
        </w:rPr>
      </w:pPr>
      <w:r w:rsidRPr="00124F98">
        <w:rPr>
          <w:b/>
          <w:bCs/>
          <w:sz w:val="20"/>
          <w:szCs w:val="20"/>
        </w:rPr>
        <w:t>Şekil 8.</w:t>
      </w:r>
      <w:r w:rsidR="00E75884" w:rsidRPr="00124F98">
        <w:rPr>
          <w:b/>
          <w:bCs/>
          <w:sz w:val="20"/>
          <w:szCs w:val="20"/>
        </w:rPr>
        <w:t xml:space="preserve"> Türkiye’de</w:t>
      </w:r>
      <w:r w:rsidRPr="00124F98">
        <w:rPr>
          <w:b/>
          <w:bCs/>
          <w:sz w:val="20"/>
          <w:szCs w:val="20"/>
        </w:rPr>
        <w:t xml:space="preserve"> TZE araştırmacı</w:t>
      </w:r>
      <w:r w:rsidR="006615E6" w:rsidRPr="00124F98">
        <w:rPr>
          <w:b/>
          <w:bCs/>
          <w:sz w:val="20"/>
          <w:szCs w:val="20"/>
        </w:rPr>
        <w:t>ların</w:t>
      </w:r>
      <w:r w:rsidRPr="00124F98">
        <w:rPr>
          <w:b/>
          <w:bCs/>
          <w:sz w:val="20"/>
          <w:szCs w:val="20"/>
        </w:rPr>
        <w:t xml:space="preserve"> </w:t>
      </w:r>
      <w:r w:rsidR="006615E6" w:rsidRPr="00124F98">
        <w:rPr>
          <w:b/>
          <w:bCs/>
          <w:sz w:val="20"/>
          <w:szCs w:val="20"/>
        </w:rPr>
        <w:t>sektörlere göre dağılımı (2003-2012)</w:t>
      </w:r>
    </w:p>
    <w:p w:rsidR="00496F78" w:rsidRPr="00A813EB" w:rsidRDefault="00496F78" w:rsidP="007F5D7A">
      <w:pPr>
        <w:jc w:val="both"/>
        <w:rPr>
          <w:bCs/>
          <w:sz w:val="22"/>
          <w:szCs w:val="22"/>
        </w:rPr>
      </w:pPr>
      <w:r w:rsidRPr="00A813EB">
        <w:rPr>
          <w:noProof/>
          <w:lang w:eastAsia="tr-TR"/>
        </w:rPr>
        <w:drawing>
          <wp:inline distT="0" distB="0" distL="0" distR="0">
            <wp:extent cx="5760720" cy="25530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553097"/>
                    </a:xfrm>
                    <a:prstGeom prst="rect">
                      <a:avLst/>
                    </a:prstGeom>
                    <a:noFill/>
                    <a:ln>
                      <a:noFill/>
                    </a:ln>
                  </pic:spPr>
                </pic:pic>
              </a:graphicData>
            </a:graphic>
          </wp:inline>
        </w:drawing>
      </w:r>
    </w:p>
    <w:p w:rsidR="00FB1761" w:rsidRPr="00A813EB" w:rsidRDefault="006615E6" w:rsidP="00F77FEB">
      <w:pPr>
        <w:jc w:val="both"/>
        <w:rPr>
          <w:bCs/>
        </w:rPr>
      </w:pPr>
      <w:r w:rsidRPr="00A813EB">
        <w:rPr>
          <w:bCs/>
        </w:rPr>
        <w:t>Kaynak: Tüik</w:t>
      </w:r>
    </w:p>
    <w:p w:rsidR="00BE060E" w:rsidRPr="00A813EB" w:rsidRDefault="00BE060E" w:rsidP="00F77FEB">
      <w:pPr>
        <w:jc w:val="both"/>
        <w:rPr>
          <w:bCs/>
          <w:sz w:val="22"/>
          <w:szCs w:val="22"/>
        </w:rPr>
      </w:pPr>
    </w:p>
    <w:p w:rsidR="00D879C2" w:rsidRPr="00A813EB" w:rsidRDefault="00343F2F" w:rsidP="00343F2F">
      <w:pPr>
        <w:rPr>
          <w:b/>
          <w:bCs/>
          <w:sz w:val="22"/>
          <w:szCs w:val="22"/>
        </w:rPr>
      </w:pPr>
      <w:r w:rsidRPr="00A813EB">
        <w:rPr>
          <w:b/>
          <w:bCs/>
          <w:sz w:val="22"/>
          <w:szCs w:val="22"/>
        </w:rPr>
        <w:t>Türkiye’de i</w:t>
      </w:r>
      <w:r w:rsidR="00AB44C0" w:rsidRPr="00A813EB">
        <w:rPr>
          <w:b/>
          <w:bCs/>
          <w:sz w:val="22"/>
          <w:szCs w:val="22"/>
        </w:rPr>
        <w:t xml:space="preserve">novasyon: </w:t>
      </w:r>
      <w:r w:rsidRPr="00A813EB">
        <w:rPr>
          <w:b/>
          <w:bCs/>
          <w:sz w:val="22"/>
          <w:szCs w:val="22"/>
        </w:rPr>
        <w:t>n</w:t>
      </w:r>
      <w:r w:rsidR="00AB44C0" w:rsidRPr="00A813EB">
        <w:rPr>
          <w:b/>
          <w:bCs/>
          <w:sz w:val="22"/>
          <w:szCs w:val="22"/>
        </w:rPr>
        <w:t>i</w:t>
      </w:r>
      <w:r w:rsidR="00427C01" w:rsidRPr="00A813EB">
        <w:rPr>
          <w:b/>
          <w:bCs/>
          <w:sz w:val="22"/>
          <w:szCs w:val="22"/>
        </w:rPr>
        <w:t>celik</w:t>
      </w:r>
      <w:r w:rsidRPr="00A813EB">
        <w:rPr>
          <w:b/>
          <w:bCs/>
          <w:sz w:val="22"/>
          <w:szCs w:val="22"/>
        </w:rPr>
        <w:t xml:space="preserve"> v</w:t>
      </w:r>
      <w:r w:rsidR="00AB44C0" w:rsidRPr="00A813EB">
        <w:rPr>
          <w:b/>
          <w:bCs/>
          <w:sz w:val="22"/>
          <w:szCs w:val="22"/>
        </w:rPr>
        <w:t>ar</w:t>
      </w:r>
      <w:r w:rsidR="00AF6D51" w:rsidRPr="00A813EB">
        <w:rPr>
          <w:b/>
          <w:bCs/>
          <w:sz w:val="22"/>
          <w:szCs w:val="22"/>
        </w:rPr>
        <w:t>,</w:t>
      </w:r>
      <w:r w:rsidR="00427C01" w:rsidRPr="00A813EB">
        <w:rPr>
          <w:b/>
          <w:bCs/>
          <w:sz w:val="22"/>
          <w:szCs w:val="22"/>
        </w:rPr>
        <w:t xml:space="preserve"> </w:t>
      </w:r>
      <w:r w:rsidRPr="00A813EB">
        <w:rPr>
          <w:b/>
          <w:bCs/>
          <w:sz w:val="22"/>
          <w:szCs w:val="22"/>
        </w:rPr>
        <w:t>n</w:t>
      </w:r>
      <w:r w:rsidR="00427C01" w:rsidRPr="00A813EB">
        <w:rPr>
          <w:b/>
          <w:bCs/>
          <w:sz w:val="22"/>
          <w:szCs w:val="22"/>
        </w:rPr>
        <w:t>it</w:t>
      </w:r>
      <w:r w:rsidRPr="00A813EB">
        <w:rPr>
          <w:b/>
          <w:bCs/>
          <w:sz w:val="22"/>
          <w:szCs w:val="22"/>
        </w:rPr>
        <w:t>elik y</w:t>
      </w:r>
      <w:r w:rsidR="00AB44C0" w:rsidRPr="00A813EB">
        <w:rPr>
          <w:b/>
          <w:bCs/>
          <w:sz w:val="22"/>
          <w:szCs w:val="22"/>
        </w:rPr>
        <w:t>ok</w:t>
      </w:r>
      <w:r w:rsidR="00AF6D51" w:rsidRPr="00A813EB">
        <w:rPr>
          <w:b/>
          <w:bCs/>
          <w:sz w:val="22"/>
          <w:szCs w:val="22"/>
        </w:rPr>
        <w:t xml:space="preserve"> </w:t>
      </w:r>
    </w:p>
    <w:p w:rsidR="00D879C2" w:rsidRPr="00A813EB" w:rsidRDefault="00D879C2" w:rsidP="00F77FEB">
      <w:pPr>
        <w:jc w:val="both"/>
        <w:rPr>
          <w:bCs/>
          <w:sz w:val="22"/>
          <w:szCs w:val="22"/>
        </w:rPr>
      </w:pPr>
    </w:p>
    <w:p w:rsidR="00496F78" w:rsidRPr="00A813EB" w:rsidRDefault="00D71392" w:rsidP="00496F78">
      <w:pPr>
        <w:jc w:val="both"/>
        <w:rPr>
          <w:sz w:val="20"/>
          <w:szCs w:val="20"/>
        </w:rPr>
      </w:pPr>
      <w:r w:rsidRPr="00A813EB">
        <w:rPr>
          <w:bCs/>
          <w:sz w:val="20"/>
          <w:szCs w:val="20"/>
        </w:rPr>
        <w:t>Türkiye özellik</w:t>
      </w:r>
      <w:r w:rsidR="005F0BCD">
        <w:rPr>
          <w:bCs/>
          <w:sz w:val="20"/>
          <w:szCs w:val="20"/>
        </w:rPr>
        <w:t>l</w:t>
      </w:r>
      <w:r w:rsidRPr="00A813EB">
        <w:rPr>
          <w:bCs/>
          <w:sz w:val="20"/>
          <w:szCs w:val="20"/>
        </w:rPr>
        <w:t xml:space="preserve">e 90’larda ve 2000’lerin başında inovasyon yarışında çok geride kalmış olsa da son yıllarda </w:t>
      </w:r>
      <w:r w:rsidR="00FB1761" w:rsidRPr="00A813EB">
        <w:rPr>
          <w:bCs/>
          <w:sz w:val="20"/>
          <w:szCs w:val="20"/>
        </w:rPr>
        <w:t>öne geçebilmek için</w:t>
      </w:r>
      <w:r w:rsidRPr="00A813EB">
        <w:rPr>
          <w:bCs/>
          <w:sz w:val="20"/>
          <w:szCs w:val="20"/>
        </w:rPr>
        <w:t xml:space="preserve"> çabalıyor. 2003 yılında Türkiye’nin AR-GE harcamaları GSYH’nın yüzde 0,48’ine karşılık gelirken, 2012 yılında bu oran yüzde 0,92’e çıkmış bulunuyor. Türkiye’de yerleşikler</w:t>
      </w:r>
      <w:r w:rsidR="004D033B" w:rsidRPr="00A813EB">
        <w:rPr>
          <w:bCs/>
          <w:sz w:val="20"/>
          <w:szCs w:val="20"/>
        </w:rPr>
        <w:t>in yaptığı patent başvuruları da</w:t>
      </w:r>
      <w:r w:rsidRPr="00A813EB">
        <w:rPr>
          <w:bCs/>
          <w:sz w:val="20"/>
          <w:szCs w:val="20"/>
        </w:rPr>
        <w:t xml:space="preserve"> 2003 yılında 657 </w:t>
      </w:r>
      <w:r w:rsidR="004D033B" w:rsidRPr="00A813EB">
        <w:rPr>
          <w:bCs/>
          <w:sz w:val="20"/>
          <w:szCs w:val="20"/>
        </w:rPr>
        <w:t>iken</w:t>
      </w:r>
      <w:r w:rsidRPr="00A813EB">
        <w:rPr>
          <w:bCs/>
          <w:sz w:val="20"/>
          <w:szCs w:val="20"/>
        </w:rPr>
        <w:t xml:space="preserve">, </w:t>
      </w:r>
      <w:r w:rsidR="004D033B" w:rsidRPr="00A813EB">
        <w:rPr>
          <w:bCs/>
          <w:sz w:val="20"/>
          <w:szCs w:val="20"/>
        </w:rPr>
        <w:t>2011 yılında 5283’e çıkmış bulunmaktadır</w:t>
      </w:r>
      <w:r w:rsidRPr="00A813EB">
        <w:rPr>
          <w:bCs/>
          <w:sz w:val="20"/>
          <w:szCs w:val="20"/>
        </w:rPr>
        <w:t>.</w:t>
      </w:r>
      <w:r w:rsidR="004D033B" w:rsidRPr="00A813EB">
        <w:rPr>
          <w:bCs/>
          <w:sz w:val="20"/>
          <w:szCs w:val="20"/>
        </w:rPr>
        <w:t xml:space="preserve"> </w:t>
      </w:r>
      <w:r w:rsidR="00427C01" w:rsidRPr="00A813EB">
        <w:rPr>
          <w:bCs/>
          <w:sz w:val="20"/>
          <w:szCs w:val="20"/>
        </w:rPr>
        <w:t xml:space="preserve">Türkiye insan sermayesini yükseltebilmek için okullaşma oranını da hızlı bir şekilde arttırmaya çalışıyor. </w:t>
      </w:r>
      <w:r w:rsidR="00496F78" w:rsidRPr="00A813EB">
        <w:rPr>
          <w:bCs/>
          <w:sz w:val="20"/>
          <w:szCs w:val="20"/>
        </w:rPr>
        <w:t>2012 yılı itibariyle 25-29 yaş arasındaki popülasyonun yüzde 30’dan fazlası lise veya dengi bir okul mezunu, yüzde 20’den fazlası bir üniversite veya yüksekokul mezunudur.</w:t>
      </w:r>
    </w:p>
    <w:p w:rsidR="004D033B" w:rsidRPr="00A813EB" w:rsidRDefault="004D033B" w:rsidP="00F77FEB">
      <w:pPr>
        <w:jc w:val="both"/>
        <w:rPr>
          <w:bCs/>
          <w:sz w:val="20"/>
          <w:szCs w:val="20"/>
        </w:rPr>
      </w:pPr>
    </w:p>
    <w:p w:rsidR="004D033B" w:rsidRPr="00A813EB" w:rsidRDefault="005F0BCD" w:rsidP="004D033B">
      <w:pPr>
        <w:jc w:val="both"/>
        <w:rPr>
          <w:bCs/>
          <w:sz w:val="20"/>
          <w:szCs w:val="20"/>
        </w:rPr>
      </w:pPr>
      <w:r w:rsidRPr="00A813EB">
        <w:rPr>
          <w:bCs/>
          <w:sz w:val="20"/>
          <w:szCs w:val="20"/>
        </w:rPr>
        <w:lastRenderedPageBreak/>
        <w:t>Oysaki</w:t>
      </w:r>
      <w:r>
        <w:rPr>
          <w:bCs/>
          <w:sz w:val="20"/>
          <w:szCs w:val="20"/>
        </w:rPr>
        <w:t xml:space="preserve"> </w:t>
      </w:r>
      <w:r w:rsidR="00427C01" w:rsidRPr="00A813EB">
        <w:rPr>
          <w:bCs/>
          <w:sz w:val="20"/>
          <w:szCs w:val="20"/>
        </w:rPr>
        <w:t>gerek AR-GE</w:t>
      </w:r>
      <w:r w:rsidR="008325A9" w:rsidRPr="00A813EB">
        <w:rPr>
          <w:bCs/>
          <w:sz w:val="20"/>
          <w:szCs w:val="20"/>
        </w:rPr>
        <w:t xml:space="preserve"> faaliyetlerinde gerekse eğitim alanında n</w:t>
      </w:r>
      <w:r w:rsidR="004D033B" w:rsidRPr="00A813EB">
        <w:rPr>
          <w:bCs/>
          <w:sz w:val="20"/>
          <w:szCs w:val="20"/>
        </w:rPr>
        <w:t xml:space="preserve">icelik hızlı bir şekilde </w:t>
      </w:r>
      <w:r w:rsidR="008325A9" w:rsidRPr="00A813EB">
        <w:rPr>
          <w:bCs/>
          <w:sz w:val="20"/>
          <w:szCs w:val="20"/>
        </w:rPr>
        <w:t>artarken,</w:t>
      </w:r>
      <w:r w:rsidR="004D033B" w:rsidRPr="00A813EB">
        <w:rPr>
          <w:bCs/>
          <w:sz w:val="20"/>
          <w:szCs w:val="20"/>
        </w:rPr>
        <w:t xml:space="preserve"> nitelik </w:t>
      </w:r>
      <w:r w:rsidR="008325A9" w:rsidRPr="00A813EB">
        <w:rPr>
          <w:bCs/>
          <w:sz w:val="20"/>
          <w:szCs w:val="20"/>
        </w:rPr>
        <w:t>geride kalıyor</w:t>
      </w:r>
      <w:r w:rsidR="004D033B" w:rsidRPr="00A813EB">
        <w:rPr>
          <w:bCs/>
          <w:sz w:val="20"/>
          <w:szCs w:val="20"/>
        </w:rPr>
        <w:t>. Patent başvurularındaki yüksek artışa rağmen, patent başvuruları yüksek teknoloji gerektiren sektörler yerine düşük teknoloji gerektiren sektörlerde olu</w:t>
      </w:r>
      <w:r w:rsidR="008325A9" w:rsidRPr="00A813EB">
        <w:rPr>
          <w:bCs/>
          <w:sz w:val="20"/>
          <w:szCs w:val="20"/>
        </w:rPr>
        <w:t>şu</w:t>
      </w:r>
      <w:r w:rsidR="004D033B" w:rsidRPr="00A813EB">
        <w:rPr>
          <w:bCs/>
          <w:sz w:val="20"/>
          <w:szCs w:val="20"/>
        </w:rPr>
        <w:t xml:space="preserve">yor. Aynı şekilde AR-GE harcamalarında özel sektörün payı hala </w:t>
      </w:r>
      <w:r w:rsidR="00427C01" w:rsidRPr="00A813EB">
        <w:rPr>
          <w:bCs/>
          <w:sz w:val="20"/>
          <w:szCs w:val="20"/>
        </w:rPr>
        <w:t>AB ortalamasının bir hayli altında seyrediyor</w:t>
      </w:r>
      <w:r w:rsidR="008325A9" w:rsidRPr="00A813EB">
        <w:rPr>
          <w:bCs/>
          <w:sz w:val="20"/>
          <w:szCs w:val="20"/>
        </w:rPr>
        <w:t>. Okullaşma oranı</w:t>
      </w:r>
      <w:r w:rsidR="004D033B" w:rsidRPr="00A813EB">
        <w:rPr>
          <w:bCs/>
          <w:sz w:val="20"/>
          <w:szCs w:val="20"/>
        </w:rPr>
        <w:t xml:space="preserve"> artmasına rağmen en son açıklanan PISA verisinin bize gösterdiği gibi eğitimin kalitesi vasat bir seviyed</w:t>
      </w:r>
      <w:r w:rsidR="008325A9" w:rsidRPr="00A813EB">
        <w:rPr>
          <w:bCs/>
          <w:sz w:val="20"/>
          <w:szCs w:val="20"/>
        </w:rPr>
        <w:t>e bulunuyor</w:t>
      </w:r>
      <w:r w:rsidR="00465F99" w:rsidRPr="00A813EB">
        <w:rPr>
          <w:bCs/>
          <w:sz w:val="20"/>
          <w:szCs w:val="20"/>
        </w:rPr>
        <w:t>. Bunların</w:t>
      </w:r>
      <w:r w:rsidR="008325A9" w:rsidRPr="00A813EB">
        <w:rPr>
          <w:bCs/>
          <w:sz w:val="20"/>
          <w:szCs w:val="20"/>
        </w:rPr>
        <w:t xml:space="preserve"> sonucunda </w:t>
      </w:r>
      <w:r w:rsidR="004D033B" w:rsidRPr="00A813EB">
        <w:rPr>
          <w:bCs/>
          <w:sz w:val="20"/>
          <w:szCs w:val="20"/>
        </w:rPr>
        <w:t>yüksek teknoloji</w:t>
      </w:r>
      <w:r w:rsidR="008325A9" w:rsidRPr="00A813EB">
        <w:rPr>
          <w:bCs/>
          <w:sz w:val="20"/>
          <w:szCs w:val="20"/>
        </w:rPr>
        <w:t>li mal imalat</w:t>
      </w:r>
      <w:r w:rsidR="004D033B" w:rsidRPr="00A813EB">
        <w:rPr>
          <w:bCs/>
          <w:sz w:val="20"/>
          <w:szCs w:val="20"/>
        </w:rPr>
        <w:t xml:space="preserve"> </w:t>
      </w:r>
      <w:r w:rsidR="008325A9" w:rsidRPr="00A813EB">
        <w:rPr>
          <w:bCs/>
          <w:sz w:val="20"/>
          <w:szCs w:val="20"/>
        </w:rPr>
        <w:t xml:space="preserve">ve </w:t>
      </w:r>
      <w:r w:rsidR="004D033B" w:rsidRPr="00A813EB">
        <w:rPr>
          <w:bCs/>
          <w:sz w:val="20"/>
          <w:szCs w:val="20"/>
        </w:rPr>
        <w:t>ihracatı</w:t>
      </w:r>
      <w:r w:rsidR="008325A9" w:rsidRPr="00A813EB">
        <w:rPr>
          <w:bCs/>
          <w:sz w:val="20"/>
          <w:szCs w:val="20"/>
        </w:rPr>
        <w:t>nda arzulanan rakamlara ulaşılamıyor</w:t>
      </w:r>
      <w:r w:rsidR="004D033B" w:rsidRPr="00A813EB">
        <w:rPr>
          <w:bCs/>
          <w:sz w:val="20"/>
          <w:szCs w:val="20"/>
        </w:rPr>
        <w:t>.</w:t>
      </w:r>
      <w:r w:rsidR="008325A9" w:rsidRPr="00A813EB">
        <w:rPr>
          <w:bCs/>
          <w:sz w:val="20"/>
          <w:szCs w:val="20"/>
        </w:rPr>
        <w:t xml:space="preserve"> </w:t>
      </w:r>
      <w:r w:rsidR="00465F99" w:rsidRPr="00A813EB">
        <w:rPr>
          <w:bCs/>
          <w:sz w:val="20"/>
          <w:szCs w:val="20"/>
        </w:rPr>
        <w:t>Y</w:t>
      </w:r>
      <w:bookmarkStart w:id="0" w:name="_GoBack"/>
      <w:bookmarkEnd w:id="0"/>
      <w:r w:rsidR="00427C01" w:rsidRPr="00A813EB">
        <w:rPr>
          <w:bCs/>
          <w:sz w:val="20"/>
          <w:szCs w:val="20"/>
        </w:rPr>
        <w:t>üksek teknoloji malların toplam im</w:t>
      </w:r>
      <w:r w:rsidR="00740FDB" w:rsidRPr="00A813EB">
        <w:rPr>
          <w:bCs/>
          <w:sz w:val="20"/>
          <w:szCs w:val="20"/>
        </w:rPr>
        <w:t>alat malları ihracatındaki payı yıllardır aynı kalmaya devam ediyor</w:t>
      </w:r>
      <w:r w:rsidR="004D033B" w:rsidRPr="00A813EB">
        <w:rPr>
          <w:bCs/>
          <w:sz w:val="20"/>
          <w:szCs w:val="20"/>
        </w:rPr>
        <w:t>. Türkiye önümüzdeki yıllarda inovasyon hedefle</w:t>
      </w:r>
      <w:r w:rsidR="00BE060E" w:rsidRPr="00A813EB">
        <w:rPr>
          <w:bCs/>
          <w:sz w:val="20"/>
          <w:szCs w:val="20"/>
        </w:rPr>
        <w:t>rinde niceliğin yanında niteliğe</w:t>
      </w:r>
      <w:r w:rsidR="004D033B" w:rsidRPr="00A813EB">
        <w:rPr>
          <w:bCs/>
          <w:sz w:val="20"/>
          <w:szCs w:val="20"/>
        </w:rPr>
        <w:t xml:space="preserve"> de önem ver</w:t>
      </w:r>
      <w:r w:rsidR="007862EE" w:rsidRPr="00A813EB">
        <w:rPr>
          <w:bCs/>
          <w:sz w:val="20"/>
          <w:szCs w:val="20"/>
        </w:rPr>
        <w:t>e</w:t>
      </w:r>
      <w:r w:rsidR="004D033B" w:rsidRPr="00A813EB">
        <w:rPr>
          <w:bCs/>
          <w:sz w:val="20"/>
          <w:szCs w:val="20"/>
        </w:rPr>
        <w:t>mezse</w:t>
      </w:r>
      <w:r w:rsidR="00BE060E" w:rsidRPr="00A813EB">
        <w:rPr>
          <w:bCs/>
          <w:sz w:val="20"/>
          <w:szCs w:val="20"/>
        </w:rPr>
        <w:t>,</w:t>
      </w:r>
      <w:r w:rsidR="004D033B" w:rsidRPr="00A813EB">
        <w:rPr>
          <w:bCs/>
          <w:sz w:val="20"/>
          <w:szCs w:val="20"/>
        </w:rPr>
        <w:t xml:space="preserve"> </w:t>
      </w:r>
      <w:r w:rsidR="00BE060E" w:rsidRPr="00A813EB">
        <w:rPr>
          <w:bCs/>
          <w:sz w:val="20"/>
          <w:szCs w:val="20"/>
        </w:rPr>
        <w:t>potansiyel büyüme</w:t>
      </w:r>
      <w:r w:rsidR="007862EE" w:rsidRPr="00A813EB">
        <w:rPr>
          <w:bCs/>
          <w:sz w:val="20"/>
          <w:szCs w:val="20"/>
        </w:rPr>
        <w:t xml:space="preserve"> hızını</w:t>
      </w:r>
      <w:r w:rsidR="00BE060E" w:rsidRPr="00A813EB">
        <w:rPr>
          <w:bCs/>
          <w:sz w:val="20"/>
          <w:szCs w:val="20"/>
        </w:rPr>
        <w:t xml:space="preserve"> </w:t>
      </w:r>
      <w:r w:rsidR="00AF6D51" w:rsidRPr="00A813EB">
        <w:rPr>
          <w:bCs/>
          <w:sz w:val="20"/>
          <w:szCs w:val="20"/>
        </w:rPr>
        <w:t>ar</w:t>
      </w:r>
      <w:r w:rsidR="00BE060E" w:rsidRPr="00A813EB">
        <w:rPr>
          <w:bCs/>
          <w:sz w:val="20"/>
          <w:szCs w:val="20"/>
        </w:rPr>
        <w:t>tır</w:t>
      </w:r>
      <w:r w:rsidR="00AF6D51" w:rsidRPr="00A813EB">
        <w:rPr>
          <w:bCs/>
          <w:sz w:val="20"/>
          <w:szCs w:val="20"/>
        </w:rPr>
        <w:t>makta</w:t>
      </w:r>
      <w:r w:rsidR="007862EE" w:rsidRPr="00A813EB">
        <w:rPr>
          <w:bCs/>
          <w:sz w:val="20"/>
          <w:szCs w:val="20"/>
        </w:rPr>
        <w:t xml:space="preserve"> ve 2023 hedeflerini yakalamakta</w:t>
      </w:r>
      <w:r w:rsidR="00AF6D51" w:rsidRPr="00A813EB">
        <w:rPr>
          <w:bCs/>
          <w:sz w:val="20"/>
          <w:szCs w:val="20"/>
        </w:rPr>
        <w:t xml:space="preserve"> </w:t>
      </w:r>
      <w:r w:rsidR="007862EE" w:rsidRPr="00A813EB">
        <w:rPr>
          <w:bCs/>
          <w:sz w:val="20"/>
          <w:szCs w:val="20"/>
        </w:rPr>
        <w:t>zorlanacağı görülüyor</w:t>
      </w:r>
      <w:r w:rsidR="00BE060E" w:rsidRPr="00A813EB">
        <w:rPr>
          <w:bCs/>
          <w:sz w:val="20"/>
          <w:szCs w:val="20"/>
        </w:rPr>
        <w:t>.</w:t>
      </w:r>
    </w:p>
    <w:p w:rsidR="004D033B" w:rsidRPr="00A813EB" w:rsidRDefault="004D033B" w:rsidP="004D033B">
      <w:pPr>
        <w:jc w:val="both"/>
        <w:rPr>
          <w:bCs/>
          <w:sz w:val="22"/>
          <w:szCs w:val="22"/>
          <w:highlight w:val="yellow"/>
        </w:rPr>
      </w:pPr>
    </w:p>
    <w:p w:rsidR="004D033B" w:rsidRPr="00A813EB" w:rsidRDefault="004D033B" w:rsidP="004D033B">
      <w:pPr>
        <w:jc w:val="both"/>
        <w:rPr>
          <w:bCs/>
          <w:sz w:val="22"/>
          <w:szCs w:val="22"/>
          <w:highlight w:val="yellow"/>
        </w:rPr>
      </w:pPr>
    </w:p>
    <w:p w:rsidR="004D033B" w:rsidRPr="00A813EB" w:rsidRDefault="004D033B" w:rsidP="00F77FEB">
      <w:pPr>
        <w:jc w:val="both"/>
        <w:rPr>
          <w:b/>
          <w:bCs/>
          <w:sz w:val="22"/>
          <w:szCs w:val="22"/>
        </w:rPr>
      </w:pPr>
    </w:p>
    <w:sectPr w:rsidR="004D033B" w:rsidRPr="00A813EB" w:rsidSect="00B90F1C">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EB3" w:rsidRDefault="00174EB3" w:rsidP="00894DBA">
      <w:r>
        <w:separator/>
      </w:r>
    </w:p>
  </w:endnote>
  <w:endnote w:type="continuationSeparator" w:id="1">
    <w:p w:rsidR="00174EB3" w:rsidRDefault="00174EB3" w:rsidP="00894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052980"/>
      <w:docPartObj>
        <w:docPartGallery w:val="Page Numbers (Bottom of Page)"/>
        <w:docPartUnique/>
      </w:docPartObj>
    </w:sdtPr>
    <w:sdtContent>
      <w:p w:rsidR="009E3288" w:rsidRDefault="0042645F">
        <w:pPr>
          <w:pStyle w:val="Altbilgi"/>
          <w:jc w:val="right"/>
        </w:pPr>
        <w:r>
          <w:fldChar w:fldCharType="begin"/>
        </w:r>
        <w:r w:rsidR="00BE5AC8">
          <w:instrText xml:space="preserve"> PAGE   \* MERGEFORMAT </w:instrText>
        </w:r>
        <w:r>
          <w:fldChar w:fldCharType="separate"/>
        </w:r>
        <w:r w:rsidR="00953E58">
          <w:rPr>
            <w:noProof/>
          </w:rPr>
          <w:t>6</w:t>
        </w:r>
        <w:r>
          <w:rPr>
            <w:noProof/>
          </w:rPr>
          <w:fldChar w:fldCharType="end"/>
        </w:r>
      </w:p>
    </w:sdtContent>
  </w:sdt>
  <w:p w:rsidR="009E3288" w:rsidRDefault="009E32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EB3" w:rsidRDefault="00174EB3" w:rsidP="00894DBA">
      <w:r>
        <w:separator/>
      </w:r>
    </w:p>
  </w:footnote>
  <w:footnote w:type="continuationSeparator" w:id="1">
    <w:p w:rsidR="00174EB3" w:rsidRDefault="00174EB3" w:rsidP="00894DBA">
      <w:r>
        <w:continuationSeparator/>
      </w:r>
    </w:p>
  </w:footnote>
  <w:footnote w:id="2">
    <w:p w:rsidR="009E3288" w:rsidRPr="008944A5" w:rsidRDefault="009E3288" w:rsidP="00CE2939">
      <w:pPr>
        <w:pStyle w:val="DipnotMetni"/>
        <w:jc w:val="both"/>
        <w:rPr>
          <w:rFonts w:ascii="Arial" w:hAnsi="Arial" w:cs="Arial"/>
          <w:sz w:val="16"/>
          <w:szCs w:val="16"/>
        </w:rPr>
      </w:pPr>
      <w:r w:rsidRPr="004543D7">
        <w:rPr>
          <w:rStyle w:val="DipnotBavurusu"/>
          <w:rFonts w:ascii="Arial" w:hAnsi="Arial" w:cs="Arial"/>
          <w:b/>
          <w:bCs/>
          <w:sz w:val="16"/>
          <w:szCs w:val="16"/>
        </w:rPr>
        <w:t>*</w:t>
      </w:r>
      <w:r w:rsidRPr="004543D7">
        <w:rPr>
          <w:rFonts w:ascii="Arial" w:hAnsi="Arial" w:cs="Arial"/>
          <w:b/>
          <w:bCs/>
          <w:sz w:val="16"/>
          <w:szCs w:val="16"/>
        </w:rPr>
        <w:t xml:space="preserve"> </w:t>
      </w:r>
      <w:r w:rsidRPr="008944A5">
        <w:rPr>
          <w:rFonts w:ascii="Arial" w:hAnsi="Arial" w:cs="Arial"/>
          <w:sz w:val="16"/>
          <w:szCs w:val="16"/>
        </w:rPr>
        <w:t>Barış Soybil</w:t>
      </w:r>
      <w:r>
        <w:rPr>
          <w:rFonts w:ascii="Arial" w:hAnsi="Arial" w:cs="Arial"/>
          <w:sz w:val="16"/>
          <w:szCs w:val="16"/>
        </w:rPr>
        <w:t xml:space="preserve">gen, Betam, Araştırma Görevlisi, </w:t>
      </w:r>
      <w:r w:rsidRPr="008944A5">
        <w:rPr>
          <w:rFonts w:ascii="Arial" w:hAnsi="Arial" w:cs="Arial"/>
          <w:sz w:val="16"/>
          <w:szCs w:val="16"/>
        </w:rPr>
        <w:t>baris.soybilgen@bahcesehir.edu.tr</w:t>
      </w:r>
    </w:p>
  </w:footnote>
  <w:footnote w:id="3">
    <w:p w:rsidR="009E3288" w:rsidRPr="008944A5" w:rsidRDefault="009E3288" w:rsidP="00CE2939">
      <w:pPr>
        <w:pStyle w:val="DipnotMetni"/>
        <w:jc w:val="both"/>
        <w:rPr>
          <w:rFonts w:ascii="Arial" w:hAnsi="Arial" w:cs="Arial"/>
          <w:sz w:val="16"/>
          <w:szCs w:val="16"/>
        </w:rPr>
      </w:pPr>
      <w:r w:rsidRPr="008944A5">
        <w:rPr>
          <w:rStyle w:val="DipnotBavurusu"/>
          <w:rFonts w:ascii="Arial" w:hAnsi="Arial" w:cs="Arial"/>
          <w:sz w:val="16"/>
          <w:szCs w:val="16"/>
        </w:rPr>
        <w:footnoteRef/>
      </w:r>
      <w:r w:rsidRPr="008944A5">
        <w:rPr>
          <w:rFonts w:ascii="Arial" w:hAnsi="Arial" w:cs="Arial"/>
          <w:sz w:val="16"/>
          <w:szCs w:val="16"/>
        </w:rPr>
        <w:t xml:space="preserve"> </w:t>
      </w:r>
      <w:r>
        <w:rPr>
          <w:rFonts w:ascii="Arial" w:hAnsi="Arial" w:cs="Arial"/>
          <w:sz w:val="16"/>
          <w:szCs w:val="16"/>
        </w:rPr>
        <w:t xml:space="preserve">Bknz. </w:t>
      </w:r>
      <w:r w:rsidRPr="008944A5">
        <w:rPr>
          <w:rFonts w:ascii="Arial" w:hAnsi="Arial" w:cs="Arial"/>
          <w:sz w:val="16"/>
          <w:szCs w:val="16"/>
        </w:rPr>
        <w:t>Mitchell, G. R., 1999. Global technology policies for economic growth. Technological Forecasting and Social Change 60, 205–214.</w:t>
      </w:r>
      <w:r>
        <w:rPr>
          <w:rFonts w:ascii="Arial" w:hAnsi="Arial" w:cs="Arial"/>
          <w:sz w:val="16"/>
          <w:szCs w:val="16"/>
        </w:rPr>
        <w:t xml:space="preserve"> </w:t>
      </w:r>
      <w:r w:rsidRPr="008944A5">
        <w:rPr>
          <w:rFonts w:ascii="Arial" w:hAnsi="Arial" w:cs="Arial"/>
          <w:sz w:val="16"/>
          <w:szCs w:val="16"/>
        </w:rPr>
        <w:t>Boskin</w:t>
      </w:r>
      <w:r>
        <w:rPr>
          <w:rFonts w:ascii="Arial" w:hAnsi="Arial" w:cs="Arial"/>
          <w:sz w:val="16"/>
          <w:szCs w:val="16"/>
        </w:rPr>
        <w:t>, Michael J.</w:t>
      </w:r>
      <w:r w:rsidRPr="008944A5">
        <w:rPr>
          <w:rFonts w:ascii="Arial" w:hAnsi="Arial" w:cs="Arial"/>
          <w:sz w:val="16"/>
          <w:szCs w:val="16"/>
        </w:rPr>
        <w:t xml:space="preserve"> and Lau</w:t>
      </w:r>
      <w:r>
        <w:rPr>
          <w:rFonts w:ascii="Arial" w:hAnsi="Arial" w:cs="Arial"/>
          <w:sz w:val="16"/>
          <w:szCs w:val="16"/>
        </w:rPr>
        <w:t xml:space="preserve">, </w:t>
      </w:r>
      <w:r w:rsidRPr="008944A5">
        <w:rPr>
          <w:rFonts w:ascii="Arial" w:hAnsi="Arial" w:cs="Arial"/>
          <w:sz w:val="16"/>
          <w:szCs w:val="16"/>
        </w:rPr>
        <w:t>Lawrence J.</w:t>
      </w:r>
      <w:r>
        <w:rPr>
          <w:rFonts w:ascii="Arial" w:hAnsi="Arial" w:cs="Arial"/>
          <w:sz w:val="16"/>
          <w:szCs w:val="16"/>
        </w:rPr>
        <w:t>, 1992.</w:t>
      </w:r>
      <w:r w:rsidRPr="008944A5">
        <w:rPr>
          <w:rFonts w:ascii="Arial" w:hAnsi="Arial" w:cs="Arial"/>
          <w:sz w:val="16"/>
          <w:szCs w:val="16"/>
        </w:rPr>
        <w:t xml:space="preserve"> Capital,</w:t>
      </w:r>
      <w:r>
        <w:rPr>
          <w:rFonts w:ascii="Arial" w:hAnsi="Arial" w:cs="Arial"/>
          <w:sz w:val="16"/>
          <w:szCs w:val="16"/>
        </w:rPr>
        <w:t xml:space="preserve"> Technology and Economic Growth. I</w:t>
      </w:r>
      <w:r w:rsidRPr="008944A5">
        <w:rPr>
          <w:rFonts w:ascii="Arial" w:hAnsi="Arial" w:cs="Arial"/>
          <w:sz w:val="16"/>
          <w:szCs w:val="16"/>
        </w:rPr>
        <w:t>n</w:t>
      </w:r>
      <w:r>
        <w:rPr>
          <w:rFonts w:ascii="Arial" w:hAnsi="Arial" w:cs="Arial"/>
          <w:sz w:val="16"/>
          <w:szCs w:val="16"/>
        </w:rPr>
        <w:t xml:space="preserve">: </w:t>
      </w:r>
      <w:r w:rsidRPr="008944A5">
        <w:rPr>
          <w:rFonts w:ascii="Arial" w:hAnsi="Arial" w:cs="Arial"/>
          <w:sz w:val="16"/>
          <w:szCs w:val="16"/>
        </w:rPr>
        <w:t>Nathan Rosenberg, Ralph Landau, David C. Mowery</w:t>
      </w:r>
      <w:r>
        <w:rPr>
          <w:rFonts w:ascii="Arial" w:hAnsi="Arial" w:cs="Arial"/>
          <w:sz w:val="16"/>
          <w:szCs w:val="16"/>
        </w:rPr>
        <w:t xml:space="preserve"> (Eds.)</w:t>
      </w:r>
      <w:r w:rsidRPr="008944A5">
        <w:rPr>
          <w:rFonts w:ascii="Arial" w:hAnsi="Arial" w:cs="Arial"/>
          <w:sz w:val="16"/>
          <w:szCs w:val="16"/>
        </w:rPr>
        <w:t xml:space="preserve"> Technology and the Wealth of Nations.</w:t>
      </w:r>
      <w:r>
        <w:rPr>
          <w:rFonts w:ascii="Arial" w:hAnsi="Arial" w:cs="Arial"/>
          <w:sz w:val="16"/>
          <w:szCs w:val="16"/>
        </w:rPr>
        <w:t xml:space="preserve"> Stanford University Press.</w:t>
      </w:r>
    </w:p>
  </w:footnote>
  <w:footnote w:id="4">
    <w:p w:rsidR="009E3288" w:rsidRPr="00E7506B" w:rsidRDefault="009E3288" w:rsidP="00CE2939">
      <w:pPr>
        <w:pStyle w:val="DipnotMetni"/>
        <w:jc w:val="both"/>
        <w:rPr>
          <w:rFonts w:ascii="Arial" w:hAnsi="Arial" w:cs="Arial"/>
          <w:sz w:val="16"/>
          <w:szCs w:val="16"/>
        </w:rPr>
      </w:pPr>
      <w:r w:rsidRPr="00E7506B">
        <w:rPr>
          <w:rStyle w:val="DipnotBavurusu"/>
          <w:rFonts w:ascii="Arial" w:hAnsi="Arial" w:cs="Arial"/>
          <w:sz w:val="16"/>
          <w:szCs w:val="16"/>
        </w:rPr>
        <w:footnoteRef/>
      </w:r>
      <w:r w:rsidRPr="00E7506B">
        <w:rPr>
          <w:rFonts w:ascii="Arial" w:hAnsi="Arial" w:cs="Arial"/>
          <w:sz w:val="16"/>
          <w:szCs w:val="16"/>
        </w:rPr>
        <w:t xml:space="preserve"> </w:t>
      </w:r>
      <w:r>
        <w:rPr>
          <w:rFonts w:ascii="Arial" w:hAnsi="Arial" w:cs="Arial"/>
          <w:sz w:val="16"/>
          <w:szCs w:val="16"/>
        </w:rPr>
        <w:t xml:space="preserve">İnovasyon göstergeleri için bknz. </w:t>
      </w:r>
      <w:r w:rsidRPr="00E7506B">
        <w:rPr>
          <w:rFonts w:ascii="Arial" w:hAnsi="Arial" w:cs="Arial"/>
          <w:sz w:val="16"/>
          <w:szCs w:val="16"/>
        </w:rPr>
        <w:t>Varsakelis, N., 2006. Education, political institutions and innovative activity: a cross-country empirical investigation. Research Policy 35, 1083–1090. Bebczuk, R., 2002. R&amp;D Expenditures and the Role of Government around the World. Estudios de Economia 29(1), 109-121. Dakhli, M., &amp; De Clercq, D., 2004. Human capital, social capital, and innovation: A multi-country study. Entrepreneurship &amp; Regional Development 16 (2), 107-128.</w:t>
      </w:r>
    </w:p>
  </w:footnote>
  <w:footnote w:id="5">
    <w:p w:rsidR="009E3288" w:rsidRPr="008434B3" w:rsidRDefault="009E3288" w:rsidP="00CE2939">
      <w:pPr>
        <w:pStyle w:val="DipnotMetni"/>
        <w:jc w:val="both"/>
        <w:rPr>
          <w:rFonts w:ascii="Arial" w:hAnsi="Arial" w:cs="Arial"/>
          <w:sz w:val="16"/>
          <w:szCs w:val="16"/>
        </w:rPr>
      </w:pPr>
      <w:r w:rsidRPr="008434B3">
        <w:rPr>
          <w:rStyle w:val="DipnotBavurusu"/>
          <w:rFonts w:ascii="Arial" w:hAnsi="Arial" w:cs="Arial"/>
          <w:sz w:val="16"/>
          <w:szCs w:val="16"/>
        </w:rPr>
        <w:footnoteRef/>
      </w:r>
      <w:r w:rsidRPr="008434B3">
        <w:rPr>
          <w:rFonts w:ascii="Arial" w:hAnsi="Arial" w:cs="Arial"/>
          <w:sz w:val="16"/>
          <w:szCs w:val="16"/>
        </w:rPr>
        <w:t xml:space="preserve"> Burada aslında patent başvuruları yerine patent başvurularından ortalama 18 ay sonra yayınlanan ve patent</w:t>
      </w:r>
      <w:r>
        <w:rPr>
          <w:rFonts w:ascii="Arial" w:hAnsi="Arial" w:cs="Arial"/>
          <w:sz w:val="16"/>
          <w:szCs w:val="16"/>
        </w:rPr>
        <w:t xml:space="preserve"> başvurusu</w:t>
      </w:r>
      <w:r w:rsidRPr="008434B3">
        <w:rPr>
          <w:rFonts w:ascii="Arial" w:hAnsi="Arial" w:cs="Arial"/>
          <w:sz w:val="16"/>
          <w:szCs w:val="16"/>
        </w:rPr>
        <w:t xml:space="preserve"> hakkında detaylı bilgi veren patent yayınlarını sınıflandırıyoruz. </w:t>
      </w:r>
    </w:p>
  </w:footnote>
  <w:footnote w:id="6">
    <w:p w:rsidR="009E3288" w:rsidRPr="008434B3" w:rsidRDefault="009E3288" w:rsidP="00CE2939">
      <w:pPr>
        <w:pStyle w:val="DipnotMetni"/>
        <w:jc w:val="both"/>
        <w:rPr>
          <w:rFonts w:ascii="Arial" w:hAnsi="Arial" w:cs="Arial"/>
          <w:sz w:val="16"/>
          <w:szCs w:val="16"/>
        </w:rPr>
      </w:pPr>
      <w:r w:rsidRPr="008434B3">
        <w:rPr>
          <w:rStyle w:val="DipnotBavurusu"/>
          <w:rFonts w:ascii="Arial" w:hAnsi="Arial" w:cs="Arial"/>
          <w:sz w:val="16"/>
          <w:szCs w:val="16"/>
        </w:rPr>
        <w:footnoteRef/>
      </w:r>
      <w:r w:rsidRPr="008434B3">
        <w:rPr>
          <w:rFonts w:ascii="Arial" w:hAnsi="Arial" w:cs="Arial"/>
          <w:sz w:val="16"/>
          <w:szCs w:val="16"/>
        </w:rPr>
        <w:t xml:space="preserve"> Elektrik mühendisliği teknoloji grubu elektrikli aletler, görsel ve işitsel teknoloji, telekomünikasyon ve iletişim teknolojileri, bilgisayar teknolojileri, yarı iletkenler gibi teknolojileri içeriyor.</w:t>
      </w:r>
    </w:p>
  </w:footnote>
  <w:footnote w:id="7">
    <w:p w:rsidR="009E3288" w:rsidRPr="008434B3" w:rsidRDefault="009E3288" w:rsidP="00CE2939">
      <w:pPr>
        <w:pStyle w:val="DipnotMetni"/>
        <w:jc w:val="both"/>
        <w:rPr>
          <w:rFonts w:ascii="Arial" w:hAnsi="Arial" w:cs="Arial"/>
          <w:sz w:val="16"/>
          <w:szCs w:val="16"/>
        </w:rPr>
      </w:pPr>
      <w:r w:rsidRPr="008434B3">
        <w:rPr>
          <w:rStyle w:val="DipnotBavurusu"/>
          <w:rFonts w:ascii="Arial" w:hAnsi="Arial" w:cs="Arial"/>
          <w:sz w:val="16"/>
          <w:szCs w:val="16"/>
        </w:rPr>
        <w:footnoteRef/>
      </w:r>
      <w:r w:rsidRPr="008434B3">
        <w:rPr>
          <w:rFonts w:ascii="Arial" w:hAnsi="Arial" w:cs="Arial"/>
          <w:sz w:val="16"/>
          <w:szCs w:val="16"/>
        </w:rPr>
        <w:t xml:space="preserve"> Enstrümanlar teknoloji grubu optikler, ölçüm, biyolojik maddelerin analizi ve kontrol teknolojilerini içeriyor.</w:t>
      </w:r>
    </w:p>
  </w:footnote>
  <w:footnote w:id="8">
    <w:p w:rsidR="009E3288" w:rsidRPr="0054110D" w:rsidRDefault="009E3288" w:rsidP="00CE2939">
      <w:pPr>
        <w:pStyle w:val="DipnotMetni"/>
        <w:jc w:val="both"/>
        <w:rPr>
          <w:rFonts w:ascii="Arial" w:hAnsi="Arial" w:cs="Arial"/>
          <w:sz w:val="16"/>
          <w:szCs w:val="16"/>
        </w:rPr>
      </w:pPr>
      <w:r w:rsidRPr="0054110D">
        <w:rPr>
          <w:rStyle w:val="DipnotBavurusu"/>
          <w:rFonts w:ascii="Arial" w:hAnsi="Arial" w:cs="Arial"/>
          <w:sz w:val="16"/>
          <w:szCs w:val="16"/>
        </w:rPr>
        <w:footnoteRef/>
      </w:r>
      <w:r w:rsidRPr="0054110D">
        <w:rPr>
          <w:rFonts w:ascii="Arial" w:hAnsi="Arial" w:cs="Arial"/>
          <w:sz w:val="16"/>
          <w:szCs w:val="16"/>
        </w:rPr>
        <w:t xml:space="preserve"> Kimya teknoloji grubu tıbbi teknolojileri, bio-teknoloji, kimya mühendisliği, besi</w:t>
      </w:r>
      <w:r w:rsidR="008A4EB2">
        <w:rPr>
          <w:rFonts w:ascii="Arial" w:hAnsi="Arial" w:cs="Arial"/>
          <w:sz w:val="16"/>
          <w:szCs w:val="16"/>
        </w:rPr>
        <w:t>n</w:t>
      </w:r>
      <w:r w:rsidRPr="0054110D">
        <w:rPr>
          <w:rFonts w:ascii="Arial" w:hAnsi="Arial" w:cs="Arial"/>
          <w:sz w:val="16"/>
          <w:szCs w:val="16"/>
        </w:rPr>
        <w:t xml:space="preserve"> kimyası, yüzey teknolojisi ve ilaç teknolojileri gibi teknolojileri içeriyor.</w:t>
      </w:r>
    </w:p>
  </w:footnote>
  <w:footnote w:id="9">
    <w:p w:rsidR="009E3288" w:rsidRPr="0054110D" w:rsidRDefault="009E3288" w:rsidP="00CE2939">
      <w:pPr>
        <w:pStyle w:val="DipnotMetni"/>
        <w:jc w:val="both"/>
        <w:rPr>
          <w:rFonts w:ascii="Arial" w:hAnsi="Arial" w:cs="Arial"/>
          <w:sz w:val="16"/>
          <w:szCs w:val="16"/>
        </w:rPr>
      </w:pPr>
      <w:r w:rsidRPr="0054110D">
        <w:rPr>
          <w:rStyle w:val="DipnotBavurusu"/>
          <w:rFonts w:ascii="Arial" w:hAnsi="Arial" w:cs="Arial"/>
          <w:sz w:val="16"/>
          <w:szCs w:val="16"/>
        </w:rPr>
        <w:footnoteRef/>
      </w:r>
      <w:r w:rsidRPr="0054110D">
        <w:rPr>
          <w:rFonts w:ascii="Arial" w:hAnsi="Arial" w:cs="Arial"/>
          <w:sz w:val="16"/>
          <w:szCs w:val="16"/>
        </w:rPr>
        <w:t xml:space="preserve"> Makine mü</w:t>
      </w:r>
      <w:r w:rsidR="008A4EB2">
        <w:rPr>
          <w:rFonts w:ascii="Arial" w:hAnsi="Arial" w:cs="Arial"/>
          <w:sz w:val="16"/>
          <w:szCs w:val="16"/>
        </w:rPr>
        <w:t>hendisliği teknoloji grubu mekan</w:t>
      </w:r>
      <w:r w:rsidRPr="0054110D">
        <w:rPr>
          <w:rFonts w:ascii="Arial" w:hAnsi="Arial" w:cs="Arial"/>
          <w:sz w:val="16"/>
          <w:szCs w:val="16"/>
        </w:rPr>
        <w:t xml:space="preserve">ik aletler, motorlar, pompalar, türbinler, tekstil ve </w:t>
      </w:r>
      <w:r w:rsidR="008A4EB2" w:rsidRPr="0054110D">
        <w:rPr>
          <w:rFonts w:ascii="Arial" w:hAnsi="Arial" w:cs="Arial"/>
          <w:sz w:val="16"/>
          <w:szCs w:val="16"/>
        </w:rPr>
        <w:t>kâğıt</w:t>
      </w:r>
      <w:r w:rsidRPr="0054110D">
        <w:rPr>
          <w:rFonts w:ascii="Arial" w:hAnsi="Arial" w:cs="Arial"/>
          <w:sz w:val="16"/>
          <w:szCs w:val="16"/>
        </w:rPr>
        <w:t xml:space="preserve"> makineleri gibi teknolojileri içeriyor.</w:t>
      </w:r>
    </w:p>
  </w:footnote>
  <w:footnote w:id="10">
    <w:p w:rsidR="009E3288" w:rsidRPr="0054110D" w:rsidRDefault="009E3288" w:rsidP="00CE2939">
      <w:pPr>
        <w:pStyle w:val="DipnotMetni"/>
        <w:jc w:val="both"/>
        <w:rPr>
          <w:rFonts w:ascii="Arial" w:hAnsi="Arial" w:cs="Arial"/>
          <w:sz w:val="16"/>
          <w:szCs w:val="16"/>
        </w:rPr>
      </w:pPr>
      <w:r w:rsidRPr="0054110D">
        <w:rPr>
          <w:rStyle w:val="DipnotBavurusu"/>
          <w:rFonts w:ascii="Arial" w:hAnsi="Arial" w:cs="Arial"/>
          <w:sz w:val="16"/>
          <w:szCs w:val="16"/>
        </w:rPr>
        <w:footnoteRef/>
      </w:r>
      <w:r w:rsidRPr="0054110D">
        <w:rPr>
          <w:rFonts w:ascii="Arial" w:hAnsi="Arial" w:cs="Arial"/>
          <w:sz w:val="16"/>
          <w:szCs w:val="16"/>
        </w:rPr>
        <w:t xml:space="preserve"> Diğer alanlar teknoloji grubu mobilya, inşaat mühendisliği ve diğer alanların içine girmeyen teknolojileri içeriyor.</w:t>
      </w:r>
    </w:p>
  </w:footnote>
  <w:footnote w:id="11">
    <w:p w:rsidR="009E3288" w:rsidRPr="00C061E9" w:rsidRDefault="009E3288" w:rsidP="00CE2939">
      <w:pPr>
        <w:pStyle w:val="DipnotMetni"/>
        <w:jc w:val="both"/>
        <w:rPr>
          <w:rFonts w:ascii="Arial" w:hAnsi="Arial" w:cs="Arial"/>
          <w:sz w:val="16"/>
          <w:szCs w:val="16"/>
        </w:rPr>
      </w:pPr>
      <w:r w:rsidRPr="00C061E9">
        <w:rPr>
          <w:rStyle w:val="DipnotBavurusu"/>
          <w:rFonts w:ascii="Arial" w:hAnsi="Arial" w:cs="Arial"/>
          <w:sz w:val="16"/>
          <w:szCs w:val="16"/>
        </w:rPr>
        <w:footnoteRef/>
      </w:r>
      <w:r w:rsidRPr="00C061E9">
        <w:rPr>
          <w:rFonts w:ascii="Arial" w:hAnsi="Arial" w:cs="Arial"/>
          <w:sz w:val="16"/>
          <w:szCs w:val="16"/>
        </w:rPr>
        <w:t xml:space="preserve"> Sınıflandırmaların ayrıntıları için şu makalelere bknz.  Hatzichronoglou, T., 1997. Revision of the High Technology Sector and Product Classification. OECD Science, Technology and Industry Working Papers 1997/02. OECD, 2003. OECD Science, Technology and Industry Scoreboard 2003. OECD Publishing.</w:t>
      </w:r>
    </w:p>
  </w:footnote>
  <w:footnote w:id="12">
    <w:p w:rsidR="009E3288" w:rsidRPr="009E713A" w:rsidRDefault="009E3288" w:rsidP="00CE2939">
      <w:pPr>
        <w:pStyle w:val="DipnotMetni"/>
        <w:jc w:val="both"/>
        <w:rPr>
          <w:rFonts w:ascii="Arial" w:hAnsi="Arial" w:cs="Arial"/>
          <w:sz w:val="16"/>
          <w:szCs w:val="16"/>
        </w:rPr>
      </w:pPr>
      <w:r w:rsidRPr="009E713A">
        <w:rPr>
          <w:rStyle w:val="DipnotBavurusu"/>
          <w:rFonts w:ascii="Arial" w:hAnsi="Arial" w:cs="Arial"/>
          <w:sz w:val="16"/>
          <w:szCs w:val="16"/>
        </w:rPr>
        <w:footnoteRef/>
      </w:r>
      <w:r w:rsidRPr="009E713A">
        <w:rPr>
          <w:rFonts w:ascii="Arial" w:hAnsi="Arial" w:cs="Arial"/>
          <w:sz w:val="16"/>
          <w:szCs w:val="16"/>
        </w:rPr>
        <w:t xml:space="preserve"> Bu grup b</w:t>
      </w:r>
      <w:r w:rsidRPr="009E713A">
        <w:rPr>
          <w:rFonts w:ascii="Arial" w:hAnsi="Arial" w:cs="Arial"/>
          <w:bCs/>
          <w:sz w:val="16"/>
          <w:szCs w:val="16"/>
        </w:rPr>
        <w:t xml:space="preserve">üro, muhasebe ve bilgi işleme </w:t>
      </w:r>
      <w:r w:rsidR="0013774F" w:rsidRPr="009E713A">
        <w:rPr>
          <w:rFonts w:ascii="Arial" w:hAnsi="Arial" w:cs="Arial"/>
          <w:bCs/>
          <w:sz w:val="16"/>
          <w:szCs w:val="16"/>
        </w:rPr>
        <w:t>makinelerini</w:t>
      </w:r>
      <w:r w:rsidRPr="009E713A">
        <w:rPr>
          <w:rFonts w:ascii="Arial" w:hAnsi="Arial" w:cs="Arial"/>
          <w:bCs/>
          <w:sz w:val="16"/>
          <w:szCs w:val="16"/>
        </w:rPr>
        <w:t>, radyo, televizyon, haberleşme teçhizatı ve cihazlarını, tıbbi ve optik enstrümanları, uzay aracı ve uçakları içeriyor</w:t>
      </w:r>
      <w:r>
        <w:rPr>
          <w:rFonts w:ascii="Arial" w:hAnsi="Arial" w:cs="Arial"/>
          <w:bCs/>
          <w:sz w:val="16"/>
          <w:szCs w:val="16"/>
        </w:rPr>
        <w:t>.</w:t>
      </w:r>
    </w:p>
  </w:footnote>
  <w:footnote w:id="13">
    <w:p w:rsidR="009E3288" w:rsidRPr="00221FC3" w:rsidRDefault="009E3288">
      <w:pPr>
        <w:pStyle w:val="DipnotMetni"/>
        <w:rPr>
          <w:rFonts w:ascii="Arial" w:hAnsi="Arial" w:cs="Arial"/>
          <w:sz w:val="16"/>
          <w:szCs w:val="16"/>
        </w:rPr>
      </w:pPr>
      <w:r w:rsidRPr="00221FC3">
        <w:rPr>
          <w:rStyle w:val="DipnotBavurusu"/>
          <w:rFonts w:ascii="Arial" w:hAnsi="Arial" w:cs="Arial"/>
          <w:sz w:val="16"/>
          <w:szCs w:val="16"/>
        </w:rPr>
        <w:footnoteRef/>
      </w:r>
      <w:r w:rsidR="004132E0" w:rsidRPr="004132E0">
        <w:rPr>
          <w:rFonts w:ascii="Arial" w:hAnsi="Arial" w:cs="Arial"/>
          <w:sz w:val="16"/>
          <w:szCs w:val="16"/>
        </w:rPr>
        <w:t xml:space="preserve"> </w:t>
      </w:r>
      <w:r w:rsidRPr="00221FC3">
        <w:rPr>
          <w:rFonts w:ascii="Arial" w:hAnsi="Arial" w:cs="Arial"/>
          <w:sz w:val="16"/>
          <w:szCs w:val="16"/>
        </w:rPr>
        <w:t>Bu sıralamayı yapmak için PISA testinde yaptığımız gibi 2006 yılından beri her raporda var olan ülkeleri alıp diğer ülkeleri veri setinden attık.</w:t>
      </w:r>
    </w:p>
  </w:footnote>
  <w:footnote w:id="14">
    <w:p w:rsidR="009E3288" w:rsidRPr="005B57D1" w:rsidRDefault="009E3288" w:rsidP="00D71392">
      <w:pPr>
        <w:pStyle w:val="DipnotMetni"/>
        <w:rPr>
          <w:rFonts w:ascii="Arial" w:hAnsi="Arial" w:cs="Arial"/>
          <w:sz w:val="16"/>
          <w:szCs w:val="16"/>
        </w:rPr>
      </w:pPr>
      <w:r w:rsidRPr="005B57D1">
        <w:rPr>
          <w:rStyle w:val="DipnotBavurusu"/>
          <w:rFonts w:ascii="Arial" w:hAnsi="Arial" w:cs="Arial"/>
          <w:sz w:val="16"/>
          <w:szCs w:val="16"/>
        </w:rPr>
        <w:footnoteRef/>
      </w:r>
      <w:r w:rsidRPr="005B57D1">
        <w:rPr>
          <w:rFonts w:ascii="Arial" w:hAnsi="Arial" w:cs="Arial"/>
          <w:sz w:val="16"/>
          <w:szCs w:val="16"/>
        </w:rPr>
        <w:t xml:space="preserve"> H-Index sıralamalarını SCImago Makale ve Ülke Sıralaması veritabanından aldık. </w:t>
      </w:r>
      <w:hyperlink r:id="rId1" w:history="1">
        <w:r w:rsidRPr="005B57D1">
          <w:rPr>
            <w:rStyle w:val="Kpr"/>
            <w:rFonts w:ascii="Arial" w:hAnsi="Arial" w:cs="Arial"/>
            <w:sz w:val="16"/>
            <w:szCs w:val="16"/>
          </w:rPr>
          <w:t>http://www.scimagojr.com/countryrank.php</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460BD0"/>
    <w:rsid w:val="00005CA1"/>
    <w:rsid w:val="00005E24"/>
    <w:rsid w:val="000208E8"/>
    <w:rsid w:val="00025C56"/>
    <w:rsid w:val="000335CB"/>
    <w:rsid w:val="00033739"/>
    <w:rsid w:val="000662AA"/>
    <w:rsid w:val="00070911"/>
    <w:rsid w:val="00074098"/>
    <w:rsid w:val="00076AF1"/>
    <w:rsid w:val="000812D7"/>
    <w:rsid w:val="0008507E"/>
    <w:rsid w:val="0009654D"/>
    <w:rsid w:val="000B304A"/>
    <w:rsid w:val="000B474F"/>
    <w:rsid w:val="000C0509"/>
    <w:rsid w:val="000C3901"/>
    <w:rsid w:val="000F42F1"/>
    <w:rsid w:val="00113A77"/>
    <w:rsid w:val="00124279"/>
    <w:rsid w:val="00124F98"/>
    <w:rsid w:val="0012600C"/>
    <w:rsid w:val="001340E8"/>
    <w:rsid w:val="0013774F"/>
    <w:rsid w:val="00141EAF"/>
    <w:rsid w:val="00146316"/>
    <w:rsid w:val="001475D9"/>
    <w:rsid w:val="0017037A"/>
    <w:rsid w:val="00170DEF"/>
    <w:rsid w:val="00173520"/>
    <w:rsid w:val="00174EB3"/>
    <w:rsid w:val="00191A21"/>
    <w:rsid w:val="001C3218"/>
    <w:rsid w:val="001E633A"/>
    <w:rsid w:val="001F2584"/>
    <w:rsid w:val="001F29E8"/>
    <w:rsid w:val="00220951"/>
    <w:rsid w:val="00221FC3"/>
    <w:rsid w:val="00222494"/>
    <w:rsid w:val="00223158"/>
    <w:rsid w:val="002304DF"/>
    <w:rsid w:val="002445DB"/>
    <w:rsid w:val="00254850"/>
    <w:rsid w:val="00256157"/>
    <w:rsid w:val="00257387"/>
    <w:rsid w:val="0026731F"/>
    <w:rsid w:val="00272752"/>
    <w:rsid w:val="00273853"/>
    <w:rsid w:val="002809A4"/>
    <w:rsid w:val="002819E5"/>
    <w:rsid w:val="002A0B36"/>
    <w:rsid w:val="002A3A7E"/>
    <w:rsid w:val="002A53A2"/>
    <w:rsid w:val="002B08B9"/>
    <w:rsid w:val="002B122C"/>
    <w:rsid w:val="002B13B4"/>
    <w:rsid w:val="002C232E"/>
    <w:rsid w:val="002E3ECC"/>
    <w:rsid w:val="002F016B"/>
    <w:rsid w:val="002F3288"/>
    <w:rsid w:val="0031214C"/>
    <w:rsid w:val="0031622B"/>
    <w:rsid w:val="003234A5"/>
    <w:rsid w:val="0032556E"/>
    <w:rsid w:val="00331293"/>
    <w:rsid w:val="00333EA2"/>
    <w:rsid w:val="00334E03"/>
    <w:rsid w:val="00337169"/>
    <w:rsid w:val="00343F2F"/>
    <w:rsid w:val="00350F9A"/>
    <w:rsid w:val="003518AF"/>
    <w:rsid w:val="00352F0C"/>
    <w:rsid w:val="00361CF8"/>
    <w:rsid w:val="003625C6"/>
    <w:rsid w:val="00362EA9"/>
    <w:rsid w:val="003804B5"/>
    <w:rsid w:val="0038206B"/>
    <w:rsid w:val="00393B6D"/>
    <w:rsid w:val="003B1595"/>
    <w:rsid w:val="003B26E8"/>
    <w:rsid w:val="003C5ECD"/>
    <w:rsid w:val="003C777E"/>
    <w:rsid w:val="003D1C32"/>
    <w:rsid w:val="003D4AEC"/>
    <w:rsid w:val="003D661E"/>
    <w:rsid w:val="003E01DB"/>
    <w:rsid w:val="003E0B43"/>
    <w:rsid w:val="003E40E7"/>
    <w:rsid w:val="003E7463"/>
    <w:rsid w:val="003F220A"/>
    <w:rsid w:val="003F314A"/>
    <w:rsid w:val="004120BD"/>
    <w:rsid w:val="004132E0"/>
    <w:rsid w:val="00413828"/>
    <w:rsid w:val="00413E20"/>
    <w:rsid w:val="004262C5"/>
    <w:rsid w:val="0042645F"/>
    <w:rsid w:val="00427BD7"/>
    <w:rsid w:val="00427C01"/>
    <w:rsid w:val="0044317E"/>
    <w:rsid w:val="00447F3E"/>
    <w:rsid w:val="00453E3B"/>
    <w:rsid w:val="00460BD0"/>
    <w:rsid w:val="00465F99"/>
    <w:rsid w:val="00467FB3"/>
    <w:rsid w:val="00474190"/>
    <w:rsid w:val="0048570A"/>
    <w:rsid w:val="00486FAD"/>
    <w:rsid w:val="004874AB"/>
    <w:rsid w:val="00495B86"/>
    <w:rsid w:val="00496F78"/>
    <w:rsid w:val="004B602A"/>
    <w:rsid w:val="004C2ABE"/>
    <w:rsid w:val="004C4452"/>
    <w:rsid w:val="004C4FE3"/>
    <w:rsid w:val="004C6400"/>
    <w:rsid w:val="004C7567"/>
    <w:rsid w:val="004D033B"/>
    <w:rsid w:val="004D2987"/>
    <w:rsid w:val="004E4475"/>
    <w:rsid w:val="004E7A9B"/>
    <w:rsid w:val="0050274C"/>
    <w:rsid w:val="00510674"/>
    <w:rsid w:val="00511770"/>
    <w:rsid w:val="0051413B"/>
    <w:rsid w:val="00515B48"/>
    <w:rsid w:val="0051749C"/>
    <w:rsid w:val="0053032A"/>
    <w:rsid w:val="005325CA"/>
    <w:rsid w:val="00533DE0"/>
    <w:rsid w:val="00535BFB"/>
    <w:rsid w:val="0054110D"/>
    <w:rsid w:val="00543D3E"/>
    <w:rsid w:val="0055061C"/>
    <w:rsid w:val="00570871"/>
    <w:rsid w:val="00574A6C"/>
    <w:rsid w:val="005807DC"/>
    <w:rsid w:val="005817A5"/>
    <w:rsid w:val="005A274C"/>
    <w:rsid w:val="005A449F"/>
    <w:rsid w:val="005A62D0"/>
    <w:rsid w:val="005B57D1"/>
    <w:rsid w:val="005B6723"/>
    <w:rsid w:val="005C0044"/>
    <w:rsid w:val="005D3649"/>
    <w:rsid w:val="005D6243"/>
    <w:rsid w:val="005E18FA"/>
    <w:rsid w:val="005E5609"/>
    <w:rsid w:val="005F0BCD"/>
    <w:rsid w:val="005F2081"/>
    <w:rsid w:val="006002CB"/>
    <w:rsid w:val="00603322"/>
    <w:rsid w:val="0061058F"/>
    <w:rsid w:val="00627E3B"/>
    <w:rsid w:val="00630683"/>
    <w:rsid w:val="00637173"/>
    <w:rsid w:val="006425C3"/>
    <w:rsid w:val="00643F74"/>
    <w:rsid w:val="0066015E"/>
    <w:rsid w:val="006615E6"/>
    <w:rsid w:val="00666586"/>
    <w:rsid w:val="006705EF"/>
    <w:rsid w:val="006844A1"/>
    <w:rsid w:val="006861DD"/>
    <w:rsid w:val="00693846"/>
    <w:rsid w:val="006A4CC0"/>
    <w:rsid w:val="006B285F"/>
    <w:rsid w:val="006C7E1D"/>
    <w:rsid w:val="006D25B6"/>
    <w:rsid w:val="006D45FA"/>
    <w:rsid w:val="006D5756"/>
    <w:rsid w:val="006E58D3"/>
    <w:rsid w:val="006F1D8F"/>
    <w:rsid w:val="006F24D3"/>
    <w:rsid w:val="00706403"/>
    <w:rsid w:val="007178A2"/>
    <w:rsid w:val="007208E8"/>
    <w:rsid w:val="00721F06"/>
    <w:rsid w:val="00732808"/>
    <w:rsid w:val="0073685C"/>
    <w:rsid w:val="00740C63"/>
    <w:rsid w:val="00740FDB"/>
    <w:rsid w:val="0074519E"/>
    <w:rsid w:val="00747ED5"/>
    <w:rsid w:val="007544CB"/>
    <w:rsid w:val="00755111"/>
    <w:rsid w:val="007626FD"/>
    <w:rsid w:val="0076585E"/>
    <w:rsid w:val="0077270A"/>
    <w:rsid w:val="00780E4F"/>
    <w:rsid w:val="007862EE"/>
    <w:rsid w:val="007863C0"/>
    <w:rsid w:val="00791FF5"/>
    <w:rsid w:val="00793016"/>
    <w:rsid w:val="007A4ADA"/>
    <w:rsid w:val="007A5177"/>
    <w:rsid w:val="007A56C3"/>
    <w:rsid w:val="007A6D2B"/>
    <w:rsid w:val="007B3323"/>
    <w:rsid w:val="007B46CB"/>
    <w:rsid w:val="007C7CA1"/>
    <w:rsid w:val="007E7CB8"/>
    <w:rsid w:val="007F0B4B"/>
    <w:rsid w:val="007F1E97"/>
    <w:rsid w:val="007F53D1"/>
    <w:rsid w:val="007F5D7A"/>
    <w:rsid w:val="007F60EC"/>
    <w:rsid w:val="007F79AC"/>
    <w:rsid w:val="00803D38"/>
    <w:rsid w:val="0081624D"/>
    <w:rsid w:val="0082228C"/>
    <w:rsid w:val="00823526"/>
    <w:rsid w:val="008236D7"/>
    <w:rsid w:val="00831FBD"/>
    <w:rsid w:val="008325A9"/>
    <w:rsid w:val="008367C9"/>
    <w:rsid w:val="008434B3"/>
    <w:rsid w:val="00851E16"/>
    <w:rsid w:val="00860ED0"/>
    <w:rsid w:val="00864DB3"/>
    <w:rsid w:val="00872562"/>
    <w:rsid w:val="00873CA8"/>
    <w:rsid w:val="00874250"/>
    <w:rsid w:val="008747E5"/>
    <w:rsid w:val="00883107"/>
    <w:rsid w:val="0088447A"/>
    <w:rsid w:val="008944A5"/>
    <w:rsid w:val="00894DBA"/>
    <w:rsid w:val="008975E6"/>
    <w:rsid w:val="008A3C5C"/>
    <w:rsid w:val="008A4EB2"/>
    <w:rsid w:val="008D1F40"/>
    <w:rsid w:val="008D45BD"/>
    <w:rsid w:val="008E17D2"/>
    <w:rsid w:val="008E7C55"/>
    <w:rsid w:val="008F12D2"/>
    <w:rsid w:val="009026AD"/>
    <w:rsid w:val="00907826"/>
    <w:rsid w:val="00915CDE"/>
    <w:rsid w:val="009218C6"/>
    <w:rsid w:val="009248D9"/>
    <w:rsid w:val="00930BAF"/>
    <w:rsid w:val="00937DBC"/>
    <w:rsid w:val="00946F3F"/>
    <w:rsid w:val="00953E58"/>
    <w:rsid w:val="00957C3D"/>
    <w:rsid w:val="00970272"/>
    <w:rsid w:val="009756AA"/>
    <w:rsid w:val="009804F6"/>
    <w:rsid w:val="00983934"/>
    <w:rsid w:val="00984932"/>
    <w:rsid w:val="009854FF"/>
    <w:rsid w:val="009A2B2E"/>
    <w:rsid w:val="009A482E"/>
    <w:rsid w:val="009C3BCC"/>
    <w:rsid w:val="009C7B0B"/>
    <w:rsid w:val="009E3288"/>
    <w:rsid w:val="009E713A"/>
    <w:rsid w:val="009F21DB"/>
    <w:rsid w:val="009F29FF"/>
    <w:rsid w:val="009F487D"/>
    <w:rsid w:val="00A009B9"/>
    <w:rsid w:val="00A023DE"/>
    <w:rsid w:val="00A132BE"/>
    <w:rsid w:val="00A145E0"/>
    <w:rsid w:val="00A238F7"/>
    <w:rsid w:val="00A34288"/>
    <w:rsid w:val="00A4050A"/>
    <w:rsid w:val="00A47B91"/>
    <w:rsid w:val="00A53B08"/>
    <w:rsid w:val="00A53EBF"/>
    <w:rsid w:val="00A618D5"/>
    <w:rsid w:val="00A7360B"/>
    <w:rsid w:val="00A74AEF"/>
    <w:rsid w:val="00A80FCC"/>
    <w:rsid w:val="00A813EB"/>
    <w:rsid w:val="00A81E85"/>
    <w:rsid w:val="00A83E4C"/>
    <w:rsid w:val="00A8727C"/>
    <w:rsid w:val="00A90629"/>
    <w:rsid w:val="00A91882"/>
    <w:rsid w:val="00A9703E"/>
    <w:rsid w:val="00AB44C0"/>
    <w:rsid w:val="00AC7AE8"/>
    <w:rsid w:val="00AE5A51"/>
    <w:rsid w:val="00AF6D51"/>
    <w:rsid w:val="00B045C6"/>
    <w:rsid w:val="00B11416"/>
    <w:rsid w:val="00B160BF"/>
    <w:rsid w:val="00B21484"/>
    <w:rsid w:val="00B327E3"/>
    <w:rsid w:val="00B329E3"/>
    <w:rsid w:val="00B338F3"/>
    <w:rsid w:val="00B440E7"/>
    <w:rsid w:val="00B45FA2"/>
    <w:rsid w:val="00B46288"/>
    <w:rsid w:val="00B50802"/>
    <w:rsid w:val="00B5366D"/>
    <w:rsid w:val="00B55B2A"/>
    <w:rsid w:val="00B6213F"/>
    <w:rsid w:val="00B638CE"/>
    <w:rsid w:val="00B641C3"/>
    <w:rsid w:val="00B83AEE"/>
    <w:rsid w:val="00B8470B"/>
    <w:rsid w:val="00B90F1C"/>
    <w:rsid w:val="00B93CD3"/>
    <w:rsid w:val="00BA4E40"/>
    <w:rsid w:val="00BA6994"/>
    <w:rsid w:val="00BB02CF"/>
    <w:rsid w:val="00BB0E83"/>
    <w:rsid w:val="00BB306D"/>
    <w:rsid w:val="00BB5C11"/>
    <w:rsid w:val="00BC5643"/>
    <w:rsid w:val="00BD09E9"/>
    <w:rsid w:val="00BD1DBC"/>
    <w:rsid w:val="00BD7408"/>
    <w:rsid w:val="00BE060E"/>
    <w:rsid w:val="00BE1BDA"/>
    <w:rsid w:val="00BE5AC8"/>
    <w:rsid w:val="00BE649A"/>
    <w:rsid w:val="00BF7382"/>
    <w:rsid w:val="00BF7FAF"/>
    <w:rsid w:val="00C061E9"/>
    <w:rsid w:val="00C07AF4"/>
    <w:rsid w:val="00C13C55"/>
    <w:rsid w:val="00C172F6"/>
    <w:rsid w:val="00C2043D"/>
    <w:rsid w:val="00C260E0"/>
    <w:rsid w:val="00C27A72"/>
    <w:rsid w:val="00C44357"/>
    <w:rsid w:val="00C4579F"/>
    <w:rsid w:val="00C54BB7"/>
    <w:rsid w:val="00C7359B"/>
    <w:rsid w:val="00C83802"/>
    <w:rsid w:val="00C96BF1"/>
    <w:rsid w:val="00CA4007"/>
    <w:rsid w:val="00CC7CF6"/>
    <w:rsid w:val="00CD439A"/>
    <w:rsid w:val="00CD445F"/>
    <w:rsid w:val="00CD4BD0"/>
    <w:rsid w:val="00CE2939"/>
    <w:rsid w:val="00CF04A8"/>
    <w:rsid w:val="00CF3D6A"/>
    <w:rsid w:val="00CF55FA"/>
    <w:rsid w:val="00D01C45"/>
    <w:rsid w:val="00D038B6"/>
    <w:rsid w:val="00D13D68"/>
    <w:rsid w:val="00D2258F"/>
    <w:rsid w:val="00D27605"/>
    <w:rsid w:val="00D34065"/>
    <w:rsid w:val="00D534F5"/>
    <w:rsid w:val="00D609B5"/>
    <w:rsid w:val="00D65483"/>
    <w:rsid w:val="00D71392"/>
    <w:rsid w:val="00D83F55"/>
    <w:rsid w:val="00D879C2"/>
    <w:rsid w:val="00D93E20"/>
    <w:rsid w:val="00DA0FC4"/>
    <w:rsid w:val="00DA64A1"/>
    <w:rsid w:val="00DB12FE"/>
    <w:rsid w:val="00DD5C56"/>
    <w:rsid w:val="00DE079F"/>
    <w:rsid w:val="00DF6798"/>
    <w:rsid w:val="00E0056F"/>
    <w:rsid w:val="00E022E5"/>
    <w:rsid w:val="00E06F4F"/>
    <w:rsid w:val="00E1086B"/>
    <w:rsid w:val="00E23895"/>
    <w:rsid w:val="00E4139A"/>
    <w:rsid w:val="00E418EE"/>
    <w:rsid w:val="00E54055"/>
    <w:rsid w:val="00E54D08"/>
    <w:rsid w:val="00E66ACB"/>
    <w:rsid w:val="00E67292"/>
    <w:rsid w:val="00E7506B"/>
    <w:rsid w:val="00E75884"/>
    <w:rsid w:val="00E80E6E"/>
    <w:rsid w:val="00EA199D"/>
    <w:rsid w:val="00EA61FE"/>
    <w:rsid w:val="00EB2ABF"/>
    <w:rsid w:val="00EC01DC"/>
    <w:rsid w:val="00EC6959"/>
    <w:rsid w:val="00EC7398"/>
    <w:rsid w:val="00ED6E21"/>
    <w:rsid w:val="00EE38F8"/>
    <w:rsid w:val="00F226C5"/>
    <w:rsid w:val="00F31073"/>
    <w:rsid w:val="00F3129D"/>
    <w:rsid w:val="00F312EA"/>
    <w:rsid w:val="00F37AA4"/>
    <w:rsid w:val="00F408FA"/>
    <w:rsid w:val="00F435E6"/>
    <w:rsid w:val="00F46B26"/>
    <w:rsid w:val="00F511A5"/>
    <w:rsid w:val="00F56A62"/>
    <w:rsid w:val="00F62B8D"/>
    <w:rsid w:val="00F631EF"/>
    <w:rsid w:val="00F72F16"/>
    <w:rsid w:val="00F77FEB"/>
    <w:rsid w:val="00F82607"/>
    <w:rsid w:val="00F96916"/>
    <w:rsid w:val="00FA1B68"/>
    <w:rsid w:val="00FA2291"/>
    <w:rsid w:val="00FA27DF"/>
    <w:rsid w:val="00FA695D"/>
    <w:rsid w:val="00FB1761"/>
    <w:rsid w:val="00FC0811"/>
    <w:rsid w:val="00FC5130"/>
    <w:rsid w:val="00FD567A"/>
    <w:rsid w:val="00FE3E93"/>
    <w:rsid w:val="00FE575C"/>
    <w:rsid w:val="00FF071C"/>
    <w:rsid w:val="00FF26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50"/>
    <w:pPr>
      <w:suppressAutoHyphens/>
    </w:pPr>
    <w:rPr>
      <w:rFonts w:ascii="Arial" w:hAnsi="Arial" w:cs="Arial"/>
      <w:sz w:val="16"/>
      <w:szCs w:val="16"/>
      <w:lang w:eastAsia="ar-SA"/>
    </w:rPr>
  </w:style>
  <w:style w:type="paragraph" w:styleId="Balk1">
    <w:name w:val="heading 1"/>
    <w:basedOn w:val="Normal"/>
    <w:next w:val="Normal"/>
    <w:link w:val="Balk1Char"/>
    <w:uiPriority w:val="99"/>
    <w:qFormat/>
    <w:rsid w:val="00A132BE"/>
    <w:pPr>
      <w:keepNext/>
      <w:jc w:val="center"/>
      <w:outlineLvl w:val="0"/>
    </w:pPr>
    <w:rPr>
      <w:rFonts w:cs="Times New Roman"/>
      <w:b/>
      <w:iCs/>
      <w:sz w:val="18"/>
      <w:szCs w:val="18"/>
    </w:rPr>
  </w:style>
  <w:style w:type="paragraph" w:styleId="Balk2">
    <w:name w:val="heading 2"/>
    <w:basedOn w:val="Normal"/>
    <w:next w:val="Normal"/>
    <w:link w:val="Balk2Char"/>
    <w:uiPriority w:val="99"/>
    <w:qFormat/>
    <w:rsid w:val="00A132BE"/>
    <w:pPr>
      <w:keepNext/>
      <w:spacing w:before="240" w:after="60"/>
      <w:outlineLvl w:val="1"/>
    </w:pPr>
    <w:rPr>
      <w:b/>
      <w:bCs/>
      <w:i/>
      <w:iCs/>
      <w:sz w:val="28"/>
      <w:szCs w:val="28"/>
      <w:lang w:val="en-GB"/>
    </w:rPr>
  </w:style>
  <w:style w:type="paragraph" w:styleId="Balk3">
    <w:name w:val="heading 3"/>
    <w:basedOn w:val="Normal"/>
    <w:next w:val="Normal"/>
    <w:link w:val="Balk3Char"/>
    <w:uiPriority w:val="99"/>
    <w:qFormat/>
    <w:rsid w:val="00A132BE"/>
    <w:pPr>
      <w:keepNext/>
      <w:spacing w:before="240" w:after="60"/>
      <w:outlineLvl w:val="2"/>
    </w:pPr>
    <w:rPr>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A132BE"/>
    <w:rPr>
      <w:rFonts w:ascii="Arial" w:hAnsi="Arial"/>
      <w:b/>
      <w:iCs/>
      <w:sz w:val="18"/>
      <w:szCs w:val="18"/>
      <w:lang w:val="tr-TR" w:eastAsia="ar-SA"/>
    </w:rPr>
  </w:style>
  <w:style w:type="character" w:customStyle="1" w:styleId="Balk2Char">
    <w:name w:val="Başlık 2 Char"/>
    <w:basedOn w:val="VarsaylanParagrafYazTipi"/>
    <w:link w:val="Balk2"/>
    <w:uiPriority w:val="99"/>
    <w:rsid w:val="00A132BE"/>
    <w:rPr>
      <w:rFonts w:ascii="Arial" w:hAnsi="Arial" w:cs="Arial"/>
      <w:b/>
      <w:bCs/>
      <w:i/>
      <w:iCs/>
      <w:sz w:val="28"/>
      <w:szCs w:val="28"/>
      <w:lang w:val="en-GB" w:eastAsia="ar-SA"/>
    </w:rPr>
  </w:style>
  <w:style w:type="character" w:customStyle="1" w:styleId="Balk3Char">
    <w:name w:val="Başlık 3 Char"/>
    <w:basedOn w:val="VarsaylanParagrafYazTipi"/>
    <w:link w:val="Balk3"/>
    <w:uiPriority w:val="99"/>
    <w:rsid w:val="00A132BE"/>
    <w:rPr>
      <w:rFonts w:ascii="Arial" w:hAnsi="Arial" w:cs="Arial"/>
      <w:b/>
      <w:bCs/>
      <w:sz w:val="26"/>
      <w:szCs w:val="26"/>
      <w:lang w:val="en-GB" w:eastAsia="ar-SA"/>
    </w:rPr>
  </w:style>
  <w:style w:type="paragraph" w:styleId="ResimYazs">
    <w:name w:val="caption"/>
    <w:basedOn w:val="Normal"/>
    <w:next w:val="Normal"/>
    <w:qFormat/>
    <w:rsid w:val="00A132BE"/>
    <w:rPr>
      <w:b/>
      <w:bCs/>
      <w:sz w:val="20"/>
      <w:szCs w:val="20"/>
    </w:rPr>
  </w:style>
  <w:style w:type="character" w:styleId="Gl">
    <w:name w:val="Strong"/>
    <w:basedOn w:val="VarsaylanParagrafYazTipi"/>
    <w:qFormat/>
    <w:rsid w:val="00A132BE"/>
    <w:rPr>
      <w:b/>
      <w:bCs/>
    </w:rPr>
  </w:style>
  <w:style w:type="character" w:styleId="Vurgu">
    <w:name w:val="Emphasis"/>
    <w:basedOn w:val="VarsaylanParagrafYazTipi"/>
    <w:uiPriority w:val="20"/>
    <w:qFormat/>
    <w:rsid w:val="00A132BE"/>
    <w:rPr>
      <w:i/>
      <w:iCs/>
    </w:rPr>
  </w:style>
  <w:style w:type="character" w:styleId="DipnotBavurusu">
    <w:name w:val="footnote reference"/>
    <w:basedOn w:val="VarsaylanParagrafYazTipi"/>
    <w:uiPriority w:val="99"/>
    <w:semiHidden/>
    <w:rsid w:val="00894DBA"/>
    <w:rPr>
      <w:vertAlign w:val="superscript"/>
    </w:rPr>
  </w:style>
  <w:style w:type="paragraph" w:styleId="DipnotMetni">
    <w:name w:val="footnote text"/>
    <w:basedOn w:val="Normal"/>
    <w:link w:val="DipnotMetniChar"/>
    <w:uiPriority w:val="99"/>
    <w:semiHidden/>
    <w:rsid w:val="00894DBA"/>
    <w:rPr>
      <w:rFonts w:ascii="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894DBA"/>
    <w:rPr>
      <w:lang w:eastAsia="ar-SA"/>
    </w:rPr>
  </w:style>
  <w:style w:type="paragraph" w:styleId="stbilgi">
    <w:name w:val="header"/>
    <w:basedOn w:val="Normal"/>
    <w:link w:val="stbilgiChar"/>
    <w:uiPriority w:val="99"/>
    <w:semiHidden/>
    <w:unhideWhenUsed/>
    <w:rsid w:val="004C4FE3"/>
    <w:pPr>
      <w:tabs>
        <w:tab w:val="center" w:pos="4703"/>
        <w:tab w:val="right" w:pos="9406"/>
      </w:tabs>
    </w:pPr>
  </w:style>
  <w:style w:type="character" w:customStyle="1" w:styleId="stbilgiChar">
    <w:name w:val="Üstbilgi Char"/>
    <w:basedOn w:val="VarsaylanParagrafYazTipi"/>
    <w:link w:val="stbilgi"/>
    <w:uiPriority w:val="99"/>
    <w:semiHidden/>
    <w:rsid w:val="004C4FE3"/>
    <w:rPr>
      <w:rFonts w:ascii="Arial" w:hAnsi="Arial" w:cs="Arial"/>
      <w:sz w:val="16"/>
      <w:szCs w:val="16"/>
      <w:lang w:val="en-US" w:eastAsia="ar-SA"/>
    </w:rPr>
  </w:style>
  <w:style w:type="paragraph" w:styleId="Altbilgi">
    <w:name w:val="footer"/>
    <w:basedOn w:val="Normal"/>
    <w:link w:val="AltbilgiChar"/>
    <w:uiPriority w:val="99"/>
    <w:unhideWhenUsed/>
    <w:rsid w:val="004C4FE3"/>
    <w:pPr>
      <w:tabs>
        <w:tab w:val="center" w:pos="4703"/>
        <w:tab w:val="right" w:pos="9406"/>
      </w:tabs>
    </w:pPr>
  </w:style>
  <w:style w:type="character" w:customStyle="1" w:styleId="AltbilgiChar">
    <w:name w:val="Altbilgi Char"/>
    <w:basedOn w:val="VarsaylanParagrafYazTipi"/>
    <w:link w:val="Altbilgi"/>
    <w:uiPriority w:val="99"/>
    <w:rsid w:val="004C4FE3"/>
    <w:rPr>
      <w:rFonts w:ascii="Arial" w:hAnsi="Arial" w:cs="Arial"/>
      <w:sz w:val="16"/>
      <w:szCs w:val="16"/>
      <w:lang w:val="en-US" w:eastAsia="ar-SA"/>
    </w:rPr>
  </w:style>
  <w:style w:type="paragraph" w:styleId="BalonMetni">
    <w:name w:val="Balloon Text"/>
    <w:basedOn w:val="Normal"/>
    <w:link w:val="BalonMetniChar"/>
    <w:uiPriority w:val="99"/>
    <w:semiHidden/>
    <w:unhideWhenUsed/>
    <w:rsid w:val="00C2043D"/>
    <w:rPr>
      <w:rFonts w:ascii="Tahoma" w:hAnsi="Tahoma" w:cs="Tahoma"/>
    </w:rPr>
  </w:style>
  <w:style w:type="character" w:customStyle="1" w:styleId="BalonMetniChar">
    <w:name w:val="Balon Metni Char"/>
    <w:basedOn w:val="VarsaylanParagrafYazTipi"/>
    <w:link w:val="BalonMetni"/>
    <w:uiPriority w:val="99"/>
    <w:semiHidden/>
    <w:rsid w:val="00C2043D"/>
    <w:rPr>
      <w:rFonts w:ascii="Tahoma" w:hAnsi="Tahoma" w:cs="Tahoma"/>
      <w:sz w:val="16"/>
      <w:szCs w:val="16"/>
      <w:lang w:val="en-US" w:eastAsia="ar-SA"/>
    </w:rPr>
  </w:style>
  <w:style w:type="table" w:styleId="TabloKlavuzu">
    <w:name w:val="Table Grid"/>
    <w:basedOn w:val="NormalTablo"/>
    <w:uiPriority w:val="59"/>
    <w:rsid w:val="006E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5B57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50"/>
    <w:pPr>
      <w:suppressAutoHyphens/>
    </w:pPr>
    <w:rPr>
      <w:rFonts w:ascii="Arial" w:hAnsi="Arial" w:cs="Arial"/>
      <w:sz w:val="16"/>
      <w:szCs w:val="16"/>
      <w:lang w:val="en-US" w:eastAsia="ar-SA"/>
    </w:rPr>
  </w:style>
  <w:style w:type="paragraph" w:styleId="Heading1">
    <w:name w:val="heading 1"/>
    <w:basedOn w:val="Normal"/>
    <w:next w:val="Normal"/>
    <w:link w:val="Heading1Char"/>
    <w:uiPriority w:val="99"/>
    <w:qFormat/>
    <w:rsid w:val="00A132BE"/>
    <w:pPr>
      <w:keepNext/>
      <w:jc w:val="center"/>
      <w:outlineLvl w:val="0"/>
    </w:pPr>
    <w:rPr>
      <w:rFonts w:cs="Times New Roman"/>
      <w:b/>
      <w:iCs/>
      <w:sz w:val="18"/>
      <w:szCs w:val="18"/>
      <w:lang w:val="tr-TR"/>
    </w:rPr>
  </w:style>
  <w:style w:type="paragraph" w:styleId="Heading2">
    <w:name w:val="heading 2"/>
    <w:basedOn w:val="Normal"/>
    <w:next w:val="Normal"/>
    <w:link w:val="Heading2Char"/>
    <w:uiPriority w:val="99"/>
    <w:qFormat/>
    <w:rsid w:val="00A132BE"/>
    <w:pPr>
      <w:keepNext/>
      <w:spacing w:before="240" w:after="60"/>
      <w:outlineLvl w:val="1"/>
    </w:pPr>
    <w:rPr>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2BE"/>
    <w:rPr>
      <w:rFonts w:ascii="Arial" w:hAnsi="Arial"/>
      <w:b/>
      <w:iCs/>
      <w:sz w:val="18"/>
      <w:szCs w:val="18"/>
      <w:lang w:val="tr-TR" w:eastAsia="ar-SA"/>
    </w:rPr>
  </w:style>
  <w:style w:type="character" w:customStyle="1" w:styleId="Heading2Char">
    <w:name w:val="Heading 2 Char"/>
    <w:basedOn w:val="DefaultParagraphFont"/>
    <w:link w:val="Heading2"/>
    <w:uiPriority w:val="99"/>
    <w:rsid w:val="00A132BE"/>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basedOn w:val="DefaultParagraphFont"/>
    <w:qFormat/>
    <w:rsid w:val="00A132BE"/>
    <w:rPr>
      <w:b/>
      <w:bCs/>
    </w:rPr>
  </w:style>
  <w:style w:type="character" w:styleId="Emphasis">
    <w:name w:val="Emphasis"/>
    <w:basedOn w:val="DefaultParagraphFont"/>
    <w:uiPriority w:val="20"/>
    <w:qFormat/>
    <w:rsid w:val="00A132BE"/>
    <w:rPr>
      <w:i/>
      <w:iCs/>
    </w:rPr>
  </w:style>
  <w:style w:type="character" w:styleId="FootnoteReference">
    <w:name w:val="footnote reference"/>
    <w:basedOn w:val="DefaultParagraphFont"/>
    <w:uiPriority w:val="99"/>
    <w:semiHidden/>
    <w:rsid w:val="00894DBA"/>
    <w:rPr>
      <w:vertAlign w:val="superscript"/>
    </w:rPr>
  </w:style>
  <w:style w:type="paragraph" w:styleId="FootnoteText">
    <w:name w:val="footnote text"/>
    <w:basedOn w:val="Normal"/>
    <w:link w:val="FootnoteTextChar"/>
    <w:uiPriority w:val="99"/>
    <w:semiHidden/>
    <w:rsid w:val="00894DBA"/>
    <w:rPr>
      <w:rFonts w:ascii="Times New Roman" w:hAnsi="Times New Roman" w:cs="Times New Roman"/>
      <w:sz w:val="20"/>
      <w:szCs w:val="20"/>
      <w:lang w:val="tr-TR"/>
    </w:rPr>
  </w:style>
  <w:style w:type="character" w:customStyle="1" w:styleId="FootnoteTextChar">
    <w:name w:val="Footnote Text Char"/>
    <w:basedOn w:val="DefaultParagraphFont"/>
    <w:link w:val="FootnoteText"/>
    <w:uiPriority w:val="99"/>
    <w:semiHidden/>
    <w:rsid w:val="00894DBA"/>
    <w:rPr>
      <w:lang w:eastAsia="ar-SA"/>
    </w:rPr>
  </w:style>
  <w:style w:type="paragraph" w:styleId="Header">
    <w:name w:val="header"/>
    <w:basedOn w:val="Normal"/>
    <w:link w:val="HeaderChar"/>
    <w:uiPriority w:val="99"/>
    <w:semiHidden/>
    <w:unhideWhenUsed/>
    <w:rsid w:val="004C4FE3"/>
    <w:pPr>
      <w:tabs>
        <w:tab w:val="center" w:pos="4703"/>
        <w:tab w:val="right" w:pos="9406"/>
      </w:tabs>
    </w:pPr>
  </w:style>
  <w:style w:type="character" w:customStyle="1" w:styleId="HeaderChar">
    <w:name w:val="Header Char"/>
    <w:basedOn w:val="DefaultParagraphFont"/>
    <w:link w:val="Header"/>
    <w:uiPriority w:val="99"/>
    <w:semiHidden/>
    <w:rsid w:val="004C4FE3"/>
    <w:rPr>
      <w:rFonts w:ascii="Arial" w:hAnsi="Arial" w:cs="Arial"/>
      <w:sz w:val="16"/>
      <w:szCs w:val="16"/>
      <w:lang w:val="en-US" w:eastAsia="ar-SA"/>
    </w:rPr>
  </w:style>
  <w:style w:type="paragraph" w:styleId="Footer">
    <w:name w:val="footer"/>
    <w:basedOn w:val="Normal"/>
    <w:link w:val="FooterChar"/>
    <w:uiPriority w:val="99"/>
    <w:unhideWhenUsed/>
    <w:rsid w:val="004C4FE3"/>
    <w:pPr>
      <w:tabs>
        <w:tab w:val="center" w:pos="4703"/>
        <w:tab w:val="right" w:pos="9406"/>
      </w:tabs>
    </w:pPr>
  </w:style>
  <w:style w:type="character" w:customStyle="1" w:styleId="FooterChar">
    <w:name w:val="Footer Char"/>
    <w:basedOn w:val="DefaultParagraphFont"/>
    <w:link w:val="Footer"/>
    <w:uiPriority w:val="99"/>
    <w:rsid w:val="004C4FE3"/>
    <w:rPr>
      <w:rFonts w:ascii="Arial" w:hAnsi="Arial" w:cs="Arial"/>
      <w:sz w:val="16"/>
      <w:szCs w:val="16"/>
      <w:lang w:val="en-US" w:eastAsia="ar-SA"/>
    </w:rPr>
  </w:style>
  <w:style w:type="paragraph" w:styleId="BalloonText">
    <w:name w:val="Balloon Text"/>
    <w:basedOn w:val="Normal"/>
    <w:link w:val="BalloonTextChar"/>
    <w:uiPriority w:val="99"/>
    <w:semiHidden/>
    <w:unhideWhenUsed/>
    <w:rsid w:val="00C2043D"/>
    <w:rPr>
      <w:rFonts w:ascii="Tahoma" w:hAnsi="Tahoma" w:cs="Tahoma"/>
    </w:rPr>
  </w:style>
  <w:style w:type="character" w:customStyle="1" w:styleId="BalloonTextChar">
    <w:name w:val="Balloon Text Char"/>
    <w:basedOn w:val="DefaultParagraphFont"/>
    <w:link w:val="BalloonText"/>
    <w:uiPriority w:val="99"/>
    <w:semiHidden/>
    <w:rsid w:val="00C2043D"/>
    <w:rPr>
      <w:rFonts w:ascii="Tahoma" w:hAnsi="Tahoma" w:cs="Tahoma"/>
      <w:sz w:val="16"/>
      <w:szCs w:val="16"/>
      <w:lang w:val="en-US" w:eastAsia="ar-SA"/>
    </w:rPr>
  </w:style>
  <w:style w:type="table" w:styleId="TableGrid">
    <w:name w:val="Table Grid"/>
    <w:basedOn w:val="TableNormal"/>
    <w:uiPriority w:val="59"/>
    <w:rsid w:val="006E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B57D1"/>
    <w:rPr>
      <w:color w:val="0000FF"/>
      <w:u w:val="single"/>
    </w:rPr>
  </w:style>
</w:styles>
</file>

<file path=word/webSettings.xml><?xml version="1.0" encoding="utf-8"?>
<w:webSettings xmlns:r="http://schemas.openxmlformats.org/officeDocument/2006/relationships" xmlns:w="http://schemas.openxmlformats.org/wordprocessingml/2006/main">
  <w:divs>
    <w:div w:id="303431808">
      <w:bodyDiv w:val="1"/>
      <w:marLeft w:val="0"/>
      <w:marRight w:val="0"/>
      <w:marTop w:val="0"/>
      <w:marBottom w:val="0"/>
      <w:divBdr>
        <w:top w:val="none" w:sz="0" w:space="0" w:color="auto"/>
        <w:left w:val="none" w:sz="0" w:space="0" w:color="auto"/>
        <w:bottom w:val="none" w:sz="0" w:space="0" w:color="auto"/>
        <w:right w:val="none" w:sz="0" w:space="0" w:color="auto"/>
      </w:divBdr>
    </w:div>
    <w:div w:id="504517990">
      <w:bodyDiv w:val="1"/>
      <w:marLeft w:val="0"/>
      <w:marRight w:val="0"/>
      <w:marTop w:val="0"/>
      <w:marBottom w:val="0"/>
      <w:divBdr>
        <w:top w:val="none" w:sz="0" w:space="0" w:color="auto"/>
        <w:left w:val="none" w:sz="0" w:space="0" w:color="auto"/>
        <w:bottom w:val="none" w:sz="0" w:space="0" w:color="auto"/>
        <w:right w:val="none" w:sz="0" w:space="0" w:color="auto"/>
      </w:divBdr>
    </w:div>
    <w:div w:id="918952006">
      <w:bodyDiv w:val="1"/>
      <w:marLeft w:val="0"/>
      <w:marRight w:val="0"/>
      <w:marTop w:val="0"/>
      <w:marBottom w:val="0"/>
      <w:divBdr>
        <w:top w:val="none" w:sz="0" w:space="0" w:color="auto"/>
        <w:left w:val="none" w:sz="0" w:space="0" w:color="auto"/>
        <w:bottom w:val="none" w:sz="0" w:space="0" w:color="auto"/>
        <w:right w:val="none" w:sz="0" w:space="0" w:color="auto"/>
      </w:divBdr>
    </w:div>
    <w:div w:id="966350573">
      <w:bodyDiv w:val="1"/>
      <w:marLeft w:val="0"/>
      <w:marRight w:val="0"/>
      <w:marTop w:val="0"/>
      <w:marBottom w:val="0"/>
      <w:divBdr>
        <w:top w:val="none" w:sz="0" w:space="0" w:color="auto"/>
        <w:left w:val="none" w:sz="0" w:space="0" w:color="auto"/>
        <w:bottom w:val="none" w:sz="0" w:space="0" w:color="auto"/>
        <w:right w:val="none" w:sz="0" w:space="0" w:color="auto"/>
      </w:divBdr>
    </w:div>
    <w:div w:id="1016930389">
      <w:bodyDiv w:val="1"/>
      <w:marLeft w:val="0"/>
      <w:marRight w:val="0"/>
      <w:marTop w:val="0"/>
      <w:marBottom w:val="0"/>
      <w:divBdr>
        <w:top w:val="none" w:sz="0" w:space="0" w:color="auto"/>
        <w:left w:val="none" w:sz="0" w:space="0" w:color="auto"/>
        <w:bottom w:val="none" w:sz="0" w:space="0" w:color="auto"/>
        <w:right w:val="none" w:sz="0" w:space="0" w:color="auto"/>
      </w:divBdr>
    </w:div>
    <w:div w:id="1190990026">
      <w:bodyDiv w:val="1"/>
      <w:marLeft w:val="0"/>
      <w:marRight w:val="0"/>
      <w:marTop w:val="0"/>
      <w:marBottom w:val="0"/>
      <w:divBdr>
        <w:top w:val="none" w:sz="0" w:space="0" w:color="auto"/>
        <w:left w:val="none" w:sz="0" w:space="0" w:color="auto"/>
        <w:bottom w:val="none" w:sz="0" w:space="0" w:color="auto"/>
        <w:right w:val="none" w:sz="0" w:space="0" w:color="auto"/>
      </w:divBdr>
    </w:div>
    <w:div w:id="1234051248">
      <w:bodyDiv w:val="1"/>
      <w:marLeft w:val="0"/>
      <w:marRight w:val="0"/>
      <w:marTop w:val="0"/>
      <w:marBottom w:val="0"/>
      <w:divBdr>
        <w:top w:val="none" w:sz="0" w:space="0" w:color="auto"/>
        <w:left w:val="none" w:sz="0" w:space="0" w:color="auto"/>
        <w:bottom w:val="none" w:sz="0" w:space="0" w:color="auto"/>
        <w:right w:val="none" w:sz="0" w:space="0" w:color="auto"/>
      </w:divBdr>
    </w:div>
    <w:div w:id="1370716653">
      <w:bodyDiv w:val="1"/>
      <w:marLeft w:val="0"/>
      <w:marRight w:val="0"/>
      <w:marTop w:val="0"/>
      <w:marBottom w:val="0"/>
      <w:divBdr>
        <w:top w:val="none" w:sz="0" w:space="0" w:color="auto"/>
        <w:left w:val="none" w:sz="0" w:space="0" w:color="auto"/>
        <w:bottom w:val="none" w:sz="0" w:space="0" w:color="auto"/>
        <w:right w:val="none" w:sz="0" w:space="0" w:color="auto"/>
      </w:divBdr>
    </w:div>
    <w:div w:id="155892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http://www.scimagojr.com/countryran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477F-D0E0-4078-B8AB-E8864A9F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2685</Words>
  <Characters>15308</Characters>
  <Application>Microsoft Office Word</Application>
  <DocSecurity>0</DocSecurity>
  <Lines>127</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aysenur acar</dc:creator>
  <cp:lastModifiedBy>merve.akgul</cp:lastModifiedBy>
  <cp:revision>12</cp:revision>
  <cp:lastPrinted>2013-12-06T13:19:00Z</cp:lastPrinted>
  <dcterms:created xsi:type="dcterms:W3CDTF">2013-12-06T12:34:00Z</dcterms:created>
  <dcterms:modified xsi:type="dcterms:W3CDTF">2013-12-06T13:24:00Z</dcterms:modified>
</cp:coreProperties>
</file>