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FD" w:rsidRDefault="005A18F8" w:rsidP="00AE0BBB">
      <w:pPr>
        <w:spacing w:line="288" w:lineRule="auto"/>
        <w:ind w:right="-319"/>
        <w:jc w:val="center"/>
        <w:rPr>
          <w:rFonts w:ascii="Arial" w:hAnsi="Arial" w:cs="Arial"/>
          <w:b/>
          <w:bCs/>
          <w:sz w:val="20"/>
          <w:szCs w:val="20"/>
        </w:rPr>
      </w:pPr>
      <w:r w:rsidRPr="005A18F8">
        <w:rPr>
          <w:noProof/>
        </w:rPr>
        <w:pict>
          <v:shapetype id="_x0000_t202" coordsize="21600,21600" o:spt="202" path="m,l,21600r21600,l21600,xe">
            <v:stroke joinstyle="miter"/>
            <v:path gradientshapeok="t" o:connecttype="rect"/>
          </v:shapetype>
          <v:shape id="_x0000_s1026" type="#_x0000_t202" style="position:absolute;left:0;text-align:left;margin-left:99pt;margin-top:0;width:342pt;height:45pt;z-index:251657216;mso-wrap-distance-left:9.05pt;mso-wrap-distance-right:9.05pt" stroked="f">
            <v:fill opacity="0" color2="black"/>
            <v:textbox style="mso-next-textbox:#_x0000_s1026" inset="0,0,0,0">
              <w:txbxContent>
                <w:p w:rsidR="00B834FD" w:rsidRDefault="00B834FD" w:rsidP="00803E3E">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BB5D9F" w:rsidP="00803E3E">
                  <w:pPr>
                    <w:pStyle w:val="Balk1"/>
                    <w:rPr>
                      <w:rFonts w:ascii="Times New Roman" w:hAnsi="Times New Roman" w:cs="Times New Roman"/>
                      <w:sz w:val="40"/>
                      <w:szCs w:val="40"/>
                    </w:rPr>
                  </w:pPr>
                  <w:r>
                    <w:rPr>
                      <w:rFonts w:ascii="Times New Roman" w:hAnsi="Times New Roman" w:cs="Times New Roman"/>
                      <w:sz w:val="40"/>
                      <w:szCs w:val="40"/>
                    </w:rPr>
                    <w:t>2013 2</w:t>
                  </w:r>
                  <w:r w:rsidR="00B834FD" w:rsidRPr="00803E3E">
                    <w:rPr>
                      <w:rFonts w:ascii="Times New Roman" w:hAnsi="Times New Roman" w:cs="Times New Roman"/>
                      <w:sz w:val="40"/>
                      <w:szCs w:val="40"/>
                    </w:rPr>
                    <w:t>. Çeyrek</w:t>
                  </w:r>
                </w:p>
                <w:p w:rsidR="00B834FD" w:rsidRPr="00526178" w:rsidRDefault="00B834FD" w:rsidP="007750EF">
                  <w:pPr>
                    <w:pStyle w:val="Balk2"/>
                    <w:rPr>
                      <w:b w:val="0"/>
                      <w:bCs w:val="0"/>
                      <w:i w:val="0"/>
                      <w:iCs w:val="0"/>
                    </w:rPr>
                  </w:pPr>
                </w:p>
              </w:txbxContent>
            </v:textbox>
          </v:shape>
        </w:pict>
      </w:r>
      <w:r w:rsidRPr="005A18F8">
        <w:rPr>
          <w:noProof/>
        </w:rPr>
        <w:pict>
          <v:shape id="_x0000_s1027" type="#_x0000_t202" style="position:absolute;left:0;text-align:left;margin-left:376.7pt;margin-top:51.45pt;width:134.8pt;height:35.8pt;z-index:251658240;mso-wrap-distance-left:9.05pt;mso-wrap-distance-right:9.05pt" stroked="f">
            <v:fill opacity="0" color2="black"/>
            <v:textbox style="mso-next-textbox:#_x0000_s1027" inset="0,0,0,0">
              <w:txbxContent>
                <w:p w:rsidR="00B834FD" w:rsidRDefault="00BB5D9F" w:rsidP="007750EF">
                  <w:pPr>
                    <w:pStyle w:val="Balk3"/>
                    <w:rPr>
                      <w:color w:val="FFFFFF"/>
                      <w:sz w:val="22"/>
                      <w:szCs w:val="22"/>
                      <w:lang w:val="tr-TR"/>
                    </w:rPr>
                  </w:pPr>
                  <w:r>
                    <w:rPr>
                      <w:color w:val="FFFFFF"/>
                      <w:sz w:val="22"/>
                      <w:szCs w:val="22"/>
                    </w:rPr>
                    <w:t xml:space="preserve">                      10.09</w:t>
                  </w:r>
                  <w:r w:rsidR="00B834FD">
                    <w:rPr>
                      <w:color w:val="FFFFFF"/>
                      <w:sz w:val="22"/>
                      <w:szCs w:val="22"/>
                    </w:rPr>
                    <w:t>.</w:t>
                  </w:r>
                  <w:r w:rsidR="00B834FD">
                    <w:rPr>
                      <w:color w:val="FFFFFF"/>
                      <w:sz w:val="22"/>
                      <w:szCs w:val="22"/>
                      <w:lang w:val="tr-TR"/>
                    </w:rPr>
                    <w:t>2013</w:t>
                  </w:r>
                </w:p>
                <w:p w:rsidR="00B834FD" w:rsidRDefault="00B834FD" w:rsidP="007750EF"/>
              </w:txbxContent>
            </v:textbox>
          </v:shape>
        </w:pic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Default="00B834FD" w:rsidP="007750EF">
      <w:pPr>
        <w:spacing w:line="288" w:lineRule="auto"/>
        <w:ind w:right="-319"/>
        <w:outlineLvl w:val="0"/>
        <w:rPr>
          <w:rFonts w:ascii="Arial" w:hAnsi="Arial" w:cs="Arial"/>
          <w:b/>
          <w:bCs/>
          <w:sz w:val="28"/>
          <w:szCs w:val="28"/>
        </w:rPr>
      </w:pPr>
    </w:p>
    <w:p w:rsidR="00F150C7" w:rsidRPr="00DD51D1" w:rsidRDefault="00F150C7" w:rsidP="007750EF">
      <w:pPr>
        <w:spacing w:line="288" w:lineRule="auto"/>
        <w:ind w:right="-319"/>
        <w:outlineLvl w:val="0"/>
        <w:rPr>
          <w:rFonts w:ascii="Arial" w:hAnsi="Arial" w:cs="Arial"/>
          <w:b/>
          <w:bCs/>
          <w:sz w:val="28"/>
          <w:szCs w:val="28"/>
        </w:rPr>
      </w:pPr>
    </w:p>
    <w:p w:rsidR="00B834FD" w:rsidRPr="00C87DB6" w:rsidRDefault="00FE3245" w:rsidP="00C805B9">
      <w:pPr>
        <w:spacing w:line="288" w:lineRule="auto"/>
        <w:ind w:right="-319"/>
        <w:jc w:val="center"/>
        <w:outlineLvl w:val="0"/>
        <w:rPr>
          <w:rFonts w:ascii="Arial" w:hAnsi="Arial" w:cs="Arial"/>
          <w:b/>
          <w:bCs/>
          <w:sz w:val="28"/>
          <w:szCs w:val="28"/>
        </w:rPr>
      </w:pPr>
      <w:r w:rsidRPr="00FE3245">
        <w:rPr>
          <w:rFonts w:ascii="Arial" w:hAnsi="Arial" w:cs="Arial"/>
          <w:b/>
          <w:bCs/>
          <w:sz w:val="28"/>
          <w:szCs w:val="28"/>
        </w:rPr>
        <w:t>EKONOMİK BÜYÜMEDE HIZLANMA</w:t>
      </w:r>
      <w:bookmarkStart w:id="0" w:name="_GoBack"/>
      <w:bookmarkEnd w:id="0"/>
    </w:p>
    <w:p w:rsidR="00B834FD" w:rsidRDefault="00B834FD" w:rsidP="00C805B9">
      <w:pPr>
        <w:spacing w:line="288" w:lineRule="auto"/>
        <w:ind w:right="-319"/>
        <w:jc w:val="center"/>
        <w:outlineLvl w:val="0"/>
        <w:rPr>
          <w:rFonts w:ascii="Arial" w:hAnsi="Arial" w:cs="Arial"/>
          <w:b/>
          <w:bCs/>
          <w:sz w:val="22"/>
          <w:szCs w:val="22"/>
        </w:rPr>
      </w:pPr>
    </w:p>
    <w:p w:rsidR="00F150C7" w:rsidRPr="00DD51D1" w:rsidRDefault="00F150C7"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ve Barış Soybilgen</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9"/>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 Safi Yurtiçi Hasıla (GSYH) 2013</w:t>
      </w:r>
      <w:r w:rsidRPr="00DD51D1">
        <w:rPr>
          <w:rFonts w:ascii="Arial" w:hAnsi="Arial" w:cs="Arial"/>
          <w:sz w:val="20"/>
          <w:szCs w:val="20"/>
        </w:rPr>
        <w:t xml:space="preserve"> </w:t>
      </w:r>
      <w:r w:rsidR="003A0527">
        <w:rPr>
          <w:rFonts w:ascii="Arial" w:hAnsi="Arial" w:cs="Arial"/>
          <w:sz w:val="20"/>
          <w:szCs w:val="20"/>
        </w:rPr>
        <w:t>ikinci</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3A0527">
        <w:rPr>
          <w:rFonts w:ascii="Arial" w:hAnsi="Arial" w:cs="Arial"/>
          <w:sz w:val="20"/>
          <w:szCs w:val="20"/>
        </w:rPr>
        <w:t>4,4</w:t>
      </w:r>
      <w:r w:rsidRPr="00DD51D1">
        <w:rPr>
          <w:rFonts w:ascii="Arial" w:hAnsi="Arial" w:cs="Arial"/>
          <w:sz w:val="20"/>
          <w:szCs w:val="20"/>
        </w:rPr>
        <w:t xml:space="preserve"> büyüdü. </w:t>
      </w:r>
      <w:r>
        <w:rPr>
          <w:rFonts w:ascii="Arial" w:hAnsi="Arial" w:cs="Arial"/>
          <w:sz w:val="20"/>
          <w:szCs w:val="20"/>
        </w:rPr>
        <w:t>Mevsim ve takvim etkisindan arındırılmış büyüme oranı 2013</w:t>
      </w:r>
      <w:r w:rsidR="003A0527">
        <w:rPr>
          <w:rFonts w:ascii="Arial" w:hAnsi="Arial" w:cs="Arial"/>
          <w:sz w:val="20"/>
          <w:szCs w:val="20"/>
        </w:rPr>
        <w:t xml:space="preserve"> ikinci</w:t>
      </w:r>
      <w:r>
        <w:rPr>
          <w:rFonts w:ascii="Arial" w:hAnsi="Arial" w:cs="Arial"/>
          <w:sz w:val="20"/>
          <w:szCs w:val="20"/>
        </w:rPr>
        <w:t xml:space="preserve"> çeyrekte </w:t>
      </w:r>
      <w:r w:rsidR="003A0527">
        <w:rPr>
          <w:rFonts w:ascii="Arial" w:hAnsi="Arial" w:cs="Arial"/>
          <w:sz w:val="20"/>
          <w:szCs w:val="20"/>
        </w:rPr>
        <w:t>ilk</w:t>
      </w:r>
      <w:r>
        <w:rPr>
          <w:rFonts w:ascii="Arial" w:hAnsi="Arial" w:cs="Arial"/>
          <w:sz w:val="20"/>
          <w:szCs w:val="20"/>
        </w:rPr>
        <w:t xml:space="preserve"> çeyreğ</w:t>
      </w:r>
      <w:r w:rsidR="003A0527">
        <w:rPr>
          <w:rFonts w:ascii="Arial" w:hAnsi="Arial" w:cs="Arial"/>
          <w:sz w:val="20"/>
          <w:szCs w:val="20"/>
        </w:rPr>
        <w:t>e</w:t>
      </w:r>
      <w:r>
        <w:rPr>
          <w:rFonts w:ascii="Arial" w:hAnsi="Arial" w:cs="Arial"/>
          <w:sz w:val="20"/>
          <w:szCs w:val="20"/>
        </w:rPr>
        <w:t xml:space="preserve"> kıyasla yüzde </w:t>
      </w:r>
      <w:r w:rsidR="003A0527">
        <w:rPr>
          <w:rFonts w:ascii="Arial" w:hAnsi="Arial" w:cs="Arial"/>
          <w:sz w:val="20"/>
          <w:szCs w:val="20"/>
        </w:rPr>
        <w:t>2</w:t>
      </w:r>
      <w:r>
        <w:rPr>
          <w:rFonts w:ascii="Arial" w:hAnsi="Arial" w:cs="Arial"/>
          <w:sz w:val="20"/>
          <w:szCs w:val="20"/>
        </w:rPr>
        <w:t>,</w:t>
      </w:r>
      <w:r w:rsidR="003A0527">
        <w:rPr>
          <w:rFonts w:ascii="Arial" w:hAnsi="Arial" w:cs="Arial"/>
          <w:sz w:val="20"/>
          <w:szCs w:val="20"/>
        </w:rPr>
        <w:t>1</w:t>
      </w:r>
      <w:r>
        <w:rPr>
          <w:rFonts w:ascii="Arial" w:hAnsi="Arial" w:cs="Arial"/>
          <w:sz w:val="20"/>
          <w:szCs w:val="20"/>
        </w:rPr>
        <w:t xml:space="preserve"> oldu. </w:t>
      </w:r>
      <w:r w:rsidR="003A0527">
        <w:rPr>
          <w:rFonts w:ascii="Arial" w:hAnsi="Arial" w:cs="Arial"/>
          <w:sz w:val="20"/>
          <w:szCs w:val="20"/>
        </w:rPr>
        <w:t>İlk çeyrekte</w:t>
      </w:r>
      <w:r>
        <w:rPr>
          <w:rFonts w:ascii="Arial" w:hAnsi="Arial" w:cs="Arial"/>
          <w:sz w:val="20"/>
          <w:szCs w:val="20"/>
        </w:rPr>
        <w:t xml:space="preserve"> ekonomi bir önceki çeyreğe göre yüzde </w:t>
      </w:r>
      <w:r w:rsidR="003A0527">
        <w:rPr>
          <w:rFonts w:ascii="Arial" w:hAnsi="Arial" w:cs="Arial"/>
          <w:sz w:val="20"/>
          <w:szCs w:val="20"/>
        </w:rPr>
        <w:t>1</w:t>
      </w:r>
      <w:r>
        <w:rPr>
          <w:rFonts w:ascii="Arial" w:hAnsi="Arial" w:cs="Arial"/>
          <w:sz w:val="20"/>
          <w:szCs w:val="20"/>
        </w:rPr>
        <w:t>,</w:t>
      </w:r>
      <w:r w:rsidR="003A0527">
        <w:rPr>
          <w:rFonts w:ascii="Arial" w:hAnsi="Arial" w:cs="Arial"/>
          <w:sz w:val="20"/>
          <w:szCs w:val="20"/>
        </w:rPr>
        <w:t>6</w:t>
      </w:r>
      <w:r>
        <w:rPr>
          <w:rFonts w:ascii="Arial" w:hAnsi="Arial" w:cs="Arial"/>
          <w:sz w:val="20"/>
          <w:szCs w:val="20"/>
        </w:rPr>
        <w:t xml:space="preserve"> </w:t>
      </w:r>
      <w:r w:rsidR="003A0527">
        <w:rPr>
          <w:rFonts w:ascii="Arial" w:hAnsi="Arial" w:cs="Arial"/>
          <w:sz w:val="20"/>
          <w:szCs w:val="20"/>
        </w:rPr>
        <w:t xml:space="preserve">oranında </w:t>
      </w:r>
      <w:r>
        <w:rPr>
          <w:rFonts w:ascii="Arial" w:hAnsi="Arial" w:cs="Arial"/>
          <w:sz w:val="20"/>
          <w:szCs w:val="20"/>
        </w:rPr>
        <w:t xml:space="preserve">büyümüştü. </w:t>
      </w:r>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B834FD" w:rsidRDefault="00B834FD" w:rsidP="00470351">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Betam</w:t>
      </w:r>
      <w:r>
        <w:rPr>
          <w:rFonts w:ascii="Arial" w:hAnsi="Arial" w:cs="Arial"/>
          <w:sz w:val="20"/>
          <w:szCs w:val="20"/>
        </w:rPr>
        <w:t xml:space="preserve">’ın büyümeyi alt kalemlerine ayırarak yaptığı mevsimsellikten arındırma analizine göre büyümenin ana kaynağı </w:t>
      </w:r>
      <w:r w:rsidR="00202B57">
        <w:rPr>
          <w:rFonts w:ascii="Arial" w:hAnsi="Arial" w:cs="Arial"/>
          <w:sz w:val="20"/>
          <w:szCs w:val="20"/>
        </w:rPr>
        <w:t>stoklardaki</w:t>
      </w:r>
      <w:r>
        <w:rPr>
          <w:rFonts w:ascii="Arial" w:hAnsi="Arial" w:cs="Arial"/>
          <w:sz w:val="20"/>
          <w:szCs w:val="20"/>
        </w:rPr>
        <w:t xml:space="preserve"> artış oldu. Özel yatırım</w:t>
      </w:r>
      <w:r w:rsidR="00202B57">
        <w:rPr>
          <w:rFonts w:ascii="Arial" w:hAnsi="Arial" w:cs="Arial"/>
          <w:sz w:val="20"/>
          <w:szCs w:val="20"/>
        </w:rPr>
        <w:t xml:space="preserve"> ve tüketimin büyümeye katkısı sınırlı</w:t>
      </w:r>
      <w:r>
        <w:rPr>
          <w:rFonts w:ascii="Arial" w:hAnsi="Arial" w:cs="Arial"/>
          <w:sz w:val="20"/>
          <w:szCs w:val="20"/>
        </w:rPr>
        <w:t xml:space="preserve"> kalırken, kamu harcamaları </w:t>
      </w:r>
      <w:r w:rsidR="00202B57">
        <w:rPr>
          <w:rFonts w:ascii="Arial" w:hAnsi="Arial" w:cs="Arial"/>
          <w:sz w:val="20"/>
          <w:szCs w:val="20"/>
        </w:rPr>
        <w:t xml:space="preserve">azalarak </w:t>
      </w:r>
      <w:r>
        <w:rPr>
          <w:rFonts w:ascii="Arial" w:hAnsi="Arial" w:cs="Arial"/>
          <w:sz w:val="20"/>
          <w:szCs w:val="20"/>
        </w:rPr>
        <w:t xml:space="preserve">büyümeye </w:t>
      </w:r>
      <w:r w:rsidR="00202B57">
        <w:rPr>
          <w:rFonts w:ascii="Arial" w:hAnsi="Arial" w:cs="Arial"/>
          <w:sz w:val="20"/>
          <w:szCs w:val="20"/>
        </w:rPr>
        <w:t>negatif ka</w:t>
      </w:r>
      <w:r>
        <w:rPr>
          <w:rFonts w:ascii="Arial" w:hAnsi="Arial" w:cs="Arial"/>
          <w:sz w:val="20"/>
          <w:szCs w:val="20"/>
        </w:rPr>
        <w:t xml:space="preserve">tkı yaptı. </w:t>
      </w:r>
      <w:r w:rsidR="00BE180A">
        <w:rPr>
          <w:rFonts w:ascii="Arial" w:hAnsi="Arial" w:cs="Arial"/>
          <w:sz w:val="20"/>
          <w:szCs w:val="20"/>
        </w:rPr>
        <w:t>N</w:t>
      </w:r>
      <w:r>
        <w:rPr>
          <w:rFonts w:ascii="Arial" w:hAnsi="Arial" w:cs="Arial"/>
          <w:sz w:val="20"/>
          <w:szCs w:val="20"/>
        </w:rPr>
        <w:t>et ihracatın çeyreklik büyümeye katkısı</w:t>
      </w:r>
      <w:r w:rsidR="00202B57">
        <w:rPr>
          <w:rFonts w:ascii="Arial" w:hAnsi="Arial" w:cs="Arial"/>
          <w:sz w:val="20"/>
          <w:szCs w:val="20"/>
        </w:rPr>
        <w:t xml:space="preserve"> geçen çeyrekte olduğu gibi </w:t>
      </w:r>
      <w:r>
        <w:rPr>
          <w:rFonts w:ascii="Arial" w:hAnsi="Arial" w:cs="Arial"/>
          <w:sz w:val="20"/>
          <w:szCs w:val="20"/>
        </w:rPr>
        <w:t>negatif oldu</w:t>
      </w:r>
      <w:r w:rsidR="00BE180A">
        <w:rPr>
          <w:rFonts w:ascii="Arial" w:hAnsi="Arial" w:cs="Arial"/>
          <w:sz w:val="20"/>
          <w:szCs w:val="20"/>
        </w:rPr>
        <w:t xml:space="preserve"> ancak ihracatta ılımlı bir artış gözlemlendi</w:t>
      </w:r>
      <w:r>
        <w:rPr>
          <w:rFonts w:ascii="Arial" w:hAnsi="Arial" w:cs="Arial"/>
          <w:sz w:val="20"/>
          <w:szCs w:val="20"/>
        </w:rPr>
        <w:t xml:space="preserve">. </w:t>
      </w:r>
    </w:p>
    <w:p w:rsidR="00B834FD" w:rsidRDefault="00B834FD" w:rsidP="00470351">
      <w:pPr>
        <w:pStyle w:val="NormalWeb"/>
        <w:spacing w:before="0" w:beforeAutospacing="0" w:after="0" w:afterAutospacing="0" w:line="300" w:lineRule="atLeast"/>
        <w:jc w:val="both"/>
        <w:rPr>
          <w:rFonts w:ascii="Arial" w:hAnsi="Arial" w:cs="Arial"/>
          <w:sz w:val="20"/>
          <w:szCs w:val="20"/>
        </w:rPr>
      </w:pPr>
    </w:p>
    <w:p w:rsidR="00B834FD" w:rsidRDefault="00B834FD"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2013 </w:t>
      </w:r>
      <w:r w:rsidR="00A358A9">
        <w:rPr>
          <w:rFonts w:ascii="Arial" w:hAnsi="Arial" w:cs="Arial"/>
          <w:sz w:val="20"/>
          <w:szCs w:val="20"/>
        </w:rPr>
        <w:t>yılının ilk yarısında</w:t>
      </w:r>
      <w:r>
        <w:rPr>
          <w:rFonts w:ascii="Arial" w:hAnsi="Arial" w:cs="Arial"/>
          <w:sz w:val="20"/>
          <w:szCs w:val="20"/>
        </w:rPr>
        <w:t xml:space="preserve"> Türkiye Ekonomisi</w:t>
      </w:r>
      <w:r w:rsidR="00BE180A">
        <w:rPr>
          <w:rFonts w:ascii="Arial" w:hAnsi="Arial" w:cs="Arial"/>
          <w:sz w:val="20"/>
          <w:szCs w:val="20"/>
        </w:rPr>
        <w:t xml:space="preserve"> iç taleple</w:t>
      </w:r>
      <w:r>
        <w:rPr>
          <w:rFonts w:ascii="Arial" w:hAnsi="Arial" w:cs="Arial"/>
          <w:sz w:val="20"/>
          <w:szCs w:val="20"/>
        </w:rPr>
        <w:t xml:space="preserve"> </w:t>
      </w:r>
      <w:r w:rsidR="00BE180A">
        <w:rPr>
          <w:rFonts w:ascii="Arial" w:hAnsi="Arial" w:cs="Arial"/>
          <w:sz w:val="20"/>
          <w:szCs w:val="20"/>
        </w:rPr>
        <w:t>büyüdü.</w:t>
      </w:r>
      <w:r>
        <w:rPr>
          <w:rFonts w:ascii="Arial" w:hAnsi="Arial" w:cs="Arial"/>
          <w:sz w:val="20"/>
          <w:szCs w:val="20"/>
        </w:rPr>
        <w:t xml:space="preserve"> </w:t>
      </w:r>
      <w:r w:rsidR="00563737">
        <w:rPr>
          <w:rFonts w:ascii="Arial" w:hAnsi="Arial" w:cs="Arial"/>
          <w:sz w:val="20"/>
          <w:szCs w:val="20"/>
        </w:rPr>
        <w:t xml:space="preserve">İlk yarıyılda büyüme ağırlıklı olarak tüketim </w:t>
      </w:r>
      <w:r w:rsidR="00B23471">
        <w:rPr>
          <w:rFonts w:ascii="Arial" w:hAnsi="Arial" w:cs="Arial"/>
          <w:sz w:val="20"/>
          <w:szCs w:val="20"/>
        </w:rPr>
        <w:t>ve stoklardaki</w:t>
      </w:r>
      <w:r w:rsidR="00563737">
        <w:rPr>
          <w:rFonts w:ascii="Arial" w:hAnsi="Arial" w:cs="Arial"/>
          <w:sz w:val="20"/>
          <w:szCs w:val="20"/>
        </w:rPr>
        <w:t xml:space="preserve"> artıştan kaynaklandı, bunu kamu harcamaları ve özel yatırım izledi. </w:t>
      </w:r>
    </w:p>
    <w:p w:rsidR="00896A61" w:rsidRDefault="00896A61" w:rsidP="00470351">
      <w:pPr>
        <w:pStyle w:val="NormalWeb"/>
        <w:spacing w:before="0" w:beforeAutospacing="0" w:after="0" w:afterAutospacing="0" w:line="300" w:lineRule="atLeast"/>
        <w:jc w:val="both"/>
        <w:rPr>
          <w:rFonts w:ascii="Arial" w:hAnsi="Arial" w:cs="Arial"/>
          <w:sz w:val="20"/>
          <w:szCs w:val="20"/>
        </w:rPr>
      </w:pPr>
    </w:p>
    <w:p w:rsidR="00896A61" w:rsidRPr="00A7746C" w:rsidRDefault="0014304F" w:rsidP="00896A6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Artan ithalatın etkisiyle</w:t>
      </w:r>
      <w:r w:rsidR="00896A61" w:rsidRPr="00DD51D1">
        <w:rPr>
          <w:rFonts w:ascii="Arial" w:hAnsi="Arial" w:cs="Arial"/>
          <w:sz w:val="20"/>
          <w:szCs w:val="20"/>
        </w:rPr>
        <w:t xml:space="preserve"> 12 aylık cari açığın GSYH’a oranı </w:t>
      </w:r>
      <w:r w:rsidR="00896A61">
        <w:rPr>
          <w:rFonts w:ascii="Arial" w:hAnsi="Arial" w:cs="Arial"/>
          <w:sz w:val="20"/>
          <w:szCs w:val="20"/>
        </w:rPr>
        <w:t>ikinci çeyrek sonunda yüzde 6,5 olarak gerçekleşti. Birinci çeyrek sonunda bu rakam</w:t>
      </w:r>
      <w:r w:rsidR="009246A1">
        <w:rPr>
          <w:rFonts w:ascii="Arial" w:hAnsi="Arial" w:cs="Arial"/>
          <w:sz w:val="20"/>
          <w:szCs w:val="20"/>
        </w:rPr>
        <w:t xml:space="preserve"> yüzde</w:t>
      </w:r>
      <w:r w:rsidR="00896A61">
        <w:rPr>
          <w:rFonts w:ascii="Arial" w:hAnsi="Arial" w:cs="Arial"/>
          <w:sz w:val="20"/>
          <w:szCs w:val="20"/>
        </w:rPr>
        <w:t xml:space="preserve"> 5,9 olmuştu.</w:t>
      </w:r>
    </w:p>
    <w:p w:rsidR="00896A61" w:rsidRPr="00DD51D1" w:rsidRDefault="00896A61" w:rsidP="00470351">
      <w:pPr>
        <w:pStyle w:val="NormalWeb"/>
        <w:spacing w:before="0" w:beforeAutospacing="0" w:after="0" w:afterAutospacing="0" w:line="300" w:lineRule="atLeast"/>
        <w:jc w:val="both"/>
        <w:rPr>
          <w:rFonts w:ascii="Arial" w:hAnsi="Arial" w:cs="Arial"/>
          <w:sz w:val="20"/>
          <w:szCs w:val="20"/>
        </w:rPr>
      </w:pPr>
    </w:p>
    <w:p w:rsidR="00B834FD" w:rsidRPr="00F30DA8" w:rsidRDefault="005A18F8" w:rsidP="00A7746C">
      <w:pPr>
        <w:pStyle w:val="NormalWeb"/>
        <w:spacing w:before="0" w:beforeAutospacing="0" w:after="0" w:afterAutospacing="0"/>
        <w:jc w:val="both"/>
        <w:rPr>
          <w:sz w:val="20"/>
          <w:szCs w:val="20"/>
        </w:rPr>
      </w:pPr>
      <w:r w:rsidRPr="005A18F8">
        <w:rPr>
          <w:noProof/>
        </w:rPr>
        <w:pict>
          <v:line id="_x0000_s1029" style="position:absolute;left:0;text-align:left;z-index:251659264" from="-3.85pt,3.65pt" to="230.15pt,3.65pt"/>
        </w:pict>
      </w:r>
      <w:r w:rsidR="00B834FD" w:rsidRPr="00F30DA8">
        <w:rPr>
          <w:sz w:val="20"/>
          <w:szCs w:val="20"/>
        </w:rPr>
        <w:t xml:space="preserve"> </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Prof. Dr. Seyfettin Gürsel, Betam, Direktör</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xml:space="preserve">  seyfettin.gursel@bahcesehir.edu.tr</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Dr. Zümrüt İmamoğlu, Betam, Uzman Araştırmacı.</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xml:space="preserve">  zumrut.imamoglu@bahcesehir.edu.tr</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Barış Soybilgen, Betam, Araştırma Görevlisi.</w:t>
      </w:r>
    </w:p>
    <w:p w:rsidR="00B834FD" w:rsidRPr="001C5776" w:rsidRDefault="00B834FD" w:rsidP="00A7746C">
      <w:pPr>
        <w:pStyle w:val="NormalWeb"/>
        <w:spacing w:before="0" w:beforeAutospacing="0" w:after="0" w:afterAutospacing="0"/>
        <w:jc w:val="both"/>
        <w:rPr>
          <w:sz w:val="20"/>
          <w:szCs w:val="20"/>
        </w:rPr>
      </w:pPr>
      <w:r w:rsidRPr="001C5776">
        <w:rPr>
          <w:sz w:val="20"/>
          <w:szCs w:val="20"/>
        </w:rPr>
        <w:t xml:space="preserve">  baris.soybilgen@bahcesehir.edu.tr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F150C7" w:rsidRDefault="00F150C7"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A51052">
        <w:rPr>
          <w:rFonts w:ascii="Arial" w:hAnsi="Arial" w:cs="Arial"/>
          <w:b/>
          <w:bCs/>
          <w:sz w:val="20"/>
          <w:szCs w:val="20"/>
        </w:rPr>
        <w:t>2013 1. çeyrekten 2013 2</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A51052" w:rsidP="00660DE2">
      <w:pPr>
        <w:ind w:right="77"/>
        <w:jc w:val="both"/>
      </w:pPr>
      <w:r w:rsidRPr="00A51052">
        <w:rPr>
          <w:noProof/>
        </w:rPr>
        <w:drawing>
          <wp:inline distT="0" distB="0" distL="0" distR="0">
            <wp:extent cx="3020695" cy="1903637"/>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20695" cy="1903637"/>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Betam. Çeyreklik göstergeler mevsim ve takvim etkisinden arındırılmıştır.</w:t>
      </w:r>
    </w:p>
    <w:p w:rsidR="00B834FD" w:rsidRDefault="00B834FD" w:rsidP="00DD51D1">
      <w:pPr>
        <w:spacing w:line="360" w:lineRule="auto"/>
        <w:ind w:right="77"/>
        <w:jc w:val="both"/>
        <w:rPr>
          <w:rFonts w:ascii="Arial" w:hAnsi="Arial" w:cs="Arial"/>
          <w:b/>
          <w:bCs/>
          <w:sz w:val="20"/>
          <w:szCs w:val="20"/>
        </w:rPr>
      </w:pPr>
    </w:p>
    <w:p w:rsidR="00F150C7" w:rsidRPr="00DD51D1" w:rsidRDefault="00F150C7"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A51052">
        <w:rPr>
          <w:rFonts w:ascii="Arial" w:hAnsi="Arial" w:cs="Arial"/>
          <w:b/>
          <w:bCs/>
          <w:sz w:val="20"/>
          <w:szCs w:val="20"/>
        </w:rPr>
        <w:t xml:space="preserve"> 2013 1. çeyrekten 2013 2</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A51052" w:rsidP="001C5776">
      <w:pPr>
        <w:ind w:right="77"/>
        <w:jc w:val="both"/>
      </w:pPr>
      <w:r w:rsidRPr="00A51052">
        <w:rPr>
          <w:noProof/>
        </w:rPr>
        <w:drawing>
          <wp:inline distT="0" distB="0" distL="0" distR="0">
            <wp:extent cx="3020695" cy="2108776"/>
            <wp:effectExtent l="1905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20695" cy="2108776"/>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Betam. Çeyreklik göstergeler mevsim ve takvim etkisinden arındırılmıştır.</w:t>
      </w:r>
    </w:p>
    <w:p w:rsidR="00B834FD" w:rsidRDefault="00B834FD" w:rsidP="00A51052">
      <w:pPr>
        <w:pStyle w:val="NormalWeb"/>
        <w:spacing w:before="0" w:beforeAutospacing="0" w:after="0" w:afterAutospacing="0" w:line="360" w:lineRule="auto"/>
        <w:ind w:right="77"/>
        <w:rPr>
          <w:rFonts w:ascii="Arial" w:hAnsi="Arial" w:cs="Arial"/>
          <w:b/>
          <w:bCs/>
          <w:sz w:val="20"/>
          <w:szCs w:val="20"/>
        </w:rPr>
      </w:pPr>
    </w:p>
    <w:p w:rsidR="00F150C7" w:rsidRDefault="00F150C7" w:rsidP="00FA1EEF">
      <w:pPr>
        <w:pStyle w:val="NormalWeb"/>
        <w:spacing w:before="0" w:beforeAutospacing="0" w:after="0" w:afterAutospacing="0" w:line="360" w:lineRule="auto"/>
        <w:ind w:right="77"/>
        <w:jc w:val="center"/>
        <w:rPr>
          <w:rFonts w:ascii="Arial" w:hAnsi="Arial" w:cs="Arial"/>
          <w:b/>
          <w:bCs/>
          <w:sz w:val="20"/>
          <w:szCs w:val="20"/>
        </w:rPr>
      </w:pPr>
    </w:p>
    <w:p w:rsidR="00F150C7" w:rsidRDefault="00F150C7" w:rsidP="00FA1EEF">
      <w:pPr>
        <w:pStyle w:val="NormalWeb"/>
        <w:spacing w:before="0" w:beforeAutospacing="0" w:after="0" w:afterAutospacing="0" w:line="360" w:lineRule="auto"/>
        <w:ind w:right="77"/>
        <w:jc w:val="center"/>
        <w:rPr>
          <w:rFonts w:ascii="Arial" w:hAnsi="Arial" w:cs="Arial"/>
          <w:b/>
          <w:bCs/>
          <w:sz w:val="20"/>
          <w:szCs w:val="20"/>
        </w:rPr>
      </w:pPr>
    </w:p>
    <w:p w:rsidR="00B834FD" w:rsidRPr="00DD51D1" w:rsidRDefault="006B7C07"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Stoklard</w:t>
      </w:r>
      <w:r w:rsidR="00020415">
        <w:rPr>
          <w:rFonts w:ascii="Arial" w:hAnsi="Arial" w:cs="Arial"/>
          <w:b/>
          <w:bCs/>
          <w:sz w:val="20"/>
          <w:szCs w:val="20"/>
        </w:rPr>
        <w:t>a yüksek</w:t>
      </w:r>
      <w:r>
        <w:rPr>
          <w:rFonts w:ascii="Arial" w:hAnsi="Arial" w:cs="Arial"/>
          <w:b/>
          <w:bCs/>
          <w:sz w:val="20"/>
          <w:szCs w:val="20"/>
        </w:rPr>
        <w:t xml:space="preserve"> artış </w:t>
      </w:r>
    </w:p>
    <w:p w:rsidR="00B834FD" w:rsidRPr="00DD51D1" w:rsidRDefault="00B834FD" w:rsidP="00FA1EEF">
      <w:pPr>
        <w:pStyle w:val="NormalWeb"/>
        <w:spacing w:before="0" w:beforeAutospacing="0" w:after="0" w:afterAutospacing="0" w:line="360" w:lineRule="auto"/>
        <w:jc w:val="both"/>
        <w:rPr>
          <w:rFonts w:ascii="Arial" w:hAnsi="Arial" w:cs="Arial"/>
          <w:sz w:val="20"/>
          <w:szCs w:val="20"/>
        </w:rPr>
      </w:pPr>
      <w:r w:rsidRPr="00DD51D1">
        <w:rPr>
          <w:rFonts w:ascii="Arial" w:hAnsi="Arial" w:cs="Arial"/>
          <w:sz w:val="20"/>
          <w:szCs w:val="20"/>
        </w:rPr>
        <w:t xml:space="preserve">Betam, GSYH’nın alt kalemlerinin büyümeye katkılarını çeyrekten çeyreğe hesaplayabilmek için alt kalemleri ayrı ayrı mevsim ve takvim etkisinden arındırıyor. Buna göre her bir kalemin </w:t>
      </w:r>
      <w:r w:rsidR="00F150C7">
        <w:rPr>
          <w:rFonts w:ascii="Arial" w:hAnsi="Arial" w:cs="Arial"/>
          <w:sz w:val="20"/>
          <w:szCs w:val="20"/>
        </w:rPr>
        <w:t>ikinci</w:t>
      </w:r>
      <w:r>
        <w:rPr>
          <w:rFonts w:ascii="Arial" w:hAnsi="Arial" w:cs="Arial"/>
          <w:sz w:val="20"/>
          <w:szCs w:val="20"/>
        </w:rPr>
        <w:t xml:space="preserve"> ç</w:t>
      </w:r>
      <w:r w:rsidRPr="00DD51D1">
        <w:rPr>
          <w:rFonts w:ascii="Arial" w:hAnsi="Arial" w:cs="Arial"/>
          <w:sz w:val="20"/>
          <w:szCs w:val="20"/>
        </w:rPr>
        <w:t>eyrekte bir önceki çeyreğe göre değişimi ve büyümeye katkısı Şekil 1 ve 2</w:t>
      </w:r>
      <w:r w:rsidR="00F150C7">
        <w:rPr>
          <w:rFonts w:ascii="Arial" w:hAnsi="Arial" w:cs="Arial"/>
          <w:sz w:val="20"/>
          <w:szCs w:val="20"/>
        </w:rPr>
        <w:t xml:space="preserve"> ve Tablo 1 ve 2</w:t>
      </w:r>
      <w:r w:rsidRPr="00DD51D1">
        <w:rPr>
          <w:rFonts w:ascii="Arial" w:hAnsi="Arial" w:cs="Arial"/>
          <w:sz w:val="20"/>
          <w:szCs w:val="20"/>
        </w:rPr>
        <w:t>’de gösterilmekte</w:t>
      </w:r>
      <w:r w:rsidR="00F150C7">
        <w:rPr>
          <w:rFonts w:ascii="Arial" w:hAnsi="Arial" w:cs="Arial"/>
          <w:sz w:val="20"/>
          <w:szCs w:val="20"/>
        </w:rPr>
        <w:t>dir</w:t>
      </w:r>
      <w:r w:rsidR="00F150C7">
        <w:rPr>
          <w:rStyle w:val="DipnotBavurusu"/>
          <w:rFonts w:ascii="Arial" w:hAnsi="Arial" w:cs="Arial"/>
          <w:sz w:val="20"/>
          <w:szCs w:val="20"/>
        </w:rPr>
        <w:footnoteReference w:id="2"/>
      </w:r>
      <w:r w:rsidRPr="00DD51D1">
        <w:rPr>
          <w:rFonts w:ascii="Arial" w:hAnsi="Arial" w:cs="Arial"/>
          <w:sz w:val="20"/>
          <w:szCs w:val="20"/>
        </w:rPr>
        <w:t>.</w:t>
      </w:r>
    </w:p>
    <w:p w:rsidR="00B834FD" w:rsidRPr="00DD51D1" w:rsidRDefault="00B834FD" w:rsidP="00FA1EEF">
      <w:pPr>
        <w:pStyle w:val="NormalWeb"/>
        <w:spacing w:before="0" w:beforeAutospacing="0" w:after="0" w:afterAutospacing="0" w:line="360" w:lineRule="auto"/>
        <w:jc w:val="both"/>
        <w:rPr>
          <w:rFonts w:ascii="Arial" w:hAnsi="Arial" w:cs="Arial"/>
          <w:sz w:val="20"/>
          <w:szCs w:val="20"/>
        </w:rPr>
      </w:pP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2013</w:t>
      </w:r>
      <w:r w:rsidRPr="00DD51D1">
        <w:rPr>
          <w:rFonts w:ascii="Arial" w:hAnsi="Arial" w:cs="Arial"/>
          <w:sz w:val="20"/>
          <w:szCs w:val="20"/>
        </w:rPr>
        <w:t xml:space="preserve"> </w:t>
      </w:r>
      <w:r>
        <w:rPr>
          <w:rFonts w:ascii="Arial" w:hAnsi="Arial" w:cs="Arial"/>
          <w:sz w:val="20"/>
          <w:szCs w:val="20"/>
        </w:rPr>
        <w:t>birinci</w:t>
      </w:r>
      <w:r w:rsidRPr="00DD51D1">
        <w:rPr>
          <w:rFonts w:ascii="Arial" w:hAnsi="Arial" w:cs="Arial"/>
          <w:sz w:val="20"/>
          <w:szCs w:val="20"/>
        </w:rPr>
        <w:t xml:space="preserve"> çeyrekte </w:t>
      </w:r>
      <w:r w:rsidR="00020415">
        <w:rPr>
          <w:rFonts w:ascii="Arial" w:hAnsi="Arial" w:cs="Arial"/>
          <w:sz w:val="20"/>
          <w:szCs w:val="20"/>
        </w:rPr>
        <w:t xml:space="preserve">büyümeye </w:t>
      </w:r>
      <w:r>
        <w:rPr>
          <w:rFonts w:ascii="Arial" w:hAnsi="Arial" w:cs="Arial"/>
          <w:sz w:val="20"/>
          <w:szCs w:val="20"/>
        </w:rPr>
        <w:t xml:space="preserve">en </w:t>
      </w:r>
      <w:r w:rsidR="00020415">
        <w:rPr>
          <w:rFonts w:ascii="Arial" w:hAnsi="Arial" w:cs="Arial"/>
          <w:sz w:val="20"/>
          <w:szCs w:val="20"/>
        </w:rPr>
        <w:t>yüksek katkı</w:t>
      </w:r>
      <w:r>
        <w:rPr>
          <w:rFonts w:ascii="Arial" w:hAnsi="Arial" w:cs="Arial"/>
          <w:sz w:val="20"/>
          <w:szCs w:val="20"/>
        </w:rPr>
        <w:t xml:space="preserve"> </w:t>
      </w:r>
      <w:r w:rsidR="00020415">
        <w:rPr>
          <w:rFonts w:ascii="Arial" w:hAnsi="Arial" w:cs="Arial"/>
          <w:sz w:val="20"/>
          <w:szCs w:val="20"/>
        </w:rPr>
        <w:t>stoklardaki artıştan kaynaklandı</w:t>
      </w:r>
      <w:r>
        <w:rPr>
          <w:rFonts w:ascii="Arial" w:hAnsi="Arial" w:cs="Arial"/>
          <w:sz w:val="20"/>
          <w:szCs w:val="20"/>
        </w:rPr>
        <w:t>.</w:t>
      </w:r>
      <w:r w:rsidR="00020415">
        <w:rPr>
          <w:rFonts w:ascii="Arial" w:hAnsi="Arial" w:cs="Arial"/>
          <w:sz w:val="20"/>
          <w:szCs w:val="20"/>
        </w:rPr>
        <w:t xml:space="preserve"> Tüketimdeki artış ise sınırlı kaldı.</w:t>
      </w:r>
      <w:r>
        <w:rPr>
          <w:rFonts w:ascii="Arial" w:hAnsi="Arial" w:cs="Arial"/>
          <w:sz w:val="20"/>
          <w:szCs w:val="20"/>
        </w:rPr>
        <w:t xml:space="preserve"> Betam’ın hesaplamalarına göre mevsim ve takvim etkilerinden arındırılmış tüketim önceki çeyreğe göre yüzde </w:t>
      </w:r>
      <w:r w:rsidR="00020415">
        <w:rPr>
          <w:rFonts w:ascii="Arial" w:hAnsi="Arial" w:cs="Arial"/>
          <w:sz w:val="20"/>
          <w:szCs w:val="20"/>
        </w:rPr>
        <w:t>0</w:t>
      </w:r>
      <w:r>
        <w:rPr>
          <w:rFonts w:ascii="Arial" w:hAnsi="Arial" w:cs="Arial"/>
          <w:sz w:val="20"/>
          <w:szCs w:val="20"/>
        </w:rPr>
        <w:t>,</w:t>
      </w:r>
      <w:r w:rsidR="00020415">
        <w:rPr>
          <w:rFonts w:ascii="Arial" w:hAnsi="Arial" w:cs="Arial"/>
          <w:sz w:val="20"/>
          <w:szCs w:val="20"/>
        </w:rPr>
        <w:t>7</w:t>
      </w:r>
      <w:r>
        <w:rPr>
          <w:rFonts w:ascii="Arial" w:hAnsi="Arial" w:cs="Arial"/>
          <w:sz w:val="20"/>
          <w:szCs w:val="20"/>
        </w:rPr>
        <w:t xml:space="preserve"> oranında arttı ve büyümeye </w:t>
      </w:r>
      <w:r w:rsidR="00020415">
        <w:rPr>
          <w:rFonts w:ascii="Arial" w:hAnsi="Arial" w:cs="Arial"/>
          <w:sz w:val="20"/>
          <w:szCs w:val="20"/>
        </w:rPr>
        <w:t>0</w:t>
      </w:r>
      <w:r>
        <w:rPr>
          <w:rFonts w:ascii="Arial" w:hAnsi="Arial" w:cs="Arial"/>
          <w:sz w:val="20"/>
          <w:szCs w:val="20"/>
        </w:rPr>
        <w:t>,</w:t>
      </w:r>
      <w:r w:rsidR="00020415">
        <w:rPr>
          <w:rFonts w:ascii="Arial" w:hAnsi="Arial" w:cs="Arial"/>
          <w:sz w:val="20"/>
          <w:szCs w:val="20"/>
        </w:rPr>
        <w:t>5</w:t>
      </w:r>
      <w:r>
        <w:rPr>
          <w:rFonts w:ascii="Arial" w:hAnsi="Arial" w:cs="Arial"/>
          <w:sz w:val="20"/>
          <w:szCs w:val="20"/>
        </w:rPr>
        <w:t xml:space="preserve"> yüzde puan katkı yaptı.</w:t>
      </w:r>
      <w:r w:rsidR="00020415">
        <w:rPr>
          <w:rFonts w:ascii="Arial" w:hAnsi="Arial" w:cs="Arial"/>
          <w:sz w:val="20"/>
          <w:szCs w:val="20"/>
        </w:rPr>
        <w:t xml:space="preserve"> Stoklardaki artışın büyümeye katkısı ise 1,7 yüzde puan oldu.</w:t>
      </w:r>
      <w:r>
        <w:rPr>
          <w:rFonts w:ascii="Arial" w:hAnsi="Arial" w:cs="Arial"/>
          <w:sz w:val="20"/>
          <w:szCs w:val="20"/>
        </w:rPr>
        <w:t xml:space="preserve"> </w:t>
      </w:r>
      <w:r w:rsidR="002E7ACB">
        <w:rPr>
          <w:rFonts w:ascii="Arial" w:hAnsi="Arial" w:cs="Arial"/>
          <w:sz w:val="20"/>
          <w:szCs w:val="20"/>
        </w:rPr>
        <w:t>Yılın ilk çeyreğinde stok artışı büyümeye 0,6 yüzde puan katkı</w:t>
      </w:r>
      <w:r w:rsidR="00BF7108">
        <w:rPr>
          <w:rFonts w:ascii="Arial" w:hAnsi="Arial" w:cs="Arial"/>
          <w:sz w:val="20"/>
          <w:szCs w:val="20"/>
        </w:rPr>
        <w:t xml:space="preserve"> yapmıştı,</w:t>
      </w:r>
      <w:r w:rsidR="00F150C7">
        <w:rPr>
          <w:rFonts w:ascii="Arial" w:hAnsi="Arial" w:cs="Arial"/>
          <w:sz w:val="20"/>
          <w:szCs w:val="20"/>
        </w:rPr>
        <w:t xml:space="preserve"> ve</w:t>
      </w:r>
      <w:r w:rsidR="00BF7108">
        <w:rPr>
          <w:rFonts w:ascii="Arial" w:hAnsi="Arial" w:cs="Arial"/>
          <w:sz w:val="20"/>
          <w:szCs w:val="20"/>
        </w:rPr>
        <w:t xml:space="preserve"> t</w:t>
      </w:r>
      <w:r w:rsidR="002E7ACB">
        <w:rPr>
          <w:rFonts w:ascii="Arial" w:hAnsi="Arial" w:cs="Arial"/>
          <w:sz w:val="20"/>
          <w:szCs w:val="20"/>
        </w:rPr>
        <w:t xml:space="preserve">üketim </w:t>
      </w:r>
      <w:r w:rsidR="00BF7108">
        <w:rPr>
          <w:rFonts w:ascii="Arial" w:hAnsi="Arial" w:cs="Arial"/>
          <w:sz w:val="20"/>
          <w:szCs w:val="20"/>
        </w:rPr>
        <w:t xml:space="preserve">ise </w:t>
      </w:r>
      <w:r w:rsidR="002E7ACB">
        <w:rPr>
          <w:rFonts w:ascii="Arial" w:hAnsi="Arial" w:cs="Arial"/>
          <w:sz w:val="20"/>
          <w:szCs w:val="20"/>
        </w:rPr>
        <w:t>yüzde 2,</w:t>
      </w:r>
      <w:r w:rsidR="00BF7108">
        <w:rPr>
          <w:rFonts w:ascii="Arial" w:hAnsi="Arial" w:cs="Arial"/>
          <w:sz w:val="20"/>
          <w:szCs w:val="20"/>
        </w:rPr>
        <w:t>6</w:t>
      </w:r>
      <w:r w:rsidR="002E7ACB">
        <w:rPr>
          <w:rFonts w:ascii="Arial" w:hAnsi="Arial" w:cs="Arial"/>
          <w:sz w:val="20"/>
          <w:szCs w:val="20"/>
        </w:rPr>
        <w:t xml:space="preserve"> artarak </w:t>
      </w:r>
      <w:r w:rsidR="00F150C7">
        <w:rPr>
          <w:rFonts w:ascii="Arial" w:hAnsi="Arial" w:cs="Arial"/>
          <w:sz w:val="20"/>
          <w:szCs w:val="20"/>
        </w:rPr>
        <w:t>ikinci</w:t>
      </w:r>
      <w:r w:rsidR="00BF7108">
        <w:rPr>
          <w:rFonts w:ascii="Arial" w:hAnsi="Arial" w:cs="Arial"/>
          <w:sz w:val="20"/>
          <w:szCs w:val="20"/>
        </w:rPr>
        <w:t xml:space="preserve"> </w:t>
      </w:r>
      <w:r w:rsidR="00F150C7">
        <w:rPr>
          <w:rFonts w:ascii="Arial" w:hAnsi="Arial" w:cs="Arial"/>
          <w:sz w:val="20"/>
          <w:szCs w:val="20"/>
        </w:rPr>
        <w:t>ç</w:t>
      </w:r>
      <w:r w:rsidR="00BF7108">
        <w:rPr>
          <w:rFonts w:ascii="Arial" w:hAnsi="Arial" w:cs="Arial"/>
          <w:sz w:val="20"/>
          <w:szCs w:val="20"/>
        </w:rPr>
        <w:t xml:space="preserve">eyreğe kıyasla </w:t>
      </w:r>
      <w:r w:rsidR="002E7ACB">
        <w:rPr>
          <w:rFonts w:ascii="Arial" w:hAnsi="Arial" w:cs="Arial"/>
          <w:sz w:val="20"/>
          <w:szCs w:val="20"/>
        </w:rPr>
        <w:t>daha canlı bir görünüm sergilemi</w:t>
      </w:r>
      <w:r w:rsidR="00524249">
        <w:rPr>
          <w:rFonts w:ascii="Arial" w:hAnsi="Arial" w:cs="Arial"/>
          <w:sz w:val="20"/>
          <w:szCs w:val="20"/>
        </w:rPr>
        <w:t xml:space="preserve">şti. Tüketimin </w:t>
      </w:r>
      <w:r w:rsidR="00BF7108">
        <w:rPr>
          <w:rFonts w:ascii="Arial" w:hAnsi="Arial" w:cs="Arial"/>
          <w:sz w:val="20"/>
          <w:szCs w:val="20"/>
        </w:rPr>
        <w:t xml:space="preserve">reel sektörün beklediği ölçüde </w:t>
      </w:r>
      <w:r w:rsidR="00524249">
        <w:rPr>
          <w:rFonts w:ascii="Arial" w:hAnsi="Arial" w:cs="Arial"/>
          <w:sz w:val="20"/>
          <w:szCs w:val="20"/>
        </w:rPr>
        <w:t>canlanmamış olması</w:t>
      </w:r>
      <w:r w:rsidR="008F0EB3">
        <w:rPr>
          <w:rFonts w:ascii="Arial" w:hAnsi="Arial" w:cs="Arial"/>
          <w:sz w:val="20"/>
          <w:szCs w:val="20"/>
        </w:rPr>
        <w:t xml:space="preserve"> stok artışına neden olmuş görünüyor. </w:t>
      </w:r>
    </w:p>
    <w:p w:rsidR="00B834FD" w:rsidRDefault="00B834FD" w:rsidP="00FA1EEF">
      <w:pPr>
        <w:pStyle w:val="NormalWeb"/>
        <w:spacing w:before="0" w:beforeAutospacing="0" w:after="0" w:afterAutospacing="0" w:line="360" w:lineRule="auto"/>
        <w:ind w:right="77"/>
        <w:jc w:val="both"/>
        <w:rPr>
          <w:rFonts w:ascii="Arial" w:hAnsi="Arial" w:cs="Arial"/>
          <w:sz w:val="20"/>
          <w:szCs w:val="20"/>
        </w:rPr>
      </w:pP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Özel yatırım</w:t>
      </w:r>
      <w:r w:rsidR="008F0EB3">
        <w:rPr>
          <w:rFonts w:ascii="Arial" w:hAnsi="Arial" w:cs="Arial"/>
          <w:b/>
          <w:bCs/>
          <w:sz w:val="20"/>
          <w:szCs w:val="20"/>
        </w:rPr>
        <w:t xml:space="preserve"> arttı ancak</w:t>
      </w:r>
      <w:r>
        <w:rPr>
          <w:rFonts w:ascii="Arial" w:hAnsi="Arial" w:cs="Arial"/>
          <w:b/>
          <w:bCs/>
          <w:sz w:val="20"/>
          <w:szCs w:val="20"/>
        </w:rPr>
        <w:t xml:space="preserve"> </w:t>
      </w:r>
      <w:r w:rsidR="008F0EB3">
        <w:rPr>
          <w:rFonts w:ascii="Arial" w:hAnsi="Arial" w:cs="Arial"/>
          <w:b/>
          <w:bCs/>
          <w:sz w:val="20"/>
          <w:szCs w:val="20"/>
        </w:rPr>
        <w:t xml:space="preserve">görünüm hala </w:t>
      </w:r>
      <w:r>
        <w:rPr>
          <w:rFonts w:ascii="Arial" w:hAnsi="Arial" w:cs="Arial"/>
          <w:b/>
          <w:bCs/>
          <w:sz w:val="20"/>
          <w:szCs w:val="20"/>
        </w:rPr>
        <w:t>zayıf</w:t>
      </w:r>
    </w:p>
    <w:p w:rsidR="008F0EB3" w:rsidRDefault="008F0EB3"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Özel y</w:t>
      </w:r>
      <w:r w:rsidR="00B834FD">
        <w:rPr>
          <w:rFonts w:ascii="Arial" w:hAnsi="Arial" w:cs="Arial"/>
          <w:sz w:val="20"/>
          <w:szCs w:val="20"/>
        </w:rPr>
        <w:t>atırım</w:t>
      </w:r>
      <w:r>
        <w:rPr>
          <w:rFonts w:ascii="Arial" w:hAnsi="Arial" w:cs="Arial"/>
          <w:sz w:val="20"/>
          <w:szCs w:val="20"/>
        </w:rPr>
        <w:t xml:space="preserve"> </w:t>
      </w:r>
      <w:r w:rsidR="00B834FD">
        <w:rPr>
          <w:rFonts w:ascii="Arial" w:hAnsi="Arial" w:cs="Arial"/>
          <w:sz w:val="20"/>
          <w:szCs w:val="20"/>
        </w:rPr>
        <w:t>2013’e iyi bir başlangıç yapma</w:t>
      </w:r>
      <w:r>
        <w:rPr>
          <w:rFonts w:ascii="Arial" w:hAnsi="Arial" w:cs="Arial"/>
          <w:sz w:val="20"/>
          <w:szCs w:val="20"/>
        </w:rPr>
        <w:t>mış ve ilk çeyrekte büyümeye neredeyse hiç katkı yapmamıştı</w:t>
      </w:r>
      <w:r w:rsidR="00B834FD">
        <w:rPr>
          <w:rFonts w:ascii="Arial" w:hAnsi="Arial" w:cs="Arial"/>
          <w:sz w:val="20"/>
          <w:szCs w:val="20"/>
        </w:rPr>
        <w:t>.</w:t>
      </w:r>
      <w:r>
        <w:rPr>
          <w:rFonts w:ascii="Arial" w:hAnsi="Arial" w:cs="Arial"/>
          <w:sz w:val="20"/>
          <w:szCs w:val="20"/>
        </w:rPr>
        <w:t xml:space="preserve"> İkinci çeyrekte ise özel yatırımlar yüzde 3 oranında artarak büyümeye 0,6 yüzde puan katkı yaptı.</w:t>
      </w:r>
      <w:r w:rsidR="00B834FD">
        <w:rPr>
          <w:rFonts w:ascii="Arial" w:hAnsi="Arial" w:cs="Arial"/>
          <w:sz w:val="20"/>
          <w:szCs w:val="20"/>
        </w:rPr>
        <w:t xml:space="preserve"> </w:t>
      </w:r>
      <w:r>
        <w:rPr>
          <w:rFonts w:ascii="Arial" w:hAnsi="Arial" w:cs="Arial"/>
          <w:sz w:val="20"/>
          <w:szCs w:val="20"/>
        </w:rPr>
        <w:t>İlk çeyrekte tüketim ve stoklarda artışın yatırımlarda sınırlı bir canlanmaya neden olabileceğini önceki büyüme notumuzda belirtmiştik. Ancak yatırımlarda yüksek büyüme dönemlerinde olduğu gibi yüksek artışlar görmüyoruz. Amerikan Merkez Bankası kaynaklı belirsizlikler ve gelişmekte olan piyasalardan sermaye çıkışlarının başlamış olması nedeniyle önümüzdeki dönemde para politikasının sıkı tutulması gerektiği düşünüldüğünde yatırımların yılın ikinci yarısında da büyük bir canlanma göstermesini beklemiyoruz.</w:t>
      </w: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 xml:space="preserve">Net ihracat katkısı </w:t>
      </w:r>
      <w:r w:rsidR="008F0EB3">
        <w:rPr>
          <w:rFonts w:ascii="Arial" w:hAnsi="Arial" w:cs="Arial"/>
          <w:b/>
          <w:bCs/>
          <w:sz w:val="20"/>
          <w:szCs w:val="20"/>
        </w:rPr>
        <w:t xml:space="preserve">yine </w:t>
      </w:r>
      <w:r>
        <w:rPr>
          <w:rFonts w:ascii="Arial" w:hAnsi="Arial" w:cs="Arial"/>
          <w:b/>
          <w:bCs/>
          <w:sz w:val="20"/>
          <w:szCs w:val="20"/>
        </w:rPr>
        <w:t>negatif</w:t>
      </w:r>
    </w:p>
    <w:p w:rsidR="00B834FD" w:rsidRDefault="00165B88"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İlk çeyrekte küresel talep baskısı ile azalan ihracat ikinci çeyrekte ılımlı bir toparlanma göstererek ilk çeyreğe kıyasla yüzde 2,5 oranında arttı. </w:t>
      </w:r>
      <w:r w:rsidR="009E7AF6">
        <w:rPr>
          <w:rFonts w:ascii="Arial" w:hAnsi="Arial" w:cs="Arial"/>
          <w:sz w:val="20"/>
          <w:szCs w:val="20"/>
        </w:rPr>
        <w:t>A</w:t>
      </w:r>
      <w:r>
        <w:rPr>
          <w:rFonts w:ascii="Arial" w:hAnsi="Arial" w:cs="Arial"/>
          <w:sz w:val="20"/>
          <w:szCs w:val="20"/>
        </w:rPr>
        <w:t>rtan ihracatın çeyreklik büyümeye katkısı 0,7 yüzde puan oldu. Bunu takiben i</w:t>
      </w:r>
      <w:r w:rsidR="00B834FD">
        <w:rPr>
          <w:rFonts w:ascii="Arial" w:hAnsi="Arial" w:cs="Arial"/>
          <w:sz w:val="20"/>
          <w:szCs w:val="20"/>
        </w:rPr>
        <w:t xml:space="preserve">thalat </w:t>
      </w:r>
      <w:r>
        <w:rPr>
          <w:rFonts w:ascii="Arial" w:hAnsi="Arial" w:cs="Arial"/>
          <w:sz w:val="20"/>
          <w:szCs w:val="20"/>
        </w:rPr>
        <w:t xml:space="preserve">da </w:t>
      </w:r>
      <w:r w:rsidR="008F0EB3">
        <w:rPr>
          <w:rFonts w:ascii="Arial" w:hAnsi="Arial" w:cs="Arial"/>
          <w:sz w:val="20"/>
          <w:szCs w:val="20"/>
        </w:rPr>
        <w:t>ikinci</w:t>
      </w:r>
      <w:r w:rsidR="00B834FD">
        <w:rPr>
          <w:rFonts w:ascii="Arial" w:hAnsi="Arial" w:cs="Arial"/>
          <w:sz w:val="20"/>
          <w:szCs w:val="20"/>
        </w:rPr>
        <w:t xml:space="preserve"> çeyrekte </w:t>
      </w:r>
      <w:r w:rsidR="008F0EB3">
        <w:rPr>
          <w:rFonts w:ascii="Arial" w:hAnsi="Arial" w:cs="Arial"/>
          <w:sz w:val="20"/>
          <w:szCs w:val="20"/>
        </w:rPr>
        <w:t>artmaya devam etti ve ilk</w:t>
      </w:r>
      <w:r w:rsidR="00B834FD">
        <w:rPr>
          <w:rFonts w:ascii="Arial" w:hAnsi="Arial" w:cs="Arial"/>
          <w:sz w:val="20"/>
          <w:szCs w:val="20"/>
        </w:rPr>
        <w:t xml:space="preserve"> çeyreğe kıyasla yüzde </w:t>
      </w:r>
      <w:r w:rsidR="008F0EB3">
        <w:rPr>
          <w:rFonts w:ascii="Arial" w:hAnsi="Arial" w:cs="Arial"/>
          <w:sz w:val="20"/>
          <w:szCs w:val="20"/>
        </w:rPr>
        <w:t>6,7</w:t>
      </w:r>
      <w:r w:rsidR="00B834FD">
        <w:rPr>
          <w:rFonts w:ascii="Arial" w:hAnsi="Arial" w:cs="Arial"/>
          <w:sz w:val="20"/>
          <w:szCs w:val="20"/>
        </w:rPr>
        <w:t xml:space="preserve"> oranında </w:t>
      </w:r>
      <w:r>
        <w:rPr>
          <w:rFonts w:ascii="Arial" w:hAnsi="Arial" w:cs="Arial"/>
          <w:sz w:val="20"/>
          <w:szCs w:val="20"/>
        </w:rPr>
        <w:t xml:space="preserve">artarak </w:t>
      </w:r>
      <w:r w:rsidR="00B834FD">
        <w:rPr>
          <w:rFonts w:ascii="Arial" w:hAnsi="Arial" w:cs="Arial"/>
          <w:sz w:val="20"/>
          <w:szCs w:val="20"/>
        </w:rPr>
        <w:t xml:space="preserve">büyümeye negatif yönde </w:t>
      </w:r>
      <w:r>
        <w:rPr>
          <w:rFonts w:ascii="Arial" w:hAnsi="Arial" w:cs="Arial"/>
          <w:sz w:val="20"/>
          <w:szCs w:val="20"/>
        </w:rPr>
        <w:t>1</w:t>
      </w:r>
      <w:r w:rsidR="00B834FD">
        <w:rPr>
          <w:rFonts w:ascii="Arial" w:hAnsi="Arial" w:cs="Arial"/>
          <w:sz w:val="20"/>
          <w:szCs w:val="20"/>
        </w:rPr>
        <w:t>,</w:t>
      </w:r>
      <w:r>
        <w:rPr>
          <w:rFonts w:ascii="Arial" w:hAnsi="Arial" w:cs="Arial"/>
          <w:sz w:val="20"/>
          <w:szCs w:val="20"/>
        </w:rPr>
        <w:t>9</w:t>
      </w:r>
      <w:r w:rsidR="00B834FD">
        <w:rPr>
          <w:rFonts w:ascii="Arial" w:hAnsi="Arial" w:cs="Arial"/>
          <w:sz w:val="20"/>
          <w:szCs w:val="20"/>
        </w:rPr>
        <w:t xml:space="preserve"> yüzde puan, katkı yaptı. Böylece toplamda net ihracat </w:t>
      </w:r>
      <w:r>
        <w:rPr>
          <w:rFonts w:ascii="Arial" w:hAnsi="Arial" w:cs="Arial"/>
          <w:sz w:val="20"/>
          <w:szCs w:val="20"/>
        </w:rPr>
        <w:t>büyümeden 1,2</w:t>
      </w:r>
      <w:r w:rsidR="00B834FD">
        <w:rPr>
          <w:rFonts w:ascii="Arial" w:hAnsi="Arial" w:cs="Arial"/>
          <w:sz w:val="20"/>
          <w:szCs w:val="20"/>
        </w:rPr>
        <w:t xml:space="preserve"> yüzde puan </w:t>
      </w:r>
      <w:r w:rsidR="009E7AF6">
        <w:rPr>
          <w:rFonts w:ascii="Arial" w:hAnsi="Arial" w:cs="Arial"/>
          <w:sz w:val="20"/>
          <w:szCs w:val="20"/>
        </w:rPr>
        <w:t>eksiltmiş</w:t>
      </w:r>
      <w:r w:rsidR="00B834FD">
        <w:rPr>
          <w:rFonts w:ascii="Arial" w:hAnsi="Arial" w:cs="Arial"/>
          <w:sz w:val="20"/>
          <w:szCs w:val="20"/>
        </w:rPr>
        <w:t xml:space="preserve"> oldu.</w:t>
      </w:r>
      <w:r>
        <w:rPr>
          <w:rFonts w:ascii="Arial" w:hAnsi="Arial" w:cs="Arial"/>
          <w:sz w:val="20"/>
          <w:szCs w:val="20"/>
        </w:rPr>
        <w:t xml:space="preserve"> </w:t>
      </w:r>
    </w:p>
    <w:p w:rsidR="00B834FD" w:rsidRPr="009B5D1C" w:rsidRDefault="00B834FD" w:rsidP="00FA1EEF">
      <w:pPr>
        <w:pStyle w:val="NormalWeb"/>
        <w:spacing w:before="0" w:beforeAutospacing="0" w:after="0" w:afterAutospacing="0" w:line="360" w:lineRule="auto"/>
        <w:ind w:right="77"/>
        <w:jc w:val="both"/>
        <w:rPr>
          <w:rFonts w:ascii="Arial" w:hAnsi="Arial" w:cs="Arial"/>
          <w:sz w:val="20"/>
          <w:szCs w:val="20"/>
        </w:rPr>
      </w:pPr>
    </w:p>
    <w:p w:rsidR="00B834FD"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 xml:space="preserve">mu harcamalarında </w:t>
      </w:r>
      <w:r w:rsidR="004322C1">
        <w:rPr>
          <w:rFonts w:ascii="Arial" w:hAnsi="Arial" w:cs="Arial"/>
          <w:b/>
          <w:bCs/>
          <w:sz w:val="20"/>
          <w:szCs w:val="20"/>
        </w:rPr>
        <w:t>fren</w:t>
      </w:r>
    </w:p>
    <w:p w:rsidR="004322C1" w:rsidRDefault="004322C1"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Gerek 2012’nin son çeyreğinde gerekse 2013 ilk çeyreğinde kamu harcamalarının büyümeye katkısı oldukça yüksekti (sırasıyla 0,7 ve 1,0 yüzde puan). Özellikle ilk çeyrekte büyümenin en önemli kaynaklarından biri kamu harcamaları olmuştu. İkinci çeyrekte ise kamu harcamaları ilk çeyreğe göre yüzde 0,9 oranında azaldı, büyümeye katkısı da negatif yönde 0,1 oldu. Diğer b</w:t>
      </w:r>
      <w:r w:rsidR="009E7AF6">
        <w:rPr>
          <w:rFonts w:ascii="Arial" w:hAnsi="Arial" w:cs="Arial"/>
          <w:sz w:val="20"/>
          <w:szCs w:val="20"/>
        </w:rPr>
        <w:t>i</w:t>
      </w:r>
      <w:r>
        <w:rPr>
          <w:rFonts w:ascii="Arial" w:hAnsi="Arial" w:cs="Arial"/>
          <w:sz w:val="20"/>
          <w:szCs w:val="20"/>
        </w:rPr>
        <w:t>r deyişle kamu harcamaları ikinci çeyrekte büyümeye hemen hemen hiç katkı yapmadı.</w:t>
      </w:r>
    </w:p>
    <w:p w:rsidR="004322C1" w:rsidRDefault="004322C1" w:rsidP="00FA1EEF">
      <w:pPr>
        <w:pStyle w:val="NormalWeb"/>
        <w:spacing w:before="0" w:beforeAutospacing="0" w:after="0" w:afterAutospacing="0" w:line="360" w:lineRule="auto"/>
        <w:ind w:right="77"/>
        <w:jc w:val="both"/>
        <w:rPr>
          <w:rFonts w:ascii="Arial" w:hAnsi="Arial" w:cs="Arial"/>
          <w:sz w:val="20"/>
          <w:szCs w:val="20"/>
        </w:rPr>
      </w:pPr>
    </w:p>
    <w:p w:rsidR="00B834FD" w:rsidRDefault="00B834FD"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Büyümenin geleceği</w:t>
      </w:r>
    </w:p>
    <w:p w:rsidR="00B834FD" w:rsidRDefault="00A9773F" w:rsidP="00B40C86">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Ekonomik büyüme yılı</w:t>
      </w:r>
      <w:r w:rsidR="00391A23">
        <w:rPr>
          <w:rFonts w:ascii="Arial" w:hAnsi="Arial" w:cs="Arial"/>
          <w:sz w:val="20"/>
          <w:szCs w:val="20"/>
        </w:rPr>
        <w:t>n ikinci çeyreğinde ilk çeyreğine kıyasla hızlandı. Hızlanmanın kaynağı stok artışları ile yatırım ve ihracattaki ılımlı artışlar oldu.</w:t>
      </w:r>
      <w:r w:rsidR="007A58BE">
        <w:rPr>
          <w:rFonts w:ascii="Arial" w:hAnsi="Arial" w:cs="Arial"/>
          <w:sz w:val="20"/>
          <w:szCs w:val="20"/>
        </w:rPr>
        <w:t xml:space="preserve"> T</w:t>
      </w:r>
      <w:r w:rsidR="00B97593">
        <w:rPr>
          <w:rFonts w:ascii="Arial" w:hAnsi="Arial" w:cs="Arial"/>
          <w:sz w:val="20"/>
          <w:szCs w:val="20"/>
        </w:rPr>
        <w:t>üketim harcamal</w:t>
      </w:r>
      <w:r w:rsidR="007A58BE">
        <w:rPr>
          <w:rFonts w:ascii="Arial" w:hAnsi="Arial" w:cs="Arial"/>
          <w:sz w:val="20"/>
          <w:szCs w:val="20"/>
        </w:rPr>
        <w:t>a</w:t>
      </w:r>
      <w:r w:rsidR="00B97593">
        <w:rPr>
          <w:rFonts w:ascii="Arial" w:hAnsi="Arial" w:cs="Arial"/>
          <w:sz w:val="20"/>
          <w:szCs w:val="20"/>
        </w:rPr>
        <w:t xml:space="preserve">rının ise ilk çeyrekteki kadar canlı olmadığı görülüyor. Önümüzdeki dönemde büyümenin önündeki en büyük tehdit, gelişmekte olan piyasalardan çıkan sermayenin yarattığı belirsizlik. Bu belirsizliğin tüketim ve yatırım harcamalarını baskı altına alması ve sıkı para politikasına mecbur kalan ekonominin iç talepte yeterli canlanmayı sağlayamaması büyümeyi sınırlayabilir. Öte yandan Avrupa’nın önde gelen ekonomilerindeki </w:t>
      </w:r>
      <w:r w:rsidR="002B5224">
        <w:rPr>
          <w:rFonts w:ascii="Arial" w:hAnsi="Arial" w:cs="Arial"/>
          <w:sz w:val="20"/>
          <w:szCs w:val="20"/>
        </w:rPr>
        <w:t xml:space="preserve">ılımlı </w:t>
      </w:r>
      <w:r w:rsidR="00B97593">
        <w:rPr>
          <w:rFonts w:ascii="Arial" w:hAnsi="Arial" w:cs="Arial"/>
          <w:sz w:val="20"/>
          <w:szCs w:val="20"/>
        </w:rPr>
        <w:t>toparlanma dış talepte canlanmaya neden olarak ikinci çeyrekte olduğu gibi ihracat yönünden büyümeyi destekleyebilir.</w:t>
      </w:r>
      <w:r w:rsidR="007A58BE">
        <w:rPr>
          <w:rFonts w:ascii="Arial" w:hAnsi="Arial" w:cs="Arial"/>
          <w:sz w:val="20"/>
          <w:szCs w:val="20"/>
        </w:rPr>
        <w:t xml:space="preserve"> </w:t>
      </w:r>
    </w:p>
    <w:p w:rsidR="007A58BE" w:rsidRDefault="007A58BE" w:rsidP="00B40C86">
      <w:pPr>
        <w:pStyle w:val="NormalWeb"/>
        <w:spacing w:before="0" w:beforeAutospacing="0" w:after="0" w:afterAutospacing="0" w:line="360" w:lineRule="auto"/>
        <w:jc w:val="both"/>
        <w:rPr>
          <w:rFonts w:ascii="Arial" w:hAnsi="Arial" w:cs="Arial"/>
          <w:sz w:val="20"/>
          <w:szCs w:val="20"/>
        </w:rPr>
      </w:pPr>
    </w:p>
    <w:p w:rsidR="007A58BE" w:rsidRDefault="007A58BE" w:rsidP="00B40C86">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lastRenderedPageBreak/>
        <w:t xml:space="preserve">İkinci </w:t>
      </w:r>
      <w:r w:rsidR="002B5224">
        <w:rPr>
          <w:rFonts w:ascii="Arial" w:hAnsi="Arial" w:cs="Arial"/>
          <w:sz w:val="20"/>
          <w:szCs w:val="20"/>
        </w:rPr>
        <w:t>çeyrekteki</w:t>
      </w:r>
      <w:r>
        <w:rPr>
          <w:rFonts w:ascii="Arial" w:hAnsi="Arial" w:cs="Arial"/>
          <w:sz w:val="20"/>
          <w:szCs w:val="20"/>
        </w:rPr>
        <w:t xml:space="preserve"> yüksek büyüme sayesinde yıllık bazda ilk yarıyıl büyüme hızı yüzde 3,7’ye ulaşmış durumda. Bu büyümenin yarattığı baz etkisi 3. çeyrekte de yıllık büyümenin yüzde 4’ün üzerinde kalmasını sağlayabilir. </w:t>
      </w:r>
    </w:p>
    <w:p w:rsidR="00A51052" w:rsidRDefault="00A51052" w:rsidP="00572866">
      <w:pPr>
        <w:spacing w:line="288" w:lineRule="auto"/>
        <w:ind w:right="77"/>
        <w:jc w:val="both"/>
        <w:rPr>
          <w:rFonts w:ascii="Arial" w:hAnsi="Arial" w:cs="Arial"/>
          <w:b/>
          <w:bCs/>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r>
        <w:rPr>
          <w:rFonts w:ascii="Arial" w:hAnsi="Arial" w:cs="Arial"/>
          <w:b/>
          <w:bCs/>
          <w:sz w:val="20"/>
          <w:szCs w:val="20"/>
        </w:rPr>
        <w:t xml:space="preserve"> </w:t>
      </w:r>
      <w:r w:rsidRPr="00712EDE">
        <w:rPr>
          <w:rFonts w:ascii="Arial" w:hAnsi="Arial" w:cs="Arial"/>
          <w:b/>
          <w:bCs/>
          <w:sz w:val="20"/>
          <w:szCs w:val="20"/>
        </w:rPr>
        <w:t>(TÜİK)</w:t>
      </w:r>
    </w:p>
    <w:p w:rsidR="00B834FD" w:rsidRDefault="00A51052" w:rsidP="00572866">
      <w:pPr>
        <w:pStyle w:val="NormalWeb"/>
        <w:spacing w:before="0" w:beforeAutospacing="0" w:after="0" w:afterAutospacing="0"/>
        <w:jc w:val="both"/>
      </w:pPr>
      <w:r w:rsidRPr="00A51052">
        <w:rPr>
          <w:noProof/>
        </w:rPr>
        <w:drawing>
          <wp:inline distT="0" distB="0" distL="0" distR="0">
            <wp:extent cx="3020695" cy="1843027"/>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20695" cy="1843027"/>
                    </a:xfrm>
                    <a:prstGeom prst="rect">
                      <a:avLst/>
                    </a:prstGeom>
                    <a:noFill/>
                    <a:ln w="9525">
                      <a:noFill/>
                      <a:miter lim="800000"/>
                      <a:headEnd/>
                      <a:tailEnd/>
                    </a:ln>
                  </pic:spPr>
                </pic:pic>
              </a:graphicData>
            </a:graphic>
          </wp:inline>
        </w:drawing>
      </w:r>
    </w:p>
    <w:p w:rsidR="00B834FD" w:rsidRDefault="00B834FD" w:rsidP="00572866">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DB028A" w:rsidRDefault="00DB028A" w:rsidP="00D561EE">
      <w:pPr>
        <w:pStyle w:val="NormalWeb"/>
        <w:spacing w:before="0" w:beforeAutospacing="0" w:after="0" w:afterAutospacing="0"/>
        <w:ind w:right="77"/>
        <w:jc w:val="both"/>
        <w:rPr>
          <w:rFonts w:ascii="Arial" w:hAnsi="Arial" w:cs="Arial"/>
          <w:b/>
          <w:bCs/>
          <w:sz w:val="20"/>
          <w:szCs w:val="20"/>
        </w:rPr>
      </w:pPr>
    </w:p>
    <w:p w:rsidR="00B834FD" w:rsidRDefault="00A51052" w:rsidP="00D561EE">
      <w:pPr>
        <w:pStyle w:val="NormalWeb"/>
        <w:spacing w:before="0" w:beforeAutospacing="0" w:after="0" w:afterAutospacing="0"/>
        <w:ind w:right="77"/>
        <w:jc w:val="both"/>
        <w:rPr>
          <w:b/>
          <w:bCs/>
          <w:sz w:val="22"/>
          <w:szCs w:val="22"/>
        </w:rPr>
      </w:pPr>
      <w:r>
        <w:rPr>
          <w:b/>
          <w:bCs/>
          <w:sz w:val="22"/>
          <w:szCs w:val="22"/>
        </w:rPr>
        <w:t>Tablo 1. 2013 1. çeyrekte ve 2013 2</w:t>
      </w:r>
      <w:r w:rsidR="00B834FD">
        <w:rPr>
          <w:b/>
          <w:bCs/>
          <w:sz w:val="22"/>
          <w:szCs w:val="22"/>
        </w:rPr>
        <w:t xml:space="preserve">. çeyrekte GSYH altkalemlerinin, </w:t>
      </w:r>
      <w:r w:rsidR="00B834FD" w:rsidRPr="00002CEE">
        <w:rPr>
          <w:b/>
          <w:bCs/>
          <w:sz w:val="22"/>
          <w:szCs w:val="22"/>
          <w:u w:val="single"/>
        </w:rPr>
        <w:t>bir önceki çeyreğe</w:t>
      </w:r>
      <w:r w:rsidR="00B834FD">
        <w:rPr>
          <w:b/>
          <w:bCs/>
          <w:sz w:val="22"/>
          <w:szCs w:val="22"/>
        </w:rPr>
        <w:t xml:space="preserve"> göre değişimleri ve büyümeye katkıları</w:t>
      </w:r>
    </w:p>
    <w:p w:rsidR="002B5224" w:rsidRDefault="002B5224" w:rsidP="00D561EE">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tblPr>
      <w:tblGrid>
        <w:gridCol w:w="1980"/>
        <w:gridCol w:w="1350"/>
        <w:gridCol w:w="1350"/>
      </w:tblGrid>
      <w:tr w:rsidR="00B834FD" w:rsidTr="00DB028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34FD" w:rsidRDefault="00A51052" w:rsidP="0089443A">
            <w:pPr>
              <w:rPr>
                <w:rFonts w:ascii="Arial TUR" w:hAnsi="Arial TUR" w:cs="Arial TUR"/>
                <w:b/>
                <w:bCs/>
                <w:sz w:val="20"/>
                <w:szCs w:val="20"/>
              </w:rPr>
            </w:pPr>
            <w:r>
              <w:rPr>
                <w:rFonts w:ascii="Arial TUR" w:hAnsi="Arial TUR" w:cs="Arial TUR"/>
                <w:b/>
                <w:bCs/>
                <w:sz w:val="20"/>
                <w:szCs w:val="20"/>
              </w:rPr>
              <w:t>2013 – 2</w:t>
            </w:r>
            <w:r w:rsidR="00B834FD">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0,7</w:t>
            </w:r>
            <w:r w:rsidR="00B834FD">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0,5%</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3,0</w:t>
            </w:r>
            <w:r w:rsidR="00B834FD">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0,6%</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-0,9</w:t>
            </w:r>
            <w:r w:rsidR="00B834FD">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-0,1%</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89443A">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50" w:type="dxa"/>
            <w:tcBorders>
              <w:top w:val="nil"/>
              <w:left w:val="nil"/>
              <w:bottom w:val="single" w:sz="4" w:space="0" w:color="auto"/>
              <w:right w:val="single" w:sz="4" w:space="0" w:color="auto"/>
            </w:tcBorders>
            <w:noWrap/>
            <w:vAlign w:val="bottom"/>
          </w:tcPr>
          <w:p w:rsidR="00DB028A" w:rsidRDefault="00A51052" w:rsidP="0089443A">
            <w:pPr>
              <w:jc w:val="right"/>
              <w:rPr>
                <w:rFonts w:ascii="Arial" w:hAnsi="Arial" w:cs="Arial"/>
                <w:sz w:val="20"/>
                <w:szCs w:val="20"/>
              </w:rPr>
            </w:pPr>
            <w:r>
              <w:rPr>
                <w:rFonts w:ascii="Arial" w:hAnsi="Arial" w:cs="Arial"/>
                <w:sz w:val="20"/>
                <w:szCs w:val="20"/>
              </w:rPr>
              <w:t>1,8%</w:t>
            </w:r>
          </w:p>
        </w:tc>
        <w:tc>
          <w:tcPr>
            <w:tcW w:w="1350" w:type="dxa"/>
            <w:tcBorders>
              <w:top w:val="nil"/>
              <w:left w:val="nil"/>
              <w:bottom w:val="single" w:sz="4" w:space="0" w:color="auto"/>
              <w:right w:val="single" w:sz="4" w:space="0" w:color="auto"/>
            </w:tcBorders>
            <w:noWrap/>
            <w:vAlign w:val="bottom"/>
          </w:tcPr>
          <w:p w:rsidR="00DB028A" w:rsidRDefault="00A51052" w:rsidP="0089443A">
            <w:pPr>
              <w:jc w:val="right"/>
              <w:rPr>
                <w:rFonts w:ascii="Arial" w:hAnsi="Arial" w:cs="Arial"/>
                <w:sz w:val="20"/>
                <w:szCs w:val="20"/>
              </w:rPr>
            </w:pPr>
            <w:r>
              <w:rPr>
                <w:rFonts w:ascii="Arial" w:hAnsi="Arial" w:cs="Arial"/>
                <w:sz w:val="20"/>
                <w:szCs w:val="20"/>
              </w:rPr>
              <w:t>0,2%</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89443A">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50" w:type="dxa"/>
            <w:tcBorders>
              <w:top w:val="nil"/>
              <w:left w:val="nil"/>
              <w:bottom w:val="single" w:sz="4" w:space="0" w:color="auto"/>
              <w:right w:val="single" w:sz="4" w:space="0" w:color="auto"/>
            </w:tcBorders>
            <w:noWrap/>
            <w:vAlign w:val="bottom"/>
          </w:tcPr>
          <w:p w:rsidR="00DB028A" w:rsidRDefault="00A51052" w:rsidP="0089443A">
            <w:pPr>
              <w:jc w:val="right"/>
              <w:rPr>
                <w:rFonts w:ascii="Arial" w:hAnsi="Arial" w:cs="Arial"/>
                <w:sz w:val="20"/>
                <w:szCs w:val="20"/>
              </w:rPr>
            </w:pPr>
            <w:r>
              <w:rPr>
                <w:rFonts w:ascii="Arial" w:hAnsi="Arial" w:cs="Arial"/>
                <w:sz w:val="20"/>
                <w:szCs w:val="20"/>
              </w:rPr>
              <w:t>4,5%</w:t>
            </w:r>
          </w:p>
        </w:tc>
        <w:tc>
          <w:tcPr>
            <w:tcW w:w="1350" w:type="dxa"/>
            <w:tcBorders>
              <w:top w:val="nil"/>
              <w:left w:val="nil"/>
              <w:bottom w:val="single" w:sz="4" w:space="0" w:color="auto"/>
              <w:right w:val="single" w:sz="4" w:space="0" w:color="auto"/>
            </w:tcBorders>
            <w:noWrap/>
            <w:vAlign w:val="bottom"/>
          </w:tcPr>
          <w:p w:rsidR="00DB028A" w:rsidRDefault="00A51052" w:rsidP="0089443A">
            <w:pPr>
              <w:jc w:val="right"/>
              <w:rPr>
                <w:rFonts w:ascii="Arial" w:hAnsi="Arial" w:cs="Arial"/>
                <w:sz w:val="20"/>
                <w:szCs w:val="20"/>
              </w:rPr>
            </w:pPr>
            <w:r>
              <w:rPr>
                <w:rFonts w:ascii="Arial" w:hAnsi="Arial" w:cs="Arial"/>
                <w:sz w:val="20"/>
                <w:szCs w:val="20"/>
              </w:rPr>
              <w:t>0,0%</w:t>
            </w:r>
          </w:p>
        </w:tc>
      </w:tr>
      <w:tr w:rsidR="00DB028A"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DB028A" w:rsidRPr="00DB028A" w:rsidRDefault="00DB028A" w:rsidP="0089443A">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50" w:type="dxa"/>
            <w:tcBorders>
              <w:top w:val="nil"/>
              <w:left w:val="nil"/>
              <w:bottom w:val="single" w:sz="4" w:space="0" w:color="auto"/>
              <w:right w:val="single" w:sz="4" w:space="0" w:color="auto"/>
            </w:tcBorders>
            <w:noWrap/>
            <w:vAlign w:val="bottom"/>
          </w:tcPr>
          <w:p w:rsidR="00DB028A" w:rsidRDefault="00A51052" w:rsidP="0089443A">
            <w:pPr>
              <w:jc w:val="right"/>
              <w:rPr>
                <w:rFonts w:ascii="Arial" w:hAnsi="Arial" w:cs="Arial"/>
                <w:sz w:val="20"/>
                <w:szCs w:val="20"/>
              </w:rPr>
            </w:pPr>
            <w:r>
              <w:rPr>
                <w:rFonts w:ascii="Arial" w:hAnsi="Arial" w:cs="Arial"/>
                <w:sz w:val="20"/>
                <w:szCs w:val="20"/>
              </w:rPr>
              <w:t>-8,5%</w:t>
            </w:r>
          </w:p>
        </w:tc>
        <w:tc>
          <w:tcPr>
            <w:tcW w:w="1350" w:type="dxa"/>
            <w:tcBorders>
              <w:top w:val="nil"/>
              <w:left w:val="nil"/>
              <w:bottom w:val="single" w:sz="4" w:space="0" w:color="auto"/>
              <w:right w:val="single" w:sz="4" w:space="0" w:color="auto"/>
            </w:tcBorders>
            <w:noWrap/>
            <w:vAlign w:val="bottom"/>
          </w:tcPr>
          <w:p w:rsidR="00DB028A" w:rsidRDefault="00A51052" w:rsidP="0089443A">
            <w:pPr>
              <w:jc w:val="right"/>
              <w:rPr>
                <w:rFonts w:ascii="Arial" w:hAnsi="Arial" w:cs="Arial"/>
                <w:sz w:val="20"/>
                <w:szCs w:val="20"/>
              </w:rPr>
            </w:pPr>
            <w:r>
              <w:rPr>
                <w:rFonts w:ascii="Arial" w:hAnsi="Arial" w:cs="Arial"/>
                <w:sz w:val="20"/>
                <w:szCs w:val="20"/>
              </w:rPr>
              <w:t>-0,4%</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1,7%</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2,5%</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0,7%</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6,7%</w:t>
            </w:r>
          </w:p>
        </w:tc>
        <w:tc>
          <w:tcPr>
            <w:tcW w:w="1350" w:type="dxa"/>
            <w:tcBorders>
              <w:top w:val="nil"/>
              <w:left w:val="nil"/>
              <w:bottom w:val="single" w:sz="4" w:space="0" w:color="auto"/>
              <w:right w:val="single" w:sz="4" w:space="0" w:color="auto"/>
            </w:tcBorders>
            <w:noWrap/>
            <w:vAlign w:val="bottom"/>
          </w:tcPr>
          <w:p w:rsidR="00B834FD" w:rsidRDefault="00A51052" w:rsidP="0089443A">
            <w:pPr>
              <w:jc w:val="right"/>
              <w:rPr>
                <w:rFonts w:ascii="Arial" w:hAnsi="Arial" w:cs="Arial"/>
                <w:sz w:val="20"/>
                <w:szCs w:val="20"/>
              </w:rPr>
            </w:pPr>
            <w:r>
              <w:rPr>
                <w:rFonts w:ascii="Arial" w:hAnsi="Arial" w:cs="Arial"/>
                <w:sz w:val="20"/>
                <w:szCs w:val="20"/>
              </w:rPr>
              <w:t>-1,9%</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A51052" w:rsidP="0089443A">
            <w:pPr>
              <w:rPr>
                <w:rFonts w:ascii="Arial TUR" w:hAnsi="Arial TUR" w:cs="Arial TUR"/>
                <w:b/>
                <w:bCs/>
                <w:sz w:val="20"/>
                <w:szCs w:val="20"/>
              </w:rPr>
            </w:pPr>
            <w:r>
              <w:rPr>
                <w:rFonts w:ascii="Arial TUR" w:hAnsi="Arial TUR" w:cs="Arial TUR"/>
                <w:b/>
                <w:bCs/>
                <w:sz w:val="20"/>
                <w:szCs w:val="20"/>
              </w:rPr>
              <w:t>2013 – 1</w:t>
            </w:r>
            <w:r w:rsidR="00B834FD">
              <w:rPr>
                <w:rFonts w:ascii="Arial TUR" w:hAnsi="Arial TUR" w:cs="Arial TUR"/>
                <w:b/>
                <w:bCs/>
                <w:sz w:val="20"/>
                <w:szCs w:val="20"/>
              </w:rPr>
              <w:t>. Ç</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Default="00A51052" w:rsidP="006E08A0">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2,6%</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1,7%</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Default="00A51052" w:rsidP="006E08A0">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-0,6%</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-0,1%</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Default="00A51052" w:rsidP="006E08A0">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6,3%</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1,0%</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Pr="00DB028A" w:rsidRDefault="00A51052" w:rsidP="006E08A0">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0,8%</w:t>
            </w:r>
          </w:p>
        </w:tc>
        <w:tc>
          <w:tcPr>
            <w:tcW w:w="1350" w:type="dxa"/>
            <w:tcBorders>
              <w:top w:val="nil"/>
              <w:left w:val="nil"/>
              <w:bottom w:val="single" w:sz="4" w:space="0" w:color="auto"/>
              <w:right w:val="single" w:sz="4" w:space="0" w:color="auto"/>
            </w:tcBorders>
            <w:noWrap/>
            <w:vAlign w:val="bottom"/>
          </w:tcPr>
          <w:p w:rsidR="00A51052" w:rsidRDefault="0022443D" w:rsidP="006E08A0">
            <w:pPr>
              <w:jc w:val="right"/>
              <w:rPr>
                <w:rFonts w:ascii="Arial" w:hAnsi="Arial" w:cs="Arial"/>
                <w:sz w:val="20"/>
                <w:szCs w:val="20"/>
              </w:rPr>
            </w:pPr>
            <w:r>
              <w:rPr>
                <w:rFonts w:ascii="Arial" w:hAnsi="Arial" w:cs="Arial"/>
                <w:sz w:val="20"/>
                <w:szCs w:val="20"/>
              </w:rPr>
              <w:t>0,1%</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Pr="00DB028A" w:rsidRDefault="00A51052" w:rsidP="006E08A0">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-36,6%</w:t>
            </w:r>
          </w:p>
        </w:tc>
        <w:tc>
          <w:tcPr>
            <w:tcW w:w="1350" w:type="dxa"/>
            <w:tcBorders>
              <w:top w:val="nil"/>
              <w:left w:val="nil"/>
              <w:bottom w:val="single" w:sz="4" w:space="0" w:color="auto"/>
              <w:right w:val="single" w:sz="4" w:space="0" w:color="auto"/>
            </w:tcBorders>
            <w:noWrap/>
            <w:vAlign w:val="bottom"/>
          </w:tcPr>
          <w:p w:rsidR="00A51052" w:rsidRDefault="0022443D" w:rsidP="006E08A0">
            <w:pPr>
              <w:jc w:val="right"/>
              <w:rPr>
                <w:rFonts w:ascii="Arial" w:hAnsi="Arial" w:cs="Arial"/>
                <w:sz w:val="20"/>
                <w:szCs w:val="20"/>
              </w:rPr>
            </w:pPr>
            <w:r>
              <w:rPr>
                <w:rFonts w:ascii="Arial" w:hAnsi="Arial" w:cs="Arial"/>
                <w:sz w:val="20"/>
                <w:szCs w:val="20"/>
              </w:rPr>
              <w:t>-0,5%</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Pr="00DB028A" w:rsidRDefault="00A51052" w:rsidP="006E08A0">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46,0%</w:t>
            </w:r>
          </w:p>
        </w:tc>
        <w:tc>
          <w:tcPr>
            <w:tcW w:w="1350" w:type="dxa"/>
            <w:tcBorders>
              <w:top w:val="nil"/>
              <w:left w:val="nil"/>
              <w:bottom w:val="single" w:sz="4" w:space="0" w:color="auto"/>
              <w:right w:val="single" w:sz="4" w:space="0" w:color="auto"/>
            </w:tcBorders>
            <w:noWrap/>
            <w:vAlign w:val="bottom"/>
          </w:tcPr>
          <w:p w:rsidR="00A51052" w:rsidRDefault="0022443D" w:rsidP="006E08A0">
            <w:pPr>
              <w:jc w:val="right"/>
              <w:rPr>
                <w:rFonts w:ascii="Arial" w:hAnsi="Arial" w:cs="Arial"/>
                <w:sz w:val="20"/>
                <w:szCs w:val="20"/>
              </w:rPr>
            </w:pPr>
            <w:r>
              <w:rPr>
                <w:rFonts w:ascii="Arial" w:hAnsi="Arial" w:cs="Arial"/>
                <w:sz w:val="20"/>
                <w:szCs w:val="20"/>
              </w:rPr>
              <w:t>1,4%</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Default="00A51052" w:rsidP="006E08A0">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0,6%</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Default="00A51052" w:rsidP="006E08A0">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-2,2</w:t>
            </w:r>
          </w:p>
        </w:tc>
        <w:tc>
          <w:tcPr>
            <w:tcW w:w="1350" w:type="dxa"/>
            <w:tcBorders>
              <w:top w:val="nil"/>
              <w:left w:val="nil"/>
              <w:bottom w:val="single" w:sz="4" w:space="0" w:color="auto"/>
              <w:right w:val="single" w:sz="4" w:space="0" w:color="auto"/>
            </w:tcBorders>
            <w:noWrap/>
            <w:vAlign w:val="bottom"/>
          </w:tcPr>
          <w:p w:rsidR="00A51052" w:rsidRDefault="0022443D" w:rsidP="006E08A0">
            <w:pPr>
              <w:jc w:val="right"/>
              <w:rPr>
                <w:rFonts w:ascii="Arial" w:hAnsi="Arial" w:cs="Arial"/>
                <w:sz w:val="20"/>
                <w:szCs w:val="20"/>
              </w:rPr>
            </w:pPr>
            <w:r>
              <w:rPr>
                <w:rFonts w:ascii="Arial" w:hAnsi="Arial" w:cs="Arial"/>
                <w:sz w:val="20"/>
                <w:szCs w:val="20"/>
              </w:rPr>
              <w:t>-0,6%</w:t>
            </w:r>
          </w:p>
        </w:tc>
      </w:tr>
      <w:tr w:rsidR="00A51052"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A51052" w:rsidRDefault="00A51052" w:rsidP="006E08A0">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A51052" w:rsidRDefault="00A51052" w:rsidP="006E08A0">
            <w:pPr>
              <w:jc w:val="right"/>
              <w:rPr>
                <w:rFonts w:ascii="Arial" w:hAnsi="Arial" w:cs="Arial"/>
                <w:sz w:val="20"/>
                <w:szCs w:val="20"/>
              </w:rPr>
            </w:pPr>
            <w:r>
              <w:rPr>
                <w:rFonts w:ascii="Arial" w:hAnsi="Arial" w:cs="Arial"/>
                <w:sz w:val="20"/>
                <w:szCs w:val="20"/>
              </w:rPr>
              <w:t>6,3</w:t>
            </w:r>
          </w:p>
        </w:tc>
        <w:tc>
          <w:tcPr>
            <w:tcW w:w="1350" w:type="dxa"/>
            <w:tcBorders>
              <w:top w:val="nil"/>
              <w:left w:val="nil"/>
              <w:bottom w:val="single" w:sz="4" w:space="0" w:color="auto"/>
              <w:right w:val="single" w:sz="4" w:space="0" w:color="auto"/>
            </w:tcBorders>
            <w:noWrap/>
            <w:vAlign w:val="bottom"/>
          </w:tcPr>
          <w:p w:rsidR="00A51052" w:rsidRDefault="0022443D" w:rsidP="006E08A0">
            <w:pPr>
              <w:jc w:val="right"/>
              <w:rPr>
                <w:rFonts w:ascii="Arial" w:hAnsi="Arial" w:cs="Arial"/>
                <w:sz w:val="20"/>
                <w:szCs w:val="20"/>
              </w:rPr>
            </w:pPr>
            <w:r>
              <w:rPr>
                <w:rFonts w:ascii="Arial" w:hAnsi="Arial" w:cs="Arial"/>
                <w:sz w:val="20"/>
                <w:szCs w:val="20"/>
              </w:rPr>
              <w:t>-1,7%</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44918" w:rsidRDefault="00B44918" w:rsidP="00D561EE">
      <w:pPr>
        <w:pStyle w:val="NormalWeb"/>
        <w:spacing w:before="0" w:beforeAutospacing="0" w:after="0" w:afterAutospacing="0"/>
        <w:ind w:right="77"/>
        <w:jc w:val="both"/>
        <w:rPr>
          <w:b/>
          <w:bCs/>
          <w:sz w:val="22"/>
          <w:szCs w:val="22"/>
        </w:rPr>
      </w:pPr>
    </w:p>
    <w:p w:rsidR="00B834FD" w:rsidRDefault="00A51052" w:rsidP="00D561EE">
      <w:pPr>
        <w:pStyle w:val="NormalWeb"/>
        <w:spacing w:before="0" w:beforeAutospacing="0" w:after="0" w:afterAutospacing="0"/>
        <w:ind w:right="77"/>
        <w:jc w:val="both"/>
        <w:rPr>
          <w:b/>
          <w:bCs/>
          <w:sz w:val="22"/>
          <w:szCs w:val="22"/>
        </w:rPr>
      </w:pPr>
      <w:r>
        <w:rPr>
          <w:b/>
          <w:bCs/>
          <w:sz w:val="22"/>
          <w:szCs w:val="22"/>
        </w:rPr>
        <w:t>Tablo 2. 2013 1. çeyrekte ve 2013 2</w:t>
      </w:r>
      <w:r w:rsidR="00B834FD">
        <w:rPr>
          <w:b/>
          <w:bCs/>
          <w:sz w:val="22"/>
          <w:szCs w:val="22"/>
        </w:rPr>
        <w:t xml:space="preserve">. çeyrekte GSYH altkalemlerinin, </w:t>
      </w:r>
      <w:r w:rsidR="00B834FD" w:rsidRPr="00002CEE">
        <w:rPr>
          <w:b/>
          <w:bCs/>
          <w:sz w:val="22"/>
          <w:szCs w:val="22"/>
          <w:u w:val="single"/>
        </w:rPr>
        <w:t xml:space="preserve">bir önceki yılın aynı çeyreğine göre </w:t>
      </w:r>
      <w:r w:rsidR="00B834FD">
        <w:rPr>
          <w:b/>
          <w:bCs/>
          <w:sz w:val="22"/>
          <w:szCs w:val="22"/>
        </w:rPr>
        <w:t>değişimleri ve büyümeye katkıları</w:t>
      </w:r>
    </w:p>
    <w:p w:rsidR="002B5224" w:rsidRDefault="002B5224" w:rsidP="00D561EE">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tblPr>
      <w:tblGrid>
        <w:gridCol w:w="2070"/>
        <w:gridCol w:w="1305"/>
        <w:gridCol w:w="1305"/>
      </w:tblGrid>
      <w:tr w:rsidR="00B834FD" w:rsidTr="00B44918">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B834FD" w:rsidRPr="005E763B" w:rsidRDefault="0022443D" w:rsidP="0089443A">
            <w:pPr>
              <w:rPr>
                <w:rFonts w:ascii="Arial" w:hAnsi="Arial" w:cs="Arial"/>
                <w:b/>
                <w:bCs/>
                <w:sz w:val="20"/>
                <w:szCs w:val="20"/>
              </w:rPr>
            </w:pPr>
            <w:r>
              <w:rPr>
                <w:rFonts w:ascii="Arial" w:hAnsi="Arial" w:cs="Arial"/>
                <w:b/>
                <w:bCs/>
                <w:sz w:val="20"/>
                <w:szCs w:val="20"/>
              </w:rPr>
              <w:t>2013 – 2</w:t>
            </w:r>
            <w:r w:rsidR="00B834FD" w:rsidRPr="005E763B">
              <w:rPr>
                <w:rFonts w:ascii="Arial" w:hAnsi="Arial" w:cs="Arial"/>
                <w:b/>
                <w:bCs/>
                <w:sz w:val="20"/>
                <w:szCs w:val="20"/>
              </w:rPr>
              <w:t>. Ç</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Katkılar</w:t>
            </w:r>
          </w:p>
        </w:tc>
      </w:tr>
      <w:tr w:rsidR="00B834F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B834FD" w:rsidRDefault="0022443D" w:rsidP="0089443A">
            <w:pPr>
              <w:jc w:val="right"/>
              <w:rPr>
                <w:rFonts w:ascii="Arial" w:hAnsi="Arial" w:cs="Arial"/>
                <w:sz w:val="20"/>
                <w:szCs w:val="20"/>
              </w:rPr>
            </w:pPr>
            <w:r>
              <w:rPr>
                <w:rFonts w:ascii="Arial" w:hAnsi="Arial" w:cs="Arial"/>
                <w:sz w:val="20"/>
                <w:szCs w:val="20"/>
              </w:rPr>
              <w:t>5,3%</w:t>
            </w:r>
          </w:p>
        </w:tc>
        <w:tc>
          <w:tcPr>
            <w:tcW w:w="1305" w:type="dxa"/>
            <w:tcBorders>
              <w:top w:val="nil"/>
              <w:left w:val="nil"/>
              <w:bottom w:val="single" w:sz="4" w:space="0" w:color="auto"/>
              <w:right w:val="single" w:sz="4" w:space="0" w:color="auto"/>
            </w:tcBorders>
            <w:noWrap/>
            <w:vAlign w:val="bottom"/>
          </w:tcPr>
          <w:p w:rsidR="00B834FD" w:rsidRDefault="0022443D" w:rsidP="0089443A">
            <w:pPr>
              <w:jc w:val="right"/>
              <w:rPr>
                <w:rFonts w:ascii="Arial" w:hAnsi="Arial" w:cs="Arial"/>
                <w:sz w:val="20"/>
                <w:szCs w:val="20"/>
              </w:rPr>
            </w:pPr>
            <w:r>
              <w:rPr>
                <w:rFonts w:ascii="Arial" w:hAnsi="Arial" w:cs="Arial"/>
                <w:sz w:val="20"/>
                <w:szCs w:val="20"/>
              </w:rPr>
              <w:t>3,4%</w:t>
            </w:r>
          </w:p>
        </w:tc>
      </w:tr>
      <w:tr w:rsidR="00B834F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B834FD" w:rsidRDefault="0022443D" w:rsidP="0089443A">
            <w:pPr>
              <w:jc w:val="right"/>
              <w:rPr>
                <w:rFonts w:ascii="Arial" w:hAnsi="Arial" w:cs="Arial"/>
                <w:sz w:val="20"/>
                <w:szCs w:val="20"/>
              </w:rPr>
            </w:pPr>
            <w:r>
              <w:rPr>
                <w:rFonts w:ascii="Arial" w:hAnsi="Arial" w:cs="Arial"/>
                <w:sz w:val="20"/>
                <w:szCs w:val="20"/>
              </w:rPr>
              <w:t>-2,0%</w:t>
            </w:r>
          </w:p>
        </w:tc>
        <w:tc>
          <w:tcPr>
            <w:tcW w:w="1305" w:type="dxa"/>
            <w:tcBorders>
              <w:top w:val="nil"/>
              <w:left w:val="nil"/>
              <w:bottom w:val="single" w:sz="4" w:space="0" w:color="auto"/>
              <w:right w:val="single" w:sz="4" w:space="0" w:color="auto"/>
            </w:tcBorders>
            <w:noWrap/>
            <w:vAlign w:val="bottom"/>
          </w:tcPr>
          <w:p w:rsidR="00B834FD" w:rsidRDefault="0022443D" w:rsidP="0089443A">
            <w:pPr>
              <w:jc w:val="right"/>
              <w:rPr>
                <w:rFonts w:ascii="Arial" w:hAnsi="Arial" w:cs="Arial"/>
                <w:sz w:val="20"/>
                <w:szCs w:val="20"/>
              </w:rPr>
            </w:pPr>
            <w:r>
              <w:rPr>
                <w:rFonts w:ascii="Arial" w:hAnsi="Arial" w:cs="Arial"/>
                <w:sz w:val="20"/>
                <w:szCs w:val="20"/>
              </w:rPr>
              <w:t>-0,5%</w:t>
            </w:r>
          </w:p>
        </w:tc>
      </w:tr>
      <w:tr w:rsidR="00B834F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834FD" w:rsidRPr="005E763B" w:rsidRDefault="00B834FD"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B834FD" w:rsidRDefault="0022443D" w:rsidP="0089443A">
            <w:pPr>
              <w:jc w:val="right"/>
              <w:rPr>
                <w:rFonts w:ascii="Arial" w:hAnsi="Arial" w:cs="Arial"/>
                <w:sz w:val="20"/>
                <w:szCs w:val="20"/>
              </w:rPr>
            </w:pPr>
            <w:r>
              <w:rPr>
                <w:rFonts w:ascii="Arial" w:hAnsi="Arial" w:cs="Arial"/>
                <w:sz w:val="20"/>
                <w:szCs w:val="20"/>
              </w:rPr>
              <w:t>15,5%</w:t>
            </w:r>
          </w:p>
        </w:tc>
        <w:tc>
          <w:tcPr>
            <w:tcW w:w="1305" w:type="dxa"/>
            <w:tcBorders>
              <w:top w:val="nil"/>
              <w:left w:val="nil"/>
              <w:bottom w:val="single" w:sz="4" w:space="0" w:color="auto"/>
              <w:right w:val="single" w:sz="4" w:space="0" w:color="auto"/>
            </w:tcBorders>
            <w:noWrap/>
            <w:vAlign w:val="bottom"/>
          </w:tcPr>
          <w:p w:rsidR="00B834FD" w:rsidRDefault="0022443D" w:rsidP="0089443A">
            <w:pPr>
              <w:jc w:val="right"/>
              <w:rPr>
                <w:rFonts w:ascii="Arial" w:hAnsi="Arial" w:cs="Arial"/>
                <w:sz w:val="20"/>
                <w:szCs w:val="20"/>
              </w:rPr>
            </w:pPr>
            <w:r>
              <w:rPr>
                <w:rFonts w:ascii="Arial" w:hAnsi="Arial" w:cs="Arial"/>
                <w:sz w:val="20"/>
                <w:szCs w:val="20"/>
              </w:rPr>
              <w:t>2,2%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7,4%</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0,8%</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40,6%</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0,2%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36,0%</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1,2%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2,3%</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1,2%</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0,3%</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11,7%</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-3,4%</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22443D" w:rsidP="0089443A">
            <w:pPr>
              <w:rPr>
                <w:rFonts w:ascii="Arial" w:hAnsi="Arial" w:cs="Arial"/>
                <w:b/>
                <w:bCs/>
                <w:sz w:val="20"/>
                <w:szCs w:val="20"/>
              </w:rPr>
            </w:pPr>
            <w:r>
              <w:rPr>
                <w:rFonts w:ascii="Arial" w:hAnsi="Arial" w:cs="Arial"/>
                <w:b/>
                <w:bCs/>
                <w:sz w:val="20"/>
                <w:szCs w:val="20"/>
              </w:rPr>
              <w:t>2013 – 1</w:t>
            </w:r>
            <w:r w:rsidR="00B44918" w:rsidRPr="005E763B">
              <w:rPr>
                <w:rFonts w:ascii="Arial" w:hAnsi="Arial" w:cs="Arial"/>
                <w:b/>
                <w:bCs/>
                <w:sz w:val="20"/>
                <w:szCs w:val="20"/>
              </w:rPr>
              <w:t>. Ç</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Katkılar</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3,1%</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2,1%</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-7,3%</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-1,7%</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24,0%</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3,0%</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Tüketim</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7,6%</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0,7%</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Makine ve Teçhizat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105,4%</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0,2%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DB028A" w:rsidRDefault="00B44918" w:rsidP="007D751B">
            <w:pPr>
              <w:rPr>
                <w:rFonts w:ascii="Arial TUR" w:hAnsi="Arial TUR" w:cs="Arial TUR"/>
                <w:bCs/>
                <w:sz w:val="20"/>
                <w:szCs w:val="20"/>
              </w:rPr>
            </w:pPr>
            <w:r>
              <w:rPr>
                <w:rFonts w:ascii="Arial TUR" w:hAnsi="Arial TUR" w:cs="Arial TUR"/>
                <w:bCs/>
                <w:sz w:val="20"/>
                <w:szCs w:val="20"/>
              </w:rPr>
              <w:t xml:space="preserve">  </w:t>
            </w:r>
            <w:r w:rsidRPr="00DB028A">
              <w:rPr>
                <w:rFonts w:ascii="Arial TUR" w:hAnsi="Arial TUR" w:cs="Arial TUR"/>
                <w:bCs/>
                <w:sz w:val="20"/>
                <w:szCs w:val="20"/>
              </w:rPr>
              <w:t>İnşaat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81,8%</w:t>
            </w:r>
          </w:p>
        </w:tc>
        <w:tc>
          <w:tcPr>
            <w:tcW w:w="1305" w:type="dxa"/>
            <w:tcBorders>
              <w:top w:val="nil"/>
              <w:left w:val="nil"/>
              <w:bottom w:val="single" w:sz="4" w:space="0" w:color="auto"/>
              <w:right w:val="single" w:sz="4" w:space="0" w:color="auto"/>
            </w:tcBorders>
            <w:noWrap/>
            <w:vAlign w:val="bottom"/>
          </w:tcPr>
          <w:p w:rsidR="00B44918" w:rsidRDefault="009A6D7F" w:rsidP="0089443A">
            <w:pPr>
              <w:jc w:val="right"/>
              <w:rPr>
                <w:rFonts w:ascii="Arial" w:hAnsi="Arial" w:cs="Arial"/>
                <w:sz w:val="20"/>
                <w:szCs w:val="20"/>
              </w:rPr>
            </w:pPr>
            <w:r>
              <w:rPr>
                <w:rFonts w:ascii="Arial" w:hAnsi="Arial" w:cs="Arial"/>
                <w:sz w:val="20"/>
                <w:szCs w:val="20"/>
              </w:rPr>
              <w:t>2,0</w:t>
            </w:r>
            <w:r w:rsidR="0022443D">
              <w:rPr>
                <w:rFonts w:ascii="Arial" w:hAnsi="Arial" w:cs="Arial"/>
                <w:sz w:val="20"/>
                <w:szCs w:val="20"/>
              </w:rPr>
              <w:t>%</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0,0%</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5,6%</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1,4%</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7,1%</w:t>
            </w:r>
          </w:p>
        </w:tc>
        <w:tc>
          <w:tcPr>
            <w:tcW w:w="1305" w:type="dxa"/>
            <w:tcBorders>
              <w:top w:val="nil"/>
              <w:left w:val="nil"/>
              <w:bottom w:val="single" w:sz="4" w:space="0" w:color="auto"/>
              <w:right w:val="single" w:sz="4" w:space="0" w:color="auto"/>
            </w:tcBorders>
            <w:noWrap/>
            <w:vAlign w:val="bottom"/>
          </w:tcPr>
          <w:p w:rsidR="00B44918" w:rsidRDefault="0022443D" w:rsidP="0089443A">
            <w:pPr>
              <w:jc w:val="right"/>
              <w:rPr>
                <w:rFonts w:ascii="Arial" w:hAnsi="Arial" w:cs="Arial"/>
                <w:sz w:val="20"/>
                <w:szCs w:val="20"/>
              </w:rPr>
            </w:pPr>
            <w:r>
              <w:rPr>
                <w:rFonts w:ascii="Arial" w:hAnsi="Arial" w:cs="Arial"/>
                <w:sz w:val="20"/>
                <w:szCs w:val="20"/>
              </w:rPr>
              <w:t>-2,0%</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 Betam.</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B834FD" w:rsidRDefault="00B834FD" w:rsidP="00DD51D1">
      <w:pPr>
        <w:pStyle w:val="NormalWeb"/>
        <w:spacing w:before="0" w:beforeAutospacing="0" w:after="0" w:afterAutospacing="0" w:line="360" w:lineRule="auto"/>
        <w:ind w:right="77"/>
        <w:rPr>
          <w:rFonts w:ascii="Arial" w:hAnsi="Arial" w:cs="Arial"/>
          <w:b/>
          <w:bCs/>
          <w:sz w:val="20"/>
          <w:szCs w:val="20"/>
        </w:rPr>
      </w:pPr>
    </w:p>
    <w:p w:rsidR="00B834FD" w:rsidRDefault="00B834FD" w:rsidP="00DD51D1">
      <w:pPr>
        <w:pStyle w:val="NormalWeb"/>
        <w:spacing w:before="0" w:beforeAutospacing="0" w:after="0" w:afterAutospacing="0" w:line="360" w:lineRule="auto"/>
        <w:ind w:right="77"/>
        <w:rPr>
          <w:rFonts w:ascii="Arial" w:hAnsi="Arial" w:cs="Arial"/>
          <w:b/>
          <w:bCs/>
          <w:sz w:val="20"/>
          <w:szCs w:val="20"/>
        </w:rPr>
      </w:pPr>
    </w:p>
    <w:p w:rsidR="00A51052" w:rsidRDefault="00A51052" w:rsidP="00DD51D1">
      <w:pPr>
        <w:pStyle w:val="NormalWeb"/>
        <w:spacing w:before="0" w:beforeAutospacing="0" w:after="0" w:afterAutospacing="0" w:line="360" w:lineRule="auto"/>
        <w:ind w:right="77"/>
        <w:rPr>
          <w:rFonts w:ascii="Arial" w:hAnsi="Arial" w:cs="Arial"/>
          <w:b/>
          <w:bCs/>
          <w:sz w:val="20"/>
          <w:szCs w:val="20"/>
        </w:rPr>
      </w:pPr>
    </w:p>
    <w:p w:rsidR="00B834FD" w:rsidRPr="00DD51D1" w:rsidRDefault="00B834FD" w:rsidP="00DD51D1">
      <w:pPr>
        <w:pStyle w:val="NormalWeb"/>
        <w:spacing w:before="0" w:beforeAutospacing="0" w:after="0" w:afterAutospacing="0" w:line="360" w:lineRule="auto"/>
        <w:ind w:right="77"/>
        <w:rPr>
          <w:rFonts w:ascii="Arial" w:hAnsi="Arial" w:cs="Arial"/>
          <w:sz w:val="20"/>
          <w:szCs w:val="20"/>
        </w:rPr>
      </w:pPr>
      <w:r w:rsidRPr="00DD51D1">
        <w:rPr>
          <w:rFonts w:ascii="Arial" w:hAnsi="Arial" w:cs="Arial"/>
          <w:b/>
          <w:bCs/>
          <w:sz w:val="20"/>
          <w:szCs w:val="20"/>
        </w:rPr>
        <w:lastRenderedPageBreak/>
        <w:t>Ek 1:</w:t>
      </w:r>
      <w:r w:rsidRPr="00DD51D1">
        <w:rPr>
          <w:rFonts w:ascii="Arial" w:hAnsi="Arial" w:cs="Arial"/>
          <w:sz w:val="20"/>
          <w:szCs w:val="20"/>
        </w:rPr>
        <w:t xml:space="preserve">  </w:t>
      </w:r>
      <w:r w:rsidRPr="00DD51D1">
        <w:rPr>
          <w:rFonts w:ascii="Arial" w:hAnsi="Arial" w:cs="Arial"/>
          <w:b/>
          <w:bCs/>
          <w:sz w:val="20"/>
          <w:szCs w:val="20"/>
        </w:rPr>
        <w:t>GSYH değişimi ve alt kalemlerin büyümeye katkılarının hesaplanması:</w:t>
      </w:r>
    </w:p>
    <w:p w:rsidR="00B834FD" w:rsidRPr="00DD51D1" w:rsidRDefault="00B834FD" w:rsidP="00C335E9">
      <w:pPr>
        <w:pStyle w:val="NormalWeb"/>
        <w:spacing w:before="0" w:beforeAutospacing="0" w:after="0" w:afterAutospacing="0"/>
        <w:ind w:right="77"/>
        <w:jc w:val="both"/>
        <w:rPr>
          <w:rFonts w:ascii="Arial" w:hAnsi="Arial" w:cs="Arial"/>
          <w:sz w:val="20"/>
          <w:szCs w:val="20"/>
        </w:rPr>
      </w:pPr>
    </w:p>
    <w:p w:rsidR="00B834FD" w:rsidRPr="00DD51D1" w:rsidRDefault="00B834FD" w:rsidP="00C335E9">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Alt kalemler 3 grup altında toplanmıştır :</w:t>
      </w:r>
    </w:p>
    <w:p w:rsidR="00B834FD" w:rsidRPr="00DD51D1" w:rsidRDefault="00B834FD" w:rsidP="00C335E9">
      <w:pPr>
        <w:pStyle w:val="NormalWeb"/>
        <w:spacing w:before="0" w:beforeAutospacing="0" w:after="0" w:afterAutospacing="0"/>
        <w:ind w:right="77"/>
        <w:jc w:val="both"/>
        <w:rPr>
          <w:rFonts w:ascii="Arial" w:hAnsi="Arial" w:cs="Arial"/>
          <w:sz w:val="20"/>
          <w:szCs w:val="20"/>
        </w:rPr>
      </w:pPr>
    </w:p>
    <w:p w:rsidR="00B834FD" w:rsidRPr="00DD51D1" w:rsidRDefault="00B834FD"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Nihai iç talep, yerleşik hanehalklarının tüketimi (tüketim), devletin nihai tüketim harcamaları ve yatırım harcamaları toplamı (kamu harcamaları), özel sektörün yatırım harcamalar (yatırım) oluşmaktadır.</w:t>
      </w:r>
    </w:p>
    <w:p w:rsidR="00B834FD" w:rsidRPr="00DD51D1" w:rsidRDefault="00B834FD" w:rsidP="00C335E9">
      <w:pPr>
        <w:pStyle w:val="NormalWeb"/>
        <w:spacing w:before="0" w:beforeAutospacing="0" w:after="0" w:afterAutospacing="0"/>
        <w:ind w:left="180" w:right="77"/>
        <w:jc w:val="both"/>
        <w:rPr>
          <w:rFonts w:ascii="Arial" w:hAnsi="Arial" w:cs="Arial"/>
          <w:sz w:val="20"/>
          <w:szCs w:val="20"/>
        </w:rPr>
      </w:pPr>
    </w:p>
    <w:p w:rsidR="00B834FD" w:rsidRPr="00DD51D1" w:rsidRDefault="00B834FD"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Net dış talepteki değişim, ihracat ve ithalat kalemleri arasındaki farkı göstermektedir.</w:t>
      </w:r>
    </w:p>
    <w:p w:rsidR="00B834FD" w:rsidRPr="00DD51D1" w:rsidRDefault="00B834FD" w:rsidP="00C335E9">
      <w:pPr>
        <w:pStyle w:val="NormalWeb"/>
        <w:spacing w:before="0" w:beforeAutospacing="0" w:after="0" w:afterAutospacing="0"/>
        <w:ind w:right="77"/>
        <w:jc w:val="both"/>
        <w:rPr>
          <w:rFonts w:ascii="Arial" w:hAnsi="Arial" w:cs="Arial"/>
          <w:sz w:val="20"/>
          <w:szCs w:val="20"/>
        </w:rPr>
      </w:pPr>
    </w:p>
    <w:p w:rsidR="00B834FD" w:rsidRPr="00DD51D1" w:rsidRDefault="00B834FD" w:rsidP="00C335E9">
      <w:pPr>
        <w:pStyle w:val="NormalWeb"/>
        <w:numPr>
          <w:ilvl w:val="0"/>
          <w:numId w:val="4"/>
        </w:numPr>
        <w:tabs>
          <w:tab w:val="clear" w:pos="720"/>
          <w:tab w:val="num" w:pos="360"/>
        </w:tabs>
        <w:spacing w:before="0" w:beforeAutospacing="0" w:after="0" w:afterAutospacing="0"/>
        <w:ind w:left="360" w:right="77" w:hanging="180"/>
        <w:jc w:val="both"/>
        <w:rPr>
          <w:rFonts w:ascii="Arial" w:hAnsi="Arial" w:cs="Arial"/>
          <w:sz w:val="20"/>
          <w:szCs w:val="20"/>
        </w:rPr>
      </w:pPr>
      <w:r w:rsidRPr="00DD51D1">
        <w:rPr>
          <w:rFonts w:ascii="Arial" w:hAnsi="Arial" w:cs="Arial"/>
          <w:sz w:val="20"/>
          <w:szCs w:val="20"/>
        </w:rPr>
        <w:t>Stok değişimi kalemi ise, stokların bir önceki döneme göre nasıl değiştiğini göstermektedir (Ayrıntılar için bkz Ek-2.)</w:t>
      </w:r>
    </w:p>
    <w:p w:rsidR="00B834FD" w:rsidRPr="00DD51D1" w:rsidRDefault="00B834FD" w:rsidP="00C335E9">
      <w:pPr>
        <w:pStyle w:val="NormalWeb"/>
        <w:spacing w:before="0" w:beforeAutospacing="0" w:after="0" w:afterAutospacing="0"/>
        <w:ind w:right="77"/>
        <w:rPr>
          <w:rFonts w:ascii="Arial" w:hAnsi="Arial" w:cs="Arial"/>
          <w:sz w:val="20"/>
          <w:szCs w:val="20"/>
        </w:rPr>
      </w:pPr>
    </w:p>
    <w:p w:rsidR="00B834FD" w:rsidRPr="00DD51D1" w:rsidRDefault="00B834FD" w:rsidP="00F428BE">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 xml:space="preserve">GSYH'daki yüzde değişimi bulmak için, her bir alt bileşenin önceki döneme göre değişimi, bir önceki döneme ait GSYH rakamına (GSYH </w:t>
      </w:r>
      <w:r w:rsidRPr="00DD51D1">
        <w:rPr>
          <w:rFonts w:ascii="Arial" w:hAnsi="Arial" w:cs="Arial"/>
          <w:i/>
          <w:iCs/>
          <w:sz w:val="20"/>
          <w:szCs w:val="20"/>
          <w:vertAlign w:val="subscript"/>
        </w:rPr>
        <w:t xml:space="preserve">t </w:t>
      </w:r>
      <w:r w:rsidRPr="00DD51D1">
        <w:rPr>
          <w:rFonts w:ascii="Arial" w:hAnsi="Arial" w:cs="Arial"/>
          <w:sz w:val="20"/>
          <w:szCs w:val="20"/>
          <w:vertAlign w:val="subscript"/>
        </w:rPr>
        <w:t>-1</w:t>
      </w:r>
      <w:r w:rsidRPr="00DD51D1">
        <w:rPr>
          <w:rFonts w:ascii="Arial" w:hAnsi="Arial" w:cs="Arial"/>
          <w:sz w:val="20"/>
          <w:szCs w:val="20"/>
        </w:rPr>
        <w:t>) oranlanmış ve böylece her bir bileşenin o GSYH büyümesine olan katkısı bulunmuştur.</w:t>
      </w:r>
    </w:p>
    <w:p w:rsidR="00B834FD" w:rsidRPr="00DD51D1" w:rsidRDefault="00B834FD" w:rsidP="00C335E9">
      <w:pPr>
        <w:pStyle w:val="NormalWeb"/>
        <w:spacing w:before="0" w:beforeAutospacing="0" w:after="0" w:afterAutospacing="0"/>
        <w:ind w:right="77"/>
        <w:rPr>
          <w:rFonts w:ascii="Arial" w:hAnsi="Arial" w:cs="Arial"/>
          <w:sz w:val="20"/>
          <w:szCs w:val="20"/>
        </w:rPr>
      </w:pP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Başka bir ifadeyle,</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X : GSYH alt kalemi</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X'in değişimin t zamandaki büyümeye katkısı :</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 xml:space="preserve">     = (X</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w:t>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 GSYH</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C335E9">
      <w:pPr>
        <w:pStyle w:val="NormalWeb"/>
        <w:spacing w:before="0" w:beforeAutospacing="0" w:after="0" w:afterAutospacing="0"/>
        <w:ind w:right="77"/>
        <w:rPr>
          <w:rFonts w:ascii="Arial" w:hAnsi="Arial" w:cs="Arial"/>
          <w:sz w:val="20"/>
          <w:szCs w:val="20"/>
        </w:rPr>
      </w:pPr>
      <w:r w:rsidRPr="00DD51D1">
        <w:rPr>
          <w:rFonts w:ascii="Arial" w:hAnsi="Arial" w:cs="Arial"/>
          <w:sz w:val="20"/>
          <w:szCs w:val="20"/>
        </w:rPr>
        <w:t>formülünü kullanarak hesaplanabilir.</w:t>
      </w:r>
    </w:p>
    <w:p w:rsidR="00B834FD" w:rsidRPr="00DD51D1" w:rsidRDefault="00B834FD" w:rsidP="00C335E9">
      <w:pPr>
        <w:ind w:right="77"/>
        <w:jc w:val="both"/>
        <w:rPr>
          <w:rFonts w:ascii="Arial" w:hAnsi="Arial" w:cs="Arial"/>
          <w:sz w:val="20"/>
          <w:szCs w:val="20"/>
        </w:rPr>
      </w:pPr>
    </w:p>
    <w:p w:rsidR="00B834FD" w:rsidRPr="00DD51D1" w:rsidRDefault="00B834FD" w:rsidP="00C335E9">
      <w:pPr>
        <w:ind w:right="77"/>
        <w:jc w:val="both"/>
        <w:rPr>
          <w:rFonts w:ascii="Arial" w:hAnsi="Arial" w:cs="Arial"/>
          <w:b/>
          <w:bCs/>
          <w:sz w:val="20"/>
          <w:szCs w:val="20"/>
        </w:rPr>
      </w:pPr>
      <w:r w:rsidRPr="00DD51D1">
        <w:rPr>
          <w:rFonts w:ascii="Arial" w:hAnsi="Arial" w:cs="Arial"/>
          <w:b/>
          <w:bCs/>
          <w:sz w:val="20"/>
          <w:szCs w:val="20"/>
        </w:rPr>
        <w:t>TÜİK ve BETAM’ın yöntemleri arasındaki fark</w:t>
      </w:r>
    </w:p>
    <w:p w:rsidR="00B834FD" w:rsidRPr="00DD51D1" w:rsidRDefault="00B834FD" w:rsidP="00C335E9">
      <w:pPr>
        <w:ind w:right="77"/>
        <w:jc w:val="both"/>
        <w:rPr>
          <w:rFonts w:ascii="Arial" w:hAnsi="Arial" w:cs="Arial"/>
          <w:b/>
          <w:bCs/>
          <w:sz w:val="20"/>
          <w:szCs w:val="20"/>
        </w:rPr>
      </w:pPr>
    </w:p>
    <w:p w:rsidR="00B834FD" w:rsidRPr="00DD51D1" w:rsidRDefault="00B834FD" w:rsidP="00C335E9">
      <w:pPr>
        <w:ind w:right="77"/>
        <w:jc w:val="both"/>
        <w:rPr>
          <w:rFonts w:ascii="Arial" w:hAnsi="Arial" w:cs="Arial"/>
          <w:sz w:val="20"/>
          <w:szCs w:val="20"/>
        </w:rPr>
      </w:pPr>
      <w:r w:rsidRPr="00DD51D1">
        <w:rPr>
          <w:rFonts w:ascii="Arial" w:hAnsi="Arial" w:cs="Arial"/>
          <w:sz w:val="20"/>
          <w:szCs w:val="20"/>
        </w:rPr>
        <w:t>TÜİK, GSYH serisini mevsim ve takvim etkisinden arındırmak için alt kalemleri tek tek almak yerine, bunların toplamını kullanmaktadır. Ancak GSYH’yı oluşturan her bir alt kalemin farklı mevsimsel döngüleri olabileceği göz önüne alındığında, her bir alt kalemi ayrı ayrı ele alıp, mevsim ve takvim etkilerinden arındırmak ve bunların toplamını mevsim ve takvim etkisinden arındırılmış GSYH serisi olarak almak daha sağlıklıdır. Bu iki yöntem farklı sonuçlar verse de, ilgili literatürde her iki yöntem de kabul görmekte ve yaygın olarak kullanılmaktadır.</w:t>
      </w:r>
    </w:p>
    <w:p w:rsidR="00B834FD" w:rsidRPr="00DD51D1" w:rsidRDefault="00B834FD" w:rsidP="00C335E9">
      <w:pPr>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Default="00B834FD" w:rsidP="00C335E9">
      <w:pPr>
        <w:spacing w:line="288" w:lineRule="auto"/>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Pr="00DD51D1" w:rsidRDefault="00B834FD" w:rsidP="00C335E9">
      <w:pPr>
        <w:spacing w:line="288" w:lineRule="auto"/>
        <w:ind w:right="77"/>
        <w:jc w:val="both"/>
        <w:rPr>
          <w:rFonts w:ascii="Arial" w:hAnsi="Arial" w:cs="Arial"/>
          <w:sz w:val="20"/>
          <w:szCs w:val="20"/>
        </w:rPr>
      </w:pPr>
    </w:p>
    <w:p w:rsidR="00B834FD" w:rsidRPr="00DD51D1" w:rsidRDefault="00B834FD" w:rsidP="00C335E9">
      <w:pPr>
        <w:ind w:right="77"/>
        <w:jc w:val="both"/>
        <w:rPr>
          <w:rFonts w:ascii="Arial" w:hAnsi="Arial" w:cs="Arial"/>
          <w:b/>
          <w:bCs/>
          <w:sz w:val="20"/>
          <w:szCs w:val="20"/>
        </w:rPr>
      </w:pPr>
      <w:r w:rsidRPr="00DD51D1">
        <w:rPr>
          <w:rFonts w:ascii="Arial" w:hAnsi="Arial" w:cs="Arial"/>
          <w:b/>
          <w:bCs/>
          <w:sz w:val="20"/>
          <w:szCs w:val="20"/>
        </w:rPr>
        <w:lastRenderedPageBreak/>
        <w:t>Ek2 : Stok değişimi kaleminin ve büyümeye katkısının hesaplanması</w:t>
      </w:r>
    </w:p>
    <w:p w:rsidR="00B834FD" w:rsidRPr="00DD51D1" w:rsidRDefault="00B834FD" w:rsidP="00C335E9">
      <w:pPr>
        <w:ind w:right="77"/>
        <w:jc w:val="both"/>
        <w:rPr>
          <w:rFonts w:ascii="Arial" w:hAnsi="Arial" w:cs="Arial"/>
          <w:b/>
          <w:bCs/>
          <w:sz w:val="20"/>
          <w:szCs w:val="20"/>
        </w:rPr>
      </w:pPr>
    </w:p>
    <w:p w:rsidR="00B834FD" w:rsidRPr="00DD51D1" w:rsidRDefault="00B834FD" w:rsidP="00C335E9">
      <w:pPr>
        <w:ind w:right="77"/>
        <w:jc w:val="both"/>
        <w:rPr>
          <w:rFonts w:ascii="Arial" w:hAnsi="Arial" w:cs="Arial"/>
          <w:sz w:val="20"/>
          <w:szCs w:val="20"/>
        </w:rPr>
      </w:pPr>
      <w:r w:rsidRPr="00DD51D1">
        <w:rPr>
          <w:rFonts w:ascii="Arial" w:hAnsi="Arial" w:cs="Arial"/>
          <w:sz w:val="20"/>
          <w:szCs w:val="20"/>
        </w:rPr>
        <w:t>'Stok değişimi' kalemi, GSYH'nin harcamalar yöntemiyle hesaplanan bölümünde yer alır ve stokların bir önceki döneme göre nasıl değiştiğini gösterir.</w:t>
      </w:r>
    </w:p>
    <w:p w:rsidR="00B834FD" w:rsidRPr="00DD51D1" w:rsidRDefault="00B834FD" w:rsidP="00C335E9">
      <w:pPr>
        <w:ind w:left="-360" w:right="77"/>
        <w:jc w:val="both"/>
        <w:rPr>
          <w:rFonts w:ascii="Arial" w:hAnsi="Arial" w:cs="Arial"/>
          <w:sz w:val="20"/>
          <w:szCs w:val="20"/>
        </w:rPr>
      </w:pPr>
    </w:p>
    <w:p w:rsidR="00B834FD" w:rsidRPr="00DD51D1" w:rsidRDefault="00B834FD" w:rsidP="00C335E9">
      <w:pPr>
        <w:ind w:right="77"/>
        <w:jc w:val="both"/>
        <w:rPr>
          <w:rFonts w:ascii="Arial" w:hAnsi="Arial" w:cs="Arial"/>
          <w:sz w:val="20"/>
          <w:szCs w:val="20"/>
          <w:vertAlign w:val="subscript"/>
        </w:rPr>
      </w:pPr>
      <w:r w:rsidRPr="00DD51D1">
        <w:rPr>
          <w:rFonts w:ascii="Arial" w:hAnsi="Arial" w:cs="Arial"/>
          <w:sz w:val="20"/>
          <w:szCs w:val="20"/>
        </w:rPr>
        <w:t xml:space="preserve">Stok değişimi </w:t>
      </w:r>
      <w:r w:rsidRPr="00DD51D1">
        <w:rPr>
          <w:rFonts w:ascii="Arial" w:hAnsi="Arial" w:cs="Arial"/>
          <w:i/>
          <w:iCs/>
          <w:sz w:val="20"/>
          <w:szCs w:val="20"/>
          <w:vertAlign w:val="subscript"/>
        </w:rPr>
        <w:t>t</w:t>
      </w:r>
      <w:r w:rsidRPr="00DD51D1">
        <w:rPr>
          <w:rFonts w:ascii="Arial" w:hAnsi="Arial" w:cs="Arial"/>
          <w:sz w:val="20"/>
          <w:szCs w:val="20"/>
        </w:rPr>
        <w:t xml:space="preserve"> =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C335E9">
      <w:pPr>
        <w:ind w:right="77"/>
        <w:jc w:val="both"/>
        <w:rPr>
          <w:rFonts w:ascii="Arial" w:hAnsi="Arial" w:cs="Arial"/>
          <w:sz w:val="20"/>
          <w:szCs w:val="20"/>
        </w:rPr>
      </w:pPr>
    </w:p>
    <w:p w:rsidR="00B834FD" w:rsidRPr="00DD51D1" w:rsidRDefault="00B834FD" w:rsidP="00C335E9">
      <w:pPr>
        <w:pStyle w:val="NormalWeb"/>
        <w:spacing w:before="0" w:beforeAutospacing="0" w:after="0" w:afterAutospacing="0"/>
        <w:ind w:right="77"/>
        <w:jc w:val="both"/>
        <w:rPr>
          <w:rFonts w:ascii="Arial" w:hAnsi="Arial" w:cs="Arial"/>
          <w:sz w:val="20"/>
          <w:szCs w:val="20"/>
        </w:rPr>
      </w:pPr>
      <w:r w:rsidRPr="00DD51D1">
        <w:rPr>
          <w:rFonts w:ascii="Arial" w:hAnsi="Arial" w:cs="Arial"/>
          <w:sz w:val="20"/>
          <w:szCs w:val="20"/>
        </w:rPr>
        <w:t>Dolayısıyla stok değişimi kalemindeki artış (azalış), stoklardaki artıştan (azalıştan) ziyade iki dönem stokları arasındaki farkın artısından (azalışından) kaynaklanmaktadır.</w:t>
      </w:r>
    </w:p>
    <w:p w:rsidR="00B834FD" w:rsidRPr="00DD51D1" w:rsidRDefault="00B834FD" w:rsidP="00C335E9">
      <w:pPr>
        <w:ind w:right="77"/>
        <w:jc w:val="both"/>
        <w:rPr>
          <w:rFonts w:ascii="Arial" w:hAnsi="Arial" w:cs="Arial"/>
          <w:sz w:val="20"/>
          <w:szCs w:val="20"/>
        </w:rPr>
      </w:pPr>
    </w:p>
    <w:p w:rsidR="00B834FD" w:rsidRPr="00DD51D1" w:rsidRDefault="00B834FD" w:rsidP="00C335E9">
      <w:pPr>
        <w:ind w:right="77"/>
        <w:jc w:val="both"/>
        <w:rPr>
          <w:rFonts w:ascii="Arial" w:hAnsi="Arial" w:cs="Arial"/>
          <w:sz w:val="20"/>
          <w:szCs w:val="20"/>
        </w:rPr>
      </w:pPr>
      <w:r w:rsidRPr="00DD51D1">
        <w:rPr>
          <w:rFonts w:ascii="Arial" w:hAnsi="Arial" w:cs="Arial"/>
          <w:sz w:val="20"/>
          <w:szCs w:val="20"/>
        </w:rPr>
        <w:t>Ancak TÜİK, üretim ve tüketim yöntemine göre hesaplanan GSYH rakamları arasında fark olması durumunda, bu farkı da stok değişimi kaleminin içinde göstermektedir.</w:t>
      </w:r>
    </w:p>
    <w:p w:rsidR="00B834FD" w:rsidRPr="00DD51D1" w:rsidRDefault="00B834FD" w:rsidP="00C335E9">
      <w:pPr>
        <w:ind w:right="77"/>
        <w:jc w:val="both"/>
        <w:rPr>
          <w:rFonts w:ascii="Arial" w:hAnsi="Arial" w:cs="Arial"/>
          <w:sz w:val="20"/>
          <w:szCs w:val="20"/>
        </w:rPr>
      </w:pPr>
    </w:p>
    <w:p w:rsidR="00B834FD" w:rsidRPr="00DD51D1" w:rsidRDefault="00B834FD" w:rsidP="00F428BE">
      <w:pPr>
        <w:ind w:right="77"/>
        <w:jc w:val="both"/>
        <w:rPr>
          <w:rFonts w:ascii="Arial" w:hAnsi="Arial" w:cs="Arial"/>
          <w:sz w:val="20"/>
          <w:szCs w:val="20"/>
        </w:rPr>
      </w:pPr>
      <w:r w:rsidRPr="00DD51D1">
        <w:rPr>
          <w:rFonts w:ascii="Arial" w:hAnsi="Arial" w:cs="Arial"/>
          <w:sz w:val="20"/>
          <w:szCs w:val="20"/>
        </w:rPr>
        <w:t xml:space="preserve">İki farklı yönteme göre hesaplanan GSYH rakamları arasında farkı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xml:space="preserve"> ile gösterecek olursak, </w:t>
      </w:r>
      <w:r w:rsidRPr="00DD51D1">
        <w:rPr>
          <w:rFonts w:ascii="Arial" w:hAnsi="Arial" w:cs="Arial"/>
          <w:i/>
          <w:iCs/>
          <w:sz w:val="20"/>
          <w:szCs w:val="20"/>
        </w:rPr>
        <w:t>t</w:t>
      </w:r>
      <w:r w:rsidRPr="00DD51D1">
        <w:rPr>
          <w:rFonts w:ascii="Arial" w:hAnsi="Arial" w:cs="Arial"/>
          <w:sz w:val="20"/>
          <w:szCs w:val="20"/>
        </w:rPr>
        <w:t xml:space="preserve"> zamanındaki 'stok değişimi' kalemini su şekilde ifade edebiliriz:</w:t>
      </w:r>
    </w:p>
    <w:p w:rsidR="00B834FD" w:rsidRPr="00DD51D1" w:rsidRDefault="00B834FD" w:rsidP="00F428BE">
      <w:pPr>
        <w:ind w:right="77"/>
        <w:jc w:val="both"/>
        <w:rPr>
          <w:rFonts w:ascii="Arial" w:hAnsi="Arial" w:cs="Arial"/>
          <w:sz w:val="20"/>
          <w:szCs w:val="20"/>
        </w:rPr>
      </w:pPr>
    </w:p>
    <w:p w:rsidR="00B834FD" w:rsidRPr="00DD51D1" w:rsidRDefault="00B834FD" w:rsidP="00F428BE">
      <w:pPr>
        <w:ind w:right="77"/>
        <w:jc w:val="both"/>
        <w:rPr>
          <w:rFonts w:ascii="Arial" w:hAnsi="Arial" w:cs="Arial"/>
          <w:sz w:val="20"/>
          <w:szCs w:val="20"/>
        </w:rPr>
      </w:pPr>
      <w:r w:rsidRPr="00DD51D1">
        <w:rPr>
          <w:rFonts w:ascii="Arial" w:hAnsi="Arial" w:cs="Arial"/>
          <w:sz w:val="20"/>
          <w:szCs w:val="20"/>
        </w:rPr>
        <w:t xml:space="preserve">Stok değişimi </w:t>
      </w:r>
      <w:r w:rsidRPr="00DD51D1">
        <w:rPr>
          <w:rFonts w:ascii="Arial" w:hAnsi="Arial" w:cs="Arial"/>
          <w:i/>
          <w:iCs/>
          <w:sz w:val="20"/>
          <w:szCs w:val="20"/>
          <w:vertAlign w:val="subscript"/>
        </w:rPr>
        <w:t>t</w:t>
      </w:r>
      <w:r w:rsidRPr="00DD51D1">
        <w:rPr>
          <w:rFonts w:ascii="Arial" w:hAnsi="Arial" w:cs="Arial"/>
          <w:sz w:val="20"/>
          <w:szCs w:val="20"/>
        </w:rPr>
        <w:t xml:space="preserve"> = </w:t>
      </w:r>
      <w:bookmarkStart w:id="1" w:name="OLE_LINK1"/>
      <w:bookmarkStart w:id="2" w:name="OLE_LINK2"/>
      <w:r w:rsidRPr="00DD51D1">
        <w:rPr>
          <w:rFonts w:ascii="Arial" w:hAnsi="Arial" w:cs="Arial"/>
          <w:sz w:val="20"/>
          <w:szCs w:val="20"/>
        </w:rPr>
        <w:t xml:space="preserve">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-1 </w:t>
      </w:r>
      <w:bookmarkEnd w:id="1"/>
      <w:bookmarkEnd w:id="2"/>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F428BE">
      <w:pPr>
        <w:ind w:right="77"/>
        <w:jc w:val="both"/>
        <w:rPr>
          <w:rFonts w:ascii="Arial" w:hAnsi="Arial" w:cs="Arial"/>
          <w:sz w:val="20"/>
          <w:szCs w:val="20"/>
        </w:rPr>
      </w:pP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Stok değişimi kalemindeki değişimin büyümeye katkısını ise şu şekilde bulabiliriz :</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‘Stok değişiminin’ büyümeye katkısı t</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 xml:space="preserve">) / GSYH </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F428BE">
      <w:pPr>
        <w:spacing w:line="288" w:lineRule="auto"/>
        <w:ind w:right="77"/>
        <w:jc w:val="both"/>
        <w:rPr>
          <w:rFonts w:ascii="Arial" w:hAnsi="Arial" w:cs="Arial"/>
          <w:sz w:val="20"/>
          <w:szCs w:val="20"/>
        </w:rPr>
      </w:pP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Veya</w:t>
      </w:r>
    </w:p>
    <w:p w:rsidR="00B834FD" w:rsidRPr="00DD51D1" w:rsidRDefault="00B834FD" w:rsidP="00F428BE">
      <w:pPr>
        <w:spacing w:line="288" w:lineRule="auto"/>
        <w:ind w:right="77"/>
        <w:jc w:val="both"/>
        <w:rPr>
          <w:rFonts w:ascii="Arial" w:hAnsi="Arial" w:cs="Arial"/>
          <w:sz w:val="20"/>
          <w:szCs w:val="20"/>
        </w:rPr>
      </w:pP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‘Stok değişiminin’ büyümeye katkısı t</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-1 </w:t>
      </w:r>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 </w:t>
      </w:r>
      <w:r w:rsidRPr="00DD51D1">
        <w:rPr>
          <w:rFonts w:ascii="Arial" w:hAnsi="Arial" w:cs="Arial"/>
          <w:sz w:val="20"/>
          <w:szCs w:val="20"/>
        </w:rPr>
        <w:t xml:space="preserve">) –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-1 </w:t>
      </w:r>
      <w:r w:rsidRPr="00DD51D1">
        <w:rPr>
          <w:rFonts w:ascii="Arial" w:hAnsi="Arial" w:cs="Arial"/>
          <w:sz w:val="20"/>
          <w:szCs w:val="20"/>
        </w:rPr>
        <w:t xml:space="preserve">– Stok </w:t>
      </w:r>
      <w:r w:rsidRPr="00DD51D1">
        <w:rPr>
          <w:rFonts w:ascii="Arial" w:hAnsi="Arial" w:cs="Arial"/>
          <w:i/>
          <w:iCs/>
          <w:sz w:val="20"/>
          <w:szCs w:val="20"/>
          <w:vertAlign w:val="subscript"/>
        </w:rPr>
        <w:t>t</w:t>
      </w:r>
      <w:r w:rsidRPr="00DD51D1">
        <w:rPr>
          <w:rFonts w:ascii="Arial" w:hAnsi="Arial" w:cs="Arial"/>
          <w:sz w:val="20"/>
          <w:szCs w:val="20"/>
          <w:vertAlign w:val="subscript"/>
        </w:rPr>
        <w:t xml:space="preserve">-2 </w:t>
      </w:r>
      <w:r w:rsidRPr="00DD51D1">
        <w:rPr>
          <w:rFonts w:ascii="Arial" w:hAnsi="Arial" w:cs="Arial"/>
          <w:sz w:val="20"/>
          <w:szCs w:val="20"/>
        </w:rPr>
        <w:t xml:space="preserve">+ </w:t>
      </w:r>
      <w:r w:rsidRPr="00DD51D1">
        <w:rPr>
          <w:rFonts w:ascii="Arial" w:hAnsi="Arial" w:cs="Arial"/>
          <w:sz w:val="20"/>
          <w:szCs w:val="20"/>
        </w:rPr>
        <w:sym w:font="Symbol" w:char="F065"/>
      </w:r>
      <w:r w:rsidRPr="00DD51D1">
        <w:rPr>
          <w:rFonts w:ascii="Arial" w:hAnsi="Arial" w:cs="Arial"/>
          <w:i/>
          <w:iCs/>
          <w:sz w:val="20"/>
          <w:szCs w:val="20"/>
          <w:vertAlign w:val="subscript"/>
        </w:rPr>
        <w:t>t</w:t>
      </w:r>
      <w:r w:rsidRPr="00DD51D1">
        <w:rPr>
          <w:rFonts w:ascii="Arial" w:hAnsi="Arial" w:cs="Arial"/>
          <w:sz w:val="20"/>
          <w:szCs w:val="20"/>
          <w:vertAlign w:val="subscript"/>
        </w:rPr>
        <w:t>-1</w:t>
      </w:r>
      <w:r w:rsidRPr="00DD51D1">
        <w:rPr>
          <w:rFonts w:ascii="Arial" w:hAnsi="Arial" w:cs="Arial"/>
          <w:sz w:val="20"/>
          <w:szCs w:val="20"/>
        </w:rPr>
        <w:t>))</w:t>
      </w:r>
    </w:p>
    <w:p w:rsidR="00B834FD" w:rsidRPr="00DD51D1" w:rsidRDefault="00B834FD" w:rsidP="00F428BE">
      <w:pPr>
        <w:spacing w:line="288" w:lineRule="auto"/>
        <w:ind w:right="77"/>
        <w:jc w:val="both"/>
        <w:rPr>
          <w:rFonts w:ascii="Arial" w:hAnsi="Arial" w:cs="Arial"/>
          <w:sz w:val="20"/>
          <w:szCs w:val="20"/>
        </w:rPr>
      </w:pPr>
      <w:r w:rsidRPr="00DD51D1">
        <w:rPr>
          <w:rFonts w:ascii="Arial" w:hAnsi="Arial" w:cs="Arial"/>
          <w:sz w:val="20"/>
          <w:szCs w:val="20"/>
        </w:rPr>
        <w:t xml:space="preserve">    / GSYH </w:t>
      </w:r>
      <w:r w:rsidRPr="00DD51D1">
        <w:rPr>
          <w:rFonts w:ascii="Arial" w:hAnsi="Arial" w:cs="Arial"/>
          <w:i/>
          <w:iCs/>
          <w:sz w:val="20"/>
          <w:szCs w:val="20"/>
          <w:vertAlign w:val="subscript"/>
        </w:rPr>
        <w:t>t</w:t>
      </w:r>
      <w:r w:rsidRPr="00DD51D1">
        <w:rPr>
          <w:rFonts w:ascii="Arial" w:hAnsi="Arial" w:cs="Arial"/>
          <w:sz w:val="20"/>
          <w:szCs w:val="20"/>
          <w:vertAlign w:val="subscript"/>
        </w:rPr>
        <w:t>-1</w:t>
      </w: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AE0BBB">
      <w:pPr>
        <w:spacing w:line="288" w:lineRule="auto"/>
        <w:ind w:right="-318"/>
        <w:jc w:val="both"/>
        <w:rPr>
          <w:rFonts w:ascii="Arial" w:hAnsi="Arial" w:cs="Arial"/>
          <w:sz w:val="20"/>
          <w:szCs w:val="20"/>
        </w:rPr>
      </w:pPr>
    </w:p>
    <w:p w:rsidR="00B834FD" w:rsidRPr="00DD51D1" w:rsidRDefault="00B834FD" w:rsidP="00952683">
      <w:pPr>
        <w:autoSpaceDE w:val="0"/>
        <w:autoSpaceDN w:val="0"/>
        <w:adjustRightInd w:val="0"/>
        <w:rPr>
          <w:rFonts w:ascii="Arial" w:hAnsi="Arial" w:cs="Arial"/>
          <w:sz w:val="20"/>
          <w:szCs w:val="20"/>
        </w:rPr>
      </w:pPr>
    </w:p>
    <w:p w:rsidR="00B834FD" w:rsidRPr="00DD51D1" w:rsidRDefault="00B834FD" w:rsidP="00952683">
      <w:pPr>
        <w:autoSpaceDE w:val="0"/>
        <w:autoSpaceDN w:val="0"/>
        <w:adjustRightInd w:val="0"/>
        <w:rPr>
          <w:rFonts w:ascii="Arial" w:hAnsi="Arial" w:cs="Arial"/>
          <w:sz w:val="22"/>
          <w:szCs w:val="22"/>
        </w:rPr>
      </w:pPr>
    </w:p>
    <w:p w:rsidR="00B834FD" w:rsidRPr="00DD51D1" w:rsidRDefault="00B834FD" w:rsidP="00952683">
      <w:pPr>
        <w:autoSpaceDE w:val="0"/>
        <w:autoSpaceDN w:val="0"/>
        <w:adjustRightInd w:val="0"/>
        <w:rPr>
          <w:rFonts w:ascii="Arial" w:hAnsi="Arial" w:cs="Arial"/>
          <w:sz w:val="22"/>
          <w:szCs w:val="22"/>
        </w:rPr>
      </w:pPr>
    </w:p>
    <w:p w:rsidR="00B834FD" w:rsidRPr="00DD51D1" w:rsidRDefault="00B834FD" w:rsidP="00CA5BA6">
      <w:pPr>
        <w:spacing w:line="288" w:lineRule="auto"/>
        <w:ind w:right="-318"/>
        <w:jc w:val="both"/>
        <w:rPr>
          <w:rFonts w:ascii="Arial" w:hAnsi="Arial" w:cs="Arial"/>
          <w:sz w:val="20"/>
          <w:szCs w:val="20"/>
        </w:rPr>
      </w:pPr>
    </w:p>
    <w:sectPr w:rsidR="00B834FD" w:rsidRPr="00DD51D1" w:rsidSect="00C335E9">
      <w:type w:val="continuous"/>
      <w:pgSz w:w="11906" w:h="16838"/>
      <w:pgMar w:top="1417" w:right="1106" w:bottom="1417" w:left="900" w:header="708" w:footer="708"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CB6" w:rsidRDefault="00974CB6">
      <w:r>
        <w:separator/>
      </w:r>
    </w:p>
  </w:endnote>
  <w:endnote w:type="continuationSeparator" w:id="1">
    <w:p w:rsidR="00974CB6" w:rsidRDefault="00974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FD" w:rsidRDefault="005A18F8" w:rsidP="007344A9">
    <w:pPr>
      <w:pStyle w:val="Altbilgi"/>
      <w:framePr w:wrap="auto" w:vAnchor="text" w:hAnchor="margin" w:xAlign="right" w:y="1"/>
      <w:rPr>
        <w:rStyle w:val="SayfaNumaras"/>
      </w:rPr>
    </w:pPr>
    <w:r>
      <w:rPr>
        <w:rStyle w:val="SayfaNumaras"/>
      </w:rPr>
      <w:fldChar w:fldCharType="begin"/>
    </w:r>
    <w:r w:rsidR="00B834FD">
      <w:rPr>
        <w:rStyle w:val="SayfaNumaras"/>
      </w:rPr>
      <w:instrText xml:space="preserve">PAGE  </w:instrText>
    </w:r>
    <w:r>
      <w:rPr>
        <w:rStyle w:val="SayfaNumaras"/>
      </w:rPr>
      <w:fldChar w:fldCharType="separate"/>
    </w:r>
    <w:r w:rsidR="009A6D7F">
      <w:rPr>
        <w:rStyle w:val="SayfaNumaras"/>
        <w:noProof/>
      </w:rPr>
      <w:t>1</w:t>
    </w:r>
    <w:r>
      <w:rPr>
        <w:rStyle w:val="SayfaNumaras"/>
      </w:rPr>
      <w:fldChar w:fldCharType="end"/>
    </w:r>
  </w:p>
  <w:p w:rsidR="00B834FD" w:rsidRPr="007750EF" w:rsidRDefault="00B834FD" w:rsidP="00017426">
    <w:pPr>
      <w:pStyle w:val="Altbilgi"/>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CB6" w:rsidRDefault="00974CB6">
      <w:r>
        <w:separator/>
      </w:r>
    </w:p>
  </w:footnote>
  <w:footnote w:type="continuationSeparator" w:id="1">
    <w:p w:rsidR="00974CB6" w:rsidRDefault="00974CB6">
      <w:r>
        <w:continuationSeparator/>
      </w:r>
    </w:p>
  </w:footnote>
  <w:footnote w:id="2">
    <w:p w:rsidR="00F150C7" w:rsidRPr="00F150C7" w:rsidRDefault="00F150C7">
      <w:pPr>
        <w:pStyle w:val="DipnotMetni"/>
        <w:rPr>
          <w:rFonts w:ascii="Arial" w:hAnsi="Arial" w:cs="Arial"/>
          <w:sz w:val="16"/>
          <w:szCs w:val="16"/>
        </w:rPr>
      </w:pPr>
      <w:r w:rsidRPr="00F150C7">
        <w:rPr>
          <w:rStyle w:val="DipnotBavurusu"/>
          <w:rFonts w:ascii="Arial" w:hAnsi="Arial" w:cs="Arial"/>
          <w:sz w:val="16"/>
          <w:szCs w:val="16"/>
        </w:rPr>
        <w:footnoteRef/>
      </w:r>
      <w:r w:rsidRPr="00F150C7">
        <w:rPr>
          <w:rFonts w:ascii="Arial" w:hAnsi="Arial" w:cs="Arial"/>
          <w:sz w:val="16"/>
          <w:szCs w:val="16"/>
        </w:rPr>
        <w:t xml:space="preserve"> Betam’ın analizinin TÜİK’ten farkı GSYH alt kalemlerini mevsim ve takvim etkisinden ayrı ayrı arındırmasıdır. Bu farkın ayrıntıları ekte açıklanmaktadır.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425"/>
  <w:doNotHyphenateCaps/>
  <w:characterSpacingControl w:val="doNotCompress"/>
  <w:doNotValidateAgainstSchema/>
  <w:doNotDemarcateInvalidXml/>
  <w:footnotePr>
    <w:numFmt w:val="chicago"/>
    <w:footnote w:id="0"/>
    <w:footnote w:id="1"/>
  </w:footnotePr>
  <w:endnotePr>
    <w:endnote w:id="0"/>
    <w:endnote w:id="1"/>
  </w:endnotePr>
  <w:compat/>
  <w:rsids>
    <w:rsidRoot w:val="00AE0BBB"/>
    <w:rsid w:val="00001444"/>
    <w:rsid w:val="00002CEE"/>
    <w:rsid w:val="000038DF"/>
    <w:rsid w:val="0000598D"/>
    <w:rsid w:val="000103E6"/>
    <w:rsid w:val="000129C2"/>
    <w:rsid w:val="00017426"/>
    <w:rsid w:val="00020415"/>
    <w:rsid w:val="000231C7"/>
    <w:rsid w:val="000301E5"/>
    <w:rsid w:val="00033759"/>
    <w:rsid w:val="00034ECF"/>
    <w:rsid w:val="00041917"/>
    <w:rsid w:val="00053B41"/>
    <w:rsid w:val="00054DF2"/>
    <w:rsid w:val="00060E9B"/>
    <w:rsid w:val="00060EC4"/>
    <w:rsid w:val="00076A31"/>
    <w:rsid w:val="00076E68"/>
    <w:rsid w:val="00083ED6"/>
    <w:rsid w:val="000847EA"/>
    <w:rsid w:val="000A1C83"/>
    <w:rsid w:val="000A3710"/>
    <w:rsid w:val="000A4BD1"/>
    <w:rsid w:val="000A6CA9"/>
    <w:rsid w:val="000A701D"/>
    <w:rsid w:val="000B1F93"/>
    <w:rsid w:val="000C04C5"/>
    <w:rsid w:val="000C5B7E"/>
    <w:rsid w:val="000C5C8B"/>
    <w:rsid w:val="000D321F"/>
    <w:rsid w:val="000D4F14"/>
    <w:rsid w:val="000D79EC"/>
    <w:rsid w:val="000E10A3"/>
    <w:rsid w:val="000F0FAB"/>
    <w:rsid w:val="000F4941"/>
    <w:rsid w:val="00105A12"/>
    <w:rsid w:val="00107363"/>
    <w:rsid w:val="0010795F"/>
    <w:rsid w:val="001105B2"/>
    <w:rsid w:val="00110EBA"/>
    <w:rsid w:val="00111AD6"/>
    <w:rsid w:val="00113284"/>
    <w:rsid w:val="001168BF"/>
    <w:rsid w:val="00124F5D"/>
    <w:rsid w:val="00130FEE"/>
    <w:rsid w:val="00141A2F"/>
    <w:rsid w:val="0014304F"/>
    <w:rsid w:val="00144245"/>
    <w:rsid w:val="00150C5D"/>
    <w:rsid w:val="0015266B"/>
    <w:rsid w:val="001635A4"/>
    <w:rsid w:val="0016522D"/>
    <w:rsid w:val="00165B88"/>
    <w:rsid w:val="00166F89"/>
    <w:rsid w:val="001679A2"/>
    <w:rsid w:val="00177D70"/>
    <w:rsid w:val="00177FE3"/>
    <w:rsid w:val="001A0A58"/>
    <w:rsid w:val="001A1E7D"/>
    <w:rsid w:val="001A2605"/>
    <w:rsid w:val="001A6323"/>
    <w:rsid w:val="001A713D"/>
    <w:rsid w:val="001A7176"/>
    <w:rsid w:val="001B0683"/>
    <w:rsid w:val="001B4591"/>
    <w:rsid w:val="001C396B"/>
    <w:rsid w:val="001C5776"/>
    <w:rsid w:val="001C629C"/>
    <w:rsid w:val="001D404B"/>
    <w:rsid w:val="001D4057"/>
    <w:rsid w:val="001E1DFE"/>
    <w:rsid w:val="001E5D74"/>
    <w:rsid w:val="001F0A81"/>
    <w:rsid w:val="001F19DC"/>
    <w:rsid w:val="00202B57"/>
    <w:rsid w:val="002063D4"/>
    <w:rsid w:val="00206831"/>
    <w:rsid w:val="002111EE"/>
    <w:rsid w:val="0022443D"/>
    <w:rsid w:val="0022485B"/>
    <w:rsid w:val="002304FE"/>
    <w:rsid w:val="002310A4"/>
    <w:rsid w:val="00232927"/>
    <w:rsid w:val="00240B3E"/>
    <w:rsid w:val="00242460"/>
    <w:rsid w:val="002548F5"/>
    <w:rsid w:val="00256199"/>
    <w:rsid w:val="00263147"/>
    <w:rsid w:val="002776F4"/>
    <w:rsid w:val="002829AF"/>
    <w:rsid w:val="002A1249"/>
    <w:rsid w:val="002A66ED"/>
    <w:rsid w:val="002B5224"/>
    <w:rsid w:val="002C3E28"/>
    <w:rsid w:val="002C664B"/>
    <w:rsid w:val="002D2C9F"/>
    <w:rsid w:val="002E24C3"/>
    <w:rsid w:val="002E4241"/>
    <w:rsid w:val="002E4EBB"/>
    <w:rsid w:val="002E7ACB"/>
    <w:rsid w:val="002F27AE"/>
    <w:rsid w:val="002F4D4C"/>
    <w:rsid w:val="002F5134"/>
    <w:rsid w:val="00301610"/>
    <w:rsid w:val="00303668"/>
    <w:rsid w:val="0031043B"/>
    <w:rsid w:val="00311DAA"/>
    <w:rsid w:val="00312D10"/>
    <w:rsid w:val="003142BA"/>
    <w:rsid w:val="00315A38"/>
    <w:rsid w:val="003232C7"/>
    <w:rsid w:val="00323B97"/>
    <w:rsid w:val="00334029"/>
    <w:rsid w:val="0034543C"/>
    <w:rsid w:val="0035035A"/>
    <w:rsid w:val="003515B5"/>
    <w:rsid w:val="00351F97"/>
    <w:rsid w:val="0035628A"/>
    <w:rsid w:val="0036512F"/>
    <w:rsid w:val="00370430"/>
    <w:rsid w:val="00373696"/>
    <w:rsid w:val="00380585"/>
    <w:rsid w:val="00384835"/>
    <w:rsid w:val="00384C18"/>
    <w:rsid w:val="00391A23"/>
    <w:rsid w:val="00397F47"/>
    <w:rsid w:val="003A0527"/>
    <w:rsid w:val="003A0ECD"/>
    <w:rsid w:val="003C0C43"/>
    <w:rsid w:val="003C1ECC"/>
    <w:rsid w:val="003C2E6D"/>
    <w:rsid w:val="003C4A71"/>
    <w:rsid w:val="003D29C7"/>
    <w:rsid w:val="003D7E7F"/>
    <w:rsid w:val="003E02D6"/>
    <w:rsid w:val="003E330E"/>
    <w:rsid w:val="003E3634"/>
    <w:rsid w:val="003E6684"/>
    <w:rsid w:val="00400B76"/>
    <w:rsid w:val="00402989"/>
    <w:rsid w:val="00405EC6"/>
    <w:rsid w:val="0040666B"/>
    <w:rsid w:val="0040754A"/>
    <w:rsid w:val="00414520"/>
    <w:rsid w:val="0041456D"/>
    <w:rsid w:val="00423CB6"/>
    <w:rsid w:val="004254C3"/>
    <w:rsid w:val="00425675"/>
    <w:rsid w:val="004322C1"/>
    <w:rsid w:val="004337B1"/>
    <w:rsid w:val="004360BB"/>
    <w:rsid w:val="00444446"/>
    <w:rsid w:val="004458F8"/>
    <w:rsid w:val="00450ACD"/>
    <w:rsid w:val="004529AD"/>
    <w:rsid w:val="00453FA5"/>
    <w:rsid w:val="00470351"/>
    <w:rsid w:val="004714CD"/>
    <w:rsid w:val="00475519"/>
    <w:rsid w:val="00476FB9"/>
    <w:rsid w:val="00484F5F"/>
    <w:rsid w:val="004947B8"/>
    <w:rsid w:val="00497E5F"/>
    <w:rsid w:val="004A3A86"/>
    <w:rsid w:val="004A4704"/>
    <w:rsid w:val="004B27BA"/>
    <w:rsid w:val="004B63B3"/>
    <w:rsid w:val="004C2F4B"/>
    <w:rsid w:val="004E1241"/>
    <w:rsid w:val="004E272F"/>
    <w:rsid w:val="004E3889"/>
    <w:rsid w:val="004E6D54"/>
    <w:rsid w:val="004F40CF"/>
    <w:rsid w:val="004F7017"/>
    <w:rsid w:val="0050593C"/>
    <w:rsid w:val="00513310"/>
    <w:rsid w:val="00514BF6"/>
    <w:rsid w:val="0051655D"/>
    <w:rsid w:val="005171AD"/>
    <w:rsid w:val="00520C9F"/>
    <w:rsid w:val="00524249"/>
    <w:rsid w:val="00526178"/>
    <w:rsid w:val="00530EC8"/>
    <w:rsid w:val="00542058"/>
    <w:rsid w:val="00550844"/>
    <w:rsid w:val="00552BF8"/>
    <w:rsid w:val="00563737"/>
    <w:rsid w:val="00572866"/>
    <w:rsid w:val="005774A6"/>
    <w:rsid w:val="00580A75"/>
    <w:rsid w:val="00585B90"/>
    <w:rsid w:val="0058720D"/>
    <w:rsid w:val="0058797D"/>
    <w:rsid w:val="00591DB9"/>
    <w:rsid w:val="00595B85"/>
    <w:rsid w:val="005A112A"/>
    <w:rsid w:val="005A18F8"/>
    <w:rsid w:val="005A5C33"/>
    <w:rsid w:val="005A7A25"/>
    <w:rsid w:val="005B3336"/>
    <w:rsid w:val="005C5B4F"/>
    <w:rsid w:val="005C6DF4"/>
    <w:rsid w:val="005D32E4"/>
    <w:rsid w:val="005D4715"/>
    <w:rsid w:val="005D47AA"/>
    <w:rsid w:val="005D4824"/>
    <w:rsid w:val="005D7AE5"/>
    <w:rsid w:val="005E26C6"/>
    <w:rsid w:val="005E4725"/>
    <w:rsid w:val="005E4EF0"/>
    <w:rsid w:val="005E763B"/>
    <w:rsid w:val="005F31BE"/>
    <w:rsid w:val="005F51ED"/>
    <w:rsid w:val="00604C1F"/>
    <w:rsid w:val="006057A0"/>
    <w:rsid w:val="00614670"/>
    <w:rsid w:val="00633C51"/>
    <w:rsid w:val="00660DE2"/>
    <w:rsid w:val="006641E9"/>
    <w:rsid w:val="00680D3E"/>
    <w:rsid w:val="006878CD"/>
    <w:rsid w:val="00692DB0"/>
    <w:rsid w:val="0069530D"/>
    <w:rsid w:val="00697C0A"/>
    <w:rsid w:val="006A343A"/>
    <w:rsid w:val="006A46FE"/>
    <w:rsid w:val="006A538E"/>
    <w:rsid w:val="006A6C5B"/>
    <w:rsid w:val="006B4D2C"/>
    <w:rsid w:val="006B7C07"/>
    <w:rsid w:val="006C2514"/>
    <w:rsid w:val="006C405A"/>
    <w:rsid w:val="006C59C1"/>
    <w:rsid w:val="006D0CA9"/>
    <w:rsid w:val="006D3857"/>
    <w:rsid w:val="006E0CBB"/>
    <w:rsid w:val="006F40CE"/>
    <w:rsid w:val="006F4A63"/>
    <w:rsid w:val="00700658"/>
    <w:rsid w:val="007041DF"/>
    <w:rsid w:val="00710098"/>
    <w:rsid w:val="0071058D"/>
    <w:rsid w:val="00712EDE"/>
    <w:rsid w:val="00716BBE"/>
    <w:rsid w:val="00717B60"/>
    <w:rsid w:val="00720EA3"/>
    <w:rsid w:val="0072389D"/>
    <w:rsid w:val="00726749"/>
    <w:rsid w:val="00727963"/>
    <w:rsid w:val="0073287D"/>
    <w:rsid w:val="007344A9"/>
    <w:rsid w:val="007415A5"/>
    <w:rsid w:val="00744ACB"/>
    <w:rsid w:val="00752C9A"/>
    <w:rsid w:val="00754536"/>
    <w:rsid w:val="0075696F"/>
    <w:rsid w:val="00762F7B"/>
    <w:rsid w:val="0076354F"/>
    <w:rsid w:val="00763C67"/>
    <w:rsid w:val="00773D7C"/>
    <w:rsid w:val="007750EF"/>
    <w:rsid w:val="007777F0"/>
    <w:rsid w:val="007818BA"/>
    <w:rsid w:val="00783713"/>
    <w:rsid w:val="007848CD"/>
    <w:rsid w:val="007849D7"/>
    <w:rsid w:val="007868A5"/>
    <w:rsid w:val="007972B3"/>
    <w:rsid w:val="007A35F3"/>
    <w:rsid w:val="007A58BE"/>
    <w:rsid w:val="007A669F"/>
    <w:rsid w:val="007B0061"/>
    <w:rsid w:val="007B5709"/>
    <w:rsid w:val="007B71AC"/>
    <w:rsid w:val="007C2C17"/>
    <w:rsid w:val="007C3006"/>
    <w:rsid w:val="007D27BC"/>
    <w:rsid w:val="007D6427"/>
    <w:rsid w:val="007E2BBD"/>
    <w:rsid w:val="007E6250"/>
    <w:rsid w:val="007F41B8"/>
    <w:rsid w:val="007F50E5"/>
    <w:rsid w:val="008038AF"/>
    <w:rsid w:val="00803E3E"/>
    <w:rsid w:val="00805D70"/>
    <w:rsid w:val="008070A4"/>
    <w:rsid w:val="008178BE"/>
    <w:rsid w:val="00823EC8"/>
    <w:rsid w:val="00835D6F"/>
    <w:rsid w:val="008372C4"/>
    <w:rsid w:val="008372E2"/>
    <w:rsid w:val="008503B3"/>
    <w:rsid w:val="008517F6"/>
    <w:rsid w:val="00855AA6"/>
    <w:rsid w:val="00862742"/>
    <w:rsid w:val="0087093F"/>
    <w:rsid w:val="0088054E"/>
    <w:rsid w:val="008870E7"/>
    <w:rsid w:val="00890B1D"/>
    <w:rsid w:val="0089443A"/>
    <w:rsid w:val="00896A61"/>
    <w:rsid w:val="008A14F5"/>
    <w:rsid w:val="008A1528"/>
    <w:rsid w:val="008A5FC4"/>
    <w:rsid w:val="008A6647"/>
    <w:rsid w:val="008D3D8C"/>
    <w:rsid w:val="008D5294"/>
    <w:rsid w:val="008D711C"/>
    <w:rsid w:val="008E1AE4"/>
    <w:rsid w:val="008E3765"/>
    <w:rsid w:val="008F0EB3"/>
    <w:rsid w:val="0091124D"/>
    <w:rsid w:val="0091445B"/>
    <w:rsid w:val="009151D5"/>
    <w:rsid w:val="00923AE7"/>
    <w:rsid w:val="009246A1"/>
    <w:rsid w:val="00930D19"/>
    <w:rsid w:val="009344D3"/>
    <w:rsid w:val="00934718"/>
    <w:rsid w:val="009377F5"/>
    <w:rsid w:val="00937D5B"/>
    <w:rsid w:val="00945FFA"/>
    <w:rsid w:val="00952683"/>
    <w:rsid w:val="00953EFF"/>
    <w:rsid w:val="009575C3"/>
    <w:rsid w:val="009608B2"/>
    <w:rsid w:val="00970251"/>
    <w:rsid w:val="0097246B"/>
    <w:rsid w:val="00974CB6"/>
    <w:rsid w:val="00983059"/>
    <w:rsid w:val="0098521E"/>
    <w:rsid w:val="009860B5"/>
    <w:rsid w:val="00995F40"/>
    <w:rsid w:val="00996034"/>
    <w:rsid w:val="009969B5"/>
    <w:rsid w:val="009A0FAF"/>
    <w:rsid w:val="009A13FB"/>
    <w:rsid w:val="009A38F2"/>
    <w:rsid w:val="009A3A23"/>
    <w:rsid w:val="009A5CBE"/>
    <w:rsid w:val="009A6D7F"/>
    <w:rsid w:val="009B3ADD"/>
    <w:rsid w:val="009B5D1C"/>
    <w:rsid w:val="009C7AA9"/>
    <w:rsid w:val="009D0F22"/>
    <w:rsid w:val="009E0021"/>
    <w:rsid w:val="009E0068"/>
    <w:rsid w:val="009E7AF6"/>
    <w:rsid w:val="009F1285"/>
    <w:rsid w:val="009F61FA"/>
    <w:rsid w:val="009F76E5"/>
    <w:rsid w:val="00A10419"/>
    <w:rsid w:val="00A13AC7"/>
    <w:rsid w:val="00A208D0"/>
    <w:rsid w:val="00A21846"/>
    <w:rsid w:val="00A27158"/>
    <w:rsid w:val="00A3171E"/>
    <w:rsid w:val="00A31D44"/>
    <w:rsid w:val="00A358A9"/>
    <w:rsid w:val="00A50DE6"/>
    <w:rsid w:val="00A51052"/>
    <w:rsid w:val="00A54173"/>
    <w:rsid w:val="00A57199"/>
    <w:rsid w:val="00A610C8"/>
    <w:rsid w:val="00A70CB2"/>
    <w:rsid w:val="00A76BDF"/>
    <w:rsid w:val="00A7746C"/>
    <w:rsid w:val="00A85A9E"/>
    <w:rsid w:val="00A86B36"/>
    <w:rsid w:val="00A95582"/>
    <w:rsid w:val="00A9773F"/>
    <w:rsid w:val="00AC53E9"/>
    <w:rsid w:val="00AC7724"/>
    <w:rsid w:val="00AD7A02"/>
    <w:rsid w:val="00AE0BBB"/>
    <w:rsid w:val="00AE12DE"/>
    <w:rsid w:val="00AE2554"/>
    <w:rsid w:val="00AE26E3"/>
    <w:rsid w:val="00AF0547"/>
    <w:rsid w:val="00AF26BD"/>
    <w:rsid w:val="00AF2B70"/>
    <w:rsid w:val="00AF2D7A"/>
    <w:rsid w:val="00B00EBD"/>
    <w:rsid w:val="00B073E3"/>
    <w:rsid w:val="00B10A46"/>
    <w:rsid w:val="00B14F53"/>
    <w:rsid w:val="00B171D8"/>
    <w:rsid w:val="00B213B6"/>
    <w:rsid w:val="00B23471"/>
    <w:rsid w:val="00B30B41"/>
    <w:rsid w:val="00B32289"/>
    <w:rsid w:val="00B3427A"/>
    <w:rsid w:val="00B34AC5"/>
    <w:rsid w:val="00B37C4D"/>
    <w:rsid w:val="00B40C86"/>
    <w:rsid w:val="00B44918"/>
    <w:rsid w:val="00B4758B"/>
    <w:rsid w:val="00B56EE9"/>
    <w:rsid w:val="00B662BD"/>
    <w:rsid w:val="00B70759"/>
    <w:rsid w:val="00B71D85"/>
    <w:rsid w:val="00B71DA7"/>
    <w:rsid w:val="00B72337"/>
    <w:rsid w:val="00B7456E"/>
    <w:rsid w:val="00B75A4B"/>
    <w:rsid w:val="00B80E25"/>
    <w:rsid w:val="00B834FD"/>
    <w:rsid w:val="00B84E62"/>
    <w:rsid w:val="00B92F70"/>
    <w:rsid w:val="00B97593"/>
    <w:rsid w:val="00BA30B6"/>
    <w:rsid w:val="00BA3435"/>
    <w:rsid w:val="00BA4C88"/>
    <w:rsid w:val="00BA58D1"/>
    <w:rsid w:val="00BB5D9F"/>
    <w:rsid w:val="00BB69A7"/>
    <w:rsid w:val="00BB721D"/>
    <w:rsid w:val="00BC0F31"/>
    <w:rsid w:val="00BD3858"/>
    <w:rsid w:val="00BE1068"/>
    <w:rsid w:val="00BE180A"/>
    <w:rsid w:val="00BF099B"/>
    <w:rsid w:val="00BF5284"/>
    <w:rsid w:val="00BF7108"/>
    <w:rsid w:val="00C03A61"/>
    <w:rsid w:val="00C10CAB"/>
    <w:rsid w:val="00C17269"/>
    <w:rsid w:val="00C2177C"/>
    <w:rsid w:val="00C23AF4"/>
    <w:rsid w:val="00C30753"/>
    <w:rsid w:val="00C32546"/>
    <w:rsid w:val="00C335E9"/>
    <w:rsid w:val="00C33984"/>
    <w:rsid w:val="00C402A3"/>
    <w:rsid w:val="00C402F7"/>
    <w:rsid w:val="00C5094B"/>
    <w:rsid w:val="00C6121C"/>
    <w:rsid w:val="00C61305"/>
    <w:rsid w:val="00C63F61"/>
    <w:rsid w:val="00C7064D"/>
    <w:rsid w:val="00C7235A"/>
    <w:rsid w:val="00C805B9"/>
    <w:rsid w:val="00C837A3"/>
    <w:rsid w:val="00C8511A"/>
    <w:rsid w:val="00C87DB6"/>
    <w:rsid w:val="00C91E59"/>
    <w:rsid w:val="00C9454F"/>
    <w:rsid w:val="00C956D5"/>
    <w:rsid w:val="00CA5BA6"/>
    <w:rsid w:val="00CB111E"/>
    <w:rsid w:val="00CB4BF1"/>
    <w:rsid w:val="00CC2A39"/>
    <w:rsid w:val="00CD4AC2"/>
    <w:rsid w:val="00CF1794"/>
    <w:rsid w:val="00CF7EDB"/>
    <w:rsid w:val="00D139DF"/>
    <w:rsid w:val="00D1509B"/>
    <w:rsid w:val="00D16840"/>
    <w:rsid w:val="00D31213"/>
    <w:rsid w:val="00D561EE"/>
    <w:rsid w:val="00D61C20"/>
    <w:rsid w:val="00D705E1"/>
    <w:rsid w:val="00D77718"/>
    <w:rsid w:val="00D87EC4"/>
    <w:rsid w:val="00D91378"/>
    <w:rsid w:val="00D92555"/>
    <w:rsid w:val="00D97362"/>
    <w:rsid w:val="00DA4A6D"/>
    <w:rsid w:val="00DA7445"/>
    <w:rsid w:val="00DB028A"/>
    <w:rsid w:val="00DB54D8"/>
    <w:rsid w:val="00DB5757"/>
    <w:rsid w:val="00DC29A6"/>
    <w:rsid w:val="00DC4D42"/>
    <w:rsid w:val="00DC523D"/>
    <w:rsid w:val="00DC7F3E"/>
    <w:rsid w:val="00DD51D1"/>
    <w:rsid w:val="00DE0BBF"/>
    <w:rsid w:val="00DE3FDF"/>
    <w:rsid w:val="00DE5762"/>
    <w:rsid w:val="00DE7222"/>
    <w:rsid w:val="00E02B7E"/>
    <w:rsid w:val="00E06534"/>
    <w:rsid w:val="00E12EA6"/>
    <w:rsid w:val="00E14F6E"/>
    <w:rsid w:val="00E159A6"/>
    <w:rsid w:val="00E172B6"/>
    <w:rsid w:val="00E2274D"/>
    <w:rsid w:val="00E23A5D"/>
    <w:rsid w:val="00E33156"/>
    <w:rsid w:val="00E3611F"/>
    <w:rsid w:val="00E416B0"/>
    <w:rsid w:val="00E4342A"/>
    <w:rsid w:val="00E50802"/>
    <w:rsid w:val="00E532A7"/>
    <w:rsid w:val="00E663A9"/>
    <w:rsid w:val="00E70298"/>
    <w:rsid w:val="00E74B7B"/>
    <w:rsid w:val="00E74CCB"/>
    <w:rsid w:val="00E76458"/>
    <w:rsid w:val="00E76F2B"/>
    <w:rsid w:val="00E81A3A"/>
    <w:rsid w:val="00E83685"/>
    <w:rsid w:val="00E878C3"/>
    <w:rsid w:val="00E96583"/>
    <w:rsid w:val="00EA32A9"/>
    <w:rsid w:val="00EA32FB"/>
    <w:rsid w:val="00EA55F1"/>
    <w:rsid w:val="00EB2FE3"/>
    <w:rsid w:val="00EB5E9B"/>
    <w:rsid w:val="00EC19E1"/>
    <w:rsid w:val="00ED17CA"/>
    <w:rsid w:val="00EE36D3"/>
    <w:rsid w:val="00F02C52"/>
    <w:rsid w:val="00F04250"/>
    <w:rsid w:val="00F13CED"/>
    <w:rsid w:val="00F150C7"/>
    <w:rsid w:val="00F26339"/>
    <w:rsid w:val="00F26435"/>
    <w:rsid w:val="00F26692"/>
    <w:rsid w:val="00F27DE2"/>
    <w:rsid w:val="00F30DA8"/>
    <w:rsid w:val="00F30F41"/>
    <w:rsid w:val="00F315F8"/>
    <w:rsid w:val="00F3293D"/>
    <w:rsid w:val="00F3766D"/>
    <w:rsid w:val="00F428BE"/>
    <w:rsid w:val="00F50073"/>
    <w:rsid w:val="00F528C6"/>
    <w:rsid w:val="00F576A3"/>
    <w:rsid w:val="00F6419E"/>
    <w:rsid w:val="00F64E65"/>
    <w:rsid w:val="00F66727"/>
    <w:rsid w:val="00F70C3E"/>
    <w:rsid w:val="00F70D82"/>
    <w:rsid w:val="00F83753"/>
    <w:rsid w:val="00F86020"/>
    <w:rsid w:val="00FA01C6"/>
    <w:rsid w:val="00FA0645"/>
    <w:rsid w:val="00FA1EEF"/>
    <w:rsid w:val="00FA28A7"/>
    <w:rsid w:val="00FA7C62"/>
    <w:rsid w:val="00FB3BC1"/>
    <w:rsid w:val="00FB4CD9"/>
    <w:rsid w:val="00FB7D81"/>
    <w:rsid w:val="00FB7E08"/>
    <w:rsid w:val="00FD1FE2"/>
    <w:rsid w:val="00FD2781"/>
    <w:rsid w:val="00FD3EF7"/>
    <w:rsid w:val="00FD70DC"/>
    <w:rsid w:val="00FE3245"/>
    <w:rsid w:val="00FE7CE6"/>
    <w:rsid w:val="00FF0FE7"/>
    <w:rsid w:val="00FF11D0"/>
    <w:rsid w:val="00FF6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Balk1">
    <w:name w:val="heading 1"/>
    <w:basedOn w:val="Normal"/>
    <w:next w:val="Normal"/>
    <w:link w:val="Balk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10FC"/>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5210F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5210FC"/>
    <w:rPr>
      <w:rFonts w:asciiTheme="majorHAnsi" w:eastAsiaTheme="majorEastAsia" w:hAnsiTheme="majorHAnsi" w:cstheme="majorBidi"/>
      <w:b/>
      <w:bCs/>
      <w:sz w:val="26"/>
      <w:szCs w:val="26"/>
    </w:rPr>
  </w:style>
  <w:style w:type="character" w:styleId="Kpr">
    <w:name w:val="Hyperlink"/>
    <w:basedOn w:val="VarsaylanParagrafYazTipi"/>
    <w:uiPriority w:val="99"/>
    <w:rsid w:val="001F0A81"/>
    <w:rPr>
      <w:color w:val="0000FF"/>
      <w:u w:val="single"/>
    </w:rPr>
  </w:style>
  <w:style w:type="paragraph" w:styleId="BelgeBalantlar">
    <w:name w:val="Document Map"/>
    <w:basedOn w:val="Normal"/>
    <w:link w:val="BelgeBalantlarChar"/>
    <w:uiPriority w:val="99"/>
    <w:semiHidden/>
    <w:rsid w:val="00C805B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5210FC"/>
    <w:rPr>
      <w:sz w:val="0"/>
      <w:szCs w:val="0"/>
    </w:rPr>
  </w:style>
  <w:style w:type="paragraph" w:styleId="Altbilgi">
    <w:name w:val="footer"/>
    <w:basedOn w:val="Normal"/>
    <w:link w:val="AltbilgiChar"/>
    <w:uiPriority w:val="99"/>
    <w:rsid w:val="00B72337"/>
    <w:pPr>
      <w:tabs>
        <w:tab w:val="center" w:pos="4536"/>
        <w:tab w:val="right" w:pos="9072"/>
      </w:tabs>
    </w:pPr>
  </w:style>
  <w:style w:type="character" w:customStyle="1" w:styleId="AltbilgiChar">
    <w:name w:val="Altbilgi Char"/>
    <w:basedOn w:val="VarsaylanParagrafYazTipi"/>
    <w:link w:val="Altbilgi"/>
    <w:uiPriority w:val="99"/>
    <w:semiHidden/>
    <w:rsid w:val="005210FC"/>
    <w:rPr>
      <w:sz w:val="24"/>
      <w:szCs w:val="24"/>
    </w:rPr>
  </w:style>
  <w:style w:type="character" w:styleId="SayfaNumaras">
    <w:name w:val="page number"/>
    <w:basedOn w:val="VarsaylanParagrafYazTipi"/>
    <w:uiPriority w:val="99"/>
    <w:rsid w:val="00B72337"/>
  </w:style>
  <w:style w:type="paragraph" w:styleId="stbilgi">
    <w:name w:val="header"/>
    <w:basedOn w:val="Normal"/>
    <w:link w:val="stbilgiChar"/>
    <w:uiPriority w:val="99"/>
    <w:rsid w:val="00017426"/>
    <w:pPr>
      <w:tabs>
        <w:tab w:val="center" w:pos="4536"/>
        <w:tab w:val="right" w:pos="9072"/>
      </w:tabs>
    </w:pPr>
  </w:style>
  <w:style w:type="character" w:customStyle="1" w:styleId="stbilgiChar">
    <w:name w:val="Üstbilgi Char"/>
    <w:basedOn w:val="VarsaylanParagrafYazTipi"/>
    <w:link w:val="stbilgi"/>
    <w:uiPriority w:val="99"/>
    <w:semiHidden/>
    <w:rsid w:val="005210FC"/>
    <w:rPr>
      <w:sz w:val="24"/>
      <w:szCs w:val="24"/>
    </w:rPr>
  </w:style>
  <w:style w:type="character" w:customStyle="1" w:styleId="EmailStyle261">
    <w:name w:val="EmailStyle261"/>
    <w:basedOn w:val="VarsaylanParagrafYazTipi"/>
    <w:uiPriority w:val="99"/>
    <w:semiHidden/>
    <w:rsid w:val="005171AD"/>
    <w:rPr>
      <w:rFonts w:ascii="Arial" w:hAnsi="Arial" w:cs="Arial"/>
      <w:color w:val="auto"/>
      <w:sz w:val="20"/>
      <w:szCs w:val="20"/>
    </w:rPr>
  </w:style>
  <w:style w:type="paragraph" w:styleId="DipnotMetni">
    <w:name w:val="footnote text"/>
    <w:basedOn w:val="Normal"/>
    <w:link w:val="DipnotMetniChar"/>
    <w:uiPriority w:val="99"/>
    <w:semiHidden/>
    <w:rsid w:val="000C5C8B"/>
    <w:rPr>
      <w:sz w:val="20"/>
      <w:szCs w:val="20"/>
    </w:rPr>
  </w:style>
  <w:style w:type="character" w:customStyle="1" w:styleId="DipnotMetniChar">
    <w:name w:val="Dipnot Metni Char"/>
    <w:basedOn w:val="VarsaylanParagrafYazTipi"/>
    <w:link w:val="DipnotMetni"/>
    <w:uiPriority w:val="99"/>
    <w:semiHidden/>
    <w:rsid w:val="005210FC"/>
    <w:rPr>
      <w:sz w:val="20"/>
      <w:szCs w:val="20"/>
    </w:rPr>
  </w:style>
  <w:style w:type="character" w:styleId="DipnotBavurusu">
    <w:name w:val="footnote reference"/>
    <w:basedOn w:val="VarsaylanParagrafYazTipi"/>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onMetni">
    <w:name w:val="Balloon Text"/>
    <w:basedOn w:val="Normal"/>
    <w:link w:val="BalonMetniChar"/>
    <w:uiPriority w:val="99"/>
    <w:semiHidden/>
    <w:rsid w:val="00370430"/>
    <w:rPr>
      <w:rFonts w:ascii="Tahoma" w:hAnsi="Tahoma" w:cs="Tahoma"/>
      <w:sz w:val="16"/>
      <w:szCs w:val="16"/>
    </w:rPr>
  </w:style>
  <w:style w:type="character" w:customStyle="1" w:styleId="BalonMetniChar">
    <w:name w:val="Balon Metni Char"/>
    <w:basedOn w:val="VarsaylanParagrafYazTipi"/>
    <w:link w:val="BalonMetni"/>
    <w:uiPriority w:val="99"/>
    <w:semiHidden/>
    <w:rsid w:val="005210F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39D0-91F5-4CD7-82A4-234001AB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unv</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baris.soybilgen</dc:creator>
  <cp:keywords/>
  <dc:description/>
  <cp:lastModifiedBy>merve.akgul</cp:lastModifiedBy>
  <cp:revision>3</cp:revision>
  <cp:lastPrinted>2012-07-02T10:17:00Z</cp:lastPrinted>
  <dcterms:created xsi:type="dcterms:W3CDTF">2013-09-10T09:58:00Z</dcterms:created>
  <dcterms:modified xsi:type="dcterms:W3CDTF">2013-09-10T09:57:00Z</dcterms:modified>
</cp:coreProperties>
</file>