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49B1" w:rsidRPr="001541B3" w:rsidRDefault="00C60B49">
      <w:pPr>
        <w:rPr>
          <w:rFonts w:ascii="Arial" w:hAnsi="Arial" w:cs="Arial"/>
          <w:sz w:val="20"/>
          <w:szCs w:val="20"/>
        </w:rPr>
      </w:pPr>
      <w:r w:rsidRPr="00C60B49">
        <w:rPr>
          <w:noProof/>
          <w:lang w:eastAsia="tr-TR"/>
        </w:rPr>
        <w:pict>
          <v:shapetype id="_x0000_t202" coordsize="21600,21600" o:spt="202" path="m,l,21600r21600,l21600,xe">
            <v:stroke joinstyle="miter"/>
            <v:path gradientshapeok="t" o:connecttype="rect"/>
          </v:shapetype>
          <v:shape id="_x0000_s1026" type="#_x0000_t202" style="position:absolute;margin-left:131.55pt;margin-top:-36.35pt;width:312.1pt;height:36.75pt;z-index:251656704;mso-wrap-distance-left:9.05pt;mso-wrap-distance-right:9.05pt" stroked="f">
            <v:fill opacity="0" color2="black"/>
            <v:textbox style="mso-next-textbox:#_x0000_s1026" inset="0,0,0,0">
              <w:txbxContent>
                <w:p w:rsidR="00AC6686" w:rsidRPr="002865A7" w:rsidRDefault="0030489E" w:rsidP="002865A7">
                  <w:pPr>
                    <w:pStyle w:val="Balk1"/>
                    <w:rPr>
                      <w:rFonts w:ascii="Times New Roman" w:hAnsi="Times New Roman" w:cs="Times New Roman"/>
                      <w:sz w:val="52"/>
                      <w:szCs w:val="52"/>
                    </w:rPr>
                  </w:pPr>
                  <w:r>
                    <w:rPr>
                      <w:rFonts w:ascii="Times New Roman" w:hAnsi="Times New Roman" w:cs="Times New Roman"/>
                      <w:sz w:val="52"/>
                      <w:szCs w:val="52"/>
                    </w:rPr>
                    <w:t xml:space="preserve">Araştırma Notu </w:t>
                  </w:r>
                  <w:r w:rsidR="00AC6686" w:rsidRPr="002865A7">
                    <w:rPr>
                      <w:rFonts w:ascii="Times New Roman" w:hAnsi="Times New Roman" w:cs="Times New Roman"/>
                      <w:sz w:val="52"/>
                      <w:szCs w:val="52"/>
                    </w:rPr>
                    <w:t>13</w:t>
                  </w:r>
                  <w:r w:rsidR="00246AF6" w:rsidRPr="002865A7">
                    <w:rPr>
                      <w:rFonts w:ascii="Times New Roman" w:hAnsi="Times New Roman" w:cs="Times New Roman"/>
                      <w:sz w:val="52"/>
                      <w:szCs w:val="52"/>
                    </w:rPr>
                    <w:t>/</w:t>
                  </w:r>
                  <w:r w:rsidR="00246AF6">
                    <w:rPr>
                      <w:rFonts w:ascii="Times New Roman" w:hAnsi="Times New Roman" w:cs="Times New Roman"/>
                      <w:sz w:val="52"/>
                      <w:szCs w:val="52"/>
                    </w:rPr>
                    <w:t>152</w:t>
                  </w:r>
                </w:p>
                <w:p w:rsidR="00AC6686" w:rsidRPr="00526178" w:rsidRDefault="00AC6686">
                  <w:pPr>
                    <w:pStyle w:val="Balk2"/>
                    <w:rPr>
                      <w:b w:val="0"/>
                      <w:bCs w:val="0"/>
                      <w:i w:val="0"/>
                      <w:iCs w:val="0"/>
                    </w:rPr>
                  </w:pPr>
                </w:p>
              </w:txbxContent>
            </v:textbox>
          </v:shape>
        </w:pict>
      </w:r>
      <w:r w:rsidR="001A02DC">
        <w:rPr>
          <w:noProof/>
          <w:lang w:eastAsia="tr-TR"/>
        </w:rPr>
        <w:drawing>
          <wp:anchor distT="0" distB="0" distL="114300" distR="114300" simplePos="0" relativeHeight="251658752" behindDoc="1" locked="0" layoutInCell="1" allowOverlap="1">
            <wp:simplePos x="0" y="0"/>
            <wp:positionH relativeFrom="column">
              <wp:posOffset>-695325</wp:posOffset>
            </wp:positionH>
            <wp:positionV relativeFrom="paragraph">
              <wp:posOffset>-666115</wp:posOffset>
            </wp:positionV>
            <wp:extent cx="7315200" cy="1330325"/>
            <wp:effectExtent l="19050" t="0" r="0"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rsidR="00EA49B1" w:rsidRPr="001541B3" w:rsidRDefault="00C60B49">
      <w:pPr>
        <w:rPr>
          <w:rFonts w:ascii="Arial" w:hAnsi="Arial" w:cs="Arial"/>
          <w:sz w:val="20"/>
          <w:szCs w:val="20"/>
        </w:rPr>
      </w:pPr>
      <w:r w:rsidRPr="00C60B49">
        <w:rPr>
          <w:noProof/>
          <w:lang w:eastAsia="tr-TR"/>
        </w:rPr>
        <w:pict>
          <v:shape id="_x0000_s1028" type="#_x0000_t202" style="position:absolute;margin-left:401.75pt;margin-top:7.3pt;width:116.4pt;height:23.55pt;z-index:251657728;mso-wrap-distance-left:9.05pt;mso-wrap-distance-right:9.05pt" stroked="f">
            <v:fill opacity="0" color2="black"/>
            <v:textbox style="mso-next-textbox:#_x0000_s1028" inset="0,0,0,0">
              <w:txbxContent>
                <w:p w:rsidR="00AC6686" w:rsidRDefault="0030489E" w:rsidP="00C24EA0">
                  <w:pPr>
                    <w:pStyle w:val="Balk3"/>
                    <w:tabs>
                      <w:tab w:val="clear" w:pos="720"/>
                    </w:tabs>
                    <w:ind w:left="0" w:firstLine="0"/>
                    <w:rPr>
                      <w:color w:val="FFFFFF"/>
                      <w:sz w:val="22"/>
                      <w:szCs w:val="22"/>
                      <w:lang w:val="tr-TR"/>
                    </w:rPr>
                  </w:pPr>
                  <w:r>
                    <w:rPr>
                      <w:color w:val="FFFFFF"/>
                      <w:sz w:val="22"/>
                      <w:szCs w:val="22"/>
                    </w:rPr>
                    <w:t>25 Temmuz</w:t>
                  </w:r>
                  <w:r w:rsidR="00AC6686">
                    <w:rPr>
                      <w:color w:val="FFFFFF"/>
                      <w:sz w:val="22"/>
                      <w:szCs w:val="22"/>
                      <w:lang w:val="tr-TR"/>
                    </w:rPr>
                    <w:t xml:space="preserve"> 2013</w:t>
                  </w:r>
                </w:p>
                <w:p w:rsidR="00AC6686" w:rsidRDefault="00AC6686"/>
              </w:txbxContent>
            </v:textbox>
          </v:shape>
        </w:pict>
      </w:r>
    </w:p>
    <w:p w:rsidR="00EA49B1" w:rsidRPr="001541B3" w:rsidRDefault="00EA49B1">
      <w:pPr>
        <w:rPr>
          <w:rFonts w:ascii="Arial" w:hAnsi="Arial" w:cs="Arial"/>
          <w:sz w:val="20"/>
          <w:szCs w:val="20"/>
        </w:rPr>
      </w:pPr>
    </w:p>
    <w:p w:rsidR="00EA49B1" w:rsidRPr="001541B3" w:rsidRDefault="00EA49B1">
      <w:pPr>
        <w:rPr>
          <w:rFonts w:ascii="Arial" w:hAnsi="Arial" w:cs="Arial"/>
          <w:sz w:val="20"/>
          <w:szCs w:val="20"/>
        </w:rPr>
      </w:pPr>
    </w:p>
    <w:p w:rsidR="00EA49B1" w:rsidRPr="001541B3" w:rsidRDefault="00EA49B1" w:rsidP="00B964E5">
      <w:pPr>
        <w:rPr>
          <w:rFonts w:ascii="Arial" w:hAnsi="Arial" w:cs="Arial"/>
          <w:b/>
          <w:bCs/>
          <w:sz w:val="28"/>
          <w:szCs w:val="28"/>
        </w:rPr>
      </w:pPr>
    </w:p>
    <w:p w:rsidR="00EA49B1" w:rsidRDefault="00EA49B1" w:rsidP="009C4C0C">
      <w:pPr>
        <w:spacing w:before="120"/>
        <w:jc w:val="center"/>
        <w:rPr>
          <w:rFonts w:ascii="Arial" w:hAnsi="Arial" w:cs="Arial"/>
          <w:b/>
          <w:bCs/>
          <w:sz w:val="28"/>
          <w:szCs w:val="28"/>
        </w:rPr>
      </w:pPr>
      <w:r>
        <w:rPr>
          <w:rFonts w:ascii="Arial" w:hAnsi="Arial" w:cs="Arial"/>
          <w:b/>
          <w:bCs/>
          <w:sz w:val="28"/>
          <w:szCs w:val="28"/>
        </w:rPr>
        <w:t xml:space="preserve">KAYITLI İŞGÜCÜ PİYASASINDA ÜCRET KATILIĞI </w:t>
      </w:r>
    </w:p>
    <w:p w:rsidR="00EA49B1" w:rsidRPr="00216D1F" w:rsidRDefault="00EA49B1" w:rsidP="009C4C0C">
      <w:pPr>
        <w:spacing w:before="120"/>
        <w:jc w:val="center"/>
        <w:rPr>
          <w:rFonts w:ascii="Arial" w:hAnsi="Arial" w:cs="Arial"/>
          <w:b/>
          <w:bCs/>
        </w:rPr>
      </w:pPr>
      <w:r>
        <w:rPr>
          <w:rFonts w:ascii="Arial" w:hAnsi="Arial" w:cs="Arial"/>
          <w:b/>
          <w:bCs/>
          <w:sz w:val="28"/>
          <w:szCs w:val="28"/>
        </w:rPr>
        <w:t>VE KAYIT DIŞILIK</w:t>
      </w:r>
    </w:p>
    <w:p w:rsidR="00EA49B1" w:rsidRPr="001541B3" w:rsidRDefault="00EA49B1" w:rsidP="009C4C0C">
      <w:pPr>
        <w:spacing w:before="120"/>
        <w:jc w:val="center"/>
        <w:rPr>
          <w:rFonts w:ascii="Arial" w:hAnsi="Arial" w:cs="Arial"/>
          <w:b/>
          <w:bCs/>
          <w:sz w:val="20"/>
          <w:szCs w:val="20"/>
        </w:rPr>
      </w:pPr>
      <w:r w:rsidRPr="001541B3">
        <w:rPr>
          <w:rFonts w:ascii="Arial" w:hAnsi="Arial" w:cs="Arial"/>
          <w:b/>
          <w:bCs/>
          <w:sz w:val="20"/>
          <w:szCs w:val="20"/>
        </w:rPr>
        <w:t>Seyfettin Gürsel</w:t>
      </w:r>
      <w:r w:rsidRPr="001541B3">
        <w:rPr>
          <w:rStyle w:val="DipnotBavurusu"/>
          <w:rFonts w:ascii="Arial" w:hAnsi="Arial" w:cs="Arial"/>
          <w:b/>
          <w:bCs/>
          <w:sz w:val="20"/>
          <w:szCs w:val="20"/>
        </w:rPr>
        <w:footnoteReference w:customMarkFollows="1" w:id="2"/>
        <w:t>*</w:t>
      </w:r>
      <w:r>
        <w:rPr>
          <w:rFonts w:ascii="Arial" w:hAnsi="Arial" w:cs="Arial"/>
          <w:b/>
          <w:bCs/>
          <w:sz w:val="20"/>
          <w:szCs w:val="20"/>
        </w:rPr>
        <w:t>, Gökçe Uysal</w:t>
      </w:r>
      <w:r w:rsidRPr="007234F0">
        <w:rPr>
          <w:rStyle w:val="DipnotBavurusu"/>
          <w:rFonts w:ascii="Arial" w:hAnsi="Arial" w:cs="Arial"/>
          <w:b/>
          <w:bCs/>
          <w:sz w:val="20"/>
          <w:szCs w:val="20"/>
        </w:rPr>
        <w:footnoteReference w:customMarkFollows="1" w:id="3"/>
        <w:sym w:font="Symbol" w:char="F02A"/>
      </w:r>
      <w:r w:rsidRPr="007234F0">
        <w:rPr>
          <w:rStyle w:val="DipnotBavurusu"/>
          <w:rFonts w:ascii="Arial" w:hAnsi="Arial" w:cs="Arial"/>
          <w:b/>
          <w:bCs/>
          <w:sz w:val="20"/>
          <w:szCs w:val="20"/>
        </w:rPr>
        <w:sym w:font="Symbol" w:char="F02A"/>
      </w:r>
      <w:r w:rsidRPr="001541B3">
        <w:rPr>
          <w:rFonts w:ascii="Arial" w:hAnsi="Arial" w:cs="Arial"/>
          <w:b/>
          <w:bCs/>
          <w:sz w:val="20"/>
          <w:szCs w:val="20"/>
        </w:rPr>
        <w:t xml:space="preserve"> </w:t>
      </w:r>
      <w:r>
        <w:rPr>
          <w:rFonts w:ascii="Arial" w:hAnsi="Arial" w:cs="Arial"/>
          <w:b/>
          <w:bCs/>
          <w:sz w:val="20"/>
          <w:szCs w:val="20"/>
        </w:rPr>
        <w:t>ve Ayşenur Acar</w:t>
      </w:r>
      <w:r w:rsidRPr="007234F0">
        <w:rPr>
          <w:rStyle w:val="DipnotBavurusu"/>
          <w:rFonts w:ascii="Arial" w:hAnsi="Arial" w:cs="Arial"/>
          <w:b/>
          <w:bCs/>
          <w:sz w:val="20"/>
          <w:szCs w:val="20"/>
        </w:rPr>
        <w:sym w:font="Symbol" w:char="F02A"/>
      </w:r>
      <w:r w:rsidRPr="007234F0">
        <w:rPr>
          <w:rStyle w:val="DipnotBavurusu"/>
          <w:rFonts w:ascii="Arial" w:hAnsi="Arial" w:cs="Arial"/>
          <w:b/>
          <w:bCs/>
          <w:sz w:val="20"/>
          <w:szCs w:val="20"/>
        </w:rPr>
        <w:sym w:font="Symbol" w:char="F02A"/>
      </w:r>
      <w:r w:rsidRPr="007234F0">
        <w:rPr>
          <w:rStyle w:val="DipnotBavurusu"/>
          <w:rFonts w:ascii="Arial" w:hAnsi="Arial" w:cs="Arial"/>
          <w:b/>
          <w:bCs/>
          <w:sz w:val="20"/>
          <w:szCs w:val="20"/>
        </w:rPr>
        <w:sym w:font="Symbol" w:char="F02A"/>
      </w:r>
      <w:r w:rsidRPr="001541B3">
        <w:rPr>
          <w:rFonts w:ascii="Arial" w:hAnsi="Arial" w:cs="Arial"/>
          <w:b/>
          <w:bCs/>
          <w:sz w:val="20"/>
          <w:szCs w:val="20"/>
        </w:rPr>
        <w:t xml:space="preserve"> </w:t>
      </w:r>
    </w:p>
    <w:p w:rsidR="00EA49B1" w:rsidRPr="001541B3" w:rsidRDefault="00EA49B1" w:rsidP="00035FEC">
      <w:pPr>
        <w:rPr>
          <w:rFonts w:ascii="Arial" w:hAnsi="Arial" w:cs="Arial"/>
          <w:sz w:val="20"/>
          <w:szCs w:val="20"/>
        </w:rPr>
      </w:pPr>
    </w:p>
    <w:p w:rsidR="00EA49B1" w:rsidRPr="001541B3" w:rsidRDefault="00EA49B1" w:rsidP="00223B63">
      <w:pPr>
        <w:jc w:val="center"/>
        <w:rPr>
          <w:rFonts w:ascii="Arial" w:hAnsi="Arial" w:cs="Arial"/>
          <w:b/>
          <w:bCs/>
          <w:sz w:val="22"/>
          <w:szCs w:val="22"/>
        </w:rPr>
      </w:pPr>
      <w:r w:rsidRPr="001541B3">
        <w:rPr>
          <w:rFonts w:ascii="Arial" w:hAnsi="Arial" w:cs="Arial"/>
          <w:b/>
          <w:bCs/>
          <w:sz w:val="22"/>
          <w:szCs w:val="22"/>
        </w:rPr>
        <w:t xml:space="preserve">Yönetici Özeti </w:t>
      </w:r>
    </w:p>
    <w:p w:rsidR="00EA49B1" w:rsidRDefault="00EA49B1" w:rsidP="00A153B7">
      <w:pPr>
        <w:jc w:val="both"/>
        <w:rPr>
          <w:rFonts w:ascii="Arial" w:hAnsi="Arial" w:cs="Arial"/>
          <w:sz w:val="20"/>
          <w:szCs w:val="20"/>
        </w:rPr>
      </w:pPr>
    </w:p>
    <w:p w:rsidR="00EA49B1" w:rsidRDefault="00EA49B1" w:rsidP="0019511C">
      <w:pPr>
        <w:jc w:val="both"/>
        <w:rPr>
          <w:rFonts w:ascii="Arial" w:hAnsi="Arial" w:cs="Arial"/>
          <w:sz w:val="20"/>
          <w:szCs w:val="20"/>
        </w:rPr>
      </w:pPr>
      <w:r w:rsidRPr="004B588A">
        <w:rPr>
          <w:rFonts w:ascii="Arial" w:hAnsi="Arial" w:cs="Arial"/>
          <w:sz w:val="20"/>
          <w:szCs w:val="20"/>
        </w:rPr>
        <w:t>Yapılan uluslar arası karşılaştırmalar Türkiye</w:t>
      </w:r>
      <w:r>
        <w:rPr>
          <w:rFonts w:ascii="Arial" w:hAnsi="Arial" w:cs="Arial"/>
          <w:sz w:val="20"/>
          <w:szCs w:val="20"/>
        </w:rPr>
        <w:t xml:space="preserve"> kayıtlı</w:t>
      </w:r>
      <w:r w:rsidRPr="004B588A">
        <w:rPr>
          <w:rFonts w:ascii="Arial" w:hAnsi="Arial" w:cs="Arial"/>
          <w:sz w:val="20"/>
          <w:szCs w:val="20"/>
        </w:rPr>
        <w:t xml:space="preserve"> işgücü piyasasın</w:t>
      </w:r>
      <w:r>
        <w:rPr>
          <w:rFonts w:ascii="Arial" w:hAnsi="Arial" w:cs="Arial"/>
          <w:sz w:val="20"/>
          <w:szCs w:val="20"/>
        </w:rPr>
        <w:t>ın ücretler açısından</w:t>
      </w:r>
      <w:r w:rsidRPr="004B588A">
        <w:rPr>
          <w:rFonts w:ascii="Arial" w:hAnsi="Arial" w:cs="Arial"/>
          <w:sz w:val="20"/>
          <w:szCs w:val="20"/>
        </w:rPr>
        <w:t xml:space="preserve"> oldukça katı olduğunu ortaya koymaktadır. Bu araştırma notunda Türkiye’de özel firmalarda kayıtlı çalışanların kazançlarından hareketle kayıtlı işgücü piyasasındaki ücret katılığını inceliyoruz. OECD’nin kullandığı yöntemlere paralel olarak yapılan hesaplamalar Türkiye’de brüt asgari ücretin brüt medyan ücrete oranının 0,80 olduğunu gösteriyor. </w:t>
      </w:r>
      <w:r w:rsidR="00AC6686">
        <w:rPr>
          <w:rFonts w:ascii="Arial" w:hAnsi="Arial" w:cs="Arial"/>
          <w:sz w:val="20"/>
          <w:szCs w:val="20"/>
        </w:rPr>
        <w:t xml:space="preserve">Bu, </w:t>
      </w:r>
      <w:r>
        <w:rPr>
          <w:rFonts w:ascii="Arial" w:hAnsi="Arial" w:cs="Arial"/>
          <w:sz w:val="20"/>
          <w:szCs w:val="20"/>
        </w:rPr>
        <w:t xml:space="preserve">oldukça yüksek bir oran. </w:t>
      </w:r>
      <w:r w:rsidRPr="004B588A">
        <w:rPr>
          <w:rFonts w:ascii="Arial" w:hAnsi="Arial" w:cs="Arial"/>
          <w:sz w:val="20"/>
          <w:szCs w:val="20"/>
        </w:rPr>
        <w:t>Ancak bölgesel işgücü piyasalarında oldukça farklı tablolar ortaya çıkıyor. İstanbul ve Ankara bölgelerinde asgari ücretin medyan ücrete oranının Türkiye ortalamasının oldukça altında olduğu görülüyor. Diğer taraftan Batı’dan Doğu’ya g</w:t>
      </w:r>
      <w:r>
        <w:rPr>
          <w:rFonts w:ascii="Arial" w:hAnsi="Arial" w:cs="Arial"/>
          <w:sz w:val="20"/>
          <w:szCs w:val="20"/>
        </w:rPr>
        <w:t>idildikçe</w:t>
      </w:r>
      <w:r w:rsidRPr="004B588A">
        <w:rPr>
          <w:rFonts w:ascii="Arial" w:hAnsi="Arial" w:cs="Arial"/>
          <w:sz w:val="20"/>
          <w:szCs w:val="20"/>
        </w:rPr>
        <w:t xml:space="preserve"> ücret katılığı artıyor. </w:t>
      </w:r>
    </w:p>
    <w:p w:rsidR="00EA49B1" w:rsidRDefault="00EA49B1" w:rsidP="0019511C">
      <w:pPr>
        <w:jc w:val="both"/>
        <w:rPr>
          <w:rFonts w:ascii="Arial" w:hAnsi="Arial" w:cs="Arial"/>
          <w:sz w:val="20"/>
          <w:szCs w:val="20"/>
        </w:rPr>
      </w:pPr>
    </w:p>
    <w:p w:rsidR="00EA49B1" w:rsidRDefault="00EA49B1" w:rsidP="0019511C">
      <w:pPr>
        <w:jc w:val="both"/>
        <w:rPr>
          <w:rFonts w:ascii="Arial" w:hAnsi="Arial" w:cs="Arial"/>
          <w:sz w:val="20"/>
          <w:szCs w:val="20"/>
        </w:rPr>
      </w:pPr>
      <w:r w:rsidRPr="004B588A">
        <w:rPr>
          <w:rFonts w:ascii="Arial" w:hAnsi="Arial" w:cs="Arial"/>
          <w:sz w:val="20"/>
          <w:szCs w:val="20"/>
        </w:rPr>
        <w:t xml:space="preserve">Yapılan basit bir analiz, ücret katılığı ile kayıt dışılık arasındaki korelasyonun yüksek olduğunu ancak ücret katılığının hizmet sektöründe sanayiye kıyasla çok daha yüksek olduğu gösteriyor. Sanayinin rekabet gücünü artırmak </w:t>
      </w:r>
      <w:r w:rsidRPr="001852D3">
        <w:rPr>
          <w:rFonts w:ascii="Arial" w:hAnsi="Arial" w:cs="Arial"/>
          <w:sz w:val="20"/>
          <w:szCs w:val="20"/>
        </w:rPr>
        <w:t>ve az gelişmiş bölgelerde kalkınmayı hızlandırmak</w:t>
      </w:r>
      <w:r>
        <w:rPr>
          <w:rFonts w:ascii="Arial" w:hAnsi="Arial" w:cs="Arial"/>
          <w:sz w:val="20"/>
          <w:szCs w:val="20"/>
        </w:rPr>
        <w:t xml:space="preserve"> için</w:t>
      </w:r>
      <w:r w:rsidRPr="004B588A">
        <w:rPr>
          <w:rFonts w:ascii="Arial" w:hAnsi="Arial" w:cs="Arial"/>
          <w:sz w:val="20"/>
          <w:szCs w:val="20"/>
        </w:rPr>
        <w:t xml:space="preserve"> bölgesel ücret katılıklarının ekonomik akılcılık çerçevesinde tartışılması gerekiyor. Buna paralel olarak ücret katılığı ile kayıt dışılık arasındaki ilişkinin derinlemesine araştırılması gerekiyor.</w:t>
      </w:r>
      <w:r>
        <w:rPr>
          <w:rFonts w:ascii="Arial" w:hAnsi="Arial" w:cs="Arial"/>
          <w:sz w:val="20"/>
          <w:szCs w:val="20"/>
        </w:rPr>
        <w:t xml:space="preserve">  </w:t>
      </w:r>
    </w:p>
    <w:p w:rsidR="00EA49B1" w:rsidRPr="0019511C" w:rsidRDefault="00EA49B1" w:rsidP="0019511C">
      <w:pPr>
        <w:jc w:val="both"/>
        <w:rPr>
          <w:rFonts w:ascii="Arial" w:hAnsi="Arial" w:cs="Arial"/>
          <w:sz w:val="20"/>
          <w:szCs w:val="20"/>
        </w:rPr>
      </w:pPr>
    </w:p>
    <w:p w:rsidR="00EA49B1" w:rsidRPr="00FE40C5" w:rsidRDefault="00EA49B1" w:rsidP="00BA4099">
      <w:pPr>
        <w:rPr>
          <w:rFonts w:ascii="Arial" w:hAnsi="Arial" w:cs="Arial"/>
          <w:b/>
          <w:bCs/>
          <w:sz w:val="22"/>
          <w:szCs w:val="22"/>
        </w:rPr>
      </w:pPr>
      <w:r w:rsidRPr="00FE40C5">
        <w:rPr>
          <w:rFonts w:ascii="Arial" w:hAnsi="Arial" w:cs="Arial"/>
          <w:b/>
          <w:bCs/>
          <w:sz w:val="22"/>
          <w:szCs w:val="22"/>
        </w:rPr>
        <w:t>Ücret katılığı</w:t>
      </w:r>
      <w:r>
        <w:rPr>
          <w:rFonts w:ascii="Arial" w:hAnsi="Arial" w:cs="Arial"/>
          <w:b/>
          <w:bCs/>
          <w:sz w:val="22"/>
          <w:szCs w:val="22"/>
        </w:rPr>
        <w:t xml:space="preserve"> kavramı</w:t>
      </w:r>
      <w:r w:rsidRPr="00FE40C5">
        <w:rPr>
          <w:rFonts w:ascii="Arial" w:hAnsi="Arial" w:cs="Arial"/>
          <w:b/>
          <w:bCs/>
          <w:sz w:val="22"/>
          <w:szCs w:val="22"/>
        </w:rPr>
        <w:t>, yöntem ve veri tabanı</w:t>
      </w:r>
    </w:p>
    <w:p w:rsidR="00EA49B1" w:rsidRDefault="00EA49B1" w:rsidP="00BA4099">
      <w:pPr>
        <w:rPr>
          <w:b/>
          <w:bCs/>
          <w:sz w:val="21"/>
          <w:szCs w:val="21"/>
        </w:rPr>
      </w:pPr>
    </w:p>
    <w:p w:rsidR="00EA49B1" w:rsidRDefault="00EA49B1" w:rsidP="00BA4099">
      <w:pPr>
        <w:rPr>
          <w:rFonts w:ascii="Arial" w:hAnsi="Arial" w:cs="Arial"/>
          <w:sz w:val="20"/>
          <w:szCs w:val="20"/>
        </w:rPr>
      </w:pPr>
      <w:r>
        <w:rPr>
          <w:rFonts w:ascii="Arial" w:hAnsi="Arial" w:cs="Arial"/>
          <w:sz w:val="20"/>
          <w:szCs w:val="20"/>
        </w:rPr>
        <w:t>İ</w:t>
      </w:r>
      <w:r w:rsidRPr="00FE40C5">
        <w:rPr>
          <w:rFonts w:ascii="Arial" w:hAnsi="Arial" w:cs="Arial"/>
          <w:sz w:val="20"/>
          <w:szCs w:val="20"/>
        </w:rPr>
        <w:t xml:space="preserve">şgücü Piyasası Görünümü Mayıs notumuzda Türkiye’yi OECD ülkeleri ile brüt asgari ücretin medyan </w:t>
      </w:r>
      <w:r>
        <w:rPr>
          <w:rFonts w:ascii="Arial" w:hAnsi="Arial" w:cs="Arial"/>
          <w:sz w:val="20"/>
          <w:szCs w:val="20"/>
        </w:rPr>
        <w:t>brüt ücrete</w:t>
      </w:r>
      <w:r w:rsidRPr="00FE40C5">
        <w:rPr>
          <w:rFonts w:ascii="Arial" w:hAnsi="Arial" w:cs="Arial"/>
          <w:sz w:val="20"/>
          <w:szCs w:val="20"/>
        </w:rPr>
        <w:t xml:space="preserve"> oranı itibariyle karşılaştırmış ve Türkiye’nin 0,71 ile OECD’de en yüksek orana sahip ülke olduğunu görmüştük</w:t>
      </w:r>
      <w:r>
        <w:rPr>
          <w:rFonts w:ascii="Arial" w:hAnsi="Arial" w:cs="Arial"/>
          <w:sz w:val="20"/>
          <w:szCs w:val="20"/>
        </w:rPr>
        <w:t>.</w:t>
      </w:r>
      <w:r w:rsidRPr="00FE40C5">
        <w:rPr>
          <w:rStyle w:val="DipnotBavurusu"/>
          <w:rFonts w:ascii="Arial" w:hAnsi="Arial" w:cs="Arial"/>
          <w:sz w:val="20"/>
          <w:szCs w:val="20"/>
        </w:rPr>
        <w:footnoteReference w:id="4"/>
      </w:r>
      <w:r>
        <w:rPr>
          <w:rFonts w:ascii="Arial" w:hAnsi="Arial" w:cs="Arial"/>
          <w:sz w:val="20"/>
          <w:szCs w:val="20"/>
        </w:rPr>
        <w:t xml:space="preserve"> </w:t>
      </w:r>
      <w:r w:rsidRPr="00FE40C5">
        <w:rPr>
          <w:rFonts w:ascii="Arial" w:hAnsi="Arial" w:cs="Arial"/>
          <w:sz w:val="20"/>
          <w:szCs w:val="20"/>
        </w:rPr>
        <w:t>Asgari ücretin medyan ücrete oranı işgü</w:t>
      </w:r>
      <w:r>
        <w:rPr>
          <w:rFonts w:ascii="Arial" w:hAnsi="Arial" w:cs="Arial"/>
          <w:sz w:val="20"/>
          <w:szCs w:val="20"/>
        </w:rPr>
        <w:t>cü ekonomisi</w:t>
      </w:r>
      <w:r w:rsidRPr="00FE40C5">
        <w:rPr>
          <w:rFonts w:ascii="Arial" w:hAnsi="Arial" w:cs="Arial"/>
          <w:sz w:val="20"/>
          <w:szCs w:val="20"/>
        </w:rPr>
        <w:t xml:space="preserve"> yazınında piyasa katılığının önemli bir göstergesi olarak kabul edilir.  Asgari ücret medyan ücrete ne kadar yakınsa, diğer ifadeyle medyan ücret ile asgari ücret arasındaki fark göreli olarak ne kadar düşükse</w:t>
      </w:r>
      <w:r>
        <w:rPr>
          <w:rFonts w:ascii="Arial" w:hAnsi="Arial" w:cs="Arial"/>
          <w:sz w:val="20"/>
          <w:szCs w:val="20"/>
        </w:rPr>
        <w:t>,</w:t>
      </w:r>
      <w:r w:rsidRPr="00FE40C5">
        <w:rPr>
          <w:rFonts w:ascii="Arial" w:hAnsi="Arial" w:cs="Arial"/>
          <w:sz w:val="20"/>
          <w:szCs w:val="20"/>
        </w:rPr>
        <w:t xml:space="preserve"> söz konusu işgücü piyasasının o ölçüde katı olduğu kabul edilir. Asgari ücret</w:t>
      </w:r>
      <w:r>
        <w:rPr>
          <w:rFonts w:ascii="Arial" w:hAnsi="Arial" w:cs="Arial"/>
          <w:sz w:val="20"/>
          <w:szCs w:val="20"/>
        </w:rPr>
        <w:t>,</w:t>
      </w:r>
      <w:r w:rsidRPr="00FE40C5">
        <w:rPr>
          <w:rFonts w:ascii="Arial" w:hAnsi="Arial" w:cs="Arial"/>
          <w:sz w:val="20"/>
          <w:szCs w:val="20"/>
        </w:rPr>
        <w:t xml:space="preserve"> ücretlerin tabanını belirler. </w:t>
      </w:r>
      <w:r w:rsidRPr="003C4836">
        <w:rPr>
          <w:rFonts w:ascii="Arial" w:hAnsi="Arial" w:cs="Arial"/>
          <w:sz w:val="20"/>
          <w:szCs w:val="20"/>
        </w:rPr>
        <w:t>Diğer bir deyişle asgari ücret, verimlilik seviyesi ne kadar düşük olursa olsun bir çalışanın emeği karşılığı alması gereken en düşük ücrettir. Eğer asgari ücret medyan ücrete yakın belirlenirse, verimliliği en düşük olan kesime görece yüksek ücret ödendiği söylenebilir. Asgari ücret medyana yaklaştıkça, verimliliği asgari ücretten düşük olmasına karşın verimliliğinin üzerinde ücret alan çalışan sayısı artacaktır.</w:t>
      </w:r>
      <w:r>
        <w:rPr>
          <w:rFonts w:ascii="Arial" w:hAnsi="Arial" w:cs="Arial"/>
          <w:sz w:val="20"/>
          <w:szCs w:val="20"/>
        </w:rPr>
        <w:t xml:space="preserve"> </w:t>
      </w:r>
    </w:p>
    <w:p w:rsidR="00EA49B1" w:rsidRDefault="00EA49B1" w:rsidP="00BA4099">
      <w:pPr>
        <w:rPr>
          <w:rFonts w:ascii="Arial" w:hAnsi="Arial" w:cs="Arial"/>
          <w:sz w:val="20"/>
          <w:szCs w:val="20"/>
        </w:rPr>
      </w:pPr>
    </w:p>
    <w:p w:rsidR="00EA49B1" w:rsidRPr="00FE40C5" w:rsidRDefault="00EA49B1" w:rsidP="00BA4099">
      <w:pPr>
        <w:rPr>
          <w:rFonts w:ascii="Arial" w:hAnsi="Arial" w:cs="Arial"/>
          <w:sz w:val="20"/>
          <w:szCs w:val="20"/>
        </w:rPr>
      </w:pPr>
      <w:r w:rsidRPr="00FE40C5">
        <w:rPr>
          <w:rFonts w:ascii="Arial" w:hAnsi="Arial" w:cs="Arial"/>
          <w:sz w:val="20"/>
          <w:szCs w:val="20"/>
        </w:rPr>
        <w:t>Ekonomik yazın bu durumun istihdamı kısıtlayıcı işlev gördüğünü savunur. Bununla birlikte yasaların ve yönetmeliklerin yeterince uygulanmadığı ya da uygulanmak istenmediği işgücü piyasalarında bu şekilde tanımlanan ücret katılığının istihdamı kısıtlamak</w:t>
      </w:r>
      <w:r>
        <w:rPr>
          <w:rFonts w:ascii="Arial" w:hAnsi="Arial" w:cs="Arial"/>
          <w:sz w:val="20"/>
          <w:szCs w:val="20"/>
        </w:rPr>
        <w:t>la birlikte daha</w:t>
      </w:r>
      <w:r w:rsidRPr="00FE40C5">
        <w:rPr>
          <w:rFonts w:ascii="Arial" w:hAnsi="Arial" w:cs="Arial"/>
          <w:sz w:val="20"/>
          <w:szCs w:val="20"/>
        </w:rPr>
        <w:t xml:space="preserve"> ziyade kayıt dışılığı artırması beklenir</w:t>
      </w:r>
      <w:r w:rsidRPr="00135C83">
        <w:rPr>
          <w:rFonts w:ascii="Arial" w:hAnsi="Arial" w:cs="Arial"/>
          <w:sz w:val="20"/>
          <w:szCs w:val="20"/>
        </w:rPr>
        <w:t xml:space="preserve">. Asgari ücretin ortalama verimliliğe kıyasla yüksek belirlenmesi işgücü maliyetlerini artırır. Dolayısıyla firmaların bir kısmı ceza maliyetini de dikkate alarak yarattıkları istihdamın bir </w:t>
      </w:r>
      <w:r>
        <w:rPr>
          <w:rFonts w:ascii="Arial" w:hAnsi="Arial" w:cs="Arial"/>
          <w:sz w:val="20"/>
          <w:szCs w:val="20"/>
        </w:rPr>
        <w:t>bölümünü</w:t>
      </w:r>
      <w:r w:rsidRPr="00135C83">
        <w:rPr>
          <w:rFonts w:ascii="Arial" w:hAnsi="Arial" w:cs="Arial"/>
          <w:sz w:val="20"/>
          <w:szCs w:val="20"/>
        </w:rPr>
        <w:t xml:space="preserve"> kayıt dışına çekebilirler. Sonuçta</w:t>
      </w:r>
      <w:r w:rsidRPr="00FE40C5">
        <w:rPr>
          <w:rFonts w:ascii="Arial" w:hAnsi="Arial" w:cs="Arial"/>
          <w:sz w:val="20"/>
          <w:szCs w:val="20"/>
        </w:rPr>
        <w:t xml:space="preserve"> kayıtlı işgücü piyasasındaki ücret katılığı, tümüyle esnek olan paralel kayıt dışı işgücü piyasasının boyutunu belirleyen etkenlerden biri </w:t>
      </w:r>
      <w:r>
        <w:rPr>
          <w:rFonts w:ascii="Arial" w:hAnsi="Arial" w:cs="Arial"/>
          <w:sz w:val="20"/>
          <w:szCs w:val="20"/>
        </w:rPr>
        <w:t xml:space="preserve">olarak </w:t>
      </w:r>
      <w:r w:rsidRPr="00FE40C5">
        <w:rPr>
          <w:rFonts w:ascii="Arial" w:hAnsi="Arial" w:cs="Arial"/>
          <w:sz w:val="20"/>
          <w:szCs w:val="20"/>
        </w:rPr>
        <w:t>ortaya çıkar.</w:t>
      </w:r>
    </w:p>
    <w:p w:rsidR="00EA49B1" w:rsidRPr="00FE40C5" w:rsidRDefault="00EA49B1" w:rsidP="00BA4099">
      <w:pPr>
        <w:rPr>
          <w:rFonts w:ascii="Arial" w:hAnsi="Arial" w:cs="Arial"/>
          <w:sz w:val="20"/>
          <w:szCs w:val="20"/>
        </w:rPr>
      </w:pPr>
    </w:p>
    <w:p w:rsidR="00EA49B1" w:rsidRPr="00DF2605" w:rsidRDefault="00EA49B1" w:rsidP="00BA4099">
      <w:pPr>
        <w:rPr>
          <w:rFonts w:ascii="Arial" w:hAnsi="Arial" w:cs="Arial"/>
          <w:sz w:val="20"/>
          <w:szCs w:val="20"/>
        </w:rPr>
      </w:pPr>
      <w:r w:rsidRPr="00FE40C5">
        <w:rPr>
          <w:rFonts w:ascii="Arial" w:hAnsi="Arial" w:cs="Arial"/>
          <w:sz w:val="20"/>
          <w:szCs w:val="20"/>
        </w:rPr>
        <w:t xml:space="preserve">Ulusal </w:t>
      </w:r>
      <w:r w:rsidRPr="00135C83">
        <w:rPr>
          <w:rFonts w:ascii="Arial" w:hAnsi="Arial" w:cs="Arial"/>
          <w:sz w:val="20"/>
          <w:szCs w:val="20"/>
        </w:rPr>
        <w:t xml:space="preserve">işgücü piyasaları arasındaki karşılaştırmalar belirli bir ulusal işgücü piyasasının ortalama katılığı hakkında fikir verir. Oysa ulusal bir işgücü piyasası içinde de ücret katılığı bölgelere göre farklılaşabilir. </w:t>
      </w:r>
      <w:r w:rsidRPr="00135C83">
        <w:rPr>
          <w:rFonts w:ascii="Arial" w:hAnsi="Arial" w:cs="Arial"/>
          <w:sz w:val="20"/>
          <w:szCs w:val="20"/>
        </w:rPr>
        <w:lastRenderedPageBreak/>
        <w:t xml:space="preserve">Nitekim Türkiye bu duruma </w:t>
      </w:r>
      <w:r>
        <w:rPr>
          <w:rFonts w:ascii="Arial" w:hAnsi="Arial" w:cs="Arial"/>
          <w:sz w:val="20"/>
          <w:szCs w:val="20"/>
        </w:rPr>
        <w:t xml:space="preserve">iyi </w:t>
      </w:r>
      <w:r w:rsidRPr="00135C83">
        <w:rPr>
          <w:rFonts w:ascii="Arial" w:hAnsi="Arial" w:cs="Arial"/>
          <w:sz w:val="20"/>
          <w:szCs w:val="20"/>
        </w:rPr>
        <w:t>bir örnektir. Türkiye kayıtlı işgücü piyasası itibariyle ortalamada OECD’de en yüksek ücret katılığına sahip ülkeyken, bölgesel düzeyde ücret katlığının önemli ölçüde farklılaştığı görülmektedir. Bu</w:t>
      </w:r>
      <w:r w:rsidRPr="00FE40C5">
        <w:rPr>
          <w:rFonts w:ascii="Arial" w:hAnsi="Arial" w:cs="Arial"/>
          <w:sz w:val="20"/>
          <w:szCs w:val="20"/>
        </w:rPr>
        <w:t xml:space="preserve"> araştırma notunun amacı, bu farklılıkları ölçmeye </w:t>
      </w:r>
      <w:r>
        <w:rPr>
          <w:rFonts w:ascii="Arial" w:hAnsi="Arial" w:cs="Arial"/>
          <w:sz w:val="20"/>
          <w:szCs w:val="20"/>
        </w:rPr>
        <w:t xml:space="preserve">çalışmak </w:t>
      </w:r>
      <w:r w:rsidRPr="00FE40C5">
        <w:rPr>
          <w:rFonts w:ascii="Arial" w:hAnsi="Arial" w:cs="Arial"/>
          <w:sz w:val="20"/>
          <w:szCs w:val="20"/>
        </w:rPr>
        <w:t xml:space="preserve">ve kayıt dışı istihdamı ne ölçüde </w:t>
      </w:r>
      <w:r w:rsidRPr="00DF2605">
        <w:rPr>
          <w:rFonts w:ascii="Arial" w:hAnsi="Arial" w:cs="Arial"/>
          <w:sz w:val="20"/>
          <w:szCs w:val="20"/>
        </w:rPr>
        <w:t>etkiledi</w:t>
      </w:r>
      <w:r>
        <w:rPr>
          <w:rFonts w:ascii="Arial" w:hAnsi="Arial" w:cs="Arial"/>
          <w:sz w:val="20"/>
          <w:szCs w:val="20"/>
        </w:rPr>
        <w:t xml:space="preserve">klerine dair bir fikir edinmektir. </w:t>
      </w:r>
      <w:r w:rsidRPr="00DF2605">
        <w:rPr>
          <w:rFonts w:ascii="Arial" w:hAnsi="Arial" w:cs="Arial"/>
          <w:sz w:val="20"/>
          <w:szCs w:val="20"/>
        </w:rPr>
        <w:t xml:space="preserve"> </w:t>
      </w:r>
    </w:p>
    <w:p w:rsidR="00EA49B1" w:rsidRDefault="00EA49B1" w:rsidP="00BA4099">
      <w:pPr>
        <w:rPr>
          <w:rFonts w:ascii="Arial" w:hAnsi="Arial" w:cs="Arial"/>
          <w:sz w:val="20"/>
          <w:szCs w:val="20"/>
        </w:rPr>
      </w:pPr>
    </w:p>
    <w:p w:rsidR="00EA49B1" w:rsidRDefault="00EA49B1" w:rsidP="00BA4099">
      <w:pPr>
        <w:rPr>
          <w:rFonts w:ascii="Arial" w:hAnsi="Arial" w:cs="Arial"/>
          <w:sz w:val="20"/>
          <w:szCs w:val="20"/>
        </w:rPr>
      </w:pPr>
      <w:r w:rsidRPr="00DF2605">
        <w:rPr>
          <w:rFonts w:ascii="Arial" w:hAnsi="Arial" w:cs="Arial"/>
          <w:sz w:val="20"/>
          <w:szCs w:val="20"/>
        </w:rPr>
        <w:t xml:space="preserve">Amacımız işgücü piyasası ücret katılığını araştırmak olduğu için analizi özel sektörde kayıtlı çalışan tam zamanlı </w:t>
      </w:r>
      <w:r>
        <w:rPr>
          <w:rFonts w:ascii="Arial" w:hAnsi="Arial" w:cs="Arial"/>
          <w:sz w:val="20"/>
          <w:szCs w:val="20"/>
        </w:rPr>
        <w:t>ücretlilerle</w:t>
      </w:r>
      <w:r w:rsidRPr="00DF2605">
        <w:rPr>
          <w:rFonts w:ascii="Arial" w:hAnsi="Arial" w:cs="Arial"/>
          <w:sz w:val="20"/>
          <w:szCs w:val="20"/>
        </w:rPr>
        <w:t xml:space="preserve"> sınırlıyoruz.</w:t>
      </w:r>
      <w:r>
        <w:rPr>
          <w:rFonts w:ascii="Arial" w:hAnsi="Arial" w:cs="Arial"/>
          <w:sz w:val="20"/>
          <w:szCs w:val="20"/>
        </w:rPr>
        <w:t xml:space="preserve"> </w:t>
      </w:r>
      <w:r w:rsidRPr="00DF2605">
        <w:rPr>
          <w:rFonts w:ascii="Arial" w:hAnsi="Arial" w:cs="Arial"/>
          <w:sz w:val="20"/>
          <w:szCs w:val="20"/>
        </w:rPr>
        <w:t xml:space="preserve">Katılığı firma açısından ölçmeye çalıştığımızdan brüt asgari ücreti esas alıyor ve brüt medyan kazanca oranlıyoruz. </w:t>
      </w:r>
      <w:r w:rsidRPr="00135C83">
        <w:rPr>
          <w:rFonts w:ascii="Arial" w:hAnsi="Arial" w:cs="Arial"/>
          <w:sz w:val="20"/>
          <w:szCs w:val="20"/>
        </w:rPr>
        <w:t xml:space="preserve">Fazla mesai, prim ödemeleri gibi çeşitli ek ödemeleri içeren kazanç, ücretten bir miktar yüksek olmakla beraber aradaki farkın göz ardı edilebilir olduğunu düşünüyoruz. </w:t>
      </w:r>
      <w:r w:rsidRPr="00DF2605">
        <w:rPr>
          <w:rFonts w:ascii="Arial" w:hAnsi="Arial" w:cs="Arial"/>
          <w:sz w:val="20"/>
          <w:szCs w:val="20"/>
        </w:rPr>
        <w:t xml:space="preserve">Doğrusu </w:t>
      </w:r>
      <w:r>
        <w:rPr>
          <w:rFonts w:ascii="Arial" w:hAnsi="Arial" w:cs="Arial"/>
          <w:sz w:val="20"/>
          <w:szCs w:val="20"/>
        </w:rPr>
        <w:t xml:space="preserve">OECD’nin yaptığı gibi brüt asgari ücreti brüt </w:t>
      </w:r>
      <w:r w:rsidRPr="00DF2605">
        <w:rPr>
          <w:rFonts w:ascii="Arial" w:hAnsi="Arial" w:cs="Arial"/>
          <w:sz w:val="20"/>
          <w:szCs w:val="20"/>
        </w:rPr>
        <w:t xml:space="preserve">medyan </w:t>
      </w:r>
      <w:r>
        <w:rPr>
          <w:rFonts w:ascii="Arial" w:hAnsi="Arial" w:cs="Arial"/>
          <w:sz w:val="20"/>
          <w:szCs w:val="20"/>
        </w:rPr>
        <w:t xml:space="preserve">ücrete oranlamaktır. </w:t>
      </w:r>
      <w:r w:rsidRPr="00135C83">
        <w:rPr>
          <w:rFonts w:ascii="Arial" w:hAnsi="Arial" w:cs="Arial"/>
          <w:sz w:val="20"/>
          <w:szCs w:val="20"/>
        </w:rPr>
        <w:t>Ancak firmalardan toplanan ücret verileri hem tüm çalışanları kapsamadığından hem de eksik ücret bildirimi (kısmi kayıt dışılık) içerdiğinden bu araştırmada kullanılır durumda değildir. Dolayısıyla bu araştırmada tüm çalışanları kapsayan ücret yerine kazancı ölçen Hanehalkı İşgücü Anketi 2011 yılı verilerini kullanıyoruz. Buna ek olarak net kazançları brüt kazançlara dönüştürmemiz gerekiyor zira Hanehalkı İşgücü Anketi’nde kazançlar</w:t>
      </w:r>
      <w:r>
        <w:rPr>
          <w:rFonts w:ascii="Arial" w:hAnsi="Arial" w:cs="Arial"/>
          <w:sz w:val="20"/>
          <w:szCs w:val="20"/>
        </w:rPr>
        <w:t>ın</w:t>
      </w:r>
      <w:r w:rsidRPr="00135C83">
        <w:rPr>
          <w:rFonts w:ascii="Arial" w:hAnsi="Arial" w:cs="Arial"/>
          <w:sz w:val="20"/>
          <w:szCs w:val="20"/>
        </w:rPr>
        <w:t xml:space="preserve"> net olarak beyan edildiği anlaşılıyor. Medyan brüt kazancı tahmin etmek için OECD tarafından geliştirilmiş bir yöntemle net kazançlara tahmini gelir ve sosyal güvenlik vergilerini ekliyoruz.</w:t>
      </w:r>
      <w:r w:rsidRPr="00135C83">
        <w:rPr>
          <w:rStyle w:val="DipnotBavurusu"/>
          <w:rFonts w:ascii="Arial" w:hAnsi="Arial" w:cs="Arial"/>
          <w:sz w:val="20"/>
          <w:szCs w:val="20"/>
        </w:rPr>
        <w:footnoteReference w:id="5"/>
      </w:r>
      <w:r>
        <w:rPr>
          <w:rFonts w:ascii="Arial" w:hAnsi="Arial" w:cs="Arial"/>
          <w:sz w:val="20"/>
          <w:szCs w:val="20"/>
        </w:rPr>
        <w:t xml:space="preserve"> </w:t>
      </w:r>
    </w:p>
    <w:p w:rsidR="00EA49B1" w:rsidRDefault="00EA49B1" w:rsidP="00BA4099">
      <w:pPr>
        <w:rPr>
          <w:rFonts w:ascii="Arial" w:hAnsi="Arial" w:cs="Arial"/>
          <w:sz w:val="20"/>
          <w:szCs w:val="20"/>
        </w:rPr>
      </w:pPr>
    </w:p>
    <w:p w:rsidR="00EA49B1" w:rsidRPr="006E7BD1" w:rsidRDefault="00EA49B1" w:rsidP="00BA4099">
      <w:pPr>
        <w:rPr>
          <w:rFonts w:ascii="Arial" w:hAnsi="Arial" w:cs="Arial"/>
          <w:sz w:val="20"/>
          <w:szCs w:val="20"/>
        </w:rPr>
      </w:pPr>
      <w:r w:rsidRPr="006E7BD1">
        <w:rPr>
          <w:rFonts w:ascii="Arial" w:hAnsi="Arial" w:cs="Arial"/>
          <w:b/>
          <w:bCs/>
          <w:sz w:val="22"/>
          <w:szCs w:val="22"/>
        </w:rPr>
        <w:t xml:space="preserve">Kayıtlı işgücü piyasasında asgari ücretin medyan ücrete oranı </w:t>
      </w:r>
      <w:r>
        <w:rPr>
          <w:rFonts w:ascii="Arial" w:hAnsi="Arial" w:cs="Arial"/>
          <w:b/>
          <w:bCs/>
          <w:sz w:val="22"/>
          <w:szCs w:val="22"/>
        </w:rPr>
        <w:t>oldukça yüksek</w:t>
      </w:r>
    </w:p>
    <w:p w:rsidR="00EA49B1" w:rsidRPr="006E7BD1" w:rsidRDefault="00EA49B1" w:rsidP="00BA4099">
      <w:pPr>
        <w:rPr>
          <w:rFonts w:ascii="Arial" w:hAnsi="Arial" w:cs="Arial"/>
          <w:sz w:val="20"/>
          <w:szCs w:val="20"/>
        </w:rPr>
      </w:pPr>
    </w:p>
    <w:p w:rsidR="00EA49B1" w:rsidRPr="006E7BD1" w:rsidRDefault="00EA49B1" w:rsidP="00BA4099">
      <w:pPr>
        <w:rPr>
          <w:rFonts w:ascii="Arial" w:hAnsi="Arial" w:cs="Arial"/>
          <w:sz w:val="20"/>
          <w:szCs w:val="20"/>
        </w:rPr>
      </w:pPr>
      <w:r w:rsidRPr="006E7BD1">
        <w:rPr>
          <w:rFonts w:ascii="Arial" w:hAnsi="Arial" w:cs="Arial"/>
          <w:sz w:val="20"/>
          <w:szCs w:val="20"/>
        </w:rPr>
        <w:t xml:space="preserve">Hanehalkı İşgücü Anketi 2011 yılı verilerini kullanarak yapmış olduğumuz analiz brüt asgari ücretin brüt medyan </w:t>
      </w:r>
      <w:r>
        <w:rPr>
          <w:rFonts w:ascii="Arial" w:hAnsi="Arial" w:cs="Arial"/>
          <w:sz w:val="20"/>
          <w:szCs w:val="20"/>
        </w:rPr>
        <w:t>kazanca</w:t>
      </w:r>
      <w:r w:rsidRPr="006E7BD1">
        <w:rPr>
          <w:rFonts w:ascii="Arial" w:hAnsi="Arial" w:cs="Arial"/>
          <w:sz w:val="20"/>
          <w:szCs w:val="20"/>
        </w:rPr>
        <w:t xml:space="preserve"> oranının 0,80 olduğunu gösteriyor (Şekil 1). İşgücü üzerindeki vergileri hesap dışı bırakarak net ücretlere odaklanmak da sonucu değiştirmiyor. Net asgari ücretin net medyan </w:t>
      </w:r>
      <w:r>
        <w:rPr>
          <w:rFonts w:ascii="Arial" w:hAnsi="Arial" w:cs="Arial"/>
          <w:sz w:val="20"/>
          <w:szCs w:val="20"/>
        </w:rPr>
        <w:t>kazanca</w:t>
      </w:r>
      <w:r w:rsidRPr="006E7BD1">
        <w:rPr>
          <w:rFonts w:ascii="Arial" w:hAnsi="Arial" w:cs="Arial"/>
          <w:sz w:val="20"/>
          <w:szCs w:val="20"/>
        </w:rPr>
        <w:t xml:space="preserve"> oranını 0,81 olarak hesaplıyoruz (Ek 1). </w:t>
      </w:r>
    </w:p>
    <w:p w:rsidR="00EA49B1" w:rsidRPr="006E7BD1" w:rsidRDefault="00EA49B1" w:rsidP="00BA4099">
      <w:pPr>
        <w:rPr>
          <w:rFonts w:ascii="Arial" w:hAnsi="Arial" w:cs="Arial"/>
          <w:sz w:val="20"/>
          <w:szCs w:val="20"/>
        </w:rPr>
      </w:pPr>
    </w:p>
    <w:p w:rsidR="00EA49B1" w:rsidRPr="006E7BD1" w:rsidRDefault="00EA49B1" w:rsidP="00542947">
      <w:pPr>
        <w:rPr>
          <w:rFonts w:ascii="Arial" w:hAnsi="Arial" w:cs="Arial"/>
          <w:sz w:val="20"/>
          <w:szCs w:val="20"/>
        </w:rPr>
      </w:pPr>
      <w:r w:rsidRPr="006E7BD1">
        <w:rPr>
          <w:rFonts w:ascii="Arial" w:hAnsi="Arial" w:cs="Arial"/>
          <w:sz w:val="20"/>
          <w:szCs w:val="20"/>
        </w:rPr>
        <w:t xml:space="preserve">Ücret dağılımının normal dağılım olmamasından hareketle ekonomi yazınında tercih merkezi eğilimi daha iyi yansıtan medyan ücret ya da kazançtan yanadır. </w:t>
      </w:r>
      <w:r w:rsidRPr="008D110C">
        <w:rPr>
          <w:rFonts w:ascii="Arial" w:hAnsi="Arial" w:cs="Arial"/>
          <w:sz w:val="20"/>
          <w:szCs w:val="20"/>
        </w:rPr>
        <w:t>Zira yüksek ücret/kazanç sahiplerinin sayısı görece az olmasına rağmen ücretlerinin/kazançlarının çok yüksek olması ücret/kazanç ortalamalarını yukarı çeker. Buna karşın ücret/kazanç sahipleri arasında tam ortada duran medyan ücret/kazancın merkezi eğilimi daha sağlıklı bir şekilde yansıttığı düşünülür.</w:t>
      </w:r>
      <w:r>
        <w:rPr>
          <w:rFonts w:ascii="Arial" w:hAnsi="Arial" w:cs="Arial"/>
          <w:sz w:val="20"/>
          <w:szCs w:val="20"/>
        </w:rPr>
        <w:t xml:space="preserve"> </w:t>
      </w:r>
      <w:r w:rsidRPr="006E7BD1">
        <w:rPr>
          <w:rFonts w:ascii="Arial" w:hAnsi="Arial" w:cs="Arial"/>
          <w:sz w:val="20"/>
          <w:szCs w:val="20"/>
        </w:rPr>
        <w:t xml:space="preserve">Brüt asgari ücret / brüt ortalama kazanç oranlarını da hesapladık (Şekil 2). Ortalama kazanç medyan kazançtan daha yüksek olduğundan brüt asgari ücretin brüt ortalama </w:t>
      </w:r>
      <w:r>
        <w:rPr>
          <w:rFonts w:ascii="Arial" w:hAnsi="Arial" w:cs="Arial"/>
          <w:sz w:val="20"/>
          <w:szCs w:val="20"/>
        </w:rPr>
        <w:t>kazanca</w:t>
      </w:r>
      <w:r w:rsidRPr="006E7BD1">
        <w:rPr>
          <w:rFonts w:ascii="Arial" w:hAnsi="Arial" w:cs="Arial"/>
          <w:sz w:val="20"/>
          <w:szCs w:val="20"/>
        </w:rPr>
        <w:t xml:space="preserve"> oranı 0,60’a düşüyor. Vergileri hesaplama dışında bırakmak kayda değer bir fark yaratmıyor. Net asgari ücret / net ortalama kazanç oranı 0,62 seviyesinde (Ek 2).</w:t>
      </w:r>
    </w:p>
    <w:p w:rsidR="00EA49B1" w:rsidRPr="006E7BD1" w:rsidRDefault="00EA49B1" w:rsidP="00542947">
      <w:pPr>
        <w:rPr>
          <w:rFonts w:ascii="Arial" w:hAnsi="Arial" w:cs="Arial"/>
          <w:sz w:val="20"/>
          <w:szCs w:val="20"/>
        </w:rPr>
      </w:pPr>
    </w:p>
    <w:p w:rsidR="00EA49B1" w:rsidRPr="00DF2605" w:rsidRDefault="00EA49B1" w:rsidP="00542947">
      <w:pPr>
        <w:rPr>
          <w:rFonts w:ascii="Arial" w:hAnsi="Arial" w:cs="Arial"/>
          <w:sz w:val="20"/>
          <w:szCs w:val="20"/>
        </w:rPr>
      </w:pPr>
      <w:r w:rsidRPr="006E7BD1">
        <w:rPr>
          <w:rFonts w:ascii="Arial" w:hAnsi="Arial" w:cs="Arial"/>
          <w:sz w:val="20"/>
          <w:szCs w:val="20"/>
        </w:rPr>
        <w:t>Kısaca</w:t>
      </w:r>
      <w:r>
        <w:rPr>
          <w:rFonts w:ascii="Arial" w:hAnsi="Arial" w:cs="Arial"/>
          <w:sz w:val="20"/>
          <w:szCs w:val="20"/>
        </w:rPr>
        <w:t>sı,</w:t>
      </w:r>
      <w:r w:rsidRPr="006E7BD1">
        <w:rPr>
          <w:rFonts w:ascii="Arial" w:hAnsi="Arial" w:cs="Arial"/>
          <w:sz w:val="20"/>
          <w:szCs w:val="20"/>
        </w:rPr>
        <w:t xml:space="preserve"> kayıtlı işgücü piyasasında medyan / ortalama, vergi dâhil / hariç gibi ayrımların seviyeleri değiştirmekle beraber niteliksel sonuçları değiştirmediği görülüyor. Araştırmanın geri kalanında Türkiye’deki bölgesel kayıtlı işgücü piyasalarındaki ücret katılıklarına odaklanıyoruz. Bu bağlamda önce brüt asgari ücretin farklı bölgelerde oluşan brüt medyan </w:t>
      </w:r>
      <w:r>
        <w:rPr>
          <w:rFonts w:ascii="Arial" w:hAnsi="Arial" w:cs="Arial"/>
          <w:sz w:val="20"/>
          <w:szCs w:val="20"/>
        </w:rPr>
        <w:t>kazançlara</w:t>
      </w:r>
      <w:r w:rsidRPr="006E7BD1">
        <w:rPr>
          <w:rFonts w:ascii="Arial" w:hAnsi="Arial" w:cs="Arial"/>
          <w:sz w:val="20"/>
          <w:szCs w:val="20"/>
        </w:rPr>
        <w:t xml:space="preserve"> olan oranını inceliyor, sonra aynı analizi bölgesel ortalama </w:t>
      </w:r>
      <w:r>
        <w:rPr>
          <w:rFonts w:ascii="Arial" w:hAnsi="Arial" w:cs="Arial"/>
          <w:sz w:val="20"/>
          <w:szCs w:val="20"/>
        </w:rPr>
        <w:t>kazançlar ile</w:t>
      </w:r>
      <w:r w:rsidRPr="006E7BD1">
        <w:rPr>
          <w:rFonts w:ascii="Arial" w:hAnsi="Arial" w:cs="Arial"/>
          <w:sz w:val="20"/>
          <w:szCs w:val="20"/>
        </w:rPr>
        <w:t xml:space="preserve"> tekrarlıyoruz.</w:t>
      </w:r>
      <w:r>
        <w:rPr>
          <w:rFonts w:ascii="Arial" w:hAnsi="Arial" w:cs="Arial"/>
          <w:sz w:val="20"/>
          <w:szCs w:val="20"/>
        </w:rPr>
        <w:t xml:space="preserve">     </w:t>
      </w:r>
      <w:r w:rsidRPr="00DF2605">
        <w:rPr>
          <w:rFonts w:ascii="Arial" w:hAnsi="Arial" w:cs="Arial"/>
          <w:sz w:val="20"/>
          <w:szCs w:val="20"/>
        </w:rPr>
        <w:t xml:space="preserve">   </w:t>
      </w:r>
    </w:p>
    <w:p w:rsidR="00EA49B1" w:rsidRPr="00DF2605" w:rsidRDefault="00EA49B1" w:rsidP="00BA4099">
      <w:pPr>
        <w:rPr>
          <w:rFonts w:ascii="Arial" w:hAnsi="Arial" w:cs="Arial"/>
          <w:b/>
          <w:bCs/>
          <w:sz w:val="20"/>
          <w:szCs w:val="20"/>
        </w:rPr>
      </w:pPr>
    </w:p>
    <w:p w:rsidR="00EA49B1" w:rsidRPr="00FE40C5" w:rsidRDefault="00EA49B1" w:rsidP="00BA4099">
      <w:pPr>
        <w:rPr>
          <w:rFonts w:ascii="Arial" w:hAnsi="Arial" w:cs="Arial"/>
          <w:b/>
          <w:bCs/>
          <w:sz w:val="22"/>
          <w:szCs w:val="22"/>
        </w:rPr>
      </w:pPr>
      <w:r w:rsidRPr="00DF2605">
        <w:rPr>
          <w:rFonts w:ascii="Arial" w:hAnsi="Arial" w:cs="Arial"/>
          <w:b/>
          <w:bCs/>
          <w:sz w:val="22"/>
          <w:szCs w:val="22"/>
        </w:rPr>
        <w:t>Batı’dan Doğu’ya ücret katılığı artıyor</w:t>
      </w:r>
    </w:p>
    <w:p w:rsidR="00EA49B1" w:rsidRPr="004F66E1" w:rsidRDefault="00EA49B1" w:rsidP="00BA4099">
      <w:pPr>
        <w:rPr>
          <w:b/>
          <w:bCs/>
          <w:sz w:val="21"/>
          <w:szCs w:val="21"/>
        </w:rPr>
      </w:pPr>
    </w:p>
    <w:p w:rsidR="00EA49B1" w:rsidRDefault="00EA49B1" w:rsidP="00412EB0">
      <w:pPr>
        <w:pStyle w:val="DipnotMetni"/>
        <w:rPr>
          <w:rFonts w:ascii="Arial" w:hAnsi="Arial" w:cs="Arial"/>
        </w:rPr>
      </w:pPr>
      <w:r>
        <w:rPr>
          <w:rFonts w:ascii="Arial" w:hAnsi="Arial" w:cs="Arial"/>
        </w:rPr>
        <w:t>Şekil 1</w:t>
      </w:r>
      <w:r w:rsidRPr="0089399B">
        <w:rPr>
          <w:rFonts w:ascii="Arial" w:hAnsi="Arial" w:cs="Arial"/>
        </w:rPr>
        <w:t xml:space="preserve">’de 26 bölgede 2011 yılı brüt asgari ücret / brüt medyan kazanç oranları küçükten büyüğe, diğer ifadeyle az katıdan çok katıya doğru sıralanıyor. Bölge oranlarının çoğunluğu 0,80 olan Türkiye ortalamasının üzerinde. </w:t>
      </w:r>
      <w:r w:rsidRPr="004400B0">
        <w:rPr>
          <w:rFonts w:ascii="Arial" w:hAnsi="Arial" w:cs="Arial"/>
        </w:rPr>
        <w:t>İstanbul, Ankara gibi istihdamın</w:t>
      </w:r>
      <w:r w:rsidRPr="008932FC">
        <w:rPr>
          <w:rFonts w:ascii="Arial" w:hAnsi="Arial" w:cs="Arial"/>
        </w:rPr>
        <w:t xml:space="preserve"> önemli bölümünü kapsayan bir kaç gelişmiş Batı bölgesinin ortalamayı aşağıya çektiği anlaşılıyor. Sıralama beklendiği gibi genel olarak Batı’dan Doğu’ya yöneliyor. Bununla</w:t>
      </w:r>
      <w:r w:rsidRPr="0089399B">
        <w:rPr>
          <w:rFonts w:ascii="Arial" w:hAnsi="Arial" w:cs="Arial"/>
        </w:rPr>
        <w:t xml:space="preserve"> birlikte, Balıkesir, Aydın, Manisa gibi sanayileşmiş bölgelerde ücret k</w:t>
      </w:r>
      <w:r>
        <w:rPr>
          <w:rFonts w:ascii="Arial" w:hAnsi="Arial" w:cs="Arial"/>
        </w:rPr>
        <w:t>atılık düzeyinin Doğu ve Güneyd</w:t>
      </w:r>
      <w:r w:rsidRPr="0089399B">
        <w:rPr>
          <w:rFonts w:ascii="Arial" w:hAnsi="Arial" w:cs="Arial"/>
        </w:rPr>
        <w:t xml:space="preserve">oğu bölgelerinden dikkate değer bir farklılık göstermediği dikkat çekiyor. </w:t>
      </w:r>
    </w:p>
    <w:p w:rsidR="00EA49B1" w:rsidRDefault="00EA49B1" w:rsidP="00412EB0">
      <w:pPr>
        <w:pStyle w:val="DipnotMetni"/>
        <w:rPr>
          <w:rFonts w:ascii="Arial" w:hAnsi="Arial" w:cs="Arial"/>
        </w:rPr>
      </w:pPr>
    </w:p>
    <w:p w:rsidR="00EA49B1" w:rsidRDefault="00EA49B1" w:rsidP="00412EB0">
      <w:pPr>
        <w:pStyle w:val="DipnotMetni"/>
        <w:rPr>
          <w:rFonts w:ascii="Arial" w:hAnsi="Arial" w:cs="Arial"/>
        </w:rPr>
      </w:pPr>
      <w:r w:rsidRPr="00CB2393">
        <w:rPr>
          <w:rFonts w:ascii="Arial" w:hAnsi="Arial" w:cs="Arial"/>
        </w:rPr>
        <w:t xml:space="preserve">Brüt asgari ücretin brüt medyan kazanca oranından sonra yine brüt asgari ücretin brüt ortalama kazanca oranı incelendiğinde farklılıklar biraz daha belirginleşiyor (Şekil 2). Ortalama ücretin medyan ücretten daha yüksek olduğunu hatırlatalım. Manisa ve Gaziantep brüt asgari ücretin brüt ortalama ücrete oranının en yüksek olduğu bölgeler. Diğer bir deyişle bu bölgelerde ortalama ücret diğer bölgelere kıyasla daha medyan </w:t>
      </w:r>
      <w:r w:rsidRPr="001852D3">
        <w:rPr>
          <w:rFonts w:ascii="Arial" w:hAnsi="Arial" w:cs="Arial"/>
        </w:rPr>
        <w:t>ücrete yakın, aynı zamanda bölgedeki</w:t>
      </w:r>
      <w:r w:rsidRPr="00CB2393">
        <w:rPr>
          <w:rFonts w:ascii="Arial" w:hAnsi="Arial" w:cs="Arial"/>
        </w:rPr>
        <w:t xml:space="preserve"> yüksek ücretlerin diğer bölgelere kıyasla düşük olduğunu söylemek mümkün. </w:t>
      </w:r>
      <w:r>
        <w:rPr>
          <w:rFonts w:ascii="Arial" w:hAnsi="Arial" w:cs="Arial"/>
        </w:rPr>
        <w:t xml:space="preserve"> Bu iki bölge</w:t>
      </w:r>
      <w:r w:rsidRPr="0089399B">
        <w:rPr>
          <w:rFonts w:ascii="Arial" w:hAnsi="Arial" w:cs="Arial"/>
        </w:rPr>
        <w:t xml:space="preserve"> aynı zamanda sanayi istihdamının ağırlıkta olduğu bölgelerdir. Tarım dışında tam zamanlı ücretli çalışanların içinde sanayi istihdamının </w:t>
      </w:r>
      <w:r w:rsidRPr="0089399B">
        <w:rPr>
          <w:rFonts w:ascii="Arial" w:hAnsi="Arial" w:cs="Arial"/>
        </w:rPr>
        <w:lastRenderedPageBreak/>
        <w:t>payı Manisa bölgesi için yüzde 53,1, Gaziantep bölgesi için ise yüzde 50,4’tür. Bu oranlar yüzde 38,7 olan Türkiye ortalamasının bir hayli üzerindedir.</w:t>
      </w:r>
      <w:r w:rsidRPr="0089399B">
        <w:rPr>
          <w:rStyle w:val="DipnotBavurusu"/>
          <w:rFonts w:ascii="Arial" w:hAnsi="Arial" w:cs="Arial"/>
        </w:rPr>
        <w:footnoteReference w:id="6"/>
      </w:r>
      <w:r w:rsidRPr="0089399B">
        <w:rPr>
          <w:rFonts w:ascii="Arial" w:hAnsi="Arial" w:cs="Arial"/>
        </w:rPr>
        <w:t xml:space="preserve"> </w:t>
      </w:r>
    </w:p>
    <w:p w:rsidR="00EA49B1" w:rsidRPr="004F66E1" w:rsidRDefault="00EA49B1" w:rsidP="00412EB0">
      <w:pPr>
        <w:pStyle w:val="DipnotMetni"/>
        <w:rPr>
          <w:sz w:val="21"/>
          <w:szCs w:val="21"/>
        </w:rPr>
      </w:pPr>
      <w:r w:rsidRPr="00D34433">
        <w:rPr>
          <w:sz w:val="21"/>
          <w:szCs w:val="21"/>
        </w:rPr>
        <w:t xml:space="preserve">  </w:t>
      </w:r>
    </w:p>
    <w:p w:rsidR="00EA49B1" w:rsidRPr="00FE40C5" w:rsidRDefault="00EA49B1" w:rsidP="00BA4099">
      <w:pPr>
        <w:rPr>
          <w:rFonts w:ascii="Arial" w:hAnsi="Arial" w:cs="Arial"/>
          <w:b/>
          <w:bCs/>
          <w:sz w:val="20"/>
          <w:szCs w:val="20"/>
        </w:rPr>
      </w:pPr>
      <w:r w:rsidRPr="00FE40C5">
        <w:rPr>
          <w:rFonts w:ascii="Arial" w:hAnsi="Arial" w:cs="Arial"/>
          <w:b/>
          <w:bCs/>
          <w:sz w:val="20"/>
          <w:szCs w:val="20"/>
        </w:rPr>
        <w:t xml:space="preserve">Şekil 1 Bölgelere göre brüt asgari ücretin brüt medyan kazanca oranı (2011) </w:t>
      </w:r>
    </w:p>
    <w:p w:rsidR="00EA49B1" w:rsidRDefault="001A02DC" w:rsidP="00BA4099">
      <w:pPr>
        <w:rPr>
          <w:rFonts w:ascii="Arial" w:hAnsi="Arial" w:cs="Arial"/>
          <w:sz w:val="16"/>
          <w:szCs w:val="16"/>
        </w:rPr>
      </w:pPr>
      <w:r>
        <w:rPr>
          <w:b/>
          <w:bCs/>
          <w:noProof/>
          <w:sz w:val="21"/>
          <w:szCs w:val="21"/>
          <w:lang w:eastAsia="tr-TR"/>
        </w:rPr>
        <w:drawing>
          <wp:inline distT="0" distB="0" distL="0" distR="0">
            <wp:extent cx="5710555" cy="412369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10555" cy="4123690"/>
                    </a:xfrm>
                    <a:prstGeom prst="rect">
                      <a:avLst/>
                    </a:prstGeom>
                    <a:noFill/>
                    <a:ln w="9525">
                      <a:noFill/>
                      <a:miter lim="800000"/>
                      <a:headEnd/>
                      <a:tailEnd/>
                    </a:ln>
                  </pic:spPr>
                </pic:pic>
              </a:graphicData>
            </a:graphic>
          </wp:inline>
        </w:drawing>
      </w:r>
    </w:p>
    <w:p w:rsidR="00EA49B1" w:rsidRPr="00FE40C5" w:rsidRDefault="00EA49B1" w:rsidP="00BA4099">
      <w:pPr>
        <w:rPr>
          <w:rFonts w:ascii="Arial" w:hAnsi="Arial" w:cs="Arial"/>
          <w:b/>
          <w:bCs/>
          <w:sz w:val="16"/>
          <w:szCs w:val="16"/>
        </w:rPr>
      </w:pPr>
      <w:r>
        <w:rPr>
          <w:rFonts w:ascii="Arial" w:hAnsi="Arial" w:cs="Arial"/>
          <w:sz w:val="16"/>
          <w:szCs w:val="16"/>
        </w:rPr>
        <w:t>Kaynak: Hane</w:t>
      </w:r>
      <w:r w:rsidRPr="00FE40C5">
        <w:rPr>
          <w:rFonts w:ascii="Arial" w:hAnsi="Arial" w:cs="Arial"/>
          <w:sz w:val="16"/>
          <w:szCs w:val="16"/>
        </w:rPr>
        <w:t>halkı İşgücü Anketi; TÜİK, Betam</w:t>
      </w:r>
    </w:p>
    <w:p w:rsidR="00EA49B1" w:rsidRDefault="00EA49B1" w:rsidP="00CC37CB">
      <w:pPr>
        <w:rPr>
          <w:rFonts w:ascii="Arial" w:hAnsi="Arial" w:cs="Arial"/>
          <w:sz w:val="16"/>
          <w:szCs w:val="16"/>
        </w:rPr>
      </w:pPr>
      <w:r>
        <w:rPr>
          <w:rFonts w:ascii="Arial" w:hAnsi="Arial" w:cs="Arial"/>
          <w:sz w:val="16"/>
          <w:szCs w:val="16"/>
        </w:rPr>
        <w:t xml:space="preserve">Not:  Özel sektörde kayıtlı, </w:t>
      </w:r>
      <w:r w:rsidRPr="00FE40C5">
        <w:rPr>
          <w:rFonts w:ascii="Arial" w:hAnsi="Arial" w:cs="Arial"/>
          <w:sz w:val="16"/>
          <w:szCs w:val="16"/>
        </w:rPr>
        <w:t>tam zamanlı</w:t>
      </w:r>
      <w:r>
        <w:rPr>
          <w:rFonts w:ascii="Arial" w:hAnsi="Arial" w:cs="Arial"/>
          <w:sz w:val="16"/>
          <w:szCs w:val="16"/>
        </w:rPr>
        <w:t>, ücretli</w:t>
      </w:r>
      <w:r w:rsidRPr="00FE40C5">
        <w:rPr>
          <w:rFonts w:ascii="Arial" w:hAnsi="Arial" w:cs="Arial"/>
          <w:sz w:val="16"/>
          <w:szCs w:val="16"/>
        </w:rPr>
        <w:t xml:space="preserve"> çalışanların kazançları dikkate alınmıştır.</w:t>
      </w:r>
    </w:p>
    <w:p w:rsidR="00EA49B1" w:rsidRPr="004F66E1" w:rsidRDefault="00EA49B1" w:rsidP="00BA4099">
      <w:pPr>
        <w:rPr>
          <w:sz w:val="21"/>
          <w:szCs w:val="21"/>
        </w:rPr>
      </w:pPr>
    </w:p>
    <w:p w:rsidR="00EA49B1" w:rsidRPr="00FE40C5" w:rsidRDefault="00EA49B1" w:rsidP="00BA4099">
      <w:pPr>
        <w:rPr>
          <w:rFonts w:ascii="Arial" w:hAnsi="Arial" w:cs="Arial"/>
          <w:sz w:val="20"/>
          <w:szCs w:val="20"/>
        </w:rPr>
      </w:pPr>
      <w:r w:rsidRPr="00FE40C5">
        <w:rPr>
          <w:rFonts w:ascii="Arial" w:hAnsi="Arial" w:cs="Arial"/>
          <w:sz w:val="20"/>
          <w:szCs w:val="20"/>
        </w:rPr>
        <w:t>Bölgeler itibariyle ücret katılığının dağılımını şöyle özetleyebiliriz: Genel olarak ortalama tüketici sepetinin nominal fiyatlarla hesaplanmış değeri gelişmiş bölgelerde az gelişmiş bölgelere kıyasla daha yüksektir. Daha basitçe söylersek, gelişmişlik arttıkça yaşa</w:t>
      </w:r>
      <w:r>
        <w:rPr>
          <w:rFonts w:ascii="Arial" w:hAnsi="Arial" w:cs="Arial"/>
          <w:sz w:val="20"/>
          <w:szCs w:val="20"/>
        </w:rPr>
        <w:t>m</w:t>
      </w:r>
      <w:r w:rsidRPr="00FE40C5">
        <w:rPr>
          <w:rFonts w:ascii="Arial" w:hAnsi="Arial" w:cs="Arial"/>
          <w:sz w:val="20"/>
          <w:szCs w:val="20"/>
        </w:rPr>
        <w:t xml:space="preserve"> daha pahalı, ama aynı zamanda kazançlar da ona göre daha yüksek ol</w:t>
      </w:r>
      <w:r>
        <w:rPr>
          <w:rFonts w:ascii="Arial" w:hAnsi="Arial" w:cs="Arial"/>
          <w:sz w:val="20"/>
          <w:szCs w:val="20"/>
        </w:rPr>
        <w:t>maktadır</w:t>
      </w:r>
      <w:r w:rsidRPr="00FE40C5">
        <w:rPr>
          <w:rFonts w:ascii="Arial" w:hAnsi="Arial" w:cs="Arial"/>
          <w:sz w:val="20"/>
          <w:szCs w:val="20"/>
        </w:rPr>
        <w:t>. Aynı zamanda gelişmişliğin hem tezahürü hem de kaynağı olan vasıflı işgücü Batı’da Doğu’ya kıyasla fazladır. Bu özelliklerin sonucu olarak gelişmiş bölgelerde net asgari ücretin yetersiz kaldığı, brüt asgari ücretin ise firmalara maliyet açısından göreli olarak çok yüksek olmadığı söylenebilir. Buna karşılık, gelişme düzeyi düştükçe, brüt medyan kazançlar</w:t>
      </w:r>
      <w:r>
        <w:rPr>
          <w:rFonts w:ascii="Arial" w:hAnsi="Arial" w:cs="Arial"/>
          <w:sz w:val="20"/>
          <w:szCs w:val="20"/>
        </w:rPr>
        <w:t>ın</w:t>
      </w:r>
      <w:r w:rsidRPr="00FE40C5">
        <w:rPr>
          <w:rFonts w:ascii="Arial" w:hAnsi="Arial" w:cs="Arial"/>
          <w:sz w:val="20"/>
          <w:szCs w:val="20"/>
        </w:rPr>
        <w:t xml:space="preserve"> brüt asgari ücrete</w:t>
      </w:r>
      <w:r>
        <w:rPr>
          <w:rFonts w:ascii="Arial" w:hAnsi="Arial" w:cs="Arial"/>
          <w:sz w:val="20"/>
          <w:szCs w:val="20"/>
        </w:rPr>
        <w:t xml:space="preserve">, </w:t>
      </w:r>
      <w:r w:rsidRPr="00FE40C5">
        <w:rPr>
          <w:rFonts w:ascii="Arial" w:hAnsi="Arial" w:cs="Arial"/>
          <w:sz w:val="20"/>
          <w:szCs w:val="20"/>
        </w:rPr>
        <w:t>keza net medyan kazançlar</w:t>
      </w:r>
      <w:r>
        <w:rPr>
          <w:rFonts w:ascii="Arial" w:hAnsi="Arial" w:cs="Arial"/>
          <w:sz w:val="20"/>
          <w:szCs w:val="20"/>
        </w:rPr>
        <w:t>ın</w:t>
      </w:r>
      <w:r w:rsidRPr="00FE40C5">
        <w:rPr>
          <w:rFonts w:ascii="Arial" w:hAnsi="Arial" w:cs="Arial"/>
          <w:sz w:val="20"/>
          <w:szCs w:val="20"/>
        </w:rPr>
        <w:t xml:space="preserve"> net asgari ücrete giderek yaklaş</w:t>
      </w:r>
      <w:r>
        <w:rPr>
          <w:rFonts w:ascii="Arial" w:hAnsi="Arial" w:cs="Arial"/>
          <w:sz w:val="20"/>
          <w:szCs w:val="20"/>
        </w:rPr>
        <w:t>tıkları görülmektedir</w:t>
      </w:r>
      <w:r w:rsidRPr="00FE40C5">
        <w:rPr>
          <w:rFonts w:ascii="Arial" w:hAnsi="Arial" w:cs="Arial"/>
          <w:sz w:val="20"/>
          <w:szCs w:val="20"/>
        </w:rPr>
        <w:t>. Şek</w:t>
      </w:r>
      <w:r>
        <w:rPr>
          <w:rFonts w:ascii="Arial" w:hAnsi="Arial" w:cs="Arial"/>
          <w:sz w:val="20"/>
          <w:szCs w:val="20"/>
        </w:rPr>
        <w:t>il</w:t>
      </w:r>
      <w:r w:rsidRPr="00FE40C5">
        <w:rPr>
          <w:rFonts w:ascii="Arial" w:hAnsi="Arial" w:cs="Arial"/>
          <w:sz w:val="20"/>
          <w:szCs w:val="20"/>
        </w:rPr>
        <w:t>lerde de görüldüğü gibi özelikle Doğu ve Güney</w:t>
      </w:r>
      <w:r>
        <w:rPr>
          <w:rFonts w:ascii="Arial" w:hAnsi="Arial" w:cs="Arial"/>
          <w:sz w:val="20"/>
          <w:szCs w:val="20"/>
        </w:rPr>
        <w:t>doğu</w:t>
      </w:r>
      <w:r w:rsidRPr="00FE40C5">
        <w:rPr>
          <w:rFonts w:ascii="Arial" w:hAnsi="Arial" w:cs="Arial"/>
          <w:sz w:val="20"/>
          <w:szCs w:val="20"/>
        </w:rPr>
        <w:t>’da, kimi istisnaların dışında, brüt asgari ücret brüt medyan kazanca büyük ölçüde yak</w:t>
      </w:r>
      <w:r>
        <w:rPr>
          <w:rFonts w:ascii="Arial" w:hAnsi="Arial" w:cs="Arial"/>
          <w:sz w:val="20"/>
          <w:szCs w:val="20"/>
        </w:rPr>
        <w:t>ındır</w:t>
      </w:r>
      <w:r w:rsidRPr="00FE40C5">
        <w:rPr>
          <w:rFonts w:ascii="Arial" w:hAnsi="Arial" w:cs="Arial"/>
          <w:sz w:val="20"/>
          <w:szCs w:val="20"/>
        </w:rPr>
        <w:t>. Diğer ifadeyle</w:t>
      </w:r>
      <w:r>
        <w:rPr>
          <w:rFonts w:ascii="Arial" w:hAnsi="Arial" w:cs="Arial"/>
          <w:sz w:val="20"/>
          <w:szCs w:val="20"/>
        </w:rPr>
        <w:t>,</w:t>
      </w:r>
      <w:r w:rsidRPr="00FE40C5">
        <w:rPr>
          <w:rFonts w:ascii="Arial" w:hAnsi="Arial" w:cs="Arial"/>
          <w:sz w:val="20"/>
          <w:szCs w:val="20"/>
        </w:rPr>
        <w:t xml:space="preserve"> kayıtlı ücretlerin büyük bölümü asgari ücret</w:t>
      </w:r>
      <w:r>
        <w:rPr>
          <w:rFonts w:ascii="Arial" w:hAnsi="Arial" w:cs="Arial"/>
          <w:sz w:val="20"/>
          <w:szCs w:val="20"/>
        </w:rPr>
        <w:t>e eşit ya da ona yakın bir düzeyde</w:t>
      </w:r>
      <w:r w:rsidRPr="00FE40C5">
        <w:rPr>
          <w:rFonts w:ascii="Arial" w:hAnsi="Arial" w:cs="Arial"/>
          <w:sz w:val="20"/>
          <w:szCs w:val="20"/>
        </w:rPr>
        <w:t xml:space="preserve"> oluş</w:t>
      </w:r>
      <w:r>
        <w:rPr>
          <w:rFonts w:ascii="Arial" w:hAnsi="Arial" w:cs="Arial"/>
          <w:sz w:val="20"/>
          <w:szCs w:val="20"/>
        </w:rPr>
        <w:t>maktadır</w:t>
      </w:r>
      <w:r w:rsidRPr="00FE40C5">
        <w:rPr>
          <w:rFonts w:ascii="Arial" w:hAnsi="Arial" w:cs="Arial"/>
          <w:sz w:val="20"/>
          <w:szCs w:val="20"/>
        </w:rPr>
        <w:t>. Bu durum brüt asgari ücretin bu bölgelerde göreli olarak yüksek kaldığının göstergesidir.</w:t>
      </w:r>
    </w:p>
    <w:p w:rsidR="00EA49B1" w:rsidRDefault="00EA49B1" w:rsidP="00BA4099">
      <w:pPr>
        <w:rPr>
          <w:rFonts w:ascii="Arial" w:hAnsi="Arial" w:cs="Arial"/>
          <w:sz w:val="20"/>
          <w:szCs w:val="20"/>
        </w:rPr>
      </w:pPr>
    </w:p>
    <w:p w:rsidR="00EA49B1" w:rsidRDefault="00EA49B1" w:rsidP="009E7C01">
      <w:pPr>
        <w:rPr>
          <w:rFonts w:ascii="Arial" w:hAnsi="Arial" w:cs="Arial"/>
          <w:b/>
          <w:bCs/>
          <w:sz w:val="20"/>
          <w:szCs w:val="20"/>
        </w:rPr>
      </w:pPr>
    </w:p>
    <w:p w:rsidR="00286DAD" w:rsidRDefault="00286DAD" w:rsidP="009E7C01">
      <w:pPr>
        <w:rPr>
          <w:rFonts w:ascii="Arial" w:hAnsi="Arial" w:cs="Arial"/>
          <w:b/>
          <w:bCs/>
          <w:sz w:val="20"/>
          <w:szCs w:val="20"/>
        </w:rPr>
      </w:pPr>
    </w:p>
    <w:p w:rsidR="00286DAD" w:rsidRDefault="00286DAD" w:rsidP="009E7C01">
      <w:pPr>
        <w:rPr>
          <w:rFonts w:ascii="Arial" w:hAnsi="Arial" w:cs="Arial"/>
          <w:b/>
          <w:bCs/>
          <w:sz w:val="20"/>
          <w:szCs w:val="20"/>
        </w:rPr>
      </w:pPr>
    </w:p>
    <w:p w:rsidR="00286DAD" w:rsidRDefault="00286DAD" w:rsidP="009E7C01">
      <w:pPr>
        <w:rPr>
          <w:rFonts w:ascii="Arial" w:hAnsi="Arial" w:cs="Arial"/>
          <w:b/>
          <w:bCs/>
          <w:sz w:val="20"/>
          <w:szCs w:val="20"/>
        </w:rPr>
      </w:pPr>
    </w:p>
    <w:p w:rsidR="00286DAD" w:rsidRDefault="00286DAD" w:rsidP="009E7C01">
      <w:pPr>
        <w:rPr>
          <w:rFonts w:ascii="Arial" w:hAnsi="Arial" w:cs="Arial"/>
          <w:b/>
          <w:bCs/>
          <w:sz w:val="20"/>
          <w:szCs w:val="20"/>
        </w:rPr>
      </w:pPr>
    </w:p>
    <w:p w:rsidR="00286DAD" w:rsidRDefault="00286DAD" w:rsidP="009E7C01">
      <w:pPr>
        <w:rPr>
          <w:rFonts w:ascii="Arial" w:hAnsi="Arial" w:cs="Arial"/>
          <w:b/>
          <w:bCs/>
          <w:sz w:val="20"/>
          <w:szCs w:val="20"/>
        </w:rPr>
      </w:pPr>
    </w:p>
    <w:p w:rsidR="00EA49B1" w:rsidRPr="00FE40C5" w:rsidRDefault="00EA49B1" w:rsidP="009E7C01">
      <w:pPr>
        <w:rPr>
          <w:rFonts w:ascii="Arial" w:hAnsi="Arial" w:cs="Arial"/>
          <w:b/>
          <w:bCs/>
          <w:sz w:val="20"/>
          <w:szCs w:val="20"/>
        </w:rPr>
      </w:pPr>
      <w:r w:rsidRPr="00AC6686">
        <w:rPr>
          <w:rFonts w:ascii="Arial" w:hAnsi="Arial" w:cs="Arial"/>
          <w:b/>
          <w:bCs/>
          <w:sz w:val="20"/>
          <w:szCs w:val="20"/>
        </w:rPr>
        <w:lastRenderedPageBreak/>
        <w:t xml:space="preserve">Şekil </w:t>
      </w:r>
      <w:r w:rsidR="00AC6686" w:rsidRPr="00AC6686">
        <w:rPr>
          <w:rFonts w:ascii="Arial" w:hAnsi="Arial" w:cs="Arial"/>
          <w:b/>
          <w:bCs/>
          <w:sz w:val="20"/>
          <w:szCs w:val="20"/>
        </w:rPr>
        <w:t>2</w:t>
      </w:r>
      <w:r w:rsidRPr="00AC6686">
        <w:rPr>
          <w:rFonts w:ascii="Arial" w:hAnsi="Arial" w:cs="Arial"/>
          <w:b/>
          <w:bCs/>
          <w:sz w:val="20"/>
          <w:szCs w:val="20"/>
        </w:rPr>
        <w:t xml:space="preserve"> B</w:t>
      </w:r>
      <w:r w:rsidRPr="00FE40C5">
        <w:rPr>
          <w:rFonts w:ascii="Arial" w:hAnsi="Arial" w:cs="Arial"/>
          <w:b/>
          <w:bCs/>
          <w:sz w:val="20"/>
          <w:szCs w:val="20"/>
        </w:rPr>
        <w:t>ölgelere göre brüt asgari ücretin brüt ortalama kazanca oranı (2011)</w:t>
      </w:r>
    </w:p>
    <w:p w:rsidR="00EA49B1" w:rsidRPr="000D7140" w:rsidRDefault="001A02DC" w:rsidP="009E7C01">
      <w:pPr>
        <w:rPr>
          <w:b/>
          <w:bCs/>
          <w:sz w:val="21"/>
          <w:szCs w:val="21"/>
        </w:rPr>
      </w:pPr>
      <w:r>
        <w:rPr>
          <w:b/>
          <w:bCs/>
          <w:noProof/>
          <w:sz w:val="21"/>
          <w:szCs w:val="21"/>
          <w:lang w:eastAsia="tr-TR"/>
        </w:rPr>
        <w:drawing>
          <wp:inline distT="0" distB="0" distL="0" distR="0">
            <wp:extent cx="5607050" cy="42094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607050" cy="4209415"/>
                    </a:xfrm>
                    <a:prstGeom prst="rect">
                      <a:avLst/>
                    </a:prstGeom>
                    <a:noFill/>
                    <a:ln w="9525">
                      <a:noFill/>
                      <a:miter lim="800000"/>
                      <a:headEnd/>
                      <a:tailEnd/>
                    </a:ln>
                  </pic:spPr>
                </pic:pic>
              </a:graphicData>
            </a:graphic>
          </wp:inline>
        </w:drawing>
      </w:r>
    </w:p>
    <w:p w:rsidR="00EA49B1" w:rsidRPr="00FE40C5" w:rsidRDefault="00EA49B1" w:rsidP="009E7C01">
      <w:pPr>
        <w:rPr>
          <w:rFonts w:ascii="Arial" w:hAnsi="Arial" w:cs="Arial"/>
          <w:sz w:val="16"/>
          <w:szCs w:val="16"/>
        </w:rPr>
      </w:pPr>
      <w:r w:rsidRPr="00FE40C5">
        <w:rPr>
          <w:rFonts w:ascii="Arial" w:hAnsi="Arial" w:cs="Arial"/>
          <w:sz w:val="16"/>
          <w:szCs w:val="16"/>
        </w:rPr>
        <w:t>Kaynak: Hane halkı İşgücü Anketi; TÜİK, Betam</w:t>
      </w:r>
    </w:p>
    <w:p w:rsidR="00EA49B1" w:rsidRDefault="00EA49B1" w:rsidP="00CC37CB">
      <w:pPr>
        <w:rPr>
          <w:rFonts w:ascii="Arial" w:hAnsi="Arial" w:cs="Arial"/>
          <w:sz w:val="16"/>
          <w:szCs w:val="16"/>
        </w:rPr>
      </w:pPr>
      <w:r>
        <w:rPr>
          <w:rFonts w:ascii="Arial" w:hAnsi="Arial" w:cs="Arial"/>
          <w:sz w:val="16"/>
          <w:szCs w:val="16"/>
        </w:rPr>
        <w:t xml:space="preserve">Not:  Özel sektörde kayıtlı, </w:t>
      </w:r>
      <w:r w:rsidRPr="00FE40C5">
        <w:rPr>
          <w:rFonts w:ascii="Arial" w:hAnsi="Arial" w:cs="Arial"/>
          <w:sz w:val="16"/>
          <w:szCs w:val="16"/>
        </w:rPr>
        <w:t>tam zamanlı</w:t>
      </w:r>
      <w:r>
        <w:rPr>
          <w:rFonts w:ascii="Arial" w:hAnsi="Arial" w:cs="Arial"/>
          <w:sz w:val="16"/>
          <w:szCs w:val="16"/>
        </w:rPr>
        <w:t>, ücretli</w:t>
      </w:r>
      <w:r w:rsidRPr="00FE40C5">
        <w:rPr>
          <w:rFonts w:ascii="Arial" w:hAnsi="Arial" w:cs="Arial"/>
          <w:sz w:val="16"/>
          <w:szCs w:val="16"/>
        </w:rPr>
        <w:t xml:space="preserve"> çalışanların kazançları dikkate alınmıştır.</w:t>
      </w:r>
    </w:p>
    <w:p w:rsidR="00EA49B1" w:rsidRDefault="00EA49B1" w:rsidP="00BA4099">
      <w:pPr>
        <w:rPr>
          <w:rFonts w:ascii="Arial" w:hAnsi="Arial" w:cs="Arial"/>
          <w:sz w:val="20"/>
          <w:szCs w:val="20"/>
        </w:rPr>
      </w:pPr>
    </w:p>
    <w:p w:rsidR="00EA49B1" w:rsidRPr="00710C45" w:rsidRDefault="00CF000D" w:rsidP="00FE40C5">
      <w:pPr>
        <w:rPr>
          <w:rFonts w:ascii="Arial" w:hAnsi="Arial" w:cs="Arial"/>
          <w:b/>
          <w:bCs/>
          <w:sz w:val="22"/>
          <w:szCs w:val="22"/>
        </w:rPr>
      </w:pPr>
      <w:r>
        <w:rPr>
          <w:rFonts w:ascii="Arial" w:hAnsi="Arial" w:cs="Arial"/>
          <w:b/>
          <w:bCs/>
          <w:sz w:val="22"/>
          <w:szCs w:val="22"/>
        </w:rPr>
        <w:t>Ü</w:t>
      </w:r>
      <w:r w:rsidR="00EA49B1" w:rsidRPr="00710C45">
        <w:rPr>
          <w:rFonts w:ascii="Arial" w:hAnsi="Arial" w:cs="Arial"/>
          <w:b/>
          <w:bCs/>
          <w:sz w:val="22"/>
          <w:szCs w:val="22"/>
        </w:rPr>
        <w:t xml:space="preserve">cret katılığı </w:t>
      </w:r>
      <w:r w:rsidR="00EA49B1">
        <w:rPr>
          <w:rFonts w:ascii="Arial" w:hAnsi="Arial" w:cs="Arial"/>
          <w:b/>
          <w:bCs/>
          <w:sz w:val="22"/>
          <w:szCs w:val="22"/>
        </w:rPr>
        <w:t>kayıt dışılığı etkiliyor</w:t>
      </w:r>
    </w:p>
    <w:p w:rsidR="00EA49B1" w:rsidRPr="00710C45" w:rsidRDefault="00EA49B1" w:rsidP="00FE40C5">
      <w:pPr>
        <w:rPr>
          <w:b/>
          <w:bCs/>
        </w:rPr>
      </w:pPr>
    </w:p>
    <w:p w:rsidR="00EA49B1" w:rsidRDefault="00EA49B1" w:rsidP="00FE40C5">
      <w:pPr>
        <w:rPr>
          <w:rFonts w:ascii="Arial" w:hAnsi="Arial" w:cs="Arial"/>
          <w:sz w:val="20"/>
          <w:szCs w:val="20"/>
        </w:rPr>
      </w:pPr>
      <w:r w:rsidRPr="00710C45">
        <w:rPr>
          <w:rFonts w:ascii="Arial" w:hAnsi="Arial" w:cs="Arial"/>
          <w:sz w:val="20"/>
          <w:szCs w:val="20"/>
        </w:rPr>
        <w:t xml:space="preserve">Türkiye’de ücretliler arasında kayıt dışılık (SGK’ya kayıt edilmeden çalıştırılanların oranı) son yıllarda </w:t>
      </w:r>
      <w:r w:rsidRPr="00E477E6">
        <w:rPr>
          <w:rFonts w:ascii="Arial" w:hAnsi="Arial" w:cs="Arial"/>
          <w:sz w:val="20"/>
          <w:szCs w:val="20"/>
        </w:rPr>
        <w:t xml:space="preserve">azalmasına rağmen halen yüksektir. Ücretli ve yevmiyelilerde kayıt dışılık oranı 2004’te yüzde 32’den </w:t>
      </w:r>
      <w:r w:rsidRPr="007A24F4">
        <w:rPr>
          <w:rFonts w:ascii="Arial" w:hAnsi="Arial" w:cs="Arial"/>
          <w:sz w:val="20"/>
          <w:szCs w:val="20"/>
        </w:rPr>
        <w:t>2011’de yüzde 25’e düşmüştür</w:t>
      </w:r>
      <w:r w:rsidR="007C2BB7" w:rsidRPr="007A24F4">
        <w:rPr>
          <w:rStyle w:val="DipnotBavurusu"/>
          <w:rFonts w:ascii="Arial" w:hAnsi="Arial" w:cs="Arial"/>
          <w:sz w:val="20"/>
          <w:szCs w:val="20"/>
        </w:rPr>
        <w:footnoteReference w:id="7"/>
      </w:r>
      <w:r w:rsidRPr="007A24F4">
        <w:rPr>
          <w:rFonts w:ascii="Arial" w:hAnsi="Arial" w:cs="Arial"/>
          <w:sz w:val="20"/>
          <w:szCs w:val="20"/>
        </w:rPr>
        <w:t>.</w:t>
      </w:r>
      <w:r w:rsidRPr="00E477E6">
        <w:rPr>
          <w:rFonts w:ascii="Arial" w:hAnsi="Arial" w:cs="Arial"/>
          <w:sz w:val="20"/>
          <w:szCs w:val="20"/>
        </w:rPr>
        <w:t xml:space="preserve"> Ancak </w:t>
      </w:r>
      <w:r w:rsidR="001852D3">
        <w:rPr>
          <w:rFonts w:ascii="Arial" w:hAnsi="Arial" w:cs="Arial"/>
          <w:sz w:val="20"/>
          <w:szCs w:val="20"/>
        </w:rPr>
        <w:t>kayıt dışı istihdam</w:t>
      </w:r>
      <w:r w:rsidRPr="00E477E6">
        <w:rPr>
          <w:rFonts w:ascii="Arial" w:hAnsi="Arial" w:cs="Arial"/>
          <w:sz w:val="20"/>
          <w:szCs w:val="20"/>
        </w:rPr>
        <w:t xml:space="preserve"> Türkiye işgücü piyasasında önemli bir yapısal sorun olmaya</w:t>
      </w:r>
      <w:r>
        <w:rPr>
          <w:rFonts w:ascii="Arial" w:hAnsi="Arial" w:cs="Arial"/>
          <w:sz w:val="20"/>
          <w:szCs w:val="20"/>
        </w:rPr>
        <w:t xml:space="preserve"> devam etmektedir</w:t>
      </w:r>
      <w:r w:rsidRPr="00FE40C5">
        <w:rPr>
          <w:rFonts w:ascii="Arial" w:hAnsi="Arial" w:cs="Arial"/>
          <w:sz w:val="20"/>
          <w:szCs w:val="20"/>
        </w:rPr>
        <w:t xml:space="preserve">. Yukarıda belirttiğimiz gibi özel kesimde ücret katılığının kayıt dışılığı etkilemesi beklenir. Bu etki ile ilgili bir ilk </w:t>
      </w:r>
      <w:r>
        <w:rPr>
          <w:rFonts w:ascii="Arial" w:hAnsi="Arial" w:cs="Arial"/>
          <w:sz w:val="20"/>
          <w:szCs w:val="20"/>
        </w:rPr>
        <w:t>yaklaşım olarak</w:t>
      </w:r>
      <w:r w:rsidRPr="00FE40C5">
        <w:rPr>
          <w:rFonts w:ascii="Arial" w:hAnsi="Arial" w:cs="Arial"/>
          <w:sz w:val="20"/>
          <w:szCs w:val="20"/>
        </w:rPr>
        <w:t xml:space="preserve"> bölgesel düzeyde (26 bölge) brüt asgari ücret / brüt medyan kazanç oranları ile özel sektör</w:t>
      </w:r>
      <w:r>
        <w:rPr>
          <w:rFonts w:ascii="Arial" w:hAnsi="Arial" w:cs="Arial"/>
          <w:sz w:val="20"/>
          <w:szCs w:val="20"/>
        </w:rPr>
        <w:t>de</w:t>
      </w:r>
      <w:r w:rsidRPr="00FE40C5">
        <w:rPr>
          <w:rFonts w:ascii="Arial" w:hAnsi="Arial" w:cs="Arial"/>
          <w:sz w:val="20"/>
          <w:szCs w:val="20"/>
        </w:rPr>
        <w:t xml:space="preserve"> tam zamanlı </w:t>
      </w:r>
      <w:r>
        <w:rPr>
          <w:rFonts w:ascii="Arial" w:hAnsi="Arial" w:cs="Arial"/>
          <w:sz w:val="20"/>
          <w:szCs w:val="20"/>
        </w:rPr>
        <w:t xml:space="preserve">ücretli </w:t>
      </w:r>
      <w:r w:rsidRPr="00FE40C5">
        <w:rPr>
          <w:rFonts w:ascii="Arial" w:hAnsi="Arial" w:cs="Arial"/>
          <w:sz w:val="20"/>
          <w:szCs w:val="20"/>
        </w:rPr>
        <w:t>çalışanlar</w:t>
      </w:r>
      <w:r>
        <w:rPr>
          <w:rFonts w:ascii="Arial" w:hAnsi="Arial" w:cs="Arial"/>
          <w:sz w:val="20"/>
          <w:szCs w:val="20"/>
        </w:rPr>
        <w:t>ın</w:t>
      </w:r>
      <w:r w:rsidRPr="00FE40C5">
        <w:rPr>
          <w:rFonts w:ascii="Arial" w:hAnsi="Arial" w:cs="Arial"/>
          <w:sz w:val="20"/>
          <w:szCs w:val="20"/>
        </w:rPr>
        <w:t xml:space="preserve"> kayıt dışılık oranları arasındaki korelasyon</w:t>
      </w:r>
      <w:r>
        <w:rPr>
          <w:rFonts w:ascii="Arial" w:hAnsi="Arial" w:cs="Arial"/>
          <w:sz w:val="20"/>
          <w:szCs w:val="20"/>
        </w:rPr>
        <w:t xml:space="preserve"> katsayısına baktık.</w:t>
      </w:r>
    </w:p>
    <w:p w:rsidR="00EA49B1" w:rsidRDefault="00EA49B1" w:rsidP="00FE40C5">
      <w:pPr>
        <w:rPr>
          <w:rFonts w:ascii="Arial" w:hAnsi="Arial" w:cs="Arial"/>
          <w:sz w:val="20"/>
          <w:szCs w:val="20"/>
        </w:rPr>
      </w:pPr>
    </w:p>
    <w:p w:rsidR="00EA49B1" w:rsidRDefault="00EA49B1" w:rsidP="00FE40C5">
      <w:pPr>
        <w:rPr>
          <w:rFonts w:ascii="Arial" w:hAnsi="Arial" w:cs="Arial"/>
          <w:b/>
          <w:bCs/>
          <w:sz w:val="20"/>
          <w:szCs w:val="20"/>
        </w:rPr>
      </w:pPr>
      <w:r>
        <w:rPr>
          <w:rFonts w:ascii="Arial" w:hAnsi="Arial" w:cs="Arial"/>
          <w:sz w:val="20"/>
          <w:szCs w:val="20"/>
        </w:rPr>
        <w:t xml:space="preserve">Bu korelasyon katsayısı </w:t>
      </w:r>
      <w:r w:rsidRPr="00FE40C5">
        <w:rPr>
          <w:rFonts w:ascii="Arial" w:hAnsi="Arial" w:cs="Arial"/>
          <w:sz w:val="20"/>
          <w:szCs w:val="20"/>
        </w:rPr>
        <w:t>Türkiye genelinde</w:t>
      </w:r>
      <w:r>
        <w:rPr>
          <w:rFonts w:ascii="Arial" w:hAnsi="Arial" w:cs="Arial"/>
          <w:sz w:val="20"/>
          <w:szCs w:val="20"/>
        </w:rPr>
        <w:t xml:space="preserve"> 2011 yılı için 0,40 </w:t>
      </w:r>
      <w:r w:rsidR="0030489E">
        <w:rPr>
          <w:rFonts w:ascii="Arial" w:hAnsi="Arial" w:cs="Arial"/>
          <w:sz w:val="20"/>
          <w:szCs w:val="20"/>
        </w:rPr>
        <w:t>olarak hesaplanmaktadır (Şekil 3</w:t>
      </w:r>
      <w:r>
        <w:rPr>
          <w:rFonts w:ascii="Arial" w:hAnsi="Arial" w:cs="Arial"/>
          <w:sz w:val="20"/>
          <w:szCs w:val="20"/>
        </w:rPr>
        <w:t>). Bu nispeten yüksek katsayı, ücret katılığının kayıt dışılığı artırıcı etki yaptığını, ama aynı zamanda kayıt dışılığı etkileyen başka önemli etkenlerin de olduğunu göstermektedir.</w:t>
      </w:r>
      <w:r w:rsidRPr="00FE40C5">
        <w:rPr>
          <w:rFonts w:ascii="Arial" w:hAnsi="Arial" w:cs="Arial"/>
          <w:sz w:val="20"/>
          <w:szCs w:val="20"/>
        </w:rPr>
        <w:t xml:space="preserve"> </w:t>
      </w:r>
      <w:r>
        <w:rPr>
          <w:rFonts w:ascii="Arial" w:hAnsi="Arial" w:cs="Arial"/>
          <w:sz w:val="20"/>
          <w:szCs w:val="20"/>
        </w:rPr>
        <w:t>Örneğin, firma büyüklüğünün kayıt dışılıkla ters orantılı olduğunu biliyoruz. Dolayısıyla, ortalama firma büyüklüğünün bölgesel dağılımının kayıt dışılığın bölgesel dağılımını, dolayısıyla da korelasyon sonucunu etkilediğini düşünebiliriz.</w:t>
      </w:r>
    </w:p>
    <w:p w:rsidR="00EA49B1" w:rsidRDefault="00EA49B1" w:rsidP="00FE40C5">
      <w:pPr>
        <w:rPr>
          <w:rFonts w:ascii="Arial" w:hAnsi="Arial" w:cs="Arial"/>
          <w:b/>
          <w:bCs/>
          <w:sz w:val="20"/>
          <w:szCs w:val="20"/>
        </w:rPr>
      </w:pPr>
    </w:p>
    <w:p w:rsidR="00CF000D" w:rsidRDefault="00CF000D" w:rsidP="00FE40C5">
      <w:pPr>
        <w:rPr>
          <w:rFonts w:ascii="Arial" w:hAnsi="Arial" w:cs="Arial"/>
          <w:b/>
          <w:bCs/>
          <w:sz w:val="20"/>
          <w:szCs w:val="20"/>
        </w:rPr>
      </w:pPr>
    </w:p>
    <w:p w:rsidR="00CF000D" w:rsidRDefault="00CF000D" w:rsidP="00FE40C5">
      <w:pPr>
        <w:rPr>
          <w:rFonts w:ascii="Arial" w:hAnsi="Arial" w:cs="Arial"/>
          <w:b/>
          <w:bCs/>
          <w:sz w:val="20"/>
          <w:szCs w:val="20"/>
        </w:rPr>
      </w:pPr>
    </w:p>
    <w:p w:rsidR="00CF000D" w:rsidRDefault="00CF000D" w:rsidP="00FE40C5">
      <w:pPr>
        <w:rPr>
          <w:rFonts w:ascii="Arial" w:hAnsi="Arial" w:cs="Arial"/>
          <w:b/>
          <w:bCs/>
          <w:sz w:val="20"/>
          <w:szCs w:val="20"/>
        </w:rPr>
      </w:pPr>
    </w:p>
    <w:p w:rsidR="00CF000D" w:rsidRDefault="00CF000D" w:rsidP="00FE40C5">
      <w:pPr>
        <w:rPr>
          <w:rFonts w:ascii="Arial" w:hAnsi="Arial" w:cs="Arial"/>
          <w:b/>
          <w:bCs/>
          <w:sz w:val="20"/>
          <w:szCs w:val="20"/>
        </w:rPr>
      </w:pPr>
    </w:p>
    <w:p w:rsidR="00CF000D" w:rsidRDefault="00CF000D" w:rsidP="00FE40C5">
      <w:pPr>
        <w:rPr>
          <w:rFonts w:ascii="Arial" w:hAnsi="Arial" w:cs="Arial"/>
          <w:b/>
          <w:bCs/>
          <w:sz w:val="20"/>
          <w:szCs w:val="20"/>
        </w:rPr>
      </w:pPr>
    </w:p>
    <w:p w:rsidR="00CF000D" w:rsidRDefault="00CF000D" w:rsidP="00FE40C5">
      <w:pPr>
        <w:rPr>
          <w:rFonts w:ascii="Arial" w:hAnsi="Arial" w:cs="Arial"/>
          <w:b/>
          <w:bCs/>
          <w:sz w:val="20"/>
          <w:szCs w:val="20"/>
        </w:rPr>
      </w:pPr>
    </w:p>
    <w:p w:rsidR="00CF000D" w:rsidRDefault="00CF000D" w:rsidP="00FE40C5">
      <w:pPr>
        <w:rPr>
          <w:rFonts w:ascii="Arial" w:hAnsi="Arial" w:cs="Arial"/>
          <w:b/>
          <w:bCs/>
          <w:sz w:val="20"/>
          <w:szCs w:val="20"/>
        </w:rPr>
      </w:pPr>
    </w:p>
    <w:p w:rsidR="00EA49B1" w:rsidRPr="0030489E" w:rsidRDefault="00EA49B1" w:rsidP="00FE40C5">
      <w:pPr>
        <w:rPr>
          <w:rFonts w:ascii="Arial" w:hAnsi="Arial" w:cs="Arial"/>
          <w:b/>
          <w:bCs/>
          <w:sz w:val="20"/>
          <w:szCs w:val="20"/>
        </w:rPr>
      </w:pPr>
      <w:r w:rsidRPr="0030489E">
        <w:rPr>
          <w:rFonts w:ascii="Arial" w:hAnsi="Arial" w:cs="Arial"/>
          <w:b/>
          <w:bCs/>
          <w:sz w:val="20"/>
          <w:szCs w:val="20"/>
        </w:rPr>
        <w:lastRenderedPageBreak/>
        <w:t xml:space="preserve">Şekil </w:t>
      </w:r>
      <w:r w:rsidR="0030489E" w:rsidRPr="0030489E">
        <w:rPr>
          <w:rFonts w:ascii="Arial" w:hAnsi="Arial" w:cs="Arial"/>
          <w:b/>
          <w:bCs/>
          <w:sz w:val="20"/>
          <w:szCs w:val="20"/>
        </w:rPr>
        <w:t>3</w:t>
      </w:r>
      <w:r w:rsidRPr="0030489E">
        <w:rPr>
          <w:rFonts w:ascii="Arial" w:hAnsi="Arial" w:cs="Arial"/>
          <w:b/>
          <w:bCs/>
          <w:sz w:val="20"/>
          <w:szCs w:val="20"/>
        </w:rPr>
        <w:t xml:space="preserve"> Brüt asgari ücretin brüt medyan kazanca oranı ve kayıt dışılık oranı arasındaki korelasyon (2011)</w:t>
      </w:r>
    </w:p>
    <w:p w:rsidR="00EA49B1" w:rsidRPr="004F66E1" w:rsidRDefault="001A02DC" w:rsidP="00FE40C5">
      <w:pPr>
        <w:rPr>
          <w:sz w:val="21"/>
          <w:szCs w:val="21"/>
        </w:rPr>
      </w:pPr>
      <w:r>
        <w:rPr>
          <w:noProof/>
          <w:sz w:val="21"/>
          <w:szCs w:val="21"/>
          <w:lang w:eastAsia="tr-TR"/>
        </w:rPr>
        <w:drawing>
          <wp:inline distT="0" distB="0" distL="0" distR="0">
            <wp:extent cx="4598035" cy="26054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598035" cy="2605405"/>
                    </a:xfrm>
                    <a:prstGeom prst="rect">
                      <a:avLst/>
                    </a:prstGeom>
                    <a:noFill/>
                    <a:ln w="9525">
                      <a:noFill/>
                      <a:miter lim="800000"/>
                      <a:headEnd/>
                      <a:tailEnd/>
                    </a:ln>
                  </pic:spPr>
                </pic:pic>
              </a:graphicData>
            </a:graphic>
          </wp:inline>
        </w:drawing>
      </w:r>
    </w:p>
    <w:p w:rsidR="00EA49B1" w:rsidRPr="004F66E1" w:rsidRDefault="00EA49B1" w:rsidP="00FE40C5">
      <w:pPr>
        <w:rPr>
          <w:sz w:val="21"/>
          <w:szCs w:val="21"/>
        </w:rPr>
      </w:pPr>
    </w:p>
    <w:p w:rsidR="00EA49B1" w:rsidRPr="00FE40C5" w:rsidRDefault="00EA49B1" w:rsidP="00FE40C5">
      <w:pPr>
        <w:rPr>
          <w:rFonts w:ascii="Arial" w:hAnsi="Arial" w:cs="Arial"/>
          <w:sz w:val="16"/>
          <w:szCs w:val="16"/>
        </w:rPr>
      </w:pPr>
      <w:r w:rsidRPr="00FE40C5">
        <w:rPr>
          <w:rFonts w:ascii="Arial" w:hAnsi="Arial" w:cs="Arial"/>
          <w:sz w:val="16"/>
          <w:szCs w:val="16"/>
        </w:rPr>
        <w:t>Kaynak: Hane halkı İşgücü Anketi; TÜİK, Betam</w:t>
      </w:r>
    </w:p>
    <w:p w:rsidR="00EA49B1" w:rsidRDefault="00EA49B1" w:rsidP="00BA4099">
      <w:pPr>
        <w:rPr>
          <w:rFonts w:ascii="Arial" w:hAnsi="Arial" w:cs="Arial"/>
          <w:sz w:val="16"/>
          <w:szCs w:val="16"/>
        </w:rPr>
      </w:pPr>
      <w:r>
        <w:rPr>
          <w:rFonts w:ascii="Arial" w:hAnsi="Arial" w:cs="Arial"/>
          <w:sz w:val="16"/>
          <w:szCs w:val="16"/>
        </w:rPr>
        <w:t xml:space="preserve">Not:  Özel sektörde kayıtlı, </w:t>
      </w:r>
      <w:r w:rsidRPr="00FE40C5">
        <w:rPr>
          <w:rFonts w:ascii="Arial" w:hAnsi="Arial" w:cs="Arial"/>
          <w:sz w:val="16"/>
          <w:szCs w:val="16"/>
        </w:rPr>
        <w:t>tam zamanlı</w:t>
      </w:r>
      <w:r>
        <w:rPr>
          <w:rFonts w:ascii="Arial" w:hAnsi="Arial" w:cs="Arial"/>
          <w:sz w:val="16"/>
          <w:szCs w:val="16"/>
        </w:rPr>
        <w:t>, ücretli</w:t>
      </w:r>
      <w:r w:rsidRPr="00FE40C5">
        <w:rPr>
          <w:rFonts w:ascii="Arial" w:hAnsi="Arial" w:cs="Arial"/>
          <w:sz w:val="16"/>
          <w:szCs w:val="16"/>
        </w:rPr>
        <w:t xml:space="preserve"> çalışanların kazançları dikkate alınmıştır.</w:t>
      </w:r>
    </w:p>
    <w:p w:rsidR="00EA49B1" w:rsidRDefault="00EA49B1" w:rsidP="00BA4099">
      <w:pPr>
        <w:rPr>
          <w:rFonts w:ascii="Arial" w:hAnsi="Arial" w:cs="Arial"/>
          <w:sz w:val="16"/>
          <w:szCs w:val="16"/>
        </w:rPr>
      </w:pPr>
    </w:p>
    <w:p w:rsidR="00EA49B1" w:rsidRDefault="00EA49B1" w:rsidP="00BA4099">
      <w:pPr>
        <w:rPr>
          <w:rFonts w:ascii="Arial" w:hAnsi="Arial" w:cs="Arial"/>
          <w:sz w:val="20"/>
          <w:szCs w:val="20"/>
        </w:rPr>
      </w:pPr>
      <w:r w:rsidRPr="0089399B">
        <w:rPr>
          <w:rFonts w:ascii="Arial" w:hAnsi="Arial" w:cs="Arial"/>
          <w:sz w:val="20"/>
          <w:szCs w:val="20"/>
        </w:rPr>
        <w:t xml:space="preserve">Bununla birlikte esas ilginç bulgu, </w:t>
      </w:r>
      <w:r w:rsidRPr="00C7463D">
        <w:rPr>
          <w:rFonts w:ascii="Arial" w:hAnsi="Arial" w:cs="Arial"/>
          <w:sz w:val="20"/>
          <w:szCs w:val="20"/>
        </w:rPr>
        <w:t xml:space="preserve">ücret katılığı ile kayıt dışılık arasındaki ilişkinin sanayi ve hizmet sektörleri bakımından çok farklı olmasıdır. Bu bakımdan analizlerin sanayi ve hizmetler sektörleri için ayrı ayrı yapılmasında </w:t>
      </w:r>
      <w:r w:rsidRPr="0030489E">
        <w:rPr>
          <w:rFonts w:ascii="Arial" w:hAnsi="Arial" w:cs="Arial"/>
          <w:sz w:val="20"/>
          <w:szCs w:val="20"/>
        </w:rPr>
        <w:t>fayda vardır. Şekil 4’de 26</w:t>
      </w:r>
      <w:r w:rsidRPr="00C7463D">
        <w:rPr>
          <w:rFonts w:ascii="Arial" w:hAnsi="Arial" w:cs="Arial"/>
          <w:sz w:val="20"/>
          <w:szCs w:val="20"/>
        </w:rPr>
        <w:t xml:space="preserve"> bölge düzeyinde asgari brüt ücret / brüt medyan kazanç oranları ile kayıt dışılık oranları arasındaki korelasyon</w:t>
      </w:r>
      <w:r w:rsidRPr="0089399B">
        <w:rPr>
          <w:rFonts w:ascii="Arial" w:hAnsi="Arial" w:cs="Arial"/>
          <w:sz w:val="20"/>
          <w:szCs w:val="20"/>
        </w:rPr>
        <w:t xml:space="preserve"> sanayi ve hizmet sektörleri için ayrı ayrı gösteriliyor. Sanayide korelasyon katsayısı 0,13’e düşerken, bu katsayı hizmetlerde 0,57’ye yükseliyor.  Sonuç açıktır: Sanayide ücret katılığı kayıt dışılığı çok zayıf bir şekilde etkilemektedir. Buna </w:t>
      </w:r>
      <w:r>
        <w:rPr>
          <w:rFonts w:ascii="Arial" w:hAnsi="Arial" w:cs="Arial"/>
          <w:sz w:val="20"/>
          <w:szCs w:val="20"/>
        </w:rPr>
        <w:t>karşılık</w:t>
      </w:r>
      <w:r w:rsidRPr="0089399B">
        <w:rPr>
          <w:rFonts w:ascii="Arial" w:hAnsi="Arial" w:cs="Arial"/>
          <w:sz w:val="20"/>
          <w:szCs w:val="20"/>
        </w:rPr>
        <w:t xml:space="preserve"> hizmetlerde ücret katılığı, tek etken olmamakla birlikte, kayıt dışılığı güçlü bir şekilde desteklemektedir. </w:t>
      </w:r>
    </w:p>
    <w:p w:rsidR="00EA49B1" w:rsidRDefault="00EA49B1" w:rsidP="00BA4099">
      <w:pPr>
        <w:rPr>
          <w:rFonts w:ascii="Arial" w:hAnsi="Arial" w:cs="Arial"/>
          <w:sz w:val="20"/>
          <w:szCs w:val="20"/>
        </w:rPr>
      </w:pPr>
    </w:p>
    <w:p w:rsidR="00EA49B1" w:rsidRDefault="00EA49B1" w:rsidP="00BA4099">
      <w:pPr>
        <w:rPr>
          <w:rFonts w:ascii="Arial" w:hAnsi="Arial" w:cs="Arial"/>
          <w:sz w:val="20"/>
          <w:szCs w:val="20"/>
        </w:rPr>
      </w:pPr>
      <w:r w:rsidRPr="0089399B">
        <w:rPr>
          <w:rFonts w:ascii="Arial" w:hAnsi="Arial" w:cs="Arial"/>
          <w:sz w:val="20"/>
          <w:szCs w:val="20"/>
        </w:rPr>
        <w:t>Bu ilginç bir bulgudur. Muhtemel nedenleri üzerinde bir kaç çalışma hipotezi önermeden önce, sanayi kesiminde tam zamanlı ücretli çalışanlar arasında kayıt dışılığın Türkiye genelinde yüzde 0</w:t>
      </w:r>
      <w:r>
        <w:rPr>
          <w:rFonts w:ascii="Arial" w:hAnsi="Arial" w:cs="Arial"/>
          <w:sz w:val="20"/>
          <w:szCs w:val="20"/>
        </w:rPr>
        <w:t>,</w:t>
      </w:r>
      <w:r w:rsidRPr="0089399B">
        <w:rPr>
          <w:rFonts w:ascii="Arial" w:hAnsi="Arial" w:cs="Arial"/>
          <w:sz w:val="20"/>
          <w:szCs w:val="20"/>
        </w:rPr>
        <w:t>18, buna karşılı</w:t>
      </w:r>
      <w:r>
        <w:rPr>
          <w:rFonts w:ascii="Arial" w:hAnsi="Arial" w:cs="Arial"/>
          <w:sz w:val="20"/>
          <w:szCs w:val="20"/>
        </w:rPr>
        <w:t>k hizmetlerde yüzde 0,23 (</w:t>
      </w:r>
      <w:r w:rsidRPr="0089399B">
        <w:rPr>
          <w:rFonts w:ascii="Arial" w:hAnsi="Arial" w:cs="Arial"/>
          <w:sz w:val="20"/>
          <w:szCs w:val="20"/>
        </w:rPr>
        <w:t xml:space="preserve">Ek 4) olduğunu belirtelim. Sanayide kayıt dışılığın daha düşük olmasının bir nedeni, yukarıda da dikkat çektiğimiz gibi, firma büyüklüğü ile kayıt dışı istihdam </w:t>
      </w:r>
      <w:r w:rsidRPr="00C7463D">
        <w:rPr>
          <w:rFonts w:ascii="Arial" w:hAnsi="Arial" w:cs="Arial"/>
          <w:sz w:val="20"/>
          <w:szCs w:val="20"/>
        </w:rPr>
        <w:t xml:space="preserve">arasında ters yönlü bir ilişki olmasıdır. Hizmetlerde ortalama işletme büyüklüğü </w:t>
      </w:r>
      <w:r>
        <w:rPr>
          <w:rFonts w:ascii="Arial" w:hAnsi="Arial" w:cs="Arial"/>
          <w:sz w:val="20"/>
          <w:szCs w:val="20"/>
        </w:rPr>
        <w:t>sanayiye</w:t>
      </w:r>
      <w:r w:rsidRPr="00C7463D">
        <w:rPr>
          <w:rFonts w:ascii="Arial" w:hAnsi="Arial" w:cs="Arial"/>
          <w:sz w:val="20"/>
          <w:szCs w:val="20"/>
        </w:rPr>
        <w:t xml:space="preserve"> kıyasla daha düşüktür. Ancak bu olgu ücret katılığının kayıt dışılığı sanayide neden çok az etkilediğini tek başına açıklamaz. </w:t>
      </w:r>
    </w:p>
    <w:p w:rsidR="00EA49B1" w:rsidRPr="0089399B" w:rsidRDefault="00EA49B1" w:rsidP="00BA4099">
      <w:pPr>
        <w:rPr>
          <w:rFonts w:ascii="Arial" w:hAnsi="Arial" w:cs="Arial"/>
          <w:sz w:val="20"/>
          <w:szCs w:val="20"/>
        </w:rPr>
      </w:pPr>
    </w:p>
    <w:p w:rsidR="00EA49B1" w:rsidRPr="00FE40C5" w:rsidRDefault="00EA49B1" w:rsidP="00BA4099">
      <w:pPr>
        <w:rPr>
          <w:rFonts w:ascii="Arial" w:hAnsi="Arial" w:cs="Arial"/>
          <w:b/>
          <w:bCs/>
          <w:sz w:val="20"/>
          <w:szCs w:val="20"/>
        </w:rPr>
      </w:pPr>
      <w:r w:rsidRPr="0030489E">
        <w:rPr>
          <w:rFonts w:ascii="Arial" w:hAnsi="Arial" w:cs="Arial"/>
          <w:b/>
          <w:bCs/>
          <w:sz w:val="20"/>
          <w:szCs w:val="20"/>
        </w:rPr>
        <w:t>Şekil 4 Brüt</w:t>
      </w:r>
      <w:r w:rsidRPr="00FE40C5">
        <w:rPr>
          <w:rFonts w:ascii="Arial" w:hAnsi="Arial" w:cs="Arial"/>
          <w:b/>
          <w:bCs/>
          <w:sz w:val="20"/>
          <w:szCs w:val="20"/>
        </w:rPr>
        <w:t xml:space="preserve"> asgari ücretin brüt medyan kazanca oranı ve kayıt dışılık oranı arasın</w:t>
      </w:r>
      <w:r>
        <w:rPr>
          <w:rFonts w:ascii="Arial" w:hAnsi="Arial" w:cs="Arial"/>
          <w:b/>
          <w:bCs/>
          <w:sz w:val="20"/>
          <w:szCs w:val="20"/>
        </w:rPr>
        <w:t>daki korelasyon (2011)</w:t>
      </w:r>
    </w:p>
    <w:p w:rsidR="00EA49B1" w:rsidRDefault="00091E3C" w:rsidP="00BA4099">
      <w:pPr>
        <w:rPr>
          <w:b/>
          <w:bCs/>
          <w:sz w:val="21"/>
          <w:szCs w:val="21"/>
        </w:rPr>
      </w:pPr>
      <w:r>
        <w:rPr>
          <w:b/>
          <w:bCs/>
          <w:noProof/>
          <w:sz w:val="21"/>
          <w:szCs w:val="21"/>
          <w:lang w:eastAsia="tr-TR"/>
        </w:rPr>
        <w:drawing>
          <wp:inline distT="0" distB="0" distL="0" distR="0">
            <wp:extent cx="5760085" cy="1847850"/>
            <wp:effectExtent l="19050" t="0" r="0" b="0"/>
            <wp:docPr id="9" name="Picture 8"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a:stretch>
                      <a:fillRect/>
                    </a:stretch>
                  </pic:blipFill>
                  <pic:spPr>
                    <a:xfrm>
                      <a:off x="0" y="0"/>
                      <a:ext cx="5760085" cy="1847850"/>
                    </a:xfrm>
                    <a:prstGeom prst="rect">
                      <a:avLst/>
                    </a:prstGeom>
                  </pic:spPr>
                </pic:pic>
              </a:graphicData>
            </a:graphic>
          </wp:inline>
        </w:drawing>
      </w:r>
    </w:p>
    <w:p w:rsidR="00EA49B1" w:rsidRPr="00FE40C5" w:rsidRDefault="00EA49B1" w:rsidP="00FE40C5">
      <w:pPr>
        <w:rPr>
          <w:rFonts w:ascii="Arial" w:hAnsi="Arial" w:cs="Arial"/>
          <w:sz w:val="16"/>
          <w:szCs w:val="16"/>
        </w:rPr>
      </w:pPr>
      <w:r w:rsidRPr="00FE40C5">
        <w:rPr>
          <w:rFonts w:ascii="Arial" w:hAnsi="Arial" w:cs="Arial"/>
          <w:sz w:val="16"/>
          <w:szCs w:val="16"/>
        </w:rPr>
        <w:t>Kaynak: Hane halkı İşgücü Anketi; TÜİK, Betam</w:t>
      </w:r>
    </w:p>
    <w:p w:rsidR="00EA49B1" w:rsidRPr="00FE40C5" w:rsidRDefault="00EA49B1" w:rsidP="00FE40C5">
      <w:pPr>
        <w:rPr>
          <w:rFonts w:ascii="Arial" w:hAnsi="Arial" w:cs="Arial"/>
          <w:sz w:val="16"/>
          <w:szCs w:val="16"/>
        </w:rPr>
      </w:pPr>
      <w:r>
        <w:rPr>
          <w:rFonts w:ascii="Arial" w:hAnsi="Arial" w:cs="Arial"/>
          <w:sz w:val="16"/>
          <w:szCs w:val="16"/>
        </w:rPr>
        <w:t>Not: Özel</w:t>
      </w:r>
      <w:r w:rsidRPr="00FE40C5">
        <w:rPr>
          <w:rFonts w:ascii="Arial" w:hAnsi="Arial" w:cs="Arial"/>
          <w:sz w:val="16"/>
          <w:szCs w:val="16"/>
        </w:rPr>
        <w:t xml:space="preserve"> sektörde kayıtlı ve tam zamanlı çalışanların kazançları dikkate alınmıştır.</w:t>
      </w:r>
    </w:p>
    <w:p w:rsidR="00EA49B1" w:rsidRDefault="00EA49B1" w:rsidP="00BA4099">
      <w:pPr>
        <w:rPr>
          <w:b/>
          <w:bCs/>
          <w:sz w:val="21"/>
          <w:szCs w:val="21"/>
        </w:rPr>
      </w:pPr>
    </w:p>
    <w:p w:rsidR="00EA49B1" w:rsidRPr="0089399B" w:rsidRDefault="00EA49B1" w:rsidP="0033056A">
      <w:pPr>
        <w:rPr>
          <w:rFonts w:ascii="Arial" w:hAnsi="Arial" w:cs="Arial"/>
          <w:sz w:val="20"/>
          <w:szCs w:val="20"/>
        </w:rPr>
      </w:pPr>
      <w:r w:rsidRPr="0089399B">
        <w:rPr>
          <w:rFonts w:ascii="Arial" w:hAnsi="Arial" w:cs="Arial"/>
          <w:sz w:val="20"/>
          <w:szCs w:val="20"/>
        </w:rPr>
        <w:t xml:space="preserve">Bu analiz diğer muhtemel etkenleri de dikkate alarak genişletilmelidir. </w:t>
      </w:r>
      <w:r>
        <w:rPr>
          <w:rFonts w:ascii="Arial" w:hAnsi="Arial" w:cs="Arial"/>
          <w:sz w:val="20"/>
          <w:szCs w:val="20"/>
        </w:rPr>
        <w:t>Örneğin</w:t>
      </w:r>
      <w:r w:rsidRPr="0089399B">
        <w:rPr>
          <w:rFonts w:ascii="Arial" w:hAnsi="Arial" w:cs="Arial"/>
          <w:sz w:val="20"/>
          <w:szCs w:val="20"/>
        </w:rPr>
        <w:t xml:space="preserve">, sanayide firmaların krediye ulaşıma hizmetlere kıyasla daha fazla önemsedikleri, dolayısıyla kayıt dışılığa daha az </w:t>
      </w:r>
      <w:r w:rsidRPr="0089399B">
        <w:rPr>
          <w:rFonts w:ascii="Arial" w:hAnsi="Arial" w:cs="Arial"/>
          <w:sz w:val="20"/>
          <w:szCs w:val="20"/>
        </w:rPr>
        <w:lastRenderedPageBreak/>
        <w:t>yöneldikleri ihtimalidir. Bir diğer etken, denetimin sanayide hizmetlere kıyasla daha sıkı tutulması olabilir. Başka etkenler de araştırılmalıdır.</w:t>
      </w:r>
    </w:p>
    <w:p w:rsidR="00EA49B1" w:rsidRDefault="00EA49B1" w:rsidP="00BA4099">
      <w:pPr>
        <w:rPr>
          <w:b/>
          <w:bCs/>
          <w:sz w:val="21"/>
          <w:szCs w:val="21"/>
        </w:rPr>
      </w:pPr>
    </w:p>
    <w:p w:rsidR="00EA49B1" w:rsidRPr="0089399B" w:rsidRDefault="00EA49B1" w:rsidP="0089399B">
      <w:pPr>
        <w:suppressAutoHyphens w:val="0"/>
        <w:rPr>
          <w:rFonts w:ascii="Arial" w:hAnsi="Arial" w:cs="Arial"/>
          <w:b/>
          <w:bCs/>
          <w:sz w:val="22"/>
          <w:szCs w:val="22"/>
        </w:rPr>
      </w:pPr>
      <w:r w:rsidRPr="0089399B">
        <w:rPr>
          <w:rFonts w:ascii="Arial" w:hAnsi="Arial" w:cs="Arial"/>
          <w:b/>
          <w:bCs/>
          <w:sz w:val="22"/>
          <w:szCs w:val="22"/>
        </w:rPr>
        <w:t>Sonuç ve politika önerileri</w:t>
      </w:r>
    </w:p>
    <w:p w:rsidR="00EA49B1" w:rsidRDefault="00EA49B1" w:rsidP="00BA4099">
      <w:pPr>
        <w:rPr>
          <w:rFonts w:ascii="Arial" w:hAnsi="Arial" w:cs="Arial"/>
          <w:b/>
          <w:bCs/>
        </w:rPr>
      </w:pPr>
    </w:p>
    <w:p w:rsidR="00EA49B1" w:rsidRPr="0089399B" w:rsidRDefault="00EA49B1" w:rsidP="00BA4099">
      <w:pPr>
        <w:rPr>
          <w:rFonts w:ascii="Arial" w:hAnsi="Arial" w:cs="Arial"/>
          <w:sz w:val="20"/>
          <w:szCs w:val="20"/>
        </w:rPr>
      </w:pPr>
      <w:r w:rsidRPr="0089399B">
        <w:rPr>
          <w:rFonts w:ascii="Arial" w:hAnsi="Arial" w:cs="Arial"/>
          <w:sz w:val="20"/>
          <w:szCs w:val="20"/>
        </w:rPr>
        <w:t>Bu araştırma notunda yer alan sonuç ve bulguların sanayinin rekabet gücü ve kayıt dışılıkla mücadelede açısından öne çıkardığı hususlar iki noktada toplanabilir:</w:t>
      </w:r>
    </w:p>
    <w:p w:rsidR="00EA49B1" w:rsidRPr="0089399B" w:rsidRDefault="00EA49B1" w:rsidP="00BA4099">
      <w:pPr>
        <w:rPr>
          <w:rFonts w:ascii="Arial" w:hAnsi="Arial" w:cs="Arial"/>
          <w:sz w:val="20"/>
          <w:szCs w:val="20"/>
        </w:rPr>
      </w:pPr>
    </w:p>
    <w:p w:rsidR="00EA49B1" w:rsidRPr="006C31ED" w:rsidRDefault="00EA49B1" w:rsidP="006C31ED">
      <w:pPr>
        <w:numPr>
          <w:ilvl w:val="0"/>
          <w:numId w:val="3"/>
        </w:numPr>
        <w:tabs>
          <w:tab w:val="clear" w:pos="720"/>
          <w:tab w:val="num" w:pos="360"/>
        </w:tabs>
        <w:ind w:left="360"/>
        <w:rPr>
          <w:rFonts w:ascii="Arial" w:hAnsi="Arial" w:cs="Arial"/>
          <w:sz w:val="20"/>
          <w:szCs w:val="20"/>
        </w:rPr>
      </w:pPr>
      <w:r w:rsidRPr="00C04CDD">
        <w:rPr>
          <w:rFonts w:ascii="Arial" w:hAnsi="Arial" w:cs="Arial"/>
          <w:sz w:val="20"/>
          <w:szCs w:val="20"/>
        </w:rPr>
        <w:t xml:space="preserve">Bu araştırmada tanımlandığı şekliyle ücret katılığı (asgari ücret / medyan kazanç) Türkiye’de rakip ülkelere kıyasla bir hayli yüksektir. Bu yükseklik özellikle asgari ücret / medyan kazanç oranının Doğu ve Güneydoğu bölgeleri ile bazı sanayi ağırlıklı bölgelerdeki ücret katılığından kaynaklanmaktadır. </w:t>
      </w:r>
      <w:r>
        <w:rPr>
          <w:rFonts w:ascii="Arial" w:hAnsi="Arial" w:cs="Arial"/>
          <w:sz w:val="20"/>
          <w:szCs w:val="20"/>
        </w:rPr>
        <w:t>Bölgesel istihdam teşvikleri bölgeler arasındaki ücret katılıkları farklarını gidermek amacına da hizmet etmektedir. Bu doğrultuda</w:t>
      </w:r>
      <w:r w:rsidRPr="006C31ED">
        <w:rPr>
          <w:rFonts w:ascii="Arial" w:hAnsi="Arial" w:cs="Arial"/>
          <w:sz w:val="20"/>
          <w:szCs w:val="20"/>
        </w:rPr>
        <w:t xml:space="preserve"> </w:t>
      </w:r>
      <w:r w:rsidRPr="006C4D7B">
        <w:rPr>
          <w:rFonts w:ascii="Arial" w:hAnsi="Arial" w:cs="Arial"/>
          <w:sz w:val="20"/>
          <w:szCs w:val="20"/>
        </w:rPr>
        <w:t xml:space="preserve">5084 sayılı “Yatırımların ve İstihdamın Teşviki ile Bazı Kanunlar Hakkında Değişiklik Yapılması Hakkında Kanun”, 2012/3305 sayılı ve 2013/4966 sayılı Bakanlar Kurulu Kararları ile bölgesel istihdam teşvikleri düzenlenmiş, işgücü maliyetleri bölgesel olarak farklılaştırılmıştır. Ancak bu düzenlemeler kamuya mali yük getirmektedir. </w:t>
      </w:r>
      <w:r w:rsidRPr="006C31ED">
        <w:rPr>
          <w:rFonts w:ascii="Arial" w:hAnsi="Arial" w:cs="Arial"/>
          <w:sz w:val="20"/>
          <w:szCs w:val="20"/>
        </w:rPr>
        <w:t xml:space="preserve">Bölgesel farklılıkları azaltmak amacıyla bölgesel asgari ücret Türkiye’nin reform gündemine alınmalı ve bu politikanın ekonomik akılcılığı ideolojik argümanların dışında tartışılmalıdır. Örneğin bölgesel asgari ücretlerin belediyeler, firmalar, Kalkınma Ajansları gibi bölgesel paydaşları içeren bir mekanizma tarafından belirlenmesi önerilebilir.  </w:t>
      </w:r>
    </w:p>
    <w:p w:rsidR="00EA49B1" w:rsidRPr="0089399B" w:rsidRDefault="00EA49B1" w:rsidP="00FE73B0">
      <w:pPr>
        <w:ind w:left="360"/>
        <w:rPr>
          <w:rFonts w:ascii="Arial" w:hAnsi="Arial" w:cs="Arial"/>
          <w:sz w:val="20"/>
          <w:szCs w:val="20"/>
        </w:rPr>
      </w:pPr>
    </w:p>
    <w:p w:rsidR="00EA49B1" w:rsidRPr="0089399B" w:rsidRDefault="00EA49B1" w:rsidP="00FE73B0">
      <w:pPr>
        <w:numPr>
          <w:ilvl w:val="0"/>
          <w:numId w:val="3"/>
        </w:numPr>
        <w:tabs>
          <w:tab w:val="clear" w:pos="720"/>
          <w:tab w:val="num" w:pos="360"/>
        </w:tabs>
        <w:ind w:left="360"/>
        <w:rPr>
          <w:rFonts w:ascii="Arial" w:hAnsi="Arial" w:cs="Arial"/>
          <w:sz w:val="20"/>
          <w:szCs w:val="20"/>
        </w:rPr>
      </w:pPr>
      <w:r w:rsidRPr="0089399B">
        <w:rPr>
          <w:rFonts w:ascii="Arial" w:hAnsi="Arial" w:cs="Arial"/>
          <w:sz w:val="20"/>
          <w:szCs w:val="20"/>
        </w:rPr>
        <w:t>Ücret katılığının istihdamı ne ölçüde kısıtladığını bilmiyoruz. Bu notta ücret katılığının kayıt dış</w:t>
      </w:r>
      <w:r>
        <w:rPr>
          <w:rFonts w:ascii="Arial" w:hAnsi="Arial" w:cs="Arial"/>
          <w:sz w:val="20"/>
          <w:szCs w:val="20"/>
        </w:rPr>
        <w:t>ı</w:t>
      </w:r>
      <w:r w:rsidRPr="0089399B">
        <w:rPr>
          <w:rFonts w:ascii="Arial" w:hAnsi="Arial" w:cs="Arial"/>
          <w:sz w:val="20"/>
          <w:szCs w:val="20"/>
        </w:rPr>
        <w:t xml:space="preserve"> istihdam üzerindeki etkisini basit korelasyon yöntemi ile araştırdık. Dikkat çeken sonuç, ücret katılığının kayıt dışılığı sanayide az etkilerken, hizmetlerde bu etkinin oldukça güçlü olduğudur. Bu çalışma yetersizdir. Kayıt dışılık firmaların krediye ulaşımlarını ve ölçeklerini sınırlayan önemli bir etken olarak rekabet gücünü de olumsuz etkilemektedir. </w:t>
      </w:r>
      <w:r w:rsidR="0030489E">
        <w:rPr>
          <w:rFonts w:ascii="Arial" w:hAnsi="Arial" w:cs="Arial"/>
          <w:sz w:val="20"/>
          <w:szCs w:val="20"/>
        </w:rPr>
        <w:t>2011 yılında s</w:t>
      </w:r>
      <w:r w:rsidRPr="0089399B">
        <w:rPr>
          <w:rFonts w:ascii="Arial" w:hAnsi="Arial" w:cs="Arial"/>
          <w:sz w:val="20"/>
          <w:szCs w:val="20"/>
        </w:rPr>
        <w:t>anayi ile hizmetler arasında kayıt dışılık farkı 5 yüzde puanla (yüzde 18’e 23)</w:t>
      </w:r>
      <w:r>
        <w:rPr>
          <w:rFonts w:ascii="Arial" w:hAnsi="Arial" w:cs="Arial"/>
          <w:sz w:val="20"/>
          <w:szCs w:val="20"/>
        </w:rPr>
        <w:t xml:space="preserve"> </w:t>
      </w:r>
      <w:r w:rsidRPr="0089399B">
        <w:rPr>
          <w:rFonts w:ascii="Arial" w:hAnsi="Arial" w:cs="Arial"/>
          <w:sz w:val="20"/>
          <w:szCs w:val="20"/>
        </w:rPr>
        <w:t>fazla yüksek değildir. Bununla birlikte kayıt dışılığı besleyen etkenler sanayi ve hizmetlerde farklı yoğunlukta olabilirler. Bu bakımdan kayıt dışılığın nedenlerinin sanayi ve hizmetlerde ayrı ayrı araştırılması faydalı olacaktır.</w:t>
      </w:r>
    </w:p>
    <w:p w:rsidR="00EA49B1" w:rsidRPr="0089399B" w:rsidRDefault="00EA49B1" w:rsidP="00AA32E2">
      <w:pPr>
        <w:ind w:left="360"/>
        <w:rPr>
          <w:rFonts w:ascii="Arial" w:hAnsi="Arial" w:cs="Arial"/>
          <w:sz w:val="20"/>
          <w:szCs w:val="20"/>
        </w:rPr>
      </w:pPr>
      <w:r w:rsidRPr="0089399B">
        <w:rPr>
          <w:rFonts w:ascii="Arial" w:hAnsi="Arial" w:cs="Arial"/>
          <w:sz w:val="20"/>
          <w:szCs w:val="20"/>
        </w:rPr>
        <w:t xml:space="preserve"> </w:t>
      </w:r>
    </w:p>
    <w:p w:rsidR="00EA49B1" w:rsidRPr="00FE40C5" w:rsidRDefault="00EA49B1" w:rsidP="003A1460">
      <w:pPr>
        <w:suppressAutoHyphens w:val="0"/>
        <w:rPr>
          <w:rFonts w:ascii="Arial" w:hAnsi="Arial" w:cs="Arial"/>
          <w:b/>
          <w:bCs/>
          <w:sz w:val="20"/>
          <w:szCs w:val="20"/>
        </w:rPr>
      </w:pPr>
      <w:r>
        <w:rPr>
          <w:rFonts w:ascii="Arial" w:hAnsi="Arial" w:cs="Arial"/>
          <w:sz w:val="21"/>
          <w:szCs w:val="21"/>
        </w:rPr>
        <w:br w:type="page"/>
      </w:r>
      <w:r w:rsidRPr="00FE40C5">
        <w:rPr>
          <w:rFonts w:ascii="Arial" w:hAnsi="Arial" w:cs="Arial"/>
          <w:b/>
          <w:bCs/>
          <w:sz w:val="20"/>
          <w:szCs w:val="20"/>
        </w:rPr>
        <w:lastRenderedPageBreak/>
        <w:t xml:space="preserve">Ek </w:t>
      </w:r>
      <w:r>
        <w:rPr>
          <w:rFonts w:ascii="Arial" w:hAnsi="Arial" w:cs="Arial"/>
          <w:b/>
          <w:bCs/>
          <w:sz w:val="20"/>
          <w:szCs w:val="20"/>
        </w:rPr>
        <w:t>1</w:t>
      </w:r>
      <w:r w:rsidRPr="00FE40C5">
        <w:rPr>
          <w:rFonts w:ascii="Arial" w:hAnsi="Arial" w:cs="Arial"/>
          <w:b/>
          <w:bCs/>
          <w:sz w:val="20"/>
          <w:szCs w:val="20"/>
        </w:rPr>
        <w:t xml:space="preserve"> Bölgelere göre net asgari ücretin net medyan kazanca oranı (2011)</w:t>
      </w:r>
    </w:p>
    <w:p w:rsidR="00EA49B1" w:rsidRPr="004F66E1" w:rsidRDefault="001A02DC" w:rsidP="00BA4099">
      <w:pPr>
        <w:rPr>
          <w:sz w:val="21"/>
          <w:szCs w:val="21"/>
        </w:rPr>
      </w:pPr>
      <w:r>
        <w:rPr>
          <w:noProof/>
          <w:sz w:val="21"/>
          <w:szCs w:val="21"/>
          <w:lang w:eastAsia="tr-TR"/>
        </w:rPr>
        <w:drawing>
          <wp:inline distT="0" distB="0" distL="0" distR="0">
            <wp:extent cx="5710555" cy="3002280"/>
            <wp:effectExtent l="19050" t="0" r="4445" b="0"/>
            <wp:docPr id="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srcRect/>
                    <a:stretch>
                      <a:fillRect/>
                    </a:stretch>
                  </pic:blipFill>
                  <pic:spPr bwMode="auto">
                    <a:xfrm>
                      <a:off x="0" y="0"/>
                      <a:ext cx="5710555" cy="3002280"/>
                    </a:xfrm>
                    <a:prstGeom prst="rect">
                      <a:avLst/>
                    </a:prstGeom>
                    <a:noFill/>
                    <a:ln w="9525">
                      <a:noFill/>
                      <a:miter lim="800000"/>
                      <a:headEnd/>
                      <a:tailEnd/>
                    </a:ln>
                  </pic:spPr>
                </pic:pic>
              </a:graphicData>
            </a:graphic>
          </wp:inline>
        </w:drawing>
      </w:r>
    </w:p>
    <w:p w:rsidR="00EA49B1" w:rsidRPr="00FE40C5" w:rsidRDefault="00EA49B1" w:rsidP="00BA4099">
      <w:pPr>
        <w:rPr>
          <w:rFonts w:ascii="Arial" w:hAnsi="Arial" w:cs="Arial"/>
          <w:sz w:val="16"/>
          <w:szCs w:val="16"/>
        </w:rPr>
      </w:pPr>
      <w:r w:rsidRPr="00FE40C5">
        <w:rPr>
          <w:rFonts w:ascii="Arial" w:hAnsi="Arial" w:cs="Arial"/>
          <w:sz w:val="16"/>
          <w:szCs w:val="16"/>
        </w:rPr>
        <w:t>Kaynak: Hane halkı İşgücü Anketi; TÜİK, Betam</w:t>
      </w:r>
    </w:p>
    <w:p w:rsidR="00EA49B1" w:rsidRPr="00FE40C5" w:rsidRDefault="00EA49B1" w:rsidP="00BA4099">
      <w:pPr>
        <w:rPr>
          <w:rFonts w:ascii="Arial" w:hAnsi="Arial" w:cs="Arial"/>
          <w:sz w:val="16"/>
          <w:szCs w:val="16"/>
        </w:rPr>
      </w:pPr>
      <w:r w:rsidRPr="00FE40C5">
        <w:rPr>
          <w:rFonts w:ascii="Arial" w:hAnsi="Arial" w:cs="Arial"/>
          <w:sz w:val="16"/>
          <w:szCs w:val="16"/>
        </w:rPr>
        <w:t>Not: Özel sektörde kayıtlı ve tam zamanlı çalışanların kazançları dikkate alınmıştır.</w:t>
      </w:r>
    </w:p>
    <w:p w:rsidR="00EA49B1" w:rsidRDefault="00EA49B1" w:rsidP="00BA4099">
      <w:pPr>
        <w:rPr>
          <w:rFonts w:ascii="Arial" w:hAnsi="Arial" w:cs="Arial"/>
          <w:b/>
          <w:bCs/>
          <w:sz w:val="20"/>
          <w:szCs w:val="20"/>
        </w:rPr>
      </w:pPr>
    </w:p>
    <w:p w:rsidR="00EA49B1" w:rsidRPr="00FE40C5" w:rsidRDefault="00EA49B1" w:rsidP="00BA4099">
      <w:pPr>
        <w:rPr>
          <w:rFonts w:ascii="Arial" w:hAnsi="Arial" w:cs="Arial"/>
          <w:b/>
          <w:bCs/>
          <w:sz w:val="20"/>
          <w:szCs w:val="20"/>
        </w:rPr>
      </w:pPr>
      <w:r w:rsidRPr="00FE40C5">
        <w:rPr>
          <w:rFonts w:ascii="Arial" w:hAnsi="Arial" w:cs="Arial"/>
          <w:b/>
          <w:bCs/>
          <w:sz w:val="20"/>
          <w:szCs w:val="20"/>
        </w:rPr>
        <w:t xml:space="preserve">Ek </w:t>
      </w:r>
      <w:r>
        <w:rPr>
          <w:rFonts w:ascii="Arial" w:hAnsi="Arial" w:cs="Arial"/>
          <w:b/>
          <w:bCs/>
          <w:sz w:val="20"/>
          <w:szCs w:val="20"/>
        </w:rPr>
        <w:t>2</w:t>
      </w:r>
      <w:r w:rsidRPr="00FE40C5">
        <w:rPr>
          <w:rFonts w:ascii="Arial" w:hAnsi="Arial" w:cs="Arial"/>
          <w:b/>
          <w:bCs/>
          <w:sz w:val="20"/>
          <w:szCs w:val="20"/>
        </w:rPr>
        <w:t xml:space="preserve"> Bölgelere göre net asgari ücretin net ortalama kazanca oranı (2011)</w:t>
      </w:r>
    </w:p>
    <w:p w:rsidR="00EA49B1" w:rsidRPr="004F66E1" w:rsidRDefault="001A02DC" w:rsidP="00BA4099">
      <w:pPr>
        <w:rPr>
          <w:sz w:val="21"/>
          <w:szCs w:val="21"/>
        </w:rPr>
      </w:pPr>
      <w:r>
        <w:rPr>
          <w:noProof/>
          <w:sz w:val="21"/>
          <w:szCs w:val="21"/>
          <w:lang w:eastAsia="tr-TR"/>
        </w:rPr>
        <w:drawing>
          <wp:inline distT="0" distB="0" distL="0" distR="0">
            <wp:extent cx="6245225" cy="3079750"/>
            <wp:effectExtent l="19050" t="0" r="3175" b="0"/>
            <wp:docPr id="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srcRect/>
                    <a:stretch>
                      <a:fillRect/>
                    </a:stretch>
                  </pic:blipFill>
                  <pic:spPr bwMode="auto">
                    <a:xfrm>
                      <a:off x="0" y="0"/>
                      <a:ext cx="6245225" cy="3079750"/>
                    </a:xfrm>
                    <a:prstGeom prst="rect">
                      <a:avLst/>
                    </a:prstGeom>
                    <a:noFill/>
                    <a:ln w="9525">
                      <a:noFill/>
                      <a:miter lim="800000"/>
                      <a:headEnd/>
                      <a:tailEnd/>
                    </a:ln>
                  </pic:spPr>
                </pic:pic>
              </a:graphicData>
            </a:graphic>
          </wp:inline>
        </w:drawing>
      </w:r>
    </w:p>
    <w:p w:rsidR="00EA49B1" w:rsidRPr="00FE40C5" w:rsidRDefault="00EA49B1" w:rsidP="00BA4099">
      <w:pPr>
        <w:rPr>
          <w:rFonts w:ascii="Arial" w:hAnsi="Arial" w:cs="Arial"/>
          <w:sz w:val="16"/>
          <w:szCs w:val="16"/>
        </w:rPr>
      </w:pPr>
      <w:r w:rsidRPr="00FE40C5">
        <w:rPr>
          <w:rFonts w:ascii="Arial" w:hAnsi="Arial" w:cs="Arial"/>
          <w:sz w:val="16"/>
          <w:szCs w:val="16"/>
        </w:rPr>
        <w:t>Kaynak: Hane halkı İşgücü Anketi; TÜİK, Betam</w:t>
      </w:r>
    </w:p>
    <w:p w:rsidR="00EA49B1" w:rsidRPr="00FE40C5" w:rsidRDefault="00EA49B1" w:rsidP="00BA4099">
      <w:pPr>
        <w:rPr>
          <w:rFonts w:ascii="Arial" w:hAnsi="Arial" w:cs="Arial"/>
          <w:sz w:val="16"/>
          <w:szCs w:val="16"/>
        </w:rPr>
      </w:pPr>
      <w:r w:rsidRPr="00FE40C5">
        <w:rPr>
          <w:rFonts w:ascii="Arial" w:hAnsi="Arial" w:cs="Arial"/>
          <w:sz w:val="16"/>
          <w:szCs w:val="16"/>
        </w:rPr>
        <w:t>Not: Özel sektörde kayıtlı ve tam zamanlı çalışanların kazançları dikkate alınmıştır.</w:t>
      </w:r>
    </w:p>
    <w:p w:rsidR="00EA49B1" w:rsidRPr="004F66E1" w:rsidRDefault="00EA49B1" w:rsidP="00BA4099">
      <w:pPr>
        <w:rPr>
          <w:sz w:val="21"/>
          <w:szCs w:val="21"/>
        </w:rPr>
      </w:pPr>
    </w:p>
    <w:p w:rsidR="00EA49B1" w:rsidRDefault="00EA49B1" w:rsidP="0089399B">
      <w:pPr>
        <w:suppressAutoHyphens w:val="0"/>
        <w:rPr>
          <w:rFonts w:ascii="Arial" w:hAnsi="Arial" w:cs="Arial"/>
          <w:b/>
          <w:bCs/>
          <w:sz w:val="20"/>
          <w:szCs w:val="20"/>
        </w:rPr>
      </w:pPr>
      <w:r>
        <w:rPr>
          <w:rFonts w:ascii="Arial" w:hAnsi="Arial" w:cs="Arial"/>
          <w:b/>
          <w:bCs/>
          <w:sz w:val="20"/>
          <w:szCs w:val="20"/>
        </w:rPr>
        <w:br w:type="page"/>
      </w:r>
    </w:p>
    <w:p w:rsidR="00EA49B1" w:rsidRDefault="00EA49B1" w:rsidP="00BA4099">
      <w:pPr>
        <w:rPr>
          <w:rFonts w:ascii="Arial" w:hAnsi="Arial" w:cs="Arial"/>
          <w:b/>
          <w:bCs/>
          <w:sz w:val="20"/>
          <w:szCs w:val="20"/>
        </w:rPr>
      </w:pPr>
    </w:p>
    <w:p w:rsidR="00EA49B1" w:rsidRPr="00FE40C5" w:rsidRDefault="00EA49B1" w:rsidP="00BA4099">
      <w:pPr>
        <w:rPr>
          <w:rFonts w:ascii="Arial" w:hAnsi="Arial" w:cs="Arial"/>
          <w:b/>
          <w:bCs/>
          <w:sz w:val="20"/>
          <w:szCs w:val="20"/>
        </w:rPr>
      </w:pPr>
      <w:r w:rsidRPr="00FE40C5">
        <w:rPr>
          <w:rFonts w:ascii="Arial" w:hAnsi="Arial" w:cs="Arial"/>
          <w:b/>
          <w:bCs/>
          <w:sz w:val="20"/>
          <w:szCs w:val="20"/>
        </w:rPr>
        <w:t xml:space="preserve">Ek </w:t>
      </w:r>
      <w:r>
        <w:rPr>
          <w:rFonts w:ascii="Arial" w:hAnsi="Arial" w:cs="Arial"/>
          <w:b/>
          <w:bCs/>
          <w:sz w:val="20"/>
          <w:szCs w:val="20"/>
        </w:rPr>
        <w:t xml:space="preserve">3 Bölgelere göre brüt ve net ortalama ve medyan kazançları </w:t>
      </w:r>
    </w:p>
    <w:tbl>
      <w:tblPr>
        <w:tblW w:w="9440" w:type="dxa"/>
        <w:tblInd w:w="-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A0"/>
      </w:tblPr>
      <w:tblGrid>
        <w:gridCol w:w="4452"/>
        <w:gridCol w:w="924"/>
        <w:gridCol w:w="863"/>
        <w:gridCol w:w="717"/>
        <w:gridCol w:w="918"/>
        <w:gridCol w:w="856"/>
        <w:gridCol w:w="710"/>
      </w:tblGrid>
      <w:tr w:rsidR="00EA49B1" w:rsidRPr="00FA770B">
        <w:trPr>
          <w:trHeight w:val="1223"/>
        </w:trPr>
        <w:tc>
          <w:tcPr>
            <w:tcW w:w="0" w:type="auto"/>
            <w:noWrap/>
            <w:vAlign w:val="bottom"/>
          </w:tcPr>
          <w:p w:rsidR="00EA49B1" w:rsidRPr="00FA770B" w:rsidRDefault="00EA49B1" w:rsidP="00FE40C5">
            <w:pPr>
              <w:suppressAutoHyphens w:val="0"/>
              <w:rPr>
                <w:rFonts w:ascii="Arial" w:hAnsi="Arial" w:cs="Arial"/>
                <w:b/>
                <w:bCs/>
                <w:color w:val="000000"/>
                <w:sz w:val="16"/>
                <w:szCs w:val="16"/>
                <w:lang w:eastAsia="tr-TR"/>
              </w:rPr>
            </w:pPr>
            <w:r w:rsidRPr="00FA770B">
              <w:rPr>
                <w:rFonts w:ascii="Arial" w:hAnsi="Arial" w:cs="Arial"/>
                <w:b/>
                <w:bCs/>
                <w:color w:val="000000"/>
                <w:sz w:val="16"/>
                <w:szCs w:val="16"/>
                <w:lang w:eastAsia="tr-TR"/>
              </w:rPr>
              <w:t>Düzey 2 Bölgeleri</w:t>
            </w:r>
          </w:p>
        </w:tc>
        <w:tc>
          <w:tcPr>
            <w:tcW w:w="0" w:type="auto"/>
            <w:vAlign w:val="bottom"/>
          </w:tcPr>
          <w:p w:rsidR="00EA49B1" w:rsidRPr="00FA770B" w:rsidRDefault="00EA49B1" w:rsidP="00FE40C5">
            <w:pPr>
              <w:suppressAutoHyphens w:val="0"/>
              <w:rPr>
                <w:rFonts w:ascii="Arial" w:hAnsi="Arial" w:cs="Arial"/>
                <w:b/>
                <w:bCs/>
                <w:color w:val="000000"/>
                <w:sz w:val="16"/>
                <w:szCs w:val="16"/>
                <w:lang w:eastAsia="tr-TR"/>
              </w:rPr>
            </w:pPr>
            <w:r w:rsidRPr="00FA770B">
              <w:rPr>
                <w:rFonts w:ascii="Arial" w:hAnsi="Arial" w:cs="Arial"/>
                <w:b/>
                <w:bCs/>
                <w:color w:val="000000"/>
                <w:sz w:val="16"/>
                <w:szCs w:val="16"/>
                <w:lang w:eastAsia="tr-TR"/>
              </w:rPr>
              <w:t>Brüt ortalama kazanç (TL)</w:t>
            </w:r>
          </w:p>
        </w:tc>
        <w:tc>
          <w:tcPr>
            <w:tcW w:w="0" w:type="auto"/>
            <w:vAlign w:val="bottom"/>
          </w:tcPr>
          <w:p w:rsidR="00EA49B1" w:rsidRPr="00FA770B" w:rsidRDefault="00EA49B1" w:rsidP="00FE40C5">
            <w:pPr>
              <w:suppressAutoHyphens w:val="0"/>
              <w:rPr>
                <w:rFonts w:ascii="Arial" w:hAnsi="Arial" w:cs="Arial"/>
                <w:b/>
                <w:bCs/>
                <w:color w:val="000000"/>
                <w:sz w:val="16"/>
                <w:szCs w:val="16"/>
                <w:lang w:eastAsia="tr-TR"/>
              </w:rPr>
            </w:pPr>
            <w:r w:rsidRPr="00FA770B">
              <w:rPr>
                <w:rFonts w:ascii="Arial" w:hAnsi="Arial" w:cs="Arial"/>
                <w:b/>
                <w:bCs/>
                <w:color w:val="000000"/>
                <w:sz w:val="16"/>
                <w:szCs w:val="16"/>
                <w:lang w:eastAsia="tr-TR"/>
              </w:rPr>
              <w:t>Brüt medyan kazanç (TL)</w:t>
            </w:r>
          </w:p>
        </w:tc>
        <w:tc>
          <w:tcPr>
            <w:tcW w:w="0" w:type="auto"/>
            <w:vAlign w:val="bottom"/>
          </w:tcPr>
          <w:p w:rsidR="00EA49B1" w:rsidRPr="00FA770B" w:rsidRDefault="00EA49B1" w:rsidP="00FE40C5">
            <w:pPr>
              <w:suppressAutoHyphens w:val="0"/>
              <w:rPr>
                <w:rFonts w:ascii="Arial" w:hAnsi="Arial" w:cs="Arial"/>
                <w:b/>
                <w:bCs/>
                <w:color w:val="000000"/>
                <w:sz w:val="16"/>
                <w:szCs w:val="16"/>
                <w:lang w:eastAsia="tr-TR"/>
              </w:rPr>
            </w:pPr>
            <w:r w:rsidRPr="00FA770B">
              <w:rPr>
                <w:rFonts w:ascii="Arial" w:hAnsi="Arial" w:cs="Arial"/>
                <w:b/>
                <w:bCs/>
                <w:color w:val="000000"/>
                <w:sz w:val="16"/>
                <w:szCs w:val="16"/>
                <w:lang w:eastAsia="tr-TR"/>
              </w:rPr>
              <w:t xml:space="preserve">Brüt asgari ücret (TL) </w:t>
            </w:r>
          </w:p>
        </w:tc>
        <w:tc>
          <w:tcPr>
            <w:tcW w:w="0" w:type="auto"/>
            <w:vAlign w:val="bottom"/>
          </w:tcPr>
          <w:p w:rsidR="00EA49B1" w:rsidRPr="00FA770B" w:rsidRDefault="00EA49B1" w:rsidP="00FE40C5">
            <w:pPr>
              <w:suppressAutoHyphens w:val="0"/>
              <w:rPr>
                <w:rFonts w:ascii="Arial" w:hAnsi="Arial" w:cs="Arial"/>
                <w:b/>
                <w:bCs/>
                <w:color w:val="000000"/>
                <w:sz w:val="16"/>
                <w:szCs w:val="16"/>
                <w:lang w:eastAsia="tr-TR"/>
              </w:rPr>
            </w:pPr>
            <w:r w:rsidRPr="00FA770B">
              <w:rPr>
                <w:rFonts w:ascii="Arial" w:hAnsi="Arial" w:cs="Arial"/>
                <w:b/>
                <w:bCs/>
                <w:color w:val="000000"/>
                <w:sz w:val="16"/>
                <w:szCs w:val="16"/>
                <w:lang w:eastAsia="tr-TR"/>
              </w:rPr>
              <w:t>Net ortalama kazanç (TL)</w:t>
            </w:r>
          </w:p>
        </w:tc>
        <w:tc>
          <w:tcPr>
            <w:tcW w:w="0" w:type="auto"/>
            <w:vAlign w:val="bottom"/>
          </w:tcPr>
          <w:p w:rsidR="00EA49B1" w:rsidRPr="00FA770B" w:rsidRDefault="00EA49B1" w:rsidP="00FE40C5">
            <w:pPr>
              <w:suppressAutoHyphens w:val="0"/>
              <w:rPr>
                <w:rFonts w:ascii="Arial" w:hAnsi="Arial" w:cs="Arial"/>
                <w:b/>
                <w:bCs/>
                <w:color w:val="000000"/>
                <w:sz w:val="16"/>
                <w:szCs w:val="16"/>
                <w:lang w:eastAsia="tr-TR"/>
              </w:rPr>
            </w:pPr>
            <w:r w:rsidRPr="00FA770B">
              <w:rPr>
                <w:rFonts w:ascii="Arial" w:hAnsi="Arial" w:cs="Arial"/>
                <w:b/>
                <w:bCs/>
                <w:color w:val="000000"/>
                <w:sz w:val="16"/>
                <w:szCs w:val="16"/>
                <w:lang w:eastAsia="tr-TR"/>
              </w:rPr>
              <w:t>Net medyan kazanç (TL)</w:t>
            </w:r>
          </w:p>
        </w:tc>
        <w:tc>
          <w:tcPr>
            <w:tcW w:w="0" w:type="auto"/>
            <w:vAlign w:val="bottom"/>
          </w:tcPr>
          <w:p w:rsidR="00EA49B1" w:rsidRPr="00FA770B" w:rsidRDefault="00EA49B1" w:rsidP="00FE40C5">
            <w:pPr>
              <w:suppressAutoHyphens w:val="0"/>
              <w:rPr>
                <w:rFonts w:ascii="Arial" w:hAnsi="Arial" w:cs="Arial"/>
                <w:b/>
                <w:bCs/>
                <w:color w:val="000000"/>
                <w:sz w:val="16"/>
                <w:szCs w:val="16"/>
                <w:lang w:eastAsia="tr-TR"/>
              </w:rPr>
            </w:pPr>
            <w:r w:rsidRPr="00FA770B">
              <w:rPr>
                <w:rFonts w:ascii="Arial" w:hAnsi="Arial" w:cs="Arial"/>
                <w:b/>
                <w:bCs/>
                <w:color w:val="000000"/>
                <w:sz w:val="16"/>
                <w:szCs w:val="16"/>
                <w:lang w:eastAsia="tr-TR"/>
              </w:rPr>
              <w:t>Net asgari ücret (TL)</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TR10 (İstanbul)</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1699</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1325</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1255</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1000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TR21 (Tekirdağ, Edirne, Kırklareli)</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1200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982</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905</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750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TR22 (Balıkesir, Çanakkale)</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1151</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913</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869</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700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TR31 (İzmir)</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1432</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1047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1066</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800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TR32 (Aydın, Denizli, Muğla)</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1155</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913</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871</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700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TR33 (Manisa, Afyon, Kütahya, Uşak)</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1046</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913</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795</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700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TR41 (Bursa, Eskişehir, Bilecik)</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1251</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982</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940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750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TR42 (Kocaeli, Sakarya, Düzce, Bolu, Yalova)</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1314</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1047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985</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800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TR51 (Ankara)</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1623</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1185</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1201</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900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TR52 (Konya, Karaman)</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1150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952</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869</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730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TR61 (Antalya, Isparta, Burdur)</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1373</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1047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1026</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800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TR62 (Adana, Mersin)</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1214</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913</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913</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700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TR63 (Hatay, Kahramanmaraş, Osmaniye)</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1249</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952</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938</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730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TR71 (Kırıkkale, Aksaray, Niğde, Nevşehir, Kırşehir )</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1137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913</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859</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700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TR72 (Kayseri, Sivas, Yozgat)</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1105</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913</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700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TR81 (Zonguldak, Karabük, Bartın)</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1217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982</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916</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750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TR82 (Kastamonu, Çankırı, Sinop)</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1077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913</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817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700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TR83 (Samsun, Tokat, Çorum, Amasya)</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1120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913</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847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700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TR90 (Trabzon, Ordu, Giresun, Rize, Artvin, Gümüşhane)</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1196</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982</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901</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750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TRA1 (Erzurum, Erzincan, Bayburt)</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1258</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1047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945</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800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TRA2 (Ağrı, Kars, Iğdır, Ardahan)</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1127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913</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852</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700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TRB1 (Malatya, Elazığ, Bingöl, Tunceli)</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1075</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855</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815</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660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 xml:space="preserve">TRB2 (Van, Muş, Bitlis, </w:t>
            </w:r>
            <w:r w:rsidR="00FA770B" w:rsidRPr="00FA770B">
              <w:rPr>
                <w:rFonts w:ascii="Arial" w:hAnsi="Arial" w:cs="Arial"/>
                <w:b/>
                <w:bCs/>
                <w:sz w:val="16"/>
                <w:szCs w:val="16"/>
                <w:lang w:eastAsia="tr-TR"/>
              </w:rPr>
              <w:t>Hakkâri</w:t>
            </w:r>
            <w:r w:rsidRPr="00FA770B">
              <w:rPr>
                <w:rFonts w:ascii="Arial" w:hAnsi="Arial" w:cs="Arial"/>
                <w:b/>
                <w:bCs/>
                <w:sz w:val="16"/>
                <w:szCs w:val="16"/>
                <w:lang w:eastAsia="tr-TR"/>
              </w:rPr>
              <w:t>)</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1233</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982</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927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750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TRC1 (Gaziantep, Adıyaman, Kilis)</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1051</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913</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799</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700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02"/>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TRC2 (Şanlıurfa, Diyarbakır)</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1156</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913</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874</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700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17"/>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TRC3 (Mardin, Batman, Şırnak, Siirt)</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1108</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913</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838</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700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r w:rsidR="00EA49B1" w:rsidRPr="00FA770B">
        <w:trPr>
          <w:trHeight w:val="317"/>
        </w:trPr>
        <w:tc>
          <w:tcPr>
            <w:tcW w:w="0" w:type="auto"/>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Türkiye</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1404</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1047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837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1047</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800</w:t>
            </w:r>
          </w:p>
        </w:tc>
        <w:tc>
          <w:tcPr>
            <w:tcW w:w="0" w:type="auto"/>
            <w:noWrap/>
            <w:vAlign w:val="bottom"/>
          </w:tcPr>
          <w:p w:rsidR="00EA49B1" w:rsidRPr="00FA770B" w:rsidRDefault="00EA49B1" w:rsidP="00FE40C5">
            <w:pPr>
              <w:suppressAutoHyphens w:val="0"/>
              <w:jc w:val="right"/>
              <w:rPr>
                <w:rFonts w:ascii="Arial" w:hAnsi="Arial" w:cs="Arial"/>
                <w:color w:val="000000"/>
                <w:sz w:val="16"/>
                <w:szCs w:val="16"/>
                <w:lang w:eastAsia="tr-TR"/>
              </w:rPr>
            </w:pPr>
            <w:r w:rsidRPr="00FA770B">
              <w:rPr>
                <w:rFonts w:ascii="Arial" w:hAnsi="Arial" w:cs="Arial"/>
                <w:color w:val="000000"/>
                <w:sz w:val="16"/>
                <w:szCs w:val="16"/>
                <w:lang w:eastAsia="tr-TR"/>
              </w:rPr>
              <w:t>650</w:t>
            </w:r>
          </w:p>
        </w:tc>
      </w:tr>
    </w:tbl>
    <w:p w:rsidR="00EA49B1" w:rsidRPr="00FE40C5" w:rsidRDefault="00EA49B1" w:rsidP="00BA4099">
      <w:pPr>
        <w:rPr>
          <w:rFonts w:ascii="Arial" w:hAnsi="Arial" w:cs="Arial"/>
          <w:sz w:val="16"/>
          <w:szCs w:val="16"/>
        </w:rPr>
      </w:pPr>
      <w:r w:rsidRPr="00FE40C5">
        <w:rPr>
          <w:rFonts w:ascii="Arial" w:hAnsi="Arial" w:cs="Arial"/>
          <w:sz w:val="16"/>
          <w:szCs w:val="16"/>
        </w:rPr>
        <w:t>Kaynak: Hane halkı İşgücü Anketi; TÜİK, Betam</w:t>
      </w:r>
    </w:p>
    <w:p w:rsidR="00EA49B1" w:rsidRDefault="00EA49B1" w:rsidP="00BA4099">
      <w:pPr>
        <w:rPr>
          <w:sz w:val="21"/>
          <w:szCs w:val="21"/>
        </w:rPr>
      </w:pPr>
    </w:p>
    <w:p w:rsidR="00EA49B1" w:rsidRPr="004F66E1" w:rsidRDefault="00EA49B1" w:rsidP="0089399B">
      <w:pPr>
        <w:suppressAutoHyphens w:val="0"/>
        <w:rPr>
          <w:sz w:val="21"/>
          <w:szCs w:val="21"/>
        </w:rPr>
      </w:pPr>
      <w:r>
        <w:rPr>
          <w:sz w:val="21"/>
          <w:szCs w:val="21"/>
        </w:rPr>
        <w:br w:type="page"/>
      </w:r>
    </w:p>
    <w:p w:rsidR="00EA49B1" w:rsidRPr="005126BD" w:rsidRDefault="00EA49B1" w:rsidP="00BA4099">
      <w:pPr>
        <w:rPr>
          <w:rFonts w:ascii="Arial" w:hAnsi="Arial" w:cs="Arial"/>
          <w:b/>
          <w:bCs/>
          <w:sz w:val="20"/>
          <w:szCs w:val="20"/>
        </w:rPr>
      </w:pPr>
      <w:r>
        <w:rPr>
          <w:rFonts w:ascii="Arial" w:hAnsi="Arial" w:cs="Arial"/>
          <w:b/>
          <w:bCs/>
          <w:sz w:val="20"/>
          <w:szCs w:val="20"/>
        </w:rPr>
        <w:lastRenderedPageBreak/>
        <w:t xml:space="preserve">Ek 4 Bölgelere göre brüt ve net ortalama ve medyan kazançları </w:t>
      </w:r>
    </w:p>
    <w:tbl>
      <w:tblPr>
        <w:tblW w:w="5546"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A0"/>
      </w:tblPr>
      <w:tblGrid>
        <w:gridCol w:w="4519"/>
        <w:gridCol w:w="533"/>
        <w:gridCol w:w="752"/>
        <w:gridCol w:w="756"/>
        <w:gridCol w:w="752"/>
        <w:gridCol w:w="969"/>
        <w:gridCol w:w="969"/>
        <w:gridCol w:w="967"/>
      </w:tblGrid>
      <w:tr w:rsidR="00FA770B" w:rsidRPr="00FA770B" w:rsidTr="00FA770B">
        <w:trPr>
          <w:trHeight w:val="925"/>
        </w:trPr>
        <w:tc>
          <w:tcPr>
            <w:tcW w:w="2212" w:type="pct"/>
            <w:noWrap/>
            <w:vAlign w:val="bottom"/>
          </w:tcPr>
          <w:p w:rsidR="00EA49B1" w:rsidRPr="00FA770B" w:rsidRDefault="00EA49B1" w:rsidP="00FE40C5">
            <w:pPr>
              <w:suppressAutoHyphens w:val="0"/>
              <w:rPr>
                <w:rFonts w:ascii="Calibri" w:hAnsi="Calibri" w:cs="Calibri"/>
                <w:color w:val="000000"/>
                <w:sz w:val="16"/>
                <w:szCs w:val="16"/>
                <w:lang w:eastAsia="tr-TR"/>
              </w:rPr>
            </w:pPr>
            <w:r w:rsidRPr="00FA770B">
              <w:rPr>
                <w:rFonts w:ascii="Calibri" w:hAnsi="Calibri" w:cs="Calibri"/>
                <w:color w:val="000000"/>
                <w:sz w:val="16"/>
                <w:szCs w:val="16"/>
                <w:lang w:eastAsia="tr-TR"/>
              </w:rPr>
              <w:t> </w:t>
            </w:r>
          </w:p>
        </w:tc>
        <w:tc>
          <w:tcPr>
            <w:tcW w:w="261" w:type="pct"/>
            <w:vAlign w:val="bottom"/>
          </w:tcPr>
          <w:p w:rsidR="00EA49B1" w:rsidRPr="00FA770B" w:rsidRDefault="00EA49B1" w:rsidP="00FE40C5">
            <w:pPr>
              <w:suppressAutoHyphens w:val="0"/>
              <w:rPr>
                <w:rFonts w:ascii="Calibri" w:hAnsi="Calibri" w:cs="Calibri"/>
                <w:b/>
                <w:bCs/>
                <w:color w:val="000000"/>
                <w:sz w:val="16"/>
                <w:szCs w:val="16"/>
                <w:lang w:eastAsia="tr-TR"/>
              </w:rPr>
            </w:pPr>
            <w:r w:rsidRPr="00FA770B">
              <w:rPr>
                <w:rFonts w:ascii="Calibri" w:hAnsi="Calibri" w:cs="Calibri"/>
                <w:b/>
                <w:bCs/>
                <w:color w:val="000000"/>
                <w:sz w:val="16"/>
                <w:szCs w:val="16"/>
                <w:lang w:eastAsia="tr-TR"/>
              </w:rPr>
              <w:t>Tarım dışı kayıt</w:t>
            </w:r>
            <w:r w:rsidR="00FA770B">
              <w:rPr>
                <w:rFonts w:ascii="Calibri" w:hAnsi="Calibri" w:cs="Calibri"/>
                <w:b/>
                <w:bCs/>
                <w:color w:val="000000"/>
                <w:sz w:val="16"/>
                <w:szCs w:val="16"/>
                <w:lang w:eastAsia="tr-TR"/>
              </w:rPr>
              <w:t xml:space="preserve"> </w:t>
            </w:r>
            <w:r w:rsidRPr="00FA770B">
              <w:rPr>
                <w:rFonts w:ascii="Calibri" w:hAnsi="Calibri" w:cs="Calibri"/>
                <w:b/>
                <w:bCs/>
                <w:color w:val="000000"/>
                <w:sz w:val="16"/>
                <w:szCs w:val="16"/>
                <w:lang w:eastAsia="tr-TR"/>
              </w:rPr>
              <w:t>dışı</w:t>
            </w:r>
          </w:p>
        </w:tc>
        <w:tc>
          <w:tcPr>
            <w:tcW w:w="368" w:type="pct"/>
            <w:vAlign w:val="bottom"/>
          </w:tcPr>
          <w:p w:rsidR="00EA49B1" w:rsidRPr="00FA770B" w:rsidRDefault="00EA49B1" w:rsidP="00FE40C5">
            <w:pPr>
              <w:suppressAutoHyphens w:val="0"/>
              <w:rPr>
                <w:rFonts w:ascii="Calibri" w:hAnsi="Calibri" w:cs="Calibri"/>
                <w:b/>
                <w:bCs/>
                <w:color w:val="000000"/>
                <w:sz w:val="16"/>
                <w:szCs w:val="16"/>
                <w:lang w:eastAsia="tr-TR"/>
              </w:rPr>
            </w:pPr>
            <w:r w:rsidRPr="00FA770B">
              <w:rPr>
                <w:rFonts w:ascii="Calibri" w:hAnsi="Calibri" w:cs="Calibri"/>
                <w:b/>
                <w:bCs/>
                <w:color w:val="000000"/>
                <w:sz w:val="16"/>
                <w:szCs w:val="16"/>
                <w:lang w:eastAsia="tr-TR"/>
              </w:rPr>
              <w:t>Sanayide kayıt</w:t>
            </w:r>
            <w:r w:rsidR="00FA770B">
              <w:rPr>
                <w:rFonts w:ascii="Calibri" w:hAnsi="Calibri" w:cs="Calibri"/>
                <w:b/>
                <w:bCs/>
                <w:color w:val="000000"/>
                <w:sz w:val="16"/>
                <w:szCs w:val="16"/>
                <w:lang w:eastAsia="tr-TR"/>
              </w:rPr>
              <w:t xml:space="preserve"> </w:t>
            </w:r>
            <w:r w:rsidRPr="00FA770B">
              <w:rPr>
                <w:rFonts w:ascii="Calibri" w:hAnsi="Calibri" w:cs="Calibri"/>
                <w:b/>
                <w:bCs/>
                <w:color w:val="000000"/>
                <w:sz w:val="16"/>
                <w:szCs w:val="16"/>
                <w:lang w:eastAsia="tr-TR"/>
              </w:rPr>
              <w:t>dışı</w:t>
            </w:r>
          </w:p>
        </w:tc>
        <w:tc>
          <w:tcPr>
            <w:tcW w:w="370" w:type="pct"/>
            <w:vAlign w:val="bottom"/>
          </w:tcPr>
          <w:p w:rsidR="00EA49B1" w:rsidRPr="00FA770B" w:rsidRDefault="00EA49B1" w:rsidP="00FE40C5">
            <w:pPr>
              <w:suppressAutoHyphens w:val="0"/>
              <w:rPr>
                <w:rFonts w:ascii="Calibri" w:hAnsi="Calibri" w:cs="Calibri"/>
                <w:b/>
                <w:bCs/>
                <w:color w:val="000000"/>
                <w:sz w:val="16"/>
                <w:szCs w:val="16"/>
                <w:lang w:eastAsia="tr-TR"/>
              </w:rPr>
            </w:pPr>
            <w:r w:rsidRPr="00FA770B">
              <w:rPr>
                <w:rFonts w:ascii="Calibri" w:hAnsi="Calibri" w:cs="Calibri"/>
                <w:b/>
                <w:bCs/>
                <w:color w:val="000000"/>
                <w:sz w:val="16"/>
                <w:szCs w:val="16"/>
                <w:lang w:eastAsia="tr-TR"/>
              </w:rPr>
              <w:t>Sanayide ortalama kazanç</w:t>
            </w:r>
          </w:p>
        </w:tc>
        <w:tc>
          <w:tcPr>
            <w:tcW w:w="368" w:type="pct"/>
            <w:vAlign w:val="bottom"/>
          </w:tcPr>
          <w:p w:rsidR="00EA49B1" w:rsidRPr="00FA770B" w:rsidRDefault="00EA49B1" w:rsidP="00FE40C5">
            <w:pPr>
              <w:suppressAutoHyphens w:val="0"/>
              <w:rPr>
                <w:rFonts w:ascii="Calibri" w:hAnsi="Calibri" w:cs="Calibri"/>
                <w:b/>
                <w:bCs/>
                <w:color w:val="000000"/>
                <w:sz w:val="16"/>
                <w:szCs w:val="16"/>
                <w:lang w:eastAsia="tr-TR"/>
              </w:rPr>
            </w:pPr>
            <w:r w:rsidRPr="00FA770B">
              <w:rPr>
                <w:rFonts w:ascii="Calibri" w:hAnsi="Calibri" w:cs="Calibri"/>
                <w:b/>
                <w:bCs/>
                <w:color w:val="000000"/>
                <w:sz w:val="16"/>
                <w:szCs w:val="16"/>
                <w:lang w:eastAsia="tr-TR"/>
              </w:rPr>
              <w:t>Sanayide medyan kazanç</w:t>
            </w:r>
          </w:p>
        </w:tc>
        <w:tc>
          <w:tcPr>
            <w:tcW w:w="474" w:type="pct"/>
            <w:vAlign w:val="bottom"/>
          </w:tcPr>
          <w:p w:rsidR="00EA49B1" w:rsidRPr="00FA770B" w:rsidRDefault="00EA49B1" w:rsidP="00FE40C5">
            <w:pPr>
              <w:suppressAutoHyphens w:val="0"/>
              <w:rPr>
                <w:rFonts w:ascii="Calibri" w:hAnsi="Calibri" w:cs="Calibri"/>
                <w:b/>
                <w:bCs/>
                <w:color w:val="000000"/>
                <w:sz w:val="16"/>
                <w:szCs w:val="16"/>
                <w:lang w:eastAsia="tr-TR"/>
              </w:rPr>
            </w:pPr>
            <w:r w:rsidRPr="00FA770B">
              <w:rPr>
                <w:rFonts w:ascii="Calibri" w:hAnsi="Calibri" w:cs="Calibri"/>
                <w:b/>
                <w:bCs/>
                <w:color w:val="000000"/>
                <w:sz w:val="16"/>
                <w:szCs w:val="16"/>
                <w:lang w:eastAsia="tr-TR"/>
              </w:rPr>
              <w:t>Hizmetlerde kayıt</w:t>
            </w:r>
            <w:r w:rsidR="00FA770B">
              <w:rPr>
                <w:rFonts w:ascii="Calibri" w:hAnsi="Calibri" w:cs="Calibri"/>
                <w:b/>
                <w:bCs/>
                <w:color w:val="000000"/>
                <w:sz w:val="16"/>
                <w:szCs w:val="16"/>
                <w:lang w:eastAsia="tr-TR"/>
              </w:rPr>
              <w:t xml:space="preserve"> </w:t>
            </w:r>
            <w:r w:rsidRPr="00FA770B">
              <w:rPr>
                <w:rFonts w:ascii="Calibri" w:hAnsi="Calibri" w:cs="Calibri"/>
                <w:b/>
                <w:bCs/>
                <w:color w:val="000000"/>
                <w:sz w:val="16"/>
                <w:szCs w:val="16"/>
                <w:lang w:eastAsia="tr-TR"/>
              </w:rPr>
              <w:t>dışı</w:t>
            </w:r>
          </w:p>
        </w:tc>
        <w:tc>
          <w:tcPr>
            <w:tcW w:w="474" w:type="pct"/>
            <w:vAlign w:val="bottom"/>
          </w:tcPr>
          <w:p w:rsidR="00EA49B1" w:rsidRPr="00FA770B" w:rsidRDefault="00EA49B1" w:rsidP="00FE40C5">
            <w:pPr>
              <w:suppressAutoHyphens w:val="0"/>
              <w:rPr>
                <w:rFonts w:ascii="Calibri" w:hAnsi="Calibri" w:cs="Calibri"/>
                <w:b/>
                <w:bCs/>
                <w:color w:val="000000"/>
                <w:sz w:val="16"/>
                <w:szCs w:val="16"/>
                <w:lang w:eastAsia="tr-TR"/>
              </w:rPr>
            </w:pPr>
            <w:r w:rsidRPr="00FA770B">
              <w:rPr>
                <w:rFonts w:ascii="Calibri" w:hAnsi="Calibri" w:cs="Calibri"/>
                <w:b/>
                <w:bCs/>
                <w:color w:val="000000"/>
                <w:sz w:val="16"/>
                <w:szCs w:val="16"/>
                <w:lang w:eastAsia="tr-TR"/>
              </w:rPr>
              <w:t>Hizmetlerde ortalama kazanç</w:t>
            </w:r>
          </w:p>
        </w:tc>
        <w:tc>
          <w:tcPr>
            <w:tcW w:w="474" w:type="pct"/>
            <w:vAlign w:val="bottom"/>
          </w:tcPr>
          <w:p w:rsidR="00EA49B1" w:rsidRPr="00FA770B" w:rsidRDefault="00EA49B1" w:rsidP="00FE40C5">
            <w:pPr>
              <w:suppressAutoHyphens w:val="0"/>
              <w:rPr>
                <w:rFonts w:ascii="Calibri" w:hAnsi="Calibri" w:cs="Calibri"/>
                <w:b/>
                <w:bCs/>
                <w:color w:val="000000"/>
                <w:sz w:val="16"/>
                <w:szCs w:val="16"/>
                <w:lang w:eastAsia="tr-TR"/>
              </w:rPr>
            </w:pPr>
            <w:r w:rsidRPr="00FA770B">
              <w:rPr>
                <w:rFonts w:ascii="Calibri" w:hAnsi="Calibri" w:cs="Calibri"/>
                <w:b/>
                <w:bCs/>
                <w:color w:val="000000"/>
                <w:sz w:val="16"/>
                <w:szCs w:val="16"/>
                <w:lang w:eastAsia="tr-TR"/>
              </w:rPr>
              <w:t>Hizmetlerde medyan kazanç</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TR10 (İstanbul)</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0.18</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0.23</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1487</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1172</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0.14</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1829</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1325</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TR21 (Tekirdağ, Edirne, Kırklareli)</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0.17</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0.07</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1228</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982</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0.29</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1121</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926</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TR22 (Balıkesir, Çanakkale)</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0.23</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0.12</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1199</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982</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0.23</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1102</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913</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TR31 (İzmir)</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0.19</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0.14</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1417</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1047</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0.21</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1443</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1047</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TR32 (Aydın, Denizli, Muğla)</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0.20</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0.11</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1094</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855</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0.23</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1191</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913</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TR33 (Manisa, Afyon, Kütahya, Uşak)</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0.16</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0.09</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1038</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913</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0.19</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1059</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913</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TR41 (Bursa, Eskişehir, Bilecik)</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0.15</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0.10</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1269</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1047</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0.19</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1216</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982</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TR42 (Kocaeli, Sakarya, Düzce, Bolu, Yalova)</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0.17</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0.09</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1329</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1047</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0.24</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1256</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982</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TR51 (Ankara)</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0.17</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0.13</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1712</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1299</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0.17</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1553</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1185</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TR52 (Konya, Karaman)</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0.27</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0.21</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1109</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913</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0.28</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1187</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982</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TR61 (Antalya, Isparta, Burdur)</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0.18</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0.16</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1369</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1047</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0.18</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1352</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1047</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TR62 (Adana, Mersin)</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0.37</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0.33</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1321</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913</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0.37</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1180</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913</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TR63 (Hatay, Kahramanmaraş, Osmaniye)</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0.36</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0.26</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1143</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913</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0.43</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1281</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952</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TR71 (Kırıkkale, Aksaray, Niğde, Nevşehir, Kırşehir )</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0.28</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0.17</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1192</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982</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0.31</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1095</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913</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TR72 (Kayseri, Sivas, Yozgat)</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0.34</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0.21</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1078</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913</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0.32</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1082</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913</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TR81 (Zonguldak, Karabük, Bartın)</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0.18</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0.10</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1334</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982</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0.22</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1106</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913</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TR82 (Kastamonu, Çankırı, Sinop)</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0.26</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0.16</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1015</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913</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0.30</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1088</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913</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TR83 (Samsun, Tokat, Çorum, Amasya)</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0.28</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0.20</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1033</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881</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0.28</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1128</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913</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TR90 (Trabzon, Ordu, Giresun, Rize, Artvin, Gümüşhane)</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0.23</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0.13</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1065</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913</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0.25</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1166</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913</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TRA1 (Erzurum, Erzincan, Bayburt)</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0.27</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0.24</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1137</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1047</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0.24</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1231</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982</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TRA2 (Ağrı, Kars, Iğdır, Ardahan)</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0.61</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0.46</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1113</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913</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0.45</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1054</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881</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TRB1 (Malatya, Elazığ, Bingöl, Tunceli)</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0.34</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0.23</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1001</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855</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0.31</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1094</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855</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 xml:space="preserve">TRB2 (Van, Muş, Bitlis, </w:t>
            </w:r>
            <w:r w:rsidR="00FA770B" w:rsidRPr="00FA770B">
              <w:rPr>
                <w:rFonts w:ascii="Arial" w:hAnsi="Arial" w:cs="Arial"/>
                <w:b/>
                <w:bCs/>
                <w:sz w:val="16"/>
                <w:szCs w:val="16"/>
                <w:lang w:eastAsia="tr-TR"/>
              </w:rPr>
              <w:t>Hakkâri</w:t>
            </w:r>
            <w:r w:rsidRPr="00FA770B">
              <w:rPr>
                <w:rFonts w:ascii="Arial" w:hAnsi="Arial" w:cs="Arial"/>
                <w:b/>
                <w:bCs/>
                <w:sz w:val="16"/>
                <w:szCs w:val="16"/>
                <w:lang w:eastAsia="tr-TR"/>
              </w:rPr>
              <w:t>)</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0.67</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0.55</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1159</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982</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0.51</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1174</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913</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TRC1 (Gaziantep, Adıyaman, Kilis)</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0.41</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0.34</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1031</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913</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0.39</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1077</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913</w:t>
            </w:r>
          </w:p>
        </w:tc>
      </w:tr>
      <w:tr w:rsidR="00FA770B" w:rsidRPr="00FA770B" w:rsidTr="00FA770B">
        <w:trPr>
          <w:trHeight w:val="304"/>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TRC2 (Şanlıurfa, Diyarbakır)</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0.56</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0.52</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1145</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913</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0.51</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1120</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913</w:t>
            </w:r>
          </w:p>
        </w:tc>
      </w:tr>
      <w:tr w:rsidR="00FA770B" w:rsidRPr="00FA770B" w:rsidTr="00FA770B">
        <w:trPr>
          <w:trHeight w:val="319"/>
        </w:trPr>
        <w:tc>
          <w:tcPr>
            <w:tcW w:w="2212" w:type="pct"/>
            <w:noWrap/>
            <w:vAlign w:val="bottom"/>
          </w:tcPr>
          <w:p w:rsidR="00EA49B1" w:rsidRPr="00FA770B" w:rsidRDefault="00EA49B1" w:rsidP="00FE40C5">
            <w:pPr>
              <w:suppressAutoHyphens w:val="0"/>
              <w:rPr>
                <w:rFonts w:ascii="Arial" w:hAnsi="Arial" w:cs="Arial"/>
                <w:b/>
                <w:bCs/>
                <w:sz w:val="16"/>
                <w:szCs w:val="16"/>
                <w:lang w:eastAsia="tr-TR"/>
              </w:rPr>
            </w:pPr>
            <w:r w:rsidRPr="00FA770B">
              <w:rPr>
                <w:rFonts w:ascii="Arial" w:hAnsi="Arial" w:cs="Arial"/>
                <w:b/>
                <w:bCs/>
                <w:sz w:val="16"/>
                <w:szCs w:val="16"/>
                <w:lang w:eastAsia="tr-TR"/>
              </w:rPr>
              <w:t>TRC3 (Mardin, Batman, Şırnak, Siirt)</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0.58</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0.53</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1166</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1047</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0.54</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1074</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877</w:t>
            </w:r>
          </w:p>
        </w:tc>
      </w:tr>
      <w:tr w:rsidR="00FA770B" w:rsidRPr="00FA770B" w:rsidTr="00FA770B">
        <w:trPr>
          <w:trHeight w:val="319"/>
        </w:trPr>
        <w:tc>
          <w:tcPr>
            <w:tcW w:w="2212" w:type="pct"/>
            <w:noWrap/>
            <w:vAlign w:val="bottom"/>
          </w:tcPr>
          <w:p w:rsidR="00EA49B1" w:rsidRPr="00FA770B" w:rsidRDefault="00EA49B1" w:rsidP="00FE40C5">
            <w:pPr>
              <w:suppressAutoHyphens w:val="0"/>
              <w:rPr>
                <w:rFonts w:ascii="Arial" w:hAnsi="Arial" w:cs="Arial"/>
                <w:b/>
                <w:bCs/>
                <w:color w:val="000000"/>
                <w:sz w:val="16"/>
                <w:szCs w:val="16"/>
                <w:lang w:eastAsia="tr-TR"/>
              </w:rPr>
            </w:pPr>
            <w:r w:rsidRPr="00FA770B">
              <w:rPr>
                <w:rFonts w:ascii="Arial" w:hAnsi="Arial" w:cs="Arial"/>
                <w:b/>
                <w:bCs/>
                <w:color w:val="000000"/>
                <w:sz w:val="16"/>
                <w:szCs w:val="16"/>
                <w:lang w:eastAsia="tr-TR"/>
              </w:rPr>
              <w:t>Türkiye</w:t>
            </w:r>
          </w:p>
        </w:tc>
        <w:tc>
          <w:tcPr>
            <w:tcW w:w="261"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0.24</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0.18</w:t>
            </w:r>
          </w:p>
        </w:tc>
        <w:tc>
          <w:tcPr>
            <w:tcW w:w="370"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1326</w:t>
            </w:r>
          </w:p>
        </w:tc>
        <w:tc>
          <w:tcPr>
            <w:tcW w:w="368"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1047</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0.23</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1452</w:t>
            </w:r>
          </w:p>
        </w:tc>
        <w:tc>
          <w:tcPr>
            <w:tcW w:w="474" w:type="pct"/>
            <w:noWrap/>
            <w:vAlign w:val="bottom"/>
          </w:tcPr>
          <w:p w:rsidR="00EA49B1" w:rsidRPr="00FA770B" w:rsidRDefault="00EA49B1" w:rsidP="00FE40C5">
            <w:pPr>
              <w:suppressAutoHyphens w:val="0"/>
              <w:jc w:val="center"/>
              <w:rPr>
                <w:rFonts w:ascii="Calibri" w:hAnsi="Calibri" w:cs="Calibri"/>
                <w:color w:val="000000"/>
                <w:sz w:val="16"/>
                <w:szCs w:val="16"/>
                <w:lang w:eastAsia="tr-TR"/>
              </w:rPr>
            </w:pPr>
            <w:r w:rsidRPr="00FA770B">
              <w:rPr>
                <w:rFonts w:ascii="Calibri" w:hAnsi="Calibri" w:cs="Calibri"/>
                <w:color w:val="000000"/>
                <w:sz w:val="16"/>
                <w:szCs w:val="16"/>
                <w:lang w:eastAsia="tr-TR"/>
              </w:rPr>
              <w:t>1047</w:t>
            </w:r>
          </w:p>
        </w:tc>
      </w:tr>
    </w:tbl>
    <w:p w:rsidR="00EA49B1" w:rsidRPr="00FE40C5" w:rsidRDefault="00EA49B1" w:rsidP="005126BD">
      <w:pPr>
        <w:rPr>
          <w:rFonts w:ascii="Arial" w:hAnsi="Arial" w:cs="Arial"/>
          <w:sz w:val="16"/>
          <w:szCs w:val="16"/>
        </w:rPr>
      </w:pPr>
      <w:r w:rsidRPr="00FE40C5">
        <w:rPr>
          <w:rFonts w:ascii="Arial" w:hAnsi="Arial" w:cs="Arial"/>
          <w:sz w:val="16"/>
          <w:szCs w:val="16"/>
        </w:rPr>
        <w:t>Kaynak: Hane halkı İşgücü Anketi; TÜİK, Betam</w:t>
      </w:r>
    </w:p>
    <w:p w:rsidR="00EA49B1" w:rsidRPr="004F66E1" w:rsidRDefault="00EA49B1" w:rsidP="00BA4099">
      <w:pPr>
        <w:rPr>
          <w:sz w:val="21"/>
          <w:szCs w:val="21"/>
        </w:rPr>
      </w:pPr>
    </w:p>
    <w:p w:rsidR="00EA49B1" w:rsidRDefault="00EA49B1" w:rsidP="00CE53FD">
      <w:pPr>
        <w:suppressAutoHyphens w:val="0"/>
        <w:rPr>
          <w:rFonts w:ascii="Arial" w:hAnsi="Arial" w:cs="Arial"/>
          <w:sz w:val="16"/>
          <w:szCs w:val="16"/>
        </w:rPr>
      </w:pPr>
    </w:p>
    <w:p w:rsidR="00EA49B1" w:rsidRPr="001541B3" w:rsidRDefault="00EA49B1" w:rsidP="00CE2910">
      <w:pPr>
        <w:pStyle w:val="ResimYazs"/>
        <w:keepNext/>
        <w:rPr>
          <w:rFonts w:ascii="Arial" w:hAnsi="Arial" w:cs="Arial"/>
          <w:sz w:val="16"/>
          <w:szCs w:val="16"/>
        </w:rPr>
      </w:pPr>
      <w:r>
        <w:rPr>
          <w:rFonts w:ascii="Arial" w:hAnsi="Arial" w:cs="Arial"/>
          <w:sz w:val="16"/>
          <w:szCs w:val="16"/>
        </w:rPr>
        <w:t xml:space="preserve">                                                                                                                                                                                                                                                                                                                                                                                                                                                                                                                            </w:t>
      </w:r>
    </w:p>
    <w:sectPr w:rsidR="00EA49B1" w:rsidRPr="001541B3" w:rsidSect="008A0CB4">
      <w:footerReference w:type="default" r:id="rId15"/>
      <w:pgSz w:w="11905" w:h="16837"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401" w:rsidRDefault="00DC4401">
      <w:r>
        <w:separator/>
      </w:r>
    </w:p>
  </w:endnote>
  <w:endnote w:type="continuationSeparator" w:id="1">
    <w:p w:rsidR="00DC4401" w:rsidRDefault="00DC4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86" w:rsidRPr="00282515" w:rsidRDefault="00C60B49"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00AC6686" w:rsidRPr="00282515">
      <w:rPr>
        <w:rStyle w:val="SayfaNumaras"/>
        <w:rFonts w:ascii="Arial" w:hAnsi="Arial" w:cs="Arial"/>
      </w:rPr>
      <w:instrText xml:space="preserve">PAGE  </w:instrText>
    </w:r>
    <w:r w:rsidRPr="00282515">
      <w:rPr>
        <w:rStyle w:val="SayfaNumaras"/>
        <w:rFonts w:ascii="Arial" w:hAnsi="Arial" w:cs="Arial"/>
      </w:rPr>
      <w:fldChar w:fldCharType="separate"/>
    </w:r>
    <w:r w:rsidR="00CF000D">
      <w:rPr>
        <w:rStyle w:val="SayfaNumaras"/>
        <w:rFonts w:ascii="Arial" w:hAnsi="Arial" w:cs="Arial"/>
        <w:noProof/>
      </w:rPr>
      <w:t>5</w:t>
    </w:r>
    <w:r w:rsidRPr="00282515">
      <w:rPr>
        <w:rStyle w:val="SayfaNumaras"/>
        <w:rFonts w:ascii="Arial" w:hAnsi="Arial" w:cs="Arial"/>
      </w:rPr>
      <w:fldChar w:fldCharType="end"/>
    </w:r>
  </w:p>
  <w:p w:rsidR="00AC6686" w:rsidRDefault="00AC6686"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401" w:rsidRDefault="00DC4401">
      <w:r>
        <w:separator/>
      </w:r>
    </w:p>
  </w:footnote>
  <w:footnote w:type="continuationSeparator" w:id="1">
    <w:p w:rsidR="00DC4401" w:rsidRDefault="00DC4401">
      <w:r>
        <w:continuationSeparator/>
      </w:r>
    </w:p>
  </w:footnote>
  <w:footnote w:id="2">
    <w:p w:rsidR="00AC6686" w:rsidRDefault="00AC6686" w:rsidP="004374E1">
      <w:pPr>
        <w:pStyle w:val="DipnotMetni"/>
      </w:pPr>
      <w:r w:rsidRPr="004543D7">
        <w:rPr>
          <w:rStyle w:val="DipnotBavurusu"/>
          <w:rFonts w:ascii="Arial" w:hAnsi="Arial" w:cs="Arial"/>
          <w:b/>
          <w:bCs/>
          <w:sz w:val="16"/>
          <w:szCs w:val="16"/>
        </w:rPr>
        <w:t>*</w:t>
      </w:r>
      <w:r w:rsidRPr="004543D7">
        <w:rPr>
          <w:rFonts w:ascii="Arial" w:hAnsi="Arial" w:cs="Arial"/>
          <w:b/>
          <w:bCs/>
          <w:sz w:val="16"/>
          <w:szCs w:val="16"/>
        </w:rPr>
        <w:t xml:space="preserve"> </w:t>
      </w:r>
      <w:r w:rsidRPr="00DF2605">
        <w:rPr>
          <w:rFonts w:ascii="Arial" w:hAnsi="Arial" w:cs="Arial"/>
          <w:sz w:val="16"/>
          <w:szCs w:val="16"/>
        </w:rPr>
        <w:t>Prof. Dr. Seyfettin Gürsel, Betam, Direktör, seyfettin.gursel@bahcesehir.edu.tr</w:t>
      </w:r>
    </w:p>
  </w:footnote>
  <w:footnote w:id="3">
    <w:p w:rsidR="00AC6686" w:rsidRDefault="00AC6686">
      <w:pPr>
        <w:pStyle w:val="DipnotMetni"/>
        <w:rPr>
          <w:rFonts w:ascii="Arial" w:hAnsi="Arial" w:cs="Arial"/>
          <w:sz w:val="16"/>
          <w:szCs w:val="16"/>
        </w:rPr>
      </w:pPr>
      <w:r w:rsidRPr="007234F0">
        <w:rPr>
          <w:rStyle w:val="DipnotBavurusu"/>
        </w:rPr>
        <w:sym w:font="Symbol" w:char="F02A"/>
      </w:r>
      <w:r w:rsidRPr="007234F0">
        <w:rPr>
          <w:rStyle w:val="DipnotBavurusu"/>
        </w:rPr>
        <w:sym w:font="Symbol" w:char="F02A"/>
      </w:r>
      <w:r>
        <w:t xml:space="preserve"> </w:t>
      </w:r>
      <w:r w:rsidRPr="007234F0">
        <w:rPr>
          <w:rFonts w:ascii="Arial" w:hAnsi="Arial" w:cs="Arial"/>
          <w:sz w:val="16"/>
          <w:szCs w:val="16"/>
        </w:rPr>
        <w:t xml:space="preserve">Yrd. Doç. Dr. Gökçe Uysal, Betam Direktör Yardımcısı, </w:t>
      </w:r>
      <w:hyperlink r:id="rId1" w:history="1">
        <w:r w:rsidRPr="007234F0">
          <w:rPr>
            <w:rFonts w:ascii="Arial" w:hAnsi="Arial" w:cs="Arial"/>
            <w:sz w:val="16"/>
            <w:szCs w:val="16"/>
          </w:rPr>
          <w:t>gokce.uysal@bahcesehir.edu.tr</w:t>
        </w:r>
      </w:hyperlink>
      <w:r w:rsidRPr="007234F0">
        <w:rPr>
          <w:rFonts w:ascii="Arial" w:hAnsi="Arial" w:cs="Arial"/>
          <w:sz w:val="16"/>
          <w:szCs w:val="16"/>
        </w:rPr>
        <w:t xml:space="preserve"> </w:t>
      </w:r>
    </w:p>
    <w:p w:rsidR="00AC6686" w:rsidRDefault="00AC6686">
      <w:pPr>
        <w:pStyle w:val="DipnotMetni"/>
      </w:pPr>
      <w:r w:rsidRPr="00184A16">
        <w:rPr>
          <w:rStyle w:val="DipnotBavurusu"/>
          <w:rFonts w:ascii="Arial" w:hAnsi="Arial" w:cs="Arial"/>
          <w:sz w:val="16"/>
          <w:szCs w:val="16"/>
        </w:rPr>
        <w:sym w:font="Symbol" w:char="F02A"/>
      </w:r>
      <w:r w:rsidRPr="00184A16">
        <w:rPr>
          <w:rStyle w:val="DipnotBavurusu"/>
          <w:rFonts w:ascii="Arial" w:hAnsi="Arial" w:cs="Arial"/>
          <w:sz w:val="16"/>
          <w:szCs w:val="16"/>
        </w:rPr>
        <w:sym w:font="Symbol" w:char="F02A"/>
      </w:r>
      <w:r w:rsidRPr="00184A16">
        <w:rPr>
          <w:rStyle w:val="DipnotBavurusu"/>
          <w:rFonts w:ascii="Arial" w:hAnsi="Arial" w:cs="Arial"/>
          <w:sz w:val="16"/>
          <w:szCs w:val="16"/>
        </w:rPr>
        <w:sym w:font="Symbol" w:char="F02A"/>
      </w:r>
      <w:r w:rsidRPr="00184A16">
        <w:rPr>
          <w:rFonts w:ascii="Arial" w:hAnsi="Arial" w:cs="Arial"/>
          <w:sz w:val="16"/>
          <w:szCs w:val="16"/>
        </w:rPr>
        <w:t xml:space="preserve"> Ayşenur Acar, Betam, Araştırma Asistanı, </w:t>
      </w:r>
      <w:r w:rsidR="00F7220E">
        <w:rPr>
          <w:rFonts w:ascii="Arial" w:hAnsi="Arial" w:cs="Arial"/>
          <w:sz w:val="16"/>
          <w:szCs w:val="16"/>
        </w:rPr>
        <w:t>a</w:t>
      </w:r>
      <w:r w:rsidRPr="00184A16">
        <w:rPr>
          <w:rFonts w:ascii="Arial" w:hAnsi="Arial" w:cs="Arial"/>
          <w:sz w:val="16"/>
          <w:szCs w:val="16"/>
        </w:rPr>
        <w:t>ysenur.acar@bahcesehir.edu.tr</w:t>
      </w:r>
    </w:p>
  </w:footnote>
  <w:footnote w:id="4">
    <w:p w:rsidR="00AC6686" w:rsidRDefault="00AC6686" w:rsidP="006E27F7">
      <w:pPr>
        <w:pStyle w:val="DipnotMetni"/>
      </w:pPr>
      <w:r w:rsidRPr="002C41AA">
        <w:rPr>
          <w:rStyle w:val="DipnotBavurusu"/>
          <w:rFonts w:ascii="Arial" w:hAnsi="Arial" w:cs="Arial"/>
        </w:rPr>
        <w:footnoteRef/>
      </w:r>
      <w:r w:rsidRPr="002C41AA">
        <w:rPr>
          <w:rFonts w:ascii="Arial" w:hAnsi="Arial" w:cs="Arial"/>
        </w:rPr>
        <w:t xml:space="preserve"> </w:t>
      </w:r>
      <w:r w:rsidRPr="00DF2605">
        <w:rPr>
          <w:rFonts w:ascii="Arial" w:hAnsi="Arial" w:cs="Arial"/>
          <w:sz w:val="16"/>
          <w:szCs w:val="16"/>
        </w:rPr>
        <w:t>OECD ülkeler arası karşılaştırmayı mümkün kılmak için medyan ücreti yakınsayan medyan</w:t>
      </w:r>
      <w:r>
        <w:rPr>
          <w:rFonts w:ascii="Arial" w:hAnsi="Arial" w:cs="Arial"/>
          <w:sz w:val="16"/>
          <w:szCs w:val="16"/>
        </w:rPr>
        <w:t xml:space="preserve"> kazanç rakamlarını kullanıyor. </w:t>
      </w:r>
      <w:r w:rsidRPr="00DF2605">
        <w:rPr>
          <w:rFonts w:ascii="Arial" w:hAnsi="Arial" w:cs="Arial"/>
          <w:sz w:val="16"/>
          <w:szCs w:val="16"/>
        </w:rPr>
        <w:t>27 Mayıs’ta yayınlanan Dünya Bankası’nın “Türkiye: Ekonomik dalgalanma boyunca işgücü piyasalarının yönetimi” ba</w:t>
      </w:r>
      <w:r>
        <w:rPr>
          <w:rFonts w:ascii="Arial" w:hAnsi="Arial" w:cs="Arial"/>
          <w:sz w:val="16"/>
          <w:szCs w:val="16"/>
        </w:rPr>
        <w:t>şlıklı raporunda da yüzde 71 (0,</w:t>
      </w:r>
      <w:r w:rsidRPr="00DF2605">
        <w:rPr>
          <w:rFonts w:ascii="Arial" w:hAnsi="Arial" w:cs="Arial"/>
          <w:sz w:val="16"/>
          <w:szCs w:val="16"/>
        </w:rPr>
        <w:t>71) ile Türkiye’nin OECD ülkeleri arasında en yüksek asgari ücret /medyan kazanç oranına sahip olduğu vurgulanıyor.</w:t>
      </w:r>
      <w:r w:rsidRPr="00FE40C5">
        <w:rPr>
          <w:rFonts w:ascii="Arial" w:hAnsi="Arial" w:cs="Arial"/>
          <w:sz w:val="16"/>
          <w:szCs w:val="16"/>
        </w:rPr>
        <w:t xml:space="preserve"> </w:t>
      </w:r>
    </w:p>
  </w:footnote>
  <w:footnote w:id="5">
    <w:p w:rsidR="00AC6686" w:rsidRDefault="00AC6686" w:rsidP="0091299D">
      <w:r w:rsidRPr="00D849B7">
        <w:rPr>
          <w:rStyle w:val="DipnotBavurusu"/>
          <w:rFonts w:ascii="Arial" w:hAnsi="Arial" w:cs="Arial"/>
          <w:sz w:val="20"/>
          <w:szCs w:val="20"/>
        </w:rPr>
        <w:footnoteRef/>
      </w:r>
      <w:r w:rsidRPr="00D849B7">
        <w:rPr>
          <w:rFonts w:ascii="Arial" w:hAnsi="Arial" w:cs="Arial"/>
          <w:sz w:val="20"/>
          <w:szCs w:val="20"/>
        </w:rPr>
        <w:t xml:space="preserve"> </w:t>
      </w:r>
      <w:r>
        <w:rPr>
          <w:rFonts w:ascii="Arial" w:hAnsi="Arial" w:cs="Arial"/>
          <w:sz w:val="16"/>
          <w:szCs w:val="16"/>
        </w:rPr>
        <w:t>OECD tarafından yayımlanan model ve verilerden (</w:t>
      </w:r>
      <w:hyperlink r:id="rId2" w:history="1">
        <w:r w:rsidRPr="008A508D">
          <w:rPr>
            <w:rStyle w:val="Kpr"/>
            <w:rFonts w:ascii="Arial" w:hAnsi="Arial" w:cs="Arial"/>
            <w:sz w:val="16"/>
            <w:szCs w:val="16"/>
          </w:rPr>
          <w:t>www.oecd.org/els/social/workincentives</w:t>
        </w:r>
      </w:hyperlink>
      <w:r>
        <w:rPr>
          <w:rFonts w:ascii="Arial" w:hAnsi="Arial" w:cs="Arial"/>
          <w:sz w:val="16"/>
          <w:szCs w:val="16"/>
        </w:rPr>
        <w:t xml:space="preserve"> ) hareketle yine OECD çalışanları tarafından hazırlanmış bu tablo yazarlardan talep edilebilir. 21 farklı kazanç dilimi için farklı oranlar uygulanmıştır. B</w:t>
      </w:r>
      <w:r w:rsidRPr="009A5F5B">
        <w:rPr>
          <w:rFonts w:ascii="Arial" w:hAnsi="Arial" w:cs="Arial"/>
          <w:sz w:val="16"/>
          <w:szCs w:val="16"/>
        </w:rPr>
        <w:t xml:space="preserve">u uygulama sonucunda ortalama net kazanç yüzde 34, medyan net kazanç yüzde 31 </w:t>
      </w:r>
      <w:r>
        <w:rPr>
          <w:rFonts w:ascii="Arial" w:hAnsi="Arial" w:cs="Arial"/>
          <w:sz w:val="16"/>
          <w:szCs w:val="16"/>
        </w:rPr>
        <w:t xml:space="preserve">oranında </w:t>
      </w:r>
      <w:r w:rsidRPr="009A5F5B">
        <w:rPr>
          <w:rFonts w:ascii="Arial" w:hAnsi="Arial" w:cs="Arial"/>
          <w:sz w:val="16"/>
          <w:szCs w:val="16"/>
        </w:rPr>
        <w:t>art</w:t>
      </w:r>
      <w:r>
        <w:rPr>
          <w:rFonts w:ascii="Arial" w:hAnsi="Arial" w:cs="Arial"/>
          <w:sz w:val="16"/>
          <w:szCs w:val="16"/>
        </w:rPr>
        <w:t>maktadır</w:t>
      </w:r>
      <w:r w:rsidRPr="009A5F5B">
        <w:rPr>
          <w:rFonts w:ascii="Arial" w:hAnsi="Arial" w:cs="Arial"/>
          <w:sz w:val="16"/>
          <w:szCs w:val="16"/>
        </w:rPr>
        <w:t>.</w:t>
      </w:r>
      <w:r w:rsidRPr="009A5F5B">
        <w:rPr>
          <w:rFonts w:ascii="Arial" w:hAnsi="Arial" w:cs="Arial"/>
          <w:sz w:val="18"/>
          <w:szCs w:val="18"/>
        </w:rPr>
        <w:t xml:space="preserve">  </w:t>
      </w:r>
    </w:p>
  </w:footnote>
  <w:footnote w:id="6">
    <w:p w:rsidR="00AC6686" w:rsidRDefault="00AC6686" w:rsidP="00021DC5">
      <w:pPr>
        <w:pStyle w:val="DipnotMetni"/>
      </w:pPr>
      <w:r w:rsidRPr="009A5F5B">
        <w:rPr>
          <w:rStyle w:val="DipnotBavurusu"/>
          <w:rFonts w:ascii="Arial" w:hAnsi="Arial" w:cs="Arial"/>
        </w:rPr>
        <w:footnoteRef/>
      </w:r>
      <w:r w:rsidRPr="009A5F5B">
        <w:rPr>
          <w:rFonts w:ascii="Arial" w:hAnsi="Arial" w:cs="Arial"/>
        </w:rPr>
        <w:t xml:space="preserve"> </w:t>
      </w:r>
      <w:r w:rsidRPr="0089399B">
        <w:rPr>
          <w:rFonts w:ascii="Arial" w:hAnsi="Arial" w:cs="Arial"/>
          <w:sz w:val="16"/>
          <w:szCs w:val="16"/>
        </w:rPr>
        <w:t xml:space="preserve">Betam’ın 2011 Hanehalkı İşgücü Anketi mikro </w:t>
      </w:r>
      <w:r w:rsidRPr="00DF2605">
        <w:rPr>
          <w:rFonts w:ascii="Arial" w:hAnsi="Arial" w:cs="Arial"/>
          <w:sz w:val="16"/>
          <w:szCs w:val="16"/>
        </w:rPr>
        <w:t>verisinden yaptığı hesaplamaya göre sanayide, özel- tam zamanlı- ücretli-kayıtlı çalışanların, tarım dışı sektörlerde yine özel- tam zamanlı- ücretli-kayıtlı çalışanlar içindeki payı itibariyle en yüksek paya sahip 5 bölge sırasıyla şöyledir: Tekirdağ-Edirne-Kırklareli yüzde 64,9,  Bursa-Eskişehir-Bilecik yüzde 56,9, Kocaeli-Sakarya-Düzce-Bolu-Yalova yüzde 54,3, Manisa-Afyon-Kütahya-Uşak yüzde 53,1, Gaziantep-Adıyaman-Kilis yüzde 50,4. Tekirdağ, Kocaeli ve Bursa bölgelerinin katılık sıralamasında nispeten daha altlarda yer</w:t>
      </w:r>
      <w:r w:rsidRPr="0089399B">
        <w:rPr>
          <w:rFonts w:ascii="Arial" w:hAnsi="Arial" w:cs="Arial"/>
          <w:sz w:val="16"/>
          <w:szCs w:val="16"/>
        </w:rPr>
        <w:t xml:space="preserve"> alırken, Manisa ve Gaziantep bölgelerinin üstte yer almaları bu bölgelerde sanayinin bileşiminin farklı olduğunu düşündürmektedir. </w:t>
      </w:r>
    </w:p>
  </w:footnote>
  <w:footnote w:id="7">
    <w:p w:rsidR="007C2BB7" w:rsidRPr="007A24F4" w:rsidRDefault="007C2BB7">
      <w:pPr>
        <w:pStyle w:val="DipnotMetni"/>
        <w:rPr>
          <w:rFonts w:ascii="Arial" w:hAnsi="Arial" w:cs="Arial"/>
          <w:sz w:val="16"/>
          <w:szCs w:val="16"/>
        </w:rPr>
      </w:pPr>
      <w:r w:rsidRPr="007A24F4">
        <w:rPr>
          <w:rStyle w:val="DipnotBavurusu"/>
          <w:rFonts w:ascii="Arial" w:hAnsi="Arial" w:cs="Arial"/>
          <w:sz w:val="16"/>
          <w:szCs w:val="16"/>
        </w:rPr>
        <w:footnoteRef/>
      </w:r>
      <w:r w:rsidRPr="007A24F4">
        <w:rPr>
          <w:rFonts w:ascii="Arial" w:hAnsi="Arial" w:cs="Arial"/>
          <w:sz w:val="16"/>
          <w:szCs w:val="16"/>
        </w:rPr>
        <w:t xml:space="preserve"> 2012 yılın</w:t>
      </w:r>
      <w:r w:rsidR="007A24F4" w:rsidRPr="007A24F4">
        <w:rPr>
          <w:rFonts w:ascii="Arial" w:hAnsi="Arial" w:cs="Arial"/>
          <w:sz w:val="16"/>
          <w:szCs w:val="16"/>
        </w:rPr>
        <w:t xml:space="preserve">da ücretli ve yevmiyelilerde kayıt dışılık oranının yüzde 21,9’a </w:t>
      </w:r>
      <w:r w:rsidR="007A24F4">
        <w:rPr>
          <w:rFonts w:ascii="Arial" w:hAnsi="Arial" w:cs="Arial"/>
          <w:sz w:val="16"/>
          <w:szCs w:val="16"/>
        </w:rPr>
        <w:t>düşmüştür</w:t>
      </w:r>
      <w:r w:rsidR="007A24F4" w:rsidRPr="007A24F4">
        <w:rPr>
          <w:rFonts w:ascii="Arial" w:hAnsi="Arial" w:cs="Arial"/>
          <w:sz w:val="16"/>
          <w:szCs w:val="16"/>
        </w:rPr>
        <w:t>.</w:t>
      </w:r>
      <w:r w:rsidR="007A24F4">
        <w:rPr>
          <w:rFonts w:ascii="Arial" w:hAnsi="Arial" w:cs="Arial"/>
          <w:sz w:val="16"/>
          <w:szCs w:val="16"/>
        </w:rPr>
        <w:t xml:space="preserve"> Ancak elimizde HİA 2012 mikro verileri olmadığı için analize dahil edilememiştir. </w:t>
      </w:r>
      <w:r w:rsidR="007A24F4" w:rsidRPr="007A24F4">
        <w:rPr>
          <w:rFonts w:ascii="Arial" w:hAnsi="Arial" w:cs="Arial"/>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2">
    <w:nsid w:val="64167998"/>
    <w:multiLevelType w:val="hybridMultilevel"/>
    <w:tmpl w:val="EDA0B3F4"/>
    <w:lvl w:ilvl="0" w:tplc="D60AFD46">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rsids>
    <w:rsidRoot w:val="00A5464D"/>
    <w:rsid w:val="0000018C"/>
    <w:rsid w:val="000011D8"/>
    <w:rsid w:val="00002384"/>
    <w:rsid w:val="0000377B"/>
    <w:rsid w:val="00003A5F"/>
    <w:rsid w:val="0000404F"/>
    <w:rsid w:val="00006183"/>
    <w:rsid w:val="000075C2"/>
    <w:rsid w:val="00007E52"/>
    <w:rsid w:val="000100BE"/>
    <w:rsid w:val="00010129"/>
    <w:rsid w:val="000116C3"/>
    <w:rsid w:val="00012970"/>
    <w:rsid w:val="000137EB"/>
    <w:rsid w:val="000141AB"/>
    <w:rsid w:val="00015C10"/>
    <w:rsid w:val="000163FB"/>
    <w:rsid w:val="00017071"/>
    <w:rsid w:val="0001735F"/>
    <w:rsid w:val="00017C7D"/>
    <w:rsid w:val="0002026D"/>
    <w:rsid w:val="00021404"/>
    <w:rsid w:val="00021DC5"/>
    <w:rsid w:val="000231A1"/>
    <w:rsid w:val="0002468C"/>
    <w:rsid w:val="00024BE6"/>
    <w:rsid w:val="00025CD9"/>
    <w:rsid w:val="0003041D"/>
    <w:rsid w:val="0003055D"/>
    <w:rsid w:val="000312D6"/>
    <w:rsid w:val="000313AF"/>
    <w:rsid w:val="0003174C"/>
    <w:rsid w:val="00031966"/>
    <w:rsid w:val="00032BF7"/>
    <w:rsid w:val="00032FCF"/>
    <w:rsid w:val="000358D4"/>
    <w:rsid w:val="00035FEC"/>
    <w:rsid w:val="0003713F"/>
    <w:rsid w:val="000372FD"/>
    <w:rsid w:val="0004249C"/>
    <w:rsid w:val="000456BD"/>
    <w:rsid w:val="00045BEF"/>
    <w:rsid w:val="00045F97"/>
    <w:rsid w:val="00046B4E"/>
    <w:rsid w:val="00047106"/>
    <w:rsid w:val="000473E8"/>
    <w:rsid w:val="00050813"/>
    <w:rsid w:val="0005303D"/>
    <w:rsid w:val="000534E3"/>
    <w:rsid w:val="000538B9"/>
    <w:rsid w:val="000548F2"/>
    <w:rsid w:val="00055DF3"/>
    <w:rsid w:val="000562EC"/>
    <w:rsid w:val="00057C22"/>
    <w:rsid w:val="00057D65"/>
    <w:rsid w:val="00061E0B"/>
    <w:rsid w:val="0006219F"/>
    <w:rsid w:val="000621B1"/>
    <w:rsid w:val="000628A2"/>
    <w:rsid w:val="000629AF"/>
    <w:rsid w:val="00062ABA"/>
    <w:rsid w:val="00063601"/>
    <w:rsid w:val="0006432F"/>
    <w:rsid w:val="00064968"/>
    <w:rsid w:val="00065B4B"/>
    <w:rsid w:val="00065EBC"/>
    <w:rsid w:val="00070162"/>
    <w:rsid w:val="00070C1C"/>
    <w:rsid w:val="00071975"/>
    <w:rsid w:val="00072945"/>
    <w:rsid w:val="000729AB"/>
    <w:rsid w:val="00072CD6"/>
    <w:rsid w:val="00074625"/>
    <w:rsid w:val="0007676E"/>
    <w:rsid w:val="00076D4E"/>
    <w:rsid w:val="00077C55"/>
    <w:rsid w:val="000809AC"/>
    <w:rsid w:val="0008112A"/>
    <w:rsid w:val="000812DE"/>
    <w:rsid w:val="00081619"/>
    <w:rsid w:val="00084A53"/>
    <w:rsid w:val="00085CB9"/>
    <w:rsid w:val="000867C5"/>
    <w:rsid w:val="000916DB"/>
    <w:rsid w:val="00091E3C"/>
    <w:rsid w:val="000938A1"/>
    <w:rsid w:val="00094453"/>
    <w:rsid w:val="00095783"/>
    <w:rsid w:val="00096392"/>
    <w:rsid w:val="000964F4"/>
    <w:rsid w:val="00096D98"/>
    <w:rsid w:val="000A0E0F"/>
    <w:rsid w:val="000A3A30"/>
    <w:rsid w:val="000A3DF0"/>
    <w:rsid w:val="000B0C03"/>
    <w:rsid w:val="000B0DB4"/>
    <w:rsid w:val="000B380D"/>
    <w:rsid w:val="000B479F"/>
    <w:rsid w:val="000B5594"/>
    <w:rsid w:val="000B6451"/>
    <w:rsid w:val="000B7B24"/>
    <w:rsid w:val="000B7D96"/>
    <w:rsid w:val="000B7FBA"/>
    <w:rsid w:val="000C0777"/>
    <w:rsid w:val="000C0D3E"/>
    <w:rsid w:val="000C0FB8"/>
    <w:rsid w:val="000C12D8"/>
    <w:rsid w:val="000C374E"/>
    <w:rsid w:val="000C4F6D"/>
    <w:rsid w:val="000C50B7"/>
    <w:rsid w:val="000C663D"/>
    <w:rsid w:val="000C7309"/>
    <w:rsid w:val="000C7BA0"/>
    <w:rsid w:val="000D1454"/>
    <w:rsid w:val="000D2614"/>
    <w:rsid w:val="000D4023"/>
    <w:rsid w:val="000D4567"/>
    <w:rsid w:val="000D6063"/>
    <w:rsid w:val="000D6257"/>
    <w:rsid w:val="000D7140"/>
    <w:rsid w:val="000E1008"/>
    <w:rsid w:val="000E1E4B"/>
    <w:rsid w:val="000E261E"/>
    <w:rsid w:val="000E2F19"/>
    <w:rsid w:val="000E3006"/>
    <w:rsid w:val="000E4402"/>
    <w:rsid w:val="000E46F4"/>
    <w:rsid w:val="000E50DE"/>
    <w:rsid w:val="000E5CF3"/>
    <w:rsid w:val="000E6183"/>
    <w:rsid w:val="000E764D"/>
    <w:rsid w:val="000F05DD"/>
    <w:rsid w:val="000F0D76"/>
    <w:rsid w:val="000F1924"/>
    <w:rsid w:val="000F1E73"/>
    <w:rsid w:val="000F2490"/>
    <w:rsid w:val="000F3ADE"/>
    <w:rsid w:val="000F5492"/>
    <w:rsid w:val="000F5A37"/>
    <w:rsid w:val="000F670C"/>
    <w:rsid w:val="000F6F76"/>
    <w:rsid w:val="000F7454"/>
    <w:rsid w:val="00101DF7"/>
    <w:rsid w:val="00102021"/>
    <w:rsid w:val="00102160"/>
    <w:rsid w:val="00102359"/>
    <w:rsid w:val="00102D0F"/>
    <w:rsid w:val="00102FD7"/>
    <w:rsid w:val="001043F7"/>
    <w:rsid w:val="00104987"/>
    <w:rsid w:val="00104C96"/>
    <w:rsid w:val="00105834"/>
    <w:rsid w:val="0010623A"/>
    <w:rsid w:val="001079E6"/>
    <w:rsid w:val="00107AF0"/>
    <w:rsid w:val="00107B95"/>
    <w:rsid w:val="001102FC"/>
    <w:rsid w:val="00110D41"/>
    <w:rsid w:val="001118F6"/>
    <w:rsid w:val="00112CA0"/>
    <w:rsid w:val="001145AC"/>
    <w:rsid w:val="00114CB8"/>
    <w:rsid w:val="0012074F"/>
    <w:rsid w:val="00121232"/>
    <w:rsid w:val="001214F2"/>
    <w:rsid w:val="0012338D"/>
    <w:rsid w:val="0012349F"/>
    <w:rsid w:val="001237F2"/>
    <w:rsid w:val="00123B4E"/>
    <w:rsid w:val="00123C46"/>
    <w:rsid w:val="00124FAF"/>
    <w:rsid w:val="001257F4"/>
    <w:rsid w:val="00125BA9"/>
    <w:rsid w:val="00126ABD"/>
    <w:rsid w:val="0012790F"/>
    <w:rsid w:val="00130FF2"/>
    <w:rsid w:val="00131EE0"/>
    <w:rsid w:val="00132399"/>
    <w:rsid w:val="001330A0"/>
    <w:rsid w:val="00134486"/>
    <w:rsid w:val="00134E14"/>
    <w:rsid w:val="0013543D"/>
    <w:rsid w:val="001356F2"/>
    <w:rsid w:val="001357F9"/>
    <w:rsid w:val="00135C83"/>
    <w:rsid w:val="001360F1"/>
    <w:rsid w:val="00136882"/>
    <w:rsid w:val="00136C92"/>
    <w:rsid w:val="00136EAC"/>
    <w:rsid w:val="00137CF1"/>
    <w:rsid w:val="00140203"/>
    <w:rsid w:val="00140DD4"/>
    <w:rsid w:val="001427FE"/>
    <w:rsid w:val="001459B1"/>
    <w:rsid w:val="00145BA9"/>
    <w:rsid w:val="001462F5"/>
    <w:rsid w:val="00147B5D"/>
    <w:rsid w:val="0015011D"/>
    <w:rsid w:val="00150E7C"/>
    <w:rsid w:val="0015234F"/>
    <w:rsid w:val="0015295C"/>
    <w:rsid w:val="00152D51"/>
    <w:rsid w:val="00153615"/>
    <w:rsid w:val="00153787"/>
    <w:rsid w:val="001538DD"/>
    <w:rsid w:val="00153D44"/>
    <w:rsid w:val="001541B3"/>
    <w:rsid w:val="001541EA"/>
    <w:rsid w:val="001549CD"/>
    <w:rsid w:val="00156446"/>
    <w:rsid w:val="00156BBA"/>
    <w:rsid w:val="00156DE1"/>
    <w:rsid w:val="00161C29"/>
    <w:rsid w:val="0016401B"/>
    <w:rsid w:val="00164B58"/>
    <w:rsid w:val="00165C13"/>
    <w:rsid w:val="001662F7"/>
    <w:rsid w:val="00170634"/>
    <w:rsid w:val="00170951"/>
    <w:rsid w:val="00170FA4"/>
    <w:rsid w:val="00172569"/>
    <w:rsid w:val="00172C54"/>
    <w:rsid w:val="00172CB1"/>
    <w:rsid w:val="00173095"/>
    <w:rsid w:val="0017496A"/>
    <w:rsid w:val="00175CA9"/>
    <w:rsid w:val="00176145"/>
    <w:rsid w:val="00176E27"/>
    <w:rsid w:val="00177593"/>
    <w:rsid w:val="001777DC"/>
    <w:rsid w:val="00183E0E"/>
    <w:rsid w:val="001840BF"/>
    <w:rsid w:val="00184A13"/>
    <w:rsid w:val="00184A16"/>
    <w:rsid w:val="001852D3"/>
    <w:rsid w:val="00185726"/>
    <w:rsid w:val="00185FD6"/>
    <w:rsid w:val="00186D59"/>
    <w:rsid w:val="00190725"/>
    <w:rsid w:val="001914DA"/>
    <w:rsid w:val="00191588"/>
    <w:rsid w:val="00191840"/>
    <w:rsid w:val="00191945"/>
    <w:rsid w:val="00191983"/>
    <w:rsid w:val="00192EF7"/>
    <w:rsid w:val="001931CA"/>
    <w:rsid w:val="00194BBB"/>
    <w:rsid w:val="0019511C"/>
    <w:rsid w:val="001951C2"/>
    <w:rsid w:val="001955C3"/>
    <w:rsid w:val="0019619A"/>
    <w:rsid w:val="00196ABD"/>
    <w:rsid w:val="001A02DC"/>
    <w:rsid w:val="001A1395"/>
    <w:rsid w:val="001A1BED"/>
    <w:rsid w:val="001A2260"/>
    <w:rsid w:val="001A4412"/>
    <w:rsid w:val="001A5038"/>
    <w:rsid w:val="001A5B5C"/>
    <w:rsid w:val="001A5E0D"/>
    <w:rsid w:val="001A624F"/>
    <w:rsid w:val="001A6319"/>
    <w:rsid w:val="001A6D62"/>
    <w:rsid w:val="001B0745"/>
    <w:rsid w:val="001B1A4B"/>
    <w:rsid w:val="001B2B8F"/>
    <w:rsid w:val="001B3FBF"/>
    <w:rsid w:val="001B40B8"/>
    <w:rsid w:val="001B5233"/>
    <w:rsid w:val="001B536C"/>
    <w:rsid w:val="001B54B7"/>
    <w:rsid w:val="001B5695"/>
    <w:rsid w:val="001B5D5B"/>
    <w:rsid w:val="001B6657"/>
    <w:rsid w:val="001B6FCC"/>
    <w:rsid w:val="001B7990"/>
    <w:rsid w:val="001C2ECE"/>
    <w:rsid w:val="001C4950"/>
    <w:rsid w:val="001C4B45"/>
    <w:rsid w:val="001C4DB7"/>
    <w:rsid w:val="001C4E29"/>
    <w:rsid w:val="001C4F73"/>
    <w:rsid w:val="001D07AB"/>
    <w:rsid w:val="001D184F"/>
    <w:rsid w:val="001D2511"/>
    <w:rsid w:val="001D339B"/>
    <w:rsid w:val="001D416D"/>
    <w:rsid w:val="001D48D3"/>
    <w:rsid w:val="001D6039"/>
    <w:rsid w:val="001D6204"/>
    <w:rsid w:val="001D66F9"/>
    <w:rsid w:val="001D6B1F"/>
    <w:rsid w:val="001D6BF6"/>
    <w:rsid w:val="001D6C4C"/>
    <w:rsid w:val="001D77AA"/>
    <w:rsid w:val="001D7EA6"/>
    <w:rsid w:val="001E082E"/>
    <w:rsid w:val="001E2607"/>
    <w:rsid w:val="001E3E44"/>
    <w:rsid w:val="001E41AF"/>
    <w:rsid w:val="001E5C49"/>
    <w:rsid w:val="001E5EA7"/>
    <w:rsid w:val="001E6329"/>
    <w:rsid w:val="001F0777"/>
    <w:rsid w:val="001F08EF"/>
    <w:rsid w:val="001F0C92"/>
    <w:rsid w:val="001F2366"/>
    <w:rsid w:val="001F2844"/>
    <w:rsid w:val="001F3BD3"/>
    <w:rsid w:val="001F5017"/>
    <w:rsid w:val="001F6582"/>
    <w:rsid w:val="001F74C8"/>
    <w:rsid w:val="00200AC4"/>
    <w:rsid w:val="00200B66"/>
    <w:rsid w:val="00200EE1"/>
    <w:rsid w:val="00201025"/>
    <w:rsid w:val="0020193B"/>
    <w:rsid w:val="00203116"/>
    <w:rsid w:val="00205DFC"/>
    <w:rsid w:val="00205E88"/>
    <w:rsid w:val="002065EE"/>
    <w:rsid w:val="002066A9"/>
    <w:rsid w:val="00206DAD"/>
    <w:rsid w:val="00206DCD"/>
    <w:rsid w:val="00207CF7"/>
    <w:rsid w:val="00210D99"/>
    <w:rsid w:val="00211D9C"/>
    <w:rsid w:val="00212969"/>
    <w:rsid w:val="002134E7"/>
    <w:rsid w:val="0021444D"/>
    <w:rsid w:val="00214BC3"/>
    <w:rsid w:val="00215426"/>
    <w:rsid w:val="00215B10"/>
    <w:rsid w:val="00215D7A"/>
    <w:rsid w:val="00216D1F"/>
    <w:rsid w:val="002233FB"/>
    <w:rsid w:val="00223B63"/>
    <w:rsid w:val="002245E1"/>
    <w:rsid w:val="002247A4"/>
    <w:rsid w:val="00224EFD"/>
    <w:rsid w:val="00225787"/>
    <w:rsid w:val="002262D0"/>
    <w:rsid w:val="00226A2C"/>
    <w:rsid w:val="00230056"/>
    <w:rsid w:val="002307A3"/>
    <w:rsid w:val="00230DE3"/>
    <w:rsid w:val="00231977"/>
    <w:rsid w:val="00231FAD"/>
    <w:rsid w:val="002323C0"/>
    <w:rsid w:val="00232DC6"/>
    <w:rsid w:val="00232FFC"/>
    <w:rsid w:val="002343C3"/>
    <w:rsid w:val="002344C7"/>
    <w:rsid w:val="002357C8"/>
    <w:rsid w:val="002366C7"/>
    <w:rsid w:val="002366D9"/>
    <w:rsid w:val="0023776A"/>
    <w:rsid w:val="00241C21"/>
    <w:rsid w:val="0024231B"/>
    <w:rsid w:val="00242A88"/>
    <w:rsid w:val="002430A1"/>
    <w:rsid w:val="00243243"/>
    <w:rsid w:val="0024342A"/>
    <w:rsid w:val="002437F6"/>
    <w:rsid w:val="00243BDC"/>
    <w:rsid w:val="00244AF7"/>
    <w:rsid w:val="0024527C"/>
    <w:rsid w:val="002469F5"/>
    <w:rsid w:val="00246AF6"/>
    <w:rsid w:val="002472F8"/>
    <w:rsid w:val="0024751A"/>
    <w:rsid w:val="00250937"/>
    <w:rsid w:val="002520D1"/>
    <w:rsid w:val="002540FA"/>
    <w:rsid w:val="002547C1"/>
    <w:rsid w:val="00255DE8"/>
    <w:rsid w:val="0025690C"/>
    <w:rsid w:val="00257842"/>
    <w:rsid w:val="002608EE"/>
    <w:rsid w:val="00260B29"/>
    <w:rsid w:val="00260EBB"/>
    <w:rsid w:val="00262AB6"/>
    <w:rsid w:val="0026312B"/>
    <w:rsid w:val="00263567"/>
    <w:rsid w:val="00264AC9"/>
    <w:rsid w:val="00265527"/>
    <w:rsid w:val="00265805"/>
    <w:rsid w:val="002659BB"/>
    <w:rsid w:val="00266ACE"/>
    <w:rsid w:val="00267F1C"/>
    <w:rsid w:val="002713BB"/>
    <w:rsid w:val="0027204A"/>
    <w:rsid w:val="0027312B"/>
    <w:rsid w:val="00275174"/>
    <w:rsid w:val="002754A7"/>
    <w:rsid w:val="00275827"/>
    <w:rsid w:val="00276C5E"/>
    <w:rsid w:val="0027759C"/>
    <w:rsid w:val="00277853"/>
    <w:rsid w:val="00277FEA"/>
    <w:rsid w:val="00280E27"/>
    <w:rsid w:val="0028200D"/>
    <w:rsid w:val="00282383"/>
    <w:rsid w:val="00282515"/>
    <w:rsid w:val="00283CDA"/>
    <w:rsid w:val="0028564F"/>
    <w:rsid w:val="002865A7"/>
    <w:rsid w:val="00286DAD"/>
    <w:rsid w:val="002873C5"/>
    <w:rsid w:val="00291544"/>
    <w:rsid w:val="00292A11"/>
    <w:rsid w:val="00293F35"/>
    <w:rsid w:val="00295CCD"/>
    <w:rsid w:val="002963EE"/>
    <w:rsid w:val="0029660A"/>
    <w:rsid w:val="00296CB5"/>
    <w:rsid w:val="002979D6"/>
    <w:rsid w:val="002A1F4D"/>
    <w:rsid w:val="002A2A80"/>
    <w:rsid w:val="002A3371"/>
    <w:rsid w:val="002A41D5"/>
    <w:rsid w:val="002A49D9"/>
    <w:rsid w:val="002A5BF6"/>
    <w:rsid w:val="002A613B"/>
    <w:rsid w:val="002A6697"/>
    <w:rsid w:val="002A7D5C"/>
    <w:rsid w:val="002A7E57"/>
    <w:rsid w:val="002B2A35"/>
    <w:rsid w:val="002B2EF7"/>
    <w:rsid w:val="002B42C1"/>
    <w:rsid w:val="002B546A"/>
    <w:rsid w:val="002B5EED"/>
    <w:rsid w:val="002B5FBC"/>
    <w:rsid w:val="002B6496"/>
    <w:rsid w:val="002B6C6D"/>
    <w:rsid w:val="002B7426"/>
    <w:rsid w:val="002C015E"/>
    <w:rsid w:val="002C16DE"/>
    <w:rsid w:val="002C1B98"/>
    <w:rsid w:val="002C22DB"/>
    <w:rsid w:val="002C3E1D"/>
    <w:rsid w:val="002C3FDF"/>
    <w:rsid w:val="002C41AA"/>
    <w:rsid w:val="002C4203"/>
    <w:rsid w:val="002C47F1"/>
    <w:rsid w:val="002C4F53"/>
    <w:rsid w:val="002C55F3"/>
    <w:rsid w:val="002C5928"/>
    <w:rsid w:val="002C6AEB"/>
    <w:rsid w:val="002C6EDE"/>
    <w:rsid w:val="002D0178"/>
    <w:rsid w:val="002D018A"/>
    <w:rsid w:val="002D0A67"/>
    <w:rsid w:val="002D35D5"/>
    <w:rsid w:val="002D4D8E"/>
    <w:rsid w:val="002D5B43"/>
    <w:rsid w:val="002D62E6"/>
    <w:rsid w:val="002D7889"/>
    <w:rsid w:val="002E228C"/>
    <w:rsid w:val="002E3C31"/>
    <w:rsid w:val="002E44DA"/>
    <w:rsid w:val="002E5793"/>
    <w:rsid w:val="002E5931"/>
    <w:rsid w:val="002E5B24"/>
    <w:rsid w:val="002F0F9A"/>
    <w:rsid w:val="002F1674"/>
    <w:rsid w:val="002F2FB3"/>
    <w:rsid w:val="002F3A43"/>
    <w:rsid w:val="00302531"/>
    <w:rsid w:val="00302B4A"/>
    <w:rsid w:val="003037C7"/>
    <w:rsid w:val="003042A3"/>
    <w:rsid w:val="003047F3"/>
    <w:rsid w:val="0030489E"/>
    <w:rsid w:val="00305983"/>
    <w:rsid w:val="00307929"/>
    <w:rsid w:val="00310DAC"/>
    <w:rsid w:val="003122B1"/>
    <w:rsid w:val="003127DD"/>
    <w:rsid w:val="003132CE"/>
    <w:rsid w:val="00314B3E"/>
    <w:rsid w:val="00316147"/>
    <w:rsid w:val="003169BE"/>
    <w:rsid w:val="003173A0"/>
    <w:rsid w:val="00317F92"/>
    <w:rsid w:val="003202DD"/>
    <w:rsid w:val="0032183A"/>
    <w:rsid w:val="003218FF"/>
    <w:rsid w:val="00323218"/>
    <w:rsid w:val="003239B8"/>
    <w:rsid w:val="00325A8C"/>
    <w:rsid w:val="00326838"/>
    <w:rsid w:val="00326BDD"/>
    <w:rsid w:val="0033056A"/>
    <w:rsid w:val="00330799"/>
    <w:rsid w:val="00331106"/>
    <w:rsid w:val="00331482"/>
    <w:rsid w:val="00332440"/>
    <w:rsid w:val="003326E0"/>
    <w:rsid w:val="00333B6A"/>
    <w:rsid w:val="003340BD"/>
    <w:rsid w:val="00335962"/>
    <w:rsid w:val="0033614E"/>
    <w:rsid w:val="00336F31"/>
    <w:rsid w:val="00337859"/>
    <w:rsid w:val="00340751"/>
    <w:rsid w:val="003440C6"/>
    <w:rsid w:val="00347740"/>
    <w:rsid w:val="00347C9B"/>
    <w:rsid w:val="00352C9D"/>
    <w:rsid w:val="00354559"/>
    <w:rsid w:val="003545AF"/>
    <w:rsid w:val="00354FDE"/>
    <w:rsid w:val="00355604"/>
    <w:rsid w:val="0035564D"/>
    <w:rsid w:val="00355D9B"/>
    <w:rsid w:val="00356329"/>
    <w:rsid w:val="00357791"/>
    <w:rsid w:val="00357D8F"/>
    <w:rsid w:val="00357FD9"/>
    <w:rsid w:val="0036048F"/>
    <w:rsid w:val="00360CFC"/>
    <w:rsid w:val="00361067"/>
    <w:rsid w:val="0036355D"/>
    <w:rsid w:val="00363FFB"/>
    <w:rsid w:val="0036478C"/>
    <w:rsid w:val="00364F38"/>
    <w:rsid w:val="0036629D"/>
    <w:rsid w:val="00366959"/>
    <w:rsid w:val="00366A27"/>
    <w:rsid w:val="003677B2"/>
    <w:rsid w:val="003704F6"/>
    <w:rsid w:val="00370961"/>
    <w:rsid w:val="0037189B"/>
    <w:rsid w:val="003718AD"/>
    <w:rsid w:val="00371AE9"/>
    <w:rsid w:val="0037415C"/>
    <w:rsid w:val="0037634B"/>
    <w:rsid w:val="00376743"/>
    <w:rsid w:val="00377234"/>
    <w:rsid w:val="0037733C"/>
    <w:rsid w:val="00377687"/>
    <w:rsid w:val="00377E1D"/>
    <w:rsid w:val="00380002"/>
    <w:rsid w:val="0038020D"/>
    <w:rsid w:val="00381C58"/>
    <w:rsid w:val="00382C32"/>
    <w:rsid w:val="00384BC1"/>
    <w:rsid w:val="00385DA9"/>
    <w:rsid w:val="00386082"/>
    <w:rsid w:val="00387BC1"/>
    <w:rsid w:val="003903F4"/>
    <w:rsid w:val="0039089B"/>
    <w:rsid w:val="00390D59"/>
    <w:rsid w:val="00391A5C"/>
    <w:rsid w:val="00392505"/>
    <w:rsid w:val="0039408E"/>
    <w:rsid w:val="0039431B"/>
    <w:rsid w:val="00394A44"/>
    <w:rsid w:val="00394B91"/>
    <w:rsid w:val="00395D5E"/>
    <w:rsid w:val="00396EB8"/>
    <w:rsid w:val="003A00A0"/>
    <w:rsid w:val="003A0AB6"/>
    <w:rsid w:val="003A0AC8"/>
    <w:rsid w:val="003A0F8C"/>
    <w:rsid w:val="003A1460"/>
    <w:rsid w:val="003A19E9"/>
    <w:rsid w:val="003A3910"/>
    <w:rsid w:val="003A3DBE"/>
    <w:rsid w:val="003A5072"/>
    <w:rsid w:val="003A523D"/>
    <w:rsid w:val="003A546E"/>
    <w:rsid w:val="003A566E"/>
    <w:rsid w:val="003A597C"/>
    <w:rsid w:val="003A61D5"/>
    <w:rsid w:val="003A73B4"/>
    <w:rsid w:val="003B00EC"/>
    <w:rsid w:val="003B0886"/>
    <w:rsid w:val="003B0AE8"/>
    <w:rsid w:val="003B23E4"/>
    <w:rsid w:val="003B4813"/>
    <w:rsid w:val="003B7CB4"/>
    <w:rsid w:val="003C2B0F"/>
    <w:rsid w:val="003C2E29"/>
    <w:rsid w:val="003C382A"/>
    <w:rsid w:val="003C46E0"/>
    <w:rsid w:val="003C4836"/>
    <w:rsid w:val="003C57BE"/>
    <w:rsid w:val="003C6507"/>
    <w:rsid w:val="003C66AF"/>
    <w:rsid w:val="003C7BA9"/>
    <w:rsid w:val="003D028B"/>
    <w:rsid w:val="003D103F"/>
    <w:rsid w:val="003D1728"/>
    <w:rsid w:val="003D1B3B"/>
    <w:rsid w:val="003D33A3"/>
    <w:rsid w:val="003D39C8"/>
    <w:rsid w:val="003D4E37"/>
    <w:rsid w:val="003D5F8E"/>
    <w:rsid w:val="003D61D0"/>
    <w:rsid w:val="003D64A0"/>
    <w:rsid w:val="003D7069"/>
    <w:rsid w:val="003D70A5"/>
    <w:rsid w:val="003D77B2"/>
    <w:rsid w:val="003E196A"/>
    <w:rsid w:val="003E3B34"/>
    <w:rsid w:val="003E3F95"/>
    <w:rsid w:val="003E4081"/>
    <w:rsid w:val="003E4283"/>
    <w:rsid w:val="003E4D91"/>
    <w:rsid w:val="003E6CC2"/>
    <w:rsid w:val="003F07E4"/>
    <w:rsid w:val="003F1668"/>
    <w:rsid w:val="003F1865"/>
    <w:rsid w:val="003F1A07"/>
    <w:rsid w:val="003F392D"/>
    <w:rsid w:val="003F3AB2"/>
    <w:rsid w:val="003F3CCA"/>
    <w:rsid w:val="003F443A"/>
    <w:rsid w:val="003F4CCB"/>
    <w:rsid w:val="003F51FE"/>
    <w:rsid w:val="003F5B34"/>
    <w:rsid w:val="003F6086"/>
    <w:rsid w:val="004041CA"/>
    <w:rsid w:val="004060C8"/>
    <w:rsid w:val="004069A0"/>
    <w:rsid w:val="0040738B"/>
    <w:rsid w:val="00407FD8"/>
    <w:rsid w:val="00410134"/>
    <w:rsid w:val="0041241C"/>
    <w:rsid w:val="0041252B"/>
    <w:rsid w:val="00412E50"/>
    <w:rsid w:val="00412EB0"/>
    <w:rsid w:val="004136DA"/>
    <w:rsid w:val="004145C8"/>
    <w:rsid w:val="004146F2"/>
    <w:rsid w:val="00414AB8"/>
    <w:rsid w:val="00417933"/>
    <w:rsid w:val="00421919"/>
    <w:rsid w:val="0042352D"/>
    <w:rsid w:val="004237CE"/>
    <w:rsid w:val="004243FA"/>
    <w:rsid w:val="004245E0"/>
    <w:rsid w:val="00424C32"/>
    <w:rsid w:val="00425A74"/>
    <w:rsid w:val="00425AE3"/>
    <w:rsid w:val="00425FB3"/>
    <w:rsid w:val="00427CC3"/>
    <w:rsid w:val="00430C71"/>
    <w:rsid w:val="00431833"/>
    <w:rsid w:val="004319DD"/>
    <w:rsid w:val="00431CD3"/>
    <w:rsid w:val="004326A0"/>
    <w:rsid w:val="00432A71"/>
    <w:rsid w:val="00432E6F"/>
    <w:rsid w:val="00433652"/>
    <w:rsid w:val="00433E47"/>
    <w:rsid w:val="004353DA"/>
    <w:rsid w:val="00435C5F"/>
    <w:rsid w:val="00436B80"/>
    <w:rsid w:val="0043711F"/>
    <w:rsid w:val="004373AA"/>
    <w:rsid w:val="004374E1"/>
    <w:rsid w:val="00437A84"/>
    <w:rsid w:val="00437D55"/>
    <w:rsid w:val="004400B0"/>
    <w:rsid w:val="0044013F"/>
    <w:rsid w:val="0044036D"/>
    <w:rsid w:val="00440B08"/>
    <w:rsid w:val="00441213"/>
    <w:rsid w:val="0044248B"/>
    <w:rsid w:val="00442E2E"/>
    <w:rsid w:val="004433C7"/>
    <w:rsid w:val="00443E37"/>
    <w:rsid w:val="00445B18"/>
    <w:rsid w:val="004465F0"/>
    <w:rsid w:val="00446827"/>
    <w:rsid w:val="004469E4"/>
    <w:rsid w:val="00446EC2"/>
    <w:rsid w:val="0044703C"/>
    <w:rsid w:val="004508F9"/>
    <w:rsid w:val="00451822"/>
    <w:rsid w:val="00453D41"/>
    <w:rsid w:val="00454151"/>
    <w:rsid w:val="004543D7"/>
    <w:rsid w:val="00454685"/>
    <w:rsid w:val="004546A7"/>
    <w:rsid w:val="00455DB6"/>
    <w:rsid w:val="00456939"/>
    <w:rsid w:val="00456EC8"/>
    <w:rsid w:val="00457772"/>
    <w:rsid w:val="00457B8A"/>
    <w:rsid w:val="00460EA6"/>
    <w:rsid w:val="00461601"/>
    <w:rsid w:val="004616FE"/>
    <w:rsid w:val="004625F7"/>
    <w:rsid w:val="00462F37"/>
    <w:rsid w:val="004631E2"/>
    <w:rsid w:val="004643A6"/>
    <w:rsid w:val="00465DB9"/>
    <w:rsid w:val="0046669F"/>
    <w:rsid w:val="00466924"/>
    <w:rsid w:val="0046771E"/>
    <w:rsid w:val="00471FB2"/>
    <w:rsid w:val="00474562"/>
    <w:rsid w:val="00474634"/>
    <w:rsid w:val="00474EEA"/>
    <w:rsid w:val="004750D5"/>
    <w:rsid w:val="00475663"/>
    <w:rsid w:val="004805C9"/>
    <w:rsid w:val="004808E7"/>
    <w:rsid w:val="00480970"/>
    <w:rsid w:val="00480F4E"/>
    <w:rsid w:val="0048308F"/>
    <w:rsid w:val="00483356"/>
    <w:rsid w:val="00483E55"/>
    <w:rsid w:val="0048402E"/>
    <w:rsid w:val="00484334"/>
    <w:rsid w:val="00484E28"/>
    <w:rsid w:val="00487D2B"/>
    <w:rsid w:val="0049007D"/>
    <w:rsid w:val="00490E3E"/>
    <w:rsid w:val="0049173A"/>
    <w:rsid w:val="004920B1"/>
    <w:rsid w:val="0049574B"/>
    <w:rsid w:val="004965BE"/>
    <w:rsid w:val="00497551"/>
    <w:rsid w:val="004A0409"/>
    <w:rsid w:val="004A0A93"/>
    <w:rsid w:val="004A2232"/>
    <w:rsid w:val="004A22BE"/>
    <w:rsid w:val="004A2E2A"/>
    <w:rsid w:val="004A519F"/>
    <w:rsid w:val="004A56CB"/>
    <w:rsid w:val="004A704D"/>
    <w:rsid w:val="004A70E9"/>
    <w:rsid w:val="004A7959"/>
    <w:rsid w:val="004A7C40"/>
    <w:rsid w:val="004A7EC4"/>
    <w:rsid w:val="004B0400"/>
    <w:rsid w:val="004B0E53"/>
    <w:rsid w:val="004B2C95"/>
    <w:rsid w:val="004B5220"/>
    <w:rsid w:val="004B588A"/>
    <w:rsid w:val="004B594C"/>
    <w:rsid w:val="004B6FDD"/>
    <w:rsid w:val="004B734B"/>
    <w:rsid w:val="004B7ACA"/>
    <w:rsid w:val="004B7CFC"/>
    <w:rsid w:val="004C0A48"/>
    <w:rsid w:val="004C44C7"/>
    <w:rsid w:val="004C5AE8"/>
    <w:rsid w:val="004C6336"/>
    <w:rsid w:val="004C68F6"/>
    <w:rsid w:val="004C6AB3"/>
    <w:rsid w:val="004D0270"/>
    <w:rsid w:val="004D03BD"/>
    <w:rsid w:val="004D1443"/>
    <w:rsid w:val="004D23BF"/>
    <w:rsid w:val="004D372F"/>
    <w:rsid w:val="004D3C8E"/>
    <w:rsid w:val="004D45C4"/>
    <w:rsid w:val="004D4DC7"/>
    <w:rsid w:val="004D5201"/>
    <w:rsid w:val="004D6533"/>
    <w:rsid w:val="004D661A"/>
    <w:rsid w:val="004E0036"/>
    <w:rsid w:val="004E0584"/>
    <w:rsid w:val="004E1CFE"/>
    <w:rsid w:val="004E2C25"/>
    <w:rsid w:val="004E31A6"/>
    <w:rsid w:val="004E3563"/>
    <w:rsid w:val="004E3A24"/>
    <w:rsid w:val="004E5540"/>
    <w:rsid w:val="004E62FB"/>
    <w:rsid w:val="004E7746"/>
    <w:rsid w:val="004F0313"/>
    <w:rsid w:val="004F0C9A"/>
    <w:rsid w:val="004F1ADD"/>
    <w:rsid w:val="004F1DD1"/>
    <w:rsid w:val="004F1F08"/>
    <w:rsid w:val="004F200A"/>
    <w:rsid w:val="004F24B0"/>
    <w:rsid w:val="004F3D50"/>
    <w:rsid w:val="004F3E6A"/>
    <w:rsid w:val="004F6093"/>
    <w:rsid w:val="004F66E1"/>
    <w:rsid w:val="004F71A5"/>
    <w:rsid w:val="004F73AA"/>
    <w:rsid w:val="00500FA2"/>
    <w:rsid w:val="00501487"/>
    <w:rsid w:val="00503565"/>
    <w:rsid w:val="00503E38"/>
    <w:rsid w:val="0050449E"/>
    <w:rsid w:val="00505A3A"/>
    <w:rsid w:val="0050621C"/>
    <w:rsid w:val="005067C8"/>
    <w:rsid w:val="00506D91"/>
    <w:rsid w:val="00506FA9"/>
    <w:rsid w:val="005116B9"/>
    <w:rsid w:val="00511EEF"/>
    <w:rsid w:val="005126BD"/>
    <w:rsid w:val="00513CF1"/>
    <w:rsid w:val="00516221"/>
    <w:rsid w:val="0051685D"/>
    <w:rsid w:val="005169AA"/>
    <w:rsid w:val="00516A85"/>
    <w:rsid w:val="00520D03"/>
    <w:rsid w:val="00522B5E"/>
    <w:rsid w:val="00522DB9"/>
    <w:rsid w:val="005251F6"/>
    <w:rsid w:val="005258BE"/>
    <w:rsid w:val="0052590F"/>
    <w:rsid w:val="00526178"/>
    <w:rsid w:val="005263E5"/>
    <w:rsid w:val="00535D5C"/>
    <w:rsid w:val="00535F6A"/>
    <w:rsid w:val="005368D9"/>
    <w:rsid w:val="0054117F"/>
    <w:rsid w:val="0054137C"/>
    <w:rsid w:val="005416C9"/>
    <w:rsid w:val="00542947"/>
    <w:rsid w:val="0054296F"/>
    <w:rsid w:val="00543870"/>
    <w:rsid w:val="00543EC1"/>
    <w:rsid w:val="005444EB"/>
    <w:rsid w:val="005448AB"/>
    <w:rsid w:val="00545E0D"/>
    <w:rsid w:val="00546289"/>
    <w:rsid w:val="00547305"/>
    <w:rsid w:val="00551837"/>
    <w:rsid w:val="005519EB"/>
    <w:rsid w:val="00552A79"/>
    <w:rsid w:val="00552CCA"/>
    <w:rsid w:val="00553A60"/>
    <w:rsid w:val="005552BA"/>
    <w:rsid w:val="0055585D"/>
    <w:rsid w:val="00555945"/>
    <w:rsid w:val="0055687C"/>
    <w:rsid w:val="00556A64"/>
    <w:rsid w:val="00557044"/>
    <w:rsid w:val="0056049F"/>
    <w:rsid w:val="00561F70"/>
    <w:rsid w:val="005624F0"/>
    <w:rsid w:val="00563CA0"/>
    <w:rsid w:val="005640F7"/>
    <w:rsid w:val="0056577B"/>
    <w:rsid w:val="00566206"/>
    <w:rsid w:val="0057043F"/>
    <w:rsid w:val="005705AA"/>
    <w:rsid w:val="00571730"/>
    <w:rsid w:val="00572324"/>
    <w:rsid w:val="0057290B"/>
    <w:rsid w:val="00573913"/>
    <w:rsid w:val="0057430E"/>
    <w:rsid w:val="005752EB"/>
    <w:rsid w:val="00575F08"/>
    <w:rsid w:val="00577DE4"/>
    <w:rsid w:val="00580751"/>
    <w:rsid w:val="005818A7"/>
    <w:rsid w:val="00582475"/>
    <w:rsid w:val="00583D2A"/>
    <w:rsid w:val="00590769"/>
    <w:rsid w:val="0059155A"/>
    <w:rsid w:val="00594C12"/>
    <w:rsid w:val="005952BB"/>
    <w:rsid w:val="00596D54"/>
    <w:rsid w:val="00597B35"/>
    <w:rsid w:val="005A14C4"/>
    <w:rsid w:val="005A289E"/>
    <w:rsid w:val="005A3063"/>
    <w:rsid w:val="005A377C"/>
    <w:rsid w:val="005A3A39"/>
    <w:rsid w:val="005A3C61"/>
    <w:rsid w:val="005A635C"/>
    <w:rsid w:val="005A6BA5"/>
    <w:rsid w:val="005A6E9A"/>
    <w:rsid w:val="005A7105"/>
    <w:rsid w:val="005A7DBC"/>
    <w:rsid w:val="005B01E2"/>
    <w:rsid w:val="005B0341"/>
    <w:rsid w:val="005B1A36"/>
    <w:rsid w:val="005B2742"/>
    <w:rsid w:val="005B2A6A"/>
    <w:rsid w:val="005B3164"/>
    <w:rsid w:val="005B3231"/>
    <w:rsid w:val="005B4A03"/>
    <w:rsid w:val="005B4E2E"/>
    <w:rsid w:val="005B76F0"/>
    <w:rsid w:val="005C1900"/>
    <w:rsid w:val="005C1F52"/>
    <w:rsid w:val="005C2EC1"/>
    <w:rsid w:val="005C387F"/>
    <w:rsid w:val="005C4935"/>
    <w:rsid w:val="005C54F4"/>
    <w:rsid w:val="005C6C61"/>
    <w:rsid w:val="005C7217"/>
    <w:rsid w:val="005D009D"/>
    <w:rsid w:val="005D02D2"/>
    <w:rsid w:val="005D071F"/>
    <w:rsid w:val="005D0CC6"/>
    <w:rsid w:val="005D0FAD"/>
    <w:rsid w:val="005D1F3D"/>
    <w:rsid w:val="005D22F0"/>
    <w:rsid w:val="005D236B"/>
    <w:rsid w:val="005D2F99"/>
    <w:rsid w:val="005D36B4"/>
    <w:rsid w:val="005D3A5F"/>
    <w:rsid w:val="005D51D9"/>
    <w:rsid w:val="005D5237"/>
    <w:rsid w:val="005D571C"/>
    <w:rsid w:val="005D75CA"/>
    <w:rsid w:val="005E013A"/>
    <w:rsid w:val="005E07F1"/>
    <w:rsid w:val="005E0839"/>
    <w:rsid w:val="005E09FF"/>
    <w:rsid w:val="005E0B74"/>
    <w:rsid w:val="005E2496"/>
    <w:rsid w:val="005E340E"/>
    <w:rsid w:val="005E52A8"/>
    <w:rsid w:val="005E5DFB"/>
    <w:rsid w:val="005E5FE9"/>
    <w:rsid w:val="005E64A4"/>
    <w:rsid w:val="005E6CF2"/>
    <w:rsid w:val="005E6DB6"/>
    <w:rsid w:val="005E7C10"/>
    <w:rsid w:val="005F147B"/>
    <w:rsid w:val="005F1EAD"/>
    <w:rsid w:val="005F44C9"/>
    <w:rsid w:val="005F4847"/>
    <w:rsid w:val="005F4C97"/>
    <w:rsid w:val="005F4FB2"/>
    <w:rsid w:val="005F62A8"/>
    <w:rsid w:val="005F6501"/>
    <w:rsid w:val="006012E1"/>
    <w:rsid w:val="00601461"/>
    <w:rsid w:val="006017C4"/>
    <w:rsid w:val="0060202A"/>
    <w:rsid w:val="00602819"/>
    <w:rsid w:val="0060453B"/>
    <w:rsid w:val="00604D98"/>
    <w:rsid w:val="0060508F"/>
    <w:rsid w:val="00605DE0"/>
    <w:rsid w:val="00606626"/>
    <w:rsid w:val="00606E24"/>
    <w:rsid w:val="006104AB"/>
    <w:rsid w:val="00611C01"/>
    <w:rsid w:val="00612C67"/>
    <w:rsid w:val="0061511B"/>
    <w:rsid w:val="00616D07"/>
    <w:rsid w:val="006209D0"/>
    <w:rsid w:val="00620CBE"/>
    <w:rsid w:val="00621774"/>
    <w:rsid w:val="00621B73"/>
    <w:rsid w:val="00622D2D"/>
    <w:rsid w:val="00623506"/>
    <w:rsid w:val="00623A38"/>
    <w:rsid w:val="00624517"/>
    <w:rsid w:val="0062698D"/>
    <w:rsid w:val="00626A05"/>
    <w:rsid w:val="00626F4D"/>
    <w:rsid w:val="00630B61"/>
    <w:rsid w:val="006311CC"/>
    <w:rsid w:val="00632188"/>
    <w:rsid w:val="0063344E"/>
    <w:rsid w:val="00633B33"/>
    <w:rsid w:val="00633D78"/>
    <w:rsid w:val="00633D91"/>
    <w:rsid w:val="00634633"/>
    <w:rsid w:val="00634891"/>
    <w:rsid w:val="00634CAD"/>
    <w:rsid w:val="00634DE4"/>
    <w:rsid w:val="006357A5"/>
    <w:rsid w:val="00635E8D"/>
    <w:rsid w:val="00637EF3"/>
    <w:rsid w:val="00640693"/>
    <w:rsid w:val="00640B66"/>
    <w:rsid w:val="00640CE0"/>
    <w:rsid w:val="00641B37"/>
    <w:rsid w:val="00642CDB"/>
    <w:rsid w:val="0064368B"/>
    <w:rsid w:val="0064503D"/>
    <w:rsid w:val="00645647"/>
    <w:rsid w:val="00647A68"/>
    <w:rsid w:val="00647FAF"/>
    <w:rsid w:val="00650335"/>
    <w:rsid w:val="00650E30"/>
    <w:rsid w:val="0065206B"/>
    <w:rsid w:val="00653EA2"/>
    <w:rsid w:val="00657B42"/>
    <w:rsid w:val="00657FF3"/>
    <w:rsid w:val="00660BC2"/>
    <w:rsid w:val="00660E1B"/>
    <w:rsid w:val="00661475"/>
    <w:rsid w:val="00662196"/>
    <w:rsid w:val="00662BD2"/>
    <w:rsid w:val="00663AFC"/>
    <w:rsid w:val="00663F0E"/>
    <w:rsid w:val="00664C2A"/>
    <w:rsid w:val="006661E6"/>
    <w:rsid w:val="0066654C"/>
    <w:rsid w:val="00667B8F"/>
    <w:rsid w:val="006704B1"/>
    <w:rsid w:val="00670A5C"/>
    <w:rsid w:val="006716F7"/>
    <w:rsid w:val="00673DA1"/>
    <w:rsid w:val="0067523C"/>
    <w:rsid w:val="00677EF4"/>
    <w:rsid w:val="00681305"/>
    <w:rsid w:val="0068186E"/>
    <w:rsid w:val="00681B2A"/>
    <w:rsid w:val="00682A9A"/>
    <w:rsid w:val="00682F37"/>
    <w:rsid w:val="00683308"/>
    <w:rsid w:val="006846FE"/>
    <w:rsid w:val="006856F0"/>
    <w:rsid w:val="00685CE0"/>
    <w:rsid w:val="00686873"/>
    <w:rsid w:val="00687DE8"/>
    <w:rsid w:val="0069007A"/>
    <w:rsid w:val="0069074B"/>
    <w:rsid w:val="00691072"/>
    <w:rsid w:val="006912A2"/>
    <w:rsid w:val="00692C9B"/>
    <w:rsid w:val="006936C2"/>
    <w:rsid w:val="00694C89"/>
    <w:rsid w:val="006955E5"/>
    <w:rsid w:val="006A0469"/>
    <w:rsid w:val="006A1613"/>
    <w:rsid w:val="006A17D5"/>
    <w:rsid w:val="006A1DA1"/>
    <w:rsid w:val="006A22F6"/>
    <w:rsid w:val="006A66E4"/>
    <w:rsid w:val="006A6A23"/>
    <w:rsid w:val="006A706B"/>
    <w:rsid w:val="006A7AB0"/>
    <w:rsid w:val="006B0356"/>
    <w:rsid w:val="006B0AC0"/>
    <w:rsid w:val="006B3A8D"/>
    <w:rsid w:val="006B40E6"/>
    <w:rsid w:val="006B4FAD"/>
    <w:rsid w:val="006B61FA"/>
    <w:rsid w:val="006C0BFA"/>
    <w:rsid w:val="006C175D"/>
    <w:rsid w:val="006C1854"/>
    <w:rsid w:val="006C2384"/>
    <w:rsid w:val="006C28C8"/>
    <w:rsid w:val="006C2D16"/>
    <w:rsid w:val="006C2EE7"/>
    <w:rsid w:val="006C31ED"/>
    <w:rsid w:val="006C3626"/>
    <w:rsid w:val="006C414C"/>
    <w:rsid w:val="006C4927"/>
    <w:rsid w:val="006C4BB4"/>
    <w:rsid w:val="006C4D7B"/>
    <w:rsid w:val="006C638C"/>
    <w:rsid w:val="006C7728"/>
    <w:rsid w:val="006D071A"/>
    <w:rsid w:val="006D106B"/>
    <w:rsid w:val="006D15AD"/>
    <w:rsid w:val="006D41AD"/>
    <w:rsid w:val="006D51A6"/>
    <w:rsid w:val="006D59B0"/>
    <w:rsid w:val="006D6B52"/>
    <w:rsid w:val="006D7E6A"/>
    <w:rsid w:val="006E0E4C"/>
    <w:rsid w:val="006E0EAE"/>
    <w:rsid w:val="006E1578"/>
    <w:rsid w:val="006E250A"/>
    <w:rsid w:val="006E27F7"/>
    <w:rsid w:val="006E3179"/>
    <w:rsid w:val="006E4574"/>
    <w:rsid w:val="006E4674"/>
    <w:rsid w:val="006E564E"/>
    <w:rsid w:val="006E6EE5"/>
    <w:rsid w:val="006E731A"/>
    <w:rsid w:val="006E7503"/>
    <w:rsid w:val="006E7BD1"/>
    <w:rsid w:val="006F0B1D"/>
    <w:rsid w:val="006F0DE9"/>
    <w:rsid w:val="006F1A97"/>
    <w:rsid w:val="006F3D2F"/>
    <w:rsid w:val="006F4D52"/>
    <w:rsid w:val="006F65D4"/>
    <w:rsid w:val="006F705E"/>
    <w:rsid w:val="006F7434"/>
    <w:rsid w:val="00701A6C"/>
    <w:rsid w:val="00702BC1"/>
    <w:rsid w:val="00704E91"/>
    <w:rsid w:val="007074F9"/>
    <w:rsid w:val="00707A24"/>
    <w:rsid w:val="007101DC"/>
    <w:rsid w:val="00710C45"/>
    <w:rsid w:val="00710D7A"/>
    <w:rsid w:val="00711002"/>
    <w:rsid w:val="0071145E"/>
    <w:rsid w:val="007124B2"/>
    <w:rsid w:val="00713873"/>
    <w:rsid w:val="007145AE"/>
    <w:rsid w:val="0071538B"/>
    <w:rsid w:val="00715EF9"/>
    <w:rsid w:val="00716058"/>
    <w:rsid w:val="00717F95"/>
    <w:rsid w:val="00721F23"/>
    <w:rsid w:val="007231C5"/>
    <w:rsid w:val="007234F0"/>
    <w:rsid w:val="007241DE"/>
    <w:rsid w:val="00724357"/>
    <w:rsid w:val="00724D1E"/>
    <w:rsid w:val="007250DA"/>
    <w:rsid w:val="00726545"/>
    <w:rsid w:val="00727C74"/>
    <w:rsid w:val="007318F6"/>
    <w:rsid w:val="00731D97"/>
    <w:rsid w:val="00733655"/>
    <w:rsid w:val="00733FA6"/>
    <w:rsid w:val="00734919"/>
    <w:rsid w:val="0073560A"/>
    <w:rsid w:val="00735B29"/>
    <w:rsid w:val="00736835"/>
    <w:rsid w:val="00736D2F"/>
    <w:rsid w:val="00737CD3"/>
    <w:rsid w:val="00740659"/>
    <w:rsid w:val="00742117"/>
    <w:rsid w:val="0074224E"/>
    <w:rsid w:val="00742C70"/>
    <w:rsid w:val="00742F66"/>
    <w:rsid w:val="0074391C"/>
    <w:rsid w:val="00743FFE"/>
    <w:rsid w:val="007440AD"/>
    <w:rsid w:val="00745062"/>
    <w:rsid w:val="00746C65"/>
    <w:rsid w:val="00747389"/>
    <w:rsid w:val="007521CB"/>
    <w:rsid w:val="0075237B"/>
    <w:rsid w:val="0075328D"/>
    <w:rsid w:val="00754CB3"/>
    <w:rsid w:val="007565FB"/>
    <w:rsid w:val="00756851"/>
    <w:rsid w:val="00756AEF"/>
    <w:rsid w:val="007579FC"/>
    <w:rsid w:val="00761E0E"/>
    <w:rsid w:val="00762A52"/>
    <w:rsid w:val="007636F9"/>
    <w:rsid w:val="00764346"/>
    <w:rsid w:val="00766E9F"/>
    <w:rsid w:val="00767246"/>
    <w:rsid w:val="007672E0"/>
    <w:rsid w:val="007677AC"/>
    <w:rsid w:val="00770EE0"/>
    <w:rsid w:val="0077165A"/>
    <w:rsid w:val="0077172E"/>
    <w:rsid w:val="007724B5"/>
    <w:rsid w:val="00772531"/>
    <w:rsid w:val="00773830"/>
    <w:rsid w:val="00773E0F"/>
    <w:rsid w:val="0077478F"/>
    <w:rsid w:val="00774944"/>
    <w:rsid w:val="00774A69"/>
    <w:rsid w:val="007761BF"/>
    <w:rsid w:val="00776621"/>
    <w:rsid w:val="007779B2"/>
    <w:rsid w:val="00777CC7"/>
    <w:rsid w:val="007803EF"/>
    <w:rsid w:val="007805BB"/>
    <w:rsid w:val="007805F8"/>
    <w:rsid w:val="00781004"/>
    <w:rsid w:val="007812A6"/>
    <w:rsid w:val="00781D76"/>
    <w:rsid w:val="00783338"/>
    <w:rsid w:val="007839AF"/>
    <w:rsid w:val="00784218"/>
    <w:rsid w:val="00784B8C"/>
    <w:rsid w:val="007852D7"/>
    <w:rsid w:val="0078567E"/>
    <w:rsid w:val="00785793"/>
    <w:rsid w:val="00785F1B"/>
    <w:rsid w:val="0078627E"/>
    <w:rsid w:val="0078657D"/>
    <w:rsid w:val="00786CD5"/>
    <w:rsid w:val="00786F82"/>
    <w:rsid w:val="007872BF"/>
    <w:rsid w:val="0078774D"/>
    <w:rsid w:val="00790EC3"/>
    <w:rsid w:val="007926B7"/>
    <w:rsid w:val="007931BD"/>
    <w:rsid w:val="0079331A"/>
    <w:rsid w:val="00795059"/>
    <w:rsid w:val="00795E40"/>
    <w:rsid w:val="007965DB"/>
    <w:rsid w:val="007A004A"/>
    <w:rsid w:val="007A02B1"/>
    <w:rsid w:val="007A079B"/>
    <w:rsid w:val="007A1ED9"/>
    <w:rsid w:val="007A24F4"/>
    <w:rsid w:val="007A35A9"/>
    <w:rsid w:val="007A3C15"/>
    <w:rsid w:val="007A4AFA"/>
    <w:rsid w:val="007A4BE9"/>
    <w:rsid w:val="007A5E1D"/>
    <w:rsid w:val="007A6433"/>
    <w:rsid w:val="007A79AF"/>
    <w:rsid w:val="007B1B0D"/>
    <w:rsid w:val="007B1C0E"/>
    <w:rsid w:val="007B1E89"/>
    <w:rsid w:val="007B7FD0"/>
    <w:rsid w:val="007C23F1"/>
    <w:rsid w:val="007C2BB7"/>
    <w:rsid w:val="007C3667"/>
    <w:rsid w:val="007C4F64"/>
    <w:rsid w:val="007C60D5"/>
    <w:rsid w:val="007C63A9"/>
    <w:rsid w:val="007C7A86"/>
    <w:rsid w:val="007C7AE4"/>
    <w:rsid w:val="007D0F5E"/>
    <w:rsid w:val="007D18FC"/>
    <w:rsid w:val="007D3E58"/>
    <w:rsid w:val="007D53BE"/>
    <w:rsid w:val="007D556E"/>
    <w:rsid w:val="007D5FA3"/>
    <w:rsid w:val="007D5FFB"/>
    <w:rsid w:val="007D660C"/>
    <w:rsid w:val="007D68A4"/>
    <w:rsid w:val="007D6D5E"/>
    <w:rsid w:val="007D7191"/>
    <w:rsid w:val="007D791A"/>
    <w:rsid w:val="007D79E3"/>
    <w:rsid w:val="007D7C81"/>
    <w:rsid w:val="007E0036"/>
    <w:rsid w:val="007E0829"/>
    <w:rsid w:val="007E0E51"/>
    <w:rsid w:val="007E0F92"/>
    <w:rsid w:val="007E106A"/>
    <w:rsid w:val="007E1128"/>
    <w:rsid w:val="007E1DCB"/>
    <w:rsid w:val="007E2EC3"/>
    <w:rsid w:val="007E3157"/>
    <w:rsid w:val="007E3D8B"/>
    <w:rsid w:val="007E497C"/>
    <w:rsid w:val="007E55E2"/>
    <w:rsid w:val="007E62F8"/>
    <w:rsid w:val="007E64DA"/>
    <w:rsid w:val="007E6934"/>
    <w:rsid w:val="007E6B1A"/>
    <w:rsid w:val="007F2628"/>
    <w:rsid w:val="007F2FD7"/>
    <w:rsid w:val="007F3083"/>
    <w:rsid w:val="007F3182"/>
    <w:rsid w:val="007F36E9"/>
    <w:rsid w:val="007F398B"/>
    <w:rsid w:val="007F58E5"/>
    <w:rsid w:val="008000E0"/>
    <w:rsid w:val="00801EE7"/>
    <w:rsid w:val="00804558"/>
    <w:rsid w:val="00804743"/>
    <w:rsid w:val="00804A7E"/>
    <w:rsid w:val="00804FAB"/>
    <w:rsid w:val="00805510"/>
    <w:rsid w:val="00806A81"/>
    <w:rsid w:val="00806AE9"/>
    <w:rsid w:val="0080704E"/>
    <w:rsid w:val="0080798E"/>
    <w:rsid w:val="00810A8E"/>
    <w:rsid w:val="00810CA5"/>
    <w:rsid w:val="00811FF2"/>
    <w:rsid w:val="008120B0"/>
    <w:rsid w:val="008121E5"/>
    <w:rsid w:val="00812459"/>
    <w:rsid w:val="00812499"/>
    <w:rsid w:val="008125AD"/>
    <w:rsid w:val="00813352"/>
    <w:rsid w:val="00813584"/>
    <w:rsid w:val="008140D9"/>
    <w:rsid w:val="008144D3"/>
    <w:rsid w:val="00820581"/>
    <w:rsid w:val="00820ABF"/>
    <w:rsid w:val="00820CE0"/>
    <w:rsid w:val="00820D35"/>
    <w:rsid w:val="00821CFC"/>
    <w:rsid w:val="008267EF"/>
    <w:rsid w:val="00826EE8"/>
    <w:rsid w:val="00827050"/>
    <w:rsid w:val="008279F2"/>
    <w:rsid w:val="00827C36"/>
    <w:rsid w:val="00827EEE"/>
    <w:rsid w:val="00827F47"/>
    <w:rsid w:val="0083121E"/>
    <w:rsid w:val="0083139D"/>
    <w:rsid w:val="0083169F"/>
    <w:rsid w:val="008316E7"/>
    <w:rsid w:val="008334A7"/>
    <w:rsid w:val="00834B77"/>
    <w:rsid w:val="008354E3"/>
    <w:rsid w:val="0083763E"/>
    <w:rsid w:val="008378C7"/>
    <w:rsid w:val="00840268"/>
    <w:rsid w:val="008415BA"/>
    <w:rsid w:val="00842D50"/>
    <w:rsid w:val="008435EE"/>
    <w:rsid w:val="00843647"/>
    <w:rsid w:val="00843BDC"/>
    <w:rsid w:val="008440E4"/>
    <w:rsid w:val="008445B2"/>
    <w:rsid w:val="00844B24"/>
    <w:rsid w:val="00844BF0"/>
    <w:rsid w:val="00845956"/>
    <w:rsid w:val="00847004"/>
    <w:rsid w:val="008511B5"/>
    <w:rsid w:val="00851E08"/>
    <w:rsid w:val="00851E47"/>
    <w:rsid w:val="00852D25"/>
    <w:rsid w:val="00853504"/>
    <w:rsid w:val="00853507"/>
    <w:rsid w:val="0085449A"/>
    <w:rsid w:val="00854D24"/>
    <w:rsid w:val="00854E23"/>
    <w:rsid w:val="00855C78"/>
    <w:rsid w:val="00855D16"/>
    <w:rsid w:val="00855E85"/>
    <w:rsid w:val="00857D4A"/>
    <w:rsid w:val="0086164B"/>
    <w:rsid w:val="00862C6B"/>
    <w:rsid w:val="00863693"/>
    <w:rsid w:val="00865615"/>
    <w:rsid w:val="00865BF9"/>
    <w:rsid w:val="008667D3"/>
    <w:rsid w:val="00867E11"/>
    <w:rsid w:val="00867F4A"/>
    <w:rsid w:val="00867FAA"/>
    <w:rsid w:val="0087063A"/>
    <w:rsid w:val="008709B5"/>
    <w:rsid w:val="00870CD8"/>
    <w:rsid w:val="008711A7"/>
    <w:rsid w:val="0087424B"/>
    <w:rsid w:val="00875F0E"/>
    <w:rsid w:val="0087606B"/>
    <w:rsid w:val="008764F1"/>
    <w:rsid w:val="008775D0"/>
    <w:rsid w:val="008779A0"/>
    <w:rsid w:val="00877EAA"/>
    <w:rsid w:val="008817A5"/>
    <w:rsid w:val="00881EB9"/>
    <w:rsid w:val="008821E1"/>
    <w:rsid w:val="008836D4"/>
    <w:rsid w:val="00883D98"/>
    <w:rsid w:val="0088691E"/>
    <w:rsid w:val="00886CA6"/>
    <w:rsid w:val="00886DD1"/>
    <w:rsid w:val="00887605"/>
    <w:rsid w:val="008932FC"/>
    <w:rsid w:val="0089399B"/>
    <w:rsid w:val="008977DF"/>
    <w:rsid w:val="00897B26"/>
    <w:rsid w:val="00897F01"/>
    <w:rsid w:val="008A0307"/>
    <w:rsid w:val="008A0CB4"/>
    <w:rsid w:val="008A0DA4"/>
    <w:rsid w:val="008A209C"/>
    <w:rsid w:val="008A2676"/>
    <w:rsid w:val="008A4D8C"/>
    <w:rsid w:val="008A508D"/>
    <w:rsid w:val="008A7EA5"/>
    <w:rsid w:val="008B0791"/>
    <w:rsid w:val="008B0B37"/>
    <w:rsid w:val="008B0B72"/>
    <w:rsid w:val="008B1848"/>
    <w:rsid w:val="008B19DD"/>
    <w:rsid w:val="008B1AA9"/>
    <w:rsid w:val="008B209F"/>
    <w:rsid w:val="008B3C56"/>
    <w:rsid w:val="008B63FD"/>
    <w:rsid w:val="008C01D7"/>
    <w:rsid w:val="008C189E"/>
    <w:rsid w:val="008C1A2B"/>
    <w:rsid w:val="008C25A6"/>
    <w:rsid w:val="008C5188"/>
    <w:rsid w:val="008C55A6"/>
    <w:rsid w:val="008C6619"/>
    <w:rsid w:val="008D05E6"/>
    <w:rsid w:val="008D06C7"/>
    <w:rsid w:val="008D110C"/>
    <w:rsid w:val="008D41DE"/>
    <w:rsid w:val="008D56EA"/>
    <w:rsid w:val="008D7405"/>
    <w:rsid w:val="008E06FB"/>
    <w:rsid w:val="008E1248"/>
    <w:rsid w:val="008E20D0"/>
    <w:rsid w:val="008E26DE"/>
    <w:rsid w:val="008E3853"/>
    <w:rsid w:val="008E4686"/>
    <w:rsid w:val="008E528D"/>
    <w:rsid w:val="008E53CF"/>
    <w:rsid w:val="008E6095"/>
    <w:rsid w:val="008F0A35"/>
    <w:rsid w:val="008F0ED3"/>
    <w:rsid w:val="008F10D1"/>
    <w:rsid w:val="008F1928"/>
    <w:rsid w:val="008F6719"/>
    <w:rsid w:val="008F766F"/>
    <w:rsid w:val="008F7967"/>
    <w:rsid w:val="0090139C"/>
    <w:rsid w:val="00901435"/>
    <w:rsid w:val="00902374"/>
    <w:rsid w:val="00903EE6"/>
    <w:rsid w:val="009041B9"/>
    <w:rsid w:val="00904300"/>
    <w:rsid w:val="009044AD"/>
    <w:rsid w:val="00904F50"/>
    <w:rsid w:val="00905BC3"/>
    <w:rsid w:val="00906DCC"/>
    <w:rsid w:val="00907F33"/>
    <w:rsid w:val="00910624"/>
    <w:rsid w:val="00911034"/>
    <w:rsid w:val="009110B4"/>
    <w:rsid w:val="00911113"/>
    <w:rsid w:val="00912231"/>
    <w:rsid w:val="0091297C"/>
    <w:rsid w:val="0091299D"/>
    <w:rsid w:val="00913785"/>
    <w:rsid w:val="00913ACA"/>
    <w:rsid w:val="009140FF"/>
    <w:rsid w:val="00914401"/>
    <w:rsid w:val="00914FC2"/>
    <w:rsid w:val="009156F6"/>
    <w:rsid w:val="00915ED7"/>
    <w:rsid w:val="00917E25"/>
    <w:rsid w:val="0092118A"/>
    <w:rsid w:val="00922826"/>
    <w:rsid w:val="00923608"/>
    <w:rsid w:val="00924145"/>
    <w:rsid w:val="009253F2"/>
    <w:rsid w:val="0092649A"/>
    <w:rsid w:val="00926E4E"/>
    <w:rsid w:val="009305C0"/>
    <w:rsid w:val="00930672"/>
    <w:rsid w:val="00930B62"/>
    <w:rsid w:val="00930EEA"/>
    <w:rsid w:val="0093180C"/>
    <w:rsid w:val="00932155"/>
    <w:rsid w:val="009326D8"/>
    <w:rsid w:val="009331BE"/>
    <w:rsid w:val="00933B71"/>
    <w:rsid w:val="0093574D"/>
    <w:rsid w:val="00935887"/>
    <w:rsid w:val="00935E1A"/>
    <w:rsid w:val="00936BFA"/>
    <w:rsid w:val="00937A2B"/>
    <w:rsid w:val="00937B3B"/>
    <w:rsid w:val="00937E18"/>
    <w:rsid w:val="00940161"/>
    <w:rsid w:val="00940698"/>
    <w:rsid w:val="00942953"/>
    <w:rsid w:val="00942AC4"/>
    <w:rsid w:val="00944069"/>
    <w:rsid w:val="00944CD6"/>
    <w:rsid w:val="00945189"/>
    <w:rsid w:val="009462B4"/>
    <w:rsid w:val="00950C0A"/>
    <w:rsid w:val="009510A4"/>
    <w:rsid w:val="00951CA2"/>
    <w:rsid w:val="00951E12"/>
    <w:rsid w:val="00953440"/>
    <w:rsid w:val="00954FE1"/>
    <w:rsid w:val="0095590D"/>
    <w:rsid w:val="00955C4D"/>
    <w:rsid w:val="00956DC0"/>
    <w:rsid w:val="009611F4"/>
    <w:rsid w:val="009614B0"/>
    <w:rsid w:val="009628AD"/>
    <w:rsid w:val="00962EB5"/>
    <w:rsid w:val="009630BA"/>
    <w:rsid w:val="009653DA"/>
    <w:rsid w:val="00965C02"/>
    <w:rsid w:val="009676C1"/>
    <w:rsid w:val="00967788"/>
    <w:rsid w:val="00970134"/>
    <w:rsid w:val="009703C3"/>
    <w:rsid w:val="00970B41"/>
    <w:rsid w:val="00970DE9"/>
    <w:rsid w:val="00971817"/>
    <w:rsid w:val="0097219F"/>
    <w:rsid w:val="009731A6"/>
    <w:rsid w:val="00974694"/>
    <w:rsid w:val="00974D10"/>
    <w:rsid w:val="00975EF5"/>
    <w:rsid w:val="009767F1"/>
    <w:rsid w:val="0097733B"/>
    <w:rsid w:val="00977D6E"/>
    <w:rsid w:val="00980555"/>
    <w:rsid w:val="009812BC"/>
    <w:rsid w:val="0098342A"/>
    <w:rsid w:val="00983695"/>
    <w:rsid w:val="00983F79"/>
    <w:rsid w:val="00984AF9"/>
    <w:rsid w:val="00984CC2"/>
    <w:rsid w:val="00985481"/>
    <w:rsid w:val="009858DD"/>
    <w:rsid w:val="009872F5"/>
    <w:rsid w:val="00991299"/>
    <w:rsid w:val="00993874"/>
    <w:rsid w:val="00994B51"/>
    <w:rsid w:val="00995FA8"/>
    <w:rsid w:val="00996953"/>
    <w:rsid w:val="0099755F"/>
    <w:rsid w:val="009979A3"/>
    <w:rsid w:val="009979DF"/>
    <w:rsid w:val="00997CD8"/>
    <w:rsid w:val="009A1BBA"/>
    <w:rsid w:val="009A20A2"/>
    <w:rsid w:val="009A3FDA"/>
    <w:rsid w:val="009A4B7D"/>
    <w:rsid w:val="009A4DA4"/>
    <w:rsid w:val="009A58C5"/>
    <w:rsid w:val="009A5E4F"/>
    <w:rsid w:val="009A5F5B"/>
    <w:rsid w:val="009A7790"/>
    <w:rsid w:val="009B164C"/>
    <w:rsid w:val="009B1968"/>
    <w:rsid w:val="009B1C45"/>
    <w:rsid w:val="009B2CE5"/>
    <w:rsid w:val="009B3A21"/>
    <w:rsid w:val="009B3CDF"/>
    <w:rsid w:val="009B3D14"/>
    <w:rsid w:val="009B5933"/>
    <w:rsid w:val="009B5B47"/>
    <w:rsid w:val="009B6842"/>
    <w:rsid w:val="009B748D"/>
    <w:rsid w:val="009B7582"/>
    <w:rsid w:val="009C0428"/>
    <w:rsid w:val="009C0561"/>
    <w:rsid w:val="009C0CF3"/>
    <w:rsid w:val="009C1525"/>
    <w:rsid w:val="009C21ED"/>
    <w:rsid w:val="009C279F"/>
    <w:rsid w:val="009C27A7"/>
    <w:rsid w:val="009C4C0C"/>
    <w:rsid w:val="009C5D0E"/>
    <w:rsid w:val="009C69A4"/>
    <w:rsid w:val="009C6C2B"/>
    <w:rsid w:val="009D034A"/>
    <w:rsid w:val="009D07F3"/>
    <w:rsid w:val="009D17A5"/>
    <w:rsid w:val="009D27C0"/>
    <w:rsid w:val="009D2D1C"/>
    <w:rsid w:val="009D2D42"/>
    <w:rsid w:val="009D36BF"/>
    <w:rsid w:val="009D548F"/>
    <w:rsid w:val="009D566C"/>
    <w:rsid w:val="009D583A"/>
    <w:rsid w:val="009D636D"/>
    <w:rsid w:val="009D75DB"/>
    <w:rsid w:val="009D786C"/>
    <w:rsid w:val="009E00FD"/>
    <w:rsid w:val="009E0909"/>
    <w:rsid w:val="009E10B4"/>
    <w:rsid w:val="009E16CC"/>
    <w:rsid w:val="009E22F0"/>
    <w:rsid w:val="009E64BF"/>
    <w:rsid w:val="009E7C01"/>
    <w:rsid w:val="009E7E5A"/>
    <w:rsid w:val="009F1CC8"/>
    <w:rsid w:val="009F22D7"/>
    <w:rsid w:val="009F39E3"/>
    <w:rsid w:val="009F46F3"/>
    <w:rsid w:val="009F564B"/>
    <w:rsid w:val="009F7650"/>
    <w:rsid w:val="00A002B9"/>
    <w:rsid w:val="00A011B3"/>
    <w:rsid w:val="00A017E7"/>
    <w:rsid w:val="00A0219E"/>
    <w:rsid w:val="00A03327"/>
    <w:rsid w:val="00A038C6"/>
    <w:rsid w:val="00A03ABC"/>
    <w:rsid w:val="00A0441F"/>
    <w:rsid w:val="00A0449E"/>
    <w:rsid w:val="00A06357"/>
    <w:rsid w:val="00A06376"/>
    <w:rsid w:val="00A1292C"/>
    <w:rsid w:val="00A1311B"/>
    <w:rsid w:val="00A1386A"/>
    <w:rsid w:val="00A13C06"/>
    <w:rsid w:val="00A14C54"/>
    <w:rsid w:val="00A153B7"/>
    <w:rsid w:val="00A1544D"/>
    <w:rsid w:val="00A16733"/>
    <w:rsid w:val="00A176D5"/>
    <w:rsid w:val="00A20FA8"/>
    <w:rsid w:val="00A22822"/>
    <w:rsid w:val="00A24046"/>
    <w:rsid w:val="00A2423B"/>
    <w:rsid w:val="00A245A8"/>
    <w:rsid w:val="00A26329"/>
    <w:rsid w:val="00A26BE3"/>
    <w:rsid w:val="00A30250"/>
    <w:rsid w:val="00A30CC0"/>
    <w:rsid w:val="00A31EA2"/>
    <w:rsid w:val="00A3232D"/>
    <w:rsid w:val="00A328AE"/>
    <w:rsid w:val="00A33265"/>
    <w:rsid w:val="00A33E72"/>
    <w:rsid w:val="00A34E77"/>
    <w:rsid w:val="00A352B5"/>
    <w:rsid w:val="00A358E9"/>
    <w:rsid w:val="00A363E0"/>
    <w:rsid w:val="00A370F1"/>
    <w:rsid w:val="00A37FB2"/>
    <w:rsid w:val="00A406F1"/>
    <w:rsid w:val="00A408B2"/>
    <w:rsid w:val="00A42E8B"/>
    <w:rsid w:val="00A42EBA"/>
    <w:rsid w:val="00A431F7"/>
    <w:rsid w:val="00A437D1"/>
    <w:rsid w:val="00A44A12"/>
    <w:rsid w:val="00A44C00"/>
    <w:rsid w:val="00A455E8"/>
    <w:rsid w:val="00A50651"/>
    <w:rsid w:val="00A51B11"/>
    <w:rsid w:val="00A51E21"/>
    <w:rsid w:val="00A52608"/>
    <w:rsid w:val="00A5464D"/>
    <w:rsid w:val="00A5565C"/>
    <w:rsid w:val="00A56F2F"/>
    <w:rsid w:val="00A57556"/>
    <w:rsid w:val="00A577AA"/>
    <w:rsid w:val="00A605DC"/>
    <w:rsid w:val="00A60727"/>
    <w:rsid w:val="00A60A76"/>
    <w:rsid w:val="00A638F8"/>
    <w:rsid w:val="00A646C5"/>
    <w:rsid w:val="00A64A17"/>
    <w:rsid w:val="00A64F6C"/>
    <w:rsid w:val="00A71D7E"/>
    <w:rsid w:val="00A720A3"/>
    <w:rsid w:val="00A72163"/>
    <w:rsid w:val="00A727E2"/>
    <w:rsid w:val="00A72FCE"/>
    <w:rsid w:val="00A730DC"/>
    <w:rsid w:val="00A73631"/>
    <w:rsid w:val="00A76764"/>
    <w:rsid w:val="00A77C71"/>
    <w:rsid w:val="00A77D66"/>
    <w:rsid w:val="00A80076"/>
    <w:rsid w:val="00A81869"/>
    <w:rsid w:val="00A83221"/>
    <w:rsid w:val="00A8349F"/>
    <w:rsid w:val="00A848CA"/>
    <w:rsid w:val="00A8626F"/>
    <w:rsid w:val="00A86BC9"/>
    <w:rsid w:val="00A90892"/>
    <w:rsid w:val="00A92522"/>
    <w:rsid w:val="00A92B4E"/>
    <w:rsid w:val="00A96B14"/>
    <w:rsid w:val="00AA1159"/>
    <w:rsid w:val="00AA2431"/>
    <w:rsid w:val="00AA32E2"/>
    <w:rsid w:val="00AB053C"/>
    <w:rsid w:val="00AB11F6"/>
    <w:rsid w:val="00AB178D"/>
    <w:rsid w:val="00AB1A01"/>
    <w:rsid w:val="00AB21F9"/>
    <w:rsid w:val="00AB257D"/>
    <w:rsid w:val="00AB29E7"/>
    <w:rsid w:val="00AB317A"/>
    <w:rsid w:val="00AB4500"/>
    <w:rsid w:val="00AB5173"/>
    <w:rsid w:val="00AB61B5"/>
    <w:rsid w:val="00AB6B67"/>
    <w:rsid w:val="00AB76A7"/>
    <w:rsid w:val="00AB7F8A"/>
    <w:rsid w:val="00AC0207"/>
    <w:rsid w:val="00AC248E"/>
    <w:rsid w:val="00AC2694"/>
    <w:rsid w:val="00AC2B4C"/>
    <w:rsid w:val="00AC6686"/>
    <w:rsid w:val="00AC7A58"/>
    <w:rsid w:val="00AD0270"/>
    <w:rsid w:val="00AD125A"/>
    <w:rsid w:val="00AD2341"/>
    <w:rsid w:val="00AD366F"/>
    <w:rsid w:val="00AD4853"/>
    <w:rsid w:val="00AD4B3E"/>
    <w:rsid w:val="00AD5D13"/>
    <w:rsid w:val="00AD60B8"/>
    <w:rsid w:val="00AD6499"/>
    <w:rsid w:val="00AD65A4"/>
    <w:rsid w:val="00AE0012"/>
    <w:rsid w:val="00AE01B0"/>
    <w:rsid w:val="00AE0CEB"/>
    <w:rsid w:val="00AE1580"/>
    <w:rsid w:val="00AE3FE2"/>
    <w:rsid w:val="00AE411B"/>
    <w:rsid w:val="00AE4125"/>
    <w:rsid w:val="00AE4817"/>
    <w:rsid w:val="00AE6AD5"/>
    <w:rsid w:val="00AE702C"/>
    <w:rsid w:val="00AE722A"/>
    <w:rsid w:val="00AE7903"/>
    <w:rsid w:val="00AE7EDD"/>
    <w:rsid w:val="00AF0571"/>
    <w:rsid w:val="00AF0818"/>
    <w:rsid w:val="00AF0B1C"/>
    <w:rsid w:val="00AF0B76"/>
    <w:rsid w:val="00AF1448"/>
    <w:rsid w:val="00AF17DF"/>
    <w:rsid w:val="00AF1CAF"/>
    <w:rsid w:val="00AF2CC3"/>
    <w:rsid w:val="00AF37C0"/>
    <w:rsid w:val="00AF3CAC"/>
    <w:rsid w:val="00AF4556"/>
    <w:rsid w:val="00AF47DD"/>
    <w:rsid w:val="00AF4989"/>
    <w:rsid w:val="00AF4DA2"/>
    <w:rsid w:val="00AF70A5"/>
    <w:rsid w:val="00AF78A3"/>
    <w:rsid w:val="00AF795D"/>
    <w:rsid w:val="00B003E6"/>
    <w:rsid w:val="00B0061B"/>
    <w:rsid w:val="00B011FC"/>
    <w:rsid w:val="00B012FD"/>
    <w:rsid w:val="00B01FF1"/>
    <w:rsid w:val="00B0296C"/>
    <w:rsid w:val="00B032AB"/>
    <w:rsid w:val="00B039BA"/>
    <w:rsid w:val="00B055FD"/>
    <w:rsid w:val="00B073FF"/>
    <w:rsid w:val="00B076EC"/>
    <w:rsid w:val="00B079FB"/>
    <w:rsid w:val="00B07EC6"/>
    <w:rsid w:val="00B11263"/>
    <w:rsid w:val="00B1174D"/>
    <w:rsid w:val="00B12793"/>
    <w:rsid w:val="00B14642"/>
    <w:rsid w:val="00B1490F"/>
    <w:rsid w:val="00B14BAA"/>
    <w:rsid w:val="00B162C2"/>
    <w:rsid w:val="00B1633B"/>
    <w:rsid w:val="00B174A3"/>
    <w:rsid w:val="00B2191E"/>
    <w:rsid w:val="00B21A90"/>
    <w:rsid w:val="00B22CB5"/>
    <w:rsid w:val="00B2358B"/>
    <w:rsid w:val="00B244AA"/>
    <w:rsid w:val="00B24BC1"/>
    <w:rsid w:val="00B301D7"/>
    <w:rsid w:val="00B3222A"/>
    <w:rsid w:val="00B33BF1"/>
    <w:rsid w:val="00B34451"/>
    <w:rsid w:val="00B35947"/>
    <w:rsid w:val="00B36E35"/>
    <w:rsid w:val="00B40BDC"/>
    <w:rsid w:val="00B41483"/>
    <w:rsid w:val="00B4192C"/>
    <w:rsid w:val="00B422F2"/>
    <w:rsid w:val="00B42F80"/>
    <w:rsid w:val="00B433F3"/>
    <w:rsid w:val="00B4342C"/>
    <w:rsid w:val="00B45572"/>
    <w:rsid w:val="00B46033"/>
    <w:rsid w:val="00B462E1"/>
    <w:rsid w:val="00B464DD"/>
    <w:rsid w:val="00B47CB6"/>
    <w:rsid w:val="00B47D41"/>
    <w:rsid w:val="00B506C4"/>
    <w:rsid w:val="00B50735"/>
    <w:rsid w:val="00B50B7F"/>
    <w:rsid w:val="00B51F99"/>
    <w:rsid w:val="00B53638"/>
    <w:rsid w:val="00B53C06"/>
    <w:rsid w:val="00B61413"/>
    <w:rsid w:val="00B61B23"/>
    <w:rsid w:val="00B61D92"/>
    <w:rsid w:val="00B62362"/>
    <w:rsid w:val="00B6253C"/>
    <w:rsid w:val="00B63009"/>
    <w:rsid w:val="00B630C9"/>
    <w:rsid w:val="00B63190"/>
    <w:rsid w:val="00B64B83"/>
    <w:rsid w:val="00B6501B"/>
    <w:rsid w:val="00B656B7"/>
    <w:rsid w:val="00B65C81"/>
    <w:rsid w:val="00B6667D"/>
    <w:rsid w:val="00B6679F"/>
    <w:rsid w:val="00B7053B"/>
    <w:rsid w:val="00B706B7"/>
    <w:rsid w:val="00B71468"/>
    <w:rsid w:val="00B7161D"/>
    <w:rsid w:val="00B71C14"/>
    <w:rsid w:val="00B7318D"/>
    <w:rsid w:val="00B73A1D"/>
    <w:rsid w:val="00B76188"/>
    <w:rsid w:val="00B7697C"/>
    <w:rsid w:val="00B80191"/>
    <w:rsid w:val="00B80988"/>
    <w:rsid w:val="00B8153C"/>
    <w:rsid w:val="00B818CF"/>
    <w:rsid w:val="00B823C2"/>
    <w:rsid w:val="00B833BE"/>
    <w:rsid w:val="00B85340"/>
    <w:rsid w:val="00B86096"/>
    <w:rsid w:val="00B90510"/>
    <w:rsid w:val="00B90B7D"/>
    <w:rsid w:val="00B91197"/>
    <w:rsid w:val="00B91E72"/>
    <w:rsid w:val="00B92E3E"/>
    <w:rsid w:val="00B92EFD"/>
    <w:rsid w:val="00B93F5B"/>
    <w:rsid w:val="00B944BD"/>
    <w:rsid w:val="00B95EA3"/>
    <w:rsid w:val="00B964E5"/>
    <w:rsid w:val="00B969F4"/>
    <w:rsid w:val="00B96FA4"/>
    <w:rsid w:val="00B97FC5"/>
    <w:rsid w:val="00BA0EBA"/>
    <w:rsid w:val="00BA1AFD"/>
    <w:rsid w:val="00BA4099"/>
    <w:rsid w:val="00BA50F4"/>
    <w:rsid w:val="00BA5390"/>
    <w:rsid w:val="00BA5A47"/>
    <w:rsid w:val="00BA65ED"/>
    <w:rsid w:val="00BA6760"/>
    <w:rsid w:val="00BB0321"/>
    <w:rsid w:val="00BB0998"/>
    <w:rsid w:val="00BB129B"/>
    <w:rsid w:val="00BB1C5F"/>
    <w:rsid w:val="00BB62A8"/>
    <w:rsid w:val="00BB65DE"/>
    <w:rsid w:val="00BB6FB5"/>
    <w:rsid w:val="00BB72F1"/>
    <w:rsid w:val="00BC178D"/>
    <w:rsid w:val="00BC494E"/>
    <w:rsid w:val="00BC6102"/>
    <w:rsid w:val="00BC6394"/>
    <w:rsid w:val="00BC6B5C"/>
    <w:rsid w:val="00BC6E0C"/>
    <w:rsid w:val="00BC74A0"/>
    <w:rsid w:val="00BC758F"/>
    <w:rsid w:val="00BC7848"/>
    <w:rsid w:val="00BD09A0"/>
    <w:rsid w:val="00BD30FB"/>
    <w:rsid w:val="00BD3E1F"/>
    <w:rsid w:val="00BD4064"/>
    <w:rsid w:val="00BD40AD"/>
    <w:rsid w:val="00BD67A4"/>
    <w:rsid w:val="00BD770F"/>
    <w:rsid w:val="00BE050A"/>
    <w:rsid w:val="00BE1DCA"/>
    <w:rsid w:val="00BE20BB"/>
    <w:rsid w:val="00BE220D"/>
    <w:rsid w:val="00BE333B"/>
    <w:rsid w:val="00BE3A74"/>
    <w:rsid w:val="00BE3DCF"/>
    <w:rsid w:val="00BE454E"/>
    <w:rsid w:val="00BE45A7"/>
    <w:rsid w:val="00BE49FA"/>
    <w:rsid w:val="00BE4BE0"/>
    <w:rsid w:val="00BE69F2"/>
    <w:rsid w:val="00BE6B3D"/>
    <w:rsid w:val="00BE6D48"/>
    <w:rsid w:val="00BF00BF"/>
    <w:rsid w:val="00BF199C"/>
    <w:rsid w:val="00BF1B2C"/>
    <w:rsid w:val="00BF40FE"/>
    <w:rsid w:val="00BF48F7"/>
    <w:rsid w:val="00BF59AD"/>
    <w:rsid w:val="00BF6551"/>
    <w:rsid w:val="00BF6B53"/>
    <w:rsid w:val="00BF776A"/>
    <w:rsid w:val="00C0032A"/>
    <w:rsid w:val="00C0122B"/>
    <w:rsid w:val="00C03C19"/>
    <w:rsid w:val="00C04CDD"/>
    <w:rsid w:val="00C05987"/>
    <w:rsid w:val="00C05EAA"/>
    <w:rsid w:val="00C078B0"/>
    <w:rsid w:val="00C07CF6"/>
    <w:rsid w:val="00C07FD8"/>
    <w:rsid w:val="00C1001A"/>
    <w:rsid w:val="00C109D2"/>
    <w:rsid w:val="00C11821"/>
    <w:rsid w:val="00C1270E"/>
    <w:rsid w:val="00C14A7A"/>
    <w:rsid w:val="00C14DBC"/>
    <w:rsid w:val="00C15213"/>
    <w:rsid w:val="00C1553F"/>
    <w:rsid w:val="00C1571B"/>
    <w:rsid w:val="00C157A2"/>
    <w:rsid w:val="00C2016F"/>
    <w:rsid w:val="00C2293C"/>
    <w:rsid w:val="00C2359C"/>
    <w:rsid w:val="00C24EA0"/>
    <w:rsid w:val="00C24EE3"/>
    <w:rsid w:val="00C25EB5"/>
    <w:rsid w:val="00C2707C"/>
    <w:rsid w:val="00C279C5"/>
    <w:rsid w:val="00C30344"/>
    <w:rsid w:val="00C30450"/>
    <w:rsid w:val="00C30BE6"/>
    <w:rsid w:val="00C30C1C"/>
    <w:rsid w:val="00C30F20"/>
    <w:rsid w:val="00C31B1D"/>
    <w:rsid w:val="00C32AC9"/>
    <w:rsid w:val="00C33CA7"/>
    <w:rsid w:val="00C33EC4"/>
    <w:rsid w:val="00C357A8"/>
    <w:rsid w:val="00C36BD3"/>
    <w:rsid w:val="00C3748B"/>
    <w:rsid w:val="00C404BF"/>
    <w:rsid w:val="00C417DE"/>
    <w:rsid w:val="00C41A01"/>
    <w:rsid w:val="00C42BF0"/>
    <w:rsid w:val="00C42D63"/>
    <w:rsid w:val="00C434C3"/>
    <w:rsid w:val="00C4495D"/>
    <w:rsid w:val="00C44D08"/>
    <w:rsid w:val="00C44EF8"/>
    <w:rsid w:val="00C4531D"/>
    <w:rsid w:val="00C458E3"/>
    <w:rsid w:val="00C510C4"/>
    <w:rsid w:val="00C533A7"/>
    <w:rsid w:val="00C54993"/>
    <w:rsid w:val="00C55482"/>
    <w:rsid w:val="00C55889"/>
    <w:rsid w:val="00C5764D"/>
    <w:rsid w:val="00C57A1E"/>
    <w:rsid w:val="00C600EB"/>
    <w:rsid w:val="00C603F1"/>
    <w:rsid w:val="00C60B49"/>
    <w:rsid w:val="00C61203"/>
    <w:rsid w:val="00C63B94"/>
    <w:rsid w:val="00C64405"/>
    <w:rsid w:val="00C6482E"/>
    <w:rsid w:val="00C64DFC"/>
    <w:rsid w:val="00C6548F"/>
    <w:rsid w:val="00C65CC5"/>
    <w:rsid w:val="00C71D1A"/>
    <w:rsid w:val="00C72358"/>
    <w:rsid w:val="00C7361B"/>
    <w:rsid w:val="00C73867"/>
    <w:rsid w:val="00C7388A"/>
    <w:rsid w:val="00C73B20"/>
    <w:rsid w:val="00C74204"/>
    <w:rsid w:val="00C745E5"/>
    <w:rsid w:val="00C7463D"/>
    <w:rsid w:val="00C75B0A"/>
    <w:rsid w:val="00C763E9"/>
    <w:rsid w:val="00C76544"/>
    <w:rsid w:val="00C772BB"/>
    <w:rsid w:val="00C82505"/>
    <w:rsid w:val="00C825EE"/>
    <w:rsid w:val="00C832F1"/>
    <w:rsid w:val="00C84052"/>
    <w:rsid w:val="00C84410"/>
    <w:rsid w:val="00C85F6E"/>
    <w:rsid w:val="00C86AF8"/>
    <w:rsid w:val="00C87214"/>
    <w:rsid w:val="00C8740F"/>
    <w:rsid w:val="00C90437"/>
    <w:rsid w:val="00C91B92"/>
    <w:rsid w:val="00C92256"/>
    <w:rsid w:val="00C925A6"/>
    <w:rsid w:val="00C95F20"/>
    <w:rsid w:val="00C960DE"/>
    <w:rsid w:val="00C962DA"/>
    <w:rsid w:val="00C97ACD"/>
    <w:rsid w:val="00CA11CA"/>
    <w:rsid w:val="00CA225B"/>
    <w:rsid w:val="00CA26A1"/>
    <w:rsid w:val="00CA2909"/>
    <w:rsid w:val="00CA3B43"/>
    <w:rsid w:val="00CA4190"/>
    <w:rsid w:val="00CA4996"/>
    <w:rsid w:val="00CA4E88"/>
    <w:rsid w:val="00CA541E"/>
    <w:rsid w:val="00CA746A"/>
    <w:rsid w:val="00CB0E9D"/>
    <w:rsid w:val="00CB1254"/>
    <w:rsid w:val="00CB2393"/>
    <w:rsid w:val="00CB387D"/>
    <w:rsid w:val="00CB4E29"/>
    <w:rsid w:val="00CB50F2"/>
    <w:rsid w:val="00CB6F45"/>
    <w:rsid w:val="00CB77DB"/>
    <w:rsid w:val="00CB799A"/>
    <w:rsid w:val="00CC04A7"/>
    <w:rsid w:val="00CC0639"/>
    <w:rsid w:val="00CC1C26"/>
    <w:rsid w:val="00CC27BF"/>
    <w:rsid w:val="00CC27E5"/>
    <w:rsid w:val="00CC37CB"/>
    <w:rsid w:val="00CC4CA9"/>
    <w:rsid w:val="00CC5EB7"/>
    <w:rsid w:val="00CC721A"/>
    <w:rsid w:val="00CC76B9"/>
    <w:rsid w:val="00CC7B8D"/>
    <w:rsid w:val="00CD03D1"/>
    <w:rsid w:val="00CD0784"/>
    <w:rsid w:val="00CD33C2"/>
    <w:rsid w:val="00CD3597"/>
    <w:rsid w:val="00CD3CAE"/>
    <w:rsid w:val="00CD3D7C"/>
    <w:rsid w:val="00CD3E73"/>
    <w:rsid w:val="00CD63F2"/>
    <w:rsid w:val="00CD6F52"/>
    <w:rsid w:val="00CE0558"/>
    <w:rsid w:val="00CE0ACF"/>
    <w:rsid w:val="00CE2107"/>
    <w:rsid w:val="00CE2843"/>
    <w:rsid w:val="00CE2910"/>
    <w:rsid w:val="00CE2C92"/>
    <w:rsid w:val="00CE2FCE"/>
    <w:rsid w:val="00CE498C"/>
    <w:rsid w:val="00CE53FD"/>
    <w:rsid w:val="00CE617E"/>
    <w:rsid w:val="00CE7000"/>
    <w:rsid w:val="00CE785A"/>
    <w:rsid w:val="00CF000D"/>
    <w:rsid w:val="00CF2171"/>
    <w:rsid w:val="00CF2C5D"/>
    <w:rsid w:val="00CF3676"/>
    <w:rsid w:val="00CF37AC"/>
    <w:rsid w:val="00CF3933"/>
    <w:rsid w:val="00CF439F"/>
    <w:rsid w:val="00CF4A11"/>
    <w:rsid w:val="00CF4A1F"/>
    <w:rsid w:val="00CF4DA4"/>
    <w:rsid w:val="00CF4FDC"/>
    <w:rsid w:val="00CF7B9C"/>
    <w:rsid w:val="00D00699"/>
    <w:rsid w:val="00D0113A"/>
    <w:rsid w:val="00D022EE"/>
    <w:rsid w:val="00D03CBD"/>
    <w:rsid w:val="00D054F1"/>
    <w:rsid w:val="00D059AB"/>
    <w:rsid w:val="00D06C32"/>
    <w:rsid w:val="00D07BEA"/>
    <w:rsid w:val="00D119D9"/>
    <w:rsid w:val="00D129A8"/>
    <w:rsid w:val="00D130C5"/>
    <w:rsid w:val="00D1464B"/>
    <w:rsid w:val="00D1571C"/>
    <w:rsid w:val="00D1586F"/>
    <w:rsid w:val="00D15891"/>
    <w:rsid w:val="00D161B0"/>
    <w:rsid w:val="00D167FF"/>
    <w:rsid w:val="00D16E1E"/>
    <w:rsid w:val="00D17237"/>
    <w:rsid w:val="00D17239"/>
    <w:rsid w:val="00D17D44"/>
    <w:rsid w:val="00D2057D"/>
    <w:rsid w:val="00D206C7"/>
    <w:rsid w:val="00D20F88"/>
    <w:rsid w:val="00D21238"/>
    <w:rsid w:val="00D21B7C"/>
    <w:rsid w:val="00D21DF1"/>
    <w:rsid w:val="00D22FAC"/>
    <w:rsid w:val="00D252A7"/>
    <w:rsid w:val="00D25451"/>
    <w:rsid w:val="00D25602"/>
    <w:rsid w:val="00D25813"/>
    <w:rsid w:val="00D26AAB"/>
    <w:rsid w:val="00D27578"/>
    <w:rsid w:val="00D30772"/>
    <w:rsid w:val="00D30DC4"/>
    <w:rsid w:val="00D33068"/>
    <w:rsid w:val="00D34433"/>
    <w:rsid w:val="00D34C37"/>
    <w:rsid w:val="00D35E3B"/>
    <w:rsid w:val="00D37FD8"/>
    <w:rsid w:val="00D400E2"/>
    <w:rsid w:val="00D416B6"/>
    <w:rsid w:val="00D43002"/>
    <w:rsid w:val="00D4364F"/>
    <w:rsid w:val="00D4478C"/>
    <w:rsid w:val="00D44AD6"/>
    <w:rsid w:val="00D45518"/>
    <w:rsid w:val="00D45B3C"/>
    <w:rsid w:val="00D46599"/>
    <w:rsid w:val="00D5017C"/>
    <w:rsid w:val="00D51538"/>
    <w:rsid w:val="00D517E0"/>
    <w:rsid w:val="00D51D81"/>
    <w:rsid w:val="00D52142"/>
    <w:rsid w:val="00D53361"/>
    <w:rsid w:val="00D53897"/>
    <w:rsid w:val="00D53E87"/>
    <w:rsid w:val="00D5418B"/>
    <w:rsid w:val="00D546F4"/>
    <w:rsid w:val="00D550DA"/>
    <w:rsid w:val="00D553EB"/>
    <w:rsid w:val="00D557FB"/>
    <w:rsid w:val="00D55C0F"/>
    <w:rsid w:val="00D56272"/>
    <w:rsid w:val="00D5736A"/>
    <w:rsid w:val="00D573D6"/>
    <w:rsid w:val="00D60EB1"/>
    <w:rsid w:val="00D613F3"/>
    <w:rsid w:val="00D61EF9"/>
    <w:rsid w:val="00D62455"/>
    <w:rsid w:val="00D62E5B"/>
    <w:rsid w:val="00D62E85"/>
    <w:rsid w:val="00D63089"/>
    <w:rsid w:val="00D63B7E"/>
    <w:rsid w:val="00D64E1E"/>
    <w:rsid w:val="00D66BDE"/>
    <w:rsid w:val="00D6709B"/>
    <w:rsid w:val="00D67D95"/>
    <w:rsid w:val="00D71662"/>
    <w:rsid w:val="00D719A5"/>
    <w:rsid w:val="00D72691"/>
    <w:rsid w:val="00D74DE6"/>
    <w:rsid w:val="00D751C2"/>
    <w:rsid w:val="00D761D1"/>
    <w:rsid w:val="00D766ED"/>
    <w:rsid w:val="00D77D71"/>
    <w:rsid w:val="00D77F6C"/>
    <w:rsid w:val="00D80CCB"/>
    <w:rsid w:val="00D82F9E"/>
    <w:rsid w:val="00D83226"/>
    <w:rsid w:val="00D849B7"/>
    <w:rsid w:val="00D84EDE"/>
    <w:rsid w:val="00D8521C"/>
    <w:rsid w:val="00D853CD"/>
    <w:rsid w:val="00D86B29"/>
    <w:rsid w:val="00D87585"/>
    <w:rsid w:val="00D918E4"/>
    <w:rsid w:val="00D91E1A"/>
    <w:rsid w:val="00D9235A"/>
    <w:rsid w:val="00D947DA"/>
    <w:rsid w:val="00D95363"/>
    <w:rsid w:val="00D97269"/>
    <w:rsid w:val="00D979A4"/>
    <w:rsid w:val="00DA0B22"/>
    <w:rsid w:val="00DA2F63"/>
    <w:rsid w:val="00DA32A7"/>
    <w:rsid w:val="00DA5B85"/>
    <w:rsid w:val="00DA5D52"/>
    <w:rsid w:val="00DA5E13"/>
    <w:rsid w:val="00DB06E9"/>
    <w:rsid w:val="00DB47E7"/>
    <w:rsid w:val="00DB4B55"/>
    <w:rsid w:val="00DB4BA2"/>
    <w:rsid w:val="00DB5E37"/>
    <w:rsid w:val="00DB67CC"/>
    <w:rsid w:val="00DB6D4E"/>
    <w:rsid w:val="00DB7118"/>
    <w:rsid w:val="00DB7D8F"/>
    <w:rsid w:val="00DC0727"/>
    <w:rsid w:val="00DC101E"/>
    <w:rsid w:val="00DC298E"/>
    <w:rsid w:val="00DC3F94"/>
    <w:rsid w:val="00DC4401"/>
    <w:rsid w:val="00DC5A5F"/>
    <w:rsid w:val="00DC601D"/>
    <w:rsid w:val="00DD03B2"/>
    <w:rsid w:val="00DD07A6"/>
    <w:rsid w:val="00DD0A9A"/>
    <w:rsid w:val="00DD2BEE"/>
    <w:rsid w:val="00DD332D"/>
    <w:rsid w:val="00DD45B6"/>
    <w:rsid w:val="00DD4E51"/>
    <w:rsid w:val="00DD5F31"/>
    <w:rsid w:val="00DD5F5F"/>
    <w:rsid w:val="00DD71C3"/>
    <w:rsid w:val="00DE00D6"/>
    <w:rsid w:val="00DE0B85"/>
    <w:rsid w:val="00DE19B3"/>
    <w:rsid w:val="00DE3D98"/>
    <w:rsid w:val="00DE58E6"/>
    <w:rsid w:val="00DE6239"/>
    <w:rsid w:val="00DE6549"/>
    <w:rsid w:val="00DE6678"/>
    <w:rsid w:val="00DE7052"/>
    <w:rsid w:val="00DF2605"/>
    <w:rsid w:val="00DF5A4E"/>
    <w:rsid w:val="00DF5DCE"/>
    <w:rsid w:val="00DF60A7"/>
    <w:rsid w:val="00DF65F5"/>
    <w:rsid w:val="00DF6AAB"/>
    <w:rsid w:val="00DF7EB5"/>
    <w:rsid w:val="00DF7ECF"/>
    <w:rsid w:val="00E00B26"/>
    <w:rsid w:val="00E026A4"/>
    <w:rsid w:val="00E02824"/>
    <w:rsid w:val="00E05517"/>
    <w:rsid w:val="00E05820"/>
    <w:rsid w:val="00E06D52"/>
    <w:rsid w:val="00E075BA"/>
    <w:rsid w:val="00E07A97"/>
    <w:rsid w:val="00E07C39"/>
    <w:rsid w:val="00E1177E"/>
    <w:rsid w:val="00E11954"/>
    <w:rsid w:val="00E11F15"/>
    <w:rsid w:val="00E12210"/>
    <w:rsid w:val="00E1352B"/>
    <w:rsid w:val="00E1393E"/>
    <w:rsid w:val="00E13B2A"/>
    <w:rsid w:val="00E159A0"/>
    <w:rsid w:val="00E16BB5"/>
    <w:rsid w:val="00E1736F"/>
    <w:rsid w:val="00E1751D"/>
    <w:rsid w:val="00E17559"/>
    <w:rsid w:val="00E2043A"/>
    <w:rsid w:val="00E20560"/>
    <w:rsid w:val="00E22016"/>
    <w:rsid w:val="00E2231D"/>
    <w:rsid w:val="00E226FD"/>
    <w:rsid w:val="00E22725"/>
    <w:rsid w:val="00E251DE"/>
    <w:rsid w:val="00E27B00"/>
    <w:rsid w:val="00E3065C"/>
    <w:rsid w:val="00E308C4"/>
    <w:rsid w:val="00E3185A"/>
    <w:rsid w:val="00E337A3"/>
    <w:rsid w:val="00E33F4F"/>
    <w:rsid w:val="00E342A6"/>
    <w:rsid w:val="00E36A43"/>
    <w:rsid w:val="00E401CE"/>
    <w:rsid w:val="00E406CB"/>
    <w:rsid w:val="00E43084"/>
    <w:rsid w:val="00E447B6"/>
    <w:rsid w:val="00E465D1"/>
    <w:rsid w:val="00E46B8E"/>
    <w:rsid w:val="00E46E30"/>
    <w:rsid w:val="00E477E6"/>
    <w:rsid w:val="00E47A6D"/>
    <w:rsid w:val="00E47FEE"/>
    <w:rsid w:val="00E5068A"/>
    <w:rsid w:val="00E52B15"/>
    <w:rsid w:val="00E53064"/>
    <w:rsid w:val="00E531B7"/>
    <w:rsid w:val="00E5391B"/>
    <w:rsid w:val="00E53DAC"/>
    <w:rsid w:val="00E53E0B"/>
    <w:rsid w:val="00E54B00"/>
    <w:rsid w:val="00E55E46"/>
    <w:rsid w:val="00E567A7"/>
    <w:rsid w:val="00E57E6B"/>
    <w:rsid w:val="00E60490"/>
    <w:rsid w:val="00E60D84"/>
    <w:rsid w:val="00E6164B"/>
    <w:rsid w:val="00E627EF"/>
    <w:rsid w:val="00E62C39"/>
    <w:rsid w:val="00E62CFB"/>
    <w:rsid w:val="00E63EAE"/>
    <w:rsid w:val="00E64AC3"/>
    <w:rsid w:val="00E6563A"/>
    <w:rsid w:val="00E65758"/>
    <w:rsid w:val="00E661B0"/>
    <w:rsid w:val="00E67906"/>
    <w:rsid w:val="00E67CC8"/>
    <w:rsid w:val="00E7019A"/>
    <w:rsid w:val="00E70955"/>
    <w:rsid w:val="00E73781"/>
    <w:rsid w:val="00E75944"/>
    <w:rsid w:val="00E75AF5"/>
    <w:rsid w:val="00E7604A"/>
    <w:rsid w:val="00E7657B"/>
    <w:rsid w:val="00E768C7"/>
    <w:rsid w:val="00E76CA2"/>
    <w:rsid w:val="00E770B8"/>
    <w:rsid w:val="00E77816"/>
    <w:rsid w:val="00E805CB"/>
    <w:rsid w:val="00E80D16"/>
    <w:rsid w:val="00E81E9B"/>
    <w:rsid w:val="00E81EF6"/>
    <w:rsid w:val="00E82E8C"/>
    <w:rsid w:val="00E84A76"/>
    <w:rsid w:val="00E84D1B"/>
    <w:rsid w:val="00E85A4D"/>
    <w:rsid w:val="00E86ED3"/>
    <w:rsid w:val="00E86FDF"/>
    <w:rsid w:val="00E87152"/>
    <w:rsid w:val="00E8718B"/>
    <w:rsid w:val="00E87A99"/>
    <w:rsid w:val="00E902E1"/>
    <w:rsid w:val="00E91C54"/>
    <w:rsid w:val="00E9512F"/>
    <w:rsid w:val="00E960F1"/>
    <w:rsid w:val="00E9640A"/>
    <w:rsid w:val="00E9702A"/>
    <w:rsid w:val="00EA0FB4"/>
    <w:rsid w:val="00EA49B1"/>
    <w:rsid w:val="00EA4AA9"/>
    <w:rsid w:val="00EA52B8"/>
    <w:rsid w:val="00EA56C8"/>
    <w:rsid w:val="00EA6E42"/>
    <w:rsid w:val="00EA706D"/>
    <w:rsid w:val="00EA7954"/>
    <w:rsid w:val="00EB002F"/>
    <w:rsid w:val="00EB243F"/>
    <w:rsid w:val="00EB3135"/>
    <w:rsid w:val="00EB4070"/>
    <w:rsid w:val="00EB5FBF"/>
    <w:rsid w:val="00EB66AD"/>
    <w:rsid w:val="00EB6B7E"/>
    <w:rsid w:val="00EB770A"/>
    <w:rsid w:val="00EC0062"/>
    <w:rsid w:val="00EC030C"/>
    <w:rsid w:val="00EC2602"/>
    <w:rsid w:val="00EC3C2B"/>
    <w:rsid w:val="00EC44D9"/>
    <w:rsid w:val="00EC4E34"/>
    <w:rsid w:val="00EC52C9"/>
    <w:rsid w:val="00EC6343"/>
    <w:rsid w:val="00EC73A4"/>
    <w:rsid w:val="00EC7AE1"/>
    <w:rsid w:val="00ED2634"/>
    <w:rsid w:val="00ED35D6"/>
    <w:rsid w:val="00ED38EC"/>
    <w:rsid w:val="00ED5345"/>
    <w:rsid w:val="00ED5C57"/>
    <w:rsid w:val="00ED5C8A"/>
    <w:rsid w:val="00ED6296"/>
    <w:rsid w:val="00ED64C1"/>
    <w:rsid w:val="00ED7131"/>
    <w:rsid w:val="00ED75AE"/>
    <w:rsid w:val="00EE0347"/>
    <w:rsid w:val="00EE0F94"/>
    <w:rsid w:val="00EE1240"/>
    <w:rsid w:val="00EE2B07"/>
    <w:rsid w:val="00EE3BC2"/>
    <w:rsid w:val="00EE4254"/>
    <w:rsid w:val="00EE59FE"/>
    <w:rsid w:val="00EE6DA0"/>
    <w:rsid w:val="00EE7D43"/>
    <w:rsid w:val="00EF0648"/>
    <w:rsid w:val="00EF076A"/>
    <w:rsid w:val="00EF0D1E"/>
    <w:rsid w:val="00EF1286"/>
    <w:rsid w:val="00EF13E8"/>
    <w:rsid w:val="00EF1B4B"/>
    <w:rsid w:val="00EF1BFE"/>
    <w:rsid w:val="00EF2749"/>
    <w:rsid w:val="00EF3E29"/>
    <w:rsid w:val="00EF4CCA"/>
    <w:rsid w:val="00EF5765"/>
    <w:rsid w:val="00EF5936"/>
    <w:rsid w:val="00EF5D3A"/>
    <w:rsid w:val="00EF5DD4"/>
    <w:rsid w:val="00EF6611"/>
    <w:rsid w:val="00EF6A94"/>
    <w:rsid w:val="00EF6C81"/>
    <w:rsid w:val="00F01150"/>
    <w:rsid w:val="00F012C7"/>
    <w:rsid w:val="00F053B1"/>
    <w:rsid w:val="00F06A3B"/>
    <w:rsid w:val="00F07AFD"/>
    <w:rsid w:val="00F11B05"/>
    <w:rsid w:val="00F11D48"/>
    <w:rsid w:val="00F1458E"/>
    <w:rsid w:val="00F146EB"/>
    <w:rsid w:val="00F14B02"/>
    <w:rsid w:val="00F15FC6"/>
    <w:rsid w:val="00F1678F"/>
    <w:rsid w:val="00F17363"/>
    <w:rsid w:val="00F17CEC"/>
    <w:rsid w:val="00F205C4"/>
    <w:rsid w:val="00F20D92"/>
    <w:rsid w:val="00F21128"/>
    <w:rsid w:val="00F21BB6"/>
    <w:rsid w:val="00F22F39"/>
    <w:rsid w:val="00F25C62"/>
    <w:rsid w:val="00F27762"/>
    <w:rsid w:val="00F3040B"/>
    <w:rsid w:val="00F30B50"/>
    <w:rsid w:val="00F31B5A"/>
    <w:rsid w:val="00F322EE"/>
    <w:rsid w:val="00F323B8"/>
    <w:rsid w:val="00F341E9"/>
    <w:rsid w:val="00F34AA6"/>
    <w:rsid w:val="00F34FC2"/>
    <w:rsid w:val="00F3533B"/>
    <w:rsid w:val="00F36976"/>
    <w:rsid w:val="00F37155"/>
    <w:rsid w:val="00F373D2"/>
    <w:rsid w:val="00F419A4"/>
    <w:rsid w:val="00F41C26"/>
    <w:rsid w:val="00F438A9"/>
    <w:rsid w:val="00F43EEC"/>
    <w:rsid w:val="00F46BFD"/>
    <w:rsid w:val="00F478FE"/>
    <w:rsid w:val="00F5018C"/>
    <w:rsid w:val="00F5157D"/>
    <w:rsid w:val="00F534B0"/>
    <w:rsid w:val="00F5376C"/>
    <w:rsid w:val="00F54885"/>
    <w:rsid w:val="00F5507E"/>
    <w:rsid w:val="00F60A0B"/>
    <w:rsid w:val="00F60E58"/>
    <w:rsid w:val="00F610D5"/>
    <w:rsid w:val="00F613D7"/>
    <w:rsid w:val="00F62D03"/>
    <w:rsid w:val="00F635C3"/>
    <w:rsid w:val="00F7007D"/>
    <w:rsid w:val="00F70721"/>
    <w:rsid w:val="00F7220E"/>
    <w:rsid w:val="00F72FDD"/>
    <w:rsid w:val="00F737BD"/>
    <w:rsid w:val="00F7545E"/>
    <w:rsid w:val="00F7587E"/>
    <w:rsid w:val="00F759EF"/>
    <w:rsid w:val="00F7641A"/>
    <w:rsid w:val="00F76CAE"/>
    <w:rsid w:val="00F76DF3"/>
    <w:rsid w:val="00F772C9"/>
    <w:rsid w:val="00F77BFC"/>
    <w:rsid w:val="00F8046D"/>
    <w:rsid w:val="00F83983"/>
    <w:rsid w:val="00F840FD"/>
    <w:rsid w:val="00F84392"/>
    <w:rsid w:val="00F84FD3"/>
    <w:rsid w:val="00F859B5"/>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FF4"/>
    <w:rsid w:val="00FA21D5"/>
    <w:rsid w:val="00FA3ECC"/>
    <w:rsid w:val="00FA5183"/>
    <w:rsid w:val="00FA595D"/>
    <w:rsid w:val="00FA66F2"/>
    <w:rsid w:val="00FA6B8B"/>
    <w:rsid w:val="00FA770B"/>
    <w:rsid w:val="00FB028C"/>
    <w:rsid w:val="00FB0DDC"/>
    <w:rsid w:val="00FB44F6"/>
    <w:rsid w:val="00FB6718"/>
    <w:rsid w:val="00FB7098"/>
    <w:rsid w:val="00FC01A9"/>
    <w:rsid w:val="00FC12AE"/>
    <w:rsid w:val="00FC7642"/>
    <w:rsid w:val="00FD045A"/>
    <w:rsid w:val="00FD0558"/>
    <w:rsid w:val="00FD0559"/>
    <w:rsid w:val="00FD12D4"/>
    <w:rsid w:val="00FD1720"/>
    <w:rsid w:val="00FD1D49"/>
    <w:rsid w:val="00FD2202"/>
    <w:rsid w:val="00FD221E"/>
    <w:rsid w:val="00FD329E"/>
    <w:rsid w:val="00FD37DE"/>
    <w:rsid w:val="00FD50D3"/>
    <w:rsid w:val="00FD51B8"/>
    <w:rsid w:val="00FD5315"/>
    <w:rsid w:val="00FD5FC7"/>
    <w:rsid w:val="00FD75B3"/>
    <w:rsid w:val="00FE169D"/>
    <w:rsid w:val="00FE1BB6"/>
    <w:rsid w:val="00FE1D47"/>
    <w:rsid w:val="00FE33AC"/>
    <w:rsid w:val="00FE40C5"/>
    <w:rsid w:val="00FE424B"/>
    <w:rsid w:val="00FE4801"/>
    <w:rsid w:val="00FE5479"/>
    <w:rsid w:val="00FE5B2F"/>
    <w:rsid w:val="00FE733E"/>
    <w:rsid w:val="00FE73B0"/>
    <w:rsid w:val="00FE7594"/>
    <w:rsid w:val="00FF0557"/>
    <w:rsid w:val="00FF09FC"/>
    <w:rsid w:val="00FF1133"/>
    <w:rsid w:val="00FF564D"/>
    <w:rsid w:val="00FF65BA"/>
    <w:rsid w:val="00FF6853"/>
    <w:rsid w:val="00FF75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546289"/>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546289"/>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546289"/>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99"/>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546289"/>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bilgi Char"/>
    <w:basedOn w:val="VarsaylanParagrafYazTipi"/>
    <w:link w:val="stbilgi"/>
    <w:uiPriority w:val="99"/>
    <w:semiHidden/>
    <w:locked/>
    <w:rsid w:val="00546289"/>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bilgi Char"/>
    <w:basedOn w:val="VarsaylanParagrafYazTipi"/>
    <w:link w:val="Altbilgi"/>
    <w:uiPriority w:val="99"/>
    <w:locked/>
    <w:rsid w:val="00546289"/>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46289"/>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rPr>
  </w:style>
</w:styles>
</file>

<file path=word/webSettings.xml><?xml version="1.0" encoding="utf-8"?>
<w:webSettings xmlns:r="http://schemas.openxmlformats.org/officeDocument/2006/relationships" xmlns:w="http://schemas.openxmlformats.org/wordprocessingml/2006/main">
  <w:divs>
    <w:div w:id="900940075">
      <w:marLeft w:val="0"/>
      <w:marRight w:val="0"/>
      <w:marTop w:val="0"/>
      <w:marBottom w:val="0"/>
      <w:divBdr>
        <w:top w:val="none" w:sz="0" w:space="0" w:color="auto"/>
        <w:left w:val="none" w:sz="0" w:space="0" w:color="auto"/>
        <w:bottom w:val="none" w:sz="0" w:space="0" w:color="auto"/>
        <w:right w:val="none" w:sz="0" w:space="0" w:color="auto"/>
      </w:divBdr>
    </w:div>
    <w:div w:id="900940076">
      <w:marLeft w:val="0"/>
      <w:marRight w:val="0"/>
      <w:marTop w:val="0"/>
      <w:marBottom w:val="0"/>
      <w:divBdr>
        <w:top w:val="none" w:sz="0" w:space="0" w:color="auto"/>
        <w:left w:val="none" w:sz="0" w:space="0" w:color="auto"/>
        <w:bottom w:val="none" w:sz="0" w:space="0" w:color="auto"/>
        <w:right w:val="none" w:sz="0" w:space="0" w:color="auto"/>
      </w:divBdr>
    </w:div>
    <w:div w:id="900940077">
      <w:marLeft w:val="0"/>
      <w:marRight w:val="0"/>
      <w:marTop w:val="0"/>
      <w:marBottom w:val="0"/>
      <w:divBdr>
        <w:top w:val="none" w:sz="0" w:space="0" w:color="auto"/>
        <w:left w:val="none" w:sz="0" w:space="0" w:color="auto"/>
        <w:bottom w:val="none" w:sz="0" w:space="0" w:color="auto"/>
        <w:right w:val="none" w:sz="0" w:space="0" w:color="auto"/>
      </w:divBdr>
    </w:div>
    <w:div w:id="900940078">
      <w:marLeft w:val="0"/>
      <w:marRight w:val="0"/>
      <w:marTop w:val="0"/>
      <w:marBottom w:val="0"/>
      <w:divBdr>
        <w:top w:val="none" w:sz="0" w:space="0" w:color="auto"/>
        <w:left w:val="none" w:sz="0" w:space="0" w:color="auto"/>
        <w:bottom w:val="none" w:sz="0" w:space="0" w:color="auto"/>
        <w:right w:val="none" w:sz="0" w:space="0" w:color="auto"/>
      </w:divBdr>
    </w:div>
    <w:div w:id="900940079">
      <w:marLeft w:val="0"/>
      <w:marRight w:val="0"/>
      <w:marTop w:val="0"/>
      <w:marBottom w:val="0"/>
      <w:divBdr>
        <w:top w:val="none" w:sz="0" w:space="0" w:color="auto"/>
        <w:left w:val="none" w:sz="0" w:space="0" w:color="auto"/>
        <w:bottom w:val="none" w:sz="0" w:space="0" w:color="auto"/>
        <w:right w:val="none" w:sz="0" w:space="0" w:color="auto"/>
      </w:divBdr>
    </w:div>
    <w:div w:id="900940080">
      <w:marLeft w:val="0"/>
      <w:marRight w:val="0"/>
      <w:marTop w:val="0"/>
      <w:marBottom w:val="0"/>
      <w:divBdr>
        <w:top w:val="none" w:sz="0" w:space="0" w:color="auto"/>
        <w:left w:val="none" w:sz="0" w:space="0" w:color="auto"/>
        <w:bottom w:val="none" w:sz="0" w:space="0" w:color="auto"/>
        <w:right w:val="none" w:sz="0" w:space="0" w:color="auto"/>
      </w:divBdr>
    </w:div>
    <w:div w:id="900940081">
      <w:marLeft w:val="0"/>
      <w:marRight w:val="0"/>
      <w:marTop w:val="0"/>
      <w:marBottom w:val="0"/>
      <w:divBdr>
        <w:top w:val="none" w:sz="0" w:space="0" w:color="auto"/>
        <w:left w:val="none" w:sz="0" w:space="0" w:color="auto"/>
        <w:bottom w:val="none" w:sz="0" w:space="0" w:color="auto"/>
        <w:right w:val="none" w:sz="0" w:space="0" w:color="auto"/>
      </w:divBdr>
    </w:div>
    <w:div w:id="900940082">
      <w:marLeft w:val="0"/>
      <w:marRight w:val="0"/>
      <w:marTop w:val="0"/>
      <w:marBottom w:val="0"/>
      <w:divBdr>
        <w:top w:val="none" w:sz="0" w:space="0" w:color="auto"/>
        <w:left w:val="none" w:sz="0" w:space="0" w:color="auto"/>
        <w:bottom w:val="none" w:sz="0" w:space="0" w:color="auto"/>
        <w:right w:val="none" w:sz="0" w:space="0" w:color="auto"/>
      </w:divBdr>
    </w:div>
    <w:div w:id="900940083">
      <w:marLeft w:val="0"/>
      <w:marRight w:val="0"/>
      <w:marTop w:val="0"/>
      <w:marBottom w:val="0"/>
      <w:divBdr>
        <w:top w:val="none" w:sz="0" w:space="0" w:color="auto"/>
        <w:left w:val="none" w:sz="0" w:space="0" w:color="auto"/>
        <w:bottom w:val="none" w:sz="0" w:space="0" w:color="auto"/>
        <w:right w:val="none" w:sz="0" w:space="0" w:color="auto"/>
      </w:divBdr>
    </w:div>
    <w:div w:id="900940084">
      <w:marLeft w:val="0"/>
      <w:marRight w:val="0"/>
      <w:marTop w:val="0"/>
      <w:marBottom w:val="0"/>
      <w:divBdr>
        <w:top w:val="none" w:sz="0" w:space="0" w:color="auto"/>
        <w:left w:val="none" w:sz="0" w:space="0" w:color="auto"/>
        <w:bottom w:val="none" w:sz="0" w:space="0" w:color="auto"/>
        <w:right w:val="none" w:sz="0" w:space="0" w:color="auto"/>
      </w:divBdr>
    </w:div>
    <w:div w:id="900940085">
      <w:marLeft w:val="0"/>
      <w:marRight w:val="0"/>
      <w:marTop w:val="0"/>
      <w:marBottom w:val="0"/>
      <w:divBdr>
        <w:top w:val="none" w:sz="0" w:space="0" w:color="auto"/>
        <w:left w:val="none" w:sz="0" w:space="0" w:color="auto"/>
        <w:bottom w:val="none" w:sz="0" w:space="0" w:color="auto"/>
        <w:right w:val="none" w:sz="0" w:space="0" w:color="auto"/>
      </w:divBdr>
    </w:div>
    <w:div w:id="900940086">
      <w:marLeft w:val="0"/>
      <w:marRight w:val="0"/>
      <w:marTop w:val="0"/>
      <w:marBottom w:val="0"/>
      <w:divBdr>
        <w:top w:val="none" w:sz="0" w:space="0" w:color="auto"/>
        <w:left w:val="none" w:sz="0" w:space="0" w:color="auto"/>
        <w:bottom w:val="none" w:sz="0" w:space="0" w:color="auto"/>
        <w:right w:val="none" w:sz="0" w:space="0" w:color="auto"/>
      </w:divBdr>
    </w:div>
    <w:div w:id="900940087">
      <w:marLeft w:val="0"/>
      <w:marRight w:val="0"/>
      <w:marTop w:val="0"/>
      <w:marBottom w:val="0"/>
      <w:divBdr>
        <w:top w:val="none" w:sz="0" w:space="0" w:color="auto"/>
        <w:left w:val="none" w:sz="0" w:space="0" w:color="auto"/>
        <w:bottom w:val="none" w:sz="0" w:space="0" w:color="auto"/>
        <w:right w:val="none" w:sz="0" w:space="0" w:color="auto"/>
      </w:divBdr>
    </w:div>
    <w:div w:id="900940088">
      <w:marLeft w:val="0"/>
      <w:marRight w:val="0"/>
      <w:marTop w:val="0"/>
      <w:marBottom w:val="0"/>
      <w:divBdr>
        <w:top w:val="none" w:sz="0" w:space="0" w:color="auto"/>
        <w:left w:val="none" w:sz="0" w:space="0" w:color="auto"/>
        <w:bottom w:val="none" w:sz="0" w:space="0" w:color="auto"/>
        <w:right w:val="none" w:sz="0" w:space="0" w:color="auto"/>
      </w:divBdr>
    </w:div>
    <w:div w:id="900940089">
      <w:marLeft w:val="0"/>
      <w:marRight w:val="0"/>
      <w:marTop w:val="0"/>
      <w:marBottom w:val="0"/>
      <w:divBdr>
        <w:top w:val="none" w:sz="0" w:space="0" w:color="auto"/>
        <w:left w:val="none" w:sz="0" w:space="0" w:color="auto"/>
        <w:bottom w:val="none" w:sz="0" w:space="0" w:color="auto"/>
        <w:right w:val="none" w:sz="0" w:space="0" w:color="auto"/>
      </w:divBdr>
    </w:div>
    <w:div w:id="900940090">
      <w:marLeft w:val="0"/>
      <w:marRight w:val="0"/>
      <w:marTop w:val="0"/>
      <w:marBottom w:val="0"/>
      <w:divBdr>
        <w:top w:val="none" w:sz="0" w:space="0" w:color="auto"/>
        <w:left w:val="none" w:sz="0" w:space="0" w:color="auto"/>
        <w:bottom w:val="none" w:sz="0" w:space="0" w:color="auto"/>
        <w:right w:val="none" w:sz="0" w:space="0" w:color="auto"/>
      </w:divBdr>
    </w:div>
    <w:div w:id="900940091">
      <w:marLeft w:val="0"/>
      <w:marRight w:val="0"/>
      <w:marTop w:val="0"/>
      <w:marBottom w:val="0"/>
      <w:divBdr>
        <w:top w:val="none" w:sz="0" w:space="0" w:color="auto"/>
        <w:left w:val="none" w:sz="0" w:space="0" w:color="auto"/>
        <w:bottom w:val="none" w:sz="0" w:space="0" w:color="auto"/>
        <w:right w:val="none" w:sz="0" w:space="0" w:color="auto"/>
      </w:divBdr>
    </w:div>
    <w:div w:id="900940092">
      <w:marLeft w:val="0"/>
      <w:marRight w:val="0"/>
      <w:marTop w:val="0"/>
      <w:marBottom w:val="0"/>
      <w:divBdr>
        <w:top w:val="none" w:sz="0" w:space="0" w:color="auto"/>
        <w:left w:val="none" w:sz="0" w:space="0" w:color="auto"/>
        <w:bottom w:val="none" w:sz="0" w:space="0" w:color="auto"/>
        <w:right w:val="none" w:sz="0" w:space="0" w:color="auto"/>
      </w:divBdr>
    </w:div>
    <w:div w:id="900940093">
      <w:marLeft w:val="0"/>
      <w:marRight w:val="0"/>
      <w:marTop w:val="0"/>
      <w:marBottom w:val="0"/>
      <w:divBdr>
        <w:top w:val="none" w:sz="0" w:space="0" w:color="auto"/>
        <w:left w:val="none" w:sz="0" w:space="0" w:color="auto"/>
        <w:bottom w:val="none" w:sz="0" w:space="0" w:color="auto"/>
        <w:right w:val="none" w:sz="0" w:space="0" w:color="auto"/>
      </w:divBdr>
    </w:div>
    <w:div w:id="900940094">
      <w:marLeft w:val="0"/>
      <w:marRight w:val="0"/>
      <w:marTop w:val="0"/>
      <w:marBottom w:val="0"/>
      <w:divBdr>
        <w:top w:val="none" w:sz="0" w:space="0" w:color="auto"/>
        <w:left w:val="none" w:sz="0" w:space="0" w:color="auto"/>
        <w:bottom w:val="none" w:sz="0" w:space="0" w:color="auto"/>
        <w:right w:val="none" w:sz="0" w:space="0" w:color="auto"/>
      </w:divBdr>
    </w:div>
    <w:div w:id="900940095">
      <w:marLeft w:val="0"/>
      <w:marRight w:val="0"/>
      <w:marTop w:val="0"/>
      <w:marBottom w:val="0"/>
      <w:divBdr>
        <w:top w:val="none" w:sz="0" w:space="0" w:color="auto"/>
        <w:left w:val="none" w:sz="0" w:space="0" w:color="auto"/>
        <w:bottom w:val="none" w:sz="0" w:space="0" w:color="auto"/>
        <w:right w:val="none" w:sz="0" w:space="0" w:color="auto"/>
      </w:divBdr>
    </w:div>
    <w:div w:id="900940096">
      <w:marLeft w:val="0"/>
      <w:marRight w:val="0"/>
      <w:marTop w:val="0"/>
      <w:marBottom w:val="0"/>
      <w:divBdr>
        <w:top w:val="none" w:sz="0" w:space="0" w:color="auto"/>
        <w:left w:val="none" w:sz="0" w:space="0" w:color="auto"/>
        <w:bottom w:val="none" w:sz="0" w:space="0" w:color="auto"/>
        <w:right w:val="none" w:sz="0" w:space="0" w:color="auto"/>
      </w:divBdr>
    </w:div>
    <w:div w:id="900940097">
      <w:marLeft w:val="0"/>
      <w:marRight w:val="0"/>
      <w:marTop w:val="0"/>
      <w:marBottom w:val="0"/>
      <w:divBdr>
        <w:top w:val="none" w:sz="0" w:space="0" w:color="auto"/>
        <w:left w:val="none" w:sz="0" w:space="0" w:color="auto"/>
        <w:bottom w:val="none" w:sz="0" w:space="0" w:color="auto"/>
        <w:right w:val="none" w:sz="0" w:space="0" w:color="auto"/>
      </w:divBdr>
    </w:div>
    <w:div w:id="900940098">
      <w:marLeft w:val="0"/>
      <w:marRight w:val="0"/>
      <w:marTop w:val="0"/>
      <w:marBottom w:val="0"/>
      <w:divBdr>
        <w:top w:val="none" w:sz="0" w:space="0" w:color="auto"/>
        <w:left w:val="none" w:sz="0" w:space="0" w:color="auto"/>
        <w:bottom w:val="none" w:sz="0" w:space="0" w:color="auto"/>
        <w:right w:val="none" w:sz="0" w:space="0" w:color="auto"/>
      </w:divBdr>
    </w:div>
    <w:div w:id="900940099">
      <w:marLeft w:val="0"/>
      <w:marRight w:val="0"/>
      <w:marTop w:val="0"/>
      <w:marBottom w:val="0"/>
      <w:divBdr>
        <w:top w:val="none" w:sz="0" w:space="0" w:color="auto"/>
        <w:left w:val="none" w:sz="0" w:space="0" w:color="auto"/>
        <w:bottom w:val="none" w:sz="0" w:space="0" w:color="auto"/>
        <w:right w:val="none" w:sz="0" w:space="0" w:color="auto"/>
      </w:divBdr>
    </w:div>
    <w:div w:id="900940100">
      <w:marLeft w:val="0"/>
      <w:marRight w:val="0"/>
      <w:marTop w:val="0"/>
      <w:marBottom w:val="0"/>
      <w:divBdr>
        <w:top w:val="none" w:sz="0" w:space="0" w:color="auto"/>
        <w:left w:val="none" w:sz="0" w:space="0" w:color="auto"/>
        <w:bottom w:val="none" w:sz="0" w:space="0" w:color="auto"/>
        <w:right w:val="none" w:sz="0" w:space="0" w:color="auto"/>
      </w:divBdr>
    </w:div>
    <w:div w:id="900940101">
      <w:marLeft w:val="0"/>
      <w:marRight w:val="0"/>
      <w:marTop w:val="0"/>
      <w:marBottom w:val="0"/>
      <w:divBdr>
        <w:top w:val="none" w:sz="0" w:space="0" w:color="auto"/>
        <w:left w:val="none" w:sz="0" w:space="0" w:color="auto"/>
        <w:bottom w:val="none" w:sz="0" w:space="0" w:color="auto"/>
        <w:right w:val="none" w:sz="0" w:space="0" w:color="auto"/>
      </w:divBdr>
    </w:div>
    <w:div w:id="900940102">
      <w:marLeft w:val="0"/>
      <w:marRight w:val="0"/>
      <w:marTop w:val="0"/>
      <w:marBottom w:val="0"/>
      <w:divBdr>
        <w:top w:val="none" w:sz="0" w:space="0" w:color="auto"/>
        <w:left w:val="none" w:sz="0" w:space="0" w:color="auto"/>
        <w:bottom w:val="none" w:sz="0" w:space="0" w:color="auto"/>
        <w:right w:val="none" w:sz="0" w:space="0" w:color="auto"/>
      </w:divBdr>
    </w:div>
    <w:div w:id="900940103">
      <w:marLeft w:val="0"/>
      <w:marRight w:val="0"/>
      <w:marTop w:val="0"/>
      <w:marBottom w:val="0"/>
      <w:divBdr>
        <w:top w:val="none" w:sz="0" w:space="0" w:color="auto"/>
        <w:left w:val="none" w:sz="0" w:space="0" w:color="auto"/>
        <w:bottom w:val="none" w:sz="0" w:space="0" w:color="auto"/>
        <w:right w:val="none" w:sz="0" w:space="0" w:color="auto"/>
      </w:divBdr>
    </w:div>
    <w:div w:id="900940104">
      <w:marLeft w:val="0"/>
      <w:marRight w:val="0"/>
      <w:marTop w:val="0"/>
      <w:marBottom w:val="0"/>
      <w:divBdr>
        <w:top w:val="none" w:sz="0" w:space="0" w:color="auto"/>
        <w:left w:val="none" w:sz="0" w:space="0" w:color="auto"/>
        <w:bottom w:val="none" w:sz="0" w:space="0" w:color="auto"/>
        <w:right w:val="none" w:sz="0" w:space="0" w:color="auto"/>
      </w:divBdr>
    </w:div>
    <w:div w:id="900940105">
      <w:marLeft w:val="0"/>
      <w:marRight w:val="0"/>
      <w:marTop w:val="0"/>
      <w:marBottom w:val="0"/>
      <w:divBdr>
        <w:top w:val="none" w:sz="0" w:space="0" w:color="auto"/>
        <w:left w:val="none" w:sz="0" w:space="0" w:color="auto"/>
        <w:bottom w:val="none" w:sz="0" w:space="0" w:color="auto"/>
        <w:right w:val="none" w:sz="0" w:space="0" w:color="auto"/>
      </w:divBdr>
    </w:div>
    <w:div w:id="900940106">
      <w:marLeft w:val="0"/>
      <w:marRight w:val="0"/>
      <w:marTop w:val="0"/>
      <w:marBottom w:val="0"/>
      <w:divBdr>
        <w:top w:val="none" w:sz="0" w:space="0" w:color="auto"/>
        <w:left w:val="none" w:sz="0" w:space="0" w:color="auto"/>
        <w:bottom w:val="none" w:sz="0" w:space="0" w:color="auto"/>
        <w:right w:val="none" w:sz="0" w:space="0" w:color="auto"/>
      </w:divBdr>
    </w:div>
    <w:div w:id="900940107">
      <w:marLeft w:val="0"/>
      <w:marRight w:val="0"/>
      <w:marTop w:val="0"/>
      <w:marBottom w:val="0"/>
      <w:divBdr>
        <w:top w:val="none" w:sz="0" w:space="0" w:color="auto"/>
        <w:left w:val="none" w:sz="0" w:space="0" w:color="auto"/>
        <w:bottom w:val="none" w:sz="0" w:space="0" w:color="auto"/>
        <w:right w:val="none" w:sz="0" w:space="0" w:color="auto"/>
      </w:divBdr>
    </w:div>
    <w:div w:id="900940108">
      <w:marLeft w:val="0"/>
      <w:marRight w:val="0"/>
      <w:marTop w:val="0"/>
      <w:marBottom w:val="0"/>
      <w:divBdr>
        <w:top w:val="none" w:sz="0" w:space="0" w:color="auto"/>
        <w:left w:val="none" w:sz="0" w:space="0" w:color="auto"/>
        <w:bottom w:val="none" w:sz="0" w:space="0" w:color="auto"/>
        <w:right w:val="none" w:sz="0" w:space="0" w:color="auto"/>
      </w:divBdr>
    </w:div>
    <w:div w:id="900940109">
      <w:marLeft w:val="0"/>
      <w:marRight w:val="0"/>
      <w:marTop w:val="0"/>
      <w:marBottom w:val="0"/>
      <w:divBdr>
        <w:top w:val="none" w:sz="0" w:space="0" w:color="auto"/>
        <w:left w:val="none" w:sz="0" w:space="0" w:color="auto"/>
        <w:bottom w:val="none" w:sz="0" w:space="0" w:color="auto"/>
        <w:right w:val="none" w:sz="0" w:space="0" w:color="auto"/>
      </w:divBdr>
    </w:div>
    <w:div w:id="900940110">
      <w:marLeft w:val="0"/>
      <w:marRight w:val="0"/>
      <w:marTop w:val="0"/>
      <w:marBottom w:val="0"/>
      <w:divBdr>
        <w:top w:val="none" w:sz="0" w:space="0" w:color="auto"/>
        <w:left w:val="none" w:sz="0" w:space="0" w:color="auto"/>
        <w:bottom w:val="none" w:sz="0" w:space="0" w:color="auto"/>
        <w:right w:val="none" w:sz="0" w:space="0" w:color="auto"/>
      </w:divBdr>
    </w:div>
    <w:div w:id="900940111">
      <w:marLeft w:val="0"/>
      <w:marRight w:val="0"/>
      <w:marTop w:val="0"/>
      <w:marBottom w:val="0"/>
      <w:divBdr>
        <w:top w:val="none" w:sz="0" w:space="0" w:color="auto"/>
        <w:left w:val="none" w:sz="0" w:space="0" w:color="auto"/>
        <w:bottom w:val="none" w:sz="0" w:space="0" w:color="auto"/>
        <w:right w:val="none" w:sz="0" w:space="0" w:color="auto"/>
      </w:divBdr>
    </w:div>
    <w:div w:id="900940112">
      <w:marLeft w:val="0"/>
      <w:marRight w:val="0"/>
      <w:marTop w:val="0"/>
      <w:marBottom w:val="0"/>
      <w:divBdr>
        <w:top w:val="none" w:sz="0" w:space="0" w:color="auto"/>
        <w:left w:val="none" w:sz="0" w:space="0" w:color="auto"/>
        <w:bottom w:val="none" w:sz="0" w:space="0" w:color="auto"/>
        <w:right w:val="none" w:sz="0" w:space="0" w:color="auto"/>
      </w:divBdr>
    </w:div>
    <w:div w:id="900940113">
      <w:marLeft w:val="0"/>
      <w:marRight w:val="0"/>
      <w:marTop w:val="0"/>
      <w:marBottom w:val="0"/>
      <w:divBdr>
        <w:top w:val="none" w:sz="0" w:space="0" w:color="auto"/>
        <w:left w:val="none" w:sz="0" w:space="0" w:color="auto"/>
        <w:bottom w:val="none" w:sz="0" w:space="0" w:color="auto"/>
        <w:right w:val="none" w:sz="0" w:space="0" w:color="auto"/>
      </w:divBdr>
    </w:div>
    <w:div w:id="900940114">
      <w:marLeft w:val="0"/>
      <w:marRight w:val="0"/>
      <w:marTop w:val="0"/>
      <w:marBottom w:val="0"/>
      <w:divBdr>
        <w:top w:val="none" w:sz="0" w:space="0" w:color="auto"/>
        <w:left w:val="none" w:sz="0" w:space="0" w:color="auto"/>
        <w:bottom w:val="none" w:sz="0" w:space="0" w:color="auto"/>
        <w:right w:val="none" w:sz="0" w:space="0" w:color="auto"/>
      </w:divBdr>
    </w:div>
    <w:div w:id="900940115">
      <w:marLeft w:val="0"/>
      <w:marRight w:val="0"/>
      <w:marTop w:val="0"/>
      <w:marBottom w:val="0"/>
      <w:divBdr>
        <w:top w:val="none" w:sz="0" w:space="0" w:color="auto"/>
        <w:left w:val="none" w:sz="0" w:space="0" w:color="auto"/>
        <w:bottom w:val="none" w:sz="0" w:space="0" w:color="auto"/>
        <w:right w:val="none" w:sz="0" w:space="0" w:color="auto"/>
      </w:divBdr>
    </w:div>
    <w:div w:id="900940116">
      <w:marLeft w:val="0"/>
      <w:marRight w:val="0"/>
      <w:marTop w:val="0"/>
      <w:marBottom w:val="0"/>
      <w:divBdr>
        <w:top w:val="none" w:sz="0" w:space="0" w:color="auto"/>
        <w:left w:val="none" w:sz="0" w:space="0" w:color="auto"/>
        <w:bottom w:val="none" w:sz="0" w:space="0" w:color="auto"/>
        <w:right w:val="none" w:sz="0" w:space="0" w:color="auto"/>
      </w:divBdr>
    </w:div>
    <w:div w:id="900940117">
      <w:marLeft w:val="0"/>
      <w:marRight w:val="0"/>
      <w:marTop w:val="0"/>
      <w:marBottom w:val="0"/>
      <w:divBdr>
        <w:top w:val="none" w:sz="0" w:space="0" w:color="auto"/>
        <w:left w:val="none" w:sz="0" w:space="0" w:color="auto"/>
        <w:bottom w:val="none" w:sz="0" w:space="0" w:color="auto"/>
        <w:right w:val="none" w:sz="0" w:space="0" w:color="auto"/>
      </w:divBdr>
    </w:div>
    <w:div w:id="900940118">
      <w:marLeft w:val="0"/>
      <w:marRight w:val="0"/>
      <w:marTop w:val="0"/>
      <w:marBottom w:val="0"/>
      <w:divBdr>
        <w:top w:val="none" w:sz="0" w:space="0" w:color="auto"/>
        <w:left w:val="none" w:sz="0" w:space="0" w:color="auto"/>
        <w:bottom w:val="none" w:sz="0" w:space="0" w:color="auto"/>
        <w:right w:val="none" w:sz="0" w:space="0" w:color="auto"/>
      </w:divBdr>
    </w:div>
    <w:div w:id="900940119">
      <w:marLeft w:val="0"/>
      <w:marRight w:val="0"/>
      <w:marTop w:val="0"/>
      <w:marBottom w:val="0"/>
      <w:divBdr>
        <w:top w:val="none" w:sz="0" w:space="0" w:color="auto"/>
        <w:left w:val="none" w:sz="0" w:space="0" w:color="auto"/>
        <w:bottom w:val="none" w:sz="0" w:space="0" w:color="auto"/>
        <w:right w:val="none" w:sz="0" w:space="0" w:color="auto"/>
      </w:divBdr>
    </w:div>
    <w:div w:id="900940120">
      <w:marLeft w:val="0"/>
      <w:marRight w:val="0"/>
      <w:marTop w:val="0"/>
      <w:marBottom w:val="0"/>
      <w:divBdr>
        <w:top w:val="none" w:sz="0" w:space="0" w:color="auto"/>
        <w:left w:val="none" w:sz="0" w:space="0" w:color="auto"/>
        <w:bottom w:val="none" w:sz="0" w:space="0" w:color="auto"/>
        <w:right w:val="none" w:sz="0" w:space="0" w:color="auto"/>
      </w:divBdr>
    </w:div>
    <w:div w:id="900940121">
      <w:marLeft w:val="0"/>
      <w:marRight w:val="0"/>
      <w:marTop w:val="0"/>
      <w:marBottom w:val="0"/>
      <w:divBdr>
        <w:top w:val="none" w:sz="0" w:space="0" w:color="auto"/>
        <w:left w:val="none" w:sz="0" w:space="0" w:color="auto"/>
        <w:bottom w:val="none" w:sz="0" w:space="0" w:color="auto"/>
        <w:right w:val="none" w:sz="0" w:space="0" w:color="auto"/>
      </w:divBdr>
    </w:div>
    <w:div w:id="900940122">
      <w:marLeft w:val="0"/>
      <w:marRight w:val="0"/>
      <w:marTop w:val="0"/>
      <w:marBottom w:val="0"/>
      <w:divBdr>
        <w:top w:val="none" w:sz="0" w:space="0" w:color="auto"/>
        <w:left w:val="none" w:sz="0" w:space="0" w:color="auto"/>
        <w:bottom w:val="none" w:sz="0" w:space="0" w:color="auto"/>
        <w:right w:val="none" w:sz="0" w:space="0" w:color="auto"/>
      </w:divBdr>
    </w:div>
    <w:div w:id="900940123">
      <w:marLeft w:val="0"/>
      <w:marRight w:val="0"/>
      <w:marTop w:val="0"/>
      <w:marBottom w:val="0"/>
      <w:divBdr>
        <w:top w:val="none" w:sz="0" w:space="0" w:color="auto"/>
        <w:left w:val="none" w:sz="0" w:space="0" w:color="auto"/>
        <w:bottom w:val="none" w:sz="0" w:space="0" w:color="auto"/>
        <w:right w:val="none" w:sz="0" w:space="0" w:color="auto"/>
      </w:divBdr>
    </w:div>
    <w:div w:id="900940124">
      <w:marLeft w:val="0"/>
      <w:marRight w:val="0"/>
      <w:marTop w:val="0"/>
      <w:marBottom w:val="0"/>
      <w:divBdr>
        <w:top w:val="none" w:sz="0" w:space="0" w:color="auto"/>
        <w:left w:val="none" w:sz="0" w:space="0" w:color="auto"/>
        <w:bottom w:val="none" w:sz="0" w:space="0" w:color="auto"/>
        <w:right w:val="none" w:sz="0" w:space="0" w:color="auto"/>
      </w:divBdr>
    </w:div>
    <w:div w:id="900940125">
      <w:marLeft w:val="0"/>
      <w:marRight w:val="0"/>
      <w:marTop w:val="0"/>
      <w:marBottom w:val="0"/>
      <w:divBdr>
        <w:top w:val="none" w:sz="0" w:space="0" w:color="auto"/>
        <w:left w:val="none" w:sz="0" w:space="0" w:color="auto"/>
        <w:bottom w:val="none" w:sz="0" w:space="0" w:color="auto"/>
        <w:right w:val="none" w:sz="0" w:space="0" w:color="auto"/>
      </w:divBdr>
    </w:div>
    <w:div w:id="900940126">
      <w:marLeft w:val="0"/>
      <w:marRight w:val="0"/>
      <w:marTop w:val="0"/>
      <w:marBottom w:val="0"/>
      <w:divBdr>
        <w:top w:val="none" w:sz="0" w:space="0" w:color="auto"/>
        <w:left w:val="none" w:sz="0" w:space="0" w:color="auto"/>
        <w:bottom w:val="none" w:sz="0" w:space="0" w:color="auto"/>
        <w:right w:val="none" w:sz="0" w:space="0" w:color="auto"/>
      </w:divBdr>
    </w:div>
    <w:div w:id="900940127">
      <w:marLeft w:val="0"/>
      <w:marRight w:val="0"/>
      <w:marTop w:val="0"/>
      <w:marBottom w:val="0"/>
      <w:divBdr>
        <w:top w:val="none" w:sz="0" w:space="0" w:color="auto"/>
        <w:left w:val="none" w:sz="0" w:space="0" w:color="auto"/>
        <w:bottom w:val="none" w:sz="0" w:space="0" w:color="auto"/>
        <w:right w:val="none" w:sz="0" w:space="0" w:color="auto"/>
      </w:divBdr>
    </w:div>
    <w:div w:id="900940128">
      <w:marLeft w:val="0"/>
      <w:marRight w:val="0"/>
      <w:marTop w:val="0"/>
      <w:marBottom w:val="0"/>
      <w:divBdr>
        <w:top w:val="none" w:sz="0" w:space="0" w:color="auto"/>
        <w:left w:val="none" w:sz="0" w:space="0" w:color="auto"/>
        <w:bottom w:val="none" w:sz="0" w:space="0" w:color="auto"/>
        <w:right w:val="none" w:sz="0" w:space="0" w:color="auto"/>
      </w:divBdr>
    </w:div>
    <w:div w:id="900940129">
      <w:marLeft w:val="0"/>
      <w:marRight w:val="0"/>
      <w:marTop w:val="0"/>
      <w:marBottom w:val="0"/>
      <w:divBdr>
        <w:top w:val="none" w:sz="0" w:space="0" w:color="auto"/>
        <w:left w:val="none" w:sz="0" w:space="0" w:color="auto"/>
        <w:bottom w:val="none" w:sz="0" w:space="0" w:color="auto"/>
        <w:right w:val="none" w:sz="0" w:space="0" w:color="auto"/>
      </w:divBdr>
    </w:div>
    <w:div w:id="900940130">
      <w:marLeft w:val="0"/>
      <w:marRight w:val="0"/>
      <w:marTop w:val="0"/>
      <w:marBottom w:val="0"/>
      <w:divBdr>
        <w:top w:val="none" w:sz="0" w:space="0" w:color="auto"/>
        <w:left w:val="none" w:sz="0" w:space="0" w:color="auto"/>
        <w:bottom w:val="none" w:sz="0" w:space="0" w:color="auto"/>
        <w:right w:val="none" w:sz="0" w:space="0" w:color="auto"/>
      </w:divBdr>
    </w:div>
    <w:div w:id="900940131">
      <w:marLeft w:val="0"/>
      <w:marRight w:val="0"/>
      <w:marTop w:val="0"/>
      <w:marBottom w:val="0"/>
      <w:divBdr>
        <w:top w:val="none" w:sz="0" w:space="0" w:color="auto"/>
        <w:left w:val="none" w:sz="0" w:space="0" w:color="auto"/>
        <w:bottom w:val="none" w:sz="0" w:space="0" w:color="auto"/>
        <w:right w:val="none" w:sz="0" w:space="0" w:color="auto"/>
      </w:divBdr>
    </w:div>
    <w:div w:id="900940132">
      <w:marLeft w:val="0"/>
      <w:marRight w:val="0"/>
      <w:marTop w:val="0"/>
      <w:marBottom w:val="0"/>
      <w:divBdr>
        <w:top w:val="none" w:sz="0" w:space="0" w:color="auto"/>
        <w:left w:val="none" w:sz="0" w:space="0" w:color="auto"/>
        <w:bottom w:val="none" w:sz="0" w:space="0" w:color="auto"/>
        <w:right w:val="none" w:sz="0" w:space="0" w:color="auto"/>
      </w:divBdr>
    </w:div>
    <w:div w:id="900940133">
      <w:marLeft w:val="0"/>
      <w:marRight w:val="0"/>
      <w:marTop w:val="0"/>
      <w:marBottom w:val="0"/>
      <w:divBdr>
        <w:top w:val="none" w:sz="0" w:space="0" w:color="auto"/>
        <w:left w:val="none" w:sz="0" w:space="0" w:color="auto"/>
        <w:bottom w:val="none" w:sz="0" w:space="0" w:color="auto"/>
        <w:right w:val="none" w:sz="0" w:space="0" w:color="auto"/>
      </w:divBdr>
    </w:div>
    <w:div w:id="900940134">
      <w:marLeft w:val="0"/>
      <w:marRight w:val="0"/>
      <w:marTop w:val="0"/>
      <w:marBottom w:val="0"/>
      <w:divBdr>
        <w:top w:val="none" w:sz="0" w:space="0" w:color="auto"/>
        <w:left w:val="none" w:sz="0" w:space="0" w:color="auto"/>
        <w:bottom w:val="none" w:sz="0" w:space="0" w:color="auto"/>
        <w:right w:val="none" w:sz="0" w:space="0" w:color="auto"/>
      </w:divBdr>
    </w:div>
    <w:div w:id="900940135">
      <w:marLeft w:val="0"/>
      <w:marRight w:val="0"/>
      <w:marTop w:val="0"/>
      <w:marBottom w:val="0"/>
      <w:divBdr>
        <w:top w:val="none" w:sz="0" w:space="0" w:color="auto"/>
        <w:left w:val="none" w:sz="0" w:space="0" w:color="auto"/>
        <w:bottom w:val="none" w:sz="0" w:space="0" w:color="auto"/>
        <w:right w:val="none" w:sz="0" w:space="0" w:color="auto"/>
      </w:divBdr>
    </w:div>
    <w:div w:id="900940136">
      <w:marLeft w:val="0"/>
      <w:marRight w:val="0"/>
      <w:marTop w:val="0"/>
      <w:marBottom w:val="0"/>
      <w:divBdr>
        <w:top w:val="none" w:sz="0" w:space="0" w:color="auto"/>
        <w:left w:val="none" w:sz="0" w:space="0" w:color="auto"/>
        <w:bottom w:val="none" w:sz="0" w:space="0" w:color="auto"/>
        <w:right w:val="none" w:sz="0" w:space="0" w:color="auto"/>
      </w:divBdr>
    </w:div>
    <w:div w:id="900940137">
      <w:marLeft w:val="0"/>
      <w:marRight w:val="0"/>
      <w:marTop w:val="0"/>
      <w:marBottom w:val="0"/>
      <w:divBdr>
        <w:top w:val="none" w:sz="0" w:space="0" w:color="auto"/>
        <w:left w:val="none" w:sz="0" w:space="0" w:color="auto"/>
        <w:bottom w:val="none" w:sz="0" w:space="0" w:color="auto"/>
        <w:right w:val="none" w:sz="0" w:space="0" w:color="auto"/>
      </w:divBdr>
    </w:div>
    <w:div w:id="900940138">
      <w:marLeft w:val="0"/>
      <w:marRight w:val="0"/>
      <w:marTop w:val="0"/>
      <w:marBottom w:val="0"/>
      <w:divBdr>
        <w:top w:val="none" w:sz="0" w:space="0" w:color="auto"/>
        <w:left w:val="none" w:sz="0" w:space="0" w:color="auto"/>
        <w:bottom w:val="none" w:sz="0" w:space="0" w:color="auto"/>
        <w:right w:val="none" w:sz="0" w:space="0" w:color="auto"/>
      </w:divBdr>
    </w:div>
    <w:div w:id="900940139">
      <w:marLeft w:val="0"/>
      <w:marRight w:val="0"/>
      <w:marTop w:val="0"/>
      <w:marBottom w:val="0"/>
      <w:divBdr>
        <w:top w:val="none" w:sz="0" w:space="0" w:color="auto"/>
        <w:left w:val="none" w:sz="0" w:space="0" w:color="auto"/>
        <w:bottom w:val="none" w:sz="0" w:space="0" w:color="auto"/>
        <w:right w:val="none" w:sz="0" w:space="0" w:color="auto"/>
      </w:divBdr>
    </w:div>
    <w:div w:id="900940140">
      <w:marLeft w:val="0"/>
      <w:marRight w:val="0"/>
      <w:marTop w:val="0"/>
      <w:marBottom w:val="0"/>
      <w:divBdr>
        <w:top w:val="none" w:sz="0" w:space="0" w:color="auto"/>
        <w:left w:val="none" w:sz="0" w:space="0" w:color="auto"/>
        <w:bottom w:val="none" w:sz="0" w:space="0" w:color="auto"/>
        <w:right w:val="none" w:sz="0" w:space="0" w:color="auto"/>
      </w:divBdr>
    </w:div>
    <w:div w:id="900940141">
      <w:marLeft w:val="0"/>
      <w:marRight w:val="0"/>
      <w:marTop w:val="0"/>
      <w:marBottom w:val="0"/>
      <w:divBdr>
        <w:top w:val="none" w:sz="0" w:space="0" w:color="auto"/>
        <w:left w:val="none" w:sz="0" w:space="0" w:color="auto"/>
        <w:bottom w:val="none" w:sz="0" w:space="0" w:color="auto"/>
        <w:right w:val="none" w:sz="0" w:space="0" w:color="auto"/>
      </w:divBdr>
    </w:div>
    <w:div w:id="900940142">
      <w:marLeft w:val="0"/>
      <w:marRight w:val="0"/>
      <w:marTop w:val="0"/>
      <w:marBottom w:val="0"/>
      <w:divBdr>
        <w:top w:val="none" w:sz="0" w:space="0" w:color="auto"/>
        <w:left w:val="none" w:sz="0" w:space="0" w:color="auto"/>
        <w:bottom w:val="none" w:sz="0" w:space="0" w:color="auto"/>
        <w:right w:val="none" w:sz="0" w:space="0" w:color="auto"/>
      </w:divBdr>
    </w:div>
    <w:div w:id="900940143">
      <w:marLeft w:val="0"/>
      <w:marRight w:val="0"/>
      <w:marTop w:val="0"/>
      <w:marBottom w:val="0"/>
      <w:divBdr>
        <w:top w:val="none" w:sz="0" w:space="0" w:color="auto"/>
        <w:left w:val="none" w:sz="0" w:space="0" w:color="auto"/>
        <w:bottom w:val="none" w:sz="0" w:space="0" w:color="auto"/>
        <w:right w:val="none" w:sz="0" w:space="0" w:color="auto"/>
      </w:divBdr>
    </w:div>
    <w:div w:id="900940144">
      <w:marLeft w:val="0"/>
      <w:marRight w:val="0"/>
      <w:marTop w:val="0"/>
      <w:marBottom w:val="0"/>
      <w:divBdr>
        <w:top w:val="none" w:sz="0" w:space="0" w:color="auto"/>
        <w:left w:val="none" w:sz="0" w:space="0" w:color="auto"/>
        <w:bottom w:val="none" w:sz="0" w:space="0" w:color="auto"/>
        <w:right w:val="none" w:sz="0" w:space="0" w:color="auto"/>
      </w:divBdr>
    </w:div>
    <w:div w:id="900940145">
      <w:marLeft w:val="0"/>
      <w:marRight w:val="0"/>
      <w:marTop w:val="0"/>
      <w:marBottom w:val="0"/>
      <w:divBdr>
        <w:top w:val="none" w:sz="0" w:space="0" w:color="auto"/>
        <w:left w:val="none" w:sz="0" w:space="0" w:color="auto"/>
        <w:bottom w:val="none" w:sz="0" w:space="0" w:color="auto"/>
        <w:right w:val="none" w:sz="0" w:space="0" w:color="auto"/>
      </w:divBdr>
    </w:div>
    <w:div w:id="900940146">
      <w:marLeft w:val="0"/>
      <w:marRight w:val="0"/>
      <w:marTop w:val="0"/>
      <w:marBottom w:val="0"/>
      <w:divBdr>
        <w:top w:val="none" w:sz="0" w:space="0" w:color="auto"/>
        <w:left w:val="none" w:sz="0" w:space="0" w:color="auto"/>
        <w:bottom w:val="none" w:sz="0" w:space="0" w:color="auto"/>
        <w:right w:val="none" w:sz="0" w:space="0" w:color="auto"/>
      </w:divBdr>
    </w:div>
    <w:div w:id="900940147">
      <w:marLeft w:val="0"/>
      <w:marRight w:val="0"/>
      <w:marTop w:val="0"/>
      <w:marBottom w:val="0"/>
      <w:divBdr>
        <w:top w:val="none" w:sz="0" w:space="0" w:color="auto"/>
        <w:left w:val="none" w:sz="0" w:space="0" w:color="auto"/>
        <w:bottom w:val="none" w:sz="0" w:space="0" w:color="auto"/>
        <w:right w:val="none" w:sz="0" w:space="0" w:color="auto"/>
      </w:divBdr>
    </w:div>
    <w:div w:id="900940148">
      <w:marLeft w:val="0"/>
      <w:marRight w:val="0"/>
      <w:marTop w:val="0"/>
      <w:marBottom w:val="0"/>
      <w:divBdr>
        <w:top w:val="none" w:sz="0" w:space="0" w:color="auto"/>
        <w:left w:val="none" w:sz="0" w:space="0" w:color="auto"/>
        <w:bottom w:val="none" w:sz="0" w:space="0" w:color="auto"/>
        <w:right w:val="none" w:sz="0" w:space="0" w:color="auto"/>
      </w:divBdr>
    </w:div>
    <w:div w:id="900940149">
      <w:marLeft w:val="0"/>
      <w:marRight w:val="0"/>
      <w:marTop w:val="0"/>
      <w:marBottom w:val="0"/>
      <w:divBdr>
        <w:top w:val="none" w:sz="0" w:space="0" w:color="auto"/>
        <w:left w:val="none" w:sz="0" w:space="0" w:color="auto"/>
        <w:bottom w:val="none" w:sz="0" w:space="0" w:color="auto"/>
        <w:right w:val="none" w:sz="0" w:space="0" w:color="auto"/>
      </w:divBdr>
    </w:div>
    <w:div w:id="900940150">
      <w:marLeft w:val="0"/>
      <w:marRight w:val="0"/>
      <w:marTop w:val="0"/>
      <w:marBottom w:val="0"/>
      <w:divBdr>
        <w:top w:val="none" w:sz="0" w:space="0" w:color="auto"/>
        <w:left w:val="none" w:sz="0" w:space="0" w:color="auto"/>
        <w:bottom w:val="none" w:sz="0" w:space="0" w:color="auto"/>
        <w:right w:val="none" w:sz="0" w:space="0" w:color="auto"/>
      </w:divBdr>
    </w:div>
    <w:div w:id="900940151">
      <w:marLeft w:val="0"/>
      <w:marRight w:val="0"/>
      <w:marTop w:val="0"/>
      <w:marBottom w:val="0"/>
      <w:divBdr>
        <w:top w:val="none" w:sz="0" w:space="0" w:color="auto"/>
        <w:left w:val="none" w:sz="0" w:space="0" w:color="auto"/>
        <w:bottom w:val="none" w:sz="0" w:space="0" w:color="auto"/>
        <w:right w:val="none" w:sz="0" w:space="0" w:color="auto"/>
      </w:divBdr>
    </w:div>
    <w:div w:id="900940152">
      <w:marLeft w:val="0"/>
      <w:marRight w:val="0"/>
      <w:marTop w:val="0"/>
      <w:marBottom w:val="0"/>
      <w:divBdr>
        <w:top w:val="none" w:sz="0" w:space="0" w:color="auto"/>
        <w:left w:val="none" w:sz="0" w:space="0" w:color="auto"/>
        <w:bottom w:val="none" w:sz="0" w:space="0" w:color="auto"/>
        <w:right w:val="none" w:sz="0" w:space="0" w:color="auto"/>
      </w:divBdr>
    </w:div>
    <w:div w:id="900940153">
      <w:marLeft w:val="0"/>
      <w:marRight w:val="0"/>
      <w:marTop w:val="0"/>
      <w:marBottom w:val="0"/>
      <w:divBdr>
        <w:top w:val="none" w:sz="0" w:space="0" w:color="auto"/>
        <w:left w:val="none" w:sz="0" w:space="0" w:color="auto"/>
        <w:bottom w:val="none" w:sz="0" w:space="0" w:color="auto"/>
        <w:right w:val="none" w:sz="0" w:space="0" w:color="auto"/>
      </w:divBdr>
    </w:div>
    <w:div w:id="900940154">
      <w:marLeft w:val="0"/>
      <w:marRight w:val="0"/>
      <w:marTop w:val="0"/>
      <w:marBottom w:val="0"/>
      <w:divBdr>
        <w:top w:val="none" w:sz="0" w:space="0" w:color="auto"/>
        <w:left w:val="none" w:sz="0" w:space="0" w:color="auto"/>
        <w:bottom w:val="none" w:sz="0" w:space="0" w:color="auto"/>
        <w:right w:val="none" w:sz="0" w:space="0" w:color="auto"/>
      </w:divBdr>
    </w:div>
    <w:div w:id="900940155">
      <w:marLeft w:val="0"/>
      <w:marRight w:val="0"/>
      <w:marTop w:val="0"/>
      <w:marBottom w:val="0"/>
      <w:divBdr>
        <w:top w:val="none" w:sz="0" w:space="0" w:color="auto"/>
        <w:left w:val="none" w:sz="0" w:space="0" w:color="auto"/>
        <w:bottom w:val="none" w:sz="0" w:space="0" w:color="auto"/>
        <w:right w:val="none" w:sz="0" w:space="0" w:color="auto"/>
      </w:divBdr>
    </w:div>
    <w:div w:id="900940156">
      <w:marLeft w:val="0"/>
      <w:marRight w:val="0"/>
      <w:marTop w:val="0"/>
      <w:marBottom w:val="0"/>
      <w:divBdr>
        <w:top w:val="none" w:sz="0" w:space="0" w:color="auto"/>
        <w:left w:val="none" w:sz="0" w:space="0" w:color="auto"/>
        <w:bottom w:val="none" w:sz="0" w:space="0" w:color="auto"/>
        <w:right w:val="none" w:sz="0" w:space="0" w:color="auto"/>
      </w:divBdr>
    </w:div>
    <w:div w:id="900940157">
      <w:marLeft w:val="0"/>
      <w:marRight w:val="0"/>
      <w:marTop w:val="0"/>
      <w:marBottom w:val="0"/>
      <w:divBdr>
        <w:top w:val="none" w:sz="0" w:space="0" w:color="auto"/>
        <w:left w:val="none" w:sz="0" w:space="0" w:color="auto"/>
        <w:bottom w:val="none" w:sz="0" w:space="0" w:color="auto"/>
        <w:right w:val="none" w:sz="0" w:space="0" w:color="auto"/>
      </w:divBdr>
    </w:div>
    <w:div w:id="900940158">
      <w:marLeft w:val="0"/>
      <w:marRight w:val="0"/>
      <w:marTop w:val="0"/>
      <w:marBottom w:val="0"/>
      <w:divBdr>
        <w:top w:val="none" w:sz="0" w:space="0" w:color="auto"/>
        <w:left w:val="none" w:sz="0" w:space="0" w:color="auto"/>
        <w:bottom w:val="none" w:sz="0" w:space="0" w:color="auto"/>
        <w:right w:val="none" w:sz="0" w:space="0" w:color="auto"/>
      </w:divBdr>
    </w:div>
    <w:div w:id="900940159">
      <w:marLeft w:val="0"/>
      <w:marRight w:val="0"/>
      <w:marTop w:val="0"/>
      <w:marBottom w:val="0"/>
      <w:divBdr>
        <w:top w:val="none" w:sz="0" w:space="0" w:color="auto"/>
        <w:left w:val="none" w:sz="0" w:space="0" w:color="auto"/>
        <w:bottom w:val="none" w:sz="0" w:space="0" w:color="auto"/>
        <w:right w:val="none" w:sz="0" w:space="0" w:color="auto"/>
      </w:divBdr>
    </w:div>
    <w:div w:id="900940160">
      <w:marLeft w:val="0"/>
      <w:marRight w:val="0"/>
      <w:marTop w:val="0"/>
      <w:marBottom w:val="0"/>
      <w:divBdr>
        <w:top w:val="none" w:sz="0" w:space="0" w:color="auto"/>
        <w:left w:val="none" w:sz="0" w:space="0" w:color="auto"/>
        <w:bottom w:val="none" w:sz="0" w:space="0" w:color="auto"/>
        <w:right w:val="none" w:sz="0" w:space="0" w:color="auto"/>
      </w:divBdr>
    </w:div>
    <w:div w:id="900940161">
      <w:marLeft w:val="0"/>
      <w:marRight w:val="0"/>
      <w:marTop w:val="0"/>
      <w:marBottom w:val="0"/>
      <w:divBdr>
        <w:top w:val="none" w:sz="0" w:space="0" w:color="auto"/>
        <w:left w:val="none" w:sz="0" w:space="0" w:color="auto"/>
        <w:bottom w:val="none" w:sz="0" w:space="0" w:color="auto"/>
        <w:right w:val="none" w:sz="0" w:space="0" w:color="auto"/>
      </w:divBdr>
    </w:div>
    <w:div w:id="900940162">
      <w:marLeft w:val="0"/>
      <w:marRight w:val="0"/>
      <w:marTop w:val="0"/>
      <w:marBottom w:val="0"/>
      <w:divBdr>
        <w:top w:val="none" w:sz="0" w:space="0" w:color="auto"/>
        <w:left w:val="none" w:sz="0" w:space="0" w:color="auto"/>
        <w:bottom w:val="none" w:sz="0" w:space="0" w:color="auto"/>
        <w:right w:val="none" w:sz="0" w:space="0" w:color="auto"/>
      </w:divBdr>
    </w:div>
    <w:div w:id="900940163">
      <w:marLeft w:val="0"/>
      <w:marRight w:val="0"/>
      <w:marTop w:val="0"/>
      <w:marBottom w:val="0"/>
      <w:divBdr>
        <w:top w:val="none" w:sz="0" w:space="0" w:color="auto"/>
        <w:left w:val="none" w:sz="0" w:space="0" w:color="auto"/>
        <w:bottom w:val="none" w:sz="0" w:space="0" w:color="auto"/>
        <w:right w:val="none" w:sz="0" w:space="0" w:color="auto"/>
      </w:divBdr>
    </w:div>
    <w:div w:id="900940164">
      <w:marLeft w:val="0"/>
      <w:marRight w:val="0"/>
      <w:marTop w:val="0"/>
      <w:marBottom w:val="0"/>
      <w:divBdr>
        <w:top w:val="none" w:sz="0" w:space="0" w:color="auto"/>
        <w:left w:val="none" w:sz="0" w:space="0" w:color="auto"/>
        <w:bottom w:val="none" w:sz="0" w:space="0" w:color="auto"/>
        <w:right w:val="none" w:sz="0" w:space="0" w:color="auto"/>
      </w:divBdr>
    </w:div>
    <w:div w:id="900940165">
      <w:marLeft w:val="0"/>
      <w:marRight w:val="0"/>
      <w:marTop w:val="0"/>
      <w:marBottom w:val="0"/>
      <w:divBdr>
        <w:top w:val="none" w:sz="0" w:space="0" w:color="auto"/>
        <w:left w:val="none" w:sz="0" w:space="0" w:color="auto"/>
        <w:bottom w:val="none" w:sz="0" w:space="0" w:color="auto"/>
        <w:right w:val="none" w:sz="0" w:space="0" w:color="auto"/>
      </w:divBdr>
    </w:div>
    <w:div w:id="900940166">
      <w:marLeft w:val="0"/>
      <w:marRight w:val="0"/>
      <w:marTop w:val="0"/>
      <w:marBottom w:val="0"/>
      <w:divBdr>
        <w:top w:val="none" w:sz="0" w:space="0" w:color="auto"/>
        <w:left w:val="none" w:sz="0" w:space="0" w:color="auto"/>
        <w:bottom w:val="none" w:sz="0" w:space="0" w:color="auto"/>
        <w:right w:val="none" w:sz="0" w:space="0" w:color="auto"/>
      </w:divBdr>
    </w:div>
    <w:div w:id="900940167">
      <w:marLeft w:val="0"/>
      <w:marRight w:val="0"/>
      <w:marTop w:val="0"/>
      <w:marBottom w:val="0"/>
      <w:divBdr>
        <w:top w:val="none" w:sz="0" w:space="0" w:color="auto"/>
        <w:left w:val="none" w:sz="0" w:space="0" w:color="auto"/>
        <w:bottom w:val="none" w:sz="0" w:space="0" w:color="auto"/>
        <w:right w:val="none" w:sz="0" w:space="0" w:color="auto"/>
      </w:divBdr>
    </w:div>
    <w:div w:id="900940168">
      <w:marLeft w:val="0"/>
      <w:marRight w:val="0"/>
      <w:marTop w:val="0"/>
      <w:marBottom w:val="0"/>
      <w:divBdr>
        <w:top w:val="none" w:sz="0" w:space="0" w:color="auto"/>
        <w:left w:val="none" w:sz="0" w:space="0" w:color="auto"/>
        <w:bottom w:val="none" w:sz="0" w:space="0" w:color="auto"/>
        <w:right w:val="none" w:sz="0" w:space="0" w:color="auto"/>
      </w:divBdr>
    </w:div>
    <w:div w:id="900940169">
      <w:marLeft w:val="0"/>
      <w:marRight w:val="0"/>
      <w:marTop w:val="0"/>
      <w:marBottom w:val="0"/>
      <w:divBdr>
        <w:top w:val="none" w:sz="0" w:space="0" w:color="auto"/>
        <w:left w:val="none" w:sz="0" w:space="0" w:color="auto"/>
        <w:bottom w:val="none" w:sz="0" w:space="0" w:color="auto"/>
        <w:right w:val="none" w:sz="0" w:space="0" w:color="auto"/>
      </w:divBdr>
    </w:div>
    <w:div w:id="900940170">
      <w:marLeft w:val="0"/>
      <w:marRight w:val="0"/>
      <w:marTop w:val="0"/>
      <w:marBottom w:val="0"/>
      <w:divBdr>
        <w:top w:val="none" w:sz="0" w:space="0" w:color="auto"/>
        <w:left w:val="none" w:sz="0" w:space="0" w:color="auto"/>
        <w:bottom w:val="none" w:sz="0" w:space="0" w:color="auto"/>
        <w:right w:val="none" w:sz="0" w:space="0" w:color="auto"/>
      </w:divBdr>
    </w:div>
    <w:div w:id="900940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2" Type="http://schemas.openxmlformats.org/officeDocument/2006/relationships/hyperlink" Target="http://www.oecd.org/els/social/workincentives" TargetMode="External"/><Relationship Id="rId1" Type="http://schemas.openxmlformats.org/officeDocument/2006/relationships/hyperlink" Target="mailto:gokce.uysal@bahcesehir.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80DD8-4367-4B89-B45C-90F6DD24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19967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merve.akgul</cp:lastModifiedBy>
  <cp:revision>11</cp:revision>
  <cp:lastPrinted>2013-06-04T11:54:00Z</cp:lastPrinted>
  <dcterms:created xsi:type="dcterms:W3CDTF">2013-07-24T06:45:00Z</dcterms:created>
  <dcterms:modified xsi:type="dcterms:W3CDTF">2013-07-25T07:16:00Z</dcterms:modified>
</cp:coreProperties>
</file>