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416D" w:rsidRPr="001541B3" w:rsidRDefault="008E1D2C">
      <w:pPr>
        <w:rPr>
          <w:rFonts w:ascii="Arial" w:hAnsi="Arial" w:cs="Arial"/>
          <w:sz w:val="20"/>
          <w:szCs w:val="20"/>
        </w:rPr>
      </w:pPr>
      <w:r w:rsidRPr="008E1D2C">
        <w:rPr>
          <w:noProof/>
          <w:lang w:eastAsia="tr-TR"/>
        </w:rPr>
        <w:pict>
          <v:shapetype id="_x0000_t202" coordsize="21600,21600" o:spt="202" path="m,l,21600r21600,l21600,xe">
            <v:stroke joinstyle="miter"/>
            <v:path gradientshapeok="t" o:connecttype="rect"/>
          </v:shapetype>
          <v:shape id="_x0000_s1026" type="#_x0000_t202" style="position:absolute;margin-left:142.8pt;margin-top:-43.5pt;width:312.1pt;height:52.85pt;z-index:1;mso-wrap-distance-left:9.05pt;mso-wrap-distance-right:9.05pt" stroked="f">
            <v:fill opacity="0" color2="black"/>
            <v:textbox style="mso-next-textbox:#_x0000_s1026" inset="0,0,0,0">
              <w:txbxContent>
                <w:p w:rsidR="002B2CC4" w:rsidRDefault="002B2CC4">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2B2CC4" w:rsidRPr="00B71C14" w:rsidRDefault="002B2CC4">
                  <w:pPr>
                    <w:pStyle w:val="Heading1"/>
                    <w:rPr>
                      <w:rFonts w:ascii="Times New Roman" w:hAnsi="Times New Roman" w:cs="Times New Roman"/>
                      <w:sz w:val="40"/>
                      <w:szCs w:val="40"/>
                    </w:rPr>
                  </w:pPr>
                  <w:r>
                    <w:rPr>
                      <w:rFonts w:ascii="Times New Roman" w:hAnsi="Times New Roman" w:cs="Times New Roman"/>
                      <w:sz w:val="40"/>
                      <w:szCs w:val="40"/>
                    </w:rPr>
                    <w:t>Haziran 2013</w:t>
                  </w:r>
                </w:p>
                <w:p w:rsidR="002B2CC4" w:rsidRPr="00526178" w:rsidRDefault="002B2CC4">
                  <w:pPr>
                    <w:pStyle w:val="Heading2"/>
                    <w:rPr>
                      <w:b w:val="0"/>
                      <w:bCs w:val="0"/>
                      <w:i w:val="0"/>
                      <w:iCs w:val="0"/>
                    </w:rPr>
                  </w:pPr>
                </w:p>
              </w:txbxContent>
            </v:textbox>
          </v:shape>
        </w:pict>
      </w:r>
      <w:r w:rsidRPr="008E1D2C">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anner(TUR).jpg" style="position:absolute;margin-left:-33pt;margin-top:-58.1pt;width:8in;height:104.75pt;z-index:-1;visibility:visible">
            <v:imagedata r:id="rId8" o:title=""/>
          </v:shape>
        </w:pict>
      </w:r>
    </w:p>
    <w:p w:rsidR="001D416D" w:rsidRPr="001541B3" w:rsidRDefault="008E1D2C">
      <w:pPr>
        <w:rPr>
          <w:rFonts w:ascii="Arial" w:hAnsi="Arial" w:cs="Arial"/>
          <w:sz w:val="20"/>
          <w:szCs w:val="20"/>
        </w:rPr>
      </w:pPr>
      <w:r w:rsidRPr="008E1D2C">
        <w:rPr>
          <w:noProof/>
          <w:lang w:eastAsia="tr-TR"/>
        </w:rPr>
        <w:pict>
          <v:shape id="_x0000_s1028" type="#_x0000_t202" style="position:absolute;margin-left:444.75pt;margin-top:5pt;width:103.3pt;height:35.8pt;z-index:2;mso-wrap-distance-left:9.05pt;mso-wrap-distance-right:9.05pt" stroked="f">
            <v:fill opacity="0" color2="black"/>
            <v:textbox style="mso-next-textbox:#_x0000_s1028" inset="0,0,0,0">
              <w:txbxContent>
                <w:p w:rsidR="002B2CC4" w:rsidRDefault="002B2CC4" w:rsidP="00C24EA0">
                  <w:pPr>
                    <w:pStyle w:val="Heading3"/>
                    <w:tabs>
                      <w:tab w:val="clear" w:pos="720"/>
                    </w:tabs>
                    <w:ind w:left="0" w:firstLine="0"/>
                    <w:rPr>
                      <w:color w:val="FFFFFF"/>
                      <w:sz w:val="22"/>
                      <w:szCs w:val="22"/>
                      <w:lang w:val="tr-TR"/>
                    </w:rPr>
                  </w:pPr>
                  <w:r>
                    <w:rPr>
                      <w:color w:val="FFFFFF"/>
                      <w:sz w:val="22"/>
                      <w:szCs w:val="22"/>
                    </w:rPr>
                    <w:t xml:space="preserve"> 17 Haziran</w:t>
                  </w:r>
                  <w:r>
                    <w:rPr>
                      <w:color w:val="FFFFFF"/>
                      <w:sz w:val="22"/>
                      <w:szCs w:val="22"/>
                      <w:lang w:val="tr-TR"/>
                    </w:rPr>
                    <w:t xml:space="preserve"> 2013</w:t>
                  </w:r>
                </w:p>
                <w:p w:rsidR="002B2CC4" w:rsidRDefault="002B2CC4"/>
              </w:txbxContent>
            </v:textbox>
          </v:shape>
        </w:pict>
      </w:r>
    </w:p>
    <w:p w:rsidR="001D416D" w:rsidRPr="001541B3" w:rsidRDefault="001D416D">
      <w:pPr>
        <w:rPr>
          <w:rFonts w:ascii="Arial" w:hAnsi="Arial" w:cs="Arial"/>
          <w:sz w:val="20"/>
          <w:szCs w:val="20"/>
        </w:rPr>
      </w:pPr>
    </w:p>
    <w:p w:rsidR="001D416D" w:rsidRPr="001541B3" w:rsidRDefault="001D416D">
      <w:pPr>
        <w:rPr>
          <w:rFonts w:ascii="Arial" w:hAnsi="Arial" w:cs="Arial"/>
          <w:sz w:val="20"/>
          <w:szCs w:val="20"/>
        </w:rPr>
      </w:pPr>
    </w:p>
    <w:p w:rsidR="001D416D" w:rsidRPr="001541B3" w:rsidRDefault="001D416D" w:rsidP="00B964E5">
      <w:pPr>
        <w:rPr>
          <w:rFonts w:ascii="Arial" w:hAnsi="Arial" w:cs="Arial"/>
          <w:b/>
          <w:bCs/>
          <w:sz w:val="28"/>
          <w:szCs w:val="28"/>
        </w:rPr>
      </w:pPr>
    </w:p>
    <w:p w:rsidR="001D416D" w:rsidRPr="00216D1F" w:rsidRDefault="001D416D" w:rsidP="009C4C0C">
      <w:pPr>
        <w:spacing w:before="120"/>
        <w:jc w:val="center"/>
        <w:rPr>
          <w:rFonts w:ascii="Arial" w:hAnsi="Arial" w:cs="Arial"/>
          <w:b/>
          <w:bCs/>
        </w:rPr>
      </w:pPr>
      <w:r w:rsidRPr="001D6C8C">
        <w:rPr>
          <w:rFonts w:ascii="Arial" w:hAnsi="Arial" w:cs="Arial"/>
          <w:b/>
          <w:bCs/>
          <w:sz w:val="28"/>
          <w:szCs w:val="28"/>
        </w:rPr>
        <w:t xml:space="preserve">TARIM DIŞI İŞSİZLİK </w:t>
      </w:r>
      <w:r w:rsidR="001D6C8C">
        <w:rPr>
          <w:rFonts w:ascii="Arial" w:hAnsi="Arial" w:cs="Arial"/>
          <w:b/>
          <w:bCs/>
          <w:sz w:val="28"/>
          <w:szCs w:val="28"/>
        </w:rPr>
        <w:t>YATAY SEYREDİYOR</w:t>
      </w:r>
    </w:p>
    <w:p w:rsidR="001D416D" w:rsidRPr="001541B3" w:rsidRDefault="001D416D" w:rsidP="009C4C0C">
      <w:pPr>
        <w:spacing w:before="120"/>
        <w:jc w:val="center"/>
        <w:rPr>
          <w:rFonts w:ascii="Arial" w:hAnsi="Arial" w:cs="Arial"/>
          <w:b/>
          <w:bCs/>
          <w:sz w:val="20"/>
          <w:szCs w:val="20"/>
        </w:rPr>
      </w:pPr>
      <w:r w:rsidRPr="001541B3">
        <w:rPr>
          <w:rFonts w:ascii="Arial" w:hAnsi="Arial" w:cs="Arial"/>
          <w:b/>
          <w:bCs/>
          <w:sz w:val="20"/>
          <w:szCs w:val="20"/>
        </w:rPr>
        <w:t>Seyfettin Gürsel</w:t>
      </w:r>
      <w:r w:rsidRPr="001541B3">
        <w:rPr>
          <w:rStyle w:val="FootnoteReference"/>
          <w:rFonts w:ascii="Arial" w:hAnsi="Arial" w:cs="Arial"/>
          <w:b/>
          <w:bCs/>
          <w:sz w:val="20"/>
          <w:szCs w:val="20"/>
        </w:rPr>
        <w:footnoteReference w:customMarkFollows="1" w:id="2"/>
        <w:t>*</w:t>
      </w:r>
      <w:r w:rsidRPr="001541B3">
        <w:rPr>
          <w:rFonts w:ascii="Arial" w:hAnsi="Arial" w:cs="Arial"/>
          <w:b/>
          <w:bCs/>
          <w:sz w:val="20"/>
          <w:szCs w:val="20"/>
        </w:rPr>
        <w:t xml:space="preserve"> Gökçe Uysal</w:t>
      </w:r>
      <w:r w:rsidRPr="001541B3">
        <w:rPr>
          <w:rStyle w:val="FootnoteReference"/>
          <w:rFonts w:ascii="Arial" w:hAnsi="Arial" w:cs="Arial"/>
          <w:b/>
          <w:bCs/>
          <w:sz w:val="20"/>
          <w:szCs w:val="20"/>
        </w:rPr>
        <w:footnoteReference w:customMarkFollows="1" w:id="3"/>
        <w:sym w:font="Symbol" w:char="F02A"/>
      </w:r>
      <w:r w:rsidRPr="001541B3">
        <w:rPr>
          <w:rStyle w:val="FootnoteReference"/>
          <w:rFonts w:ascii="Arial" w:hAnsi="Arial" w:cs="Arial"/>
          <w:b/>
          <w:bCs/>
          <w:sz w:val="20"/>
          <w:szCs w:val="20"/>
        </w:rPr>
        <w:sym w:font="Symbol" w:char="F02A"/>
      </w:r>
      <w:r w:rsidRPr="001541B3">
        <w:rPr>
          <w:rFonts w:ascii="Arial" w:hAnsi="Arial" w:cs="Arial"/>
          <w:b/>
          <w:bCs/>
          <w:sz w:val="20"/>
          <w:szCs w:val="20"/>
        </w:rPr>
        <w:t xml:space="preserve"> ve </w:t>
      </w:r>
      <w:r>
        <w:rPr>
          <w:rFonts w:ascii="Arial" w:hAnsi="Arial" w:cs="Arial"/>
          <w:b/>
          <w:bCs/>
          <w:sz w:val="20"/>
          <w:szCs w:val="20"/>
        </w:rPr>
        <w:t>Ayşenur Acar</w:t>
      </w:r>
      <w:r w:rsidRPr="001541B3">
        <w:rPr>
          <w:rStyle w:val="FootnoteReference"/>
          <w:rFonts w:ascii="Arial" w:hAnsi="Arial" w:cs="Arial"/>
          <w:b/>
          <w:bCs/>
          <w:sz w:val="20"/>
          <w:szCs w:val="20"/>
        </w:rPr>
        <w:footnoteReference w:customMarkFollows="1" w:id="4"/>
        <w:sym w:font="Symbol" w:char="F02A"/>
      </w:r>
      <w:r w:rsidRPr="001541B3">
        <w:rPr>
          <w:rStyle w:val="FootnoteReference"/>
          <w:rFonts w:ascii="Arial" w:hAnsi="Arial" w:cs="Arial"/>
          <w:b/>
          <w:bCs/>
          <w:sz w:val="20"/>
          <w:szCs w:val="20"/>
        </w:rPr>
        <w:sym w:font="Symbol" w:char="F02A"/>
      </w:r>
      <w:r w:rsidRPr="001541B3">
        <w:rPr>
          <w:rStyle w:val="FootnoteReference"/>
          <w:rFonts w:ascii="Arial" w:hAnsi="Arial" w:cs="Arial"/>
          <w:b/>
          <w:bCs/>
          <w:sz w:val="20"/>
          <w:szCs w:val="20"/>
        </w:rPr>
        <w:sym w:font="Symbol" w:char="F02A"/>
      </w:r>
    </w:p>
    <w:p w:rsidR="001D416D" w:rsidRPr="001541B3" w:rsidRDefault="001D416D" w:rsidP="00035FEC">
      <w:pPr>
        <w:rPr>
          <w:rFonts w:ascii="Arial" w:hAnsi="Arial" w:cs="Arial"/>
          <w:sz w:val="20"/>
          <w:szCs w:val="20"/>
        </w:rPr>
      </w:pPr>
    </w:p>
    <w:p w:rsidR="001D416D" w:rsidRPr="001541B3" w:rsidRDefault="001D416D" w:rsidP="00223B63">
      <w:pPr>
        <w:jc w:val="center"/>
        <w:rPr>
          <w:rFonts w:ascii="Arial" w:hAnsi="Arial" w:cs="Arial"/>
          <w:b/>
          <w:bCs/>
          <w:sz w:val="22"/>
          <w:szCs w:val="22"/>
        </w:rPr>
      </w:pPr>
      <w:r w:rsidRPr="001541B3">
        <w:rPr>
          <w:rFonts w:ascii="Arial" w:hAnsi="Arial" w:cs="Arial"/>
          <w:b/>
          <w:bCs/>
          <w:sz w:val="22"/>
          <w:szCs w:val="22"/>
        </w:rPr>
        <w:t xml:space="preserve">Yönetici Özeti </w:t>
      </w:r>
    </w:p>
    <w:p w:rsidR="001D416D" w:rsidRDefault="001D416D" w:rsidP="00A153B7">
      <w:pPr>
        <w:jc w:val="both"/>
        <w:rPr>
          <w:rFonts w:ascii="Arial" w:hAnsi="Arial" w:cs="Arial"/>
          <w:sz w:val="20"/>
          <w:szCs w:val="20"/>
        </w:rPr>
      </w:pPr>
    </w:p>
    <w:p w:rsidR="001D416D" w:rsidRDefault="001D416D" w:rsidP="00A153B7">
      <w:pPr>
        <w:jc w:val="both"/>
        <w:rPr>
          <w:rFonts w:ascii="Arial" w:hAnsi="Arial" w:cs="Arial"/>
          <w:sz w:val="20"/>
          <w:szCs w:val="20"/>
        </w:rPr>
      </w:pPr>
      <w:r>
        <w:rPr>
          <w:rFonts w:ascii="Arial" w:hAnsi="Arial" w:cs="Arial"/>
          <w:sz w:val="20"/>
          <w:szCs w:val="20"/>
        </w:rPr>
        <w:t xml:space="preserve">Mevsim etkilerinden arındırılmış </w:t>
      </w:r>
      <w:r w:rsidR="005624F0">
        <w:rPr>
          <w:rFonts w:ascii="Arial" w:hAnsi="Arial" w:cs="Arial"/>
          <w:sz w:val="20"/>
          <w:szCs w:val="20"/>
        </w:rPr>
        <w:t xml:space="preserve">işgücü </w:t>
      </w:r>
      <w:r>
        <w:rPr>
          <w:rFonts w:ascii="Arial" w:hAnsi="Arial" w:cs="Arial"/>
          <w:sz w:val="20"/>
          <w:szCs w:val="20"/>
        </w:rPr>
        <w:t>veriler</w:t>
      </w:r>
      <w:r w:rsidR="005624F0">
        <w:rPr>
          <w:rFonts w:ascii="Arial" w:hAnsi="Arial" w:cs="Arial"/>
          <w:sz w:val="20"/>
          <w:szCs w:val="20"/>
        </w:rPr>
        <w:t>i</w:t>
      </w:r>
      <w:r>
        <w:rPr>
          <w:rFonts w:ascii="Arial" w:hAnsi="Arial" w:cs="Arial"/>
          <w:sz w:val="20"/>
          <w:szCs w:val="20"/>
        </w:rPr>
        <w:t xml:space="preserve"> tarım dışı işsizliğin </w:t>
      </w:r>
      <w:r w:rsidR="00DB7670">
        <w:rPr>
          <w:rFonts w:ascii="Arial" w:hAnsi="Arial" w:cs="Arial"/>
          <w:sz w:val="20"/>
          <w:szCs w:val="20"/>
        </w:rPr>
        <w:t xml:space="preserve">Şubat 2013’te yüzde 11,6’dan Mart 2013’te yüzde 11,7’ye arttığını gösteriyor. Ancak Ekim 2012’den bu yana tarım dışı işgücü piyasasındaki gelişmeler yeni bir eğilimi ortaya koyuyor. Tarım dışı işgücü ve tarım dışı istihdam birer milyonun üzerinde artışlar gösteriyor. Buna paralel olarak tarım dışı işsizlik oranı yüzde 11,6 ile yüzde 11,9 arasında yatay seyrine devam ediyor. </w:t>
      </w:r>
      <w:r w:rsidR="00326A2F">
        <w:rPr>
          <w:rFonts w:ascii="Arial" w:hAnsi="Arial" w:cs="Arial"/>
          <w:sz w:val="20"/>
          <w:szCs w:val="20"/>
        </w:rPr>
        <w:t xml:space="preserve">Aynı dönem içerisinde sanayi istihdamı istikrarlı bir şekilde artmaya devam ediyor. </w:t>
      </w:r>
      <w:r w:rsidR="00DB7670">
        <w:rPr>
          <w:rFonts w:ascii="Arial" w:hAnsi="Arial" w:cs="Arial"/>
          <w:sz w:val="20"/>
          <w:szCs w:val="20"/>
        </w:rPr>
        <w:t xml:space="preserve">  </w:t>
      </w:r>
    </w:p>
    <w:p w:rsidR="001D416D" w:rsidRDefault="001D416D" w:rsidP="00A51B11">
      <w:pPr>
        <w:jc w:val="both"/>
        <w:rPr>
          <w:rFonts w:ascii="Arial" w:hAnsi="Arial" w:cs="Arial"/>
          <w:sz w:val="20"/>
          <w:szCs w:val="20"/>
        </w:rPr>
      </w:pPr>
    </w:p>
    <w:p w:rsidR="001D416D" w:rsidRDefault="001D416D" w:rsidP="00216D1F">
      <w:pPr>
        <w:pBdr>
          <w:top w:val="single" w:sz="12" w:space="1" w:color="auto"/>
          <w:left w:val="single" w:sz="12" w:space="4" w:color="auto"/>
          <w:bottom w:val="single" w:sz="12" w:space="1" w:color="auto"/>
          <w:right w:val="single" w:sz="12" w:space="4" w:color="auto"/>
        </w:pBdr>
        <w:shd w:val="clear" w:color="auto" w:fill="B8CCE4"/>
        <w:spacing w:after="120"/>
        <w:jc w:val="center"/>
        <w:rPr>
          <w:rFonts w:ascii="Arial" w:hAnsi="Arial" w:cs="Arial"/>
          <w:b/>
          <w:bCs/>
          <w:sz w:val="20"/>
          <w:szCs w:val="20"/>
        </w:rPr>
      </w:pPr>
      <w:r>
        <w:rPr>
          <w:rFonts w:ascii="Arial" w:hAnsi="Arial" w:cs="Arial"/>
          <w:b/>
          <w:bCs/>
          <w:sz w:val="20"/>
          <w:szCs w:val="20"/>
        </w:rPr>
        <w:t>İŞGÜCÜ PİYASASINDA ÖNE ÇIKAN GELİŞMELER</w:t>
      </w:r>
    </w:p>
    <w:p w:rsidR="001D416D" w:rsidRDefault="001D416D" w:rsidP="00216D1F">
      <w:pPr>
        <w:pBdr>
          <w:top w:val="single" w:sz="12" w:space="1" w:color="auto"/>
          <w:left w:val="single" w:sz="12" w:space="4" w:color="auto"/>
          <w:bottom w:val="single" w:sz="12" w:space="1" w:color="auto"/>
          <w:right w:val="single" w:sz="12" w:space="4" w:color="auto"/>
        </w:pBdr>
        <w:shd w:val="clear" w:color="auto" w:fill="B8CCE4"/>
        <w:spacing w:after="120"/>
        <w:jc w:val="center"/>
        <w:rPr>
          <w:rFonts w:ascii="Arial" w:hAnsi="Arial" w:cs="Arial"/>
          <w:b/>
          <w:bCs/>
          <w:sz w:val="20"/>
          <w:szCs w:val="20"/>
        </w:rPr>
      </w:pPr>
      <w:r>
        <w:rPr>
          <w:rFonts w:ascii="Arial" w:hAnsi="Arial" w:cs="Arial"/>
          <w:b/>
          <w:bCs/>
          <w:sz w:val="20"/>
          <w:szCs w:val="20"/>
        </w:rPr>
        <w:t>Türkiy</w:t>
      </w:r>
      <w:r w:rsidR="00C82050">
        <w:rPr>
          <w:rFonts w:ascii="Arial" w:hAnsi="Arial" w:cs="Arial"/>
          <w:b/>
          <w:bCs/>
          <w:sz w:val="20"/>
          <w:szCs w:val="20"/>
        </w:rPr>
        <w:t>e’nin sanayi haritası</w:t>
      </w:r>
    </w:p>
    <w:p w:rsidR="00E23FA2" w:rsidRPr="00AA2221" w:rsidRDefault="00E23FA2" w:rsidP="00EF0051">
      <w:pPr>
        <w:pBdr>
          <w:top w:val="single" w:sz="12" w:space="1" w:color="auto"/>
          <w:left w:val="single" w:sz="12" w:space="4" w:color="auto"/>
          <w:bottom w:val="single" w:sz="12" w:space="1" w:color="auto"/>
          <w:right w:val="single" w:sz="12" w:space="4" w:color="auto"/>
        </w:pBdr>
        <w:shd w:val="clear" w:color="auto" w:fill="B8CCE4"/>
        <w:spacing w:after="120"/>
        <w:rPr>
          <w:rFonts w:ascii="Arial" w:hAnsi="Arial" w:cs="Arial"/>
          <w:sz w:val="20"/>
          <w:szCs w:val="20"/>
        </w:rPr>
      </w:pPr>
      <w:r w:rsidRPr="00C82050">
        <w:rPr>
          <w:rFonts w:ascii="Arial" w:hAnsi="Arial" w:cs="Arial"/>
          <w:sz w:val="20"/>
          <w:szCs w:val="20"/>
        </w:rPr>
        <w:t>Türkiye’nin kişi başına ortalama geliri hızla arttırarak gelişmiş ülkelerin düzeyine yaklaşabilmesi için</w:t>
      </w:r>
      <w:r w:rsidR="00E672B0">
        <w:rPr>
          <w:rFonts w:ascii="Arial" w:hAnsi="Arial" w:cs="Arial"/>
          <w:sz w:val="20"/>
          <w:szCs w:val="20"/>
        </w:rPr>
        <w:t>,</w:t>
      </w:r>
      <w:r w:rsidRPr="00C82050">
        <w:rPr>
          <w:rFonts w:ascii="Arial" w:hAnsi="Arial" w:cs="Arial"/>
          <w:sz w:val="20"/>
          <w:szCs w:val="20"/>
        </w:rPr>
        <w:t xml:space="preserve"> verimlilik artışlarının yüksek olduğu sanayi sektörünün payını arttırması, aynı zamanda da çok düşük emek verimliliğe sahip tarım sektörünün istihdam payının azalmasının gerektiği </w:t>
      </w:r>
      <w:r>
        <w:rPr>
          <w:rFonts w:ascii="Arial" w:hAnsi="Arial" w:cs="Arial"/>
          <w:sz w:val="20"/>
          <w:szCs w:val="20"/>
        </w:rPr>
        <w:t>açıktır</w:t>
      </w:r>
      <w:r w:rsidRPr="00C82050">
        <w:rPr>
          <w:rFonts w:ascii="Arial" w:hAnsi="Arial" w:cs="Arial"/>
          <w:sz w:val="20"/>
          <w:szCs w:val="20"/>
        </w:rPr>
        <w:t xml:space="preserve">. Bu </w:t>
      </w:r>
      <w:r w:rsidR="003F46DD">
        <w:rPr>
          <w:rFonts w:ascii="Arial" w:hAnsi="Arial" w:cs="Arial"/>
          <w:sz w:val="20"/>
          <w:szCs w:val="20"/>
        </w:rPr>
        <w:t>konuya bölgesel bir mercekten bakıyoruz ve</w:t>
      </w:r>
      <w:r w:rsidR="00F1723B">
        <w:rPr>
          <w:rFonts w:ascii="Arial" w:hAnsi="Arial" w:cs="Arial"/>
          <w:sz w:val="20"/>
          <w:szCs w:val="20"/>
        </w:rPr>
        <w:t xml:space="preserve"> sanayi istihdamının</w:t>
      </w:r>
      <w:r w:rsidRPr="00C82050">
        <w:rPr>
          <w:rFonts w:ascii="Arial" w:hAnsi="Arial" w:cs="Arial"/>
          <w:sz w:val="20"/>
          <w:szCs w:val="20"/>
        </w:rPr>
        <w:t xml:space="preserve"> bö</w:t>
      </w:r>
      <w:r>
        <w:rPr>
          <w:rFonts w:ascii="Arial" w:hAnsi="Arial" w:cs="Arial"/>
          <w:sz w:val="20"/>
          <w:szCs w:val="20"/>
        </w:rPr>
        <w:t>lgeler arasındaki dağılımını inceliyor</w:t>
      </w:r>
      <w:r w:rsidR="003F46DD">
        <w:rPr>
          <w:rFonts w:ascii="Arial" w:hAnsi="Arial" w:cs="Arial"/>
          <w:sz w:val="20"/>
          <w:szCs w:val="20"/>
        </w:rPr>
        <w:t>uz.</w:t>
      </w:r>
      <w:r w:rsidR="00AA2221">
        <w:rPr>
          <w:rFonts w:ascii="Arial" w:hAnsi="Arial" w:cs="Arial"/>
          <w:sz w:val="20"/>
          <w:szCs w:val="20"/>
        </w:rPr>
        <w:t xml:space="preserve"> </w:t>
      </w:r>
      <w:r w:rsidRPr="00C82050">
        <w:rPr>
          <w:rFonts w:ascii="Arial" w:hAnsi="Arial" w:cs="Arial"/>
          <w:sz w:val="20"/>
          <w:szCs w:val="20"/>
        </w:rPr>
        <w:t xml:space="preserve">Sanayileşmede ileri bölgeler çok büyük ölçüde Kuzey Batı’ya yığılmış durumda. Türkiye’nin en sanayileşmiş iki bölgesi Trakya ve Bursa-Bilecik-Eskişehir bölgeleri. Bununla birlikte Gaziantep-Adıyaman-Kilis bölgesi ilginç bir istisna olarak temayüz ediyor. Üç bölge, İzmir, Konya-Karaman ile Kayseri-Sivas-Yozgat orta düzeyde sanayileşmiş bölgeler. Düşük düzeyde sanayileşmiş bölgelerin çoğu Doğu Karadeniz ve Doğu Akdeniz’de yer alıyor. </w:t>
      </w:r>
      <w:r>
        <w:rPr>
          <w:rFonts w:ascii="Arial" w:hAnsi="Arial" w:cs="Arial"/>
          <w:sz w:val="20"/>
          <w:szCs w:val="20"/>
        </w:rPr>
        <w:t>S</w:t>
      </w:r>
      <w:r w:rsidRPr="00C82050">
        <w:rPr>
          <w:rFonts w:ascii="Arial" w:hAnsi="Arial" w:cs="Arial"/>
          <w:sz w:val="20"/>
          <w:szCs w:val="20"/>
        </w:rPr>
        <w:t xml:space="preserve">anayileşmenin </w:t>
      </w:r>
      <w:r w:rsidR="00CA13FF">
        <w:rPr>
          <w:rFonts w:ascii="Arial" w:hAnsi="Arial" w:cs="Arial"/>
          <w:sz w:val="20"/>
          <w:szCs w:val="20"/>
        </w:rPr>
        <w:t>oldukça uzağında kalan bölgelerin</w:t>
      </w:r>
      <w:r w:rsidRPr="00C82050">
        <w:rPr>
          <w:rFonts w:ascii="Arial" w:hAnsi="Arial" w:cs="Arial"/>
          <w:sz w:val="20"/>
          <w:szCs w:val="20"/>
        </w:rPr>
        <w:t xml:space="preserve"> hemen hepsi Doğu ve Güneydoğu’da yer alıyorlar.</w:t>
      </w:r>
      <w:r w:rsidR="00084B32">
        <w:rPr>
          <w:rFonts w:ascii="Arial" w:hAnsi="Arial" w:cs="Arial"/>
          <w:sz w:val="20"/>
          <w:szCs w:val="20"/>
        </w:rPr>
        <w:t xml:space="preserve"> En düşük düzeyde sanayileşmiş bölge ise Van-Bitlis-Hakkari. </w:t>
      </w:r>
    </w:p>
    <w:p w:rsidR="001D416D" w:rsidRPr="00323218" w:rsidRDefault="001D416D" w:rsidP="00323218">
      <w:pPr>
        <w:rPr>
          <w:rFonts w:ascii="Arial" w:hAnsi="Arial" w:cs="Arial"/>
          <w:sz w:val="20"/>
          <w:szCs w:val="20"/>
        </w:rPr>
      </w:pPr>
    </w:p>
    <w:p w:rsidR="001D416D" w:rsidRPr="00441213" w:rsidRDefault="001B483D" w:rsidP="00930EEA">
      <w:pPr>
        <w:rPr>
          <w:rFonts w:ascii="Arial" w:hAnsi="Arial" w:cs="Arial"/>
          <w:b/>
          <w:bCs/>
          <w:sz w:val="22"/>
          <w:szCs w:val="22"/>
        </w:rPr>
      </w:pPr>
      <w:r>
        <w:rPr>
          <w:rFonts w:ascii="Arial" w:hAnsi="Arial" w:cs="Arial"/>
          <w:b/>
          <w:bCs/>
          <w:sz w:val="22"/>
          <w:szCs w:val="22"/>
        </w:rPr>
        <w:t xml:space="preserve">Tarım dışı istihdam ve işgücü artmaya devam ediyor </w:t>
      </w:r>
    </w:p>
    <w:p w:rsidR="003106D2" w:rsidRDefault="003106D2" w:rsidP="003106D2">
      <w:pPr>
        <w:rPr>
          <w:rFonts w:ascii="Arial" w:hAnsi="Arial" w:cs="Arial"/>
          <w:sz w:val="20"/>
          <w:szCs w:val="20"/>
        </w:rPr>
      </w:pPr>
    </w:p>
    <w:p w:rsidR="001D416D" w:rsidRPr="00503FEB" w:rsidRDefault="003106D2" w:rsidP="00503FEB">
      <w:pPr>
        <w:rPr>
          <w:rFonts w:ascii="Arial" w:hAnsi="Arial" w:cs="Arial"/>
          <w:sz w:val="20"/>
          <w:szCs w:val="20"/>
        </w:rPr>
      </w:pPr>
      <w:r w:rsidRPr="00441213">
        <w:rPr>
          <w:rFonts w:ascii="Arial" w:hAnsi="Arial" w:cs="Arial"/>
          <w:sz w:val="20"/>
          <w:szCs w:val="20"/>
        </w:rPr>
        <w:t xml:space="preserve">TÜİK’in açıkladığı işgücü verilerine göre </w:t>
      </w:r>
      <w:r>
        <w:rPr>
          <w:rFonts w:ascii="Arial" w:hAnsi="Arial" w:cs="Arial"/>
          <w:sz w:val="20"/>
          <w:szCs w:val="20"/>
        </w:rPr>
        <w:t>Mart 2013</w:t>
      </w:r>
      <w:r w:rsidRPr="00441213">
        <w:rPr>
          <w:rFonts w:ascii="Arial" w:hAnsi="Arial" w:cs="Arial"/>
          <w:sz w:val="20"/>
          <w:szCs w:val="20"/>
        </w:rPr>
        <w:t xml:space="preserve"> </w:t>
      </w:r>
      <w:r>
        <w:rPr>
          <w:rFonts w:ascii="Arial" w:hAnsi="Arial" w:cs="Arial"/>
          <w:sz w:val="20"/>
          <w:szCs w:val="20"/>
        </w:rPr>
        <w:t>döneminde,</w:t>
      </w:r>
      <w:r w:rsidRPr="00441213">
        <w:rPr>
          <w:rFonts w:ascii="Arial" w:hAnsi="Arial" w:cs="Arial"/>
          <w:sz w:val="20"/>
          <w:szCs w:val="20"/>
        </w:rPr>
        <w:t xml:space="preserve"> bir</w:t>
      </w:r>
      <w:r>
        <w:rPr>
          <w:rFonts w:ascii="Arial" w:hAnsi="Arial" w:cs="Arial"/>
          <w:sz w:val="20"/>
          <w:szCs w:val="20"/>
        </w:rPr>
        <w:t xml:space="preserve"> önceki yılın aynı dönemine göre</w:t>
      </w:r>
      <w:r w:rsidRPr="00441213">
        <w:rPr>
          <w:rFonts w:ascii="Arial" w:hAnsi="Arial" w:cs="Arial"/>
          <w:sz w:val="20"/>
          <w:szCs w:val="20"/>
        </w:rPr>
        <w:t xml:space="preserve"> tarım dışı </w:t>
      </w:r>
      <w:r w:rsidRPr="00C82050">
        <w:rPr>
          <w:rFonts w:ascii="Arial" w:hAnsi="Arial" w:cs="Arial"/>
          <w:sz w:val="20"/>
          <w:szCs w:val="20"/>
        </w:rPr>
        <w:t xml:space="preserve">işgücü </w:t>
      </w:r>
      <w:r>
        <w:rPr>
          <w:rFonts w:ascii="Arial" w:hAnsi="Arial" w:cs="Arial"/>
          <w:sz w:val="20"/>
          <w:szCs w:val="20"/>
        </w:rPr>
        <w:t>1</w:t>
      </w:r>
      <w:r w:rsidRPr="00C82050">
        <w:rPr>
          <w:rFonts w:ascii="Arial" w:hAnsi="Arial" w:cs="Arial"/>
          <w:sz w:val="20"/>
          <w:szCs w:val="20"/>
        </w:rPr>
        <w:t xml:space="preserve"> milyon </w:t>
      </w:r>
      <w:r>
        <w:rPr>
          <w:rFonts w:ascii="Arial" w:hAnsi="Arial" w:cs="Arial"/>
          <w:sz w:val="20"/>
          <w:szCs w:val="20"/>
        </w:rPr>
        <w:t>258</w:t>
      </w:r>
      <w:r w:rsidRPr="00C82050">
        <w:rPr>
          <w:rFonts w:ascii="Arial" w:hAnsi="Arial" w:cs="Arial"/>
          <w:sz w:val="20"/>
          <w:szCs w:val="20"/>
        </w:rPr>
        <w:t xml:space="preserve"> bin (yüzde </w:t>
      </w:r>
      <w:r>
        <w:rPr>
          <w:rFonts w:ascii="Arial" w:hAnsi="Arial" w:cs="Arial"/>
          <w:sz w:val="20"/>
          <w:szCs w:val="20"/>
        </w:rPr>
        <w:t>6,1</w:t>
      </w:r>
      <w:r w:rsidRPr="00C82050">
        <w:rPr>
          <w:rFonts w:ascii="Arial" w:hAnsi="Arial" w:cs="Arial"/>
          <w:sz w:val="20"/>
          <w:szCs w:val="20"/>
        </w:rPr>
        <w:t xml:space="preserve">), tarım dışı istihdam ise </w:t>
      </w:r>
      <w:r>
        <w:rPr>
          <w:rFonts w:ascii="Arial" w:hAnsi="Arial" w:cs="Arial"/>
          <w:sz w:val="20"/>
          <w:szCs w:val="20"/>
        </w:rPr>
        <w:t>1</w:t>
      </w:r>
      <w:r w:rsidRPr="00C82050">
        <w:rPr>
          <w:rFonts w:ascii="Arial" w:hAnsi="Arial" w:cs="Arial"/>
          <w:sz w:val="20"/>
          <w:szCs w:val="20"/>
        </w:rPr>
        <w:t xml:space="preserve"> milyon </w:t>
      </w:r>
      <w:r>
        <w:rPr>
          <w:rFonts w:ascii="Arial" w:hAnsi="Arial" w:cs="Arial"/>
          <w:sz w:val="20"/>
          <w:szCs w:val="20"/>
        </w:rPr>
        <w:t>62</w:t>
      </w:r>
      <w:r w:rsidRPr="00C82050">
        <w:rPr>
          <w:rFonts w:ascii="Arial" w:hAnsi="Arial" w:cs="Arial"/>
          <w:sz w:val="20"/>
          <w:szCs w:val="20"/>
        </w:rPr>
        <w:t xml:space="preserve"> bin kişi (yüzde </w:t>
      </w:r>
      <w:r>
        <w:rPr>
          <w:rFonts w:ascii="Arial" w:hAnsi="Arial" w:cs="Arial"/>
          <w:sz w:val="20"/>
          <w:szCs w:val="20"/>
        </w:rPr>
        <w:t>5,8</w:t>
      </w:r>
      <w:r w:rsidRPr="00C82050">
        <w:rPr>
          <w:rFonts w:ascii="Arial" w:hAnsi="Arial" w:cs="Arial"/>
          <w:sz w:val="20"/>
          <w:szCs w:val="20"/>
        </w:rPr>
        <w:t>)</w:t>
      </w:r>
      <w:r w:rsidRPr="00441213">
        <w:rPr>
          <w:rFonts w:ascii="Arial" w:hAnsi="Arial" w:cs="Arial"/>
          <w:sz w:val="20"/>
          <w:szCs w:val="20"/>
        </w:rPr>
        <w:t xml:space="preserve"> </w:t>
      </w:r>
      <w:r>
        <w:rPr>
          <w:rFonts w:ascii="Arial" w:hAnsi="Arial" w:cs="Arial"/>
          <w:sz w:val="20"/>
          <w:szCs w:val="20"/>
        </w:rPr>
        <w:t xml:space="preserve">artmıştır </w:t>
      </w:r>
      <w:r w:rsidRPr="00441213">
        <w:rPr>
          <w:rFonts w:ascii="Arial" w:hAnsi="Arial" w:cs="Arial"/>
          <w:sz w:val="20"/>
          <w:szCs w:val="20"/>
        </w:rPr>
        <w:t>(Şekil 1</w:t>
      </w:r>
      <w:r>
        <w:rPr>
          <w:rFonts w:ascii="Arial" w:hAnsi="Arial" w:cs="Arial"/>
          <w:sz w:val="20"/>
          <w:szCs w:val="20"/>
        </w:rPr>
        <w:t xml:space="preserve">). Ekim 2012 döneminden bu yana tarım dışı istihdamda yıllık artışlar 1 milyon civarında, tarım dışı işgücünde ise 1,2 milyon civarında seyrediyor. Buna paralel olarak tarım dışında işsizlik oranı yatay seyrediyor. Bu artışların geçmiş eğilimlerin üzerinde olmasından hareketle hem işgücündeki hem de istihdamdaki artışların sebeplerinin ayrıntılı olarak araştırılması gerekiyor.     </w:t>
      </w:r>
    </w:p>
    <w:p w:rsidR="001D416D" w:rsidRDefault="001D416D" w:rsidP="00E62C39">
      <w:pPr>
        <w:pStyle w:val="Caption"/>
        <w:keepNext/>
        <w:rPr>
          <w:rFonts w:ascii="Arial" w:hAnsi="Arial" w:cs="Arial"/>
        </w:rPr>
      </w:pPr>
      <w:r w:rsidRPr="001541B3">
        <w:rPr>
          <w:rFonts w:ascii="Arial" w:hAnsi="Arial" w:cs="Arial"/>
        </w:rPr>
        <w:lastRenderedPageBreak/>
        <w:t xml:space="preserve">Şekil </w:t>
      </w:r>
      <w:r w:rsidR="008E1D2C" w:rsidRPr="001541B3">
        <w:rPr>
          <w:rFonts w:ascii="Arial" w:hAnsi="Arial" w:cs="Arial"/>
        </w:rPr>
        <w:fldChar w:fldCharType="begin"/>
      </w:r>
      <w:r w:rsidRPr="001541B3">
        <w:rPr>
          <w:rFonts w:ascii="Arial" w:hAnsi="Arial" w:cs="Arial"/>
        </w:rPr>
        <w:instrText xml:space="preserve"> SEQ Figure \* ARABIC </w:instrText>
      </w:r>
      <w:r w:rsidR="008E1D2C" w:rsidRPr="001541B3">
        <w:rPr>
          <w:rFonts w:ascii="Arial" w:hAnsi="Arial" w:cs="Arial"/>
        </w:rPr>
        <w:fldChar w:fldCharType="separate"/>
      </w:r>
      <w:r w:rsidR="0030402B">
        <w:rPr>
          <w:rFonts w:ascii="Arial" w:hAnsi="Arial" w:cs="Arial"/>
          <w:noProof/>
        </w:rPr>
        <w:t>1</w:t>
      </w:r>
      <w:r w:rsidR="008E1D2C" w:rsidRPr="001541B3">
        <w:rPr>
          <w:rFonts w:ascii="Arial" w:hAnsi="Arial" w:cs="Arial"/>
        </w:rPr>
        <w:fldChar w:fldCharType="end"/>
      </w:r>
      <w:r w:rsidRPr="001541B3">
        <w:rPr>
          <w:rFonts w:ascii="Arial" w:hAnsi="Arial" w:cs="Arial"/>
        </w:rPr>
        <w:t xml:space="preserve"> Tarım dışı işgücü ve tarım dışı istihdamın, tarım dışı issiz sayısı değişimine etkisi (yıllık)</w:t>
      </w:r>
    </w:p>
    <w:p w:rsidR="001D416D" w:rsidRPr="00C2293C" w:rsidRDefault="008E1D2C" w:rsidP="00C2293C">
      <w:r>
        <w:rPr>
          <w:noProof/>
          <w:lang w:eastAsia="tr-TR"/>
        </w:rPr>
        <w:pict>
          <v:shape id="_x0000_i1025" type="#_x0000_t75" style="width:440.25pt;height:269.25pt">
            <v:imagedata r:id="rId9" o:title="sekil1"/>
          </v:shape>
        </w:pict>
      </w:r>
    </w:p>
    <w:p w:rsidR="001D416D" w:rsidRDefault="001D416D" w:rsidP="00D77F6C">
      <w:pPr>
        <w:rPr>
          <w:rFonts w:ascii="Arial" w:hAnsi="Arial" w:cs="Arial"/>
          <w:b/>
          <w:bCs/>
          <w:sz w:val="16"/>
          <w:szCs w:val="16"/>
        </w:rPr>
      </w:pPr>
      <w:r w:rsidRPr="001541B3">
        <w:rPr>
          <w:rFonts w:ascii="Arial" w:hAnsi="Arial" w:cs="Arial"/>
          <w:sz w:val="16"/>
          <w:szCs w:val="16"/>
        </w:rPr>
        <w:t>Kaynak: TÜİK,</w:t>
      </w:r>
      <w:r w:rsidRPr="001541B3">
        <w:rPr>
          <w:rFonts w:ascii="Arial" w:hAnsi="Arial" w:cs="Arial"/>
          <w:b/>
          <w:bCs/>
          <w:sz w:val="16"/>
          <w:szCs w:val="16"/>
        </w:rPr>
        <w:t xml:space="preserve"> Betam</w:t>
      </w:r>
    </w:p>
    <w:p w:rsidR="001D416D" w:rsidRDefault="001D416D" w:rsidP="00D77F6C">
      <w:pPr>
        <w:rPr>
          <w:rFonts w:ascii="Arial" w:hAnsi="Arial" w:cs="Arial"/>
          <w:b/>
          <w:bCs/>
          <w:sz w:val="16"/>
          <w:szCs w:val="16"/>
        </w:rPr>
      </w:pPr>
    </w:p>
    <w:p w:rsidR="001D416D" w:rsidRDefault="001D416D" w:rsidP="00F772C9">
      <w:pPr>
        <w:rPr>
          <w:rFonts w:ascii="Arial" w:hAnsi="Arial" w:cs="Arial"/>
          <w:b/>
          <w:bCs/>
          <w:sz w:val="22"/>
          <w:szCs w:val="22"/>
        </w:rPr>
      </w:pPr>
    </w:p>
    <w:p w:rsidR="001D416D" w:rsidRPr="00CF7B9C" w:rsidRDefault="001D416D" w:rsidP="00F772C9">
      <w:pPr>
        <w:rPr>
          <w:rFonts w:ascii="Arial" w:hAnsi="Arial" w:cs="Arial"/>
          <w:sz w:val="16"/>
          <w:szCs w:val="16"/>
        </w:rPr>
      </w:pPr>
      <w:r w:rsidRPr="00FD4D4D">
        <w:rPr>
          <w:rFonts w:ascii="Arial" w:hAnsi="Arial" w:cs="Arial"/>
          <w:b/>
          <w:bCs/>
          <w:sz w:val="22"/>
          <w:szCs w:val="22"/>
        </w:rPr>
        <w:t xml:space="preserve">Mevsim etkilerinden arındırılmış tarım dışı işsizlik </w:t>
      </w:r>
      <w:r w:rsidR="001375EB">
        <w:rPr>
          <w:rFonts w:ascii="Arial" w:hAnsi="Arial" w:cs="Arial"/>
          <w:b/>
          <w:bCs/>
          <w:sz w:val="22"/>
          <w:szCs w:val="22"/>
        </w:rPr>
        <w:t xml:space="preserve">Eylül 2012’den beri </w:t>
      </w:r>
      <w:r w:rsidR="00FD4D4D" w:rsidRPr="00FD4D4D">
        <w:rPr>
          <w:rFonts w:ascii="Arial" w:hAnsi="Arial" w:cs="Arial"/>
          <w:b/>
          <w:bCs/>
          <w:sz w:val="22"/>
          <w:szCs w:val="22"/>
        </w:rPr>
        <w:t>yatay</w:t>
      </w:r>
      <w:r w:rsidR="005E2401">
        <w:rPr>
          <w:rFonts w:ascii="Arial" w:hAnsi="Arial" w:cs="Arial"/>
          <w:b/>
          <w:bCs/>
          <w:sz w:val="22"/>
          <w:szCs w:val="22"/>
        </w:rPr>
        <w:t xml:space="preserve"> seyrediyor</w:t>
      </w:r>
    </w:p>
    <w:p w:rsidR="001D416D" w:rsidRPr="001541B3" w:rsidRDefault="001D416D" w:rsidP="00D77F6C">
      <w:pPr>
        <w:rPr>
          <w:rFonts w:ascii="Arial" w:hAnsi="Arial" w:cs="Arial"/>
          <w:sz w:val="20"/>
          <w:szCs w:val="20"/>
        </w:rPr>
      </w:pPr>
    </w:p>
    <w:p w:rsidR="001D416D" w:rsidRDefault="001D416D" w:rsidP="00A720A3">
      <w:pPr>
        <w:rPr>
          <w:rFonts w:ascii="Arial" w:hAnsi="Arial" w:cs="Arial"/>
          <w:sz w:val="20"/>
          <w:szCs w:val="20"/>
        </w:rPr>
      </w:pPr>
      <w:r w:rsidRPr="008B209F">
        <w:rPr>
          <w:rFonts w:ascii="Arial" w:hAnsi="Arial" w:cs="Arial"/>
          <w:sz w:val="20"/>
          <w:szCs w:val="20"/>
        </w:rPr>
        <w:t xml:space="preserve">Mevsim etkilerinden arındırılmış verilere göre </w:t>
      </w:r>
      <w:r w:rsidR="00C82050">
        <w:rPr>
          <w:rFonts w:ascii="Arial" w:hAnsi="Arial" w:cs="Arial"/>
          <w:sz w:val="20"/>
          <w:szCs w:val="20"/>
        </w:rPr>
        <w:t>Mart</w:t>
      </w:r>
      <w:r>
        <w:rPr>
          <w:rFonts w:ascii="Arial" w:hAnsi="Arial" w:cs="Arial"/>
          <w:sz w:val="20"/>
          <w:szCs w:val="20"/>
        </w:rPr>
        <w:t xml:space="preserve"> </w:t>
      </w:r>
      <w:r w:rsidRPr="008B209F">
        <w:rPr>
          <w:rFonts w:ascii="Arial" w:hAnsi="Arial" w:cs="Arial"/>
          <w:sz w:val="20"/>
          <w:szCs w:val="20"/>
        </w:rPr>
        <w:t xml:space="preserve">döneminde </w:t>
      </w:r>
      <w:r w:rsidR="00C82050">
        <w:rPr>
          <w:rFonts w:ascii="Arial" w:hAnsi="Arial" w:cs="Arial"/>
          <w:sz w:val="20"/>
          <w:szCs w:val="20"/>
        </w:rPr>
        <w:t xml:space="preserve">Şubat </w:t>
      </w:r>
      <w:r w:rsidRPr="008B209F">
        <w:rPr>
          <w:rFonts w:ascii="Arial" w:hAnsi="Arial" w:cs="Arial"/>
          <w:sz w:val="20"/>
          <w:szCs w:val="20"/>
        </w:rPr>
        <w:t>dönemiyle kıyaslandığında tarım dışı işgücü</w:t>
      </w:r>
      <w:r>
        <w:rPr>
          <w:rFonts w:ascii="Arial" w:hAnsi="Arial" w:cs="Arial"/>
          <w:sz w:val="20"/>
          <w:szCs w:val="20"/>
        </w:rPr>
        <w:t xml:space="preserve"> </w:t>
      </w:r>
      <w:r w:rsidR="008F7AC5">
        <w:rPr>
          <w:rFonts w:ascii="Arial" w:hAnsi="Arial" w:cs="Arial"/>
          <w:sz w:val="20"/>
          <w:szCs w:val="20"/>
        </w:rPr>
        <w:t>91</w:t>
      </w:r>
      <w:r>
        <w:rPr>
          <w:rFonts w:ascii="Arial" w:hAnsi="Arial" w:cs="Arial"/>
          <w:sz w:val="20"/>
          <w:szCs w:val="20"/>
        </w:rPr>
        <w:t xml:space="preserve"> bin artarak </w:t>
      </w:r>
      <w:r w:rsidR="00906E21">
        <w:rPr>
          <w:rFonts w:ascii="Arial" w:hAnsi="Arial" w:cs="Arial"/>
          <w:sz w:val="20"/>
          <w:szCs w:val="20"/>
        </w:rPr>
        <w:t>22</w:t>
      </w:r>
      <w:r w:rsidRPr="00C82050">
        <w:rPr>
          <w:rFonts w:ascii="Arial" w:hAnsi="Arial" w:cs="Arial"/>
          <w:sz w:val="20"/>
          <w:szCs w:val="20"/>
        </w:rPr>
        <w:t xml:space="preserve"> milyon </w:t>
      </w:r>
      <w:r w:rsidR="00906E21">
        <w:rPr>
          <w:rFonts w:ascii="Arial" w:hAnsi="Arial" w:cs="Arial"/>
          <w:sz w:val="20"/>
          <w:szCs w:val="20"/>
        </w:rPr>
        <w:t>5</w:t>
      </w:r>
      <w:r w:rsidR="008F7AC5">
        <w:rPr>
          <w:rFonts w:ascii="Arial" w:hAnsi="Arial" w:cs="Arial"/>
          <w:sz w:val="20"/>
          <w:szCs w:val="20"/>
        </w:rPr>
        <w:t>7</w:t>
      </w:r>
      <w:r w:rsidRPr="00C82050">
        <w:rPr>
          <w:rFonts w:ascii="Arial" w:hAnsi="Arial" w:cs="Arial"/>
          <w:sz w:val="20"/>
          <w:szCs w:val="20"/>
        </w:rPr>
        <w:t xml:space="preserve"> bine yükseldi (</w:t>
      </w:r>
      <w:r w:rsidRPr="008B209F">
        <w:rPr>
          <w:rFonts w:ascii="Arial" w:hAnsi="Arial" w:cs="Arial"/>
          <w:sz w:val="20"/>
          <w:szCs w:val="20"/>
        </w:rPr>
        <w:t xml:space="preserve">Şekil 2,Tablo 1). Tarım dışı istihdam </w:t>
      </w:r>
      <w:r>
        <w:rPr>
          <w:rFonts w:ascii="Arial" w:hAnsi="Arial" w:cs="Arial"/>
          <w:sz w:val="20"/>
          <w:szCs w:val="20"/>
        </w:rPr>
        <w:t xml:space="preserve">ise </w:t>
      </w:r>
      <w:r w:rsidR="00231A1E">
        <w:rPr>
          <w:rFonts w:ascii="Arial" w:hAnsi="Arial" w:cs="Arial"/>
          <w:sz w:val="20"/>
          <w:szCs w:val="20"/>
        </w:rPr>
        <w:t>6</w:t>
      </w:r>
      <w:r w:rsidR="00906E21">
        <w:rPr>
          <w:rFonts w:ascii="Arial" w:hAnsi="Arial" w:cs="Arial"/>
          <w:sz w:val="20"/>
          <w:szCs w:val="20"/>
        </w:rPr>
        <w:t>7</w:t>
      </w:r>
      <w:r>
        <w:rPr>
          <w:rFonts w:ascii="Arial" w:hAnsi="Arial" w:cs="Arial"/>
          <w:sz w:val="20"/>
          <w:szCs w:val="20"/>
        </w:rPr>
        <w:t xml:space="preserve"> </w:t>
      </w:r>
      <w:r w:rsidRPr="008B209F">
        <w:rPr>
          <w:rFonts w:ascii="Arial" w:hAnsi="Arial" w:cs="Arial"/>
          <w:sz w:val="20"/>
          <w:szCs w:val="20"/>
        </w:rPr>
        <w:t xml:space="preserve">binlik bir </w:t>
      </w:r>
      <w:r>
        <w:rPr>
          <w:rFonts w:ascii="Arial" w:hAnsi="Arial" w:cs="Arial"/>
          <w:sz w:val="20"/>
          <w:szCs w:val="20"/>
        </w:rPr>
        <w:t xml:space="preserve">artışla </w:t>
      </w:r>
      <w:r w:rsidR="00906E21">
        <w:rPr>
          <w:rFonts w:ascii="Arial" w:hAnsi="Arial" w:cs="Arial"/>
          <w:sz w:val="20"/>
          <w:szCs w:val="20"/>
        </w:rPr>
        <w:t>19</w:t>
      </w:r>
      <w:r>
        <w:rPr>
          <w:rFonts w:ascii="Arial" w:hAnsi="Arial" w:cs="Arial"/>
          <w:sz w:val="20"/>
          <w:szCs w:val="20"/>
        </w:rPr>
        <w:t xml:space="preserve"> </w:t>
      </w:r>
      <w:r w:rsidRPr="008B209F">
        <w:rPr>
          <w:rFonts w:ascii="Arial" w:hAnsi="Arial" w:cs="Arial"/>
          <w:sz w:val="20"/>
          <w:szCs w:val="20"/>
        </w:rPr>
        <w:t xml:space="preserve">milyon </w:t>
      </w:r>
      <w:r w:rsidR="00906E21">
        <w:rPr>
          <w:rFonts w:ascii="Arial" w:hAnsi="Arial" w:cs="Arial"/>
          <w:sz w:val="20"/>
          <w:szCs w:val="20"/>
        </w:rPr>
        <w:t>4</w:t>
      </w:r>
      <w:r w:rsidR="00A342E2">
        <w:rPr>
          <w:rFonts w:ascii="Arial" w:hAnsi="Arial" w:cs="Arial"/>
          <w:sz w:val="20"/>
          <w:szCs w:val="20"/>
        </w:rPr>
        <w:t>86</w:t>
      </w:r>
      <w:r>
        <w:rPr>
          <w:rFonts w:ascii="Arial" w:hAnsi="Arial" w:cs="Arial"/>
          <w:sz w:val="20"/>
          <w:szCs w:val="20"/>
        </w:rPr>
        <w:t xml:space="preserve"> </w:t>
      </w:r>
      <w:r w:rsidRPr="008B209F">
        <w:rPr>
          <w:rFonts w:ascii="Arial" w:hAnsi="Arial" w:cs="Arial"/>
          <w:sz w:val="20"/>
          <w:szCs w:val="20"/>
        </w:rPr>
        <w:t xml:space="preserve">bine </w:t>
      </w:r>
      <w:r>
        <w:rPr>
          <w:rFonts w:ascii="Arial" w:hAnsi="Arial" w:cs="Arial"/>
          <w:sz w:val="20"/>
          <w:szCs w:val="20"/>
        </w:rPr>
        <w:t>ulaşmıştır</w:t>
      </w:r>
      <w:r w:rsidRPr="008B209F">
        <w:rPr>
          <w:rFonts w:ascii="Arial" w:hAnsi="Arial" w:cs="Arial"/>
          <w:sz w:val="20"/>
          <w:szCs w:val="20"/>
        </w:rPr>
        <w:t xml:space="preserve">. </w:t>
      </w:r>
      <w:r w:rsidRPr="001D07AB">
        <w:rPr>
          <w:rFonts w:ascii="Arial" w:hAnsi="Arial" w:cs="Arial"/>
          <w:sz w:val="20"/>
          <w:szCs w:val="20"/>
        </w:rPr>
        <w:t xml:space="preserve">Bu gelişmeler sonucunda </w:t>
      </w:r>
      <w:r>
        <w:rPr>
          <w:rFonts w:ascii="Arial" w:hAnsi="Arial" w:cs="Arial"/>
          <w:sz w:val="20"/>
          <w:szCs w:val="20"/>
        </w:rPr>
        <w:t xml:space="preserve">tarım dışı işsiz sayısı </w:t>
      </w:r>
      <w:r w:rsidR="00800A1E">
        <w:rPr>
          <w:rFonts w:ascii="Arial" w:hAnsi="Arial" w:cs="Arial"/>
          <w:sz w:val="20"/>
          <w:szCs w:val="20"/>
        </w:rPr>
        <w:t>24</w:t>
      </w:r>
      <w:r>
        <w:rPr>
          <w:rFonts w:ascii="Arial" w:hAnsi="Arial" w:cs="Arial"/>
          <w:sz w:val="20"/>
          <w:szCs w:val="20"/>
        </w:rPr>
        <w:t xml:space="preserve"> bin </w:t>
      </w:r>
      <w:r w:rsidR="00906E21">
        <w:rPr>
          <w:rFonts w:ascii="Arial" w:hAnsi="Arial" w:cs="Arial"/>
          <w:sz w:val="20"/>
          <w:szCs w:val="20"/>
        </w:rPr>
        <w:t>artmış</w:t>
      </w:r>
      <w:r>
        <w:rPr>
          <w:rFonts w:ascii="Arial" w:hAnsi="Arial" w:cs="Arial"/>
          <w:sz w:val="20"/>
          <w:szCs w:val="20"/>
        </w:rPr>
        <w:t xml:space="preserve">, </w:t>
      </w:r>
      <w:r w:rsidRPr="001D07AB">
        <w:rPr>
          <w:rFonts w:ascii="Arial" w:hAnsi="Arial" w:cs="Arial"/>
          <w:sz w:val="20"/>
          <w:szCs w:val="20"/>
        </w:rPr>
        <w:t xml:space="preserve">tarım dışı işsizlik oranı </w:t>
      </w:r>
      <w:r>
        <w:rPr>
          <w:rFonts w:ascii="Arial" w:hAnsi="Arial" w:cs="Arial"/>
          <w:sz w:val="20"/>
          <w:szCs w:val="20"/>
        </w:rPr>
        <w:t xml:space="preserve">yüzde </w:t>
      </w:r>
      <w:r w:rsidR="00906E21">
        <w:rPr>
          <w:rFonts w:ascii="Arial" w:hAnsi="Arial" w:cs="Arial"/>
          <w:sz w:val="20"/>
          <w:szCs w:val="20"/>
        </w:rPr>
        <w:t xml:space="preserve">11,7 </w:t>
      </w:r>
      <w:r w:rsidR="00800A1E">
        <w:rPr>
          <w:rFonts w:ascii="Arial" w:hAnsi="Arial" w:cs="Arial"/>
          <w:sz w:val="20"/>
          <w:szCs w:val="20"/>
        </w:rPr>
        <w:t>seviyesine ulaşmıştır.</w:t>
      </w:r>
      <w:r w:rsidR="00FD4D4D">
        <w:rPr>
          <w:rFonts w:ascii="Arial" w:hAnsi="Arial" w:cs="Arial"/>
          <w:sz w:val="20"/>
          <w:szCs w:val="20"/>
        </w:rPr>
        <w:t xml:space="preserve"> Tarım dışı işgücü piyasası yatay seyrine devam etmektedir. </w:t>
      </w:r>
      <w:r w:rsidR="006431B2">
        <w:rPr>
          <w:rFonts w:ascii="Arial" w:hAnsi="Arial" w:cs="Arial"/>
          <w:sz w:val="20"/>
          <w:szCs w:val="20"/>
        </w:rPr>
        <w:t xml:space="preserve">Tarım dışı işsizlik oranı Eylül 2012’den beri dar bir bantta hareket etmektedir. </w:t>
      </w:r>
      <w:r w:rsidR="007D4686">
        <w:rPr>
          <w:rFonts w:ascii="Arial" w:hAnsi="Arial" w:cs="Arial"/>
          <w:sz w:val="20"/>
          <w:szCs w:val="20"/>
        </w:rPr>
        <w:t xml:space="preserve"> </w:t>
      </w:r>
    </w:p>
    <w:p w:rsidR="001D416D" w:rsidRPr="001541B3" w:rsidRDefault="001D416D" w:rsidP="00A720A3">
      <w:pPr>
        <w:rPr>
          <w:rFonts w:ascii="Arial" w:hAnsi="Arial" w:cs="Arial"/>
          <w:sz w:val="20"/>
          <w:szCs w:val="20"/>
        </w:rPr>
      </w:pPr>
    </w:p>
    <w:p w:rsidR="001D416D" w:rsidRPr="001541B3" w:rsidRDefault="001D416D" w:rsidP="00FD0559">
      <w:pPr>
        <w:pStyle w:val="Caption"/>
        <w:keepNext/>
        <w:rPr>
          <w:rFonts w:ascii="Arial" w:hAnsi="Arial" w:cs="Arial"/>
        </w:rPr>
      </w:pPr>
      <w:r w:rsidRPr="001541B3">
        <w:rPr>
          <w:rFonts w:ascii="Arial" w:hAnsi="Arial" w:cs="Arial"/>
        </w:rPr>
        <w:t xml:space="preserve">Şekil </w:t>
      </w:r>
      <w:r w:rsidR="008E1D2C" w:rsidRPr="001541B3">
        <w:rPr>
          <w:rFonts w:ascii="Arial" w:hAnsi="Arial" w:cs="Arial"/>
        </w:rPr>
        <w:fldChar w:fldCharType="begin"/>
      </w:r>
      <w:r w:rsidRPr="001541B3">
        <w:rPr>
          <w:rFonts w:ascii="Arial" w:hAnsi="Arial" w:cs="Arial"/>
        </w:rPr>
        <w:instrText xml:space="preserve"> SEQ Figure \* ARABIC </w:instrText>
      </w:r>
      <w:r w:rsidR="008E1D2C" w:rsidRPr="001541B3">
        <w:rPr>
          <w:rFonts w:ascii="Arial" w:hAnsi="Arial" w:cs="Arial"/>
        </w:rPr>
        <w:fldChar w:fldCharType="separate"/>
      </w:r>
      <w:r w:rsidR="0030402B">
        <w:rPr>
          <w:rFonts w:ascii="Arial" w:hAnsi="Arial" w:cs="Arial"/>
          <w:noProof/>
        </w:rPr>
        <w:t>2</w:t>
      </w:r>
      <w:r w:rsidR="008E1D2C" w:rsidRPr="001541B3">
        <w:rPr>
          <w:rFonts w:ascii="Arial" w:hAnsi="Arial" w:cs="Arial"/>
        </w:rPr>
        <w:fldChar w:fldCharType="end"/>
      </w:r>
      <w:r w:rsidRPr="001541B3">
        <w:rPr>
          <w:rFonts w:ascii="Arial" w:hAnsi="Arial" w:cs="Arial"/>
        </w:rPr>
        <w:t xml:space="preserve"> Mevsim etkilerinden arındırılmış tarım dışı işgücü, istihdam ve işsizlik oranı </w:t>
      </w:r>
    </w:p>
    <w:p w:rsidR="001D416D" w:rsidRPr="001541B3" w:rsidRDefault="008E1D2C">
      <w:r>
        <w:rPr>
          <w:noProof/>
          <w:lang w:eastAsia="tr-TR"/>
        </w:rPr>
        <w:pict>
          <v:shape id="_x0000_i1026" type="#_x0000_t75" style="width:509.25pt;height:207pt">
            <v:imagedata r:id="rId10" o:title="sekil2"/>
          </v:shape>
        </w:pict>
      </w:r>
    </w:p>
    <w:p w:rsidR="001D416D" w:rsidRPr="0004249C" w:rsidRDefault="001D416D">
      <w:pPr>
        <w:rPr>
          <w:rFonts w:ascii="Arial" w:hAnsi="Arial" w:cs="Arial"/>
          <w:sz w:val="16"/>
          <w:szCs w:val="16"/>
        </w:rPr>
      </w:pPr>
      <w:r w:rsidRPr="0004249C">
        <w:rPr>
          <w:rFonts w:ascii="Arial" w:hAnsi="Arial" w:cs="Arial"/>
          <w:sz w:val="16"/>
          <w:szCs w:val="16"/>
        </w:rPr>
        <w:t xml:space="preserve">Kaynak: TÜİK, </w:t>
      </w:r>
      <w:r w:rsidRPr="0004249C">
        <w:rPr>
          <w:rFonts w:ascii="Arial" w:hAnsi="Arial" w:cs="Arial"/>
          <w:b/>
          <w:bCs/>
          <w:sz w:val="16"/>
          <w:szCs w:val="16"/>
        </w:rPr>
        <w:t>Betam</w:t>
      </w:r>
      <w:r w:rsidRPr="0004249C">
        <w:rPr>
          <w:rFonts w:ascii="Arial" w:hAnsi="Arial" w:cs="Arial"/>
          <w:sz w:val="16"/>
          <w:szCs w:val="16"/>
        </w:rPr>
        <w:t xml:space="preserve"> </w:t>
      </w:r>
    </w:p>
    <w:p w:rsidR="001D416D" w:rsidRPr="0004249C" w:rsidRDefault="001D416D" w:rsidP="009B164C">
      <w:pPr>
        <w:rPr>
          <w:rFonts w:ascii="Arial" w:hAnsi="Arial" w:cs="Arial"/>
          <w:b/>
          <w:bCs/>
          <w:sz w:val="22"/>
          <w:szCs w:val="22"/>
        </w:rPr>
      </w:pPr>
    </w:p>
    <w:p w:rsidR="009067BE" w:rsidRDefault="009067BE" w:rsidP="008354E3">
      <w:pPr>
        <w:rPr>
          <w:rFonts w:ascii="Arial" w:hAnsi="Arial" w:cs="Arial"/>
          <w:b/>
          <w:bCs/>
          <w:sz w:val="22"/>
          <w:szCs w:val="22"/>
        </w:rPr>
      </w:pPr>
    </w:p>
    <w:p w:rsidR="009067BE" w:rsidRDefault="009067BE" w:rsidP="008354E3">
      <w:pPr>
        <w:rPr>
          <w:rFonts w:ascii="Arial" w:hAnsi="Arial" w:cs="Arial"/>
          <w:b/>
          <w:bCs/>
          <w:sz w:val="22"/>
          <w:szCs w:val="22"/>
        </w:rPr>
      </w:pPr>
    </w:p>
    <w:p w:rsidR="009067BE" w:rsidRDefault="009067BE" w:rsidP="008354E3">
      <w:pPr>
        <w:rPr>
          <w:rFonts w:ascii="Arial" w:hAnsi="Arial" w:cs="Arial"/>
          <w:b/>
          <w:bCs/>
          <w:sz w:val="22"/>
          <w:szCs w:val="22"/>
        </w:rPr>
      </w:pPr>
    </w:p>
    <w:p w:rsidR="009067BE" w:rsidRDefault="009067BE" w:rsidP="008354E3">
      <w:pPr>
        <w:rPr>
          <w:rFonts w:ascii="Arial" w:hAnsi="Arial" w:cs="Arial"/>
          <w:b/>
          <w:bCs/>
          <w:sz w:val="22"/>
          <w:szCs w:val="22"/>
        </w:rPr>
      </w:pPr>
    </w:p>
    <w:p w:rsidR="00503FEB" w:rsidRDefault="00503FEB" w:rsidP="008354E3">
      <w:pPr>
        <w:rPr>
          <w:rFonts w:ascii="Arial" w:hAnsi="Arial" w:cs="Arial"/>
          <w:b/>
          <w:bCs/>
          <w:sz w:val="22"/>
          <w:szCs w:val="22"/>
        </w:rPr>
      </w:pPr>
    </w:p>
    <w:p w:rsidR="009067BE" w:rsidRDefault="009067BE" w:rsidP="008354E3">
      <w:pPr>
        <w:rPr>
          <w:rFonts w:ascii="Arial" w:hAnsi="Arial" w:cs="Arial"/>
          <w:b/>
          <w:bCs/>
          <w:sz w:val="22"/>
          <w:szCs w:val="22"/>
        </w:rPr>
      </w:pPr>
    </w:p>
    <w:p w:rsidR="001D416D" w:rsidRDefault="001D416D" w:rsidP="008354E3">
      <w:pPr>
        <w:rPr>
          <w:rFonts w:ascii="Arial" w:hAnsi="Arial" w:cs="Arial"/>
          <w:b/>
          <w:bCs/>
          <w:sz w:val="22"/>
          <w:szCs w:val="22"/>
        </w:rPr>
      </w:pPr>
      <w:r w:rsidRPr="00977DCA">
        <w:rPr>
          <w:rFonts w:ascii="Arial" w:hAnsi="Arial" w:cs="Arial"/>
          <w:b/>
          <w:bCs/>
          <w:sz w:val="22"/>
          <w:szCs w:val="22"/>
        </w:rPr>
        <w:lastRenderedPageBreak/>
        <w:t>Kariyer.net verile</w:t>
      </w:r>
      <w:r w:rsidR="00977DCA" w:rsidRPr="00977DCA">
        <w:rPr>
          <w:rFonts w:ascii="Arial" w:hAnsi="Arial" w:cs="Arial"/>
          <w:b/>
          <w:bCs/>
          <w:sz w:val="22"/>
          <w:szCs w:val="22"/>
        </w:rPr>
        <w:t>rine göre işsizlik Mart 2013’te</w:t>
      </w:r>
      <w:r w:rsidR="00977DCA">
        <w:rPr>
          <w:rFonts w:ascii="Arial" w:hAnsi="Arial" w:cs="Arial"/>
          <w:b/>
          <w:bCs/>
          <w:sz w:val="22"/>
          <w:szCs w:val="22"/>
        </w:rPr>
        <w:t xml:space="preserve"> az da olsa düşebilir</w:t>
      </w:r>
    </w:p>
    <w:p w:rsidR="001D416D" w:rsidRDefault="001D416D" w:rsidP="008354E3">
      <w:pPr>
        <w:rPr>
          <w:rFonts w:ascii="Arial" w:hAnsi="Arial" w:cs="Arial"/>
          <w:sz w:val="20"/>
          <w:szCs w:val="20"/>
        </w:rPr>
      </w:pPr>
    </w:p>
    <w:p w:rsidR="001D416D" w:rsidRPr="003037C7" w:rsidRDefault="001D416D" w:rsidP="004808E7">
      <w:pPr>
        <w:rPr>
          <w:rFonts w:ascii="Arial" w:hAnsi="Arial" w:cs="Arial"/>
          <w:sz w:val="20"/>
          <w:szCs w:val="20"/>
        </w:rPr>
      </w:pPr>
      <w:r w:rsidRPr="00BD4064">
        <w:rPr>
          <w:rFonts w:ascii="Arial" w:hAnsi="Arial" w:cs="Arial"/>
          <w:sz w:val="20"/>
          <w:szCs w:val="20"/>
        </w:rPr>
        <w:t>Kariyer.net tarafından açıklanan</w:t>
      </w:r>
      <w:r>
        <w:rPr>
          <w:rFonts w:ascii="Arial" w:hAnsi="Arial" w:cs="Arial"/>
          <w:sz w:val="20"/>
          <w:szCs w:val="20"/>
        </w:rPr>
        <w:t xml:space="preserve"> </w:t>
      </w:r>
      <w:r w:rsidRPr="007E3D8B">
        <w:rPr>
          <w:rFonts w:ascii="Arial" w:hAnsi="Arial" w:cs="Arial"/>
          <w:sz w:val="20"/>
          <w:szCs w:val="20"/>
        </w:rPr>
        <w:t>açık pozisyon başına başvuru sayısı</w:t>
      </w:r>
      <w:r w:rsidRPr="00BD4064">
        <w:rPr>
          <w:rStyle w:val="FootnoteReference"/>
          <w:rFonts w:ascii="Arial" w:hAnsi="Arial" w:cs="Arial"/>
          <w:sz w:val="20"/>
          <w:szCs w:val="20"/>
        </w:rPr>
        <w:footnoteReference w:id="5"/>
      </w:r>
      <w:r>
        <w:rPr>
          <w:rFonts w:ascii="Arial" w:hAnsi="Arial" w:cs="Arial"/>
          <w:sz w:val="20"/>
          <w:szCs w:val="20"/>
        </w:rPr>
        <w:t xml:space="preserve"> </w:t>
      </w:r>
      <w:r w:rsidRPr="007E3D8B">
        <w:rPr>
          <w:rFonts w:ascii="Arial" w:hAnsi="Arial" w:cs="Arial"/>
          <w:sz w:val="20"/>
          <w:szCs w:val="20"/>
        </w:rPr>
        <w:t>veriler</w:t>
      </w:r>
      <w:r>
        <w:rPr>
          <w:rFonts w:ascii="Arial" w:hAnsi="Arial" w:cs="Arial"/>
          <w:sz w:val="20"/>
          <w:szCs w:val="20"/>
        </w:rPr>
        <w:t xml:space="preserve">i </w:t>
      </w:r>
      <w:r w:rsidR="00C82050">
        <w:rPr>
          <w:rFonts w:ascii="Arial" w:hAnsi="Arial" w:cs="Arial"/>
          <w:sz w:val="20"/>
          <w:szCs w:val="20"/>
        </w:rPr>
        <w:t>Nisan</w:t>
      </w:r>
      <w:r>
        <w:rPr>
          <w:rFonts w:ascii="Arial" w:hAnsi="Arial" w:cs="Arial"/>
          <w:sz w:val="20"/>
          <w:szCs w:val="20"/>
        </w:rPr>
        <w:t xml:space="preserve"> 2013 döneminde tarım dışı işsizliğin </w:t>
      </w:r>
      <w:r w:rsidR="000E7B4F">
        <w:rPr>
          <w:rFonts w:ascii="Arial" w:hAnsi="Arial" w:cs="Arial"/>
          <w:sz w:val="20"/>
          <w:szCs w:val="20"/>
        </w:rPr>
        <w:t xml:space="preserve">az da olsa düşebileceğine işaret etmektedir. Ancak 2012 yılının son çeyreğinden beri süregelen yatay seyrin kırılıp kırılamayacağı belirsizdir. </w:t>
      </w:r>
    </w:p>
    <w:p w:rsidR="001D416D" w:rsidRPr="00B162C2" w:rsidRDefault="001D416D" w:rsidP="00B162C2">
      <w:pPr>
        <w:rPr>
          <w:rFonts w:ascii="Arial" w:hAnsi="Arial" w:cs="Arial"/>
          <w:sz w:val="20"/>
          <w:szCs w:val="20"/>
        </w:rPr>
      </w:pPr>
    </w:p>
    <w:p w:rsidR="001D416D" w:rsidRPr="001541B3" w:rsidRDefault="001D416D" w:rsidP="009B6842">
      <w:pPr>
        <w:pStyle w:val="Caption"/>
        <w:keepNext/>
        <w:rPr>
          <w:rFonts w:ascii="Arial" w:hAnsi="Arial" w:cs="Arial"/>
        </w:rPr>
      </w:pPr>
      <w:r w:rsidRPr="001541B3">
        <w:rPr>
          <w:rFonts w:ascii="Arial" w:hAnsi="Arial" w:cs="Arial"/>
        </w:rPr>
        <w:t xml:space="preserve">Şekil </w:t>
      </w:r>
      <w:r w:rsidR="008E1D2C" w:rsidRPr="001541B3">
        <w:rPr>
          <w:rFonts w:ascii="Arial" w:hAnsi="Arial" w:cs="Arial"/>
        </w:rPr>
        <w:fldChar w:fldCharType="begin"/>
      </w:r>
      <w:r w:rsidRPr="001541B3">
        <w:rPr>
          <w:rFonts w:ascii="Arial" w:hAnsi="Arial" w:cs="Arial"/>
        </w:rPr>
        <w:instrText xml:space="preserve"> SEQ Figure \* ARABIC </w:instrText>
      </w:r>
      <w:r w:rsidR="008E1D2C" w:rsidRPr="001541B3">
        <w:rPr>
          <w:rFonts w:ascii="Arial" w:hAnsi="Arial" w:cs="Arial"/>
        </w:rPr>
        <w:fldChar w:fldCharType="separate"/>
      </w:r>
      <w:r w:rsidR="0030402B">
        <w:rPr>
          <w:rFonts w:ascii="Arial" w:hAnsi="Arial" w:cs="Arial"/>
          <w:noProof/>
        </w:rPr>
        <w:t>3</w:t>
      </w:r>
      <w:r w:rsidR="008E1D2C" w:rsidRPr="001541B3">
        <w:rPr>
          <w:rFonts w:ascii="Arial" w:hAnsi="Arial" w:cs="Arial"/>
        </w:rPr>
        <w:fldChar w:fldCharType="end"/>
      </w:r>
      <w:r w:rsidRPr="001541B3">
        <w:rPr>
          <w:rFonts w:ascii="Arial" w:hAnsi="Arial" w:cs="Arial"/>
        </w:rPr>
        <w:t xml:space="preserve"> Mevsim etkilerinden arındırılmış tarım dışı işsizlik ora</w:t>
      </w:r>
      <w:r>
        <w:rPr>
          <w:rFonts w:ascii="Arial" w:hAnsi="Arial" w:cs="Arial"/>
        </w:rPr>
        <w:t>nı ve ilan başına başvuru sayısı</w:t>
      </w:r>
    </w:p>
    <w:p w:rsidR="001D416D" w:rsidRPr="001541B3" w:rsidRDefault="006671B9" w:rsidP="009B6842">
      <w:pPr>
        <w:rPr>
          <w:rFonts w:ascii="Arial" w:hAnsi="Arial" w:cs="Arial"/>
          <w:b/>
          <w:bCs/>
          <w:sz w:val="20"/>
          <w:szCs w:val="20"/>
          <w:highlight w:val="lightGray"/>
        </w:rPr>
      </w:pPr>
      <w:r>
        <w:rPr>
          <w:rFonts w:ascii="Arial" w:hAnsi="Arial" w:cs="Arial"/>
          <w:b/>
          <w:bCs/>
          <w:noProof/>
          <w:sz w:val="20"/>
          <w:szCs w:val="20"/>
          <w:lang w:eastAsia="tr-TR"/>
        </w:rPr>
        <w:pict>
          <v:shape id="_x0000_i1031" type="#_x0000_t75" style="width:447pt;height:244.5pt">
            <v:imagedata r:id="rId11" o:title="sekil3"/>
          </v:shape>
        </w:pict>
      </w:r>
    </w:p>
    <w:p w:rsidR="001D416D" w:rsidRPr="0046669F" w:rsidRDefault="001D416D" w:rsidP="009B164C">
      <w:pPr>
        <w:rPr>
          <w:rFonts w:ascii="Arial" w:hAnsi="Arial" w:cs="Arial"/>
          <w:b/>
          <w:bCs/>
          <w:sz w:val="16"/>
          <w:szCs w:val="16"/>
        </w:rPr>
      </w:pPr>
      <w:r w:rsidRPr="001541B3">
        <w:rPr>
          <w:rFonts w:ascii="Arial" w:hAnsi="Arial" w:cs="Arial"/>
          <w:sz w:val="16"/>
          <w:szCs w:val="16"/>
        </w:rPr>
        <w:t>Kaynak: Kariyer.net, TÜİK, Beta</w:t>
      </w:r>
      <w:r>
        <w:rPr>
          <w:rFonts w:ascii="Arial" w:hAnsi="Arial" w:cs="Arial"/>
          <w:sz w:val="16"/>
          <w:szCs w:val="16"/>
        </w:rPr>
        <w:t>m</w:t>
      </w:r>
    </w:p>
    <w:p w:rsidR="001D416D" w:rsidRDefault="001D416D" w:rsidP="00AC7A58">
      <w:pPr>
        <w:rPr>
          <w:rFonts w:ascii="Arial" w:hAnsi="Arial" w:cs="Arial"/>
          <w:sz w:val="20"/>
          <w:szCs w:val="20"/>
        </w:rPr>
      </w:pPr>
    </w:p>
    <w:p w:rsidR="003D049E" w:rsidRDefault="003D049E" w:rsidP="00AC7A58">
      <w:pPr>
        <w:rPr>
          <w:rFonts w:ascii="Arial" w:hAnsi="Arial" w:cs="Arial"/>
          <w:sz w:val="20"/>
          <w:szCs w:val="20"/>
        </w:rPr>
      </w:pPr>
    </w:p>
    <w:p w:rsidR="003D049E" w:rsidRDefault="003D049E" w:rsidP="003D049E">
      <w:pPr>
        <w:rPr>
          <w:rFonts w:ascii="Arial" w:hAnsi="Arial" w:cs="Arial"/>
          <w:sz w:val="20"/>
          <w:szCs w:val="20"/>
        </w:rPr>
      </w:pPr>
      <w:r w:rsidRPr="003D049E">
        <w:rPr>
          <w:rFonts w:ascii="Arial" w:hAnsi="Arial" w:cs="Arial"/>
          <w:b/>
          <w:bCs/>
          <w:sz w:val="22"/>
          <w:szCs w:val="22"/>
        </w:rPr>
        <w:t>Sanayi istihdamı artmaya devam ediyor</w:t>
      </w:r>
      <w:r>
        <w:rPr>
          <w:rFonts w:ascii="Arial" w:hAnsi="Arial" w:cs="Arial"/>
          <w:b/>
          <w:bCs/>
          <w:sz w:val="22"/>
          <w:szCs w:val="22"/>
        </w:rPr>
        <w:t xml:space="preserve"> </w:t>
      </w:r>
      <w:r>
        <w:rPr>
          <w:rFonts w:ascii="Arial" w:hAnsi="Arial" w:cs="Arial"/>
          <w:sz w:val="20"/>
          <w:szCs w:val="20"/>
        </w:rPr>
        <w:t xml:space="preserve"> </w:t>
      </w:r>
    </w:p>
    <w:p w:rsidR="003D049E" w:rsidRDefault="003D049E" w:rsidP="003D049E">
      <w:pPr>
        <w:rPr>
          <w:rFonts w:ascii="Arial" w:hAnsi="Arial" w:cs="Arial"/>
          <w:sz w:val="20"/>
          <w:szCs w:val="20"/>
        </w:rPr>
      </w:pPr>
    </w:p>
    <w:p w:rsidR="003D049E" w:rsidRDefault="003D049E" w:rsidP="003D049E">
      <w:pPr>
        <w:rPr>
          <w:rFonts w:ascii="Arial" w:hAnsi="Arial" w:cs="Arial"/>
          <w:sz w:val="20"/>
          <w:szCs w:val="20"/>
        </w:rPr>
      </w:pPr>
      <w:r>
        <w:rPr>
          <w:rFonts w:ascii="Arial" w:hAnsi="Arial" w:cs="Arial"/>
          <w:sz w:val="20"/>
          <w:szCs w:val="20"/>
        </w:rPr>
        <w:t>Mart 2013 dönemi verileri tarım ve inşaat sektörlerinde istihdamın yatay seyrine devam ettiğine işaret ediyor (</w:t>
      </w:r>
      <w:r w:rsidRPr="00CB77DB">
        <w:rPr>
          <w:rFonts w:ascii="Arial" w:hAnsi="Arial" w:cs="Arial"/>
          <w:sz w:val="20"/>
          <w:szCs w:val="20"/>
        </w:rPr>
        <w:t>Şekil 4 ve Tablo 2)</w:t>
      </w:r>
      <w:r>
        <w:rPr>
          <w:rFonts w:ascii="Arial" w:hAnsi="Arial" w:cs="Arial"/>
          <w:sz w:val="20"/>
          <w:szCs w:val="20"/>
        </w:rPr>
        <w:t>.</w:t>
      </w:r>
      <w:r w:rsidRPr="00CB77DB">
        <w:rPr>
          <w:rStyle w:val="FootnoteReference"/>
          <w:rFonts w:ascii="Arial" w:hAnsi="Arial" w:cs="Arial"/>
          <w:sz w:val="20"/>
          <w:szCs w:val="20"/>
        </w:rPr>
        <w:footnoteReference w:id="6"/>
      </w:r>
      <w:r>
        <w:rPr>
          <w:rFonts w:ascii="Arial" w:hAnsi="Arial" w:cs="Arial"/>
          <w:sz w:val="20"/>
          <w:szCs w:val="20"/>
        </w:rPr>
        <w:t xml:space="preserve"> Diğer taraftan bu dönemde hem sanayi (38 bin) hem hizmetler (39 bin) sektörlerinde istihdam artmış. Sanayide istihdam artışları 2012 yılının son çeyreğinden beri istikrarlı bir şekilde devam ediyor. Bu dönemde sanayide istihdam artışlarının aylık ortalaması 30 bin civarında.   </w:t>
      </w:r>
    </w:p>
    <w:p w:rsidR="003D049E" w:rsidRDefault="003D049E" w:rsidP="00AC7A58">
      <w:pPr>
        <w:rPr>
          <w:rFonts w:ascii="Arial" w:hAnsi="Arial" w:cs="Arial"/>
          <w:sz w:val="20"/>
          <w:szCs w:val="20"/>
        </w:rPr>
        <w:sectPr w:rsidR="003D049E" w:rsidSect="0000377B">
          <w:footerReference w:type="default" r:id="rId12"/>
          <w:pgSz w:w="11905" w:h="16837"/>
          <w:pgMar w:top="1418" w:right="992" w:bottom="777" w:left="709" w:header="709" w:footer="709" w:gutter="0"/>
          <w:cols w:space="708"/>
          <w:rtlGutter/>
          <w:docGrid w:linePitch="360"/>
        </w:sectPr>
      </w:pPr>
    </w:p>
    <w:p w:rsidR="001D416D" w:rsidRDefault="001D416D" w:rsidP="00AC7A58">
      <w:pPr>
        <w:rPr>
          <w:rFonts w:ascii="Arial" w:hAnsi="Arial" w:cs="Arial"/>
          <w:b/>
          <w:bCs/>
          <w:sz w:val="20"/>
          <w:szCs w:val="20"/>
        </w:rPr>
      </w:pPr>
    </w:p>
    <w:p w:rsidR="001D416D" w:rsidRDefault="001D416D" w:rsidP="00323218">
      <w:pPr>
        <w:ind w:firstLine="709"/>
        <w:rPr>
          <w:rFonts w:ascii="Arial" w:hAnsi="Arial" w:cs="Arial"/>
          <w:b/>
          <w:bCs/>
          <w:sz w:val="20"/>
          <w:szCs w:val="20"/>
        </w:rPr>
      </w:pPr>
      <w:r w:rsidRPr="001541B3">
        <w:rPr>
          <w:rFonts w:ascii="Arial" w:hAnsi="Arial" w:cs="Arial"/>
          <w:b/>
          <w:bCs/>
          <w:sz w:val="20"/>
          <w:szCs w:val="20"/>
        </w:rPr>
        <w:t xml:space="preserve">Şekil </w:t>
      </w:r>
      <w:r w:rsidR="008E1D2C" w:rsidRPr="001541B3">
        <w:rPr>
          <w:rFonts w:ascii="Arial" w:hAnsi="Arial" w:cs="Arial"/>
          <w:b/>
          <w:bCs/>
          <w:sz w:val="20"/>
          <w:szCs w:val="20"/>
        </w:rPr>
        <w:fldChar w:fldCharType="begin"/>
      </w:r>
      <w:r w:rsidRPr="001541B3">
        <w:rPr>
          <w:rFonts w:ascii="Arial" w:hAnsi="Arial" w:cs="Arial"/>
          <w:b/>
          <w:bCs/>
          <w:sz w:val="20"/>
          <w:szCs w:val="20"/>
        </w:rPr>
        <w:instrText xml:space="preserve"> SEQ Figure \* ARABIC </w:instrText>
      </w:r>
      <w:r w:rsidR="008E1D2C" w:rsidRPr="001541B3">
        <w:rPr>
          <w:rFonts w:ascii="Arial" w:hAnsi="Arial" w:cs="Arial"/>
          <w:b/>
          <w:bCs/>
          <w:sz w:val="20"/>
          <w:szCs w:val="20"/>
        </w:rPr>
        <w:fldChar w:fldCharType="separate"/>
      </w:r>
      <w:r w:rsidR="0030402B">
        <w:rPr>
          <w:rFonts w:ascii="Arial" w:hAnsi="Arial" w:cs="Arial"/>
          <w:b/>
          <w:bCs/>
          <w:noProof/>
          <w:sz w:val="20"/>
          <w:szCs w:val="20"/>
        </w:rPr>
        <w:t>4</w:t>
      </w:r>
      <w:r w:rsidR="008E1D2C" w:rsidRPr="001541B3">
        <w:rPr>
          <w:rFonts w:ascii="Arial" w:hAnsi="Arial" w:cs="Arial"/>
          <w:b/>
          <w:bCs/>
          <w:sz w:val="20"/>
          <w:szCs w:val="20"/>
        </w:rPr>
        <w:fldChar w:fldCharType="end"/>
      </w:r>
      <w:r w:rsidRPr="001541B3">
        <w:rPr>
          <w:rFonts w:ascii="Arial" w:hAnsi="Arial" w:cs="Arial"/>
          <w:b/>
          <w:bCs/>
          <w:sz w:val="20"/>
          <w:szCs w:val="20"/>
        </w:rPr>
        <w:t xml:space="preserve"> Sektörlerin istihdam değişimi (bin kişi)</w:t>
      </w:r>
      <w:r w:rsidRPr="001541B3">
        <w:rPr>
          <w:rStyle w:val="FootnoteReference"/>
          <w:rFonts w:ascii="Arial" w:hAnsi="Arial" w:cs="Arial"/>
          <w:b/>
          <w:bCs/>
          <w:sz w:val="20"/>
          <w:szCs w:val="20"/>
        </w:rPr>
        <w:footnoteReference w:id="7"/>
      </w:r>
    </w:p>
    <w:p w:rsidR="001D416D" w:rsidRPr="001541B3" w:rsidRDefault="006671B9" w:rsidP="00323218">
      <w:r>
        <w:rPr>
          <w:noProof/>
          <w:lang w:eastAsia="tr-TR"/>
        </w:rPr>
        <w:pict>
          <v:shape id="_x0000_i1027" type="#_x0000_t75" style="width:732pt;height:406.5pt">
            <v:imagedata r:id="rId13" o:title="ek1"/>
          </v:shape>
        </w:pict>
      </w:r>
    </w:p>
    <w:p w:rsidR="001D416D" w:rsidRDefault="001D416D" w:rsidP="00323218">
      <w:pPr>
        <w:rPr>
          <w:rFonts w:ascii="Arial" w:hAnsi="Arial" w:cs="Arial"/>
          <w:b/>
          <w:bCs/>
          <w:sz w:val="20"/>
          <w:szCs w:val="20"/>
        </w:rPr>
        <w:sectPr w:rsidR="001D416D" w:rsidSect="00323218">
          <w:pgSz w:w="16837" w:h="11905" w:orient="landscape"/>
          <w:pgMar w:top="992" w:right="777" w:bottom="709" w:left="1418" w:header="709" w:footer="709" w:gutter="0"/>
          <w:cols w:space="708"/>
          <w:docGrid w:linePitch="360"/>
        </w:sectPr>
      </w:pPr>
      <w:r w:rsidRPr="001541B3">
        <w:rPr>
          <w:rFonts w:ascii="Arial" w:hAnsi="Arial" w:cs="Arial"/>
          <w:sz w:val="16"/>
          <w:szCs w:val="16"/>
        </w:rPr>
        <w:t xml:space="preserve">Kaynak: TÜİK, </w:t>
      </w:r>
      <w:r>
        <w:rPr>
          <w:rFonts w:ascii="Arial" w:hAnsi="Arial" w:cs="Arial"/>
          <w:b/>
          <w:bCs/>
          <w:sz w:val="16"/>
          <w:szCs w:val="16"/>
        </w:rPr>
        <w:t>Beta</w:t>
      </w:r>
    </w:p>
    <w:p w:rsidR="001D416D" w:rsidRDefault="001D416D" w:rsidP="00602749">
      <w:pPr>
        <w:rPr>
          <w:rFonts w:ascii="Arial" w:hAnsi="Arial" w:cs="Arial"/>
          <w:b/>
          <w:bCs/>
          <w:sz w:val="22"/>
          <w:szCs w:val="22"/>
        </w:rPr>
      </w:pPr>
    </w:p>
    <w:p w:rsidR="001D416D" w:rsidRPr="009C4C0C" w:rsidRDefault="001D416D" w:rsidP="00E672B0">
      <w:pPr>
        <w:pBdr>
          <w:top w:val="single" w:sz="12" w:space="1" w:color="auto"/>
          <w:left w:val="single" w:sz="12" w:space="4" w:color="auto"/>
          <w:bottom w:val="single" w:sz="12" w:space="1" w:color="auto"/>
          <w:right w:val="single" w:sz="12" w:space="4" w:color="auto"/>
        </w:pBdr>
        <w:shd w:val="clear" w:color="auto" w:fill="B8CCE4" w:themeFill="accent1" w:themeFillTint="66"/>
        <w:spacing w:after="120"/>
        <w:jc w:val="center"/>
        <w:rPr>
          <w:rFonts w:ascii="Arial" w:hAnsi="Arial" w:cs="Arial"/>
          <w:sz w:val="28"/>
          <w:szCs w:val="28"/>
        </w:rPr>
      </w:pPr>
      <w:r w:rsidRPr="00991299">
        <w:rPr>
          <w:rFonts w:ascii="Arial" w:hAnsi="Arial" w:cs="Arial"/>
          <w:b/>
          <w:bCs/>
          <w:sz w:val="28"/>
          <w:szCs w:val="28"/>
        </w:rPr>
        <w:t>İŞGÜCÜ PİYASASINDA ÖNE ÇIKAN GELİŞMELER</w:t>
      </w:r>
    </w:p>
    <w:p w:rsidR="00602749"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spacing w:after="120"/>
        <w:jc w:val="center"/>
        <w:rPr>
          <w:rFonts w:ascii="Arial" w:hAnsi="Arial" w:cs="Arial"/>
          <w:b/>
          <w:bCs/>
          <w:sz w:val="28"/>
          <w:szCs w:val="28"/>
        </w:rPr>
      </w:pPr>
      <w:r w:rsidRPr="00C82050">
        <w:rPr>
          <w:rFonts w:ascii="Arial" w:hAnsi="Arial" w:cs="Arial"/>
          <w:b/>
          <w:bCs/>
          <w:sz w:val="28"/>
          <w:szCs w:val="28"/>
        </w:rPr>
        <w:t>Türkiye’nin sanayi haritası</w:t>
      </w:r>
    </w:p>
    <w:p w:rsidR="00E672B0" w:rsidRDefault="00E672B0" w:rsidP="00E672B0">
      <w:pPr>
        <w:pBdr>
          <w:top w:val="single" w:sz="12" w:space="1" w:color="auto"/>
          <w:left w:val="single" w:sz="12" w:space="4" w:color="auto"/>
          <w:bottom w:val="single" w:sz="12" w:space="1" w:color="auto"/>
          <w:right w:val="single" w:sz="12" w:space="4" w:color="auto"/>
        </w:pBdr>
        <w:shd w:val="clear" w:color="auto" w:fill="B8CCE4" w:themeFill="accent1" w:themeFillTint="66"/>
        <w:spacing w:after="120"/>
        <w:jc w:val="center"/>
        <w:rPr>
          <w:rFonts w:ascii="Arial" w:hAnsi="Arial" w:cs="Arial"/>
          <w:b/>
          <w:bCs/>
          <w:sz w:val="28"/>
          <w:szCs w:val="28"/>
        </w:rPr>
      </w:pPr>
    </w:p>
    <w:p w:rsidR="00C82050" w:rsidRP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20"/>
          <w:szCs w:val="20"/>
        </w:rPr>
      </w:pPr>
      <w:r w:rsidRPr="00C82050">
        <w:rPr>
          <w:rFonts w:ascii="Arial" w:hAnsi="Arial" w:cs="Arial"/>
          <w:sz w:val="20"/>
          <w:szCs w:val="20"/>
        </w:rPr>
        <w:t>Türkiye sanayileşmesini henüz tamamlamamış bir ülke. Sanayileşmeye erken başlayan ülkelerde tarihsel olarak önce sanayinin mili gelir ve istihdam içindeki payı hızla artmış, buna karşılık sanayileşmenin sağladığı tarımdaki verimlilik artışlarına paralel olarak tarım istihdamının payı hızla azalmıştır. İkinci aşamada ise, kişi başına gelir belirli bir düzeye ulaştıktan sonra hizmetlere talep giderek artmış, bu artışa paralel olarak da hizmetlerin ekonomi içindeki payı düzenli olarak yükselmiştir. Günümüzde kişi başına ortalama geliri 30 bin ve üzerindeki ülkelerde hizmetlerin istihdam payı yüzde 65-70, tarımın payı yüzde 3-5, sanayinin payı ise ülkelerin uluslararası ihtisaslaşma durumlarına göre yüzde 25-30 arasında değişmektedir. Türkiye’de bu oranlar 2012 yılı itibariyle sırasıyla yüzde 50, yüzde 25 ve yüzde</w:t>
      </w:r>
      <w:r w:rsidR="00CE44BD">
        <w:rPr>
          <w:rFonts w:ascii="Arial" w:hAnsi="Arial" w:cs="Arial"/>
          <w:sz w:val="20"/>
          <w:szCs w:val="20"/>
        </w:rPr>
        <w:t xml:space="preserve"> 19’dur. Tarım istihdamının aşırı yüksekliği</w:t>
      </w:r>
      <w:r w:rsidR="00E23FA2">
        <w:rPr>
          <w:rFonts w:ascii="Arial" w:hAnsi="Arial" w:cs="Arial"/>
          <w:sz w:val="20"/>
          <w:szCs w:val="20"/>
        </w:rPr>
        <w:t>,</w:t>
      </w:r>
      <w:r w:rsidR="00CE44BD">
        <w:rPr>
          <w:rFonts w:ascii="Arial" w:hAnsi="Arial" w:cs="Arial"/>
          <w:sz w:val="20"/>
          <w:szCs w:val="20"/>
        </w:rPr>
        <w:t xml:space="preserve"> Türkiye’nin </w:t>
      </w:r>
      <w:r w:rsidRPr="00C82050">
        <w:rPr>
          <w:rFonts w:ascii="Arial" w:hAnsi="Arial" w:cs="Arial"/>
          <w:sz w:val="20"/>
          <w:szCs w:val="20"/>
        </w:rPr>
        <w:t>yeterince sanayileşmeden</w:t>
      </w:r>
      <w:r w:rsidR="00CE44BD">
        <w:rPr>
          <w:rFonts w:ascii="Arial" w:hAnsi="Arial" w:cs="Arial"/>
          <w:sz w:val="20"/>
          <w:szCs w:val="20"/>
        </w:rPr>
        <w:t>,</w:t>
      </w:r>
      <w:r w:rsidRPr="00C82050">
        <w:rPr>
          <w:rFonts w:ascii="Arial" w:hAnsi="Arial" w:cs="Arial"/>
          <w:sz w:val="20"/>
          <w:szCs w:val="20"/>
        </w:rPr>
        <w:t xml:space="preserve"> bir diğer ifadeyle birinci aşamayı tamamlamadan, hizmetlerin payının arttığı ikinci aşamaya atladığına işaret etmektedir. Bu durum Türkiye’ye özgü olmayıp halen gelişmekte olan ülkelerde de gözlemlenmektedir. Ancak Türkiye’de asimetri oldukça belirgindir. </w:t>
      </w:r>
    </w:p>
    <w:p w:rsidR="00C82050" w:rsidRP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20"/>
          <w:szCs w:val="20"/>
        </w:rPr>
      </w:pPr>
    </w:p>
    <w:p w:rsidR="00C82050" w:rsidRP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20"/>
          <w:szCs w:val="20"/>
        </w:rPr>
      </w:pPr>
      <w:r w:rsidRPr="00C82050">
        <w:rPr>
          <w:rFonts w:ascii="Arial" w:hAnsi="Arial" w:cs="Arial"/>
          <w:sz w:val="20"/>
          <w:szCs w:val="20"/>
        </w:rPr>
        <w:t>Türkiye’nin kişi başına ortalama geliri hızla arttırarak gelişmiş ülkelerin düzeyine yaklaşabilmesi için verimlilik artışlarının yüksek olduğu sanayi sektörünün payını arttırması, aynı zamanda da çok düşük emek verimliliğe sahip tarım sektörünün istihdam payının azalmasının gerektiği konusunda iktisatçılar arasında geniş bir görüş biriliği mevcuttur.  Ancak bunun nasıl başarılacağı yeterince açıklığa kavuşmamıştır. Bu bağlamda sanayimizin bölgeler arasındaki dağılımını ve bu dağılımın son dönemde nasıl değiştiğini inceledik. Sanayileşme düzeyinin bir göstergesi olarak sanayide ücretli istihdamın tarım dışı istihdam içindeki payını dikkate alıyoruz. Bu sınırlamanın amacı geleneksel zanaatları kapsayan ve büyük ölçüde kendi hesabına çalışan kategorisinde yer alan ama aynı zamanda da sanayi istihdamı olarak gözüken grubu dışlayarak modern anlamda sanayi istihdamını dikkate almaktır. Toplam yerine tarım dışı istihdamı dikkate almamızın nedeni de tarım istihdamının bölgeler arasında çok büyük eşitsizlikler göstermesi, daha önemlisi de bu eşitsizliklerin gelişmişlik düzeyi ile zayıf bağlara sahip olmasıdır: Örneğin Doğu Karadeniz’de tarım istihdamının payı yüksek buna karşılık Güneydoğu Anadolu’da düşüktür. Oysa Güneydoğu Anadolu Doğu Karadeniz’den daha gelişmiş değildir. Sanayide ücretli istihdamın tarım dışı istihdam içindeki paylarının 2011 yılı değerlerini 26 bölge için ayrı ayrı hesaplayarak aşağıdaki haritayı oluşturduk (Harita 1).</w:t>
      </w:r>
    </w:p>
    <w:p w:rsidR="00C82050" w:rsidRPr="005D3797"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sz w:val="20"/>
          <w:szCs w:val="20"/>
        </w:rPr>
      </w:pPr>
    </w:p>
    <w:p w:rsidR="00C82050" w:rsidRP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b/>
          <w:bCs/>
          <w:sz w:val="22"/>
          <w:szCs w:val="22"/>
        </w:rPr>
      </w:pPr>
      <w:r w:rsidRPr="00C82050">
        <w:rPr>
          <w:rFonts w:ascii="Arial" w:hAnsi="Arial" w:cs="Arial"/>
          <w:b/>
          <w:bCs/>
          <w:sz w:val="22"/>
          <w:szCs w:val="22"/>
        </w:rPr>
        <w:t>Sanayileşmede Batı-Doğu karşıtlığı</w:t>
      </w:r>
    </w:p>
    <w:p w:rsidR="00C82050" w:rsidRPr="00BC0F4F"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sz w:val="20"/>
          <w:szCs w:val="20"/>
        </w:rPr>
      </w:pPr>
    </w:p>
    <w:p w:rsidR="00C82050" w:rsidRP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20"/>
          <w:szCs w:val="20"/>
        </w:rPr>
        <w:sectPr w:rsidR="00C82050" w:rsidRPr="00C82050" w:rsidSect="00503FEB">
          <w:footerReference w:type="even" r:id="rId14"/>
          <w:footerReference w:type="default" r:id="rId15"/>
          <w:pgSz w:w="11906" w:h="16838"/>
          <w:pgMar w:top="720" w:right="720" w:bottom="720" w:left="720" w:header="709" w:footer="709" w:gutter="0"/>
          <w:cols w:space="708"/>
          <w:rtlGutter/>
          <w:docGrid w:linePitch="360"/>
        </w:sectPr>
      </w:pPr>
      <w:r w:rsidRPr="00C82050">
        <w:rPr>
          <w:rFonts w:ascii="Arial" w:hAnsi="Arial" w:cs="Arial"/>
          <w:sz w:val="20"/>
          <w:szCs w:val="20"/>
        </w:rPr>
        <w:t>2011 yılında ücretli sanayi istihdamının tarım dışı istihdamdaki payının Türkiye ortalaması yüzde 28,3’tür. Bu ortalamanın çok üzerindeki bölgeleri (yüzde 31-47 aralığı) ileri düzeyde sanayileşmiş bölgeler, ortalamanın üzerindeki diğer bölgeleri (yüzde 28-30 aralığı) sanayileşmiş bölgeler, ortalamanın altındaki bölgeleri (yüzde 16-27 aralığı) düşük düzeyde sanayileşmiş bölgeler, ortalamanın çok altındaki bölgeleri de (yüzde 4-15 aralığı) bölgeleri de sanayileşmekten uzak bölgeler olarak kabul ederek bölgeleri 4 grupta toplamış oluyoruz (Harita 1). Manzara şunu gösteriyor: Sanayileşmede ileri bölgeler çok büyük ölçüde Kuzey Batı’ya yığılmış durumda. Türkiye’nin en sanayileşmiş iki bölgesi Trakya ve Bursa-Bilecik-Eskişehir bölgeleri. Bununla birlikte Gaziantep-Adıyaman-Kilis bölgesi ilginç bir istisna olarak temayüz ediyor. Üç bölge, İzmir, Konya-Karaman ile Kayseri-Sivas-Yozgat orta düzeyde sanayileşmiş bölgeler. Bu son bölgede Kayseri ilinin Sivas ve Yozgat ilerine baskın geldiğini tahmin edebiliriz. Düşük düzeyde sanayileşmiş 10 bölge var. Bu bölgelerin çoğu Doğu Karadeniz ve Doğu Akdeniz’de yer alıyor. Balıkesir Çanakkale bölgesinin de bu grupta yer alması beklenmedik bir sonuç olarak görülebilir. Kalan 6 bölge sanayileşmenin oldukça uzağında kalan bölgeler. Beklendiği gibi, Antalya bölgesi hariç, hemen hepsi Doğu ve Güneydoğu’da yer alıyorlar. Türkiye’nin turizm lokomotifi olan Antalya bölgesi zaten sanayileşmek zorunda değil.  En düşük sanayi düzeyine yüzde 4,5 pay ile Van-Muş-Bitlis-Hakkâri bölgesinin sahip</w:t>
      </w:r>
      <w:r>
        <w:rPr>
          <w:rFonts w:ascii="Arial" w:hAnsi="Arial" w:cs="Arial"/>
          <w:sz w:val="20"/>
          <w:szCs w:val="20"/>
        </w:rPr>
        <w:t xml:space="preserve"> olduğunu not edelim (Tablo 1).</w:t>
      </w:r>
      <w:r w:rsidR="00857087">
        <w:rPr>
          <w:rFonts w:ascii="Arial" w:hAnsi="Arial" w:cs="Arial"/>
          <w:sz w:val="20"/>
          <w:szCs w:val="20"/>
        </w:rPr>
        <w:t xml:space="preserve"> Sanayinin tarım dışı istihdamdaki payının bölgeler arasında ne kadar farklılaştığını görmek için </w:t>
      </w:r>
      <w:r w:rsidR="00E9603F" w:rsidRPr="00C82050">
        <w:rPr>
          <w:rFonts w:ascii="Arial" w:hAnsi="Arial" w:cs="Arial"/>
          <w:sz w:val="20"/>
          <w:szCs w:val="20"/>
        </w:rPr>
        <w:t>Van-Muş-Bitlis-Hakkâri</w:t>
      </w:r>
      <w:r w:rsidR="00E9603F">
        <w:rPr>
          <w:rFonts w:ascii="Arial" w:hAnsi="Arial" w:cs="Arial"/>
          <w:sz w:val="20"/>
          <w:szCs w:val="20"/>
        </w:rPr>
        <w:t xml:space="preserve">’de yüzde 4,5 </w:t>
      </w:r>
      <w:r w:rsidR="00857087">
        <w:rPr>
          <w:rFonts w:ascii="Arial" w:hAnsi="Arial" w:cs="Arial"/>
          <w:sz w:val="20"/>
          <w:szCs w:val="20"/>
        </w:rPr>
        <w:t xml:space="preserve">olan payın </w:t>
      </w:r>
      <w:r w:rsidR="00E9603F">
        <w:rPr>
          <w:rFonts w:ascii="Arial" w:hAnsi="Arial" w:cs="Arial"/>
          <w:sz w:val="20"/>
          <w:szCs w:val="20"/>
        </w:rPr>
        <w:t xml:space="preserve">Trakya’da nerdeyse 10 kat farkla yüzde 46,3 olduğunu tekrarlamakta </w:t>
      </w:r>
      <w:r w:rsidR="00857087">
        <w:rPr>
          <w:rFonts w:ascii="Arial" w:hAnsi="Arial" w:cs="Arial"/>
          <w:sz w:val="20"/>
          <w:szCs w:val="20"/>
        </w:rPr>
        <w:t>fayda var.</w:t>
      </w:r>
    </w:p>
    <w:p w:rsidR="00C82050" w:rsidRPr="00906E21"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b/>
          <w:bCs/>
          <w:sz w:val="20"/>
          <w:szCs w:val="20"/>
        </w:rPr>
      </w:pPr>
      <w:r w:rsidRPr="00906E21">
        <w:rPr>
          <w:rFonts w:ascii="Arial" w:hAnsi="Arial" w:cs="Arial"/>
          <w:b/>
          <w:bCs/>
          <w:sz w:val="20"/>
          <w:szCs w:val="20"/>
        </w:rPr>
        <w:lastRenderedPageBreak/>
        <w:t>Harita 1: Bölgelerin sanayileşme düzeyleri (2011)</w:t>
      </w:r>
    </w:p>
    <w:p w:rsidR="00C82050" w:rsidRDefault="006671B9" w:rsidP="00E672B0">
      <w:pPr>
        <w:pBdr>
          <w:top w:val="single" w:sz="12" w:space="1" w:color="auto"/>
          <w:left w:val="single" w:sz="12" w:space="4" w:color="auto"/>
          <w:bottom w:val="single" w:sz="12" w:space="1" w:color="auto"/>
          <w:right w:val="single" w:sz="12" w:space="4" w:color="auto"/>
        </w:pBdr>
        <w:shd w:val="clear" w:color="auto" w:fill="B8CCE4" w:themeFill="accent1" w:themeFillTint="66"/>
      </w:pPr>
      <w:r>
        <w:rPr>
          <w:noProof/>
          <w:lang w:eastAsia="tr-TR"/>
        </w:rPr>
        <w:pict>
          <v:shape id="Picture 2" o:spid="_x0000_i1028" type="#_x0000_t75" alt="h1.jpg" style="width:449.25pt;height:212.25pt;visibility:visible;mso-wrap-style:square">
            <v:imagedata r:id="rId16" o:title="h1"/>
          </v:shape>
        </w:pict>
      </w:r>
    </w:p>
    <w:p w:rsidR="00C82050" w:rsidRP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16"/>
          <w:szCs w:val="16"/>
        </w:rPr>
      </w:pPr>
      <w:r w:rsidRPr="00C82050">
        <w:rPr>
          <w:rFonts w:ascii="Arial" w:hAnsi="Arial" w:cs="Arial"/>
          <w:sz w:val="16"/>
          <w:szCs w:val="16"/>
        </w:rPr>
        <w:t xml:space="preserve">Kaynak: Hanehalkı İşgücü anketi; TÜİK, </w:t>
      </w:r>
      <w:r w:rsidRPr="00C82050">
        <w:rPr>
          <w:rFonts w:ascii="Arial" w:hAnsi="Arial" w:cs="Arial"/>
          <w:b/>
          <w:bCs/>
          <w:sz w:val="16"/>
          <w:szCs w:val="16"/>
        </w:rPr>
        <w:t>Betam</w:t>
      </w:r>
    </w:p>
    <w:p w:rsid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pPr>
    </w:p>
    <w:p w:rsidR="00C82050" w:rsidRP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b/>
          <w:bCs/>
          <w:sz w:val="22"/>
          <w:szCs w:val="22"/>
        </w:rPr>
      </w:pPr>
      <w:r w:rsidRPr="00C82050">
        <w:rPr>
          <w:rFonts w:ascii="Arial" w:hAnsi="Arial" w:cs="Arial"/>
          <w:b/>
          <w:bCs/>
          <w:sz w:val="22"/>
          <w:szCs w:val="22"/>
        </w:rPr>
        <w:t>Sanayileşmede atılım ve gerileme</w:t>
      </w:r>
    </w:p>
    <w:p w:rsid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sz w:val="20"/>
          <w:szCs w:val="20"/>
        </w:rPr>
      </w:pPr>
    </w:p>
    <w:p w:rsidR="00C82050" w:rsidRP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20"/>
          <w:szCs w:val="20"/>
        </w:rPr>
      </w:pPr>
      <w:r w:rsidRPr="00C82050">
        <w:rPr>
          <w:rFonts w:ascii="Arial" w:hAnsi="Arial" w:cs="Arial"/>
          <w:sz w:val="20"/>
          <w:szCs w:val="20"/>
        </w:rPr>
        <w:t xml:space="preserve">2005’ten 2011’e sanayileşme incelendiğinde oldukça farklı bir manzara ile karşılaşıyoruz. Kimi bölgeler atılım yaparken, kimi bölgeler yerinde sayıyorlar ya da geriliyorlar. Son 6 yılda Türkiye genelinde ücretli sanayi istihdamının tarım dışı istihdamdaki payının yüzde 31,6’dan yüzde 28,3’e, 3,4 yüzde puan gerilediğini görüyoruz. Bu değişimi nirengi olarak alarak 26 bölgeyi 4 farklı grupta topluyoruz: 1) Paylarını büyük ölçüde arttıran (3 ila 8 yüzde puan) sanayileşme hızı yüksek bölgeler. 2) Paylarını az da olsa arttıran (0 ila 2 yüzde puan) sanayileşen bölgeler. 3) Payları Türkiye ortalamasına paralel olarak azalan (0 ila -4 yüzde puan) bölgeler. 4) Payları hızla düşen (-5 ila 8 arası) sanayileşmede gerileyen bölgeler. </w:t>
      </w:r>
    </w:p>
    <w:p w:rsid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pPr>
    </w:p>
    <w:p w:rsidR="00C82050" w:rsidRPr="00906E21"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b/>
          <w:bCs/>
          <w:sz w:val="20"/>
          <w:szCs w:val="20"/>
        </w:rPr>
      </w:pPr>
      <w:r w:rsidRPr="00906E21">
        <w:rPr>
          <w:rFonts w:ascii="Arial" w:hAnsi="Arial" w:cs="Arial"/>
          <w:b/>
          <w:bCs/>
          <w:sz w:val="20"/>
          <w:szCs w:val="20"/>
        </w:rPr>
        <w:t>Harita 2: Bölgelerin sanayileşme düzeylerindeki değişim (2005-2011)</w:t>
      </w:r>
    </w:p>
    <w:p w:rsidR="00C82050" w:rsidRDefault="006671B9" w:rsidP="00E672B0">
      <w:pPr>
        <w:pBdr>
          <w:top w:val="single" w:sz="12" w:space="1" w:color="auto"/>
          <w:left w:val="single" w:sz="12" w:space="4" w:color="auto"/>
          <w:bottom w:val="single" w:sz="12" w:space="1" w:color="auto"/>
          <w:right w:val="single" w:sz="12" w:space="4" w:color="auto"/>
        </w:pBdr>
        <w:shd w:val="clear" w:color="auto" w:fill="B8CCE4" w:themeFill="accent1" w:themeFillTint="66"/>
      </w:pPr>
      <w:r>
        <w:rPr>
          <w:noProof/>
          <w:lang w:eastAsia="tr-TR"/>
        </w:rPr>
        <w:pict>
          <v:shape id="Picture 3" o:spid="_x0000_i1029" type="#_x0000_t75" alt="h2.jpg" style="width:449.25pt;height:212.25pt;visibility:visible;mso-wrap-style:square">
            <v:imagedata r:id="rId17" o:title="h2"/>
          </v:shape>
        </w:pict>
      </w:r>
    </w:p>
    <w:p w:rsidR="00C82050" w:rsidRP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16"/>
          <w:szCs w:val="16"/>
        </w:rPr>
      </w:pPr>
      <w:r w:rsidRPr="00C82050">
        <w:rPr>
          <w:rFonts w:ascii="Arial" w:hAnsi="Arial" w:cs="Arial"/>
          <w:sz w:val="16"/>
          <w:szCs w:val="16"/>
        </w:rPr>
        <w:t xml:space="preserve">Kaynak: Hanehalkı İşgücü anketi; TÜİK, </w:t>
      </w:r>
      <w:r w:rsidRPr="00C82050">
        <w:rPr>
          <w:rFonts w:ascii="Arial" w:hAnsi="Arial" w:cs="Arial"/>
          <w:b/>
          <w:bCs/>
          <w:sz w:val="16"/>
          <w:szCs w:val="16"/>
        </w:rPr>
        <w:t>Betam</w:t>
      </w:r>
    </w:p>
    <w:p w:rsid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b/>
          <w:bCs/>
          <w:sz w:val="20"/>
          <w:szCs w:val="20"/>
        </w:rPr>
      </w:pPr>
    </w:p>
    <w:p w:rsidR="00E672B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20"/>
          <w:szCs w:val="20"/>
        </w:rPr>
      </w:pPr>
      <w:r w:rsidRPr="00C82050">
        <w:rPr>
          <w:rFonts w:ascii="Arial" w:hAnsi="Arial" w:cs="Arial"/>
          <w:b/>
          <w:bCs/>
          <w:sz w:val="20"/>
          <w:szCs w:val="20"/>
        </w:rPr>
        <w:t xml:space="preserve">Sanayileşme hızı yüksek </w:t>
      </w:r>
      <w:r w:rsidRPr="00C82050">
        <w:rPr>
          <w:rFonts w:ascii="Arial" w:hAnsi="Arial" w:cs="Arial"/>
          <w:sz w:val="20"/>
          <w:szCs w:val="20"/>
        </w:rPr>
        <w:t xml:space="preserve">bölgelerin arasında en dikkat çekici bölge kuşkusuz Trakya. 2005’te yüzde 38,5 payla İzmir ile birlikte 4. sırada yer alan Trakya sanayileşmesini hızla devam ettirerek 2011’de yüzde 46,3 payla 1. sıraya yükseliyor. İstanbul’un sanayileşmede doygunluğa ulaşmasıyla fabrikaların Batı’ya kaymasında bu gelişmenin başat rol oynadığını kolaylıkla tahmin edebiliriz. Nitekim İstanbul’un sanayi payında 4,8 yüzde puanlık azalış bunu teyit eder nitelikte. Sanayileşme hızı yüksek diğer bölgeler Konya-Karaman, Kuzey Doğu Karadeniz ve Malatya-Elazığ bölgesi. 2011 yılı itibariyle halen düşük sanayileşme düzeyine sahip bu iki bölgenin atılımı dikkat çekici (Harita 1). </w:t>
      </w:r>
      <w:r w:rsidRPr="00C82050">
        <w:rPr>
          <w:rFonts w:ascii="Arial" w:hAnsi="Arial" w:cs="Arial"/>
          <w:b/>
          <w:bCs/>
          <w:sz w:val="20"/>
          <w:szCs w:val="20"/>
        </w:rPr>
        <w:t xml:space="preserve">Sanayileşmeyi devam ettiren </w:t>
      </w:r>
      <w:r w:rsidRPr="00C82050">
        <w:rPr>
          <w:rFonts w:ascii="Arial" w:hAnsi="Arial" w:cs="Arial"/>
          <w:sz w:val="20"/>
          <w:szCs w:val="20"/>
        </w:rPr>
        <w:t>(2. grup)</w:t>
      </w:r>
      <w:r w:rsidRPr="00C82050">
        <w:rPr>
          <w:rFonts w:ascii="Arial" w:hAnsi="Arial" w:cs="Arial"/>
          <w:b/>
          <w:bCs/>
          <w:sz w:val="20"/>
          <w:szCs w:val="20"/>
        </w:rPr>
        <w:t xml:space="preserve"> </w:t>
      </w:r>
      <w:r w:rsidRPr="00C82050">
        <w:rPr>
          <w:rFonts w:ascii="Arial" w:hAnsi="Arial" w:cs="Arial"/>
          <w:sz w:val="20"/>
          <w:szCs w:val="20"/>
        </w:rPr>
        <w:t xml:space="preserve">bölgeler arasında Balıkesir-Çanakkale, Manisa’yı içeren iç Batı Ege, Kayseri ve Samsun bölgelerinin yer alması şaşırtıcı sayılmaz.  Buna karşılık Kuzeydoğu Anadolu (Ağrı-Kars-Iğdır-Ardahan) bölgesinin sanayileşen bölgeler arasında yer alması dikkat çekici ancak sanayi düzeyi en geri bölgeler arasında bulunan bu bölgenin sanayi istihdam payının 6 yılda yüzde 8,6’dan 8,9’a çok sınırlı bir artış kaydettiğini belirtelim. </w:t>
      </w:r>
      <w:r w:rsidRPr="00C82050">
        <w:rPr>
          <w:rFonts w:ascii="Arial" w:hAnsi="Arial" w:cs="Arial"/>
          <w:b/>
          <w:bCs/>
          <w:sz w:val="20"/>
          <w:szCs w:val="20"/>
        </w:rPr>
        <w:t xml:space="preserve">Sanayileşmede yerinde sayan </w:t>
      </w:r>
      <w:r w:rsidRPr="00C82050">
        <w:rPr>
          <w:rFonts w:ascii="Arial" w:hAnsi="Arial" w:cs="Arial"/>
          <w:sz w:val="20"/>
          <w:szCs w:val="20"/>
        </w:rPr>
        <w:t xml:space="preserve">bölgeler olarak adlandırabileceğimiz 3. grupta en dikkat çekici bölge Kocaeli-Sakarya bölgesi. Bu bölgenin de sanayileşmede belirli bir doyuma eriştiği anlaşılıyor. </w:t>
      </w:r>
    </w:p>
    <w:p w:rsidR="00C82050" w:rsidRP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20"/>
          <w:szCs w:val="20"/>
        </w:rPr>
      </w:pPr>
      <w:r w:rsidRPr="00C82050">
        <w:rPr>
          <w:rFonts w:ascii="Arial" w:hAnsi="Arial" w:cs="Arial"/>
          <w:sz w:val="20"/>
          <w:szCs w:val="20"/>
        </w:rPr>
        <w:lastRenderedPageBreak/>
        <w:t xml:space="preserve">Doyuma erişme bağlamında 4. grupta, </w:t>
      </w:r>
      <w:r w:rsidRPr="00C82050">
        <w:rPr>
          <w:rFonts w:ascii="Arial" w:hAnsi="Arial" w:cs="Arial"/>
          <w:b/>
          <w:bCs/>
          <w:sz w:val="20"/>
          <w:szCs w:val="20"/>
        </w:rPr>
        <w:t xml:space="preserve">sanayileşmede gerileyen </w:t>
      </w:r>
      <w:r w:rsidRPr="00C82050">
        <w:rPr>
          <w:rFonts w:ascii="Arial" w:hAnsi="Arial" w:cs="Arial"/>
          <w:sz w:val="20"/>
          <w:szCs w:val="20"/>
        </w:rPr>
        <w:t xml:space="preserve">bölgeler arasında yer alan Bursa-Bilecik-Eskişehir bölgesi oldukça çarpıcı bir örnek teşkil ediyor. Bu bölge 2005 yılında yüzde 51,9 pay ile Türkiye’nin en sanayileşmiş bölgesi iken, 2011 yılında yüzde 45 payla 2. sıraya gerilemiş durumda. Bu bölgede de İstanbul örneğinde olduğu gibi yüksek gelir düzeyine paralel olarak hizmet talebinin hızla arttığı anlaşılıyor. İzmir ve Zonguldak bölgelerinin de benzer bir gelişim içinde oldukları söylenebilir. Buna karşılık, zaten çok düşük sanayileşme düzeyine sahip Van-Muş- Bitlis-Hakkâri bölgesinin 2005-2011 döneminde sanayi düzeyinin belirgin ölçüde gerilemesi (- 7,8 yüzde puan) ekonomik gelişme açısından oldukça vahim bir duruma işaret ediyor. </w:t>
      </w:r>
    </w:p>
    <w:p w:rsid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b/>
          <w:bCs/>
          <w:sz w:val="20"/>
          <w:szCs w:val="20"/>
        </w:rPr>
      </w:pPr>
    </w:p>
    <w:p w:rsidR="00602749"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b/>
          <w:bCs/>
          <w:sz w:val="20"/>
          <w:szCs w:val="20"/>
        </w:rPr>
      </w:pPr>
      <w:r w:rsidRPr="00906E21">
        <w:rPr>
          <w:rFonts w:ascii="Arial" w:hAnsi="Arial" w:cs="Arial"/>
          <w:b/>
          <w:bCs/>
          <w:sz w:val="20"/>
          <w:szCs w:val="20"/>
        </w:rPr>
        <w:t>Tablo A: Bölgelere göre sanayide ücretli, maaşlı ve yevmiyeli istihdamının TD istihdam içindeki payının 2005’den 2011’e değişimi</w:t>
      </w:r>
    </w:p>
    <w:p w:rsidR="00503FEB" w:rsidRDefault="006671B9"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16"/>
          <w:szCs w:val="16"/>
        </w:rPr>
      </w:pPr>
      <w:r w:rsidRPr="008E1D2C">
        <w:rPr>
          <w:rFonts w:ascii="Arial" w:hAnsi="Arial" w:cs="Arial"/>
          <w:sz w:val="16"/>
          <w:szCs w:val="16"/>
        </w:rPr>
        <w:pict>
          <v:shape id="_x0000_i1030" type="#_x0000_t75" style="width:425.25pt;height:446.25pt" o:bordertopcolor="this" o:borderleftcolor="this" o:borderbottomcolor="this" o:borderrightcolor="this">
            <v:imagedata r:id="rId18" o:title="A"/>
            <w10:bordertop type="single" width="12"/>
            <w10:borderleft type="single" width="12"/>
            <w10:borderbottom type="single" width="12"/>
            <w10:borderright type="single" width="12"/>
          </v:shape>
        </w:pict>
      </w:r>
    </w:p>
    <w:p w:rsidR="00C82050" w:rsidRPr="00C82050" w:rsidRDefault="00C82050" w:rsidP="00E672B0">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16"/>
          <w:szCs w:val="16"/>
        </w:rPr>
      </w:pPr>
      <w:r w:rsidRPr="00C82050">
        <w:rPr>
          <w:rFonts w:ascii="Arial" w:hAnsi="Arial" w:cs="Arial"/>
          <w:sz w:val="16"/>
          <w:szCs w:val="16"/>
        </w:rPr>
        <w:t xml:space="preserve">Kaynak: Hanehalkı İşgücü anketi; TÜİK, </w:t>
      </w:r>
      <w:r w:rsidRPr="00C82050">
        <w:rPr>
          <w:rFonts w:ascii="Arial" w:hAnsi="Arial" w:cs="Arial"/>
          <w:b/>
          <w:bCs/>
          <w:sz w:val="16"/>
          <w:szCs w:val="16"/>
        </w:rPr>
        <w:t>Betam</w:t>
      </w:r>
    </w:p>
    <w:p w:rsidR="00C82050" w:rsidRPr="00EA450B" w:rsidRDefault="00C82050" w:rsidP="00602749"/>
    <w:p w:rsidR="001D416D" w:rsidRPr="00B90510" w:rsidRDefault="001D416D" w:rsidP="00602749">
      <w:pPr>
        <w:rPr>
          <w:rFonts w:ascii="Arial" w:hAnsi="Arial" w:cs="Arial"/>
          <w:b/>
          <w:bCs/>
          <w:sz w:val="28"/>
          <w:szCs w:val="28"/>
        </w:rPr>
      </w:pPr>
    </w:p>
    <w:p w:rsidR="001D416D" w:rsidRDefault="001D416D" w:rsidP="004A70E9">
      <w:pPr>
        <w:rPr>
          <w:rFonts w:ascii="Arial" w:hAnsi="Arial" w:cs="Arial"/>
          <w:sz w:val="20"/>
          <w:szCs w:val="20"/>
        </w:rPr>
      </w:pPr>
      <w:r>
        <w:rPr>
          <w:rFonts w:ascii="Arial" w:hAnsi="Arial" w:cs="Arial"/>
          <w:sz w:val="20"/>
          <w:szCs w:val="20"/>
        </w:rPr>
        <w:br w:type="page"/>
      </w:r>
    </w:p>
    <w:p w:rsidR="001D416D" w:rsidRDefault="001D416D" w:rsidP="00640B66">
      <w:pPr>
        <w:rPr>
          <w:rFonts w:ascii="Arial" w:hAnsi="Arial" w:cs="Arial"/>
          <w:sz w:val="20"/>
          <w:szCs w:val="20"/>
        </w:rPr>
      </w:pPr>
    </w:p>
    <w:p w:rsidR="001D416D" w:rsidRPr="00474EEA" w:rsidRDefault="001D416D" w:rsidP="00474EEA">
      <w:pPr>
        <w:pStyle w:val="Caption"/>
        <w:keepNext/>
        <w:rPr>
          <w:rFonts w:ascii="Arial" w:hAnsi="Arial" w:cs="Arial"/>
        </w:rPr>
      </w:pPr>
      <w:r w:rsidRPr="00474EEA">
        <w:rPr>
          <w:rFonts w:ascii="Arial" w:hAnsi="Arial" w:cs="Arial"/>
        </w:rPr>
        <w:t xml:space="preserve">Tablo </w:t>
      </w:r>
      <w:r w:rsidR="008E1D2C" w:rsidRPr="00474EEA">
        <w:rPr>
          <w:rFonts w:ascii="Arial" w:hAnsi="Arial" w:cs="Arial"/>
        </w:rPr>
        <w:fldChar w:fldCharType="begin"/>
      </w:r>
      <w:r w:rsidRPr="00474EEA">
        <w:rPr>
          <w:rFonts w:ascii="Arial" w:hAnsi="Arial" w:cs="Arial"/>
        </w:rPr>
        <w:instrText xml:space="preserve"> SEQ Tablo \* ARABIC </w:instrText>
      </w:r>
      <w:r w:rsidR="008E1D2C" w:rsidRPr="00474EEA">
        <w:rPr>
          <w:rFonts w:ascii="Arial" w:hAnsi="Arial" w:cs="Arial"/>
        </w:rPr>
        <w:fldChar w:fldCharType="separate"/>
      </w:r>
      <w:r w:rsidR="0030402B">
        <w:rPr>
          <w:rFonts w:ascii="Arial" w:hAnsi="Arial" w:cs="Arial"/>
          <w:noProof/>
        </w:rPr>
        <w:t>1</w:t>
      </w:r>
      <w:r w:rsidR="008E1D2C" w:rsidRPr="00474EEA">
        <w:rPr>
          <w:rFonts w:ascii="Arial" w:hAnsi="Arial" w:cs="Arial"/>
        </w:rPr>
        <w:fldChar w:fldCharType="end"/>
      </w:r>
      <w:r>
        <w:rPr>
          <w:rFonts w:ascii="Arial" w:hAnsi="Arial" w:cs="Arial"/>
        </w:rPr>
        <w:t xml:space="preserve"> </w:t>
      </w:r>
      <w:r w:rsidRPr="00474EEA">
        <w:rPr>
          <w:rFonts w:ascii="Arial" w:hAnsi="Arial" w:cs="Arial"/>
        </w:rPr>
        <w:t>Mevsim etkilerinden arındırılmış tarım dışı işgücü göstergeleri (bin kişi)</w:t>
      </w:r>
    </w:p>
    <w:tbl>
      <w:tblPr>
        <w:tblW w:w="7400"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tblPr>
      <w:tblGrid>
        <w:gridCol w:w="1200"/>
        <w:gridCol w:w="840"/>
        <w:gridCol w:w="920"/>
        <w:gridCol w:w="740"/>
        <w:gridCol w:w="1320"/>
        <w:gridCol w:w="720"/>
        <w:gridCol w:w="920"/>
        <w:gridCol w:w="740"/>
      </w:tblGrid>
      <w:tr w:rsidR="002B2CC4" w:rsidRPr="002B2CC4" w:rsidTr="00906E21">
        <w:trPr>
          <w:trHeight w:val="240"/>
        </w:trPr>
        <w:tc>
          <w:tcPr>
            <w:tcW w:w="120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 </w:t>
            </w:r>
          </w:p>
        </w:tc>
        <w:tc>
          <w:tcPr>
            <w:tcW w:w="840" w:type="dxa"/>
            <w:shd w:val="clear" w:color="auto" w:fill="auto"/>
            <w:vAlign w:val="bottom"/>
            <w:hideMark/>
          </w:tcPr>
          <w:p w:rsidR="002B2CC4" w:rsidRPr="002B2CC4" w:rsidRDefault="002B2CC4" w:rsidP="002B2CC4">
            <w:pPr>
              <w:suppressAutoHyphens w:val="0"/>
              <w:jc w:val="center"/>
              <w:rPr>
                <w:rFonts w:ascii="Arial" w:hAnsi="Arial" w:cs="Arial"/>
                <w:b/>
                <w:bCs/>
                <w:sz w:val="16"/>
                <w:szCs w:val="16"/>
                <w:lang w:eastAsia="tr-TR"/>
              </w:rPr>
            </w:pPr>
            <w:r w:rsidRPr="002B2CC4">
              <w:rPr>
                <w:rFonts w:ascii="Arial" w:hAnsi="Arial" w:cs="Arial"/>
                <w:b/>
                <w:bCs/>
                <w:sz w:val="16"/>
                <w:szCs w:val="16"/>
                <w:lang w:eastAsia="tr-TR"/>
              </w:rPr>
              <w:t>İşgücü</w:t>
            </w:r>
          </w:p>
        </w:tc>
        <w:tc>
          <w:tcPr>
            <w:tcW w:w="920" w:type="dxa"/>
            <w:shd w:val="clear" w:color="auto" w:fill="auto"/>
            <w:vAlign w:val="bottom"/>
            <w:hideMark/>
          </w:tcPr>
          <w:p w:rsidR="002B2CC4" w:rsidRPr="002B2CC4" w:rsidRDefault="002B2CC4" w:rsidP="002B2CC4">
            <w:pPr>
              <w:suppressAutoHyphens w:val="0"/>
              <w:jc w:val="center"/>
              <w:rPr>
                <w:rFonts w:ascii="Arial" w:hAnsi="Arial" w:cs="Arial"/>
                <w:b/>
                <w:bCs/>
                <w:sz w:val="16"/>
                <w:szCs w:val="16"/>
                <w:lang w:eastAsia="tr-TR"/>
              </w:rPr>
            </w:pPr>
            <w:r w:rsidRPr="002B2CC4">
              <w:rPr>
                <w:rFonts w:ascii="Arial" w:hAnsi="Arial" w:cs="Arial"/>
                <w:b/>
                <w:bCs/>
                <w:sz w:val="16"/>
                <w:szCs w:val="16"/>
                <w:lang w:eastAsia="tr-TR"/>
              </w:rPr>
              <w:t>İstihdam</w:t>
            </w:r>
          </w:p>
        </w:tc>
        <w:tc>
          <w:tcPr>
            <w:tcW w:w="740" w:type="dxa"/>
            <w:shd w:val="clear" w:color="auto" w:fill="auto"/>
            <w:vAlign w:val="bottom"/>
            <w:hideMark/>
          </w:tcPr>
          <w:p w:rsidR="002B2CC4" w:rsidRPr="002B2CC4" w:rsidRDefault="002B2CC4" w:rsidP="002B2CC4">
            <w:pPr>
              <w:suppressAutoHyphens w:val="0"/>
              <w:jc w:val="center"/>
              <w:rPr>
                <w:rFonts w:ascii="Arial" w:hAnsi="Arial" w:cs="Arial"/>
                <w:b/>
                <w:bCs/>
                <w:sz w:val="16"/>
                <w:szCs w:val="16"/>
                <w:lang w:eastAsia="tr-TR"/>
              </w:rPr>
            </w:pPr>
            <w:r w:rsidRPr="002B2CC4">
              <w:rPr>
                <w:rFonts w:ascii="Arial" w:hAnsi="Arial" w:cs="Arial"/>
                <w:b/>
                <w:bCs/>
                <w:sz w:val="16"/>
                <w:szCs w:val="16"/>
                <w:lang w:eastAsia="tr-TR"/>
              </w:rPr>
              <w:t>İşsizlik</w:t>
            </w:r>
          </w:p>
        </w:tc>
        <w:tc>
          <w:tcPr>
            <w:tcW w:w="1320" w:type="dxa"/>
            <w:shd w:val="clear" w:color="auto" w:fill="auto"/>
            <w:vAlign w:val="bottom"/>
            <w:hideMark/>
          </w:tcPr>
          <w:p w:rsidR="002B2CC4" w:rsidRPr="002B2CC4" w:rsidRDefault="002B2CC4" w:rsidP="002B2CC4">
            <w:pPr>
              <w:suppressAutoHyphens w:val="0"/>
              <w:jc w:val="center"/>
              <w:rPr>
                <w:rFonts w:ascii="Arial" w:hAnsi="Arial" w:cs="Arial"/>
                <w:b/>
                <w:bCs/>
                <w:sz w:val="16"/>
                <w:szCs w:val="16"/>
                <w:lang w:eastAsia="tr-TR"/>
              </w:rPr>
            </w:pPr>
            <w:r w:rsidRPr="002B2CC4">
              <w:rPr>
                <w:rFonts w:ascii="Arial" w:hAnsi="Arial" w:cs="Arial"/>
                <w:b/>
                <w:bCs/>
                <w:sz w:val="16"/>
                <w:szCs w:val="16"/>
                <w:lang w:eastAsia="tr-TR"/>
              </w:rPr>
              <w:t>İşsizlik Oranı</w:t>
            </w:r>
          </w:p>
        </w:tc>
        <w:tc>
          <w:tcPr>
            <w:tcW w:w="2380" w:type="dxa"/>
            <w:gridSpan w:val="3"/>
            <w:shd w:val="clear" w:color="auto" w:fill="auto"/>
            <w:vAlign w:val="bottom"/>
            <w:hideMark/>
          </w:tcPr>
          <w:p w:rsidR="002B2CC4" w:rsidRPr="002B2CC4" w:rsidRDefault="002B2CC4" w:rsidP="002B2CC4">
            <w:pPr>
              <w:suppressAutoHyphens w:val="0"/>
              <w:jc w:val="center"/>
              <w:rPr>
                <w:rFonts w:ascii="Arial" w:hAnsi="Arial" w:cs="Arial"/>
                <w:b/>
                <w:bCs/>
                <w:sz w:val="16"/>
                <w:szCs w:val="16"/>
                <w:lang w:eastAsia="tr-TR"/>
              </w:rPr>
            </w:pPr>
            <w:r w:rsidRPr="002B2CC4">
              <w:rPr>
                <w:rFonts w:ascii="Arial" w:hAnsi="Arial" w:cs="Arial"/>
                <w:b/>
                <w:bCs/>
                <w:sz w:val="16"/>
                <w:szCs w:val="16"/>
                <w:lang w:eastAsia="tr-TR"/>
              </w:rPr>
              <w:t>Aylık değişimler</w:t>
            </w:r>
          </w:p>
        </w:tc>
      </w:tr>
      <w:tr w:rsidR="002B2CC4" w:rsidRPr="002B2CC4" w:rsidTr="00906E21">
        <w:trPr>
          <w:trHeight w:val="240"/>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Şubat 10</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19816</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16635</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3182</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16.1%</w:t>
            </w:r>
          </w:p>
        </w:tc>
        <w:tc>
          <w:tcPr>
            <w:tcW w:w="720" w:type="dxa"/>
            <w:shd w:val="clear" w:color="auto" w:fill="auto"/>
            <w:vAlign w:val="bottom"/>
            <w:hideMark/>
          </w:tcPr>
          <w:p w:rsidR="002B2CC4" w:rsidRPr="002B2CC4" w:rsidRDefault="002B2CC4" w:rsidP="002B2CC4">
            <w:pPr>
              <w:suppressAutoHyphens w:val="0"/>
              <w:jc w:val="center"/>
              <w:rPr>
                <w:rFonts w:ascii="Arial" w:hAnsi="Arial" w:cs="Arial"/>
                <w:b/>
                <w:bCs/>
                <w:sz w:val="16"/>
                <w:szCs w:val="16"/>
                <w:lang w:eastAsia="tr-TR"/>
              </w:rPr>
            </w:pPr>
            <w:r w:rsidRPr="002B2CC4">
              <w:rPr>
                <w:rFonts w:ascii="Arial" w:hAnsi="Arial" w:cs="Arial"/>
                <w:b/>
                <w:bCs/>
                <w:sz w:val="16"/>
                <w:szCs w:val="16"/>
                <w:lang w:eastAsia="tr-TR"/>
              </w:rPr>
              <w:t>İşgücü</w:t>
            </w:r>
          </w:p>
        </w:tc>
        <w:tc>
          <w:tcPr>
            <w:tcW w:w="920" w:type="dxa"/>
            <w:shd w:val="clear" w:color="auto" w:fill="auto"/>
            <w:vAlign w:val="bottom"/>
            <w:hideMark/>
          </w:tcPr>
          <w:p w:rsidR="002B2CC4" w:rsidRPr="002B2CC4" w:rsidRDefault="002B2CC4" w:rsidP="002B2CC4">
            <w:pPr>
              <w:suppressAutoHyphens w:val="0"/>
              <w:jc w:val="center"/>
              <w:rPr>
                <w:rFonts w:ascii="Arial" w:hAnsi="Arial" w:cs="Arial"/>
                <w:b/>
                <w:bCs/>
                <w:sz w:val="16"/>
                <w:szCs w:val="16"/>
                <w:lang w:eastAsia="tr-TR"/>
              </w:rPr>
            </w:pPr>
            <w:r w:rsidRPr="002B2CC4">
              <w:rPr>
                <w:rFonts w:ascii="Arial" w:hAnsi="Arial" w:cs="Arial"/>
                <w:b/>
                <w:bCs/>
                <w:sz w:val="16"/>
                <w:szCs w:val="16"/>
                <w:lang w:eastAsia="tr-TR"/>
              </w:rPr>
              <w:t>İstihdam</w:t>
            </w:r>
          </w:p>
        </w:tc>
        <w:tc>
          <w:tcPr>
            <w:tcW w:w="740" w:type="dxa"/>
            <w:shd w:val="clear" w:color="auto" w:fill="auto"/>
            <w:vAlign w:val="bottom"/>
            <w:hideMark/>
          </w:tcPr>
          <w:p w:rsidR="002B2CC4" w:rsidRPr="002B2CC4" w:rsidRDefault="002B2CC4" w:rsidP="002B2CC4">
            <w:pPr>
              <w:suppressAutoHyphens w:val="0"/>
              <w:jc w:val="center"/>
              <w:rPr>
                <w:rFonts w:ascii="Arial" w:hAnsi="Arial" w:cs="Arial"/>
                <w:b/>
                <w:bCs/>
                <w:sz w:val="16"/>
                <w:szCs w:val="16"/>
                <w:lang w:eastAsia="tr-TR"/>
              </w:rPr>
            </w:pPr>
            <w:r w:rsidRPr="002B2CC4">
              <w:rPr>
                <w:rFonts w:ascii="Arial" w:hAnsi="Arial" w:cs="Arial"/>
                <w:b/>
                <w:bCs/>
                <w:sz w:val="16"/>
                <w:szCs w:val="16"/>
                <w:lang w:eastAsia="tr-TR"/>
              </w:rPr>
              <w:t>İşsizlik</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Mart 10</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19942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16756</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3186</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16.0%</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126</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122</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4</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Nisan 10</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19836</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16829</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3007</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15.2%</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-106</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73</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-180</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Mayıs 10</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19902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16941</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2961</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14.9%</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66</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111</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-45</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Haziran 10</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19843</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16952</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2891</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14.6%</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-59</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-71</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Temmuz 10</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19859</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16981</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2877</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14.5%</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29</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Ağustos 10</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19845</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16917</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2928</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14.8%</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-64</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50</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Eylül 10</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19771</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16903</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2867</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14.5%</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-74</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-60</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Ekim 10</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19822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16994</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2828</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14.3%</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52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91</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-39</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Kasım 10</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19871</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17152</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2719</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13.7%</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49</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158</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-109</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Aralık 10</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19958</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17265</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2692</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13.5%</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87</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114</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-27</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Ocak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20107</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17405</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2703</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13.4%</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150</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139</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10</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Şubat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20231</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17633</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2597</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12.8%</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123</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229</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-106</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Mart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20289</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17708</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2582</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12.7%</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59</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74</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Nisan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20477</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17854</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2623</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12.8%</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188</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146</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42</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Mayıs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20562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17876</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2685</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13.1%</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85</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23</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62</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Haziran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20682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17984</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2697</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13.0%</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120</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108</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Temmuz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20647</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18042</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2605</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12.6%</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-35</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58</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-93</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Ağustos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20584</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18095</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2489</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12.1%</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-63</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53</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-116</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Eylül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20568</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18203</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2365</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11.5%</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108</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-124</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Ekim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20536</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18120</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2415</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11.8%</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-32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-82</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50</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Kasım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20598</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18244</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2354</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11.4%</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62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124</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-61</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Aralık 11</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20594</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18261</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2333</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11.3%</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-4</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17</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Ocak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20723</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18400</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2323</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11.2%</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129</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139</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-10</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Şubat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20670</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18320</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2350</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11.4%</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-53</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-80</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27</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Mart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20794</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18418</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2375</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11.4%</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124</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98</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26</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Nisan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20934</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18546</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2389</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11.4%</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141</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127</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13</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Mayıs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21026</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18623</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2403</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11.4%</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92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77</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14</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Haziran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21092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18704</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2387</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11.3%</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66</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81</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Temmuz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21083</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18669</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2414</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11.4%</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-8</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-35</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27</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Ağustos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21154</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18736</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2418</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11.4%</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71</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67</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4</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Eylül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21425</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18903</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2522</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11.8%</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271</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167</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104</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Ekim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21607</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19106</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2501</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11.6%</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182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203</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Kasım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21780</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19217</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2563</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11.8%</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172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111</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61</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Aralık 12</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21827</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19257</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2570</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11.8%</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47</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40</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8</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Ocak 13</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21872</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19297</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2575</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11.8%</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45</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41</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5</w:t>
            </w:r>
          </w:p>
        </w:tc>
      </w:tr>
      <w:tr w:rsidR="002B2CC4" w:rsidRPr="002B2CC4" w:rsidTr="00906E21">
        <w:trPr>
          <w:trHeight w:val="225"/>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Şubat 13</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21983</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19421</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2562</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11.7%</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111</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123</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-13</w:t>
            </w:r>
          </w:p>
        </w:tc>
      </w:tr>
      <w:tr w:rsidR="002B2CC4" w:rsidRPr="002B2CC4" w:rsidTr="00906E21">
        <w:trPr>
          <w:trHeight w:val="240"/>
        </w:trPr>
        <w:tc>
          <w:tcPr>
            <w:tcW w:w="120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Mart 13</w:t>
            </w:r>
          </w:p>
        </w:tc>
        <w:tc>
          <w:tcPr>
            <w:tcW w:w="8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22051</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19478</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2572</w:t>
            </w:r>
          </w:p>
        </w:tc>
        <w:tc>
          <w:tcPr>
            <w:tcW w:w="13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11.7%</w:t>
            </w:r>
          </w:p>
        </w:tc>
        <w:tc>
          <w:tcPr>
            <w:tcW w:w="7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67</w:t>
            </w:r>
          </w:p>
        </w:tc>
        <w:tc>
          <w:tcPr>
            <w:tcW w:w="92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57</w:t>
            </w:r>
          </w:p>
        </w:tc>
        <w:tc>
          <w:tcPr>
            <w:tcW w:w="740" w:type="dxa"/>
            <w:shd w:val="clear" w:color="auto" w:fill="auto"/>
            <w:noWrap/>
            <w:vAlign w:val="bottom"/>
            <w:hideMark/>
          </w:tcPr>
          <w:p w:rsidR="002B2CC4" w:rsidRPr="002B2CC4" w:rsidRDefault="002B2CC4" w:rsidP="002B2CC4">
            <w:pPr>
              <w:suppressAutoHyphens w:val="0"/>
              <w:jc w:val="center"/>
              <w:rPr>
                <w:rFonts w:ascii="Arial" w:hAnsi="Arial" w:cs="Arial"/>
                <w:sz w:val="16"/>
                <w:szCs w:val="16"/>
                <w:lang w:eastAsia="tr-TR"/>
              </w:rPr>
            </w:pPr>
            <w:r w:rsidRPr="002B2CC4">
              <w:rPr>
                <w:rFonts w:ascii="Arial" w:hAnsi="Arial" w:cs="Arial"/>
                <w:sz w:val="16"/>
                <w:szCs w:val="16"/>
                <w:lang w:eastAsia="tr-TR"/>
              </w:rPr>
              <w:t>10</w:t>
            </w:r>
          </w:p>
        </w:tc>
      </w:tr>
    </w:tbl>
    <w:p w:rsidR="001D416D" w:rsidRDefault="001D416D" w:rsidP="00B6679F">
      <w:pPr>
        <w:pStyle w:val="Caption"/>
        <w:keepNext/>
        <w:rPr>
          <w:rFonts w:ascii="Arial" w:hAnsi="Arial" w:cs="Arial"/>
          <w:b w:val="0"/>
          <w:bCs w:val="0"/>
          <w:sz w:val="16"/>
          <w:szCs w:val="16"/>
        </w:rPr>
      </w:pPr>
      <w:r w:rsidRPr="001541B3">
        <w:rPr>
          <w:rFonts w:ascii="Arial" w:hAnsi="Arial" w:cs="Arial"/>
          <w:b w:val="0"/>
          <w:bCs w:val="0"/>
          <w:sz w:val="16"/>
          <w:szCs w:val="16"/>
        </w:rPr>
        <w:t>Kaynak: TÜİK, Betam</w:t>
      </w:r>
    </w:p>
    <w:p w:rsidR="001D416D" w:rsidRDefault="001D416D" w:rsidP="00764346"/>
    <w:p w:rsidR="001D416D" w:rsidRDefault="001D416D" w:rsidP="00764346"/>
    <w:p w:rsidR="001D416D" w:rsidRPr="00764346" w:rsidRDefault="001D416D" w:rsidP="00764346"/>
    <w:p w:rsidR="001D416D" w:rsidRDefault="001D416D" w:rsidP="00CE2910">
      <w:pPr>
        <w:pStyle w:val="Caption"/>
        <w:keepNext/>
        <w:rPr>
          <w:rFonts w:ascii="Arial" w:hAnsi="Arial" w:cs="Arial"/>
          <w:sz w:val="16"/>
          <w:szCs w:val="16"/>
        </w:rPr>
      </w:pPr>
    </w:p>
    <w:p w:rsidR="001D416D" w:rsidRDefault="001D416D" w:rsidP="00474EEA"/>
    <w:p w:rsidR="001D416D" w:rsidRDefault="001D416D" w:rsidP="00474EEA"/>
    <w:p w:rsidR="001D416D" w:rsidRDefault="001D416D" w:rsidP="00474EEA"/>
    <w:p w:rsidR="001D416D" w:rsidRDefault="001D416D" w:rsidP="00474EEA"/>
    <w:p w:rsidR="001D416D" w:rsidRPr="001541B3" w:rsidRDefault="001D416D" w:rsidP="00CE2910">
      <w:pPr>
        <w:pStyle w:val="Caption"/>
        <w:keepNext/>
        <w:rPr>
          <w:rFonts w:ascii="Arial" w:hAnsi="Arial" w:cs="Arial"/>
          <w:sz w:val="16"/>
          <w:szCs w:val="16"/>
        </w:rPr>
      </w:pPr>
      <w:r>
        <w:rPr>
          <w:rFonts w:ascii="Arial" w:hAnsi="Arial" w:cs="Arial"/>
          <w:sz w:val="16"/>
          <w:szCs w:val="16"/>
        </w:rPr>
        <w:br w:type="page"/>
      </w:r>
    </w:p>
    <w:p w:rsidR="001D416D" w:rsidRPr="00474EEA" w:rsidRDefault="001D416D" w:rsidP="00474EEA">
      <w:pPr>
        <w:pStyle w:val="Caption"/>
        <w:keepNext/>
        <w:rPr>
          <w:rFonts w:ascii="Arial" w:hAnsi="Arial" w:cs="Arial"/>
        </w:rPr>
      </w:pPr>
      <w:r w:rsidRPr="00474EEA">
        <w:rPr>
          <w:rFonts w:ascii="Arial" w:hAnsi="Arial" w:cs="Arial"/>
        </w:rPr>
        <w:t xml:space="preserve">Tablo </w:t>
      </w:r>
      <w:r w:rsidR="008E1D2C" w:rsidRPr="00474EEA">
        <w:rPr>
          <w:rFonts w:ascii="Arial" w:hAnsi="Arial" w:cs="Arial"/>
        </w:rPr>
        <w:fldChar w:fldCharType="begin"/>
      </w:r>
      <w:r w:rsidRPr="00474EEA">
        <w:rPr>
          <w:rFonts w:ascii="Arial" w:hAnsi="Arial" w:cs="Arial"/>
        </w:rPr>
        <w:instrText xml:space="preserve"> SEQ Tablo \* ARABIC </w:instrText>
      </w:r>
      <w:r w:rsidR="008E1D2C" w:rsidRPr="00474EEA">
        <w:rPr>
          <w:rFonts w:ascii="Arial" w:hAnsi="Arial" w:cs="Arial"/>
        </w:rPr>
        <w:fldChar w:fldCharType="separate"/>
      </w:r>
      <w:r w:rsidR="0030402B">
        <w:rPr>
          <w:rFonts w:ascii="Arial" w:hAnsi="Arial" w:cs="Arial"/>
          <w:noProof/>
        </w:rPr>
        <w:t>2</w:t>
      </w:r>
      <w:r w:rsidR="008E1D2C" w:rsidRPr="00474EEA">
        <w:rPr>
          <w:rFonts w:ascii="Arial" w:hAnsi="Arial" w:cs="Arial"/>
        </w:rPr>
        <w:fldChar w:fldCharType="end"/>
      </w:r>
      <w:r>
        <w:rPr>
          <w:rFonts w:ascii="Arial" w:hAnsi="Arial" w:cs="Arial"/>
        </w:rPr>
        <w:t xml:space="preserve"> </w:t>
      </w:r>
      <w:r w:rsidRPr="00474EEA">
        <w:rPr>
          <w:rFonts w:ascii="Arial" w:hAnsi="Arial" w:cs="Arial"/>
        </w:rPr>
        <w:t>Mevsim etkilerinden arındırılmış sektörel istihdam (bin kişi)</w:t>
      </w:r>
    </w:p>
    <w:tbl>
      <w:tblPr>
        <w:tblW w:w="9380"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tblPr>
      <w:tblGrid>
        <w:gridCol w:w="1220"/>
        <w:gridCol w:w="1020"/>
        <w:gridCol w:w="1020"/>
        <w:gridCol w:w="1020"/>
        <w:gridCol w:w="1020"/>
        <w:gridCol w:w="843"/>
        <w:gridCol w:w="987"/>
        <w:gridCol w:w="892"/>
        <w:gridCol w:w="1358"/>
      </w:tblGrid>
      <w:tr w:rsidR="002B2CC4" w:rsidRPr="002B2CC4" w:rsidTr="00906E21">
        <w:trPr>
          <w:trHeight w:val="240"/>
        </w:trPr>
        <w:tc>
          <w:tcPr>
            <w:tcW w:w="1220" w:type="dxa"/>
            <w:shd w:val="clear" w:color="auto" w:fill="auto"/>
            <w:noWrap/>
            <w:vAlign w:val="bottom"/>
            <w:hideMark/>
          </w:tcPr>
          <w:p w:rsidR="002B2CC4" w:rsidRPr="002B2CC4" w:rsidRDefault="002B2CC4" w:rsidP="002B2CC4">
            <w:pPr>
              <w:suppressAutoHyphens w:val="0"/>
              <w:rPr>
                <w:rFonts w:ascii="Arial" w:hAnsi="Arial" w:cs="Arial"/>
                <w:sz w:val="16"/>
                <w:szCs w:val="16"/>
                <w:lang w:eastAsia="tr-TR"/>
              </w:rPr>
            </w:pPr>
          </w:p>
        </w:tc>
        <w:tc>
          <w:tcPr>
            <w:tcW w:w="1020" w:type="dxa"/>
            <w:shd w:val="clear" w:color="auto" w:fill="auto"/>
            <w:noWrap/>
            <w:vAlign w:val="bottom"/>
            <w:hideMark/>
          </w:tcPr>
          <w:p w:rsidR="002B2CC4" w:rsidRPr="002B2CC4" w:rsidRDefault="002B2CC4" w:rsidP="002B2CC4">
            <w:pPr>
              <w:suppressAutoHyphens w:val="0"/>
              <w:rPr>
                <w:rFonts w:ascii="Arial" w:hAnsi="Arial" w:cs="Arial"/>
                <w:b/>
                <w:bCs/>
                <w:sz w:val="16"/>
                <w:szCs w:val="16"/>
                <w:lang w:eastAsia="tr-TR"/>
              </w:rPr>
            </w:pPr>
            <w:r w:rsidRPr="002B2CC4">
              <w:rPr>
                <w:rFonts w:ascii="Arial" w:hAnsi="Arial" w:cs="Arial"/>
                <w:b/>
                <w:bCs/>
                <w:sz w:val="16"/>
                <w:szCs w:val="16"/>
                <w:lang w:eastAsia="tr-TR"/>
              </w:rPr>
              <w:t>Tarım</w:t>
            </w:r>
          </w:p>
        </w:tc>
        <w:tc>
          <w:tcPr>
            <w:tcW w:w="1020" w:type="dxa"/>
            <w:shd w:val="clear" w:color="auto" w:fill="auto"/>
            <w:noWrap/>
            <w:vAlign w:val="bottom"/>
            <w:hideMark/>
          </w:tcPr>
          <w:p w:rsidR="002B2CC4" w:rsidRPr="002B2CC4" w:rsidRDefault="002B2CC4" w:rsidP="002B2CC4">
            <w:pPr>
              <w:suppressAutoHyphens w:val="0"/>
              <w:rPr>
                <w:rFonts w:ascii="Arial" w:hAnsi="Arial" w:cs="Arial"/>
                <w:b/>
                <w:bCs/>
                <w:sz w:val="16"/>
                <w:szCs w:val="16"/>
                <w:lang w:eastAsia="tr-TR"/>
              </w:rPr>
            </w:pPr>
            <w:r w:rsidRPr="002B2CC4">
              <w:rPr>
                <w:rFonts w:ascii="Arial" w:hAnsi="Arial" w:cs="Arial"/>
                <w:b/>
                <w:bCs/>
                <w:sz w:val="16"/>
                <w:szCs w:val="16"/>
                <w:lang w:eastAsia="tr-TR"/>
              </w:rPr>
              <w:t>Sanayi</w:t>
            </w:r>
          </w:p>
        </w:tc>
        <w:tc>
          <w:tcPr>
            <w:tcW w:w="1020" w:type="dxa"/>
            <w:shd w:val="clear" w:color="auto" w:fill="auto"/>
            <w:noWrap/>
            <w:vAlign w:val="bottom"/>
            <w:hideMark/>
          </w:tcPr>
          <w:p w:rsidR="002B2CC4" w:rsidRPr="002B2CC4" w:rsidRDefault="002B2CC4" w:rsidP="002B2CC4">
            <w:pPr>
              <w:suppressAutoHyphens w:val="0"/>
              <w:rPr>
                <w:rFonts w:ascii="Arial" w:hAnsi="Arial" w:cs="Arial"/>
                <w:b/>
                <w:bCs/>
                <w:sz w:val="16"/>
                <w:szCs w:val="16"/>
                <w:lang w:eastAsia="tr-TR"/>
              </w:rPr>
            </w:pPr>
            <w:r w:rsidRPr="002B2CC4">
              <w:rPr>
                <w:rFonts w:ascii="Arial" w:hAnsi="Arial" w:cs="Arial"/>
                <w:b/>
                <w:bCs/>
                <w:sz w:val="16"/>
                <w:szCs w:val="16"/>
                <w:lang w:eastAsia="tr-TR"/>
              </w:rPr>
              <w:t>İnşaat</w:t>
            </w:r>
          </w:p>
        </w:tc>
        <w:tc>
          <w:tcPr>
            <w:tcW w:w="1020" w:type="dxa"/>
            <w:shd w:val="clear" w:color="auto" w:fill="auto"/>
            <w:noWrap/>
            <w:vAlign w:val="bottom"/>
            <w:hideMark/>
          </w:tcPr>
          <w:p w:rsidR="002B2CC4" w:rsidRPr="002B2CC4" w:rsidRDefault="002B2CC4" w:rsidP="002B2CC4">
            <w:pPr>
              <w:suppressAutoHyphens w:val="0"/>
              <w:rPr>
                <w:rFonts w:ascii="Arial" w:hAnsi="Arial" w:cs="Arial"/>
                <w:b/>
                <w:bCs/>
                <w:sz w:val="16"/>
                <w:szCs w:val="16"/>
                <w:lang w:eastAsia="tr-TR"/>
              </w:rPr>
            </w:pPr>
            <w:r w:rsidRPr="002B2CC4">
              <w:rPr>
                <w:rFonts w:ascii="Arial" w:hAnsi="Arial" w:cs="Arial"/>
                <w:b/>
                <w:bCs/>
                <w:sz w:val="16"/>
                <w:szCs w:val="16"/>
                <w:lang w:eastAsia="tr-TR"/>
              </w:rPr>
              <w:t>Hizmetler</w:t>
            </w:r>
          </w:p>
        </w:tc>
        <w:tc>
          <w:tcPr>
            <w:tcW w:w="4080" w:type="dxa"/>
            <w:gridSpan w:val="4"/>
            <w:shd w:val="clear" w:color="auto" w:fill="auto"/>
            <w:noWrap/>
            <w:vAlign w:val="bottom"/>
            <w:hideMark/>
          </w:tcPr>
          <w:p w:rsidR="002B2CC4" w:rsidRPr="002B2CC4" w:rsidRDefault="002B2CC4" w:rsidP="002B2CC4">
            <w:pPr>
              <w:suppressAutoHyphens w:val="0"/>
              <w:jc w:val="center"/>
              <w:rPr>
                <w:rFonts w:ascii="Arial" w:hAnsi="Arial" w:cs="Arial"/>
                <w:b/>
                <w:bCs/>
                <w:sz w:val="16"/>
                <w:szCs w:val="16"/>
                <w:lang w:eastAsia="tr-TR"/>
              </w:rPr>
            </w:pPr>
            <w:r w:rsidRPr="002B2CC4">
              <w:rPr>
                <w:rFonts w:ascii="Arial" w:hAnsi="Arial" w:cs="Arial"/>
                <w:b/>
                <w:bCs/>
                <w:sz w:val="16"/>
                <w:szCs w:val="16"/>
                <w:lang w:eastAsia="tr-TR"/>
              </w:rPr>
              <w:t>Aylık değişimler</w:t>
            </w:r>
          </w:p>
        </w:tc>
      </w:tr>
      <w:tr w:rsidR="002B2CC4" w:rsidRPr="002B2CC4" w:rsidTr="00906E21">
        <w:trPr>
          <w:trHeight w:val="240"/>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Şubat 10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5664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4349</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1373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10897</w:t>
            </w:r>
          </w:p>
        </w:tc>
        <w:tc>
          <w:tcPr>
            <w:tcW w:w="843" w:type="dxa"/>
            <w:shd w:val="clear" w:color="auto" w:fill="auto"/>
            <w:noWrap/>
            <w:vAlign w:val="bottom"/>
            <w:hideMark/>
          </w:tcPr>
          <w:p w:rsidR="002B2CC4" w:rsidRPr="002B2CC4" w:rsidRDefault="002B2CC4" w:rsidP="002B2CC4">
            <w:pPr>
              <w:suppressAutoHyphens w:val="0"/>
              <w:rPr>
                <w:rFonts w:ascii="Arial" w:hAnsi="Arial" w:cs="Arial"/>
                <w:b/>
                <w:bCs/>
                <w:sz w:val="16"/>
                <w:szCs w:val="16"/>
                <w:lang w:eastAsia="tr-TR"/>
              </w:rPr>
            </w:pPr>
            <w:r w:rsidRPr="002B2CC4">
              <w:rPr>
                <w:rFonts w:ascii="Arial" w:hAnsi="Arial" w:cs="Arial"/>
                <w:b/>
                <w:bCs/>
                <w:sz w:val="16"/>
                <w:szCs w:val="16"/>
                <w:lang w:eastAsia="tr-TR"/>
              </w:rPr>
              <w:t>Tarım</w:t>
            </w:r>
          </w:p>
        </w:tc>
        <w:tc>
          <w:tcPr>
            <w:tcW w:w="987" w:type="dxa"/>
            <w:shd w:val="clear" w:color="auto" w:fill="auto"/>
            <w:noWrap/>
            <w:vAlign w:val="bottom"/>
            <w:hideMark/>
          </w:tcPr>
          <w:p w:rsidR="002B2CC4" w:rsidRPr="002B2CC4" w:rsidRDefault="002B2CC4" w:rsidP="002B2CC4">
            <w:pPr>
              <w:suppressAutoHyphens w:val="0"/>
              <w:rPr>
                <w:rFonts w:ascii="Arial" w:hAnsi="Arial" w:cs="Arial"/>
                <w:b/>
                <w:bCs/>
                <w:sz w:val="16"/>
                <w:szCs w:val="16"/>
                <w:lang w:eastAsia="tr-TR"/>
              </w:rPr>
            </w:pPr>
            <w:r w:rsidRPr="002B2CC4">
              <w:rPr>
                <w:rFonts w:ascii="Arial" w:hAnsi="Arial" w:cs="Arial"/>
                <w:b/>
                <w:bCs/>
                <w:sz w:val="16"/>
                <w:szCs w:val="16"/>
                <w:lang w:eastAsia="tr-TR"/>
              </w:rPr>
              <w:t>Sanayi</w:t>
            </w:r>
          </w:p>
        </w:tc>
        <w:tc>
          <w:tcPr>
            <w:tcW w:w="892" w:type="dxa"/>
            <w:shd w:val="clear" w:color="auto" w:fill="auto"/>
            <w:noWrap/>
            <w:vAlign w:val="bottom"/>
            <w:hideMark/>
          </w:tcPr>
          <w:p w:rsidR="002B2CC4" w:rsidRPr="002B2CC4" w:rsidRDefault="002B2CC4" w:rsidP="002B2CC4">
            <w:pPr>
              <w:suppressAutoHyphens w:val="0"/>
              <w:rPr>
                <w:rFonts w:ascii="Arial" w:hAnsi="Arial" w:cs="Arial"/>
                <w:b/>
                <w:bCs/>
                <w:sz w:val="16"/>
                <w:szCs w:val="16"/>
                <w:lang w:eastAsia="tr-TR"/>
              </w:rPr>
            </w:pPr>
            <w:r w:rsidRPr="002B2CC4">
              <w:rPr>
                <w:rFonts w:ascii="Arial" w:hAnsi="Arial" w:cs="Arial"/>
                <w:b/>
                <w:bCs/>
                <w:sz w:val="16"/>
                <w:szCs w:val="16"/>
                <w:lang w:eastAsia="tr-TR"/>
              </w:rPr>
              <w:t>İnşaat</w:t>
            </w:r>
          </w:p>
        </w:tc>
        <w:tc>
          <w:tcPr>
            <w:tcW w:w="1358" w:type="dxa"/>
            <w:shd w:val="clear" w:color="auto" w:fill="auto"/>
            <w:noWrap/>
            <w:vAlign w:val="bottom"/>
            <w:hideMark/>
          </w:tcPr>
          <w:p w:rsidR="002B2CC4" w:rsidRPr="002B2CC4" w:rsidRDefault="002B2CC4" w:rsidP="002B2CC4">
            <w:pPr>
              <w:suppressAutoHyphens w:val="0"/>
              <w:rPr>
                <w:rFonts w:ascii="Arial" w:hAnsi="Arial" w:cs="Arial"/>
                <w:b/>
                <w:bCs/>
                <w:sz w:val="16"/>
                <w:szCs w:val="16"/>
                <w:lang w:eastAsia="tr-TR"/>
              </w:rPr>
            </w:pPr>
            <w:r w:rsidRPr="002B2CC4">
              <w:rPr>
                <w:rFonts w:ascii="Arial" w:hAnsi="Arial" w:cs="Arial"/>
                <w:b/>
                <w:bCs/>
                <w:sz w:val="16"/>
                <w:szCs w:val="16"/>
                <w:lang w:eastAsia="tr-TR"/>
              </w:rPr>
              <w:t>Hizmetler</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Mart 10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5624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4355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1426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10994</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-40</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53</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97</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Nisan 10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5675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4397</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1447</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10998</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52</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42</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21</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Mayıs 10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5579</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4470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1424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11050</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-97</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73</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-23</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52</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Haziran 10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5712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4524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1423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11006</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134</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54</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-44</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Temmuz 10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5681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4538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1469</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10968</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-32</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13</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-38</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Ağustos 10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5659</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4509</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1414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10997</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-22</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-28</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-55</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29</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Eylül 10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5655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4478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1416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11010</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-31</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13</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Ekim 10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5792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4494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1437</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11045</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137</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16</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21</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35</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Kasım 10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5847</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4651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1506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11003</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55</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157</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69</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-42</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Aralık 10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6030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4643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1552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11071</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184</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-8</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67</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Ocak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6040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4676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1534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11193</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9</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33</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123</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Şubat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6188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4685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1578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11339</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149</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9</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44</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146</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Mart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6208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4820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1603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11283</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20</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135</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25</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-56</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Nisan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6087</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4806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1640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11403</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-121</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36</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120</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Mayıs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6025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4760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1676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11447</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-62</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36</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44</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Haziran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6085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4690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1706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11602</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59</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-70</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30</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155</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Temmuz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6106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4684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1716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11652</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22</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50</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Ağustos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6185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4683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1780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11660</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79</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64</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8</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Eylül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6127</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1784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11730</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-58</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29</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69</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Ekim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6169</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4680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1688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11752</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41</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-32</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-96</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22</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Kasım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6148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4695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1654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11900</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-21</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-34</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148</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Aralık 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6048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4702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1622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11928</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-100</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7</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-32</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28</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Ocak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6059</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4702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1656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12031</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0</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35</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103</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Şubat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6044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1546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12016</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9</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-110</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Mart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6039</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4732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1563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12098</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20</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82</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Nisan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6071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4747</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1660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12119</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32</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96</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21</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Mayıs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6115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4733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1735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12159</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44</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-13</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75</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40</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Haziran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6043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4750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1764</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12209</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-72</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16</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29</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50</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Temmuz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6043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4753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1719</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12211</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0</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-44</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Ağustos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6047</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4756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1763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12257</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44</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46</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Eylül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6151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4756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1792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12393</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103</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0</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28</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135</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Ekim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6192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4775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1799</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12548</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41</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19</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7</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155</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Kasım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6180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4818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1781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12628</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43</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-18</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80</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Aralık 12</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6135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4858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1757</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12628</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-45</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40</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-24</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0</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Ocak 13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6118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4885</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1761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12637</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27</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9</w:t>
            </w:r>
          </w:p>
        </w:tc>
      </w:tr>
      <w:tr w:rsidR="002B2CC4" w:rsidRPr="002B2CC4" w:rsidTr="00906E21">
        <w:trPr>
          <w:trHeight w:val="225"/>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Şubat 13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6149</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4911</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1770</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12691</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30</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25</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9</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54</w:t>
            </w:r>
          </w:p>
        </w:tc>
      </w:tr>
      <w:tr w:rsidR="002B2CC4" w:rsidRPr="002B2CC4" w:rsidTr="00906E21">
        <w:trPr>
          <w:trHeight w:val="240"/>
        </w:trPr>
        <w:tc>
          <w:tcPr>
            <w:tcW w:w="1220" w:type="dxa"/>
            <w:shd w:val="clear" w:color="auto" w:fill="auto"/>
            <w:noWrap/>
            <w:vAlign w:val="bottom"/>
            <w:hideMark/>
          </w:tcPr>
          <w:p w:rsidR="002B2CC4" w:rsidRPr="002B2CC4" w:rsidRDefault="002B2CC4" w:rsidP="002B2CC4">
            <w:pPr>
              <w:suppressAutoHyphens w:val="0"/>
              <w:jc w:val="right"/>
              <w:rPr>
                <w:rFonts w:ascii="Arial" w:hAnsi="Arial" w:cs="Arial"/>
                <w:b/>
                <w:bCs/>
                <w:sz w:val="16"/>
                <w:szCs w:val="16"/>
                <w:lang w:eastAsia="tr-TR"/>
              </w:rPr>
            </w:pPr>
            <w:r w:rsidRPr="002B2CC4">
              <w:rPr>
                <w:rFonts w:ascii="Arial" w:hAnsi="Arial" w:cs="Arial"/>
                <w:b/>
                <w:bCs/>
                <w:sz w:val="16"/>
                <w:szCs w:val="16"/>
                <w:lang w:eastAsia="tr-TR"/>
              </w:rPr>
              <w:t>Mart 13</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6136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4948</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1766</w:t>
            </w:r>
          </w:p>
        </w:tc>
        <w:tc>
          <w:tcPr>
            <w:tcW w:w="1020"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12730</w:t>
            </w:r>
          </w:p>
        </w:tc>
        <w:tc>
          <w:tcPr>
            <w:tcW w:w="843"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-12</w:t>
            </w:r>
          </w:p>
        </w:tc>
        <w:tc>
          <w:tcPr>
            <w:tcW w:w="987"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38</w:t>
            </w:r>
          </w:p>
        </w:tc>
        <w:tc>
          <w:tcPr>
            <w:tcW w:w="892"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-4</w:t>
            </w:r>
          </w:p>
        </w:tc>
        <w:tc>
          <w:tcPr>
            <w:tcW w:w="1358" w:type="dxa"/>
            <w:shd w:val="clear" w:color="auto" w:fill="auto"/>
            <w:noWrap/>
            <w:vAlign w:val="bottom"/>
            <w:hideMark/>
          </w:tcPr>
          <w:p w:rsidR="002B2CC4" w:rsidRPr="002B2CC4" w:rsidRDefault="002B2CC4" w:rsidP="002B2CC4">
            <w:pPr>
              <w:suppressAutoHyphens w:val="0"/>
              <w:jc w:val="right"/>
              <w:rPr>
                <w:rFonts w:ascii="Arial" w:hAnsi="Arial" w:cs="Arial"/>
                <w:sz w:val="16"/>
                <w:szCs w:val="16"/>
                <w:lang w:eastAsia="tr-TR"/>
              </w:rPr>
            </w:pPr>
            <w:r w:rsidRPr="002B2CC4">
              <w:rPr>
                <w:rFonts w:ascii="Arial" w:hAnsi="Arial" w:cs="Arial"/>
                <w:sz w:val="16"/>
                <w:szCs w:val="16"/>
                <w:lang w:eastAsia="tr-TR"/>
              </w:rPr>
              <w:t>39</w:t>
            </w:r>
          </w:p>
        </w:tc>
      </w:tr>
    </w:tbl>
    <w:p w:rsidR="001D416D" w:rsidRDefault="001D416D" w:rsidP="00323218">
      <w:pPr>
        <w:rPr>
          <w:rFonts w:ascii="Arial" w:hAnsi="Arial" w:cs="Arial"/>
          <w:b/>
          <w:bCs/>
          <w:sz w:val="16"/>
          <w:szCs w:val="16"/>
        </w:rPr>
      </w:pPr>
      <w:r w:rsidRPr="001541B3">
        <w:rPr>
          <w:rFonts w:ascii="Arial" w:hAnsi="Arial" w:cs="Arial"/>
          <w:sz w:val="16"/>
          <w:szCs w:val="16"/>
        </w:rPr>
        <w:t xml:space="preserve">Kaynak: TÜİK, </w:t>
      </w:r>
      <w:r w:rsidRPr="001541B3">
        <w:rPr>
          <w:rFonts w:ascii="Arial" w:hAnsi="Arial" w:cs="Arial"/>
          <w:b/>
          <w:bCs/>
          <w:sz w:val="16"/>
          <w:szCs w:val="16"/>
        </w:rPr>
        <w:t>Bet</w:t>
      </w:r>
      <w:r>
        <w:rPr>
          <w:rFonts w:ascii="Arial" w:hAnsi="Arial" w:cs="Arial"/>
          <w:b/>
          <w:bCs/>
          <w:sz w:val="16"/>
          <w:szCs w:val="16"/>
        </w:rPr>
        <w:t>am</w:t>
      </w:r>
    </w:p>
    <w:p w:rsidR="001D416D" w:rsidRDefault="001D416D" w:rsidP="00323218">
      <w:pPr>
        <w:rPr>
          <w:rFonts w:ascii="Arial" w:hAnsi="Arial" w:cs="Arial"/>
          <w:b/>
          <w:bCs/>
          <w:sz w:val="16"/>
          <w:szCs w:val="16"/>
        </w:rPr>
      </w:pPr>
      <w:r>
        <w:rPr>
          <w:rFonts w:ascii="Arial" w:hAnsi="Arial" w:cs="Arial"/>
          <w:b/>
          <w:bCs/>
          <w:sz w:val="16"/>
          <w:szCs w:val="16"/>
        </w:rPr>
        <w:t xml:space="preserve">    </w:t>
      </w:r>
    </w:p>
    <w:p w:rsidR="001D416D" w:rsidRDefault="001D416D" w:rsidP="009F39E3">
      <w:pPr>
        <w:rPr>
          <w:rFonts w:ascii="Arial" w:hAnsi="Arial" w:cs="Arial"/>
          <w:b/>
          <w:bCs/>
          <w:sz w:val="20"/>
          <w:szCs w:val="20"/>
        </w:rPr>
      </w:pPr>
    </w:p>
    <w:sectPr w:rsidR="001D416D" w:rsidSect="00503FEB">
      <w:type w:val="continuous"/>
      <w:pgSz w:w="11905" w:h="16837"/>
      <w:pgMar w:top="720" w:right="720" w:bottom="720"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C97" w:rsidRDefault="00D41C97">
      <w:r>
        <w:separator/>
      </w:r>
    </w:p>
  </w:endnote>
  <w:endnote w:type="continuationSeparator" w:id="1">
    <w:p w:rsidR="00D41C97" w:rsidRDefault="00D41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C4" w:rsidRPr="00282515" w:rsidRDefault="008E1D2C"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2B2CC4" w:rsidRPr="00282515">
      <w:rPr>
        <w:rStyle w:val="PageNumber"/>
        <w:rFonts w:ascii="Arial" w:hAnsi="Arial" w:cs="Arial"/>
      </w:rPr>
      <w:instrText xml:space="preserve">PAGE  </w:instrText>
    </w:r>
    <w:r w:rsidRPr="00282515">
      <w:rPr>
        <w:rStyle w:val="PageNumber"/>
        <w:rFonts w:ascii="Arial" w:hAnsi="Arial" w:cs="Arial"/>
      </w:rPr>
      <w:fldChar w:fldCharType="separate"/>
    </w:r>
    <w:r w:rsidR="006671B9">
      <w:rPr>
        <w:rStyle w:val="PageNumber"/>
        <w:rFonts w:ascii="Arial" w:hAnsi="Arial" w:cs="Arial"/>
        <w:noProof/>
      </w:rPr>
      <w:t>1</w:t>
    </w:r>
    <w:r w:rsidRPr="00282515">
      <w:rPr>
        <w:rStyle w:val="PageNumber"/>
        <w:rFonts w:ascii="Arial" w:hAnsi="Arial" w:cs="Arial"/>
      </w:rPr>
      <w:fldChar w:fldCharType="end"/>
    </w:r>
  </w:p>
  <w:p w:rsidR="002B2CC4" w:rsidRDefault="002B2CC4"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C4" w:rsidRDefault="008E1D2C" w:rsidP="00C82050">
    <w:pPr>
      <w:pStyle w:val="Footer"/>
      <w:framePr w:wrap="around" w:vAnchor="text" w:hAnchor="margin" w:xAlign="right" w:y="1"/>
      <w:rPr>
        <w:rStyle w:val="PageNumber"/>
      </w:rPr>
    </w:pPr>
    <w:r>
      <w:rPr>
        <w:rStyle w:val="PageNumber"/>
      </w:rPr>
      <w:fldChar w:fldCharType="begin"/>
    </w:r>
    <w:r w:rsidR="002B2CC4">
      <w:rPr>
        <w:rStyle w:val="PageNumber"/>
      </w:rPr>
      <w:instrText xml:space="preserve">PAGE  </w:instrText>
    </w:r>
    <w:r>
      <w:rPr>
        <w:rStyle w:val="PageNumber"/>
      </w:rPr>
      <w:fldChar w:fldCharType="end"/>
    </w:r>
  </w:p>
  <w:p w:rsidR="002B2CC4" w:rsidRDefault="002B2CC4" w:rsidP="00C8205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C4" w:rsidRDefault="008E1D2C" w:rsidP="00C82050">
    <w:pPr>
      <w:pStyle w:val="Footer"/>
      <w:framePr w:wrap="around" w:vAnchor="text" w:hAnchor="margin" w:xAlign="right" w:y="1"/>
      <w:rPr>
        <w:rStyle w:val="PageNumber"/>
      </w:rPr>
    </w:pPr>
    <w:r>
      <w:rPr>
        <w:rStyle w:val="PageNumber"/>
      </w:rPr>
      <w:fldChar w:fldCharType="begin"/>
    </w:r>
    <w:r w:rsidR="002B2CC4">
      <w:rPr>
        <w:rStyle w:val="PageNumber"/>
      </w:rPr>
      <w:instrText xml:space="preserve">PAGE  </w:instrText>
    </w:r>
    <w:r>
      <w:rPr>
        <w:rStyle w:val="PageNumber"/>
      </w:rPr>
      <w:fldChar w:fldCharType="separate"/>
    </w:r>
    <w:r w:rsidR="006671B9">
      <w:rPr>
        <w:rStyle w:val="PageNumber"/>
        <w:noProof/>
      </w:rPr>
      <w:t>5</w:t>
    </w:r>
    <w:r>
      <w:rPr>
        <w:rStyle w:val="PageNumber"/>
      </w:rPr>
      <w:fldChar w:fldCharType="end"/>
    </w:r>
  </w:p>
  <w:p w:rsidR="002B2CC4" w:rsidRDefault="002B2CC4" w:rsidP="00C820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C97" w:rsidRDefault="00D41C97">
      <w:r>
        <w:separator/>
      </w:r>
    </w:p>
  </w:footnote>
  <w:footnote w:type="continuationSeparator" w:id="1">
    <w:p w:rsidR="00D41C97" w:rsidRDefault="00D41C97">
      <w:r>
        <w:continuationSeparator/>
      </w:r>
    </w:p>
  </w:footnote>
  <w:footnote w:id="2">
    <w:p w:rsidR="002B2CC4" w:rsidRDefault="002B2CC4" w:rsidP="004374E1">
      <w:pPr>
        <w:pStyle w:val="FootnoteText"/>
      </w:pPr>
      <w:r w:rsidRPr="004543D7">
        <w:rPr>
          <w:rStyle w:val="FootnoteReference"/>
          <w:rFonts w:ascii="Arial" w:hAnsi="Arial" w:cs="Arial"/>
          <w:b/>
          <w:bCs/>
          <w:sz w:val="16"/>
          <w:szCs w:val="16"/>
        </w:rPr>
        <w:t>*</w:t>
      </w:r>
      <w:r w:rsidRPr="004543D7">
        <w:rPr>
          <w:rFonts w:ascii="Arial" w:hAnsi="Arial" w:cs="Arial"/>
          <w:b/>
          <w:bCs/>
          <w:sz w:val="16"/>
          <w:szCs w:val="16"/>
        </w:rPr>
        <w:t xml:space="preserve"> </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2B2CC4" w:rsidRDefault="002B2CC4">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4">
    <w:p w:rsidR="002B2CC4" w:rsidRDefault="002B2CC4">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Fonts w:ascii="Arial" w:hAnsi="Arial" w:cs="Arial"/>
          <w:sz w:val="16"/>
          <w:szCs w:val="16"/>
        </w:rPr>
        <w:t xml:space="preserve"> </w:t>
      </w:r>
      <w:r>
        <w:rPr>
          <w:rFonts w:ascii="Arial" w:hAnsi="Arial" w:cs="Arial"/>
          <w:sz w:val="16"/>
          <w:szCs w:val="16"/>
        </w:rPr>
        <w:t>Ayşenur Acar, Betam, Araştırma Görevlisi, aysenur.acar@bahcesehir.edu.tr</w:t>
      </w:r>
    </w:p>
  </w:footnote>
  <w:footnote w:id="5">
    <w:p w:rsidR="002B2CC4" w:rsidRDefault="002B2CC4" w:rsidP="00266ACE">
      <w:r w:rsidRPr="001330A0">
        <w:rPr>
          <w:rStyle w:val="FootnoteReference"/>
          <w:rFonts w:ascii="Arial" w:hAnsi="Arial" w:cs="Arial"/>
          <w:sz w:val="16"/>
          <w:szCs w:val="16"/>
        </w:rPr>
        <w:footnoteRef/>
      </w:r>
      <w:r w:rsidRPr="001330A0">
        <w:rPr>
          <w:sz w:val="16"/>
          <w:szCs w:val="16"/>
        </w:rPr>
        <w:t xml:space="preserve">  </w:t>
      </w:r>
      <w:r w:rsidRPr="001330A0">
        <w:rPr>
          <w:rFonts w:ascii="Arial" w:hAnsi="Arial" w:cs="Arial"/>
          <w:sz w:val="16"/>
          <w:szCs w:val="16"/>
        </w:rPr>
        <w:t>Betam</w:t>
      </w:r>
      <w:r>
        <w:rPr>
          <w:rFonts w:ascii="Arial" w:hAnsi="Arial" w:cs="Arial"/>
          <w:sz w:val="16"/>
          <w:szCs w:val="16"/>
        </w:rPr>
        <w:t xml:space="preserve"> son bir yıldır</w:t>
      </w:r>
      <w:r w:rsidRPr="00870CD8">
        <w:rPr>
          <w:rFonts w:ascii="Arial" w:hAnsi="Arial" w:cs="Arial"/>
          <w:sz w:val="16"/>
          <w:szCs w:val="16"/>
        </w:rPr>
        <w:t xml:space="preserve"> Kariyer.net 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3D049E" w:rsidRDefault="003D049E" w:rsidP="003D049E">
      <w:pPr>
        <w:pStyle w:val="FootnoteText"/>
      </w:pPr>
      <w:r w:rsidRPr="00BB0998">
        <w:rPr>
          <w:rStyle w:val="FootnoteReference"/>
          <w:rFonts w:ascii="Arial" w:hAnsi="Arial" w:cs="Arial"/>
        </w:rPr>
        <w:footnoteRef/>
      </w:r>
      <w:r w:rsidRPr="00CE2843">
        <w:rPr>
          <w:rFonts w:ascii="Arial" w:hAnsi="Arial" w:cs="Arial"/>
          <w:sz w:val="16"/>
          <w:szCs w:val="16"/>
        </w:rPr>
        <w:t xml:space="preserve"> </w:t>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7">
    <w:p w:rsidR="002B2CC4" w:rsidRDefault="002B2CC4" w:rsidP="00323218">
      <w:pPr>
        <w:pStyle w:val="FootnoteText"/>
      </w:pPr>
      <w:r w:rsidRPr="00295CCD">
        <w:rPr>
          <w:rStyle w:val="FootnoteReference"/>
          <w:rFonts w:ascii="Arial" w:hAnsi="Arial" w:cs="Arial"/>
        </w:rPr>
        <w:footnoteRef/>
      </w:r>
      <w:r w:rsidRPr="00295CCD">
        <w:rPr>
          <w:rFonts w:ascii="Arial" w:hAnsi="Arial" w:cs="Arial"/>
        </w:rPr>
        <w:t xml:space="preserve"> </w:t>
      </w:r>
      <w:r>
        <w:rPr>
          <w:rFonts w:ascii="Arial" w:hAnsi="Arial" w:cs="Arial"/>
          <w:sz w:val="16"/>
          <w:szCs w:val="16"/>
        </w:rPr>
        <w:t>Gri</w:t>
      </w:r>
      <w:r w:rsidRPr="00295CCD">
        <w:rPr>
          <w:rFonts w:ascii="Arial" w:hAnsi="Arial" w:cs="Arial"/>
          <w:sz w:val="16"/>
          <w:szCs w:val="16"/>
        </w:rPr>
        <w:t xml:space="preserve"> </w:t>
      </w:r>
      <w:r>
        <w:rPr>
          <w:rFonts w:ascii="Arial" w:hAnsi="Arial" w:cs="Arial"/>
          <w:sz w:val="16"/>
          <w:szCs w:val="16"/>
        </w:rPr>
        <w:t>renkle gösterilen seriler ham istihdam rakamlarını, lacivert seriler ise mevsim etkilerinden arındırılmış serileri temsil etmektedir.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3041D"/>
    <w:rsid w:val="0003055D"/>
    <w:rsid w:val="000312D6"/>
    <w:rsid w:val="000313AF"/>
    <w:rsid w:val="0003174C"/>
    <w:rsid w:val="00031966"/>
    <w:rsid w:val="00032FCF"/>
    <w:rsid w:val="000358D4"/>
    <w:rsid w:val="00035FEC"/>
    <w:rsid w:val="000372FD"/>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8A2"/>
    <w:rsid w:val="000629AF"/>
    <w:rsid w:val="00063601"/>
    <w:rsid w:val="00064968"/>
    <w:rsid w:val="00065B4B"/>
    <w:rsid w:val="00065EBC"/>
    <w:rsid w:val="00070162"/>
    <w:rsid w:val="00070C1C"/>
    <w:rsid w:val="00071975"/>
    <w:rsid w:val="00072945"/>
    <w:rsid w:val="000729AB"/>
    <w:rsid w:val="00072CD6"/>
    <w:rsid w:val="00074625"/>
    <w:rsid w:val="0007676E"/>
    <w:rsid w:val="00076D4E"/>
    <w:rsid w:val="00077C55"/>
    <w:rsid w:val="000809AC"/>
    <w:rsid w:val="0008112A"/>
    <w:rsid w:val="000812DE"/>
    <w:rsid w:val="00081619"/>
    <w:rsid w:val="00084A53"/>
    <w:rsid w:val="00084B32"/>
    <w:rsid w:val="00085CB9"/>
    <w:rsid w:val="000867C5"/>
    <w:rsid w:val="000916DB"/>
    <w:rsid w:val="000938A1"/>
    <w:rsid w:val="00094453"/>
    <w:rsid w:val="00095783"/>
    <w:rsid w:val="00096392"/>
    <w:rsid w:val="000964F4"/>
    <w:rsid w:val="00096D98"/>
    <w:rsid w:val="000A0E0F"/>
    <w:rsid w:val="000A3A30"/>
    <w:rsid w:val="000A3DF0"/>
    <w:rsid w:val="000B0C03"/>
    <w:rsid w:val="000B0DB4"/>
    <w:rsid w:val="000B380D"/>
    <w:rsid w:val="000B479F"/>
    <w:rsid w:val="000B5594"/>
    <w:rsid w:val="000B6451"/>
    <w:rsid w:val="000B7B24"/>
    <w:rsid w:val="000B7D96"/>
    <w:rsid w:val="000B7FBA"/>
    <w:rsid w:val="000C0777"/>
    <w:rsid w:val="000C0D3E"/>
    <w:rsid w:val="000C0FB8"/>
    <w:rsid w:val="000C12D8"/>
    <w:rsid w:val="000C374E"/>
    <w:rsid w:val="000C50B7"/>
    <w:rsid w:val="000C663D"/>
    <w:rsid w:val="000C7309"/>
    <w:rsid w:val="000C7BA0"/>
    <w:rsid w:val="000D1454"/>
    <w:rsid w:val="000D2614"/>
    <w:rsid w:val="000D4023"/>
    <w:rsid w:val="000D4567"/>
    <w:rsid w:val="000D6063"/>
    <w:rsid w:val="000D6257"/>
    <w:rsid w:val="000E1008"/>
    <w:rsid w:val="000E261E"/>
    <w:rsid w:val="000E2F19"/>
    <w:rsid w:val="000E3006"/>
    <w:rsid w:val="000E46F4"/>
    <w:rsid w:val="000E50DE"/>
    <w:rsid w:val="000E5CF3"/>
    <w:rsid w:val="000E6183"/>
    <w:rsid w:val="000E764D"/>
    <w:rsid w:val="000E7B4F"/>
    <w:rsid w:val="000F05DD"/>
    <w:rsid w:val="000F0D76"/>
    <w:rsid w:val="000F1924"/>
    <w:rsid w:val="000F1E73"/>
    <w:rsid w:val="000F3ADE"/>
    <w:rsid w:val="000F5492"/>
    <w:rsid w:val="000F5A37"/>
    <w:rsid w:val="000F670C"/>
    <w:rsid w:val="000F6F76"/>
    <w:rsid w:val="000F7454"/>
    <w:rsid w:val="00101DF7"/>
    <w:rsid w:val="00102021"/>
    <w:rsid w:val="00102160"/>
    <w:rsid w:val="00102359"/>
    <w:rsid w:val="00102D0F"/>
    <w:rsid w:val="00102FD7"/>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E0"/>
    <w:rsid w:val="00132399"/>
    <w:rsid w:val="001330A0"/>
    <w:rsid w:val="00134486"/>
    <w:rsid w:val="0013543D"/>
    <w:rsid w:val="001356F2"/>
    <w:rsid w:val="001357F9"/>
    <w:rsid w:val="001360F1"/>
    <w:rsid w:val="00136882"/>
    <w:rsid w:val="00136C92"/>
    <w:rsid w:val="00136EAC"/>
    <w:rsid w:val="001375EB"/>
    <w:rsid w:val="00137CF1"/>
    <w:rsid w:val="00140DD4"/>
    <w:rsid w:val="001427FE"/>
    <w:rsid w:val="001459B1"/>
    <w:rsid w:val="00145BA9"/>
    <w:rsid w:val="001462F5"/>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2F7"/>
    <w:rsid w:val="00170634"/>
    <w:rsid w:val="00170951"/>
    <w:rsid w:val="00170FA4"/>
    <w:rsid w:val="00172569"/>
    <w:rsid w:val="00172C54"/>
    <w:rsid w:val="00172CB1"/>
    <w:rsid w:val="00173095"/>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4BBB"/>
    <w:rsid w:val="001951C2"/>
    <w:rsid w:val="001955C3"/>
    <w:rsid w:val="00195FC9"/>
    <w:rsid w:val="0019619A"/>
    <w:rsid w:val="00196ABD"/>
    <w:rsid w:val="001A1395"/>
    <w:rsid w:val="001A1BED"/>
    <w:rsid w:val="001A2260"/>
    <w:rsid w:val="001A4412"/>
    <w:rsid w:val="001A5038"/>
    <w:rsid w:val="001A5B5C"/>
    <w:rsid w:val="001A5E0D"/>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C14"/>
    <w:rsid w:val="001D07AB"/>
    <w:rsid w:val="001D2511"/>
    <w:rsid w:val="001D339B"/>
    <w:rsid w:val="001D416D"/>
    <w:rsid w:val="001D48D3"/>
    <w:rsid w:val="001D6039"/>
    <w:rsid w:val="001D6B1F"/>
    <w:rsid w:val="001D6BF6"/>
    <w:rsid w:val="001D6C4C"/>
    <w:rsid w:val="001D6C8C"/>
    <w:rsid w:val="001D77AA"/>
    <w:rsid w:val="001D7EA6"/>
    <w:rsid w:val="001E3E44"/>
    <w:rsid w:val="001E41AF"/>
    <w:rsid w:val="001E5C49"/>
    <w:rsid w:val="001E6329"/>
    <w:rsid w:val="001F0777"/>
    <w:rsid w:val="001F08EF"/>
    <w:rsid w:val="001F0C92"/>
    <w:rsid w:val="001F2366"/>
    <w:rsid w:val="001F2844"/>
    <w:rsid w:val="001F3BD3"/>
    <w:rsid w:val="001F5017"/>
    <w:rsid w:val="001F56FA"/>
    <w:rsid w:val="001F6582"/>
    <w:rsid w:val="001F74C8"/>
    <w:rsid w:val="00200A76"/>
    <w:rsid w:val="00200AC4"/>
    <w:rsid w:val="00200B66"/>
    <w:rsid w:val="00200EE1"/>
    <w:rsid w:val="0020193B"/>
    <w:rsid w:val="00203116"/>
    <w:rsid w:val="00205DFC"/>
    <w:rsid w:val="00205E88"/>
    <w:rsid w:val="002065EE"/>
    <w:rsid w:val="00206DCD"/>
    <w:rsid w:val="00207CF7"/>
    <w:rsid w:val="00210D99"/>
    <w:rsid w:val="00212969"/>
    <w:rsid w:val="002134E7"/>
    <w:rsid w:val="0021444D"/>
    <w:rsid w:val="00214BC3"/>
    <w:rsid w:val="00215426"/>
    <w:rsid w:val="00215B10"/>
    <w:rsid w:val="00215D7A"/>
    <w:rsid w:val="00216D1F"/>
    <w:rsid w:val="002233FB"/>
    <w:rsid w:val="00223B63"/>
    <w:rsid w:val="002245E1"/>
    <w:rsid w:val="002247A4"/>
    <w:rsid w:val="00224EFD"/>
    <w:rsid w:val="00225787"/>
    <w:rsid w:val="002262D0"/>
    <w:rsid w:val="00226A2C"/>
    <w:rsid w:val="00230056"/>
    <w:rsid w:val="002307A3"/>
    <w:rsid w:val="00230DE3"/>
    <w:rsid w:val="00231977"/>
    <w:rsid w:val="00231A1E"/>
    <w:rsid w:val="00231FAD"/>
    <w:rsid w:val="002323C0"/>
    <w:rsid w:val="00232FFC"/>
    <w:rsid w:val="002343C3"/>
    <w:rsid w:val="002344C7"/>
    <w:rsid w:val="002357C8"/>
    <w:rsid w:val="002366C7"/>
    <w:rsid w:val="002366D9"/>
    <w:rsid w:val="0023776A"/>
    <w:rsid w:val="00241C21"/>
    <w:rsid w:val="0024231B"/>
    <w:rsid w:val="00242A88"/>
    <w:rsid w:val="002430A1"/>
    <w:rsid w:val="0024342A"/>
    <w:rsid w:val="00243BDC"/>
    <w:rsid w:val="00244AF7"/>
    <w:rsid w:val="0024527C"/>
    <w:rsid w:val="002469F5"/>
    <w:rsid w:val="002472F8"/>
    <w:rsid w:val="0024751A"/>
    <w:rsid w:val="00250937"/>
    <w:rsid w:val="002540FA"/>
    <w:rsid w:val="002547C1"/>
    <w:rsid w:val="00255DE8"/>
    <w:rsid w:val="0025690C"/>
    <w:rsid w:val="00257842"/>
    <w:rsid w:val="002608EE"/>
    <w:rsid w:val="00260ACE"/>
    <w:rsid w:val="00260B29"/>
    <w:rsid w:val="00260EBB"/>
    <w:rsid w:val="00262AB6"/>
    <w:rsid w:val="0026312B"/>
    <w:rsid w:val="00264AC9"/>
    <w:rsid w:val="00265527"/>
    <w:rsid w:val="00265805"/>
    <w:rsid w:val="002659BB"/>
    <w:rsid w:val="00266ACE"/>
    <w:rsid w:val="00267F1C"/>
    <w:rsid w:val="002713BB"/>
    <w:rsid w:val="0027204A"/>
    <w:rsid w:val="0027312B"/>
    <w:rsid w:val="00275174"/>
    <w:rsid w:val="002754A7"/>
    <w:rsid w:val="00275827"/>
    <w:rsid w:val="00276C5E"/>
    <w:rsid w:val="0027759C"/>
    <w:rsid w:val="00277853"/>
    <w:rsid w:val="00280E27"/>
    <w:rsid w:val="0028200D"/>
    <w:rsid w:val="00282383"/>
    <w:rsid w:val="00282515"/>
    <w:rsid w:val="00283CDA"/>
    <w:rsid w:val="0028564F"/>
    <w:rsid w:val="002873C5"/>
    <w:rsid w:val="00291544"/>
    <w:rsid w:val="00292A11"/>
    <w:rsid w:val="00293F35"/>
    <w:rsid w:val="00295CCD"/>
    <w:rsid w:val="002963EE"/>
    <w:rsid w:val="0029660A"/>
    <w:rsid w:val="00296CB5"/>
    <w:rsid w:val="002979D6"/>
    <w:rsid w:val="002A1F4D"/>
    <w:rsid w:val="002A2A80"/>
    <w:rsid w:val="002A3371"/>
    <w:rsid w:val="002A41D5"/>
    <w:rsid w:val="002A49D9"/>
    <w:rsid w:val="002A5BF6"/>
    <w:rsid w:val="002A613B"/>
    <w:rsid w:val="002A6697"/>
    <w:rsid w:val="002A7D5C"/>
    <w:rsid w:val="002A7E57"/>
    <w:rsid w:val="002B2A35"/>
    <w:rsid w:val="002B2CC4"/>
    <w:rsid w:val="002B2EF7"/>
    <w:rsid w:val="002B42C1"/>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35D5"/>
    <w:rsid w:val="002D4D8E"/>
    <w:rsid w:val="002D5B43"/>
    <w:rsid w:val="002E3C31"/>
    <w:rsid w:val="002E44DA"/>
    <w:rsid w:val="002E5793"/>
    <w:rsid w:val="002E5B24"/>
    <w:rsid w:val="002F0F9A"/>
    <w:rsid w:val="002F1674"/>
    <w:rsid w:val="002F2FB3"/>
    <w:rsid w:val="002F3A43"/>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183A"/>
    <w:rsid w:val="003218FF"/>
    <w:rsid w:val="00323218"/>
    <w:rsid w:val="003239B8"/>
    <w:rsid w:val="00325A8C"/>
    <w:rsid w:val="00326838"/>
    <w:rsid w:val="00326A2F"/>
    <w:rsid w:val="00326BDD"/>
    <w:rsid w:val="00330799"/>
    <w:rsid w:val="00331106"/>
    <w:rsid w:val="00331482"/>
    <w:rsid w:val="00332440"/>
    <w:rsid w:val="003326E0"/>
    <w:rsid w:val="00335962"/>
    <w:rsid w:val="0033614E"/>
    <w:rsid w:val="00340751"/>
    <w:rsid w:val="003440C6"/>
    <w:rsid w:val="00347740"/>
    <w:rsid w:val="00347C9B"/>
    <w:rsid w:val="00352C9D"/>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704F6"/>
    <w:rsid w:val="0037189B"/>
    <w:rsid w:val="003718AD"/>
    <w:rsid w:val="00371AE9"/>
    <w:rsid w:val="0037415C"/>
    <w:rsid w:val="0037634B"/>
    <w:rsid w:val="00377234"/>
    <w:rsid w:val="0037733C"/>
    <w:rsid w:val="00377687"/>
    <w:rsid w:val="00377E1D"/>
    <w:rsid w:val="00380002"/>
    <w:rsid w:val="0038020D"/>
    <w:rsid w:val="00381C58"/>
    <w:rsid w:val="00382C32"/>
    <w:rsid w:val="00384BC1"/>
    <w:rsid w:val="00385DA9"/>
    <w:rsid w:val="00386082"/>
    <w:rsid w:val="00387BC1"/>
    <w:rsid w:val="003903F4"/>
    <w:rsid w:val="0039089B"/>
    <w:rsid w:val="00390D59"/>
    <w:rsid w:val="00392505"/>
    <w:rsid w:val="0039408E"/>
    <w:rsid w:val="0039431B"/>
    <w:rsid w:val="00394A44"/>
    <w:rsid w:val="00394B91"/>
    <w:rsid w:val="00395D5E"/>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886"/>
    <w:rsid w:val="003B0AE8"/>
    <w:rsid w:val="003B23E4"/>
    <w:rsid w:val="003B4813"/>
    <w:rsid w:val="003B7CB4"/>
    <w:rsid w:val="003C2B0F"/>
    <w:rsid w:val="003C2E29"/>
    <w:rsid w:val="003C382A"/>
    <w:rsid w:val="003C46E0"/>
    <w:rsid w:val="003C57BE"/>
    <w:rsid w:val="003C6507"/>
    <w:rsid w:val="003C66AF"/>
    <w:rsid w:val="003C7BA9"/>
    <w:rsid w:val="003D028B"/>
    <w:rsid w:val="003D049E"/>
    <w:rsid w:val="003D103F"/>
    <w:rsid w:val="003D1728"/>
    <w:rsid w:val="003D1B3B"/>
    <w:rsid w:val="003D33A3"/>
    <w:rsid w:val="003D39C8"/>
    <w:rsid w:val="003D4E37"/>
    <w:rsid w:val="003D5F8E"/>
    <w:rsid w:val="003D61D0"/>
    <w:rsid w:val="003D64A0"/>
    <w:rsid w:val="003D7069"/>
    <w:rsid w:val="003D70A5"/>
    <w:rsid w:val="003D77B2"/>
    <w:rsid w:val="003E196A"/>
    <w:rsid w:val="003E3B34"/>
    <w:rsid w:val="003E3F95"/>
    <w:rsid w:val="003E4081"/>
    <w:rsid w:val="003E4283"/>
    <w:rsid w:val="003E4D91"/>
    <w:rsid w:val="003E6CC2"/>
    <w:rsid w:val="003F07E4"/>
    <w:rsid w:val="003F1865"/>
    <w:rsid w:val="003F1A07"/>
    <w:rsid w:val="003F392D"/>
    <w:rsid w:val="003F3AB2"/>
    <w:rsid w:val="003F3CCA"/>
    <w:rsid w:val="003F443A"/>
    <w:rsid w:val="003F46DD"/>
    <w:rsid w:val="003F51FE"/>
    <w:rsid w:val="003F5B34"/>
    <w:rsid w:val="003F6086"/>
    <w:rsid w:val="004041CA"/>
    <w:rsid w:val="004060C8"/>
    <w:rsid w:val="004069A0"/>
    <w:rsid w:val="0040738B"/>
    <w:rsid w:val="00407FD8"/>
    <w:rsid w:val="00410134"/>
    <w:rsid w:val="0041252B"/>
    <w:rsid w:val="00412E50"/>
    <w:rsid w:val="004136DA"/>
    <w:rsid w:val="004145C8"/>
    <w:rsid w:val="004146F2"/>
    <w:rsid w:val="00414AB8"/>
    <w:rsid w:val="00417933"/>
    <w:rsid w:val="00421919"/>
    <w:rsid w:val="004237CE"/>
    <w:rsid w:val="00424130"/>
    <w:rsid w:val="004243FA"/>
    <w:rsid w:val="00424C32"/>
    <w:rsid w:val="00425A74"/>
    <w:rsid w:val="00425AE3"/>
    <w:rsid w:val="00425FB3"/>
    <w:rsid w:val="00427CC3"/>
    <w:rsid w:val="00430C71"/>
    <w:rsid w:val="00431833"/>
    <w:rsid w:val="004319DD"/>
    <w:rsid w:val="00431CD3"/>
    <w:rsid w:val="00432A71"/>
    <w:rsid w:val="00432E6F"/>
    <w:rsid w:val="00433652"/>
    <w:rsid w:val="00433E47"/>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601"/>
    <w:rsid w:val="004616FE"/>
    <w:rsid w:val="004625F7"/>
    <w:rsid w:val="00462F37"/>
    <w:rsid w:val="004631E2"/>
    <w:rsid w:val="004643A6"/>
    <w:rsid w:val="00465DB9"/>
    <w:rsid w:val="0046669F"/>
    <w:rsid w:val="00466924"/>
    <w:rsid w:val="0046771E"/>
    <w:rsid w:val="00471FB2"/>
    <w:rsid w:val="00474634"/>
    <w:rsid w:val="00474EEA"/>
    <w:rsid w:val="004750D5"/>
    <w:rsid w:val="00475663"/>
    <w:rsid w:val="004805C9"/>
    <w:rsid w:val="004808E7"/>
    <w:rsid w:val="00480970"/>
    <w:rsid w:val="00483E55"/>
    <w:rsid w:val="0048402E"/>
    <w:rsid w:val="00484334"/>
    <w:rsid w:val="00484E28"/>
    <w:rsid w:val="00487D2B"/>
    <w:rsid w:val="0049007D"/>
    <w:rsid w:val="00490E3E"/>
    <w:rsid w:val="0049574B"/>
    <w:rsid w:val="004965BE"/>
    <w:rsid w:val="00497551"/>
    <w:rsid w:val="004A0409"/>
    <w:rsid w:val="004A0A93"/>
    <w:rsid w:val="004A2232"/>
    <w:rsid w:val="004A22BE"/>
    <w:rsid w:val="004A2E2A"/>
    <w:rsid w:val="004A519F"/>
    <w:rsid w:val="004A56CB"/>
    <w:rsid w:val="004A70E9"/>
    <w:rsid w:val="004A7959"/>
    <w:rsid w:val="004A7C40"/>
    <w:rsid w:val="004A7EC4"/>
    <w:rsid w:val="004B0E53"/>
    <w:rsid w:val="004B2C95"/>
    <w:rsid w:val="004B5220"/>
    <w:rsid w:val="004B594C"/>
    <w:rsid w:val="004B6FDD"/>
    <w:rsid w:val="004B734B"/>
    <w:rsid w:val="004B7ACA"/>
    <w:rsid w:val="004B7CFC"/>
    <w:rsid w:val="004C0A48"/>
    <w:rsid w:val="004C5AE8"/>
    <w:rsid w:val="004C6336"/>
    <w:rsid w:val="004C68F6"/>
    <w:rsid w:val="004C6AB3"/>
    <w:rsid w:val="004D0270"/>
    <w:rsid w:val="004D03BD"/>
    <w:rsid w:val="004D23BF"/>
    <w:rsid w:val="004D372F"/>
    <w:rsid w:val="004D3C8E"/>
    <w:rsid w:val="004D45C4"/>
    <w:rsid w:val="004D4DC7"/>
    <w:rsid w:val="004D5201"/>
    <w:rsid w:val="004D6533"/>
    <w:rsid w:val="004D661A"/>
    <w:rsid w:val="004E0036"/>
    <w:rsid w:val="004E0584"/>
    <w:rsid w:val="004E1CFE"/>
    <w:rsid w:val="004E2C25"/>
    <w:rsid w:val="004E31A6"/>
    <w:rsid w:val="004E3563"/>
    <w:rsid w:val="004E3A24"/>
    <w:rsid w:val="004E5540"/>
    <w:rsid w:val="004E62FB"/>
    <w:rsid w:val="004E7746"/>
    <w:rsid w:val="004F0313"/>
    <w:rsid w:val="004F0C9A"/>
    <w:rsid w:val="004F1ADD"/>
    <w:rsid w:val="004F1DD1"/>
    <w:rsid w:val="004F1F08"/>
    <w:rsid w:val="004F200A"/>
    <w:rsid w:val="004F24B0"/>
    <w:rsid w:val="004F3D50"/>
    <w:rsid w:val="004F3E6A"/>
    <w:rsid w:val="004F6093"/>
    <w:rsid w:val="004F71A5"/>
    <w:rsid w:val="004F73AA"/>
    <w:rsid w:val="00500FA2"/>
    <w:rsid w:val="00501487"/>
    <w:rsid w:val="00503565"/>
    <w:rsid w:val="00503E38"/>
    <w:rsid w:val="00503FEB"/>
    <w:rsid w:val="0050449E"/>
    <w:rsid w:val="00505A3A"/>
    <w:rsid w:val="0050621C"/>
    <w:rsid w:val="005067C8"/>
    <w:rsid w:val="00506D91"/>
    <w:rsid w:val="00506FA9"/>
    <w:rsid w:val="005116B9"/>
    <w:rsid w:val="00511EEF"/>
    <w:rsid w:val="00513CF1"/>
    <w:rsid w:val="00516221"/>
    <w:rsid w:val="005169AA"/>
    <w:rsid w:val="00516A85"/>
    <w:rsid w:val="00520D03"/>
    <w:rsid w:val="00522B5E"/>
    <w:rsid w:val="00522DB9"/>
    <w:rsid w:val="005251F6"/>
    <w:rsid w:val="005258BE"/>
    <w:rsid w:val="0052590F"/>
    <w:rsid w:val="00526178"/>
    <w:rsid w:val="005263E5"/>
    <w:rsid w:val="00535D5C"/>
    <w:rsid w:val="00535F6A"/>
    <w:rsid w:val="005368D9"/>
    <w:rsid w:val="0054117F"/>
    <w:rsid w:val="005416C9"/>
    <w:rsid w:val="0054296F"/>
    <w:rsid w:val="00543870"/>
    <w:rsid w:val="00543EC1"/>
    <w:rsid w:val="005444EB"/>
    <w:rsid w:val="005448AB"/>
    <w:rsid w:val="00545E0D"/>
    <w:rsid w:val="00547305"/>
    <w:rsid w:val="00551837"/>
    <w:rsid w:val="005519EB"/>
    <w:rsid w:val="00552A79"/>
    <w:rsid w:val="00552CCA"/>
    <w:rsid w:val="00553A60"/>
    <w:rsid w:val="005552BA"/>
    <w:rsid w:val="00555945"/>
    <w:rsid w:val="0055687C"/>
    <w:rsid w:val="00556A64"/>
    <w:rsid w:val="00557044"/>
    <w:rsid w:val="0056049F"/>
    <w:rsid w:val="00561F70"/>
    <w:rsid w:val="005624F0"/>
    <w:rsid w:val="00563CA0"/>
    <w:rsid w:val="005640F7"/>
    <w:rsid w:val="0056577B"/>
    <w:rsid w:val="00566206"/>
    <w:rsid w:val="0057043F"/>
    <w:rsid w:val="005705AA"/>
    <w:rsid w:val="00572324"/>
    <w:rsid w:val="0057290B"/>
    <w:rsid w:val="00573913"/>
    <w:rsid w:val="0057430E"/>
    <w:rsid w:val="005752EB"/>
    <w:rsid w:val="00575F08"/>
    <w:rsid w:val="00577DE4"/>
    <w:rsid w:val="005818A7"/>
    <w:rsid w:val="00582475"/>
    <w:rsid w:val="00583D2A"/>
    <w:rsid w:val="00590769"/>
    <w:rsid w:val="0059155A"/>
    <w:rsid w:val="00594C12"/>
    <w:rsid w:val="005952BB"/>
    <w:rsid w:val="00596D54"/>
    <w:rsid w:val="00597B35"/>
    <w:rsid w:val="005A14C4"/>
    <w:rsid w:val="005A289E"/>
    <w:rsid w:val="005A3063"/>
    <w:rsid w:val="005A3A39"/>
    <w:rsid w:val="005A3C61"/>
    <w:rsid w:val="005A635C"/>
    <w:rsid w:val="005A6BA5"/>
    <w:rsid w:val="005A7105"/>
    <w:rsid w:val="005A7DBC"/>
    <w:rsid w:val="005B01E2"/>
    <w:rsid w:val="005B0341"/>
    <w:rsid w:val="005B1A36"/>
    <w:rsid w:val="005B2742"/>
    <w:rsid w:val="005B2A6A"/>
    <w:rsid w:val="005B3164"/>
    <w:rsid w:val="005B3231"/>
    <w:rsid w:val="005B4A03"/>
    <w:rsid w:val="005B4E2E"/>
    <w:rsid w:val="005B76F0"/>
    <w:rsid w:val="005C1900"/>
    <w:rsid w:val="005C1F52"/>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36B4"/>
    <w:rsid w:val="005D3A5F"/>
    <w:rsid w:val="005D51D9"/>
    <w:rsid w:val="005D5237"/>
    <w:rsid w:val="005D571C"/>
    <w:rsid w:val="005D75CA"/>
    <w:rsid w:val="005E013A"/>
    <w:rsid w:val="005E07F1"/>
    <w:rsid w:val="005E0839"/>
    <w:rsid w:val="005E09FF"/>
    <w:rsid w:val="005E0B74"/>
    <w:rsid w:val="005E2401"/>
    <w:rsid w:val="005E2496"/>
    <w:rsid w:val="005E340E"/>
    <w:rsid w:val="005E52A8"/>
    <w:rsid w:val="005E5DFB"/>
    <w:rsid w:val="005E64A4"/>
    <w:rsid w:val="005E6CF2"/>
    <w:rsid w:val="005E6DB6"/>
    <w:rsid w:val="005E7C10"/>
    <w:rsid w:val="005F147B"/>
    <w:rsid w:val="005F1EA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DE0"/>
    <w:rsid w:val="00606626"/>
    <w:rsid w:val="00606E24"/>
    <w:rsid w:val="006104AB"/>
    <w:rsid w:val="00611C01"/>
    <w:rsid w:val="00612C67"/>
    <w:rsid w:val="0061511B"/>
    <w:rsid w:val="00616D07"/>
    <w:rsid w:val="006209D0"/>
    <w:rsid w:val="00620CBE"/>
    <w:rsid w:val="00621774"/>
    <w:rsid w:val="00621B73"/>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206B"/>
    <w:rsid w:val="00653EA2"/>
    <w:rsid w:val="00657B42"/>
    <w:rsid w:val="00657FF3"/>
    <w:rsid w:val="00660BC2"/>
    <w:rsid w:val="00660E1B"/>
    <w:rsid w:val="00661475"/>
    <w:rsid w:val="00662196"/>
    <w:rsid w:val="00662BD2"/>
    <w:rsid w:val="00663AFC"/>
    <w:rsid w:val="00663C9E"/>
    <w:rsid w:val="00663F0E"/>
    <w:rsid w:val="00664C2A"/>
    <w:rsid w:val="006661E6"/>
    <w:rsid w:val="0066654C"/>
    <w:rsid w:val="006671B9"/>
    <w:rsid w:val="00667B8F"/>
    <w:rsid w:val="006704B1"/>
    <w:rsid w:val="00670A5C"/>
    <w:rsid w:val="006716F7"/>
    <w:rsid w:val="00673803"/>
    <w:rsid w:val="00673DA1"/>
    <w:rsid w:val="0067523C"/>
    <w:rsid w:val="00677EF4"/>
    <w:rsid w:val="00682A9A"/>
    <w:rsid w:val="00683308"/>
    <w:rsid w:val="006846FE"/>
    <w:rsid w:val="006856F0"/>
    <w:rsid w:val="00685CE0"/>
    <w:rsid w:val="00686873"/>
    <w:rsid w:val="00687DE8"/>
    <w:rsid w:val="0069074B"/>
    <w:rsid w:val="00691072"/>
    <w:rsid w:val="006912A2"/>
    <w:rsid w:val="00692C9B"/>
    <w:rsid w:val="006936C2"/>
    <w:rsid w:val="00694C89"/>
    <w:rsid w:val="006955E5"/>
    <w:rsid w:val="006A0469"/>
    <w:rsid w:val="006A1613"/>
    <w:rsid w:val="006A17D5"/>
    <w:rsid w:val="006A1DA1"/>
    <w:rsid w:val="006A22F6"/>
    <w:rsid w:val="006A66E4"/>
    <w:rsid w:val="006A6A23"/>
    <w:rsid w:val="006A706B"/>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7728"/>
    <w:rsid w:val="006D071A"/>
    <w:rsid w:val="006D106B"/>
    <w:rsid w:val="006D15AD"/>
    <w:rsid w:val="006D41AD"/>
    <w:rsid w:val="006D59B0"/>
    <w:rsid w:val="006D6B52"/>
    <w:rsid w:val="006E0E4C"/>
    <w:rsid w:val="006E0EAE"/>
    <w:rsid w:val="006E1578"/>
    <w:rsid w:val="006E4574"/>
    <w:rsid w:val="006E4674"/>
    <w:rsid w:val="006E564E"/>
    <w:rsid w:val="006E6EE5"/>
    <w:rsid w:val="006E731A"/>
    <w:rsid w:val="006E7503"/>
    <w:rsid w:val="006F0B1D"/>
    <w:rsid w:val="006F0DE9"/>
    <w:rsid w:val="006F1A97"/>
    <w:rsid w:val="006F3D2F"/>
    <w:rsid w:val="006F4D52"/>
    <w:rsid w:val="006F65D4"/>
    <w:rsid w:val="006F705E"/>
    <w:rsid w:val="006F7434"/>
    <w:rsid w:val="00701A6C"/>
    <w:rsid w:val="00702BC1"/>
    <w:rsid w:val="00704E91"/>
    <w:rsid w:val="007074F9"/>
    <w:rsid w:val="007101DC"/>
    <w:rsid w:val="00710D7A"/>
    <w:rsid w:val="00711002"/>
    <w:rsid w:val="0071145E"/>
    <w:rsid w:val="00711A6C"/>
    <w:rsid w:val="007124B2"/>
    <w:rsid w:val="00713873"/>
    <w:rsid w:val="007145AE"/>
    <w:rsid w:val="0071538B"/>
    <w:rsid w:val="00715EF9"/>
    <w:rsid w:val="00716058"/>
    <w:rsid w:val="00717F95"/>
    <w:rsid w:val="00721F23"/>
    <w:rsid w:val="007231C5"/>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D2F"/>
    <w:rsid w:val="00742117"/>
    <w:rsid w:val="0074224E"/>
    <w:rsid w:val="00742C70"/>
    <w:rsid w:val="00742F66"/>
    <w:rsid w:val="0074391C"/>
    <w:rsid w:val="00743FFE"/>
    <w:rsid w:val="007440AD"/>
    <w:rsid w:val="00745062"/>
    <w:rsid w:val="007521CB"/>
    <w:rsid w:val="0075328D"/>
    <w:rsid w:val="00754CB3"/>
    <w:rsid w:val="007565FB"/>
    <w:rsid w:val="00756851"/>
    <w:rsid w:val="00756AEF"/>
    <w:rsid w:val="007579FC"/>
    <w:rsid w:val="00762A52"/>
    <w:rsid w:val="007636F9"/>
    <w:rsid w:val="0076434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6B7"/>
    <w:rsid w:val="0079331A"/>
    <w:rsid w:val="00795059"/>
    <w:rsid w:val="00795E40"/>
    <w:rsid w:val="007965DB"/>
    <w:rsid w:val="007A004A"/>
    <w:rsid w:val="007A02B1"/>
    <w:rsid w:val="007A079B"/>
    <w:rsid w:val="007A1ED9"/>
    <w:rsid w:val="007A35A9"/>
    <w:rsid w:val="007A3C15"/>
    <w:rsid w:val="007A4AFA"/>
    <w:rsid w:val="007A4BE9"/>
    <w:rsid w:val="007A5E1D"/>
    <w:rsid w:val="007A6433"/>
    <w:rsid w:val="007A79AF"/>
    <w:rsid w:val="007B1B0D"/>
    <w:rsid w:val="007B1C0E"/>
    <w:rsid w:val="007B1E89"/>
    <w:rsid w:val="007B7FD0"/>
    <w:rsid w:val="007C23F1"/>
    <w:rsid w:val="007C3667"/>
    <w:rsid w:val="007C4F64"/>
    <w:rsid w:val="007C60D5"/>
    <w:rsid w:val="007C7AE4"/>
    <w:rsid w:val="007D0F5E"/>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3157"/>
    <w:rsid w:val="007E3D8B"/>
    <w:rsid w:val="007E497C"/>
    <w:rsid w:val="007E62F8"/>
    <w:rsid w:val="007E6934"/>
    <w:rsid w:val="007E6B1A"/>
    <w:rsid w:val="007F2628"/>
    <w:rsid w:val="007F3083"/>
    <w:rsid w:val="007F3182"/>
    <w:rsid w:val="007F36E9"/>
    <w:rsid w:val="008000E0"/>
    <w:rsid w:val="00800A1E"/>
    <w:rsid w:val="00801EE7"/>
    <w:rsid w:val="00804558"/>
    <w:rsid w:val="00804743"/>
    <w:rsid w:val="00804A7E"/>
    <w:rsid w:val="00804FAB"/>
    <w:rsid w:val="00805510"/>
    <w:rsid w:val="00806AE9"/>
    <w:rsid w:val="0080704E"/>
    <w:rsid w:val="0080798E"/>
    <w:rsid w:val="00810A8E"/>
    <w:rsid w:val="00810CA5"/>
    <w:rsid w:val="00811FF2"/>
    <w:rsid w:val="008120B0"/>
    <w:rsid w:val="008121E5"/>
    <w:rsid w:val="00812459"/>
    <w:rsid w:val="00812499"/>
    <w:rsid w:val="008125AD"/>
    <w:rsid w:val="00813352"/>
    <w:rsid w:val="00813584"/>
    <w:rsid w:val="008140D9"/>
    <w:rsid w:val="00820581"/>
    <w:rsid w:val="00820D35"/>
    <w:rsid w:val="008267EF"/>
    <w:rsid w:val="00826EE8"/>
    <w:rsid w:val="00827050"/>
    <w:rsid w:val="008279F2"/>
    <w:rsid w:val="00827C36"/>
    <w:rsid w:val="00827EEE"/>
    <w:rsid w:val="00827F47"/>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511B5"/>
    <w:rsid w:val="00851E47"/>
    <w:rsid w:val="00853504"/>
    <w:rsid w:val="00853507"/>
    <w:rsid w:val="0085449A"/>
    <w:rsid w:val="00854D24"/>
    <w:rsid w:val="00854E23"/>
    <w:rsid w:val="00855C78"/>
    <w:rsid w:val="00855D16"/>
    <w:rsid w:val="00855E85"/>
    <w:rsid w:val="00857087"/>
    <w:rsid w:val="00857D4A"/>
    <w:rsid w:val="00863693"/>
    <w:rsid w:val="00865615"/>
    <w:rsid w:val="00865BF9"/>
    <w:rsid w:val="008667D3"/>
    <w:rsid w:val="00867E11"/>
    <w:rsid w:val="00867F4A"/>
    <w:rsid w:val="00867FAA"/>
    <w:rsid w:val="0087063A"/>
    <w:rsid w:val="008709B5"/>
    <w:rsid w:val="00870CD8"/>
    <w:rsid w:val="008711A7"/>
    <w:rsid w:val="00875F0E"/>
    <w:rsid w:val="0087606B"/>
    <w:rsid w:val="008764F1"/>
    <w:rsid w:val="008775D0"/>
    <w:rsid w:val="008779A0"/>
    <w:rsid w:val="00877EAA"/>
    <w:rsid w:val="008817A5"/>
    <w:rsid w:val="00881EB9"/>
    <w:rsid w:val="008821E1"/>
    <w:rsid w:val="008836D4"/>
    <w:rsid w:val="00883D98"/>
    <w:rsid w:val="00884897"/>
    <w:rsid w:val="0088691E"/>
    <w:rsid w:val="00886CA6"/>
    <w:rsid w:val="00887605"/>
    <w:rsid w:val="00890D30"/>
    <w:rsid w:val="008977DF"/>
    <w:rsid w:val="00897B26"/>
    <w:rsid w:val="00897F01"/>
    <w:rsid w:val="008A0307"/>
    <w:rsid w:val="008A0DA4"/>
    <w:rsid w:val="008A209C"/>
    <w:rsid w:val="008A2676"/>
    <w:rsid w:val="008A7EA5"/>
    <w:rsid w:val="008B0791"/>
    <w:rsid w:val="008B0B72"/>
    <w:rsid w:val="008B1848"/>
    <w:rsid w:val="008B19DD"/>
    <w:rsid w:val="008B1AA9"/>
    <w:rsid w:val="008B209F"/>
    <w:rsid w:val="008B3C56"/>
    <w:rsid w:val="008C01D7"/>
    <w:rsid w:val="008C1A2B"/>
    <w:rsid w:val="008C25A6"/>
    <w:rsid w:val="008C5188"/>
    <w:rsid w:val="008C55A6"/>
    <w:rsid w:val="008C6619"/>
    <w:rsid w:val="008D05E6"/>
    <w:rsid w:val="008D06C7"/>
    <w:rsid w:val="008D41DE"/>
    <w:rsid w:val="008D56EA"/>
    <w:rsid w:val="008D7405"/>
    <w:rsid w:val="008E06FB"/>
    <w:rsid w:val="008E1248"/>
    <w:rsid w:val="008E1D2C"/>
    <w:rsid w:val="008E20D0"/>
    <w:rsid w:val="008E26DE"/>
    <w:rsid w:val="008E3853"/>
    <w:rsid w:val="008E4686"/>
    <w:rsid w:val="008E53CF"/>
    <w:rsid w:val="008E6095"/>
    <w:rsid w:val="008F0A35"/>
    <w:rsid w:val="008F0ED3"/>
    <w:rsid w:val="008F10D1"/>
    <w:rsid w:val="008F1928"/>
    <w:rsid w:val="008F6719"/>
    <w:rsid w:val="008F766F"/>
    <w:rsid w:val="008F7967"/>
    <w:rsid w:val="008F7AC5"/>
    <w:rsid w:val="0090139C"/>
    <w:rsid w:val="00901435"/>
    <w:rsid w:val="00902374"/>
    <w:rsid w:val="00903EE6"/>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FC2"/>
    <w:rsid w:val="009156F6"/>
    <w:rsid w:val="00917E25"/>
    <w:rsid w:val="0092118A"/>
    <w:rsid w:val="00922826"/>
    <w:rsid w:val="00923608"/>
    <w:rsid w:val="00924145"/>
    <w:rsid w:val="009253F2"/>
    <w:rsid w:val="0092649A"/>
    <w:rsid w:val="00926E4E"/>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C0A"/>
    <w:rsid w:val="009510A4"/>
    <w:rsid w:val="00951CA2"/>
    <w:rsid w:val="00951E12"/>
    <w:rsid w:val="00953440"/>
    <w:rsid w:val="00954FE1"/>
    <w:rsid w:val="0095590D"/>
    <w:rsid w:val="00955C4D"/>
    <w:rsid w:val="00956DC0"/>
    <w:rsid w:val="009611F4"/>
    <w:rsid w:val="009614B0"/>
    <w:rsid w:val="009628AD"/>
    <w:rsid w:val="00962EB5"/>
    <w:rsid w:val="009630BA"/>
    <w:rsid w:val="009653DA"/>
    <w:rsid w:val="00965C02"/>
    <w:rsid w:val="009676C1"/>
    <w:rsid w:val="00967788"/>
    <w:rsid w:val="00970134"/>
    <w:rsid w:val="009703C3"/>
    <w:rsid w:val="00970DE9"/>
    <w:rsid w:val="00971817"/>
    <w:rsid w:val="0097219F"/>
    <w:rsid w:val="009731A6"/>
    <w:rsid w:val="00974D10"/>
    <w:rsid w:val="00975EF5"/>
    <w:rsid w:val="009767F1"/>
    <w:rsid w:val="00977D6E"/>
    <w:rsid w:val="00977DCA"/>
    <w:rsid w:val="009812BC"/>
    <w:rsid w:val="0098342A"/>
    <w:rsid w:val="00983695"/>
    <w:rsid w:val="00984AF9"/>
    <w:rsid w:val="00984CC2"/>
    <w:rsid w:val="009858DD"/>
    <w:rsid w:val="009872F5"/>
    <w:rsid w:val="00991299"/>
    <w:rsid w:val="00993874"/>
    <w:rsid w:val="00994B51"/>
    <w:rsid w:val="00996953"/>
    <w:rsid w:val="0099755F"/>
    <w:rsid w:val="009979A3"/>
    <w:rsid w:val="009979DF"/>
    <w:rsid w:val="00997CD8"/>
    <w:rsid w:val="009A20A2"/>
    <w:rsid w:val="009A3FDA"/>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1525"/>
    <w:rsid w:val="009C21ED"/>
    <w:rsid w:val="009C279F"/>
    <w:rsid w:val="009C4C0C"/>
    <w:rsid w:val="009C5D0E"/>
    <w:rsid w:val="009C69A4"/>
    <w:rsid w:val="009D034A"/>
    <w:rsid w:val="009D07F3"/>
    <w:rsid w:val="009D17A5"/>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CC8"/>
    <w:rsid w:val="009F22D7"/>
    <w:rsid w:val="009F39E3"/>
    <w:rsid w:val="009F46F3"/>
    <w:rsid w:val="009F564B"/>
    <w:rsid w:val="009F7650"/>
    <w:rsid w:val="00A002B9"/>
    <w:rsid w:val="00A011B3"/>
    <w:rsid w:val="00A03327"/>
    <w:rsid w:val="00A038C6"/>
    <w:rsid w:val="00A03ABC"/>
    <w:rsid w:val="00A0441F"/>
    <w:rsid w:val="00A0449E"/>
    <w:rsid w:val="00A06376"/>
    <w:rsid w:val="00A1292C"/>
    <w:rsid w:val="00A1311B"/>
    <w:rsid w:val="00A1386A"/>
    <w:rsid w:val="00A13C06"/>
    <w:rsid w:val="00A14C54"/>
    <w:rsid w:val="00A153B7"/>
    <w:rsid w:val="00A1544D"/>
    <w:rsid w:val="00A16733"/>
    <w:rsid w:val="00A176D5"/>
    <w:rsid w:val="00A20FA8"/>
    <w:rsid w:val="00A22822"/>
    <w:rsid w:val="00A24046"/>
    <w:rsid w:val="00A2423B"/>
    <w:rsid w:val="00A245A8"/>
    <w:rsid w:val="00A26329"/>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50651"/>
    <w:rsid w:val="00A51B11"/>
    <w:rsid w:val="00A51E21"/>
    <w:rsid w:val="00A52608"/>
    <w:rsid w:val="00A5464D"/>
    <w:rsid w:val="00A5565C"/>
    <w:rsid w:val="00A56F2F"/>
    <w:rsid w:val="00A57556"/>
    <w:rsid w:val="00A577AA"/>
    <w:rsid w:val="00A605DC"/>
    <w:rsid w:val="00A60727"/>
    <w:rsid w:val="00A60A76"/>
    <w:rsid w:val="00A638F8"/>
    <w:rsid w:val="00A646C5"/>
    <w:rsid w:val="00A64A17"/>
    <w:rsid w:val="00A64F6C"/>
    <w:rsid w:val="00A71D7E"/>
    <w:rsid w:val="00A720A3"/>
    <w:rsid w:val="00A72163"/>
    <w:rsid w:val="00A727E2"/>
    <w:rsid w:val="00A72FCE"/>
    <w:rsid w:val="00A730DC"/>
    <w:rsid w:val="00A73631"/>
    <w:rsid w:val="00A76764"/>
    <w:rsid w:val="00A77C71"/>
    <w:rsid w:val="00A77D66"/>
    <w:rsid w:val="00A80076"/>
    <w:rsid w:val="00A81869"/>
    <w:rsid w:val="00A83221"/>
    <w:rsid w:val="00A8349F"/>
    <w:rsid w:val="00A8626F"/>
    <w:rsid w:val="00A86BC9"/>
    <w:rsid w:val="00A90892"/>
    <w:rsid w:val="00A92522"/>
    <w:rsid w:val="00A92B4E"/>
    <w:rsid w:val="00A96B14"/>
    <w:rsid w:val="00AA1159"/>
    <w:rsid w:val="00AA2221"/>
    <w:rsid w:val="00AB053C"/>
    <w:rsid w:val="00AB11F6"/>
    <w:rsid w:val="00AB178D"/>
    <w:rsid w:val="00AB21F9"/>
    <w:rsid w:val="00AB257D"/>
    <w:rsid w:val="00AB29E7"/>
    <w:rsid w:val="00AB317A"/>
    <w:rsid w:val="00AB4500"/>
    <w:rsid w:val="00AB61B5"/>
    <w:rsid w:val="00AB6B67"/>
    <w:rsid w:val="00AB76A7"/>
    <w:rsid w:val="00AB7F8A"/>
    <w:rsid w:val="00AC0207"/>
    <w:rsid w:val="00AC248E"/>
    <w:rsid w:val="00AC2694"/>
    <w:rsid w:val="00AC2B4C"/>
    <w:rsid w:val="00AC57FD"/>
    <w:rsid w:val="00AC7A58"/>
    <w:rsid w:val="00AD0270"/>
    <w:rsid w:val="00AD125A"/>
    <w:rsid w:val="00AD2341"/>
    <w:rsid w:val="00AD366F"/>
    <w:rsid w:val="00AD4853"/>
    <w:rsid w:val="00AD5D13"/>
    <w:rsid w:val="00AD60B8"/>
    <w:rsid w:val="00AD6499"/>
    <w:rsid w:val="00AD65A4"/>
    <w:rsid w:val="00AE0012"/>
    <w:rsid w:val="00AE01B0"/>
    <w:rsid w:val="00AE0CEB"/>
    <w:rsid w:val="00AE158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DA2"/>
    <w:rsid w:val="00AF78A3"/>
    <w:rsid w:val="00AF795D"/>
    <w:rsid w:val="00B003E6"/>
    <w:rsid w:val="00B0061B"/>
    <w:rsid w:val="00B011FC"/>
    <w:rsid w:val="00B012FD"/>
    <w:rsid w:val="00B01FF1"/>
    <w:rsid w:val="00B0296C"/>
    <w:rsid w:val="00B032AB"/>
    <w:rsid w:val="00B039BA"/>
    <w:rsid w:val="00B073FF"/>
    <w:rsid w:val="00B076EC"/>
    <w:rsid w:val="00B079FB"/>
    <w:rsid w:val="00B07EC6"/>
    <w:rsid w:val="00B11263"/>
    <w:rsid w:val="00B1174D"/>
    <w:rsid w:val="00B12793"/>
    <w:rsid w:val="00B14642"/>
    <w:rsid w:val="00B1490F"/>
    <w:rsid w:val="00B14BAA"/>
    <w:rsid w:val="00B162C2"/>
    <w:rsid w:val="00B1633B"/>
    <w:rsid w:val="00B174A3"/>
    <w:rsid w:val="00B2191E"/>
    <w:rsid w:val="00B21A90"/>
    <w:rsid w:val="00B22CB5"/>
    <w:rsid w:val="00B2358B"/>
    <w:rsid w:val="00B244AA"/>
    <w:rsid w:val="00B24BC1"/>
    <w:rsid w:val="00B301D7"/>
    <w:rsid w:val="00B3222A"/>
    <w:rsid w:val="00B33BF1"/>
    <w:rsid w:val="00B34451"/>
    <w:rsid w:val="00B35947"/>
    <w:rsid w:val="00B40BDC"/>
    <w:rsid w:val="00B41483"/>
    <w:rsid w:val="00B4192C"/>
    <w:rsid w:val="00B422F2"/>
    <w:rsid w:val="00B42F80"/>
    <w:rsid w:val="00B433F3"/>
    <w:rsid w:val="00B4342C"/>
    <w:rsid w:val="00B45572"/>
    <w:rsid w:val="00B46033"/>
    <w:rsid w:val="00B462E1"/>
    <w:rsid w:val="00B464DD"/>
    <w:rsid w:val="00B47CB6"/>
    <w:rsid w:val="00B47D41"/>
    <w:rsid w:val="00B506C4"/>
    <w:rsid w:val="00B50735"/>
    <w:rsid w:val="00B50B7F"/>
    <w:rsid w:val="00B51F99"/>
    <w:rsid w:val="00B53638"/>
    <w:rsid w:val="00B53C06"/>
    <w:rsid w:val="00B61413"/>
    <w:rsid w:val="00B61B23"/>
    <w:rsid w:val="00B61D92"/>
    <w:rsid w:val="00B62362"/>
    <w:rsid w:val="00B6253C"/>
    <w:rsid w:val="00B63009"/>
    <w:rsid w:val="00B630C9"/>
    <w:rsid w:val="00B63190"/>
    <w:rsid w:val="00B64B83"/>
    <w:rsid w:val="00B656B7"/>
    <w:rsid w:val="00B65C81"/>
    <w:rsid w:val="00B6667D"/>
    <w:rsid w:val="00B6679F"/>
    <w:rsid w:val="00B7053B"/>
    <w:rsid w:val="00B706B7"/>
    <w:rsid w:val="00B71468"/>
    <w:rsid w:val="00B71C14"/>
    <w:rsid w:val="00B7318D"/>
    <w:rsid w:val="00B73A1D"/>
    <w:rsid w:val="00B76188"/>
    <w:rsid w:val="00B7697C"/>
    <w:rsid w:val="00B80191"/>
    <w:rsid w:val="00B80988"/>
    <w:rsid w:val="00B8153C"/>
    <w:rsid w:val="00B818CF"/>
    <w:rsid w:val="00B823C2"/>
    <w:rsid w:val="00B833BE"/>
    <w:rsid w:val="00B85340"/>
    <w:rsid w:val="00B86096"/>
    <w:rsid w:val="00B90510"/>
    <w:rsid w:val="00B90B7D"/>
    <w:rsid w:val="00B91197"/>
    <w:rsid w:val="00B93F5B"/>
    <w:rsid w:val="00B944BD"/>
    <w:rsid w:val="00B95EA3"/>
    <w:rsid w:val="00B964E5"/>
    <w:rsid w:val="00B969F4"/>
    <w:rsid w:val="00B96FA4"/>
    <w:rsid w:val="00B97FC5"/>
    <w:rsid w:val="00BA0EBA"/>
    <w:rsid w:val="00BA1AFD"/>
    <w:rsid w:val="00BA5390"/>
    <w:rsid w:val="00BA5A47"/>
    <w:rsid w:val="00BA65ED"/>
    <w:rsid w:val="00BA6760"/>
    <w:rsid w:val="00BB0321"/>
    <w:rsid w:val="00BB0998"/>
    <w:rsid w:val="00BB129B"/>
    <w:rsid w:val="00BB1C5F"/>
    <w:rsid w:val="00BB62A8"/>
    <w:rsid w:val="00BB65DE"/>
    <w:rsid w:val="00BB6FB5"/>
    <w:rsid w:val="00BC178D"/>
    <w:rsid w:val="00BC494E"/>
    <w:rsid w:val="00BC6394"/>
    <w:rsid w:val="00BC6B5C"/>
    <w:rsid w:val="00BC6E0C"/>
    <w:rsid w:val="00BC74A0"/>
    <w:rsid w:val="00BC758F"/>
    <w:rsid w:val="00BC7848"/>
    <w:rsid w:val="00BD09A0"/>
    <w:rsid w:val="00BD30FB"/>
    <w:rsid w:val="00BD3E1F"/>
    <w:rsid w:val="00BD4064"/>
    <w:rsid w:val="00BD40AD"/>
    <w:rsid w:val="00BD67A4"/>
    <w:rsid w:val="00BD770F"/>
    <w:rsid w:val="00BE050A"/>
    <w:rsid w:val="00BE1DCA"/>
    <w:rsid w:val="00BE20BB"/>
    <w:rsid w:val="00BE220D"/>
    <w:rsid w:val="00BE3DCF"/>
    <w:rsid w:val="00BE454E"/>
    <w:rsid w:val="00BE45A7"/>
    <w:rsid w:val="00BE49FA"/>
    <w:rsid w:val="00BE4BE0"/>
    <w:rsid w:val="00BE69F2"/>
    <w:rsid w:val="00BE6B3D"/>
    <w:rsid w:val="00BE6D48"/>
    <w:rsid w:val="00BF199C"/>
    <w:rsid w:val="00BF1B2C"/>
    <w:rsid w:val="00BF40FE"/>
    <w:rsid w:val="00BF48F7"/>
    <w:rsid w:val="00BF59AD"/>
    <w:rsid w:val="00BF6551"/>
    <w:rsid w:val="00BF6B53"/>
    <w:rsid w:val="00BF776A"/>
    <w:rsid w:val="00C0032A"/>
    <w:rsid w:val="00C0122B"/>
    <w:rsid w:val="00C03C19"/>
    <w:rsid w:val="00C05987"/>
    <w:rsid w:val="00C05EAA"/>
    <w:rsid w:val="00C078B0"/>
    <w:rsid w:val="00C07FD8"/>
    <w:rsid w:val="00C1001A"/>
    <w:rsid w:val="00C109D2"/>
    <w:rsid w:val="00C11821"/>
    <w:rsid w:val="00C1270E"/>
    <w:rsid w:val="00C14A7A"/>
    <w:rsid w:val="00C14DBC"/>
    <w:rsid w:val="00C15213"/>
    <w:rsid w:val="00C1553F"/>
    <w:rsid w:val="00C1571B"/>
    <w:rsid w:val="00C157A2"/>
    <w:rsid w:val="00C2016F"/>
    <w:rsid w:val="00C2293C"/>
    <w:rsid w:val="00C2359C"/>
    <w:rsid w:val="00C24EA0"/>
    <w:rsid w:val="00C25EB5"/>
    <w:rsid w:val="00C279C5"/>
    <w:rsid w:val="00C30450"/>
    <w:rsid w:val="00C30BE6"/>
    <w:rsid w:val="00C30C1C"/>
    <w:rsid w:val="00C30F20"/>
    <w:rsid w:val="00C31B1D"/>
    <w:rsid w:val="00C32AC9"/>
    <w:rsid w:val="00C33CA7"/>
    <w:rsid w:val="00C33EC4"/>
    <w:rsid w:val="00C357A8"/>
    <w:rsid w:val="00C36BD3"/>
    <w:rsid w:val="00C3748B"/>
    <w:rsid w:val="00C404BF"/>
    <w:rsid w:val="00C417DE"/>
    <w:rsid w:val="00C41A01"/>
    <w:rsid w:val="00C42BF0"/>
    <w:rsid w:val="00C42D63"/>
    <w:rsid w:val="00C434C3"/>
    <w:rsid w:val="00C4495D"/>
    <w:rsid w:val="00C44D08"/>
    <w:rsid w:val="00C44EF8"/>
    <w:rsid w:val="00C4531D"/>
    <w:rsid w:val="00C510C4"/>
    <w:rsid w:val="00C533A7"/>
    <w:rsid w:val="00C54993"/>
    <w:rsid w:val="00C55482"/>
    <w:rsid w:val="00C55889"/>
    <w:rsid w:val="00C5764D"/>
    <w:rsid w:val="00C57A1E"/>
    <w:rsid w:val="00C603F1"/>
    <w:rsid w:val="00C61203"/>
    <w:rsid w:val="00C64405"/>
    <w:rsid w:val="00C6482E"/>
    <w:rsid w:val="00C64DFC"/>
    <w:rsid w:val="00C6548F"/>
    <w:rsid w:val="00C65CC5"/>
    <w:rsid w:val="00C71D1A"/>
    <w:rsid w:val="00C72358"/>
    <w:rsid w:val="00C7361B"/>
    <w:rsid w:val="00C73867"/>
    <w:rsid w:val="00C7388A"/>
    <w:rsid w:val="00C73B20"/>
    <w:rsid w:val="00C74204"/>
    <w:rsid w:val="00C745E5"/>
    <w:rsid w:val="00C763E9"/>
    <w:rsid w:val="00C76544"/>
    <w:rsid w:val="00C772BB"/>
    <w:rsid w:val="00C82050"/>
    <w:rsid w:val="00C825EE"/>
    <w:rsid w:val="00C832F1"/>
    <w:rsid w:val="00C84052"/>
    <w:rsid w:val="00C84410"/>
    <w:rsid w:val="00C85F6E"/>
    <w:rsid w:val="00C86AF8"/>
    <w:rsid w:val="00C8740F"/>
    <w:rsid w:val="00C91B92"/>
    <w:rsid w:val="00C92256"/>
    <w:rsid w:val="00C925A6"/>
    <w:rsid w:val="00C95F20"/>
    <w:rsid w:val="00C960DE"/>
    <w:rsid w:val="00C962DA"/>
    <w:rsid w:val="00C97ACD"/>
    <w:rsid w:val="00CA11CA"/>
    <w:rsid w:val="00CA13FF"/>
    <w:rsid w:val="00CA225B"/>
    <w:rsid w:val="00CA26A1"/>
    <w:rsid w:val="00CA2909"/>
    <w:rsid w:val="00CA3B43"/>
    <w:rsid w:val="00CA4190"/>
    <w:rsid w:val="00CA4996"/>
    <w:rsid w:val="00CA4E88"/>
    <w:rsid w:val="00CA541E"/>
    <w:rsid w:val="00CA746A"/>
    <w:rsid w:val="00CB0E9D"/>
    <w:rsid w:val="00CB1254"/>
    <w:rsid w:val="00CB387D"/>
    <w:rsid w:val="00CB4E29"/>
    <w:rsid w:val="00CB6F45"/>
    <w:rsid w:val="00CB77DB"/>
    <w:rsid w:val="00CB799A"/>
    <w:rsid w:val="00CC04A7"/>
    <w:rsid w:val="00CC0639"/>
    <w:rsid w:val="00CC1C26"/>
    <w:rsid w:val="00CC27E5"/>
    <w:rsid w:val="00CC4CA9"/>
    <w:rsid w:val="00CC5EB7"/>
    <w:rsid w:val="00CC721A"/>
    <w:rsid w:val="00CC7B8D"/>
    <w:rsid w:val="00CD03D1"/>
    <w:rsid w:val="00CD0784"/>
    <w:rsid w:val="00CD33C2"/>
    <w:rsid w:val="00CD3597"/>
    <w:rsid w:val="00CD3CAE"/>
    <w:rsid w:val="00CD3D7C"/>
    <w:rsid w:val="00CD63F2"/>
    <w:rsid w:val="00CD6F5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3068"/>
    <w:rsid w:val="00D34C37"/>
    <w:rsid w:val="00D35E3B"/>
    <w:rsid w:val="00D37FD8"/>
    <w:rsid w:val="00D400E2"/>
    <w:rsid w:val="00D416B6"/>
    <w:rsid w:val="00D41C97"/>
    <w:rsid w:val="00D43002"/>
    <w:rsid w:val="00D4478C"/>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7FB"/>
    <w:rsid w:val="00D55C0F"/>
    <w:rsid w:val="00D56272"/>
    <w:rsid w:val="00D5736A"/>
    <w:rsid w:val="00D573D6"/>
    <w:rsid w:val="00D60EB1"/>
    <w:rsid w:val="00D61EF9"/>
    <w:rsid w:val="00D62455"/>
    <w:rsid w:val="00D62E5B"/>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2F9E"/>
    <w:rsid w:val="00D83226"/>
    <w:rsid w:val="00D84EDE"/>
    <w:rsid w:val="00D8521C"/>
    <w:rsid w:val="00D853CD"/>
    <w:rsid w:val="00D86B29"/>
    <w:rsid w:val="00D87585"/>
    <w:rsid w:val="00D918E4"/>
    <w:rsid w:val="00D91E1A"/>
    <w:rsid w:val="00D9235A"/>
    <w:rsid w:val="00D95363"/>
    <w:rsid w:val="00D97269"/>
    <w:rsid w:val="00D979A4"/>
    <w:rsid w:val="00DA0B22"/>
    <w:rsid w:val="00DA32A7"/>
    <w:rsid w:val="00DA5B85"/>
    <w:rsid w:val="00DA5D52"/>
    <w:rsid w:val="00DA5E13"/>
    <w:rsid w:val="00DB06E9"/>
    <w:rsid w:val="00DB47E7"/>
    <w:rsid w:val="00DB4B55"/>
    <w:rsid w:val="00DB4BA2"/>
    <w:rsid w:val="00DB5E37"/>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45B6"/>
    <w:rsid w:val="00DD4E51"/>
    <w:rsid w:val="00DD5F31"/>
    <w:rsid w:val="00DD5F5F"/>
    <w:rsid w:val="00DD6986"/>
    <w:rsid w:val="00DE00D6"/>
    <w:rsid w:val="00DE0B85"/>
    <w:rsid w:val="00DE19B3"/>
    <w:rsid w:val="00DE3D98"/>
    <w:rsid w:val="00DE58E6"/>
    <w:rsid w:val="00DE6239"/>
    <w:rsid w:val="00DE6549"/>
    <w:rsid w:val="00DE6678"/>
    <w:rsid w:val="00DE7052"/>
    <w:rsid w:val="00DF5A4E"/>
    <w:rsid w:val="00DF5DCE"/>
    <w:rsid w:val="00DF60A7"/>
    <w:rsid w:val="00DF65F5"/>
    <w:rsid w:val="00DF6AAB"/>
    <w:rsid w:val="00DF7EB5"/>
    <w:rsid w:val="00DF7ECF"/>
    <w:rsid w:val="00E00B26"/>
    <w:rsid w:val="00E026A4"/>
    <w:rsid w:val="00E02824"/>
    <w:rsid w:val="00E05517"/>
    <w:rsid w:val="00E05820"/>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7A7"/>
    <w:rsid w:val="00E57E6B"/>
    <w:rsid w:val="00E60490"/>
    <w:rsid w:val="00E60D84"/>
    <w:rsid w:val="00E6164B"/>
    <w:rsid w:val="00E627EF"/>
    <w:rsid w:val="00E62C39"/>
    <w:rsid w:val="00E62CFB"/>
    <w:rsid w:val="00E63EAE"/>
    <w:rsid w:val="00E64AC3"/>
    <w:rsid w:val="00E6563A"/>
    <w:rsid w:val="00E65758"/>
    <w:rsid w:val="00E661B0"/>
    <w:rsid w:val="00E672B0"/>
    <w:rsid w:val="00E67906"/>
    <w:rsid w:val="00E67CC8"/>
    <w:rsid w:val="00E7019A"/>
    <w:rsid w:val="00E70955"/>
    <w:rsid w:val="00E73781"/>
    <w:rsid w:val="00E75944"/>
    <w:rsid w:val="00E75AF5"/>
    <w:rsid w:val="00E7604A"/>
    <w:rsid w:val="00E768C7"/>
    <w:rsid w:val="00E76CA2"/>
    <w:rsid w:val="00E770B8"/>
    <w:rsid w:val="00E77816"/>
    <w:rsid w:val="00E805CB"/>
    <w:rsid w:val="00E80D16"/>
    <w:rsid w:val="00E81E9B"/>
    <w:rsid w:val="00E81EF6"/>
    <w:rsid w:val="00E82E8C"/>
    <w:rsid w:val="00E84A76"/>
    <w:rsid w:val="00E84D1B"/>
    <w:rsid w:val="00E85A4D"/>
    <w:rsid w:val="00E86ED3"/>
    <w:rsid w:val="00E86FDF"/>
    <w:rsid w:val="00E87152"/>
    <w:rsid w:val="00E8718B"/>
    <w:rsid w:val="00E87A99"/>
    <w:rsid w:val="00E902E1"/>
    <w:rsid w:val="00E91C54"/>
    <w:rsid w:val="00E9512F"/>
    <w:rsid w:val="00E9603F"/>
    <w:rsid w:val="00E960F1"/>
    <w:rsid w:val="00E9640A"/>
    <w:rsid w:val="00E9702A"/>
    <w:rsid w:val="00EA0FB4"/>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44D9"/>
    <w:rsid w:val="00EC4E34"/>
    <w:rsid w:val="00EC52C9"/>
    <w:rsid w:val="00EC6343"/>
    <w:rsid w:val="00EC73A4"/>
    <w:rsid w:val="00EC7AE1"/>
    <w:rsid w:val="00ED35D6"/>
    <w:rsid w:val="00ED5345"/>
    <w:rsid w:val="00ED5C57"/>
    <w:rsid w:val="00ED6296"/>
    <w:rsid w:val="00ED64C1"/>
    <w:rsid w:val="00ED7131"/>
    <w:rsid w:val="00ED75AE"/>
    <w:rsid w:val="00EE0F94"/>
    <w:rsid w:val="00EE1240"/>
    <w:rsid w:val="00EE2B07"/>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765"/>
    <w:rsid w:val="00EF5936"/>
    <w:rsid w:val="00EF5D3A"/>
    <w:rsid w:val="00EF5DD4"/>
    <w:rsid w:val="00EF6611"/>
    <w:rsid w:val="00EF6A94"/>
    <w:rsid w:val="00EF6C81"/>
    <w:rsid w:val="00F01150"/>
    <w:rsid w:val="00F012C7"/>
    <w:rsid w:val="00F06A3B"/>
    <w:rsid w:val="00F07AFD"/>
    <w:rsid w:val="00F11B05"/>
    <w:rsid w:val="00F11D48"/>
    <w:rsid w:val="00F1458E"/>
    <w:rsid w:val="00F146EB"/>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B5A"/>
    <w:rsid w:val="00F322EE"/>
    <w:rsid w:val="00F323B8"/>
    <w:rsid w:val="00F341E9"/>
    <w:rsid w:val="00F34AA6"/>
    <w:rsid w:val="00F34FC2"/>
    <w:rsid w:val="00F3533B"/>
    <w:rsid w:val="00F36976"/>
    <w:rsid w:val="00F37155"/>
    <w:rsid w:val="00F419A4"/>
    <w:rsid w:val="00F438A9"/>
    <w:rsid w:val="00F43EEC"/>
    <w:rsid w:val="00F46BFD"/>
    <w:rsid w:val="00F478FE"/>
    <w:rsid w:val="00F5018C"/>
    <w:rsid w:val="00F5157D"/>
    <w:rsid w:val="00F5376C"/>
    <w:rsid w:val="00F54885"/>
    <w:rsid w:val="00F5507E"/>
    <w:rsid w:val="00F60A0B"/>
    <w:rsid w:val="00F610D5"/>
    <w:rsid w:val="00F613D7"/>
    <w:rsid w:val="00F62855"/>
    <w:rsid w:val="00F62D03"/>
    <w:rsid w:val="00F635C3"/>
    <w:rsid w:val="00F7007D"/>
    <w:rsid w:val="00F70721"/>
    <w:rsid w:val="00F737BD"/>
    <w:rsid w:val="00F7545E"/>
    <w:rsid w:val="00F7587E"/>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FF4"/>
    <w:rsid w:val="00FA21D5"/>
    <w:rsid w:val="00FA3ECC"/>
    <w:rsid w:val="00FA5183"/>
    <w:rsid w:val="00FA6B8B"/>
    <w:rsid w:val="00FB028C"/>
    <w:rsid w:val="00FB0DDC"/>
    <w:rsid w:val="00FB44F6"/>
    <w:rsid w:val="00FB6718"/>
    <w:rsid w:val="00FB7098"/>
    <w:rsid w:val="00FC01A9"/>
    <w:rsid w:val="00FC12AE"/>
    <w:rsid w:val="00FC7642"/>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E169D"/>
    <w:rsid w:val="00FE1BB6"/>
    <w:rsid w:val="00FE1D47"/>
    <w:rsid w:val="00FE33AC"/>
    <w:rsid w:val="00FE424B"/>
    <w:rsid w:val="00FE5479"/>
    <w:rsid w:val="00FE5B2F"/>
    <w:rsid w:val="00FE733E"/>
    <w:rsid w:val="00FE7594"/>
    <w:rsid w:val="00FF0557"/>
    <w:rsid w:val="00FF09FC"/>
    <w:rsid w:val="00FF1133"/>
    <w:rsid w:val="00FF564D"/>
    <w:rsid w:val="00FF65BA"/>
    <w:rsid w:val="00FF685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72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uiPriority w:val="9"/>
    <w:semiHidden/>
    <w:rsid w:val="0060372E"/>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uiPriority w:val="9"/>
    <w:semiHidden/>
    <w:rsid w:val="0060372E"/>
    <w:rPr>
      <w:rFonts w:ascii="Cambria" w:eastAsia="Times New Roman" w:hAnsi="Cambria" w:cs="Times New Roman"/>
      <w:b/>
      <w:bCs/>
      <w:sz w:val="26"/>
      <w:szCs w:val="26"/>
      <w:lang w:eastAsia="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99"/>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rsid w:val="0060372E"/>
    <w:rPr>
      <w:sz w:val="24"/>
      <w:szCs w:val="24"/>
      <w:lang w:eastAsia="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rsid w:val="0060372E"/>
    <w:rPr>
      <w:sz w:val="24"/>
      <w:szCs w:val="24"/>
      <w:lang w:eastAsia="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rsid w:val="0060372E"/>
    <w:rPr>
      <w:sz w:val="24"/>
      <w:szCs w:val="24"/>
      <w:lang w:eastAsia="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rsid w:val="0060372E"/>
    <w:rPr>
      <w:sz w:val="0"/>
      <w:szCs w:val="0"/>
      <w:lang w:eastAsia="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rPr>
  </w:style>
</w:styles>
</file>

<file path=word/webSettings.xml><?xml version="1.0" encoding="utf-8"?>
<w:webSettings xmlns:r="http://schemas.openxmlformats.org/officeDocument/2006/relationships" xmlns:w="http://schemas.openxmlformats.org/wordprocessingml/2006/main">
  <w:divs>
    <w:div w:id="205876847">
      <w:marLeft w:val="0"/>
      <w:marRight w:val="0"/>
      <w:marTop w:val="0"/>
      <w:marBottom w:val="0"/>
      <w:divBdr>
        <w:top w:val="none" w:sz="0" w:space="0" w:color="auto"/>
        <w:left w:val="none" w:sz="0" w:space="0" w:color="auto"/>
        <w:bottom w:val="none" w:sz="0" w:space="0" w:color="auto"/>
        <w:right w:val="none" w:sz="0" w:space="0" w:color="auto"/>
      </w:divBdr>
    </w:div>
    <w:div w:id="205876848">
      <w:marLeft w:val="0"/>
      <w:marRight w:val="0"/>
      <w:marTop w:val="0"/>
      <w:marBottom w:val="0"/>
      <w:divBdr>
        <w:top w:val="none" w:sz="0" w:space="0" w:color="auto"/>
        <w:left w:val="none" w:sz="0" w:space="0" w:color="auto"/>
        <w:bottom w:val="none" w:sz="0" w:space="0" w:color="auto"/>
        <w:right w:val="none" w:sz="0" w:space="0" w:color="auto"/>
      </w:divBdr>
    </w:div>
    <w:div w:id="205876849">
      <w:marLeft w:val="0"/>
      <w:marRight w:val="0"/>
      <w:marTop w:val="0"/>
      <w:marBottom w:val="0"/>
      <w:divBdr>
        <w:top w:val="none" w:sz="0" w:space="0" w:color="auto"/>
        <w:left w:val="none" w:sz="0" w:space="0" w:color="auto"/>
        <w:bottom w:val="none" w:sz="0" w:space="0" w:color="auto"/>
        <w:right w:val="none" w:sz="0" w:space="0" w:color="auto"/>
      </w:divBdr>
    </w:div>
    <w:div w:id="205876850">
      <w:marLeft w:val="0"/>
      <w:marRight w:val="0"/>
      <w:marTop w:val="0"/>
      <w:marBottom w:val="0"/>
      <w:divBdr>
        <w:top w:val="none" w:sz="0" w:space="0" w:color="auto"/>
        <w:left w:val="none" w:sz="0" w:space="0" w:color="auto"/>
        <w:bottom w:val="none" w:sz="0" w:space="0" w:color="auto"/>
        <w:right w:val="none" w:sz="0" w:space="0" w:color="auto"/>
      </w:divBdr>
    </w:div>
    <w:div w:id="205876851">
      <w:marLeft w:val="0"/>
      <w:marRight w:val="0"/>
      <w:marTop w:val="0"/>
      <w:marBottom w:val="0"/>
      <w:divBdr>
        <w:top w:val="none" w:sz="0" w:space="0" w:color="auto"/>
        <w:left w:val="none" w:sz="0" w:space="0" w:color="auto"/>
        <w:bottom w:val="none" w:sz="0" w:space="0" w:color="auto"/>
        <w:right w:val="none" w:sz="0" w:space="0" w:color="auto"/>
      </w:divBdr>
    </w:div>
    <w:div w:id="205876852">
      <w:marLeft w:val="0"/>
      <w:marRight w:val="0"/>
      <w:marTop w:val="0"/>
      <w:marBottom w:val="0"/>
      <w:divBdr>
        <w:top w:val="none" w:sz="0" w:space="0" w:color="auto"/>
        <w:left w:val="none" w:sz="0" w:space="0" w:color="auto"/>
        <w:bottom w:val="none" w:sz="0" w:space="0" w:color="auto"/>
        <w:right w:val="none" w:sz="0" w:space="0" w:color="auto"/>
      </w:divBdr>
    </w:div>
    <w:div w:id="205876853">
      <w:marLeft w:val="0"/>
      <w:marRight w:val="0"/>
      <w:marTop w:val="0"/>
      <w:marBottom w:val="0"/>
      <w:divBdr>
        <w:top w:val="none" w:sz="0" w:space="0" w:color="auto"/>
        <w:left w:val="none" w:sz="0" w:space="0" w:color="auto"/>
        <w:bottom w:val="none" w:sz="0" w:space="0" w:color="auto"/>
        <w:right w:val="none" w:sz="0" w:space="0" w:color="auto"/>
      </w:divBdr>
    </w:div>
    <w:div w:id="205876854">
      <w:marLeft w:val="0"/>
      <w:marRight w:val="0"/>
      <w:marTop w:val="0"/>
      <w:marBottom w:val="0"/>
      <w:divBdr>
        <w:top w:val="none" w:sz="0" w:space="0" w:color="auto"/>
        <w:left w:val="none" w:sz="0" w:space="0" w:color="auto"/>
        <w:bottom w:val="none" w:sz="0" w:space="0" w:color="auto"/>
        <w:right w:val="none" w:sz="0" w:space="0" w:color="auto"/>
      </w:divBdr>
    </w:div>
    <w:div w:id="205876855">
      <w:marLeft w:val="0"/>
      <w:marRight w:val="0"/>
      <w:marTop w:val="0"/>
      <w:marBottom w:val="0"/>
      <w:divBdr>
        <w:top w:val="none" w:sz="0" w:space="0" w:color="auto"/>
        <w:left w:val="none" w:sz="0" w:space="0" w:color="auto"/>
        <w:bottom w:val="none" w:sz="0" w:space="0" w:color="auto"/>
        <w:right w:val="none" w:sz="0" w:space="0" w:color="auto"/>
      </w:divBdr>
    </w:div>
    <w:div w:id="205876856">
      <w:marLeft w:val="0"/>
      <w:marRight w:val="0"/>
      <w:marTop w:val="0"/>
      <w:marBottom w:val="0"/>
      <w:divBdr>
        <w:top w:val="none" w:sz="0" w:space="0" w:color="auto"/>
        <w:left w:val="none" w:sz="0" w:space="0" w:color="auto"/>
        <w:bottom w:val="none" w:sz="0" w:space="0" w:color="auto"/>
        <w:right w:val="none" w:sz="0" w:space="0" w:color="auto"/>
      </w:divBdr>
    </w:div>
    <w:div w:id="205876857">
      <w:marLeft w:val="0"/>
      <w:marRight w:val="0"/>
      <w:marTop w:val="0"/>
      <w:marBottom w:val="0"/>
      <w:divBdr>
        <w:top w:val="none" w:sz="0" w:space="0" w:color="auto"/>
        <w:left w:val="none" w:sz="0" w:space="0" w:color="auto"/>
        <w:bottom w:val="none" w:sz="0" w:space="0" w:color="auto"/>
        <w:right w:val="none" w:sz="0" w:space="0" w:color="auto"/>
      </w:divBdr>
    </w:div>
    <w:div w:id="205876858">
      <w:marLeft w:val="0"/>
      <w:marRight w:val="0"/>
      <w:marTop w:val="0"/>
      <w:marBottom w:val="0"/>
      <w:divBdr>
        <w:top w:val="none" w:sz="0" w:space="0" w:color="auto"/>
        <w:left w:val="none" w:sz="0" w:space="0" w:color="auto"/>
        <w:bottom w:val="none" w:sz="0" w:space="0" w:color="auto"/>
        <w:right w:val="none" w:sz="0" w:space="0" w:color="auto"/>
      </w:divBdr>
    </w:div>
    <w:div w:id="205876859">
      <w:marLeft w:val="0"/>
      <w:marRight w:val="0"/>
      <w:marTop w:val="0"/>
      <w:marBottom w:val="0"/>
      <w:divBdr>
        <w:top w:val="none" w:sz="0" w:space="0" w:color="auto"/>
        <w:left w:val="none" w:sz="0" w:space="0" w:color="auto"/>
        <w:bottom w:val="none" w:sz="0" w:space="0" w:color="auto"/>
        <w:right w:val="none" w:sz="0" w:space="0" w:color="auto"/>
      </w:divBdr>
    </w:div>
    <w:div w:id="205876860">
      <w:marLeft w:val="0"/>
      <w:marRight w:val="0"/>
      <w:marTop w:val="0"/>
      <w:marBottom w:val="0"/>
      <w:divBdr>
        <w:top w:val="none" w:sz="0" w:space="0" w:color="auto"/>
        <w:left w:val="none" w:sz="0" w:space="0" w:color="auto"/>
        <w:bottom w:val="none" w:sz="0" w:space="0" w:color="auto"/>
        <w:right w:val="none" w:sz="0" w:space="0" w:color="auto"/>
      </w:divBdr>
    </w:div>
    <w:div w:id="205876861">
      <w:marLeft w:val="0"/>
      <w:marRight w:val="0"/>
      <w:marTop w:val="0"/>
      <w:marBottom w:val="0"/>
      <w:divBdr>
        <w:top w:val="none" w:sz="0" w:space="0" w:color="auto"/>
        <w:left w:val="none" w:sz="0" w:space="0" w:color="auto"/>
        <w:bottom w:val="none" w:sz="0" w:space="0" w:color="auto"/>
        <w:right w:val="none" w:sz="0" w:space="0" w:color="auto"/>
      </w:divBdr>
    </w:div>
    <w:div w:id="205876862">
      <w:marLeft w:val="0"/>
      <w:marRight w:val="0"/>
      <w:marTop w:val="0"/>
      <w:marBottom w:val="0"/>
      <w:divBdr>
        <w:top w:val="none" w:sz="0" w:space="0" w:color="auto"/>
        <w:left w:val="none" w:sz="0" w:space="0" w:color="auto"/>
        <w:bottom w:val="none" w:sz="0" w:space="0" w:color="auto"/>
        <w:right w:val="none" w:sz="0" w:space="0" w:color="auto"/>
      </w:divBdr>
    </w:div>
    <w:div w:id="205876863">
      <w:marLeft w:val="0"/>
      <w:marRight w:val="0"/>
      <w:marTop w:val="0"/>
      <w:marBottom w:val="0"/>
      <w:divBdr>
        <w:top w:val="none" w:sz="0" w:space="0" w:color="auto"/>
        <w:left w:val="none" w:sz="0" w:space="0" w:color="auto"/>
        <w:bottom w:val="none" w:sz="0" w:space="0" w:color="auto"/>
        <w:right w:val="none" w:sz="0" w:space="0" w:color="auto"/>
      </w:divBdr>
    </w:div>
    <w:div w:id="205876864">
      <w:marLeft w:val="0"/>
      <w:marRight w:val="0"/>
      <w:marTop w:val="0"/>
      <w:marBottom w:val="0"/>
      <w:divBdr>
        <w:top w:val="none" w:sz="0" w:space="0" w:color="auto"/>
        <w:left w:val="none" w:sz="0" w:space="0" w:color="auto"/>
        <w:bottom w:val="none" w:sz="0" w:space="0" w:color="auto"/>
        <w:right w:val="none" w:sz="0" w:space="0" w:color="auto"/>
      </w:divBdr>
    </w:div>
    <w:div w:id="205876865">
      <w:marLeft w:val="0"/>
      <w:marRight w:val="0"/>
      <w:marTop w:val="0"/>
      <w:marBottom w:val="0"/>
      <w:divBdr>
        <w:top w:val="none" w:sz="0" w:space="0" w:color="auto"/>
        <w:left w:val="none" w:sz="0" w:space="0" w:color="auto"/>
        <w:bottom w:val="none" w:sz="0" w:space="0" w:color="auto"/>
        <w:right w:val="none" w:sz="0" w:space="0" w:color="auto"/>
      </w:divBdr>
    </w:div>
    <w:div w:id="205876866">
      <w:marLeft w:val="0"/>
      <w:marRight w:val="0"/>
      <w:marTop w:val="0"/>
      <w:marBottom w:val="0"/>
      <w:divBdr>
        <w:top w:val="none" w:sz="0" w:space="0" w:color="auto"/>
        <w:left w:val="none" w:sz="0" w:space="0" w:color="auto"/>
        <w:bottom w:val="none" w:sz="0" w:space="0" w:color="auto"/>
        <w:right w:val="none" w:sz="0" w:space="0" w:color="auto"/>
      </w:divBdr>
    </w:div>
    <w:div w:id="205876867">
      <w:marLeft w:val="0"/>
      <w:marRight w:val="0"/>
      <w:marTop w:val="0"/>
      <w:marBottom w:val="0"/>
      <w:divBdr>
        <w:top w:val="none" w:sz="0" w:space="0" w:color="auto"/>
        <w:left w:val="none" w:sz="0" w:space="0" w:color="auto"/>
        <w:bottom w:val="none" w:sz="0" w:space="0" w:color="auto"/>
        <w:right w:val="none" w:sz="0" w:space="0" w:color="auto"/>
      </w:divBdr>
    </w:div>
    <w:div w:id="205876868">
      <w:marLeft w:val="0"/>
      <w:marRight w:val="0"/>
      <w:marTop w:val="0"/>
      <w:marBottom w:val="0"/>
      <w:divBdr>
        <w:top w:val="none" w:sz="0" w:space="0" w:color="auto"/>
        <w:left w:val="none" w:sz="0" w:space="0" w:color="auto"/>
        <w:bottom w:val="none" w:sz="0" w:space="0" w:color="auto"/>
        <w:right w:val="none" w:sz="0" w:space="0" w:color="auto"/>
      </w:divBdr>
    </w:div>
    <w:div w:id="205876869">
      <w:marLeft w:val="0"/>
      <w:marRight w:val="0"/>
      <w:marTop w:val="0"/>
      <w:marBottom w:val="0"/>
      <w:divBdr>
        <w:top w:val="none" w:sz="0" w:space="0" w:color="auto"/>
        <w:left w:val="none" w:sz="0" w:space="0" w:color="auto"/>
        <w:bottom w:val="none" w:sz="0" w:space="0" w:color="auto"/>
        <w:right w:val="none" w:sz="0" w:space="0" w:color="auto"/>
      </w:divBdr>
    </w:div>
    <w:div w:id="205876870">
      <w:marLeft w:val="0"/>
      <w:marRight w:val="0"/>
      <w:marTop w:val="0"/>
      <w:marBottom w:val="0"/>
      <w:divBdr>
        <w:top w:val="none" w:sz="0" w:space="0" w:color="auto"/>
        <w:left w:val="none" w:sz="0" w:space="0" w:color="auto"/>
        <w:bottom w:val="none" w:sz="0" w:space="0" w:color="auto"/>
        <w:right w:val="none" w:sz="0" w:space="0" w:color="auto"/>
      </w:divBdr>
    </w:div>
    <w:div w:id="205876871">
      <w:marLeft w:val="0"/>
      <w:marRight w:val="0"/>
      <w:marTop w:val="0"/>
      <w:marBottom w:val="0"/>
      <w:divBdr>
        <w:top w:val="none" w:sz="0" w:space="0" w:color="auto"/>
        <w:left w:val="none" w:sz="0" w:space="0" w:color="auto"/>
        <w:bottom w:val="none" w:sz="0" w:space="0" w:color="auto"/>
        <w:right w:val="none" w:sz="0" w:space="0" w:color="auto"/>
      </w:divBdr>
    </w:div>
    <w:div w:id="205876872">
      <w:marLeft w:val="0"/>
      <w:marRight w:val="0"/>
      <w:marTop w:val="0"/>
      <w:marBottom w:val="0"/>
      <w:divBdr>
        <w:top w:val="none" w:sz="0" w:space="0" w:color="auto"/>
        <w:left w:val="none" w:sz="0" w:space="0" w:color="auto"/>
        <w:bottom w:val="none" w:sz="0" w:space="0" w:color="auto"/>
        <w:right w:val="none" w:sz="0" w:space="0" w:color="auto"/>
      </w:divBdr>
    </w:div>
    <w:div w:id="205876873">
      <w:marLeft w:val="0"/>
      <w:marRight w:val="0"/>
      <w:marTop w:val="0"/>
      <w:marBottom w:val="0"/>
      <w:divBdr>
        <w:top w:val="none" w:sz="0" w:space="0" w:color="auto"/>
        <w:left w:val="none" w:sz="0" w:space="0" w:color="auto"/>
        <w:bottom w:val="none" w:sz="0" w:space="0" w:color="auto"/>
        <w:right w:val="none" w:sz="0" w:space="0" w:color="auto"/>
      </w:divBdr>
    </w:div>
    <w:div w:id="205876874">
      <w:marLeft w:val="0"/>
      <w:marRight w:val="0"/>
      <w:marTop w:val="0"/>
      <w:marBottom w:val="0"/>
      <w:divBdr>
        <w:top w:val="none" w:sz="0" w:space="0" w:color="auto"/>
        <w:left w:val="none" w:sz="0" w:space="0" w:color="auto"/>
        <w:bottom w:val="none" w:sz="0" w:space="0" w:color="auto"/>
        <w:right w:val="none" w:sz="0" w:space="0" w:color="auto"/>
      </w:divBdr>
    </w:div>
    <w:div w:id="205876875">
      <w:marLeft w:val="0"/>
      <w:marRight w:val="0"/>
      <w:marTop w:val="0"/>
      <w:marBottom w:val="0"/>
      <w:divBdr>
        <w:top w:val="none" w:sz="0" w:space="0" w:color="auto"/>
        <w:left w:val="none" w:sz="0" w:space="0" w:color="auto"/>
        <w:bottom w:val="none" w:sz="0" w:space="0" w:color="auto"/>
        <w:right w:val="none" w:sz="0" w:space="0" w:color="auto"/>
      </w:divBdr>
    </w:div>
    <w:div w:id="205876876">
      <w:marLeft w:val="0"/>
      <w:marRight w:val="0"/>
      <w:marTop w:val="0"/>
      <w:marBottom w:val="0"/>
      <w:divBdr>
        <w:top w:val="none" w:sz="0" w:space="0" w:color="auto"/>
        <w:left w:val="none" w:sz="0" w:space="0" w:color="auto"/>
        <w:bottom w:val="none" w:sz="0" w:space="0" w:color="auto"/>
        <w:right w:val="none" w:sz="0" w:space="0" w:color="auto"/>
      </w:divBdr>
    </w:div>
    <w:div w:id="205876877">
      <w:marLeft w:val="0"/>
      <w:marRight w:val="0"/>
      <w:marTop w:val="0"/>
      <w:marBottom w:val="0"/>
      <w:divBdr>
        <w:top w:val="none" w:sz="0" w:space="0" w:color="auto"/>
        <w:left w:val="none" w:sz="0" w:space="0" w:color="auto"/>
        <w:bottom w:val="none" w:sz="0" w:space="0" w:color="auto"/>
        <w:right w:val="none" w:sz="0" w:space="0" w:color="auto"/>
      </w:divBdr>
    </w:div>
    <w:div w:id="205876878">
      <w:marLeft w:val="0"/>
      <w:marRight w:val="0"/>
      <w:marTop w:val="0"/>
      <w:marBottom w:val="0"/>
      <w:divBdr>
        <w:top w:val="none" w:sz="0" w:space="0" w:color="auto"/>
        <w:left w:val="none" w:sz="0" w:space="0" w:color="auto"/>
        <w:bottom w:val="none" w:sz="0" w:space="0" w:color="auto"/>
        <w:right w:val="none" w:sz="0" w:space="0" w:color="auto"/>
      </w:divBdr>
    </w:div>
    <w:div w:id="205876879">
      <w:marLeft w:val="0"/>
      <w:marRight w:val="0"/>
      <w:marTop w:val="0"/>
      <w:marBottom w:val="0"/>
      <w:divBdr>
        <w:top w:val="none" w:sz="0" w:space="0" w:color="auto"/>
        <w:left w:val="none" w:sz="0" w:space="0" w:color="auto"/>
        <w:bottom w:val="none" w:sz="0" w:space="0" w:color="auto"/>
        <w:right w:val="none" w:sz="0" w:space="0" w:color="auto"/>
      </w:divBdr>
    </w:div>
    <w:div w:id="205876880">
      <w:marLeft w:val="0"/>
      <w:marRight w:val="0"/>
      <w:marTop w:val="0"/>
      <w:marBottom w:val="0"/>
      <w:divBdr>
        <w:top w:val="none" w:sz="0" w:space="0" w:color="auto"/>
        <w:left w:val="none" w:sz="0" w:space="0" w:color="auto"/>
        <w:bottom w:val="none" w:sz="0" w:space="0" w:color="auto"/>
        <w:right w:val="none" w:sz="0" w:space="0" w:color="auto"/>
      </w:divBdr>
    </w:div>
    <w:div w:id="205876881">
      <w:marLeft w:val="0"/>
      <w:marRight w:val="0"/>
      <w:marTop w:val="0"/>
      <w:marBottom w:val="0"/>
      <w:divBdr>
        <w:top w:val="none" w:sz="0" w:space="0" w:color="auto"/>
        <w:left w:val="none" w:sz="0" w:space="0" w:color="auto"/>
        <w:bottom w:val="none" w:sz="0" w:space="0" w:color="auto"/>
        <w:right w:val="none" w:sz="0" w:space="0" w:color="auto"/>
      </w:divBdr>
    </w:div>
    <w:div w:id="205876882">
      <w:marLeft w:val="0"/>
      <w:marRight w:val="0"/>
      <w:marTop w:val="0"/>
      <w:marBottom w:val="0"/>
      <w:divBdr>
        <w:top w:val="none" w:sz="0" w:space="0" w:color="auto"/>
        <w:left w:val="none" w:sz="0" w:space="0" w:color="auto"/>
        <w:bottom w:val="none" w:sz="0" w:space="0" w:color="auto"/>
        <w:right w:val="none" w:sz="0" w:space="0" w:color="auto"/>
      </w:divBdr>
    </w:div>
    <w:div w:id="205876883">
      <w:marLeft w:val="0"/>
      <w:marRight w:val="0"/>
      <w:marTop w:val="0"/>
      <w:marBottom w:val="0"/>
      <w:divBdr>
        <w:top w:val="none" w:sz="0" w:space="0" w:color="auto"/>
        <w:left w:val="none" w:sz="0" w:space="0" w:color="auto"/>
        <w:bottom w:val="none" w:sz="0" w:space="0" w:color="auto"/>
        <w:right w:val="none" w:sz="0" w:space="0" w:color="auto"/>
      </w:divBdr>
    </w:div>
    <w:div w:id="205876884">
      <w:marLeft w:val="0"/>
      <w:marRight w:val="0"/>
      <w:marTop w:val="0"/>
      <w:marBottom w:val="0"/>
      <w:divBdr>
        <w:top w:val="none" w:sz="0" w:space="0" w:color="auto"/>
        <w:left w:val="none" w:sz="0" w:space="0" w:color="auto"/>
        <w:bottom w:val="none" w:sz="0" w:space="0" w:color="auto"/>
        <w:right w:val="none" w:sz="0" w:space="0" w:color="auto"/>
      </w:divBdr>
    </w:div>
    <w:div w:id="205876885">
      <w:marLeft w:val="0"/>
      <w:marRight w:val="0"/>
      <w:marTop w:val="0"/>
      <w:marBottom w:val="0"/>
      <w:divBdr>
        <w:top w:val="none" w:sz="0" w:space="0" w:color="auto"/>
        <w:left w:val="none" w:sz="0" w:space="0" w:color="auto"/>
        <w:bottom w:val="none" w:sz="0" w:space="0" w:color="auto"/>
        <w:right w:val="none" w:sz="0" w:space="0" w:color="auto"/>
      </w:divBdr>
    </w:div>
    <w:div w:id="205876886">
      <w:marLeft w:val="0"/>
      <w:marRight w:val="0"/>
      <w:marTop w:val="0"/>
      <w:marBottom w:val="0"/>
      <w:divBdr>
        <w:top w:val="none" w:sz="0" w:space="0" w:color="auto"/>
        <w:left w:val="none" w:sz="0" w:space="0" w:color="auto"/>
        <w:bottom w:val="none" w:sz="0" w:space="0" w:color="auto"/>
        <w:right w:val="none" w:sz="0" w:space="0" w:color="auto"/>
      </w:divBdr>
    </w:div>
    <w:div w:id="205876887">
      <w:marLeft w:val="0"/>
      <w:marRight w:val="0"/>
      <w:marTop w:val="0"/>
      <w:marBottom w:val="0"/>
      <w:divBdr>
        <w:top w:val="none" w:sz="0" w:space="0" w:color="auto"/>
        <w:left w:val="none" w:sz="0" w:space="0" w:color="auto"/>
        <w:bottom w:val="none" w:sz="0" w:space="0" w:color="auto"/>
        <w:right w:val="none" w:sz="0" w:space="0" w:color="auto"/>
      </w:divBdr>
    </w:div>
    <w:div w:id="205876888">
      <w:marLeft w:val="0"/>
      <w:marRight w:val="0"/>
      <w:marTop w:val="0"/>
      <w:marBottom w:val="0"/>
      <w:divBdr>
        <w:top w:val="none" w:sz="0" w:space="0" w:color="auto"/>
        <w:left w:val="none" w:sz="0" w:space="0" w:color="auto"/>
        <w:bottom w:val="none" w:sz="0" w:space="0" w:color="auto"/>
        <w:right w:val="none" w:sz="0" w:space="0" w:color="auto"/>
      </w:divBdr>
    </w:div>
    <w:div w:id="205876889">
      <w:marLeft w:val="0"/>
      <w:marRight w:val="0"/>
      <w:marTop w:val="0"/>
      <w:marBottom w:val="0"/>
      <w:divBdr>
        <w:top w:val="none" w:sz="0" w:space="0" w:color="auto"/>
        <w:left w:val="none" w:sz="0" w:space="0" w:color="auto"/>
        <w:bottom w:val="none" w:sz="0" w:space="0" w:color="auto"/>
        <w:right w:val="none" w:sz="0" w:space="0" w:color="auto"/>
      </w:divBdr>
    </w:div>
    <w:div w:id="205876890">
      <w:marLeft w:val="0"/>
      <w:marRight w:val="0"/>
      <w:marTop w:val="0"/>
      <w:marBottom w:val="0"/>
      <w:divBdr>
        <w:top w:val="none" w:sz="0" w:space="0" w:color="auto"/>
        <w:left w:val="none" w:sz="0" w:space="0" w:color="auto"/>
        <w:bottom w:val="none" w:sz="0" w:space="0" w:color="auto"/>
        <w:right w:val="none" w:sz="0" w:space="0" w:color="auto"/>
      </w:divBdr>
    </w:div>
    <w:div w:id="205876891">
      <w:marLeft w:val="0"/>
      <w:marRight w:val="0"/>
      <w:marTop w:val="0"/>
      <w:marBottom w:val="0"/>
      <w:divBdr>
        <w:top w:val="none" w:sz="0" w:space="0" w:color="auto"/>
        <w:left w:val="none" w:sz="0" w:space="0" w:color="auto"/>
        <w:bottom w:val="none" w:sz="0" w:space="0" w:color="auto"/>
        <w:right w:val="none" w:sz="0" w:space="0" w:color="auto"/>
      </w:divBdr>
    </w:div>
    <w:div w:id="205876892">
      <w:marLeft w:val="0"/>
      <w:marRight w:val="0"/>
      <w:marTop w:val="0"/>
      <w:marBottom w:val="0"/>
      <w:divBdr>
        <w:top w:val="none" w:sz="0" w:space="0" w:color="auto"/>
        <w:left w:val="none" w:sz="0" w:space="0" w:color="auto"/>
        <w:bottom w:val="none" w:sz="0" w:space="0" w:color="auto"/>
        <w:right w:val="none" w:sz="0" w:space="0" w:color="auto"/>
      </w:divBdr>
    </w:div>
    <w:div w:id="205876893">
      <w:marLeft w:val="0"/>
      <w:marRight w:val="0"/>
      <w:marTop w:val="0"/>
      <w:marBottom w:val="0"/>
      <w:divBdr>
        <w:top w:val="none" w:sz="0" w:space="0" w:color="auto"/>
        <w:left w:val="none" w:sz="0" w:space="0" w:color="auto"/>
        <w:bottom w:val="none" w:sz="0" w:space="0" w:color="auto"/>
        <w:right w:val="none" w:sz="0" w:space="0" w:color="auto"/>
      </w:divBdr>
    </w:div>
    <w:div w:id="205876894">
      <w:marLeft w:val="0"/>
      <w:marRight w:val="0"/>
      <w:marTop w:val="0"/>
      <w:marBottom w:val="0"/>
      <w:divBdr>
        <w:top w:val="none" w:sz="0" w:space="0" w:color="auto"/>
        <w:left w:val="none" w:sz="0" w:space="0" w:color="auto"/>
        <w:bottom w:val="none" w:sz="0" w:space="0" w:color="auto"/>
        <w:right w:val="none" w:sz="0" w:space="0" w:color="auto"/>
      </w:divBdr>
    </w:div>
    <w:div w:id="205876895">
      <w:marLeft w:val="0"/>
      <w:marRight w:val="0"/>
      <w:marTop w:val="0"/>
      <w:marBottom w:val="0"/>
      <w:divBdr>
        <w:top w:val="none" w:sz="0" w:space="0" w:color="auto"/>
        <w:left w:val="none" w:sz="0" w:space="0" w:color="auto"/>
        <w:bottom w:val="none" w:sz="0" w:space="0" w:color="auto"/>
        <w:right w:val="none" w:sz="0" w:space="0" w:color="auto"/>
      </w:divBdr>
    </w:div>
    <w:div w:id="205876896">
      <w:marLeft w:val="0"/>
      <w:marRight w:val="0"/>
      <w:marTop w:val="0"/>
      <w:marBottom w:val="0"/>
      <w:divBdr>
        <w:top w:val="none" w:sz="0" w:space="0" w:color="auto"/>
        <w:left w:val="none" w:sz="0" w:space="0" w:color="auto"/>
        <w:bottom w:val="none" w:sz="0" w:space="0" w:color="auto"/>
        <w:right w:val="none" w:sz="0" w:space="0" w:color="auto"/>
      </w:divBdr>
    </w:div>
    <w:div w:id="205876897">
      <w:marLeft w:val="0"/>
      <w:marRight w:val="0"/>
      <w:marTop w:val="0"/>
      <w:marBottom w:val="0"/>
      <w:divBdr>
        <w:top w:val="none" w:sz="0" w:space="0" w:color="auto"/>
        <w:left w:val="none" w:sz="0" w:space="0" w:color="auto"/>
        <w:bottom w:val="none" w:sz="0" w:space="0" w:color="auto"/>
        <w:right w:val="none" w:sz="0" w:space="0" w:color="auto"/>
      </w:divBdr>
    </w:div>
    <w:div w:id="205876898">
      <w:marLeft w:val="0"/>
      <w:marRight w:val="0"/>
      <w:marTop w:val="0"/>
      <w:marBottom w:val="0"/>
      <w:divBdr>
        <w:top w:val="none" w:sz="0" w:space="0" w:color="auto"/>
        <w:left w:val="none" w:sz="0" w:space="0" w:color="auto"/>
        <w:bottom w:val="none" w:sz="0" w:space="0" w:color="auto"/>
        <w:right w:val="none" w:sz="0" w:space="0" w:color="auto"/>
      </w:divBdr>
    </w:div>
    <w:div w:id="205876899">
      <w:marLeft w:val="0"/>
      <w:marRight w:val="0"/>
      <w:marTop w:val="0"/>
      <w:marBottom w:val="0"/>
      <w:divBdr>
        <w:top w:val="none" w:sz="0" w:space="0" w:color="auto"/>
        <w:left w:val="none" w:sz="0" w:space="0" w:color="auto"/>
        <w:bottom w:val="none" w:sz="0" w:space="0" w:color="auto"/>
        <w:right w:val="none" w:sz="0" w:space="0" w:color="auto"/>
      </w:divBdr>
    </w:div>
    <w:div w:id="205876900">
      <w:marLeft w:val="0"/>
      <w:marRight w:val="0"/>
      <w:marTop w:val="0"/>
      <w:marBottom w:val="0"/>
      <w:divBdr>
        <w:top w:val="none" w:sz="0" w:space="0" w:color="auto"/>
        <w:left w:val="none" w:sz="0" w:space="0" w:color="auto"/>
        <w:bottom w:val="none" w:sz="0" w:space="0" w:color="auto"/>
        <w:right w:val="none" w:sz="0" w:space="0" w:color="auto"/>
      </w:divBdr>
    </w:div>
    <w:div w:id="205876901">
      <w:marLeft w:val="0"/>
      <w:marRight w:val="0"/>
      <w:marTop w:val="0"/>
      <w:marBottom w:val="0"/>
      <w:divBdr>
        <w:top w:val="none" w:sz="0" w:space="0" w:color="auto"/>
        <w:left w:val="none" w:sz="0" w:space="0" w:color="auto"/>
        <w:bottom w:val="none" w:sz="0" w:space="0" w:color="auto"/>
        <w:right w:val="none" w:sz="0" w:space="0" w:color="auto"/>
      </w:divBdr>
    </w:div>
    <w:div w:id="205876902">
      <w:marLeft w:val="0"/>
      <w:marRight w:val="0"/>
      <w:marTop w:val="0"/>
      <w:marBottom w:val="0"/>
      <w:divBdr>
        <w:top w:val="none" w:sz="0" w:space="0" w:color="auto"/>
        <w:left w:val="none" w:sz="0" w:space="0" w:color="auto"/>
        <w:bottom w:val="none" w:sz="0" w:space="0" w:color="auto"/>
        <w:right w:val="none" w:sz="0" w:space="0" w:color="auto"/>
      </w:divBdr>
    </w:div>
    <w:div w:id="205876903">
      <w:marLeft w:val="0"/>
      <w:marRight w:val="0"/>
      <w:marTop w:val="0"/>
      <w:marBottom w:val="0"/>
      <w:divBdr>
        <w:top w:val="none" w:sz="0" w:space="0" w:color="auto"/>
        <w:left w:val="none" w:sz="0" w:space="0" w:color="auto"/>
        <w:bottom w:val="none" w:sz="0" w:space="0" w:color="auto"/>
        <w:right w:val="none" w:sz="0" w:space="0" w:color="auto"/>
      </w:divBdr>
    </w:div>
    <w:div w:id="205876904">
      <w:marLeft w:val="0"/>
      <w:marRight w:val="0"/>
      <w:marTop w:val="0"/>
      <w:marBottom w:val="0"/>
      <w:divBdr>
        <w:top w:val="none" w:sz="0" w:space="0" w:color="auto"/>
        <w:left w:val="none" w:sz="0" w:space="0" w:color="auto"/>
        <w:bottom w:val="none" w:sz="0" w:space="0" w:color="auto"/>
        <w:right w:val="none" w:sz="0" w:space="0" w:color="auto"/>
      </w:divBdr>
    </w:div>
    <w:div w:id="205876905">
      <w:marLeft w:val="0"/>
      <w:marRight w:val="0"/>
      <w:marTop w:val="0"/>
      <w:marBottom w:val="0"/>
      <w:divBdr>
        <w:top w:val="none" w:sz="0" w:space="0" w:color="auto"/>
        <w:left w:val="none" w:sz="0" w:space="0" w:color="auto"/>
        <w:bottom w:val="none" w:sz="0" w:space="0" w:color="auto"/>
        <w:right w:val="none" w:sz="0" w:space="0" w:color="auto"/>
      </w:divBdr>
    </w:div>
    <w:div w:id="205876906">
      <w:marLeft w:val="0"/>
      <w:marRight w:val="0"/>
      <w:marTop w:val="0"/>
      <w:marBottom w:val="0"/>
      <w:divBdr>
        <w:top w:val="none" w:sz="0" w:space="0" w:color="auto"/>
        <w:left w:val="none" w:sz="0" w:space="0" w:color="auto"/>
        <w:bottom w:val="none" w:sz="0" w:space="0" w:color="auto"/>
        <w:right w:val="none" w:sz="0" w:space="0" w:color="auto"/>
      </w:divBdr>
    </w:div>
    <w:div w:id="205876907">
      <w:marLeft w:val="0"/>
      <w:marRight w:val="0"/>
      <w:marTop w:val="0"/>
      <w:marBottom w:val="0"/>
      <w:divBdr>
        <w:top w:val="none" w:sz="0" w:space="0" w:color="auto"/>
        <w:left w:val="none" w:sz="0" w:space="0" w:color="auto"/>
        <w:bottom w:val="none" w:sz="0" w:space="0" w:color="auto"/>
        <w:right w:val="none" w:sz="0" w:space="0" w:color="auto"/>
      </w:divBdr>
    </w:div>
    <w:div w:id="205876908">
      <w:marLeft w:val="0"/>
      <w:marRight w:val="0"/>
      <w:marTop w:val="0"/>
      <w:marBottom w:val="0"/>
      <w:divBdr>
        <w:top w:val="none" w:sz="0" w:space="0" w:color="auto"/>
        <w:left w:val="none" w:sz="0" w:space="0" w:color="auto"/>
        <w:bottom w:val="none" w:sz="0" w:space="0" w:color="auto"/>
        <w:right w:val="none" w:sz="0" w:space="0" w:color="auto"/>
      </w:divBdr>
    </w:div>
    <w:div w:id="205876909">
      <w:marLeft w:val="0"/>
      <w:marRight w:val="0"/>
      <w:marTop w:val="0"/>
      <w:marBottom w:val="0"/>
      <w:divBdr>
        <w:top w:val="none" w:sz="0" w:space="0" w:color="auto"/>
        <w:left w:val="none" w:sz="0" w:space="0" w:color="auto"/>
        <w:bottom w:val="none" w:sz="0" w:space="0" w:color="auto"/>
        <w:right w:val="none" w:sz="0" w:space="0" w:color="auto"/>
      </w:divBdr>
    </w:div>
    <w:div w:id="205876910">
      <w:marLeft w:val="0"/>
      <w:marRight w:val="0"/>
      <w:marTop w:val="0"/>
      <w:marBottom w:val="0"/>
      <w:divBdr>
        <w:top w:val="none" w:sz="0" w:space="0" w:color="auto"/>
        <w:left w:val="none" w:sz="0" w:space="0" w:color="auto"/>
        <w:bottom w:val="none" w:sz="0" w:space="0" w:color="auto"/>
        <w:right w:val="none" w:sz="0" w:space="0" w:color="auto"/>
      </w:divBdr>
    </w:div>
    <w:div w:id="205876911">
      <w:marLeft w:val="0"/>
      <w:marRight w:val="0"/>
      <w:marTop w:val="0"/>
      <w:marBottom w:val="0"/>
      <w:divBdr>
        <w:top w:val="none" w:sz="0" w:space="0" w:color="auto"/>
        <w:left w:val="none" w:sz="0" w:space="0" w:color="auto"/>
        <w:bottom w:val="none" w:sz="0" w:space="0" w:color="auto"/>
        <w:right w:val="none" w:sz="0" w:space="0" w:color="auto"/>
      </w:divBdr>
    </w:div>
    <w:div w:id="205876912">
      <w:marLeft w:val="0"/>
      <w:marRight w:val="0"/>
      <w:marTop w:val="0"/>
      <w:marBottom w:val="0"/>
      <w:divBdr>
        <w:top w:val="none" w:sz="0" w:space="0" w:color="auto"/>
        <w:left w:val="none" w:sz="0" w:space="0" w:color="auto"/>
        <w:bottom w:val="none" w:sz="0" w:space="0" w:color="auto"/>
        <w:right w:val="none" w:sz="0" w:space="0" w:color="auto"/>
      </w:divBdr>
    </w:div>
    <w:div w:id="205876913">
      <w:marLeft w:val="0"/>
      <w:marRight w:val="0"/>
      <w:marTop w:val="0"/>
      <w:marBottom w:val="0"/>
      <w:divBdr>
        <w:top w:val="none" w:sz="0" w:space="0" w:color="auto"/>
        <w:left w:val="none" w:sz="0" w:space="0" w:color="auto"/>
        <w:bottom w:val="none" w:sz="0" w:space="0" w:color="auto"/>
        <w:right w:val="none" w:sz="0" w:space="0" w:color="auto"/>
      </w:divBdr>
    </w:div>
    <w:div w:id="205876914">
      <w:marLeft w:val="0"/>
      <w:marRight w:val="0"/>
      <w:marTop w:val="0"/>
      <w:marBottom w:val="0"/>
      <w:divBdr>
        <w:top w:val="none" w:sz="0" w:space="0" w:color="auto"/>
        <w:left w:val="none" w:sz="0" w:space="0" w:color="auto"/>
        <w:bottom w:val="none" w:sz="0" w:space="0" w:color="auto"/>
        <w:right w:val="none" w:sz="0" w:space="0" w:color="auto"/>
      </w:divBdr>
    </w:div>
    <w:div w:id="205876915">
      <w:marLeft w:val="0"/>
      <w:marRight w:val="0"/>
      <w:marTop w:val="0"/>
      <w:marBottom w:val="0"/>
      <w:divBdr>
        <w:top w:val="none" w:sz="0" w:space="0" w:color="auto"/>
        <w:left w:val="none" w:sz="0" w:space="0" w:color="auto"/>
        <w:bottom w:val="none" w:sz="0" w:space="0" w:color="auto"/>
        <w:right w:val="none" w:sz="0" w:space="0" w:color="auto"/>
      </w:divBdr>
    </w:div>
    <w:div w:id="205876916">
      <w:marLeft w:val="0"/>
      <w:marRight w:val="0"/>
      <w:marTop w:val="0"/>
      <w:marBottom w:val="0"/>
      <w:divBdr>
        <w:top w:val="none" w:sz="0" w:space="0" w:color="auto"/>
        <w:left w:val="none" w:sz="0" w:space="0" w:color="auto"/>
        <w:bottom w:val="none" w:sz="0" w:space="0" w:color="auto"/>
        <w:right w:val="none" w:sz="0" w:space="0" w:color="auto"/>
      </w:divBdr>
    </w:div>
    <w:div w:id="205876917">
      <w:marLeft w:val="0"/>
      <w:marRight w:val="0"/>
      <w:marTop w:val="0"/>
      <w:marBottom w:val="0"/>
      <w:divBdr>
        <w:top w:val="none" w:sz="0" w:space="0" w:color="auto"/>
        <w:left w:val="none" w:sz="0" w:space="0" w:color="auto"/>
        <w:bottom w:val="none" w:sz="0" w:space="0" w:color="auto"/>
        <w:right w:val="none" w:sz="0" w:space="0" w:color="auto"/>
      </w:divBdr>
    </w:div>
    <w:div w:id="205876918">
      <w:marLeft w:val="0"/>
      <w:marRight w:val="0"/>
      <w:marTop w:val="0"/>
      <w:marBottom w:val="0"/>
      <w:divBdr>
        <w:top w:val="none" w:sz="0" w:space="0" w:color="auto"/>
        <w:left w:val="none" w:sz="0" w:space="0" w:color="auto"/>
        <w:bottom w:val="none" w:sz="0" w:space="0" w:color="auto"/>
        <w:right w:val="none" w:sz="0" w:space="0" w:color="auto"/>
      </w:divBdr>
    </w:div>
    <w:div w:id="205876919">
      <w:marLeft w:val="0"/>
      <w:marRight w:val="0"/>
      <w:marTop w:val="0"/>
      <w:marBottom w:val="0"/>
      <w:divBdr>
        <w:top w:val="none" w:sz="0" w:space="0" w:color="auto"/>
        <w:left w:val="none" w:sz="0" w:space="0" w:color="auto"/>
        <w:bottom w:val="none" w:sz="0" w:space="0" w:color="auto"/>
        <w:right w:val="none" w:sz="0" w:space="0" w:color="auto"/>
      </w:divBdr>
    </w:div>
    <w:div w:id="205876920">
      <w:marLeft w:val="0"/>
      <w:marRight w:val="0"/>
      <w:marTop w:val="0"/>
      <w:marBottom w:val="0"/>
      <w:divBdr>
        <w:top w:val="none" w:sz="0" w:space="0" w:color="auto"/>
        <w:left w:val="none" w:sz="0" w:space="0" w:color="auto"/>
        <w:bottom w:val="none" w:sz="0" w:space="0" w:color="auto"/>
        <w:right w:val="none" w:sz="0" w:space="0" w:color="auto"/>
      </w:divBdr>
    </w:div>
    <w:div w:id="205876921">
      <w:marLeft w:val="0"/>
      <w:marRight w:val="0"/>
      <w:marTop w:val="0"/>
      <w:marBottom w:val="0"/>
      <w:divBdr>
        <w:top w:val="none" w:sz="0" w:space="0" w:color="auto"/>
        <w:left w:val="none" w:sz="0" w:space="0" w:color="auto"/>
        <w:bottom w:val="none" w:sz="0" w:space="0" w:color="auto"/>
        <w:right w:val="none" w:sz="0" w:space="0" w:color="auto"/>
      </w:divBdr>
    </w:div>
    <w:div w:id="205876922">
      <w:marLeft w:val="0"/>
      <w:marRight w:val="0"/>
      <w:marTop w:val="0"/>
      <w:marBottom w:val="0"/>
      <w:divBdr>
        <w:top w:val="none" w:sz="0" w:space="0" w:color="auto"/>
        <w:left w:val="none" w:sz="0" w:space="0" w:color="auto"/>
        <w:bottom w:val="none" w:sz="0" w:space="0" w:color="auto"/>
        <w:right w:val="none" w:sz="0" w:space="0" w:color="auto"/>
      </w:divBdr>
    </w:div>
    <w:div w:id="205876923">
      <w:marLeft w:val="0"/>
      <w:marRight w:val="0"/>
      <w:marTop w:val="0"/>
      <w:marBottom w:val="0"/>
      <w:divBdr>
        <w:top w:val="none" w:sz="0" w:space="0" w:color="auto"/>
        <w:left w:val="none" w:sz="0" w:space="0" w:color="auto"/>
        <w:bottom w:val="none" w:sz="0" w:space="0" w:color="auto"/>
        <w:right w:val="none" w:sz="0" w:space="0" w:color="auto"/>
      </w:divBdr>
    </w:div>
    <w:div w:id="205876924">
      <w:marLeft w:val="0"/>
      <w:marRight w:val="0"/>
      <w:marTop w:val="0"/>
      <w:marBottom w:val="0"/>
      <w:divBdr>
        <w:top w:val="none" w:sz="0" w:space="0" w:color="auto"/>
        <w:left w:val="none" w:sz="0" w:space="0" w:color="auto"/>
        <w:bottom w:val="none" w:sz="0" w:space="0" w:color="auto"/>
        <w:right w:val="none" w:sz="0" w:space="0" w:color="auto"/>
      </w:divBdr>
    </w:div>
    <w:div w:id="205876925">
      <w:marLeft w:val="0"/>
      <w:marRight w:val="0"/>
      <w:marTop w:val="0"/>
      <w:marBottom w:val="0"/>
      <w:divBdr>
        <w:top w:val="none" w:sz="0" w:space="0" w:color="auto"/>
        <w:left w:val="none" w:sz="0" w:space="0" w:color="auto"/>
        <w:bottom w:val="none" w:sz="0" w:space="0" w:color="auto"/>
        <w:right w:val="none" w:sz="0" w:space="0" w:color="auto"/>
      </w:divBdr>
    </w:div>
    <w:div w:id="205876926">
      <w:marLeft w:val="0"/>
      <w:marRight w:val="0"/>
      <w:marTop w:val="0"/>
      <w:marBottom w:val="0"/>
      <w:divBdr>
        <w:top w:val="none" w:sz="0" w:space="0" w:color="auto"/>
        <w:left w:val="none" w:sz="0" w:space="0" w:color="auto"/>
        <w:bottom w:val="none" w:sz="0" w:space="0" w:color="auto"/>
        <w:right w:val="none" w:sz="0" w:space="0" w:color="auto"/>
      </w:divBdr>
    </w:div>
    <w:div w:id="205876927">
      <w:marLeft w:val="0"/>
      <w:marRight w:val="0"/>
      <w:marTop w:val="0"/>
      <w:marBottom w:val="0"/>
      <w:divBdr>
        <w:top w:val="none" w:sz="0" w:space="0" w:color="auto"/>
        <w:left w:val="none" w:sz="0" w:space="0" w:color="auto"/>
        <w:bottom w:val="none" w:sz="0" w:space="0" w:color="auto"/>
        <w:right w:val="none" w:sz="0" w:space="0" w:color="auto"/>
      </w:divBdr>
    </w:div>
    <w:div w:id="205876928">
      <w:marLeft w:val="0"/>
      <w:marRight w:val="0"/>
      <w:marTop w:val="0"/>
      <w:marBottom w:val="0"/>
      <w:divBdr>
        <w:top w:val="none" w:sz="0" w:space="0" w:color="auto"/>
        <w:left w:val="none" w:sz="0" w:space="0" w:color="auto"/>
        <w:bottom w:val="none" w:sz="0" w:space="0" w:color="auto"/>
        <w:right w:val="none" w:sz="0" w:space="0" w:color="auto"/>
      </w:divBdr>
    </w:div>
    <w:div w:id="205876929">
      <w:marLeft w:val="0"/>
      <w:marRight w:val="0"/>
      <w:marTop w:val="0"/>
      <w:marBottom w:val="0"/>
      <w:divBdr>
        <w:top w:val="none" w:sz="0" w:space="0" w:color="auto"/>
        <w:left w:val="none" w:sz="0" w:space="0" w:color="auto"/>
        <w:bottom w:val="none" w:sz="0" w:space="0" w:color="auto"/>
        <w:right w:val="none" w:sz="0" w:space="0" w:color="auto"/>
      </w:divBdr>
    </w:div>
    <w:div w:id="205876930">
      <w:marLeft w:val="0"/>
      <w:marRight w:val="0"/>
      <w:marTop w:val="0"/>
      <w:marBottom w:val="0"/>
      <w:divBdr>
        <w:top w:val="none" w:sz="0" w:space="0" w:color="auto"/>
        <w:left w:val="none" w:sz="0" w:space="0" w:color="auto"/>
        <w:bottom w:val="none" w:sz="0" w:space="0" w:color="auto"/>
        <w:right w:val="none" w:sz="0" w:space="0" w:color="auto"/>
      </w:divBdr>
    </w:div>
    <w:div w:id="205876931">
      <w:marLeft w:val="0"/>
      <w:marRight w:val="0"/>
      <w:marTop w:val="0"/>
      <w:marBottom w:val="0"/>
      <w:divBdr>
        <w:top w:val="none" w:sz="0" w:space="0" w:color="auto"/>
        <w:left w:val="none" w:sz="0" w:space="0" w:color="auto"/>
        <w:bottom w:val="none" w:sz="0" w:space="0" w:color="auto"/>
        <w:right w:val="none" w:sz="0" w:space="0" w:color="auto"/>
      </w:divBdr>
    </w:div>
    <w:div w:id="205876932">
      <w:marLeft w:val="0"/>
      <w:marRight w:val="0"/>
      <w:marTop w:val="0"/>
      <w:marBottom w:val="0"/>
      <w:divBdr>
        <w:top w:val="none" w:sz="0" w:space="0" w:color="auto"/>
        <w:left w:val="none" w:sz="0" w:space="0" w:color="auto"/>
        <w:bottom w:val="none" w:sz="0" w:space="0" w:color="auto"/>
        <w:right w:val="none" w:sz="0" w:space="0" w:color="auto"/>
      </w:divBdr>
    </w:div>
    <w:div w:id="205876933">
      <w:marLeft w:val="0"/>
      <w:marRight w:val="0"/>
      <w:marTop w:val="0"/>
      <w:marBottom w:val="0"/>
      <w:divBdr>
        <w:top w:val="none" w:sz="0" w:space="0" w:color="auto"/>
        <w:left w:val="none" w:sz="0" w:space="0" w:color="auto"/>
        <w:bottom w:val="none" w:sz="0" w:space="0" w:color="auto"/>
        <w:right w:val="none" w:sz="0" w:space="0" w:color="auto"/>
      </w:divBdr>
    </w:div>
    <w:div w:id="205876934">
      <w:marLeft w:val="0"/>
      <w:marRight w:val="0"/>
      <w:marTop w:val="0"/>
      <w:marBottom w:val="0"/>
      <w:divBdr>
        <w:top w:val="none" w:sz="0" w:space="0" w:color="auto"/>
        <w:left w:val="none" w:sz="0" w:space="0" w:color="auto"/>
        <w:bottom w:val="none" w:sz="0" w:space="0" w:color="auto"/>
        <w:right w:val="none" w:sz="0" w:space="0" w:color="auto"/>
      </w:divBdr>
    </w:div>
    <w:div w:id="205876935">
      <w:marLeft w:val="0"/>
      <w:marRight w:val="0"/>
      <w:marTop w:val="0"/>
      <w:marBottom w:val="0"/>
      <w:divBdr>
        <w:top w:val="none" w:sz="0" w:space="0" w:color="auto"/>
        <w:left w:val="none" w:sz="0" w:space="0" w:color="auto"/>
        <w:bottom w:val="none" w:sz="0" w:space="0" w:color="auto"/>
        <w:right w:val="none" w:sz="0" w:space="0" w:color="auto"/>
      </w:divBdr>
    </w:div>
    <w:div w:id="205876936">
      <w:marLeft w:val="0"/>
      <w:marRight w:val="0"/>
      <w:marTop w:val="0"/>
      <w:marBottom w:val="0"/>
      <w:divBdr>
        <w:top w:val="none" w:sz="0" w:space="0" w:color="auto"/>
        <w:left w:val="none" w:sz="0" w:space="0" w:color="auto"/>
        <w:bottom w:val="none" w:sz="0" w:space="0" w:color="auto"/>
        <w:right w:val="none" w:sz="0" w:space="0" w:color="auto"/>
      </w:divBdr>
    </w:div>
    <w:div w:id="205876937">
      <w:marLeft w:val="0"/>
      <w:marRight w:val="0"/>
      <w:marTop w:val="0"/>
      <w:marBottom w:val="0"/>
      <w:divBdr>
        <w:top w:val="none" w:sz="0" w:space="0" w:color="auto"/>
        <w:left w:val="none" w:sz="0" w:space="0" w:color="auto"/>
        <w:bottom w:val="none" w:sz="0" w:space="0" w:color="auto"/>
        <w:right w:val="none" w:sz="0" w:space="0" w:color="auto"/>
      </w:divBdr>
    </w:div>
    <w:div w:id="205876938">
      <w:marLeft w:val="0"/>
      <w:marRight w:val="0"/>
      <w:marTop w:val="0"/>
      <w:marBottom w:val="0"/>
      <w:divBdr>
        <w:top w:val="none" w:sz="0" w:space="0" w:color="auto"/>
        <w:left w:val="none" w:sz="0" w:space="0" w:color="auto"/>
        <w:bottom w:val="none" w:sz="0" w:space="0" w:color="auto"/>
        <w:right w:val="none" w:sz="0" w:space="0" w:color="auto"/>
      </w:divBdr>
    </w:div>
    <w:div w:id="205876939">
      <w:marLeft w:val="0"/>
      <w:marRight w:val="0"/>
      <w:marTop w:val="0"/>
      <w:marBottom w:val="0"/>
      <w:divBdr>
        <w:top w:val="none" w:sz="0" w:space="0" w:color="auto"/>
        <w:left w:val="none" w:sz="0" w:space="0" w:color="auto"/>
        <w:bottom w:val="none" w:sz="0" w:space="0" w:color="auto"/>
        <w:right w:val="none" w:sz="0" w:space="0" w:color="auto"/>
      </w:divBdr>
    </w:div>
    <w:div w:id="205876940">
      <w:marLeft w:val="0"/>
      <w:marRight w:val="0"/>
      <w:marTop w:val="0"/>
      <w:marBottom w:val="0"/>
      <w:divBdr>
        <w:top w:val="none" w:sz="0" w:space="0" w:color="auto"/>
        <w:left w:val="none" w:sz="0" w:space="0" w:color="auto"/>
        <w:bottom w:val="none" w:sz="0" w:space="0" w:color="auto"/>
        <w:right w:val="none" w:sz="0" w:space="0" w:color="auto"/>
      </w:divBdr>
    </w:div>
    <w:div w:id="205876941">
      <w:marLeft w:val="0"/>
      <w:marRight w:val="0"/>
      <w:marTop w:val="0"/>
      <w:marBottom w:val="0"/>
      <w:divBdr>
        <w:top w:val="none" w:sz="0" w:space="0" w:color="auto"/>
        <w:left w:val="none" w:sz="0" w:space="0" w:color="auto"/>
        <w:bottom w:val="none" w:sz="0" w:space="0" w:color="auto"/>
        <w:right w:val="none" w:sz="0" w:space="0" w:color="auto"/>
      </w:divBdr>
    </w:div>
    <w:div w:id="205876942">
      <w:marLeft w:val="0"/>
      <w:marRight w:val="0"/>
      <w:marTop w:val="0"/>
      <w:marBottom w:val="0"/>
      <w:divBdr>
        <w:top w:val="none" w:sz="0" w:space="0" w:color="auto"/>
        <w:left w:val="none" w:sz="0" w:space="0" w:color="auto"/>
        <w:bottom w:val="none" w:sz="0" w:space="0" w:color="auto"/>
        <w:right w:val="none" w:sz="0" w:space="0" w:color="auto"/>
      </w:divBdr>
    </w:div>
    <w:div w:id="937131028">
      <w:bodyDiv w:val="1"/>
      <w:marLeft w:val="0"/>
      <w:marRight w:val="0"/>
      <w:marTop w:val="0"/>
      <w:marBottom w:val="0"/>
      <w:divBdr>
        <w:top w:val="none" w:sz="0" w:space="0" w:color="auto"/>
        <w:left w:val="none" w:sz="0" w:space="0" w:color="auto"/>
        <w:bottom w:val="none" w:sz="0" w:space="0" w:color="auto"/>
        <w:right w:val="none" w:sz="0" w:space="0" w:color="auto"/>
      </w:divBdr>
    </w:div>
    <w:div w:id="14267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47D3-B8E3-4050-9D5E-03A40DF4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aysenur acar</cp:lastModifiedBy>
  <cp:revision>84</cp:revision>
  <cp:lastPrinted>2013-06-17T08:54:00Z</cp:lastPrinted>
  <dcterms:created xsi:type="dcterms:W3CDTF">2013-04-15T06:43:00Z</dcterms:created>
  <dcterms:modified xsi:type="dcterms:W3CDTF">2013-06-18T12:39:00Z</dcterms:modified>
</cp:coreProperties>
</file>