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4FD" w:rsidRDefault="004C2F4B" w:rsidP="00AE0BBB">
      <w:pPr>
        <w:spacing w:line="288" w:lineRule="auto"/>
        <w:ind w:right="-319"/>
        <w:jc w:val="center"/>
        <w:rPr>
          <w:rFonts w:ascii="Arial" w:hAnsi="Arial" w:cs="Arial"/>
          <w:b/>
          <w:bCs/>
          <w:sz w:val="20"/>
          <w:szCs w:val="20"/>
        </w:rPr>
      </w:pPr>
      <w:r w:rsidRPr="004C2F4B">
        <w:rPr>
          <w:noProof/>
        </w:rPr>
        <w:pict>
          <v:shapetype id="_x0000_t202" coordsize="21600,21600" o:spt="202" path="m,l,21600r21600,l21600,xe">
            <v:stroke joinstyle="miter"/>
            <v:path gradientshapeok="t" o:connecttype="rect"/>
          </v:shapetype>
          <v:shape id="_x0000_s1026" type="#_x0000_t202" style="position:absolute;left:0;text-align:left;margin-left:99pt;margin-top:0;width:342pt;height:45pt;z-index:251657216;mso-wrap-distance-left:9.05pt;mso-wrap-distance-right:9.05pt" stroked="f">
            <v:fill opacity="0" color2="black"/>
            <v:textbox style="mso-next-textbox:#_x0000_s1026" inset="0,0,0,0">
              <w:txbxContent>
                <w:p w:rsidR="00B834FD" w:rsidRDefault="00B834FD" w:rsidP="00803E3E">
                  <w:pPr>
                    <w:pStyle w:val="Heading1"/>
                    <w:rPr>
                      <w:rFonts w:ascii="Times New Roman" w:hAnsi="Times New Roman" w:cs="Times New Roman"/>
                      <w:sz w:val="40"/>
                      <w:szCs w:val="40"/>
                    </w:rPr>
                  </w:pPr>
                  <w:r w:rsidRPr="00803E3E">
                    <w:rPr>
                      <w:rFonts w:ascii="Times New Roman" w:hAnsi="Times New Roman" w:cs="Times New Roman"/>
                      <w:sz w:val="40"/>
                      <w:szCs w:val="40"/>
                    </w:rPr>
                    <w:t xml:space="preserve">Büyüme </w:t>
                  </w:r>
                  <w:r>
                    <w:rPr>
                      <w:rFonts w:ascii="Times New Roman" w:hAnsi="Times New Roman" w:cs="Times New Roman"/>
                      <w:sz w:val="40"/>
                      <w:szCs w:val="40"/>
                    </w:rPr>
                    <w:t>Değerlendirmesi</w:t>
                  </w:r>
                  <w:r w:rsidRPr="00803E3E">
                    <w:rPr>
                      <w:rFonts w:ascii="Times New Roman" w:hAnsi="Times New Roman" w:cs="Times New Roman"/>
                      <w:sz w:val="40"/>
                      <w:szCs w:val="40"/>
                    </w:rPr>
                    <w:t xml:space="preserve"> : </w:t>
                  </w:r>
                </w:p>
                <w:p w:rsidR="00B834FD" w:rsidRPr="00803E3E" w:rsidRDefault="00B834FD" w:rsidP="00803E3E">
                  <w:pPr>
                    <w:pStyle w:val="Heading1"/>
                    <w:rPr>
                      <w:rFonts w:ascii="Times New Roman" w:hAnsi="Times New Roman" w:cs="Times New Roman"/>
                      <w:sz w:val="40"/>
                      <w:szCs w:val="40"/>
                    </w:rPr>
                  </w:pPr>
                  <w:r>
                    <w:rPr>
                      <w:rFonts w:ascii="Times New Roman" w:hAnsi="Times New Roman" w:cs="Times New Roman"/>
                      <w:sz w:val="40"/>
                      <w:szCs w:val="40"/>
                    </w:rPr>
                    <w:t>2013 1</w:t>
                  </w:r>
                  <w:r w:rsidRPr="00803E3E">
                    <w:rPr>
                      <w:rFonts w:ascii="Times New Roman" w:hAnsi="Times New Roman" w:cs="Times New Roman"/>
                      <w:sz w:val="40"/>
                      <w:szCs w:val="40"/>
                    </w:rPr>
                    <w:t>. Çeyrek</w:t>
                  </w:r>
                </w:p>
                <w:p w:rsidR="00B834FD" w:rsidRPr="00526178" w:rsidRDefault="00B834FD" w:rsidP="007750EF">
                  <w:pPr>
                    <w:pStyle w:val="Heading2"/>
                    <w:rPr>
                      <w:b w:val="0"/>
                      <w:bCs w:val="0"/>
                      <w:i w:val="0"/>
                      <w:iCs w:val="0"/>
                    </w:rPr>
                  </w:pPr>
                </w:p>
              </w:txbxContent>
            </v:textbox>
          </v:shape>
        </w:pict>
      </w:r>
      <w:r w:rsidRPr="004C2F4B">
        <w:rPr>
          <w:noProof/>
        </w:rPr>
        <w:pict>
          <v:shape id="_x0000_s1027" type="#_x0000_t202" style="position:absolute;left:0;text-align:left;margin-left:376.7pt;margin-top:51.45pt;width:134.8pt;height:35.8pt;z-index:251658240;mso-wrap-distance-left:9.05pt;mso-wrap-distance-right:9.05pt" stroked="f">
            <v:fill opacity="0" color2="black"/>
            <v:textbox style="mso-next-textbox:#_x0000_s1027" inset="0,0,0,0">
              <w:txbxContent>
                <w:p w:rsidR="00B834FD" w:rsidRDefault="00B834FD" w:rsidP="007750EF">
                  <w:pPr>
                    <w:pStyle w:val="Heading3"/>
                    <w:rPr>
                      <w:color w:val="FFFFFF"/>
                      <w:sz w:val="22"/>
                      <w:szCs w:val="22"/>
                      <w:lang w:val="tr-TR"/>
                    </w:rPr>
                  </w:pPr>
                  <w:r>
                    <w:rPr>
                      <w:color w:val="FFFFFF"/>
                      <w:sz w:val="22"/>
                      <w:szCs w:val="22"/>
                    </w:rPr>
                    <w:t xml:space="preserve">                      11.06.</w:t>
                  </w:r>
                  <w:r>
                    <w:rPr>
                      <w:color w:val="FFFFFF"/>
                      <w:sz w:val="22"/>
                      <w:szCs w:val="22"/>
                      <w:lang w:val="tr-TR"/>
                    </w:rPr>
                    <w:t>2013</w:t>
                  </w:r>
                </w:p>
                <w:p w:rsidR="00B834FD" w:rsidRDefault="00B834FD" w:rsidP="007750EF"/>
              </w:txbxContent>
            </v:textbox>
          </v:shape>
        </w:pict>
      </w:r>
      <w:r w:rsidR="005A7A25">
        <w:rPr>
          <w:noProof/>
          <w:lang w:val="en-US" w:eastAsia="en-US"/>
        </w:rPr>
        <w:drawing>
          <wp:anchor distT="0" distB="0" distL="114300" distR="114300" simplePos="0" relativeHeight="251656192" behindDoc="1" locked="0" layoutInCell="1" allowOverlap="1">
            <wp:simplePos x="0" y="0"/>
            <wp:positionH relativeFrom="column">
              <wp:posOffset>-800100</wp:posOffset>
            </wp:positionH>
            <wp:positionV relativeFrom="paragraph">
              <wp:posOffset>-228600</wp:posOffset>
            </wp:positionV>
            <wp:extent cx="7315200" cy="1330325"/>
            <wp:effectExtent l="19050" t="0" r="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7"/>
                    <a:srcRect/>
                    <a:stretch>
                      <a:fillRect/>
                    </a:stretch>
                  </pic:blipFill>
                  <pic:spPr bwMode="auto">
                    <a:xfrm>
                      <a:off x="0" y="0"/>
                      <a:ext cx="7315200" cy="1330325"/>
                    </a:xfrm>
                    <a:prstGeom prst="rect">
                      <a:avLst/>
                    </a:prstGeom>
                    <a:noFill/>
                  </pic:spPr>
                </pic:pic>
              </a:graphicData>
            </a:graphic>
          </wp:anchor>
        </w:drawing>
      </w:r>
    </w:p>
    <w:p w:rsidR="00B834FD" w:rsidRDefault="00B834FD" w:rsidP="00AE0BBB">
      <w:pPr>
        <w:spacing w:line="288" w:lineRule="auto"/>
        <w:ind w:right="-319"/>
        <w:jc w:val="center"/>
        <w:rPr>
          <w:rFonts w:ascii="Arial" w:hAnsi="Arial" w:cs="Arial"/>
          <w:b/>
          <w:bCs/>
          <w:sz w:val="20"/>
          <w:szCs w:val="20"/>
        </w:rPr>
      </w:pPr>
    </w:p>
    <w:p w:rsidR="00B834FD" w:rsidRDefault="00B834FD" w:rsidP="00AE0BBB">
      <w:pPr>
        <w:spacing w:line="288" w:lineRule="auto"/>
        <w:ind w:right="-319"/>
        <w:jc w:val="center"/>
        <w:rPr>
          <w:rFonts w:ascii="Arial" w:hAnsi="Arial" w:cs="Arial"/>
          <w:b/>
          <w:bCs/>
          <w:sz w:val="20"/>
          <w:szCs w:val="20"/>
        </w:rPr>
      </w:pPr>
    </w:p>
    <w:p w:rsidR="00B834FD" w:rsidRDefault="00B834FD" w:rsidP="00AE0BBB">
      <w:pPr>
        <w:spacing w:line="288" w:lineRule="auto"/>
        <w:ind w:right="-319"/>
        <w:jc w:val="center"/>
        <w:rPr>
          <w:rFonts w:ascii="Arial" w:hAnsi="Arial" w:cs="Arial"/>
          <w:b/>
          <w:bCs/>
          <w:sz w:val="20"/>
          <w:szCs w:val="20"/>
        </w:rPr>
      </w:pPr>
    </w:p>
    <w:p w:rsidR="00B834FD" w:rsidRPr="0015266B" w:rsidRDefault="00B834FD" w:rsidP="00AE0BBB">
      <w:pPr>
        <w:spacing w:line="288" w:lineRule="auto"/>
        <w:ind w:right="-319"/>
        <w:jc w:val="center"/>
        <w:rPr>
          <w:rFonts w:ascii="Arial" w:hAnsi="Arial" w:cs="Arial"/>
          <w:b/>
          <w:bCs/>
          <w:sz w:val="20"/>
          <w:szCs w:val="20"/>
        </w:rPr>
      </w:pPr>
    </w:p>
    <w:p w:rsidR="00B834FD" w:rsidRPr="00DD51D1" w:rsidRDefault="00B834FD" w:rsidP="00C805B9">
      <w:pPr>
        <w:spacing w:line="288" w:lineRule="auto"/>
        <w:ind w:right="-319"/>
        <w:jc w:val="center"/>
        <w:outlineLvl w:val="0"/>
        <w:rPr>
          <w:rFonts w:ascii="Arial" w:hAnsi="Arial" w:cs="Arial"/>
          <w:b/>
          <w:bCs/>
          <w:sz w:val="28"/>
          <w:szCs w:val="28"/>
        </w:rPr>
      </w:pPr>
    </w:p>
    <w:p w:rsidR="00B834FD" w:rsidRPr="00DD51D1" w:rsidRDefault="00B834FD" w:rsidP="007750EF">
      <w:pPr>
        <w:spacing w:line="288" w:lineRule="auto"/>
        <w:ind w:right="-319"/>
        <w:outlineLvl w:val="0"/>
        <w:rPr>
          <w:rFonts w:ascii="Arial" w:hAnsi="Arial" w:cs="Arial"/>
          <w:b/>
          <w:bCs/>
          <w:sz w:val="28"/>
          <w:szCs w:val="28"/>
        </w:rPr>
      </w:pPr>
    </w:p>
    <w:p w:rsidR="00B834FD" w:rsidRPr="00C87DB6" w:rsidRDefault="00B834FD" w:rsidP="00C805B9">
      <w:pPr>
        <w:spacing w:line="288" w:lineRule="auto"/>
        <w:ind w:right="-319"/>
        <w:jc w:val="center"/>
        <w:outlineLvl w:val="0"/>
        <w:rPr>
          <w:rFonts w:ascii="Arial" w:hAnsi="Arial" w:cs="Arial"/>
          <w:b/>
          <w:bCs/>
          <w:sz w:val="28"/>
          <w:szCs w:val="28"/>
        </w:rPr>
      </w:pPr>
      <w:r w:rsidRPr="00530EC8">
        <w:rPr>
          <w:rFonts w:ascii="Arial" w:hAnsi="Arial" w:cs="Arial"/>
          <w:b/>
          <w:bCs/>
          <w:sz w:val="28"/>
          <w:szCs w:val="28"/>
        </w:rPr>
        <w:t>TÜRKİYE EKONOMİSİ NORMALLEŞİYOR!</w:t>
      </w:r>
    </w:p>
    <w:p w:rsidR="00B834FD" w:rsidRPr="00DD51D1" w:rsidRDefault="00B834FD" w:rsidP="00C805B9">
      <w:pPr>
        <w:spacing w:line="288" w:lineRule="auto"/>
        <w:ind w:right="-319"/>
        <w:jc w:val="center"/>
        <w:outlineLvl w:val="0"/>
        <w:rPr>
          <w:rFonts w:ascii="Arial" w:hAnsi="Arial" w:cs="Arial"/>
          <w:b/>
          <w:bCs/>
          <w:sz w:val="22"/>
          <w:szCs w:val="22"/>
        </w:rPr>
      </w:pPr>
    </w:p>
    <w:p w:rsidR="00B834FD" w:rsidRPr="00DD51D1" w:rsidRDefault="00B834FD" w:rsidP="00C805B9">
      <w:pPr>
        <w:spacing w:line="288" w:lineRule="auto"/>
        <w:ind w:right="-319"/>
        <w:jc w:val="center"/>
        <w:outlineLvl w:val="0"/>
        <w:rPr>
          <w:rFonts w:ascii="Arial" w:hAnsi="Arial" w:cs="Arial"/>
          <w:b/>
          <w:bCs/>
          <w:sz w:val="22"/>
          <w:szCs w:val="22"/>
        </w:rPr>
      </w:pPr>
      <w:r w:rsidRPr="00DD51D1">
        <w:rPr>
          <w:rFonts w:ascii="Arial" w:hAnsi="Arial" w:cs="Arial"/>
          <w:b/>
          <w:bCs/>
          <w:sz w:val="22"/>
          <w:szCs w:val="22"/>
        </w:rPr>
        <w:t>Seyfettin Gürsel</w:t>
      </w:r>
      <w:r w:rsidRPr="00DD51D1">
        <w:rPr>
          <w:rFonts w:ascii="Arial" w:hAnsi="Arial" w:cs="Arial"/>
          <w:b/>
          <w:bCs/>
          <w:sz w:val="22"/>
          <w:szCs w:val="22"/>
          <w:vertAlign w:val="superscript"/>
        </w:rPr>
        <w:t>•</w:t>
      </w:r>
      <w:r w:rsidRPr="00DD51D1">
        <w:rPr>
          <w:rFonts w:ascii="Arial" w:hAnsi="Arial" w:cs="Arial"/>
          <w:b/>
          <w:bCs/>
          <w:sz w:val="22"/>
          <w:szCs w:val="22"/>
        </w:rPr>
        <w:t>, Zümrüt İmamoğlu</w:t>
      </w:r>
      <w:r w:rsidRPr="00DD51D1">
        <w:rPr>
          <w:rFonts w:ascii="Arial" w:hAnsi="Arial" w:cs="Arial"/>
          <w:b/>
          <w:bCs/>
          <w:sz w:val="22"/>
          <w:szCs w:val="22"/>
          <w:vertAlign w:val="superscript"/>
        </w:rPr>
        <w:t xml:space="preserve">‡ </w:t>
      </w:r>
      <w:r w:rsidRPr="00DD51D1">
        <w:rPr>
          <w:rFonts w:ascii="Arial" w:hAnsi="Arial" w:cs="Arial"/>
          <w:b/>
          <w:bCs/>
          <w:sz w:val="22"/>
          <w:szCs w:val="22"/>
        </w:rPr>
        <w:t>ve Barış Soybilgen</w:t>
      </w:r>
      <w:r w:rsidRPr="00DD51D1">
        <w:rPr>
          <w:rFonts w:ascii="Arial" w:hAnsi="Arial" w:cs="Arial"/>
          <w:b/>
          <w:bCs/>
          <w:sz w:val="22"/>
          <w:szCs w:val="22"/>
          <w:vertAlign w:val="superscript"/>
        </w:rPr>
        <w:t>†</w:t>
      </w:r>
    </w:p>
    <w:p w:rsidR="00B834FD" w:rsidRDefault="00B834FD" w:rsidP="00AE0BBB">
      <w:pPr>
        <w:spacing w:line="288" w:lineRule="auto"/>
        <w:ind w:right="-318"/>
        <w:jc w:val="both"/>
        <w:rPr>
          <w:rFonts w:ascii="Arial" w:hAnsi="Arial" w:cs="Arial"/>
          <w:b/>
          <w:bCs/>
          <w:sz w:val="20"/>
          <w:szCs w:val="20"/>
        </w:rPr>
      </w:pPr>
    </w:p>
    <w:p w:rsidR="00B834FD" w:rsidRPr="00DD51D1" w:rsidRDefault="00B834FD" w:rsidP="00AE0BBB">
      <w:pPr>
        <w:spacing w:line="288" w:lineRule="auto"/>
        <w:ind w:right="-318"/>
        <w:jc w:val="both"/>
        <w:rPr>
          <w:rFonts w:ascii="Arial" w:hAnsi="Arial" w:cs="Arial"/>
          <w:b/>
          <w:bCs/>
          <w:sz w:val="20"/>
          <w:szCs w:val="20"/>
        </w:rPr>
        <w:sectPr w:rsidR="00B834FD" w:rsidRPr="00DD51D1" w:rsidSect="007750EF">
          <w:footerReference w:type="default" r:id="rId8"/>
          <w:footnotePr>
            <w:numFmt w:val="chicago"/>
          </w:footnotePr>
          <w:pgSz w:w="11906" w:h="16838"/>
          <w:pgMar w:top="719" w:right="1417" w:bottom="1417" w:left="1417" w:header="708" w:footer="708" w:gutter="0"/>
          <w:cols w:space="709"/>
          <w:docGrid w:linePitch="360"/>
        </w:sectPr>
      </w:pPr>
    </w:p>
    <w:p w:rsidR="00B834FD" w:rsidRPr="00DD51D1" w:rsidRDefault="00B834FD" w:rsidP="00110EBA">
      <w:pPr>
        <w:pStyle w:val="NormalWeb"/>
        <w:spacing w:before="0" w:beforeAutospacing="0" w:after="0" w:afterAutospacing="0"/>
        <w:jc w:val="both"/>
        <w:rPr>
          <w:rFonts w:ascii="Arial" w:hAnsi="Arial" w:cs="Arial"/>
          <w:sz w:val="22"/>
          <w:szCs w:val="22"/>
        </w:rPr>
      </w:pPr>
    </w:p>
    <w:p w:rsidR="00B834FD" w:rsidRPr="00DD51D1" w:rsidRDefault="00B834FD" w:rsidP="001C629C">
      <w:pPr>
        <w:pStyle w:val="NormalWeb"/>
        <w:spacing w:before="0" w:beforeAutospacing="0" w:after="0" w:afterAutospacing="0"/>
        <w:jc w:val="center"/>
        <w:rPr>
          <w:rFonts w:ascii="Arial" w:hAnsi="Arial" w:cs="Arial"/>
          <w:b/>
          <w:bCs/>
          <w:sz w:val="22"/>
          <w:szCs w:val="22"/>
        </w:rPr>
      </w:pPr>
      <w:r w:rsidRPr="00DD51D1">
        <w:rPr>
          <w:rFonts w:ascii="Arial" w:hAnsi="Arial" w:cs="Arial"/>
          <w:b/>
          <w:bCs/>
          <w:sz w:val="22"/>
          <w:szCs w:val="22"/>
        </w:rPr>
        <w:t>Yönetici özeti</w:t>
      </w:r>
    </w:p>
    <w:p w:rsidR="00B834FD" w:rsidRPr="00DD51D1" w:rsidRDefault="00B834FD" w:rsidP="0058797D">
      <w:pPr>
        <w:pStyle w:val="NormalWeb"/>
        <w:spacing w:before="0" w:beforeAutospacing="0" w:after="0" w:afterAutospacing="0"/>
        <w:rPr>
          <w:rFonts w:ascii="Arial" w:hAnsi="Arial" w:cs="Arial"/>
          <w:b/>
          <w:bCs/>
          <w:sz w:val="22"/>
          <w:szCs w:val="22"/>
        </w:rPr>
      </w:pPr>
    </w:p>
    <w:p w:rsidR="00B834FD" w:rsidRDefault="00B834FD" w:rsidP="004E3889">
      <w:pPr>
        <w:pStyle w:val="NormalWeb"/>
        <w:spacing w:before="0" w:beforeAutospacing="0" w:after="0" w:afterAutospacing="0" w:line="300" w:lineRule="atLeast"/>
        <w:jc w:val="both"/>
        <w:rPr>
          <w:rFonts w:ascii="Arial" w:hAnsi="Arial" w:cs="Arial"/>
          <w:sz w:val="20"/>
          <w:szCs w:val="20"/>
        </w:rPr>
      </w:pPr>
      <w:r w:rsidRPr="00DD51D1">
        <w:rPr>
          <w:rFonts w:ascii="Arial" w:hAnsi="Arial" w:cs="Arial"/>
          <w:sz w:val="20"/>
          <w:szCs w:val="20"/>
        </w:rPr>
        <w:t>TÜİK'in bugün açıkladığı rakamlara gör</w:t>
      </w:r>
      <w:r>
        <w:rPr>
          <w:rFonts w:ascii="Arial" w:hAnsi="Arial" w:cs="Arial"/>
          <w:sz w:val="20"/>
          <w:szCs w:val="20"/>
        </w:rPr>
        <w:t>e Gayri Safi Yurtiçi Hasıla (GSYH) 2013</w:t>
      </w:r>
      <w:r w:rsidRPr="00DD51D1">
        <w:rPr>
          <w:rFonts w:ascii="Arial" w:hAnsi="Arial" w:cs="Arial"/>
          <w:sz w:val="20"/>
          <w:szCs w:val="20"/>
        </w:rPr>
        <w:t xml:space="preserve"> </w:t>
      </w:r>
      <w:r>
        <w:rPr>
          <w:rFonts w:ascii="Arial" w:hAnsi="Arial" w:cs="Arial"/>
          <w:sz w:val="20"/>
          <w:szCs w:val="20"/>
        </w:rPr>
        <w:t>ilk</w:t>
      </w:r>
      <w:r w:rsidRPr="00DD51D1">
        <w:rPr>
          <w:rFonts w:ascii="Arial" w:hAnsi="Arial" w:cs="Arial"/>
          <w:sz w:val="20"/>
          <w:szCs w:val="20"/>
        </w:rPr>
        <w:t xml:space="preserve"> çeyreğinde bir önceki yılın aynı </w:t>
      </w:r>
      <w:r>
        <w:rPr>
          <w:rFonts w:ascii="Arial" w:hAnsi="Arial" w:cs="Arial"/>
          <w:sz w:val="20"/>
          <w:szCs w:val="20"/>
        </w:rPr>
        <w:t>çeyreğine</w:t>
      </w:r>
      <w:r w:rsidRPr="00DD51D1">
        <w:rPr>
          <w:rFonts w:ascii="Arial" w:hAnsi="Arial" w:cs="Arial"/>
          <w:sz w:val="20"/>
          <w:szCs w:val="20"/>
        </w:rPr>
        <w:t xml:space="preserve"> </w:t>
      </w:r>
      <w:r>
        <w:rPr>
          <w:rFonts w:ascii="Arial" w:hAnsi="Arial" w:cs="Arial"/>
          <w:sz w:val="20"/>
          <w:szCs w:val="20"/>
        </w:rPr>
        <w:t>göre</w:t>
      </w:r>
      <w:r w:rsidRPr="00DD51D1">
        <w:rPr>
          <w:rFonts w:ascii="Arial" w:hAnsi="Arial" w:cs="Arial"/>
          <w:sz w:val="20"/>
          <w:szCs w:val="20"/>
        </w:rPr>
        <w:t xml:space="preserve"> yüzde </w:t>
      </w:r>
      <w:r>
        <w:rPr>
          <w:rFonts w:ascii="Arial" w:hAnsi="Arial" w:cs="Arial"/>
          <w:sz w:val="20"/>
          <w:szCs w:val="20"/>
        </w:rPr>
        <w:t>3</w:t>
      </w:r>
      <w:r w:rsidRPr="00DD51D1">
        <w:rPr>
          <w:rFonts w:ascii="Arial" w:hAnsi="Arial" w:cs="Arial"/>
          <w:sz w:val="20"/>
          <w:szCs w:val="20"/>
        </w:rPr>
        <w:t xml:space="preserve"> büyüdü. </w:t>
      </w:r>
      <w:r>
        <w:rPr>
          <w:rFonts w:ascii="Arial" w:hAnsi="Arial" w:cs="Arial"/>
          <w:sz w:val="20"/>
          <w:szCs w:val="20"/>
        </w:rPr>
        <w:t>Son iki yıldır düzenli olarak yavaşlıyan ve geçen çeyrek 1,4’e kadar düşen yıllık büyüme hızı böylece tekrar artışa geçti</w:t>
      </w:r>
      <w:r w:rsidRPr="00805D70">
        <w:rPr>
          <w:rFonts w:ascii="Arial" w:hAnsi="Arial" w:cs="Arial"/>
          <w:sz w:val="20"/>
          <w:szCs w:val="20"/>
        </w:rPr>
        <w:t xml:space="preserve">. </w:t>
      </w:r>
    </w:p>
    <w:p w:rsidR="00B834FD" w:rsidRDefault="00B834FD" w:rsidP="004E3889">
      <w:pPr>
        <w:pStyle w:val="NormalWeb"/>
        <w:spacing w:before="0" w:beforeAutospacing="0" w:after="0" w:afterAutospacing="0" w:line="300" w:lineRule="atLeast"/>
        <w:jc w:val="both"/>
        <w:rPr>
          <w:rFonts w:ascii="Arial" w:hAnsi="Arial" w:cs="Arial"/>
          <w:sz w:val="20"/>
          <w:szCs w:val="20"/>
        </w:rPr>
      </w:pPr>
    </w:p>
    <w:p w:rsidR="00B834FD" w:rsidRDefault="00B834FD" w:rsidP="004E3889">
      <w:pPr>
        <w:pStyle w:val="NormalWeb"/>
        <w:spacing w:before="0" w:beforeAutospacing="0" w:after="0" w:afterAutospacing="0" w:line="300" w:lineRule="atLeast"/>
        <w:jc w:val="both"/>
        <w:rPr>
          <w:rFonts w:ascii="Arial" w:hAnsi="Arial" w:cs="Arial"/>
          <w:sz w:val="20"/>
          <w:szCs w:val="20"/>
        </w:rPr>
      </w:pPr>
      <w:r>
        <w:rPr>
          <w:rFonts w:ascii="Arial" w:hAnsi="Arial" w:cs="Arial"/>
          <w:sz w:val="20"/>
          <w:szCs w:val="20"/>
        </w:rPr>
        <w:t xml:space="preserve">Mevsim ve takvim etkisindan arındırılmış büyüme oranı 2013 1. çeyrekte geçen yılın son çeyreğine kıyasla yüzde 1,6 oldu. Geçen yılın son çeyreğinde ise ekonomi bir önceki çeyreğe göre sadece yüzde 0,1 büyümüştü. </w:t>
      </w:r>
    </w:p>
    <w:p w:rsidR="00B834FD" w:rsidRPr="00DD51D1" w:rsidRDefault="00B834FD" w:rsidP="004E3889">
      <w:pPr>
        <w:pStyle w:val="NormalWeb"/>
        <w:spacing w:before="0" w:beforeAutospacing="0" w:after="0" w:afterAutospacing="0" w:line="300" w:lineRule="atLeast"/>
        <w:jc w:val="both"/>
        <w:rPr>
          <w:rFonts w:ascii="Arial" w:hAnsi="Arial" w:cs="Arial"/>
          <w:sz w:val="20"/>
          <w:szCs w:val="20"/>
        </w:rPr>
      </w:pPr>
    </w:p>
    <w:p w:rsidR="00B834FD" w:rsidRDefault="00B834FD" w:rsidP="00470351">
      <w:pPr>
        <w:pStyle w:val="NormalWeb"/>
        <w:spacing w:before="0" w:beforeAutospacing="0" w:after="0" w:afterAutospacing="0" w:line="300" w:lineRule="atLeast"/>
        <w:jc w:val="both"/>
        <w:rPr>
          <w:rFonts w:ascii="Arial" w:hAnsi="Arial" w:cs="Arial"/>
          <w:sz w:val="20"/>
          <w:szCs w:val="20"/>
        </w:rPr>
      </w:pPr>
      <w:r w:rsidRPr="00DD51D1">
        <w:rPr>
          <w:rFonts w:ascii="Arial" w:hAnsi="Arial" w:cs="Arial"/>
          <w:sz w:val="20"/>
          <w:szCs w:val="20"/>
        </w:rPr>
        <w:t>Betam</w:t>
      </w:r>
      <w:r>
        <w:rPr>
          <w:rFonts w:ascii="Arial" w:hAnsi="Arial" w:cs="Arial"/>
          <w:sz w:val="20"/>
          <w:szCs w:val="20"/>
        </w:rPr>
        <w:t xml:space="preserve">’ın büyümeyi alt kalemlerine ayırarak yaptığı mevsimsellikten arındırma analizine göre büyümenin ana kaynağı tüketim harcamalarındaki artış oldu. Özel yatırımlar oldukça zayıf kalırken, kamu harcamaları büyümeye uzun zamandır görülmediği kadar yüksek katkı yaptı. Ekonominin yavaşladığı dönemde büyümenin lokomotifi olan net ihracatın çeyreklik büyümeye katkısı zayıf ihracat ve artan ithalat nedeniyle negatif oldu. </w:t>
      </w:r>
    </w:p>
    <w:p w:rsidR="00B834FD" w:rsidRDefault="00B834FD" w:rsidP="00470351">
      <w:pPr>
        <w:pStyle w:val="NormalWeb"/>
        <w:spacing w:before="0" w:beforeAutospacing="0" w:after="0" w:afterAutospacing="0" w:line="300" w:lineRule="atLeast"/>
        <w:jc w:val="both"/>
        <w:rPr>
          <w:rFonts w:ascii="Arial" w:hAnsi="Arial" w:cs="Arial"/>
          <w:sz w:val="20"/>
          <w:szCs w:val="20"/>
        </w:rPr>
      </w:pPr>
    </w:p>
    <w:p w:rsidR="00B834FD" w:rsidRPr="00DD51D1" w:rsidRDefault="00B834FD" w:rsidP="00470351">
      <w:pPr>
        <w:pStyle w:val="NormalWeb"/>
        <w:spacing w:before="0" w:beforeAutospacing="0" w:after="0" w:afterAutospacing="0" w:line="300" w:lineRule="atLeast"/>
        <w:jc w:val="both"/>
        <w:rPr>
          <w:rFonts w:ascii="Arial" w:hAnsi="Arial" w:cs="Arial"/>
          <w:sz w:val="20"/>
          <w:szCs w:val="20"/>
        </w:rPr>
      </w:pPr>
      <w:r>
        <w:rPr>
          <w:rFonts w:ascii="Arial" w:hAnsi="Arial" w:cs="Arial"/>
          <w:sz w:val="20"/>
          <w:szCs w:val="20"/>
        </w:rPr>
        <w:t>2013 ilk çeyreği Türkiye Ekonomisi’nin yeniden hızlanmaya başladığı bir dönüm noktası görünümü veriyor. Düşük faiz ortamının tüketimi artırırken özel yatırımların fazla canlanmadığı, büyümenin önemli bir bölümünün kamunun yatırım harcamalarından kaynaklandığı görülüyor.</w:t>
      </w:r>
    </w:p>
    <w:p w:rsidR="00B834FD" w:rsidRPr="00F30DA8" w:rsidRDefault="004C2F4B" w:rsidP="00A7746C">
      <w:pPr>
        <w:pStyle w:val="NormalWeb"/>
        <w:spacing w:before="0" w:beforeAutospacing="0" w:after="0" w:afterAutospacing="0"/>
        <w:jc w:val="both"/>
        <w:rPr>
          <w:sz w:val="20"/>
          <w:szCs w:val="20"/>
        </w:rPr>
      </w:pPr>
      <w:r w:rsidRPr="004C2F4B">
        <w:rPr>
          <w:noProof/>
        </w:rPr>
        <w:pict>
          <v:line id="_x0000_s1029" style="position:absolute;left:0;text-align:left;z-index:251659264" from="-3.85pt,3.65pt" to="230.15pt,3.65pt"/>
        </w:pict>
      </w:r>
      <w:r w:rsidR="00B834FD" w:rsidRPr="00F30DA8">
        <w:rPr>
          <w:sz w:val="20"/>
          <w:szCs w:val="20"/>
        </w:rPr>
        <w:t xml:space="preserve"> </w:t>
      </w:r>
    </w:p>
    <w:p w:rsidR="00B834FD" w:rsidRPr="001C5776" w:rsidRDefault="00B834FD" w:rsidP="00A7746C">
      <w:pPr>
        <w:pStyle w:val="NormalWeb"/>
        <w:spacing w:before="0" w:beforeAutospacing="0" w:after="0" w:afterAutospacing="0"/>
        <w:jc w:val="both"/>
        <w:rPr>
          <w:sz w:val="20"/>
          <w:szCs w:val="20"/>
        </w:rPr>
      </w:pPr>
      <w:r w:rsidRPr="001C5776">
        <w:rPr>
          <w:sz w:val="20"/>
          <w:szCs w:val="20"/>
        </w:rPr>
        <w:t>• Prof. Dr. Seyfettin Gürsel, Betam, Direktör</w:t>
      </w:r>
    </w:p>
    <w:p w:rsidR="00B834FD" w:rsidRPr="001C5776" w:rsidRDefault="00B834FD" w:rsidP="00A7746C">
      <w:pPr>
        <w:pStyle w:val="NormalWeb"/>
        <w:spacing w:before="0" w:beforeAutospacing="0" w:after="0" w:afterAutospacing="0"/>
        <w:jc w:val="both"/>
        <w:rPr>
          <w:sz w:val="20"/>
          <w:szCs w:val="20"/>
        </w:rPr>
      </w:pPr>
      <w:r w:rsidRPr="001C5776">
        <w:rPr>
          <w:sz w:val="20"/>
          <w:szCs w:val="20"/>
        </w:rPr>
        <w:t xml:space="preserve">  seyfettin.gursel@bahcesehir.edu.tr</w:t>
      </w:r>
    </w:p>
    <w:p w:rsidR="00B834FD" w:rsidRPr="001C5776" w:rsidRDefault="00B834FD" w:rsidP="00A7746C">
      <w:pPr>
        <w:pStyle w:val="NormalWeb"/>
        <w:spacing w:before="0" w:beforeAutospacing="0" w:after="0" w:afterAutospacing="0"/>
        <w:jc w:val="both"/>
        <w:rPr>
          <w:sz w:val="20"/>
          <w:szCs w:val="20"/>
        </w:rPr>
      </w:pPr>
      <w:r w:rsidRPr="001C5776">
        <w:rPr>
          <w:sz w:val="20"/>
          <w:szCs w:val="20"/>
        </w:rPr>
        <w:t>‡ Dr. Zümrüt İmamoğlu, Betam, Uzman Araştırmacı.</w:t>
      </w:r>
    </w:p>
    <w:p w:rsidR="00B834FD" w:rsidRPr="001C5776" w:rsidRDefault="00B834FD" w:rsidP="00A7746C">
      <w:pPr>
        <w:pStyle w:val="NormalWeb"/>
        <w:spacing w:before="0" w:beforeAutospacing="0" w:after="0" w:afterAutospacing="0"/>
        <w:jc w:val="both"/>
        <w:rPr>
          <w:sz w:val="20"/>
          <w:szCs w:val="20"/>
        </w:rPr>
      </w:pPr>
      <w:r w:rsidRPr="001C5776">
        <w:rPr>
          <w:sz w:val="20"/>
          <w:szCs w:val="20"/>
        </w:rPr>
        <w:t xml:space="preserve">  zumrut.imamoglu@bahcesehir.edu.tr</w:t>
      </w:r>
    </w:p>
    <w:p w:rsidR="00B834FD" w:rsidRPr="001C5776" w:rsidRDefault="00B834FD" w:rsidP="00A7746C">
      <w:pPr>
        <w:pStyle w:val="NormalWeb"/>
        <w:spacing w:before="0" w:beforeAutospacing="0" w:after="0" w:afterAutospacing="0"/>
        <w:jc w:val="both"/>
        <w:rPr>
          <w:sz w:val="20"/>
          <w:szCs w:val="20"/>
        </w:rPr>
      </w:pPr>
      <w:r w:rsidRPr="001C5776">
        <w:rPr>
          <w:sz w:val="20"/>
          <w:szCs w:val="20"/>
        </w:rPr>
        <w:t>† Barış Soybilgen, Betam, Araştırma Görevlisi.</w:t>
      </w:r>
    </w:p>
    <w:p w:rsidR="00B834FD" w:rsidRPr="001C5776" w:rsidRDefault="00B834FD" w:rsidP="00A7746C">
      <w:pPr>
        <w:pStyle w:val="NormalWeb"/>
        <w:spacing w:before="0" w:beforeAutospacing="0" w:after="0" w:afterAutospacing="0"/>
        <w:jc w:val="both"/>
        <w:rPr>
          <w:sz w:val="20"/>
          <w:szCs w:val="20"/>
        </w:rPr>
      </w:pPr>
      <w:r w:rsidRPr="001C5776">
        <w:rPr>
          <w:sz w:val="20"/>
          <w:szCs w:val="20"/>
        </w:rPr>
        <w:t xml:space="preserve">  baris.soybilgen@bahcesehir.edu.tr</w:t>
      </w:r>
    </w:p>
    <w:p w:rsidR="00B834FD" w:rsidRDefault="00B834FD" w:rsidP="002548F5">
      <w:pPr>
        <w:ind w:right="77"/>
        <w:jc w:val="both"/>
        <w:rPr>
          <w:rFonts w:ascii="Arial" w:hAnsi="Arial" w:cs="Arial"/>
          <w:b/>
          <w:bCs/>
          <w:sz w:val="20"/>
          <w:szCs w:val="20"/>
        </w:rPr>
      </w:pPr>
    </w:p>
    <w:p w:rsidR="00B834FD" w:rsidRDefault="00B834FD" w:rsidP="002548F5">
      <w:pPr>
        <w:ind w:right="77"/>
        <w:jc w:val="both"/>
        <w:rPr>
          <w:rFonts w:ascii="Arial" w:hAnsi="Arial" w:cs="Arial"/>
          <w:b/>
          <w:bCs/>
          <w:sz w:val="20"/>
          <w:szCs w:val="20"/>
        </w:rPr>
      </w:pPr>
    </w:p>
    <w:p w:rsidR="00B834FD" w:rsidRDefault="00B834FD" w:rsidP="00A7746C">
      <w:pPr>
        <w:pStyle w:val="NormalWeb"/>
        <w:spacing w:before="0" w:beforeAutospacing="0" w:after="0" w:afterAutospacing="0" w:line="300" w:lineRule="atLeast"/>
        <w:jc w:val="both"/>
        <w:rPr>
          <w:rFonts w:ascii="Arial" w:hAnsi="Arial" w:cs="Arial"/>
          <w:sz w:val="20"/>
          <w:szCs w:val="20"/>
        </w:rPr>
      </w:pPr>
    </w:p>
    <w:p w:rsidR="00B834FD" w:rsidRPr="00A7746C" w:rsidRDefault="00B834FD" w:rsidP="00A7746C">
      <w:pPr>
        <w:pStyle w:val="NormalWeb"/>
        <w:spacing w:before="0" w:beforeAutospacing="0" w:after="0" w:afterAutospacing="0" w:line="300" w:lineRule="atLeast"/>
        <w:jc w:val="both"/>
        <w:rPr>
          <w:rFonts w:ascii="Arial" w:hAnsi="Arial" w:cs="Arial"/>
          <w:sz w:val="20"/>
          <w:szCs w:val="20"/>
        </w:rPr>
      </w:pPr>
      <w:r>
        <w:rPr>
          <w:rFonts w:ascii="Arial" w:hAnsi="Arial" w:cs="Arial"/>
          <w:sz w:val="20"/>
          <w:szCs w:val="20"/>
        </w:rPr>
        <w:t>İlk</w:t>
      </w:r>
      <w:r w:rsidRPr="00DD51D1">
        <w:rPr>
          <w:rFonts w:ascii="Arial" w:hAnsi="Arial" w:cs="Arial"/>
          <w:sz w:val="20"/>
          <w:szCs w:val="20"/>
        </w:rPr>
        <w:t xml:space="preserve"> çeyrek GSYH rakamlarına göre 12 aylık cari açığın GSYH’a oranı </w:t>
      </w:r>
      <w:r>
        <w:rPr>
          <w:rFonts w:ascii="Arial" w:hAnsi="Arial" w:cs="Arial"/>
          <w:sz w:val="20"/>
          <w:szCs w:val="20"/>
        </w:rPr>
        <w:t>yüzde 5,9 olarak gerçekleşti. 2012 yılı sonunda bu rakam 6,1 olmuştu.</w:t>
      </w:r>
    </w:p>
    <w:p w:rsidR="00B834FD" w:rsidRDefault="00B834FD" w:rsidP="002548F5">
      <w:pPr>
        <w:ind w:right="77"/>
        <w:jc w:val="both"/>
        <w:rPr>
          <w:rFonts w:ascii="Arial" w:hAnsi="Arial" w:cs="Arial"/>
          <w:b/>
          <w:bCs/>
          <w:sz w:val="20"/>
          <w:szCs w:val="20"/>
        </w:rPr>
      </w:pPr>
    </w:p>
    <w:p w:rsidR="00B834FD" w:rsidRPr="00DD51D1" w:rsidRDefault="00B834FD" w:rsidP="002548F5">
      <w:pPr>
        <w:ind w:right="77"/>
        <w:jc w:val="both"/>
        <w:rPr>
          <w:rFonts w:ascii="Arial" w:hAnsi="Arial" w:cs="Arial"/>
          <w:b/>
          <w:bCs/>
          <w:sz w:val="20"/>
          <w:szCs w:val="20"/>
        </w:rPr>
      </w:pPr>
      <w:r w:rsidRPr="00DD51D1">
        <w:rPr>
          <w:rFonts w:ascii="Arial" w:hAnsi="Arial" w:cs="Arial"/>
          <w:b/>
          <w:bCs/>
          <w:sz w:val="20"/>
          <w:szCs w:val="20"/>
        </w:rPr>
        <w:t xml:space="preserve">Şekil 1: GSYH alt kalemlerinin </w:t>
      </w:r>
      <w:r>
        <w:rPr>
          <w:rFonts w:ascii="Arial" w:hAnsi="Arial" w:cs="Arial"/>
          <w:b/>
          <w:bCs/>
          <w:sz w:val="20"/>
          <w:szCs w:val="20"/>
        </w:rPr>
        <w:t xml:space="preserve">2012 4. çeyrekten 2013 1. çeyreğe </w:t>
      </w:r>
      <w:r w:rsidRPr="00DD51D1">
        <w:rPr>
          <w:rFonts w:ascii="Arial" w:hAnsi="Arial" w:cs="Arial"/>
          <w:b/>
          <w:bCs/>
          <w:sz w:val="20"/>
          <w:szCs w:val="20"/>
        </w:rPr>
        <w:t xml:space="preserve">değişimleri </w:t>
      </w:r>
    </w:p>
    <w:p w:rsidR="00B834FD" w:rsidRPr="00DB5757" w:rsidRDefault="005A7A25" w:rsidP="00660DE2">
      <w:pPr>
        <w:ind w:right="77"/>
        <w:jc w:val="both"/>
      </w:pPr>
      <w:r>
        <w:rPr>
          <w:noProof/>
          <w:lang w:val="en-US" w:eastAsia="en-US"/>
        </w:rPr>
        <w:drawing>
          <wp:inline distT="0" distB="0" distL="0" distR="0">
            <wp:extent cx="3005455" cy="1892300"/>
            <wp:effectExtent l="1905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005455" cy="1892300"/>
                    </a:xfrm>
                    <a:prstGeom prst="rect">
                      <a:avLst/>
                    </a:prstGeom>
                    <a:noFill/>
                    <a:ln w="9525">
                      <a:noFill/>
                      <a:miter lim="800000"/>
                      <a:headEnd/>
                      <a:tailEnd/>
                    </a:ln>
                  </pic:spPr>
                </pic:pic>
              </a:graphicData>
            </a:graphic>
          </wp:inline>
        </w:drawing>
      </w:r>
    </w:p>
    <w:p w:rsidR="00B834FD" w:rsidRPr="00660DE2" w:rsidRDefault="00B834FD" w:rsidP="00660DE2">
      <w:pPr>
        <w:ind w:right="77"/>
        <w:jc w:val="both"/>
        <w:rPr>
          <w:rFonts w:ascii="Arial" w:hAnsi="Arial" w:cs="Arial"/>
          <w:sz w:val="16"/>
          <w:szCs w:val="16"/>
        </w:rPr>
      </w:pPr>
      <w:r w:rsidRPr="00660DE2">
        <w:rPr>
          <w:rFonts w:ascii="Arial" w:hAnsi="Arial" w:cs="Arial"/>
          <w:sz w:val="16"/>
          <w:szCs w:val="16"/>
        </w:rPr>
        <w:t>Kaynak : TÜİK, Betam. Çeyreklik göstergeler mevsim ve takvim etkisinden arındırılmıştır.</w:t>
      </w:r>
    </w:p>
    <w:p w:rsidR="00B834FD" w:rsidRPr="00DD51D1" w:rsidRDefault="00B834FD" w:rsidP="00DD51D1">
      <w:pPr>
        <w:spacing w:line="360" w:lineRule="auto"/>
        <w:ind w:right="77"/>
        <w:jc w:val="both"/>
        <w:rPr>
          <w:rFonts w:ascii="Arial" w:hAnsi="Arial" w:cs="Arial"/>
          <w:b/>
          <w:bCs/>
          <w:sz w:val="20"/>
          <w:szCs w:val="20"/>
        </w:rPr>
      </w:pPr>
    </w:p>
    <w:p w:rsidR="00B834FD" w:rsidRPr="00DD51D1" w:rsidRDefault="00B834FD" w:rsidP="002548F5">
      <w:pPr>
        <w:ind w:right="77"/>
        <w:jc w:val="both"/>
        <w:rPr>
          <w:rFonts w:ascii="Arial" w:hAnsi="Arial" w:cs="Arial"/>
          <w:b/>
          <w:bCs/>
          <w:sz w:val="20"/>
          <w:szCs w:val="20"/>
        </w:rPr>
      </w:pPr>
      <w:r w:rsidRPr="00DD51D1">
        <w:rPr>
          <w:rFonts w:ascii="Arial" w:hAnsi="Arial" w:cs="Arial"/>
          <w:b/>
          <w:bCs/>
          <w:sz w:val="20"/>
          <w:szCs w:val="20"/>
        </w:rPr>
        <w:t>Şekil 2: GSYH alt kalemlerinin</w:t>
      </w:r>
      <w:r>
        <w:rPr>
          <w:rFonts w:ascii="Arial" w:hAnsi="Arial" w:cs="Arial"/>
          <w:b/>
          <w:bCs/>
          <w:sz w:val="20"/>
          <w:szCs w:val="20"/>
        </w:rPr>
        <w:t xml:space="preserve"> 2012 4. çeyrekten 2013 1. çeyreğe</w:t>
      </w:r>
      <w:r w:rsidRPr="00DD51D1">
        <w:rPr>
          <w:rFonts w:ascii="Arial" w:hAnsi="Arial" w:cs="Arial"/>
          <w:b/>
          <w:bCs/>
          <w:sz w:val="20"/>
          <w:szCs w:val="20"/>
        </w:rPr>
        <w:t xml:space="preserve"> GSYH büyümesine katkıları</w:t>
      </w:r>
    </w:p>
    <w:p w:rsidR="00B834FD" w:rsidRDefault="005A7A25" w:rsidP="001C5776">
      <w:pPr>
        <w:ind w:right="77"/>
        <w:jc w:val="both"/>
      </w:pPr>
      <w:r>
        <w:rPr>
          <w:noProof/>
          <w:lang w:val="en-US" w:eastAsia="en-US"/>
        </w:rPr>
        <w:drawing>
          <wp:inline distT="0" distB="0" distL="0" distR="0">
            <wp:extent cx="2997835" cy="20834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997835" cy="2083435"/>
                    </a:xfrm>
                    <a:prstGeom prst="rect">
                      <a:avLst/>
                    </a:prstGeom>
                    <a:noFill/>
                    <a:ln w="9525">
                      <a:noFill/>
                      <a:miter lim="800000"/>
                      <a:headEnd/>
                      <a:tailEnd/>
                    </a:ln>
                  </pic:spPr>
                </pic:pic>
              </a:graphicData>
            </a:graphic>
          </wp:inline>
        </w:drawing>
      </w:r>
    </w:p>
    <w:p w:rsidR="00B834FD" w:rsidRPr="00660DE2" w:rsidRDefault="00B834FD" w:rsidP="00660DE2">
      <w:pPr>
        <w:ind w:right="77"/>
        <w:jc w:val="both"/>
        <w:rPr>
          <w:rFonts w:ascii="Arial" w:hAnsi="Arial" w:cs="Arial"/>
          <w:sz w:val="16"/>
          <w:szCs w:val="16"/>
        </w:rPr>
      </w:pPr>
      <w:r w:rsidRPr="00660DE2">
        <w:rPr>
          <w:rFonts w:ascii="Arial" w:hAnsi="Arial" w:cs="Arial"/>
          <w:sz w:val="16"/>
          <w:szCs w:val="16"/>
        </w:rPr>
        <w:t>Kaynak : TÜİK, Betam. Çeyreklik göstergeler mevsim ve takvim etkisinden arındırılmıştır.</w:t>
      </w:r>
    </w:p>
    <w:p w:rsidR="00B834FD" w:rsidRDefault="00B834FD" w:rsidP="00A7746C">
      <w:pPr>
        <w:pStyle w:val="NormalWeb"/>
        <w:spacing w:before="0" w:beforeAutospacing="0" w:after="0" w:afterAutospacing="0" w:line="360" w:lineRule="auto"/>
        <w:ind w:right="77"/>
        <w:rPr>
          <w:rFonts w:ascii="Arial" w:hAnsi="Arial" w:cs="Arial"/>
          <w:b/>
          <w:bCs/>
          <w:sz w:val="20"/>
          <w:szCs w:val="20"/>
        </w:rPr>
      </w:pPr>
    </w:p>
    <w:p w:rsidR="00B834FD" w:rsidRDefault="00B834FD" w:rsidP="004E3889">
      <w:pPr>
        <w:pStyle w:val="NormalWeb"/>
        <w:spacing w:before="0" w:beforeAutospacing="0" w:after="0" w:afterAutospacing="0" w:line="360" w:lineRule="auto"/>
        <w:ind w:right="77"/>
        <w:jc w:val="center"/>
        <w:rPr>
          <w:rFonts w:ascii="Arial" w:hAnsi="Arial" w:cs="Arial"/>
          <w:b/>
          <w:bCs/>
          <w:sz w:val="20"/>
          <w:szCs w:val="20"/>
        </w:rPr>
      </w:pPr>
    </w:p>
    <w:p w:rsidR="00B834FD" w:rsidRDefault="00B834FD" w:rsidP="004E3889">
      <w:pPr>
        <w:pStyle w:val="NormalWeb"/>
        <w:spacing w:before="0" w:beforeAutospacing="0" w:after="0" w:afterAutospacing="0" w:line="360" w:lineRule="auto"/>
        <w:ind w:right="77"/>
        <w:jc w:val="center"/>
        <w:rPr>
          <w:rFonts w:ascii="Arial" w:hAnsi="Arial" w:cs="Arial"/>
          <w:b/>
          <w:bCs/>
          <w:sz w:val="20"/>
          <w:szCs w:val="20"/>
        </w:rPr>
      </w:pPr>
    </w:p>
    <w:p w:rsidR="00B834FD" w:rsidRPr="00DD51D1" w:rsidRDefault="00B834FD" w:rsidP="00FA1EEF">
      <w:pPr>
        <w:pStyle w:val="NormalWeb"/>
        <w:spacing w:before="0" w:beforeAutospacing="0" w:after="0" w:afterAutospacing="0" w:line="360" w:lineRule="auto"/>
        <w:ind w:right="77"/>
        <w:jc w:val="center"/>
        <w:rPr>
          <w:rFonts w:ascii="Arial" w:hAnsi="Arial" w:cs="Arial"/>
          <w:b/>
          <w:bCs/>
          <w:sz w:val="20"/>
          <w:szCs w:val="20"/>
        </w:rPr>
      </w:pPr>
      <w:r>
        <w:rPr>
          <w:rFonts w:ascii="Arial" w:hAnsi="Arial" w:cs="Arial"/>
          <w:b/>
          <w:bCs/>
          <w:sz w:val="20"/>
          <w:szCs w:val="20"/>
        </w:rPr>
        <w:lastRenderedPageBreak/>
        <w:t>Büyümeyi tüketim sırtladı</w:t>
      </w:r>
    </w:p>
    <w:p w:rsidR="00B834FD" w:rsidRPr="00DD51D1" w:rsidRDefault="00B834FD" w:rsidP="00FA1EEF">
      <w:pPr>
        <w:pStyle w:val="NormalWeb"/>
        <w:spacing w:before="0" w:beforeAutospacing="0" w:after="0" w:afterAutospacing="0" w:line="360" w:lineRule="auto"/>
        <w:jc w:val="both"/>
        <w:rPr>
          <w:rFonts w:ascii="Arial" w:hAnsi="Arial" w:cs="Arial"/>
          <w:sz w:val="20"/>
          <w:szCs w:val="20"/>
        </w:rPr>
      </w:pPr>
      <w:r w:rsidRPr="00DD51D1">
        <w:rPr>
          <w:rFonts w:ascii="Arial" w:hAnsi="Arial" w:cs="Arial"/>
          <w:sz w:val="20"/>
          <w:szCs w:val="20"/>
        </w:rPr>
        <w:t xml:space="preserve">Betam, GSYH’nın alt kalemlerinin büyümeye katkılarını çeyrekten çeyreğe hesaplayabilmek için alt kalemleri ayrı ayrı mevsim ve takvim etkisinden arındırıyor. Buna göre her bir kalemin </w:t>
      </w:r>
      <w:r>
        <w:rPr>
          <w:rFonts w:ascii="Arial" w:hAnsi="Arial" w:cs="Arial"/>
          <w:sz w:val="20"/>
          <w:szCs w:val="20"/>
        </w:rPr>
        <w:t>1. ç</w:t>
      </w:r>
      <w:r w:rsidRPr="00DD51D1">
        <w:rPr>
          <w:rFonts w:ascii="Arial" w:hAnsi="Arial" w:cs="Arial"/>
          <w:sz w:val="20"/>
          <w:szCs w:val="20"/>
        </w:rPr>
        <w:t>eyrekte bir önceki çeyreğe göre değişimi ve büyümeye katkısı Şekil 1 ve Şekil 2’de gösterilmekte.</w:t>
      </w:r>
    </w:p>
    <w:p w:rsidR="00B834FD" w:rsidRPr="00DD51D1" w:rsidRDefault="00B834FD" w:rsidP="00FA1EEF">
      <w:pPr>
        <w:pStyle w:val="NormalWeb"/>
        <w:spacing w:before="0" w:beforeAutospacing="0" w:after="0" w:afterAutospacing="0" w:line="360" w:lineRule="auto"/>
        <w:jc w:val="both"/>
        <w:rPr>
          <w:rFonts w:ascii="Arial" w:hAnsi="Arial" w:cs="Arial"/>
          <w:sz w:val="20"/>
          <w:szCs w:val="20"/>
        </w:rPr>
      </w:pPr>
    </w:p>
    <w:p w:rsidR="00B834FD" w:rsidRDefault="00B834FD" w:rsidP="00FA1EEF">
      <w:pPr>
        <w:pStyle w:val="NormalWeb"/>
        <w:spacing w:before="0" w:beforeAutospacing="0" w:after="0" w:afterAutospacing="0" w:line="360" w:lineRule="auto"/>
        <w:ind w:right="77"/>
        <w:jc w:val="both"/>
        <w:rPr>
          <w:rFonts w:ascii="Arial" w:hAnsi="Arial" w:cs="Arial"/>
          <w:sz w:val="20"/>
          <w:szCs w:val="20"/>
        </w:rPr>
      </w:pPr>
      <w:r>
        <w:rPr>
          <w:rFonts w:ascii="Arial" w:hAnsi="Arial" w:cs="Arial"/>
          <w:sz w:val="20"/>
          <w:szCs w:val="20"/>
        </w:rPr>
        <w:t>2013</w:t>
      </w:r>
      <w:r w:rsidRPr="00DD51D1">
        <w:rPr>
          <w:rFonts w:ascii="Arial" w:hAnsi="Arial" w:cs="Arial"/>
          <w:sz w:val="20"/>
          <w:szCs w:val="20"/>
        </w:rPr>
        <w:t xml:space="preserve"> </w:t>
      </w:r>
      <w:r>
        <w:rPr>
          <w:rFonts w:ascii="Arial" w:hAnsi="Arial" w:cs="Arial"/>
          <w:sz w:val="20"/>
          <w:szCs w:val="20"/>
        </w:rPr>
        <w:t>birinci</w:t>
      </w:r>
      <w:r w:rsidRPr="00DD51D1">
        <w:rPr>
          <w:rFonts w:ascii="Arial" w:hAnsi="Arial" w:cs="Arial"/>
          <w:sz w:val="20"/>
          <w:szCs w:val="20"/>
        </w:rPr>
        <w:t xml:space="preserve"> çeyrekte </w:t>
      </w:r>
      <w:r>
        <w:rPr>
          <w:rFonts w:ascii="Arial" w:hAnsi="Arial" w:cs="Arial"/>
          <w:sz w:val="20"/>
          <w:szCs w:val="20"/>
        </w:rPr>
        <w:t xml:space="preserve">en büyük artış tüketimde gerçekleşti. Betam’ın hesaplamalarına göre bir mevsim ve takvim etkilerinden arındırılmış tüketim önceki çeyreğe göre yüzde 2,8 oranında arttı ve büyümeye 1,8 yüzde puan katkı yaptı. Tüketim harcamaları geçtiğimiz yıl azalarak büyümeyi daraltıcı yönde etkilemişti. Geçtiğimiz çeyreklerde stok değişimi genel olarak azalma eğilimi gösterirken 2013 ilk çeyreğinde stoklar büyümeye 0,8 yüzde puan katkı yaptı. Tüketimdeki canlanmanın böylece üretime de yansımaya başladığı anlaşılıyor.  </w:t>
      </w:r>
    </w:p>
    <w:p w:rsidR="00B834FD" w:rsidRDefault="00B834FD" w:rsidP="00FA1EEF">
      <w:pPr>
        <w:pStyle w:val="NormalWeb"/>
        <w:spacing w:before="0" w:beforeAutospacing="0" w:after="0" w:afterAutospacing="0" w:line="360" w:lineRule="auto"/>
        <w:ind w:right="77"/>
        <w:jc w:val="both"/>
        <w:rPr>
          <w:rFonts w:ascii="Arial" w:hAnsi="Arial" w:cs="Arial"/>
          <w:sz w:val="20"/>
          <w:szCs w:val="20"/>
        </w:rPr>
      </w:pPr>
    </w:p>
    <w:p w:rsidR="00B834FD" w:rsidRPr="00DD51D1" w:rsidRDefault="00B834FD" w:rsidP="00FA1EEF">
      <w:pPr>
        <w:pStyle w:val="NormalWeb"/>
        <w:spacing w:before="0" w:beforeAutospacing="0" w:after="0" w:afterAutospacing="0" w:line="360" w:lineRule="auto"/>
        <w:ind w:right="77"/>
        <w:jc w:val="center"/>
        <w:rPr>
          <w:rFonts w:ascii="Arial" w:hAnsi="Arial" w:cs="Arial"/>
          <w:b/>
          <w:bCs/>
          <w:sz w:val="20"/>
          <w:szCs w:val="20"/>
        </w:rPr>
      </w:pPr>
      <w:r>
        <w:rPr>
          <w:rFonts w:ascii="Arial" w:hAnsi="Arial" w:cs="Arial"/>
          <w:b/>
          <w:bCs/>
          <w:sz w:val="20"/>
          <w:szCs w:val="20"/>
        </w:rPr>
        <w:t>Özel yatırım zayıf</w:t>
      </w:r>
    </w:p>
    <w:p w:rsidR="00B834FD" w:rsidRDefault="00B834FD" w:rsidP="00FA1EEF">
      <w:pPr>
        <w:pStyle w:val="NormalWeb"/>
        <w:spacing w:before="0" w:beforeAutospacing="0" w:after="0" w:afterAutospacing="0" w:line="360" w:lineRule="auto"/>
        <w:ind w:right="77"/>
        <w:jc w:val="both"/>
        <w:rPr>
          <w:rFonts w:ascii="Arial" w:hAnsi="Arial" w:cs="Arial"/>
          <w:sz w:val="20"/>
          <w:szCs w:val="20"/>
        </w:rPr>
      </w:pPr>
      <w:r>
        <w:rPr>
          <w:rFonts w:ascii="Arial" w:hAnsi="Arial" w:cs="Arial"/>
          <w:sz w:val="20"/>
          <w:szCs w:val="20"/>
        </w:rPr>
        <w:t xml:space="preserve">Tüketim ve stoklardaki artışlara rağmen yatırımlar 2013’te iyi bir başlangıç yapmadı. Özel kesim yatırımları 2012’nin dördüncü çeyreğine kıyasla yalnızca yüzde 0,7 oranında arttı ve büyümeye 0,1 yüzde puan katkı yaptı. Genişletici para politikası ile kriz öncesi seviyelerine yaklaşan faizler, ilk çeyrekte tüketim harcamalarını cesaretlendirirken, yatırım harcamalarını fazla etkilememiş görünüyor. Artan tüketimin yatırım yapma iştahını da artırması ve ikinci çeyrekte özel kesim yatırım harcamalarında daha yüksek artışlar görülmesi mümkün. </w:t>
      </w:r>
    </w:p>
    <w:p w:rsidR="00B834FD" w:rsidRDefault="00B834FD" w:rsidP="00FA1EEF">
      <w:pPr>
        <w:pStyle w:val="NormalWeb"/>
        <w:spacing w:before="0" w:beforeAutospacing="0" w:after="0" w:afterAutospacing="0" w:line="360" w:lineRule="auto"/>
        <w:ind w:right="77"/>
        <w:jc w:val="both"/>
        <w:rPr>
          <w:rFonts w:ascii="Arial" w:hAnsi="Arial" w:cs="Arial"/>
          <w:b/>
          <w:bCs/>
          <w:sz w:val="20"/>
          <w:szCs w:val="20"/>
        </w:rPr>
      </w:pPr>
    </w:p>
    <w:p w:rsidR="00B834FD" w:rsidRPr="00DD51D1" w:rsidRDefault="00B834FD" w:rsidP="00FA1EEF">
      <w:pPr>
        <w:pStyle w:val="NormalWeb"/>
        <w:spacing w:before="0" w:beforeAutospacing="0" w:after="0" w:afterAutospacing="0" w:line="360" w:lineRule="auto"/>
        <w:ind w:right="77"/>
        <w:jc w:val="center"/>
        <w:rPr>
          <w:rFonts w:ascii="Arial" w:hAnsi="Arial" w:cs="Arial"/>
          <w:b/>
          <w:bCs/>
          <w:sz w:val="20"/>
          <w:szCs w:val="20"/>
        </w:rPr>
      </w:pPr>
      <w:r>
        <w:rPr>
          <w:rFonts w:ascii="Arial" w:hAnsi="Arial" w:cs="Arial"/>
          <w:b/>
          <w:bCs/>
          <w:sz w:val="20"/>
          <w:szCs w:val="20"/>
        </w:rPr>
        <w:t>Net ihracat katkısı negatif</w:t>
      </w:r>
    </w:p>
    <w:p w:rsidR="00B834FD" w:rsidRDefault="00B834FD" w:rsidP="00FA1EEF">
      <w:pPr>
        <w:pStyle w:val="NormalWeb"/>
        <w:spacing w:before="0" w:beforeAutospacing="0" w:after="0" w:afterAutospacing="0" w:line="360" w:lineRule="auto"/>
        <w:ind w:right="77"/>
        <w:jc w:val="both"/>
        <w:rPr>
          <w:rFonts w:ascii="Arial" w:hAnsi="Arial" w:cs="Arial"/>
          <w:sz w:val="20"/>
          <w:szCs w:val="20"/>
        </w:rPr>
      </w:pPr>
      <w:r w:rsidRPr="009B5D1C">
        <w:rPr>
          <w:rFonts w:ascii="Arial" w:hAnsi="Arial" w:cs="Arial"/>
          <w:sz w:val="20"/>
          <w:szCs w:val="20"/>
        </w:rPr>
        <w:t xml:space="preserve">İç talebin </w:t>
      </w:r>
      <w:r>
        <w:rPr>
          <w:rFonts w:ascii="Arial" w:hAnsi="Arial" w:cs="Arial"/>
          <w:sz w:val="20"/>
          <w:szCs w:val="20"/>
        </w:rPr>
        <w:t xml:space="preserve">artmasıyla ithalat ilk çeyrekte geçen çeyreğe kıyasla yüzde 9 oranında arttı. İhracat ise küresel krizin etkisinin devam ediyor olması sonucu dış talebin sınırlı kalmasıyla yüzde 2,3 oranında azaldı. İthalat büyümeye negatif yönde 2,4 yüzde puan, ihracat ise yine negatif yönde 0,6 yüzde puan </w:t>
      </w:r>
      <w:r>
        <w:rPr>
          <w:rFonts w:ascii="Arial" w:hAnsi="Arial" w:cs="Arial"/>
          <w:sz w:val="20"/>
          <w:szCs w:val="20"/>
        </w:rPr>
        <w:lastRenderedPageBreak/>
        <w:t>katkı yaptı. Böylece toplamda net ihracat büyümeden 3 yüzde puan çıkartmış oldu.</w:t>
      </w:r>
    </w:p>
    <w:p w:rsidR="00B834FD" w:rsidRPr="009B5D1C" w:rsidRDefault="00B834FD" w:rsidP="00FA1EEF">
      <w:pPr>
        <w:pStyle w:val="NormalWeb"/>
        <w:spacing w:before="0" w:beforeAutospacing="0" w:after="0" w:afterAutospacing="0" w:line="360" w:lineRule="auto"/>
        <w:ind w:right="77"/>
        <w:jc w:val="both"/>
        <w:rPr>
          <w:rFonts w:ascii="Arial" w:hAnsi="Arial" w:cs="Arial"/>
          <w:sz w:val="20"/>
          <w:szCs w:val="20"/>
        </w:rPr>
      </w:pPr>
    </w:p>
    <w:p w:rsidR="00B834FD" w:rsidRPr="00DD51D1" w:rsidRDefault="00B834FD" w:rsidP="00FA1EEF">
      <w:pPr>
        <w:pStyle w:val="NormalWeb"/>
        <w:spacing w:before="0" w:beforeAutospacing="0" w:after="0" w:afterAutospacing="0" w:line="360" w:lineRule="auto"/>
        <w:ind w:right="77"/>
        <w:jc w:val="center"/>
        <w:rPr>
          <w:rFonts w:ascii="Arial" w:hAnsi="Arial" w:cs="Arial"/>
          <w:b/>
          <w:bCs/>
          <w:sz w:val="20"/>
          <w:szCs w:val="20"/>
        </w:rPr>
      </w:pPr>
      <w:r w:rsidRPr="00DD51D1">
        <w:rPr>
          <w:rFonts w:ascii="Arial" w:hAnsi="Arial" w:cs="Arial"/>
          <w:b/>
          <w:bCs/>
          <w:sz w:val="20"/>
          <w:szCs w:val="20"/>
        </w:rPr>
        <w:t>Ka</w:t>
      </w:r>
      <w:r>
        <w:rPr>
          <w:rFonts w:ascii="Arial" w:hAnsi="Arial" w:cs="Arial"/>
          <w:b/>
          <w:bCs/>
          <w:sz w:val="20"/>
          <w:szCs w:val="20"/>
        </w:rPr>
        <w:t>mu harcamalarında büyümeye önemli destek</w:t>
      </w:r>
    </w:p>
    <w:p w:rsidR="00B834FD" w:rsidRDefault="00B834FD" w:rsidP="00FA1EEF">
      <w:pPr>
        <w:pStyle w:val="NormalWeb"/>
        <w:spacing w:before="0" w:beforeAutospacing="0" w:after="0" w:afterAutospacing="0" w:line="360" w:lineRule="auto"/>
        <w:ind w:right="77"/>
        <w:jc w:val="both"/>
        <w:rPr>
          <w:rFonts w:ascii="Arial" w:hAnsi="Arial" w:cs="Arial"/>
          <w:sz w:val="20"/>
          <w:szCs w:val="20"/>
        </w:rPr>
      </w:pPr>
      <w:r>
        <w:rPr>
          <w:rFonts w:ascii="Arial" w:hAnsi="Arial" w:cs="Arial"/>
          <w:sz w:val="20"/>
          <w:szCs w:val="20"/>
        </w:rPr>
        <w:t>Birinci çeyrekte kamu harcamaları geçen yılın son çeyreğine göre yüzde 6,6 oranında artarak büyümeye 1 yüzde puan katkıda bulundu. Uzun zamandır bütçe hedefini tutturmak amacıyla sıkı tutulan harcamaların ekonomideki yavaşlama da göz önünde bulundurularak artırıldığı anlaşılıyor. Son üç yılda kamu harcamaları büyümeye çeyrekten çeyreğe ortalama 0,3 yüzde puan katkı yapmıştı. Buna kıyasla 2012’nin son çeyreğinde 0,7 yüzde puan ve 2013 ilk çeyreğinde 1 yüzde puanlık katkılar oldukça yüksek. İlk çeyrekte kamu katkısının büyük kısmı ise yatırım harcamalarından, fakat özellikle inşaat yatırımlarından kaynaklandı.</w:t>
      </w:r>
      <w:r w:rsidR="00DB028A">
        <w:rPr>
          <w:rFonts w:ascii="Arial" w:hAnsi="Arial" w:cs="Arial"/>
          <w:sz w:val="20"/>
          <w:szCs w:val="20"/>
        </w:rPr>
        <w:t xml:space="preserve"> Kamunun inşaat harcamaları 1. çeyrekte büyümeye 1,4 yüzde puan katkı yaptı. Kamunun makine ve teçhizat harcamalarının katkısı negatif 0,5 yüzde puan olurken kamu tüketim harcamalarının katkısı ise 0,2 yüzde puan oldu.</w:t>
      </w:r>
    </w:p>
    <w:p w:rsidR="00B834FD" w:rsidRPr="00DD51D1" w:rsidRDefault="00B834FD" w:rsidP="00FA1EEF">
      <w:pPr>
        <w:pStyle w:val="NormalWeb"/>
        <w:spacing w:before="0" w:beforeAutospacing="0" w:after="0" w:afterAutospacing="0" w:line="360" w:lineRule="auto"/>
        <w:ind w:right="77"/>
        <w:jc w:val="both"/>
        <w:rPr>
          <w:rFonts w:ascii="Arial" w:hAnsi="Arial" w:cs="Arial"/>
          <w:sz w:val="20"/>
          <w:szCs w:val="20"/>
        </w:rPr>
      </w:pPr>
    </w:p>
    <w:p w:rsidR="00B834FD" w:rsidRDefault="00B834FD" w:rsidP="00FA1EEF">
      <w:pPr>
        <w:pStyle w:val="NormalWeb"/>
        <w:spacing w:before="0" w:beforeAutospacing="0" w:after="0" w:afterAutospacing="0" w:line="360" w:lineRule="auto"/>
        <w:ind w:right="77"/>
        <w:jc w:val="center"/>
        <w:rPr>
          <w:rFonts w:ascii="Arial" w:hAnsi="Arial" w:cs="Arial"/>
          <w:b/>
          <w:bCs/>
          <w:sz w:val="20"/>
          <w:szCs w:val="20"/>
        </w:rPr>
      </w:pPr>
      <w:r>
        <w:rPr>
          <w:rFonts w:ascii="Arial" w:hAnsi="Arial" w:cs="Arial"/>
          <w:b/>
          <w:bCs/>
          <w:sz w:val="20"/>
          <w:szCs w:val="20"/>
        </w:rPr>
        <w:t>Büyümenin geleceği</w:t>
      </w:r>
    </w:p>
    <w:p w:rsidR="00B834FD" w:rsidRDefault="00B834FD" w:rsidP="00FA1EEF">
      <w:pPr>
        <w:pStyle w:val="NormalWeb"/>
        <w:spacing w:before="0" w:beforeAutospacing="0" w:after="0" w:afterAutospacing="0" w:line="360" w:lineRule="auto"/>
        <w:jc w:val="both"/>
        <w:rPr>
          <w:rFonts w:ascii="Arial" w:hAnsi="Arial" w:cs="Arial"/>
          <w:sz w:val="20"/>
          <w:szCs w:val="20"/>
        </w:rPr>
      </w:pPr>
      <w:r>
        <w:rPr>
          <w:rFonts w:ascii="Arial" w:hAnsi="Arial" w:cs="Arial"/>
          <w:sz w:val="20"/>
          <w:szCs w:val="20"/>
        </w:rPr>
        <w:t>Geçtiğimiz sene iç talepteki sert fren ile yavaşlayan ekonomi 2013 ilk çeyreğinde yeniden iç talep ile hızlanmaya başladı. Büyümenin ana kaynağını tüketim ve kamu harcamaları oluşturdu. Yatırımlar zayıf kalırken, net ihracat artan iç talebin etkisi ve zayıf seyreden dış talep nedeniyle negatife döndü.</w:t>
      </w:r>
    </w:p>
    <w:p w:rsidR="00B834FD" w:rsidRDefault="00B834FD" w:rsidP="00FA1EEF">
      <w:pPr>
        <w:pStyle w:val="NormalWeb"/>
        <w:spacing w:before="0" w:beforeAutospacing="0" w:after="0" w:afterAutospacing="0" w:line="360" w:lineRule="auto"/>
        <w:jc w:val="both"/>
        <w:rPr>
          <w:rFonts w:ascii="Arial" w:hAnsi="Arial" w:cs="Arial"/>
          <w:sz w:val="20"/>
          <w:szCs w:val="20"/>
        </w:rPr>
      </w:pPr>
    </w:p>
    <w:p w:rsidR="00B834FD" w:rsidRDefault="00B834FD" w:rsidP="00FA1EEF">
      <w:pPr>
        <w:pStyle w:val="NormalWeb"/>
        <w:spacing w:before="0" w:beforeAutospacing="0" w:after="0" w:afterAutospacing="0" w:line="360" w:lineRule="auto"/>
        <w:jc w:val="both"/>
        <w:rPr>
          <w:rFonts w:ascii="Arial" w:hAnsi="Arial" w:cs="Arial"/>
          <w:sz w:val="20"/>
          <w:szCs w:val="20"/>
        </w:rPr>
      </w:pPr>
      <w:r>
        <w:rPr>
          <w:rFonts w:ascii="Arial" w:hAnsi="Arial" w:cs="Arial"/>
          <w:sz w:val="20"/>
          <w:szCs w:val="20"/>
        </w:rPr>
        <w:t xml:space="preserve">Türkiye’nin yıl sonunda hedeflenen yüzde 4’lük büyümeyi başarabilmesi için yatırımlarda canlanmanın şart olduğu, yatırım desteği olmadan yüzde 4’e ulaşmanın mümkün olmayacağı anlaşılıyor. Çünkü net ihracatın artan iç talep nedeniyle büyümeye yavaşlama döneminde olduğu gibi pozitif katkı yapması, özellikle mevcut dış talep koşullarında, mümkün değil. Türkiye için kredi not artırımının geldiği, parasal genişlemenin finansman </w:t>
      </w:r>
      <w:r>
        <w:rPr>
          <w:rFonts w:ascii="Arial" w:hAnsi="Arial" w:cs="Arial"/>
          <w:sz w:val="20"/>
          <w:szCs w:val="20"/>
        </w:rPr>
        <w:lastRenderedPageBreak/>
        <w:t xml:space="preserve">maliyetlerini oldukça düşürdüğü bu ortamda yatırımların artabilmesi için güven ortamı ve istikrar gerekiyor. </w:t>
      </w:r>
    </w:p>
    <w:p w:rsidR="00B834FD" w:rsidRDefault="00B834FD" w:rsidP="00B40C86">
      <w:pPr>
        <w:pStyle w:val="NormalWeb"/>
        <w:spacing w:before="0" w:beforeAutospacing="0" w:after="0" w:afterAutospacing="0" w:line="360" w:lineRule="auto"/>
        <w:jc w:val="both"/>
        <w:rPr>
          <w:rFonts w:ascii="Arial" w:hAnsi="Arial" w:cs="Arial"/>
          <w:sz w:val="20"/>
          <w:szCs w:val="20"/>
        </w:rPr>
      </w:pPr>
    </w:p>
    <w:p w:rsidR="00B834FD" w:rsidRDefault="00B834FD" w:rsidP="00572866">
      <w:pPr>
        <w:spacing w:line="288" w:lineRule="auto"/>
        <w:ind w:right="77"/>
        <w:jc w:val="both"/>
        <w:rPr>
          <w:rFonts w:ascii="Arial" w:hAnsi="Arial" w:cs="Arial"/>
          <w:sz w:val="20"/>
          <w:szCs w:val="20"/>
        </w:rPr>
      </w:pPr>
    </w:p>
    <w:p w:rsidR="00B834FD" w:rsidRPr="00712EDE" w:rsidRDefault="00B834FD" w:rsidP="00572866">
      <w:pPr>
        <w:spacing w:line="288" w:lineRule="auto"/>
        <w:ind w:right="77"/>
        <w:jc w:val="both"/>
        <w:rPr>
          <w:rFonts w:ascii="Arial" w:hAnsi="Arial" w:cs="Arial"/>
          <w:b/>
          <w:bCs/>
          <w:sz w:val="20"/>
          <w:szCs w:val="20"/>
        </w:rPr>
      </w:pPr>
      <w:r w:rsidRPr="00712EDE">
        <w:rPr>
          <w:rFonts w:ascii="Arial" w:hAnsi="Arial" w:cs="Arial"/>
          <w:b/>
          <w:bCs/>
          <w:sz w:val="20"/>
          <w:szCs w:val="20"/>
        </w:rPr>
        <w:t>Ş</w:t>
      </w:r>
      <w:r>
        <w:rPr>
          <w:rFonts w:ascii="Arial" w:hAnsi="Arial" w:cs="Arial"/>
          <w:b/>
          <w:bCs/>
          <w:sz w:val="20"/>
          <w:szCs w:val="20"/>
        </w:rPr>
        <w:t>ekil 3</w:t>
      </w:r>
      <w:r w:rsidRPr="00712EDE">
        <w:rPr>
          <w:rFonts w:ascii="Arial" w:hAnsi="Arial" w:cs="Arial"/>
          <w:b/>
          <w:bCs/>
          <w:sz w:val="20"/>
          <w:szCs w:val="20"/>
        </w:rPr>
        <w:t>:</w:t>
      </w:r>
      <w:r>
        <w:rPr>
          <w:rFonts w:ascii="Arial" w:hAnsi="Arial" w:cs="Arial"/>
          <w:b/>
          <w:bCs/>
          <w:sz w:val="20"/>
          <w:szCs w:val="20"/>
        </w:rPr>
        <w:t xml:space="preserve"> </w:t>
      </w:r>
      <w:r w:rsidRPr="00712EDE">
        <w:rPr>
          <w:rFonts w:ascii="Arial" w:hAnsi="Arial" w:cs="Arial"/>
          <w:b/>
          <w:bCs/>
          <w:sz w:val="20"/>
          <w:szCs w:val="20"/>
        </w:rPr>
        <w:t>GSYH</w:t>
      </w:r>
      <w:r>
        <w:rPr>
          <w:rFonts w:ascii="Arial" w:hAnsi="Arial" w:cs="Arial"/>
          <w:b/>
          <w:bCs/>
          <w:sz w:val="20"/>
          <w:szCs w:val="20"/>
        </w:rPr>
        <w:t xml:space="preserve">, </w:t>
      </w:r>
      <w:r w:rsidRPr="00712EDE">
        <w:rPr>
          <w:rFonts w:ascii="Arial" w:hAnsi="Arial" w:cs="Arial"/>
          <w:b/>
          <w:bCs/>
          <w:sz w:val="20"/>
          <w:szCs w:val="20"/>
        </w:rPr>
        <w:t>Önceki çeyreğe göre büyüme</w:t>
      </w:r>
      <w:r>
        <w:rPr>
          <w:rFonts w:ascii="Arial" w:hAnsi="Arial" w:cs="Arial"/>
          <w:b/>
          <w:bCs/>
          <w:sz w:val="20"/>
          <w:szCs w:val="20"/>
        </w:rPr>
        <w:t xml:space="preserve"> </w:t>
      </w:r>
      <w:r w:rsidRPr="00712EDE">
        <w:rPr>
          <w:rFonts w:ascii="Arial" w:hAnsi="Arial" w:cs="Arial"/>
          <w:b/>
          <w:bCs/>
          <w:sz w:val="20"/>
          <w:szCs w:val="20"/>
        </w:rPr>
        <w:t>(TÜİK)</w:t>
      </w:r>
    </w:p>
    <w:p w:rsidR="00B834FD" w:rsidRDefault="005A7A25" w:rsidP="00572866">
      <w:pPr>
        <w:pStyle w:val="NormalWeb"/>
        <w:spacing w:before="0" w:beforeAutospacing="0" w:after="0" w:afterAutospacing="0"/>
        <w:jc w:val="both"/>
      </w:pPr>
      <w:r>
        <w:rPr>
          <w:noProof/>
          <w:lang w:val="en-US" w:eastAsia="en-US"/>
        </w:rPr>
        <w:drawing>
          <wp:inline distT="0" distB="0" distL="0" distR="0">
            <wp:extent cx="2989580" cy="1837055"/>
            <wp:effectExtent l="1905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989580" cy="1837055"/>
                    </a:xfrm>
                    <a:prstGeom prst="rect">
                      <a:avLst/>
                    </a:prstGeom>
                    <a:noFill/>
                    <a:ln w="9525">
                      <a:noFill/>
                      <a:miter lim="800000"/>
                      <a:headEnd/>
                      <a:tailEnd/>
                    </a:ln>
                  </pic:spPr>
                </pic:pic>
              </a:graphicData>
            </a:graphic>
          </wp:inline>
        </w:drawing>
      </w:r>
    </w:p>
    <w:p w:rsidR="00B834FD" w:rsidRDefault="00B834FD" w:rsidP="00572866">
      <w:pPr>
        <w:pStyle w:val="NormalWeb"/>
        <w:spacing w:before="0" w:beforeAutospacing="0" w:after="0" w:afterAutospacing="0"/>
        <w:jc w:val="both"/>
        <w:rPr>
          <w:rFonts w:ascii="Arial" w:hAnsi="Arial" w:cs="Arial"/>
          <w:sz w:val="20"/>
          <w:szCs w:val="20"/>
        </w:rPr>
      </w:pPr>
      <w:r w:rsidRPr="00660DE2">
        <w:rPr>
          <w:rFonts w:ascii="Arial" w:hAnsi="Arial" w:cs="Arial"/>
          <w:sz w:val="16"/>
          <w:szCs w:val="16"/>
        </w:rPr>
        <w:t>Kaynak : TÜİK, Betam.</w:t>
      </w:r>
    </w:p>
    <w:p w:rsidR="00DB028A" w:rsidRDefault="00DB028A" w:rsidP="00D561EE">
      <w:pPr>
        <w:pStyle w:val="NormalWeb"/>
        <w:spacing w:before="0" w:beforeAutospacing="0" w:after="0" w:afterAutospacing="0"/>
        <w:ind w:right="77"/>
        <w:jc w:val="both"/>
        <w:rPr>
          <w:rFonts w:ascii="Arial" w:hAnsi="Arial" w:cs="Arial"/>
          <w:b/>
          <w:bCs/>
          <w:sz w:val="20"/>
          <w:szCs w:val="20"/>
        </w:rPr>
      </w:pPr>
    </w:p>
    <w:p w:rsidR="00B834FD" w:rsidRDefault="00B834FD" w:rsidP="00D561EE">
      <w:pPr>
        <w:pStyle w:val="NormalWeb"/>
        <w:spacing w:before="0" w:beforeAutospacing="0" w:after="0" w:afterAutospacing="0"/>
        <w:ind w:right="77"/>
        <w:jc w:val="both"/>
        <w:rPr>
          <w:b/>
          <w:bCs/>
          <w:sz w:val="22"/>
          <w:szCs w:val="22"/>
        </w:rPr>
      </w:pPr>
      <w:r>
        <w:rPr>
          <w:b/>
          <w:bCs/>
          <w:sz w:val="22"/>
          <w:szCs w:val="22"/>
        </w:rPr>
        <w:t xml:space="preserve">Tablo 1. 2012 4. çeyrekte ve 2013 1. çeyrekte GSYH altkalemlerinin, </w:t>
      </w:r>
      <w:r w:rsidRPr="00002CEE">
        <w:rPr>
          <w:b/>
          <w:bCs/>
          <w:sz w:val="22"/>
          <w:szCs w:val="22"/>
          <w:u w:val="single"/>
        </w:rPr>
        <w:t>bir önceki çeyreğe</w:t>
      </w:r>
      <w:r>
        <w:rPr>
          <w:b/>
          <w:bCs/>
          <w:sz w:val="22"/>
          <w:szCs w:val="22"/>
        </w:rPr>
        <w:t xml:space="preserve"> göre değişimleri ve büyümeye katkıları</w:t>
      </w:r>
    </w:p>
    <w:tbl>
      <w:tblPr>
        <w:tblW w:w="4680" w:type="dxa"/>
        <w:tblInd w:w="70" w:type="dxa"/>
        <w:tblLayout w:type="fixed"/>
        <w:tblCellMar>
          <w:left w:w="70" w:type="dxa"/>
          <w:right w:w="70" w:type="dxa"/>
        </w:tblCellMar>
        <w:tblLook w:val="0000"/>
      </w:tblPr>
      <w:tblGrid>
        <w:gridCol w:w="1980"/>
        <w:gridCol w:w="1350"/>
        <w:gridCol w:w="1350"/>
      </w:tblGrid>
      <w:tr w:rsidR="00B834FD" w:rsidTr="00DB028A">
        <w:trPr>
          <w:trHeight w:val="255"/>
        </w:trPr>
        <w:tc>
          <w:tcPr>
            <w:tcW w:w="1980" w:type="dxa"/>
            <w:tcBorders>
              <w:top w:val="single" w:sz="4" w:space="0" w:color="auto"/>
              <w:left w:val="single" w:sz="4" w:space="0" w:color="auto"/>
              <w:bottom w:val="single" w:sz="4" w:space="0" w:color="auto"/>
              <w:right w:val="single" w:sz="4" w:space="0" w:color="auto"/>
            </w:tcBorders>
            <w:noWrap/>
            <w:vAlign w:val="bottom"/>
          </w:tcPr>
          <w:p w:rsidR="00B834FD" w:rsidRDefault="00B834FD" w:rsidP="0089443A">
            <w:pPr>
              <w:rPr>
                <w:rFonts w:ascii="Arial TUR" w:hAnsi="Arial TUR" w:cs="Arial TUR"/>
                <w:b/>
                <w:bCs/>
                <w:sz w:val="20"/>
                <w:szCs w:val="20"/>
              </w:rPr>
            </w:pPr>
            <w:r>
              <w:rPr>
                <w:rFonts w:ascii="Arial TUR" w:hAnsi="Arial TUR" w:cs="Arial TUR"/>
                <w:b/>
                <w:bCs/>
                <w:sz w:val="20"/>
                <w:szCs w:val="20"/>
              </w:rPr>
              <w:t>2013 – 1. Ç</w:t>
            </w:r>
          </w:p>
        </w:tc>
        <w:tc>
          <w:tcPr>
            <w:tcW w:w="1350" w:type="dxa"/>
            <w:tcBorders>
              <w:top w:val="single" w:sz="4" w:space="0" w:color="auto"/>
              <w:left w:val="nil"/>
              <w:bottom w:val="single" w:sz="4" w:space="0" w:color="auto"/>
              <w:right w:val="single" w:sz="4" w:space="0" w:color="auto"/>
            </w:tcBorders>
            <w:noWrap/>
            <w:vAlign w:val="bottom"/>
          </w:tcPr>
          <w:p w:rsidR="00B834FD" w:rsidRDefault="00B834FD" w:rsidP="0089443A">
            <w:pPr>
              <w:jc w:val="center"/>
              <w:rPr>
                <w:rFonts w:ascii="Arial TUR" w:hAnsi="Arial TUR" w:cs="Arial TUR"/>
                <w:b/>
                <w:bCs/>
                <w:sz w:val="20"/>
                <w:szCs w:val="20"/>
              </w:rPr>
            </w:pPr>
            <w:r>
              <w:rPr>
                <w:rFonts w:ascii="Arial TUR" w:hAnsi="Arial TUR" w:cs="Arial TUR"/>
                <w:b/>
                <w:bCs/>
                <w:sz w:val="20"/>
                <w:szCs w:val="20"/>
              </w:rPr>
              <w:t>Degişim</w:t>
            </w:r>
          </w:p>
        </w:tc>
        <w:tc>
          <w:tcPr>
            <w:tcW w:w="1350" w:type="dxa"/>
            <w:tcBorders>
              <w:top w:val="single" w:sz="4" w:space="0" w:color="auto"/>
              <w:left w:val="nil"/>
              <w:bottom w:val="single" w:sz="4" w:space="0" w:color="auto"/>
              <w:right w:val="single" w:sz="4" w:space="0" w:color="auto"/>
            </w:tcBorders>
            <w:noWrap/>
            <w:vAlign w:val="bottom"/>
          </w:tcPr>
          <w:p w:rsidR="00B834FD" w:rsidRDefault="00B834FD" w:rsidP="0089443A">
            <w:pPr>
              <w:jc w:val="center"/>
              <w:rPr>
                <w:rFonts w:ascii="Arial TUR" w:hAnsi="Arial TUR" w:cs="Arial TUR"/>
                <w:b/>
                <w:bCs/>
                <w:sz w:val="20"/>
                <w:szCs w:val="20"/>
              </w:rPr>
            </w:pPr>
            <w:r>
              <w:rPr>
                <w:rFonts w:ascii="Arial TUR" w:hAnsi="Arial TUR" w:cs="Arial TUR"/>
                <w:b/>
                <w:bCs/>
                <w:sz w:val="20"/>
                <w:szCs w:val="20"/>
              </w:rPr>
              <w:t>Katkılar</w:t>
            </w:r>
          </w:p>
        </w:tc>
      </w:tr>
      <w:tr w:rsidR="00B834FD"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B834FD" w:rsidRDefault="00B834FD" w:rsidP="0089443A">
            <w:pPr>
              <w:rPr>
                <w:rFonts w:ascii="Arial TUR" w:hAnsi="Arial TUR" w:cs="Arial TUR"/>
                <w:b/>
                <w:bCs/>
                <w:sz w:val="20"/>
                <w:szCs w:val="20"/>
              </w:rPr>
            </w:pPr>
            <w:r>
              <w:rPr>
                <w:rFonts w:ascii="Arial TUR" w:hAnsi="Arial TUR" w:cs="Arial TUR"/>
                <w:b/>
                <w:bCs/>
                <w:sz w:val="20"/>
                <w:szCs w:val="20"/>
              </w:rPr>
              <w:t>Tüketim</w:t>
            </w:r>
          </w:p>
        </w:tc>
        <w:tc>
          <w:tcPr>
            <w:tcW w:w="1350" w:type="dxa"/>
            <w:tcBorders>
              <w:top w:val="nil"/>
              <w:left w:val="nil"/>
              <w:bottom w:val="single" w:sz="4" w:space="0" w:color="auto"/>
              <w:right w:val="single" w:sz="4" w:space="0" w:color="auto"/>
            </w:tcBorders>
            <w:noWrap/>
            <w:vAlign w:val="bottom"/>
          </w:tcPr>
          <w:p w:rsidR="00B834FD" w:rsidRDefault="00B834FD" w:rsidP="0089443A">
            <w:pPr>
              <w:jc w:val="right"/>
              <w:rPr>
                <w:rFonts w:ascii="Arial" w:hAnsi="Arial" w:cs="Arial"/>
                <w:sz w:val="20"/>
                <w:szCs w:val="20"/>
              </w:rPr>
            </w:pPr>
            <w:r>
              <w:rPr>
                <w:rFonts w:ascii="Arial" w:hAnsi="Arial" w:cs="Arial"/>
                <w:sz w:val="20"/>
                <w:szCs w:val="20"/>
              </w:rPr>
              <w:t>2,8%</w:t>
            </w:r>
          </w:p>
        </w:tc>
        <w:tc>
          <w:tcPr>
            <w:tcW w:w="1350" w:type="dxa"/>
            <w:tcBorders>
              <w:top w:val="nil"/>
              <w:left w:val="nil"/>
              <w:bottom w:val="single" w:sz="4" w:space="0" w:color="auto"/>
              <w:right w:val="single" w:sz="4" w:space="0" w:color="auto"/>
            </w:tcBorders>
            <w:noWrap/>
            <w:vAlign w:val="bottom"/>
          </w:tcPr>
          <w:p w:rsidR="00B834FD" w:rsidRDefault="00B834FD" w:rsidP="0089443A">
            <w:pPr>
              <w:jc w:val="right"/>
              <w:rPr>
                <w:rFonts w:ascii="Arial" w:hAnsi="Arial" w:cs="Arial"/>
                <w:sz w:val="20"/>
                <w:szCs w:val="20"/>
              </w:rPr>
            </w:pPr>
            <w:r>
              <w:rPr>
                <w:rFonts w:ascii="Arial" w:hAnsi="Arial" w:cs="Arial"/>
                <w:sz w:val="20"/>
                <w:szCs w:val="20"/>
              </w:rPr>
              <w:t>1,8%</w:t>
            </w:r>
          </w:p>
        </w:tc>
      </w:tr>
      <w:tr w:rsidR="00B834FD"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B834FD" w:rsidRDefault="00B834FD" w:rsidP="0089443A">
            <w:pPr>
              <w:rPr>
                <w:rFonts w:ascii="Arial TUR" w:hAnsi="Arial TUR" w:cs="Arial TUR"/>
                <w:b/>
                <w:bCs/>
                <w:sz w:val="20"/>
                <w:szCs w:val="20"/>
              </w:rPr>
            </w:pPr>
            <w:r>
              <w:rPr>
                <w:rFonts w:ascii="Arial TUR" w:hAnsi="Arial TUR" w:cs="Arial TUR"/>
                <w:b/>
                <w:bCs/>
                <w:sz w:val="20"/>
                <w:szCs w:val="20"/>
              </w:rPr>
              <w:t>Özel Yatırım</w:t>
            </w:r>
          </w:p>
        </w:tc>
        <w:tc>
          <w:tcPr>
            <w:tcW w:w="1350" w:type="dxa"/>
            <w:tcBorders>
              <w:top w:val="nil"/>
              <w:left w:val="nil"/>
              <w:bottom w:val="single" w:sz="4" w:space="0" w:color="auto"/>
              <w:right w:val="single" w:sz="4" w:space="0" w:color="auto"/>
            </w:tcBorders>
            <w:noWrap/>
            <w:vAlign w:val="bottom"/>
          </w:tcPr>
          <w:p w:rsidR="00B834FD" w:rsidRDefault="00B834FD" w:rsidP="0089443A">
            <w:pPr>
              <w:jc w:val="right"/>
              <w:rPr>
                <w:rFonts w:ascii="Arial" w:hAnsi="Arial" w:cs="Arial"/>
                <w:sz w:val="20"/>
                <w:szCs w:val="20"/>
              </w:rPr>
            </w:pPr>
            <w:r>
              <w:rPr>
                <w:rFonts w:ascii="Arial" w:hAnsi="Arial" w:cs="Arial"/>
                <w:sz w:val="20"/>
                <w:szCs w:val="20"/>
              </w:rPr>
              <w:t>0,7%</w:t>
            </w:r>
          </w:p>
        </w:tc>
        <w:tc>
          <w:tcPr>
            <w:tcW w:w="1350" w:type="dxa"/>
            <w:tcBorders>
              <w:top w:val="nil"/>
              <w:left w:val="nil"/>
              <w:bottom w:val="single" w:sz="4" w:space="0" w:color="auto"/>
              <w:right w:val="single" w:sz="4" w:space="0" w:color="auto"/>
            </w:tcBorders>
            <w:noWrap/>
            <w:vAlign w:val="bottom"/>
          </w:tcPr>
          <w:p w:rsidR="00B834FD" w:rsidRDefault="00B834FD" w:rsidP="0089443A">
            <w:pPr>
              <w:jc w:val="right"/>
              <w:rPr>
                <w:rFonts w:ascii="Arial" w:hAnsi="Arial" w:cs="Arial"/>
                <w:sz w:val="20"/>
                <w:szCs w:val="20"/>
              </w:rPr>
            </w:pPr>
            <w:r>
              <w:rPr>
                <w:rFonts w:ascii="Arial" w:hAnsi="Arial" w:cs="Arial"/>
                <w:sz w:val="20"/>
                <w:szCs w:val="20"/>
              </w:rPr>
              <w:t>0,1%</w:t>
            </w:r>
          </w:p>
        </w:tc>
      </w:tr>
      <w:tr w:rsidR="00B834FD"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B834FD" w:rsidRDefault="00B834FD" w:rsidP="0089443A">
            <w:pPr>
              <w:rPr>
                <w:rFonts w:ascii="Arial TUR" w:hAnsi="Arial TUR" w:cs="Arial TUR"/>
                <w:b/>
                <w:bCs/>
                <w:sz w:val="20"/>
                <w:szCs w:val="20"/>
              </w:rPr>
            </w:pPr>
            <w:r>
              <w:rPr>
                <w:rFonts w:ascii="Arial TUR" w:hAnsi="Arial TUR" w:cs="Arial TUR"/>
                <w:b/>
                <w:bCs/>
                <w:sz w:val="20"/>
                <w:szCs w:val="20"/>
              </w:rPr>
              <w:t>Kamu Harcamaları</w:t>
            </w:r>
          </w:p>
        </w:tc>
        <w:tc>
          <w:tcPr>
            <w:tcW w:w="1350" w:type="dxa"/>
            <w:tcBorders>
              <w:top w:val="nil"/>
              <w:left w:val="nil"/>
              <w:bottom w:val="single" w:sz="4" w:space="0" w:color="auto"/>
              <w:right w:val="single" w:sz="4" w:space="0" w:color="auto"/>
            </w:tcBorders>
            <w:noWrap/>
            <w:vAlign w:val="bottom"/>
          </w:tcPr>
          <w:p w:rsidR="00B834FD" w:rsidRDefault="00B834FD" w:rsidP="0089443A">
            <w:pPr>
              <w:jc w:val="right"/>
              <w:rPr>
                <w:rFonts w:ascii="Arial" w:hAnsi="Arial" w:cs="Arial"/>
                <w:sz w:val="20"/>
                <w:szCs w:val="20"/>
              </w:rPr>
            </w:pPr>
            <w:r>
              <w:rPr>
                <w:rFonts w:ascii="Arial" w:hAnsi="Arial" w:cs="Arial"/>
                <w:sz w:val="20"/>
                <w:szCs w:val="20"/>
              </w:rPr>
              <w:t>6,6%</w:t>
            </w:r>
          </w:p>
        </w:tc>
        <w:tc>
          <w:tcPr>
            <w:tcW w:w="1350" w:type="dxa"/>
            <w:tcBorders>
              <w:top w:val="nil"/>
              <w:left w:val="nil"/>
              <w:bottom w:val="single" w:sz="4" w:space="0" w:color="auto"/>
              <w:right w:val="single" w:sz="4" w:space="0" w:color="auto"/>
            </w:tcBorders>
            <w:noWrap/>
            <w:vAlign w:val="bottom"/>
          </w:tcPr>
          <w:p w:rsidR="00B834FD" w:rsidRDefault="00B834FD" w:rsidP="0089443A">
            <w:pPr>
              <w:jc w:val="right"/>
              <w:rPr>
                <w:rFonts w:ascii="Arial" w:hAnsi="Arial" w:cs="Arial"/>
                <w:sz w:val="20"/>
                <w:szCs w:val="20"/>
              </w:rPr>
            </w:pPr>
            <w:r>
              <w:rPr>
                <w:rFonts w:ascii="Arial" w:hAnsi="Arial" w:cs="Arial"/>
                <w:sz w:val="20"/>
                <w:szCs w:val="20"/>
              </w:rPr>
              <w:t>1,0%</w:t>
            </w:r>
          </w:p>
        </w:tc>
      </w:tr>
      <w:tr w:rsidR="00DB028A"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DB028A" w:rsidRPr="00DB028A" w:rsidRDefault="00DB028A" w:rsidP="0089443A">
            <w:pPr>
              <w:rPr>
                <w:rFonts w:ascii="Arial TUR" w:hAnsi="Arial TUR" w:cs="Arial TUR"/>
                <w:bCs/>
                <w:sz w:val="20"/>
                <w:szCs w:val="20"/>
              </w:rPr>
            </w:pPr>
            <w:r>
              <w:rPr>
                <w:rFonts w:ascii="Arial TUR" w:hAnsi="Arial TUR" w:cs="Arial TUR"/>
                <w:bCs/>
                <w:sz w:val="20"/>
                <w:szCs w:val="20"/>
              </w:rPr>
              <w:t xml:space="preserve">  </w:t>
            </w:r>
            <w:r w:rsidRPr="00DB028A">
              <w:rPr>
                <w:rFonts w:ascii="Arial TUR" w:hAnsi="Arial TUR" w:cs="Arial TUR"/>
                <w:bCs/>
                <w:sz w:val="20"/>
                <w:szCs w:val="20"/>
              </w:rPr>
              <w:t>Tüketim</w:t>
            </w:r>
          </w:p>
        </w:tc>
        <w:tc>
          <w:tcPr>
            <w:tcW w:w="1350" w:type="dxa"/>
            <w:tcBorders>
              <w:top w:val="nil"/>
              <w:left w:val="nil"/>
              <w:bottom w:val="single" w:sz="4" w:space="0" w:color="auto"/>
              <w:right w:val="single" w:sz="4" w:space="0" w:color="auto"/>
            </w:tcBorders>
            <w:noWrap/>
            <w:vAlign w:val="bottom"/>
          </w:tcPr>
          <w:p w:rsidR="00DB028A" w:rsidRDefault="00B44918" w:rsidP="0089443A">
            <w:pPr>
              <w:jc w:val="right"/>
              <w:rPr>
                <w:rFonts w:ascii="Arial" w:hAnsi="Arial" w:cs="Arial"/>
                <w:sz w:val="20"/>
                <w:szCs w:val="20"/>
              </w:rPr>
            </w:pPr>
            <w:r>
              <w:rPr>
                <w:rFonts w:ascii="Arial" w:hAnsi="Arial" w:cs="Arial"/>
                <w:sz w:val="20"/>
                <w:szCs w:val="20"/>
              </w:rPr>
              <w:t>1,6%</w:t>
            </w:r>
          </w:p>
        </w:tc>
        <w:tc>
          <w:tcPr>
            <w:tcW w:w="1350" w:type="dxa"/>
            <w:tcBorders>
              <w:top w:val="nil"/>
              <w:left w:val="nil"/>
              <w:bottom w:val="single" w:sz="4" w:space="0" w:color="auto"/>
              <w:right w:val="single" w:sz="4" w:space="0" w:color="auto"/>
            </w:tcBorders>
            <w:noWrap/>
            <w:vAlign w:val="bottom"/>
          </w:tcPr>
          <w:p w:rsidR="00DB028A" w:rsidRDefault="00DB028A" w:rsidP="0089443A">
            <w:pPr>
              <w:jc w:val="right"/>
              <w:rPr>
                <w:rFonts w:ascii="Arial" w:hAnsi="Arial" w:cs="Arial"/>
                <w:sz w:val="20"/>
                <w:szCs w:val="20"/>
              </w:rPr>
            </w:pPr>
            <w:r>
              <w:rPr>
                <w:rFonts w:ascii="Arial" w:hAnsi="Arial" w:cs="Arial"/>
                <w:sz w:val="20"/>
                <w:szCs w:val="20"/>
              </w:rPr>
              <w:t>0,2%</w:t>
            </w:r>
          </w:p>
        </w:tc>
      </w:tr>
      <w:tr w:rsidR="00DB028A"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DB028A" w:rsidRPr="00DB028A" w:rsidRDefault="00DB028A" w:rsidP="0089443A">
            <w:pPr>
              <w:rPr>
                <w:rFonts w:ascii="Arial TUR" w:hAnsi="Arial TUR" w:cs="Arial TUR"/>
                <w:bCs/>
                <w:sz w:val="20"/>
                <w:szCs w:val="20"/>
              </w:rPr>
            </w:pPr>
            <w:r>
              <w:rPr>
                <w:rFonts w:ascii="Arial TUR" w:hAnsi="Arial TUR" w:cs="Arial TUR"/>
                <w:bCs/>
                <w:sz w:val="20"/>
                <w:szCs w:val="20"/>
              </w:rPr>
              <w:t xml:space="preserve">  </w:t>
            </w:r>
            <w:r w:rsidRPr="00DB028A">
              <w:rPr>
                <w:rFonts w:ascii="Arial TUR" w:hAnsi="Arial TUR" w:cs="Arial TUR"/>
                <w:bCs/>
                <w:sz w:val="20"/>
                <w:szCs w:val="20"/>
              </w:rPr>
              <w:t>Makine ve Teçhizat</w:t>
            </w:r>
          </w:p>
        </w:tc>
        <w:tc>
          <w:tcPr>
            <w:tcW w:w="1350" w:type="dxa"/>
            <w:tcBorders>
              <w:top w:val="nil"/>
              <w:left w:val="nil"/>
              <w:bottom w:val="single" w:sz="4" w:space="0" w:color="auto"/>
              <w:right w:val="single" w:sz="4" w:space="0" w:color="auto"/>
            </w:tcBorders>
            <w:noWrap/>
            <w:vAlign w:val="bottom"/>
          </w:tcPr>
          <w:p w:rsidR="00DB028A" w:rsidRDefault="00B44918" w:rsidP="0089443A">
            <w:pPr>
              <w:jc w:val="right"/>
              <w:rPr>
                <w:rFonts w:ascii="Arial" w:hAnsi="Arial" w:cs="Arial"/>
                <w:sz w:val="20"/>
                <w:szCs w:val="20"/>
              </w:rPr>
            </w:pPr>
            <w:r>
              <w:rPr>
                <w:rFonts w:ascii="Arial" w:hAnsi="Arial" w:cs="Arial"/>
                <w:sz w:val="20"/>
                <w:szCs w:val="20"/>
              </w:rPr>
              <w:t>-37,1%</w:t>
            </w:r>
          </w:p>
        </w:tc>
        <w:tc>
          <w:tcPr>
            <w:tcW w:w="1350" w:type="dxa"/>
            <w:tcBorders>
              <w:top w:val="nil"/>
              <w:left w:val="nil"/>
              <w:bottom w:val="single" w:sz="4" w:space="0" w:color="auto"/>
              <w:right w:val="single" w:sz="4" w:space="0" w:color="auto"/>
            </w:tcBorders>
            <w:noWrap/>
            <w:vAlign w:val="bottom"/>
          </w:tcPr>
          <w:p w:rsidR="00DB028A" w:rsidRDefault="00DB028A" w:rsidP="0089443A">
            <w:pPr>
              <w:jc w:val="right"/>
              <w:rPr>
                <w:rFonts w:ascii="Arial" w:hAnsi="Arial" w:cs="Arial"/>
                <w:sz w:val="20"/>
                <w:szCs w:val="20"/>
              </w:rPr>
            </w:pPr>
            <w:r>
              <w:rPr>
                <w:rFonts w:ascii="Arial" w:hAnsi="Arial" w:cs="Arial"/>
                <w:sz w:val="20"/>
                <w:szCs w:val="20"/>
              </w:rPr>
              <w:t>-0,5%</w:t>
            </w:r>
          </w:p>
        </w:tc>
      </w:tr>
      <w:tr w:rsidR="00DB028A"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DB028A" w:rsidRPr="00DB028A" w:rsidRDefault="00DB028A" w:rsidP="0089443A">
            <w:pPr>
              <w:rPr>
                <w:rFonts w:ascii="Arial TUR" w:hAnsi="Arial TUR" w:cs="Arial TUR"/>
                <w:bCs/>
                <w:sz w:val="20"/>
                <w:szCs w:val="20"/>
              </w:rPr>
            </w:pPr>
            <w:r>
              <w:rPr>
                <w:rFonts w:ascii="Arial TUR" w:hAnsi="Arial TUR" w:cs="Arial TUR"/>
                <w:bCs/>
                <w:sz w:val="20"/>
                <w:szCs w:val="20"/>
              </w:rPr>
              <w:t xml:space="preserve">  </w:t>
            </w:r>
            <w:r w:rsidRPr="00DB028A">
              <w:rPr>
                <w:rFonts w:ascii="Arial TUR" w:hAnsi="Arial TUR" w:cs="Arial TUR"/>
                <w:bCs/>
                <w:sz w:val="20"/>
                <w:szCs w:val="20"/>
              </w:rPr>
              <w:t>İnşaat</w:t>
            </w:r>
          </w:p>
        </w:tc>
        <w:tc>
          <w:tcPr>
            <w:tcW w:w="1350" w:type="dxa"/>
            <w:tcBorders>
              <w:top w:val="nil"/>
              <w:left w:val="nil"/>
              <w:bottom w:val="single" w:sz="4" w:space="0" w:color="auto"/>
              <w:right w:val="single" w:sz="4" w:space="0" w:color="auto"/>
            </w:tcBorders>
            <w:noWrap/>
            <w:vAlign w:val="bottom"/>
          </w:tcPr>
          <w:p w:rsidR="00DB028A" w:rsidRDefault="00B44918" w:rsidP="0089443A">
            <w:pPr>
              <w:jc w:val="right"/>
              <w:rPr>
                <w:rFonts w:ascii="Arial" w:hAnsi="Arial" w:cs="Arial"/>
                <w:sz w:val="20"/>
                <w:szCs w:val="20"/>
              </w:rPr>
            </w:pPr>
            <w:r>
              <w:rPr>
                <w:rFonts w:ascii="Arial" w:hAnsi="Arial" w:cs="Arial"/>
                <w:sz w:val="20"/>
                <w:szCs w:val="20"/>
              </w:rPr>
              <w:t>44,7%</w:t>
            </w:r>
          </w:p>
        </w:tc>
        <w:tc>
          <w:tcPr>
            <w:tcW w:w="1350" w:type="dxa"/>
            <w:tcBorders>
              <w:top w:val="nil"/>
              <w:left w:val="nil"/>
              <w:bottom w:val="single" w:sz="4" w:space="0" w:color="auto"/>
              <w:right w:val="single" w:sz="4" w:space="0" w:color="auto"/>
            </w:tcBorders>
            <w:noWrap/>
            <w:vAlign w:val="bottom"/>
          </w:tcPr>
          <w:p w:rsidR="00DB028A" w:rsidRDefault="00DB028A" w:rsidP="0089443A">
            <w:pPr>
              <w:jc w:val="right"/>
              <w:rPr>
                <w:rFonts w:ascii="Arial" w:hAnsi="Arial" w:cs="Arial"/>
                <w:sz w:val="20"/>
                <w:szCs w:val="20"/>
              </w:rPr>
            </w:pPr>
            <w:r>
              <w:rPr>
                <w:rFonts w:ascii="Arial" w:hAnsi="Arial" w:cs="Arial"/>
                <w:sz w:val="20"/>
                <w:szCs w:val="20"/>
              </w:rPr>
              <w:t>1,4%</w:t>
            </w:r>
          </w:p>
        </w:tc>
      </w:tr>
      <w:tr w:rsidR="00B834FD"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B834FD" w:rsidRDefault="00B834FD" w:rsidP="0089443A">
            <w:pPr>
              <w:rPr>
                <w:rFonts w:ascii="Arial TUR" w:hAnsi="Arial TUR" w:cs="Arial TUR"/>
                <w:b/>
                <w:bCs/>
                <w:sz w:val="20"/>
                <w:szCs w:val="20"/>
              </w:rPr>
            </w:pPr>
            <w:r>
              <w:rPr>
                <w:rFonts w:ascii="Arial TUR" w:hAnsi="Arial TUR" w:cs="Arial TUR"/>
                <w:b/>
                <w:bCs/>
                <w:sz w:val="20"/>
                <w:szCs w:val="20"/>
              </w:rPr>
              <w:t>Stok Değişimi</w:t>
            </w:r>
          </w:p>
        </w:tc>
        <w:tc>
          <w:tcPr>
            <w:tcW w:w="1350" w:type="dxa"/>
            <w:tcBorders>
              <w:top w:val="nil"/>
              <w:left w:val="nil"/>
              <w:bottom w:val="single" w:sz="4" w:space="0" w:color="auto"/>
              <w:right w:val="single" w:sz="4" w:space="0" w:color="auto"/>
            </w:tcBorders>
            <w:noWrap/>
            <w:vAlign w:val="bottom"/>
          </w:tcPr>
          <w:p w:rsidR="00B834FD" w:rsidRDefault="00B834FD" w:rsidP="0089443A">
            <w:pPr>
              <w:jc w:val="right"/>
              <w:rPr>
                <w:rFonts w:ascii="Arial" w:hAnsi="Arial" w:cs="Arial"/>
                <w:sz w:val="20"/>
                <w:szCs w:val="20"/>
              </w:rPr>
            </w:pPr>
            <w:r>
              <w:rPr>
                <w:rFonts w:ascii="Arial" w:hAnsi="Arial" w:cs="Arial"/>
                <w:sz w:val="20"/>
                <w:szCs w:val="20"/>
              </w:rPr>
              <w:t>----</w:t>
            </w:r>
          </w:p>
        </w:tc>
        <w:tc>
          <w:tcPr>
            <w:tcW w:w="1350" w:type="dxa"/>
            <w:tcBorders>
              <w:top w:val="nil"/>
              <w:left w:val="nil"/>
              <w:bottom w:val="single" w:sz="4" w:space="0" w:color="auto"/>
              <w:right w:val="single" w:sz="4" w:space="0" w:color="auto"/>
            </w:tcBorders>
            <w:noWrap/>
            <w:vAlign w:val="bottom"/>
          </w:tcPr>
          <w:p w:rsidR="00B834FD" w:rsidRDefault="00B834FD" w:rsidP="0089443A">
            <w:pPr>
              <w:jc w:val="right"/>
              <w:rPr>
                <w:rFonts w:ascii="Arial" w:hAnsi="Arial" w:cs="Arial"/>
                <w:sz w:val="20"/>
                <w:szCs w:val="20"/>
              </w:rPr>
            </w:pPr>
            <w:r>
              <w:rPr>
                <w:rFonts w:ascii="Arial" w:hAnsi="Arial" w:cs="Arial"/>
                <w:sz w:val="20"/>
                <w:szCs w:val="20"/>
              </w:rPr>
              <w:t>0,8%</w:t>
            </w:r>
          </w:p>
        </w:tc>
      </w:tr>
      <w:tr w:rsidR="00B834FD"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B834FD" w:rsidRDefault="00B834FD" w:rsidP="0089443A">
            <w:pPr>
              <w:rPr>
                <w:rFonts w:ascii="Arial TUR" w:hAnsi="Arial TUR" w:cs="Arial TUR"/>
                <w:b/>
                <w:bCs/>
                <w:sz w:val="20"/>
                <w:szCs w:val="20"/>
              </w:rPr>
            </w:pPr>
            <w:r>
              <w:rPr>
                <w:rFonts w:ascii="Arial TUR" w:hAnsi="Arial TUR" w:cs="Arial TUR"/>
                <w:b/>
                <w:bCs/>
                <w:sz w:val="20"/>
                <w:szCs w:val="20"/>
              </w:rPr>
              <w:t>İhracat</w:t>
            </w:r>
          </w:p>
        </w:tc>
        <w:tc>
          <w:tcPr>
            <w:tcW w:w="1350" w:type="dxa"/>
            <w:tcBorders>
              <w:top w:val="nil"/>
              <w:left w:val="nil"/>
              <w:bottom w:val="single" w:sz="4" w:space="0" w:color="auto"/>
              <w:right w:val="single" w:sz="4" w:space="0" w:color="auto"/>
            </w:tcBorders>
            <w:noWrap/>
            <w:vAlign w:val="bottom"/>
          </w:tcPr>
          <w:p w:rsidR="00B834FD" w:rsidRDefault="00B834FD" w:rsidP="0089443A">
            <w:pPr>
              <w:jc w:val="right"/>
              <w:rPr>
                <w:rFonts w:ascii="Arial" w:hAnsi="Arial" w:cs="Arial"/>
                <w:sz w:val="20"/>
                <w:szCs w:val="20"/>
              </w:rPr>
            </w:pPr>
            <w:r>
              <w:rPr>
                <w:rFonts w:ascii="Arial" w:hAnsi="Arial" w:cs="Arial"/>
                <w:sz w:val="20"/>
                <w:szCs w:val="20"/>
              </w:rPr>
              <w:t>-2,3%</w:t>
            </w:r>
          </w:p>
        </w:tc>
        <w:tc>
          <w:tcPr>
            <w:tcW w:w="1350" w:type="dxa"/>
            <w:tcBorders>
              <w:top w:val="nil"/>
              <w:left w:val="nil"/>
              <w:bottom w:val="single" w:sz="4" w:space="0" w:color="auto"/>
              <w:right w:val="single" w:sz="4" w:space="0" w:color="auto"/>
            </w:tcBorders>
            <w:noWrap/>
            <w:vAlign w:val="bottom"/>
          </w:tcPr>
          <w:p w:rsidR="00B834FD" w:rsidRDefault="00B834FD" w:rsidP="0089443A">
            <w:pPr>
              <w:jc w:val="right"/>
              <w:rPr>
                <w:rFonts w:ascii="Arial" w:hAnsi="Arial" w:cs="Arial"/>
                <w:sz w:val="20"/>
                <w:szCs w:val="20"/>
              </w:rPr>
            </w:pPr>
            <w:r>
              <w:rPr>
                <w:rFonts w:ascii="Arial" w:hAnsi="Arial" w:cs="Arial"/>
                <w:sz w:val="20"/>
                <w:szCs w:val="20"/>
              </w:rPr>
              <w:t>-0,6%</w:t>
            </w:r>
          </w:p>
        </w:tc>
      </w:tr>
      <w:tr w:rsidR="00B834FD"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B834FD" w:rsidRDefault="00B834FD" w:rsidP="0089443A">
            <w:pPr>
              <w:rPr>
                <w:rFonts w:ascii="Arial TUR" w:hAnsi="Arial TUR" w:cs="Arial TUR"/>
                <w:b/>
                <w:bCs/>
                <w:sz w:val="20"/>
                <w:szCs w:val="20"/>
              </w:rPr>
            </w:pPr>
            <w:r>
              <w:rPr>
                <w:rFonts w:ascii="Arial TUR" w:hAnsi="Arial TUR" w:cs="Arial TUR"/>
                <w:b/>
                <w:bCs/>
                <w:sz w:val="20"/>
                <w:szCs w:val="20"/>
              </w:rPr>
              <w:t>İthalat</w:t>
            </w:r>
          </w:p>
        </w:tc>
        <w:tc>
          <w:tcPr>
            <w:tcW w:w="1350" w:type="dxa"/>
            <w:tcBorders>
              <w:top w:val="nil"/>
              <w:left w:val="nil"/>
              <w:bottom w:val="single" w:sz="4" w:space="0" w:color="auto"/>
              <w:right w:val="single" w:sz="4" w:space="0" w:color="auto"/>
            </w:tcBorders>
            <w:noWrap/>
            <w:vAlign w:val="bottom"/>
          </w:tcPr>
          <w:p w:rsidR="00B834FD" w:rsidRDefault="00B834FD" w:rsidP="0089443A">
            <w:pPr>
              <w:jc w:val="right"/>
              <w:rPr>
                <w:rFonts w:ascii="Arial" w:hAnsi="Arial" w:cs="Arial"/>
                <w:sz w:val="20"/>
                <w:szCs w:val="20"/>
              </w:rPr>
            </w:pPr>
            <w:r>
              <w:rPr>
                <w:rFonts w:ascii="Arial" w:hAnsi="Arial" w:cs="Arial"/>
                <w:sz w:val="20"/>
                <w:szCs w:val="20"/>
              </w:rPr>
              <w:t>9,0%</w:t>
            </w:r>
          </w:p>
        </w:tc>
        <w:tc>
          <w:tcPr>
            <w:tcW w:w="1350" w:type="dxa"/>
            <w:tcBorders>
              <w:top w:val="nil"/>
              <w:left w:val="nil"/>
              <w:bottom w:val="single" w:sz="4" w:space="0" w:color="auto"/>
              <w:right w:val="single" w:sz="4" w:space="0" w:color="auto"/>
            </w:tcBorders>
            <w:noWrap/>
            <w:vAlign w:val="bottom"/>
          </w:tcPr>
          <w:p w:rsidR="00B834FD" w:rsidRDefault="00B834FD" w:rsidP="0089443A">
            <w:pPr>
              <w:jc w:val="right"/>
              <w:rPr>
                <w:rFonts w:ascii="Arial" w:hAnsi="Arial" w:cs="Arial"/>
                <w:sz w:val="20"/>
                <w:szCs w:val="20"/>
              </w:rPr>
            </w:pPr>
            <w:r>
              <w:rPr>
                <w:rFonts w:ascii="Arial" w:hAnsi="Arial" w:cs="Arial"/>
                <w:sz w:val="20"/>
                <w:szCs w:val="20"/>
              </w:rPr>
              <w:t>-2,4%</w:t>
            </w:r>
          </w:p>
        </w:tc>
      </w:tr>
      <w:tr w:rsidR="00B834FD"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B834FD" w:rsidRDefault="00B834FD" w:rsidP="0089443A">
            <w:pPr>
              <w:rPr>
                <w:rFonts w:ascii="Arial" w:hAnsi="Arial" w:cs="Arial"/>
                <w:sz w:val="20"/>
                <w:szCs w:val="20"/>
              </w:rPr>
            </w:pPr>
            <w:r>
              <w:rPr>
                <w:rFonts w:ascii="Arial" w:hAnsi="Arial" w:cs="Arial"/>
                <w:sz w:val="20"/>
                <w:szCs w:val="20"/>
              </w:rPr>
              <w:t> </w:t>
            </w:r>
          </w:p>
        </w:tc>
        <w:tc>
          <w:tcPr>
            <w:tcW w:w="1350" w:type="dxa"/>
            <w:tcBorders>
              <w:top w:val="nil"/>
              <w:left w:val="nil"/>
              <w:bottom w:val="single" w:sz="4" w:space="0" w:color="auto"/>
              <w:right w:val="single" w:sz="4" w:space="0" w:color="auto"/>
            </w:tcBorders>
            <w:noWrap/>
            <w:vAlign w:val="bottom"/>
          </w:tcPr>
          <w:p w:rsidR="00B834FD" w:rsidRDefault="00B834FD" w:rsidP="0089443A">
            <w:pPr>
              <w:rPr>
                <w:rFonts w:ascii="Arial" w:hAnsi="Arial" w:cs="Arial"/>
                <w:sz w:val="20"/>
                <w:szCs w:val="20"/>
              </w:rPr>
            </w:pPr>
            <w:r>
              <w:rPr>
                <w:rFonts w:ascii="Arial" w:hAnsi="Arial" w:cs="Arial"/>
                <w:sz w:val="20"/>
                <w:szCs w:val="20"/>
              </w:rPr>
              <w:t> </w:t>
            </w:r>
          </w:p>
        </w:tc>
        <w:tc>
          <w:tcPr>
            <w:tcW w:w="1350" w:type="dxa"/>
            <w:tcBorders>
              <w:top w:val="nil"/>
              <w:left w:val="nil"/>
              <w:bottom w:val="single" w:sz="4" w:space="0" w:color="auto"/>
              <w:right w:val="single" w:sz="4" w:space="0" w:color="auto"/>
            </w:tcBorders>
            <w:noWrap/>
            <w:vAlign w:val="bottom"/>
          </w:tcPr>
          <w:p w:rsidR="00B834FD" w:rsidRDefault="00B834FD" w:rsidP="0089443A">
            <w:pPr>
              <w:rPr>
                <w:rFonts w:ascii="Arial" w:hAnsi="Arial" w:cs="Arial"/>
                <w:sz w:val="20"/>
                <w:szCs w:val="20"/>
              </w:rPr>
            </w:pPr>
            <w:r>
              <w:rPr>
                <w:rFonts w:ascii="Arial" w:hAnsi="Arial" w:cs="Arial"/>
                <w:sz w:val="20"/>
                <w:szCs w:val="20"/>
              </w:rPr>
              <w:t> </w:t>
            </w:r>
          </w:p>
        </w:tc>
      </w:tr>
      <w:tr w:rsidR="00B834FD"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B834FD" w:rsidRDefault="00B834FD" w:rsidP="0089443A">
            <w:pPr>
              <w:rPr>
                <w:rFonts w:ascii="Arial TUR" w:hAnsi="Arial TUR" w:cs="Arial TUR"/>
                <w:b/>
                <w:bCs/>
                <w:sz w:val="20"/>
                <w:szCs w:val="20"/>
              </w:rPr>
            </w:pPr>
            <w:r>
              <w:rPr>
                <w:rFonts w:ascii="Arial TUR" w:hAnsi="Arial TUR" w:cs="Arial TUR"/>
                <w:b/>
                <w:bCs/>
                <w:sz w:val="20"/>
                <w:szCs w:val="20"/>
              </w:rPr>
              <w:t>2012 – 4. Ç</w:t>
            </w:r>
          </w:p>
        </w:tc>
        <w:tc>
          <w:tcPr>
            <w:tcW w:w="1350" w:type="dxa"/>
            <w:tcBorders>
              <w:top w:val="nil"/>
              <w:left w:val="nil"/>
              <w:bottom w:val="single" w:sz="4" w:space="0" w:color="auto"/>
              <w:right w:val="single" w:sz="4" w:space="0" w:color="auto"/>
            </w:tcBorders>
            <w:noWrap/>
            <w:vAlign w:val="bottom"/>
          </w:tcPr>
          <w:p w:rsidR="00B834FD" w:rsidRDefault="00B834FD" w:rsidP="0089443A">
            <w:pPr>
              <w:jc w:val="center"/>
              <w:rPr>
                <w:rFonts w:ascii="Arial TUR" w:hAnsi="Arial TUR" w:cs="Arial TUR"/>
                <w:b/>
                <w:bCs/>
                <w:sz w:val="20"/>
                <w:szCs w:val="20"/>
              </w:rPr>
            </w:pPr>
            <w:r>
              <w:rPr>
                <w:rFonts w:ascii="Arial TUR" w:hAnsi="Arial TUR" w:cs="Arial TUR"/>
                <w:b/>
                <w:bCs/>
                <w:sz w:val="20"/>
                <w:szCs w:val="20"/>
              </w:rPr>
              <w:t>Degişim</w:t>
            </w:r>
          </w:p>
        </w:tc>
        <w:tc>
          <w:tcPr>
            <w:tcW w:w="1350" w:type="dxa"/>
            <w:tcBorders>
              <w:top w:val="nil"/>
              <w:left w:val="nil"/>
              <w:bottom w:val="single" w:sz="4" w:space="0" w:color="auto"/>
              <w:right w:val="single" w:sz="4" w:space="0" w:color="auto"/>
            </w:tcBorders>
            <w:noWrap/>
            <w:vAlign w:val="bottom"/>
          </w:tcPr>
          <w:p w:rsidR="00B834FD" w:rsidRDefault="00B834FD" w:rsidP="0089443A">
            <w:pPr>
              <w:jc w:val="center"/>
              <w:rPr>
                <w:rFonts w:ascii="Arial TUR" w:hAnsi="Arial TUR" w:cs="Arial TUR"/>
                <w:b/>
                <w:bCs/>
                <w:sz w:val="20"/>
                <w:szCs w:val="20"/>
              </w:rPr>
            </w:pPr>
            <w:r>
              <w:rPr>
                <w:rFonts w:ascii="Arial TUR" w:hAnsi="Arial TUR" w:cs="Arial TUR"/>
                <w:b/>
                <w:bCs/>
                <w:sz w:val="20"/>
                <w:szCs w:val="20"/>
              </w:rPr>
              <w:t>Katkılar</w:t>
            </w:r>
          </w:p>
        </w:tc>
      </w:tr>
      <w:tr w:rsidR="00B834FD"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B834FD" w:rsidRDefault="00B834FD" w:rsidP="0089443A">
            <w:pPr>
              <w:rPr>
                <w:rFonts w:ascii="Arial TUR" w:hAnsi="Arial TUR" w:cs="Arial TUR"/>
                <w:b/>
                <w:bCs/>
                <w:sz w:val="20"/>
                <w:szCs w:val="20"/>
              </w:rPr>
            </w:pPr>
            <w:r>
              <w:rPr>
                <w:rFonts w:ascii="Arial TUR" w:hAnsi="Arial TUR" w:cs="Arial TUR"/>
                <w:b/>
                <w:bCs/>
                <w:sz w:val="20"/>
                <w:szCs w:val="20"/>
              </w:rPr>
              <w:t>Tüketim</w:t>
            </w:r>
          </w:p>
        </w:tc>
        <w:tc>
          <w:tcPr>
            <w:tcW w:w="1350" w:type="dxa"/>
            <w:tcBorders>
              <w:top w:val="nil"/>
              <w:left w:val="nil"/>
              <w:bottom w:val="single" w:sz="4" w:space="0" w:color="auto"/>
              <w:right w:val="single" w:sz="4" w:space="0" w:color="auto"/>
            </w:tcBorders>
            <w:noWrap/>
            <w:vAlign w:val="bottom"/>
          </w:tcPr>
          <w:p w:rsidR="00B834FD" w:rsidRDefault="00B834FD" w:rsidP="0089443A">
            <w:pPr>
              <w:jc w:val="right"/>
              <w:rPr>
                <w:rFonts w:ascii="Arial" w:hAnsi="Arial" w:cs="Arial"/>
                <w:sz w:val="20"/>
                <w:szCs w:val="20"/>
              </w:rPr>
            </w:pPr>
            <w:r>
              <w:rPr>
                <w:rFonts w:ascii="Arial" w:hAnsi="Arial" w:cs="Arial"/>
                <w:sz w:val="20"/>
                <w:szCs w:val="20"/>
              </w:rPr>
              <w:t>-0,6%</w:t>
            </w:r>
          </w:p>
        </w:tc>
        <w:tc>
          <w:tcPr>
            <w:tcW w:w="1350" w:type="dxa"/>
            <w:tcBorders>
              <w:top w:val="nil"/>
              <w:left w:val="nil"/>
              <w:bottom w:val="single" w:sz="4" w:space="0" w:color="auto"/>
              <w:right w:val="single" w:sz="4" w:space="0" w:color="auto"/>
            </w:tcBorders>
            <w:noWrap/>
            <w:vAlign w:val="bottom"/>
          </w:tcPr>
          <w:p w:rsidR="00B834FD" w:rsidRDefault="00B834FD" w:rsidP="0089443A">
            <w:pPr>
              <w:jc w:val="right"/>
              <w:rPr>
                <w:rFonts w:ascii="Arial" w:hAnsi="Arial" w:cs="Arial"/>
                <w:sz w:val="20"/>
                <w:szCs w:val="20"/>
              </w:rPr>
            </w:pPr>
            <w:r>
              <w:rPr>
                <w:rFonts w:ascii="Arial" w:hAnsi="Arial" w:cs="Arial"/>
                <w:sz w:val="20"/>
                <w:szCs w:val="20"/>
              </w:rPr>
              <w:t>-0,4%</w:t>
            </w:r>
          </w:p>
        </w:tc>
      </w:tr>
      <w:tr w:rsidR="00B834FD"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B834FD" w:rsidRDefault="00B834FD" w:rsidP="0089443A">
            <w:pPr>
              <w:rPr>
                <w:rFonts w:ascii="Arial TUR" w:hAnsi="Arial TUR" w:cs="Arial TUR"/>
                <w:b/>
                <w:bCs/>
                <w:sz w:val="20"/>
                <w:szCs w:val="20"/>
              </w:rPr>
            </w:pPr>
            <w:r>
              <w:rPr>
                <w:rFonts w:ascii="Arial TUR" w:hAnsi="Arial TUR" w:cs="Arial TUR"/>
                <w:b/>
                <w:bCs/>
                <w:sz w:val="20"/>
                <w:szCs w:val="20"/>
              </w:rPr>
              <w:t>Özel Yatırım</w:t>
            </w:r>
          </w:p>
        </w:tc>
        <w:tc>
          <w:tcPr>
            <w:tcW w:w="1350" w:type="dxa"/>
            <w:tcBorders>
              <w:top w:val="nil"/>
              <w:left w:val="nil"/>
              <w:bottom w:val="single" w:sz="4" w:space="0" w:color="auto"/>
              <w:right w:val="single" w:sz="4" w:space="0" w:color="auto"/>
            </w:tcBorders>
            <w:noWrap/>
            <w:vAlign w:val="bottom"/>
          </w:tcPr>
          <w:p w:rsidR="00B834FD" w:rsidRDefault="00B834FD" w:rsidP="0089443A">
            <w:pPr>
              <w:jc w:val="right"/>
              <w:rPr>
                <w:rFonts w:ascii="Arial" w:hAnsi="Arial" w:cs="Arial"/>
                <w:sz w:val="20"/>
                <w:szCs w:val="20"/>
              </w:rPr>
            </w:pPr>
            <w:r>
              <w:rPr>
                <w:rFonts w:ascii="Arial" w:hAnsi="Arial" w:cs="Arial"/>
                <w:sz w:val="20"/>
                <w:szCs w:val="20"/>
              </w:rPr>
              <w:t>-1,1%</w:t>
            </w:r>
          </w:p>
        </w:tc>
        <w:tc>
          <w:tcPr>
            <w:tcW w:w="1350" w:type="dxa"/>
            <w:tcBorders>
              <w:top w:val="nil"/>
              <w:left w:val="nil"/>
              <w:bottom w:val="single" w:sz="4" w:space="0" w:color="auto"/>
              <w:right w:val="single" w:sz="4" w:space="0" w:color="auto"/>
            </w:tcBorders>
            <w:noWrap/>
            <w:vAlign w:val="bottom"/>
          </w:tcPr>
          <w:p w:rsidR="00B834FD" w:rsidRDefault="00B834FD" w:rsidP="0089443A">
            <w:pPr>
              <w:jc w:val="right"/>
              <w:rPr>
                <w:rFonts w:ascii="Arial" w:hAnsi="Arial" w:cs="Arial"/>
                <w:sz w:val="20"/>
                <w:szCs w:val="20"/>
              </w:rPr>
            </w:pPr>
            <w:r>
              <w:rPr>
                <w:rFonts w:ascii="Arial" w:hAnsi="Arial" w:cs="Arial"/>
                <w:sz w:val="20"/>
                <w:szCs w:val="20"/>
              </w:rPr>
              <w:t>-0,2%</w:t>
            </w:r>
          </w:p>
        </w:tc>
      </w:tr>
      <w:tr w:rsidR="00B834FD"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B834FD" w:rsidRDefault="00B834FD" w:rsidP="0089443A">
            <w:pPr>
              <w:rPr>
                <w:rFonts w:ascii="Arial TUR" w:hAnsi="Arial TUR" w:cs="Arial TUR"/>
                <w:b/>
                <w:bCs/>
                <w:sz w:val="20"/>
                <w:szCs w:val="20"/>
              </w:rPr>
            </w:pPr>
            <w:r>
              <w:rPr>
                <w:rFonts w:ascii="Arial TUR" w:hAnsi="Arial TUR" w:cs="Arial TUR"/>
                <w:b/>
                <w:bCs/>
                <w:sz w:val="20"/>
                <w:szCs w:val="20"/>
              </w:rPr>
              <w:t>Kamu Harcamaları</w:t>
            </w:r>
          </w:p>
        </w:tc>
        <w:tc>
          <w:tcPr>
            <w:tcW w:w="1350" w:type="dxa"/>
            <w:tcBorders>
              <w:top w:val="nil"/>
              <w:left w:val="nil"/>
              <w:bottom w:val="single" w:sz="4" w:space="0" w:color="auto"/>
              <w:right w:val="single" w:sz="4" w:space="0" w:color="auto"/>
            </w:tcBorders>
            <w:noWrap/>
            <w:vAlign w:val="bottom"/>
          </w:tcPr>
          <w:p w:rsidR="00B834FD" w:rsidRDefault="00B834FD" w:rsidP="0089443A">
            <w:pPr>
              <w:jc w:val="right"/>
              <w:rPr>
                <w:rFonts w:ascii="Arial" w:hAnsi="Arial" w:cs="Arial"/>
                <w:sz w:val="20"/>
                <w:szCs w:val="20"/>
              </w:rPr>
            </w:pPr>
            <w:r>
              <w:rPr>
                <w:rFonts w:ascii="Arial" w:hAnsi="Arial" w:cs="Arial"/>
                <w:sz w:val="20"/>
                <w:szCs w:val="20"/>
              </w:rPr>
              <w:t>4,7%</w:t>
            </w:r>
          </w:p>
        </w:tc>
        <w:tc>
          <w:tcPr>
            <w:tcW w:w="1350" w:type="dxa"/>
            <w:tcBorders>
              <w:top w:val="nil"/>
              <w:left w:val="nil"/>
              <w:bottom w:val="single" w:sz="4" w:space="0" w:color="auto"/>
              <w:right w:val="single" w:sz="4" w:space="0" w:color="auto"/>
            </w:tcBorders>
            <w:noWrap/>
            <w:vAlign w:val="bottom"/>
          </w:tcPr>
          <w:p w:rsidR="00B834FD" w:rsidRDefault="00B834FD" w:rsidP="0089443A">
            <w:pPr>
              <w:jc w:val="right"/>
              <w:rPr>
                <w:rFonts w:ascii="Arial" w:hAnsi="Arial" w:cs="Arial"/>
                <w:sz w:val="20"/>
                <w:szCs w:val="20"/>
              </w:rPr>
            </w:pPr>
            <w:r>
              <w:rPr>
                <w:rFonts w:ascii="Arial" w:hAnsi="Arial" w:cs="Arial"/>
                <w:sz w:val="20"/>
                <w:szCs w:val="20"/>
              </w:rPr>
              <w:t>0,7%</w:t>
            </w:r>
          </w:p>
        </w:tc>
      </w:tr>
      <w:tr w:rsidR="00DB028A"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DB028A" w:rsidRPr="00DB028A" w:rsidRDefault="00DB028A" w:rsidP="007D751B">
            <w:pPr>
              <w:rPr>
                <w:rFonts w:ascii="Arial TUR" w:hAnsi="Arial TUR" w:cs="Arial TUR"/>
                <w:bCs/>
                <w:sz w:val="20"/>
                <w:szCs w:val="20"/>
              </w:rPr>
            </w:pPr>
            <w:r>
              <w:rPr>
                <w:rFonts w:ascii="Arial TUR" w:hAnsi="Arial TUR" w:cs="Arial TUR"/>
                <w:bCs/>
                <w:sz w:val="20"/>
                <w:szCs w:val="20"/>
              </w:rPr>
              <w:t xml:space="preserve">  </w:t>
            </w:r>
            <w:r w:rsidRPr="00DB028A">
              <w:rPr>
                <w:rFonts w:ascii="Arial TUR" w:hAnsi="Arial TUR" w:cs="Arial TUR"/>
                <w:bCs/>
                <w:sz w:val="20"/>
                <w:szCs w:val="20"/>
              </w:rPr>
              <w:t>Tüketim</w:t>
            </w:r>
          </w:p>
        </w:tc>
        <w:tc>
          <w:tcPr>
            <w:tcW w:w="1350" w:type="dxa"/>
            <w:tcBorders>
              <w:top w:val="nil"/>
              <w:left w:val="nil"/>
              <w:bottom w:val="single" w:sz="4" w:space="0" w:color="auto"/>
              <w:right w:val="single" w:sz="4" w:space="0" w:color="auto"/>
            </w:tcBorders>
            <w:noWrap/>
            <w:vAlign w:val="bottom"/>
          </w:tcPr>
          <w:p w:rsidR="00DB028A" w:rsidRDefault="00B44918" w:rsidP="0089443A">
            <w:pPr>
              <w:jc w:val="right"/>
              <w:rPr>
                <w:rFonts w:ascii="Arial" w:hAnsi="Arial" w:cs="Arial"/>
                <w:sz w:val="20"/>
                <w:szCs w:val="20"/>
              </w:rPr>
            </w:pPr>
            <w:r>
              <w:rPr>
                <w:rFonts w:ascii="Arial" w:hAnsi="Arial" w:cs="Arial"/>
                <w:sz w:val="20"/>
                <w:szCs w:val="20"/>
              </w:rPr>
              <w:t>0,4%</w:t>
            </w:r>
          </w:p>
        </w:tc>
        <w:tc>
          <w:tcPr>
            <w:tcW w:w="1350" w:type="dxa"/>
            <w:tcBorders>
              <w:top w:val="nil"/>
              <w:left w:val="nil"/>
              <w:bottom w:val="single" w:sz="4" w:space="0" w:color="auto"/>
              <w:right w:val="single" w:sz="4" w:space="0" w:color="auto"/>
            </w:tcBorders>
            <w:noWrap/>
            <w:vAlign w:val="bottom"/>
          </w:tcPr>
          <w:p w:rsidR="00DB028A" w:rsidRDefault="00DB028A" w:rsidP="0089443A">
            <w:pPr>
              <w:jc w:val="right"/>
              <w:rPr>
                <w:rFonts w:ascii="Arial" w:hAnsi="Arial" w:cs="Arial"/>
                <w:sz w:val="20"/>
                <w:szCs w:val="20"/>
              </w:rPr>
            </w:pPr>
            <w:r>
              <w:rPr>
                <w:rFonts w:ascii="Arial" w:hAnsi="Arial" w:cs="Arial"/>
                <w:sz w:val="20"/>
                <w:szCs w:val="20"/>
              </w:rPr>
              <w:t>0,0%</w:t>
            </w:r>
          </w:p>
        </w:tc>
      </w:tr>
      <w:tr w:rsidR="00DB028A"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DB028A" w:rsidRPr="00DB028A" w:rsidRDefault="00DB028A" w:rsidP="007D751B">
            <w:pPr>
              <w:rPr>
                <w:rFonts w:ascii="Arial TUR" w:hAnsi="Arial TUR" w:cs="Arial TUR"/>
                <w:bCs/>
                <w:sz w:val="20"/>
                <w:szCs w:val="20"/>
              </w:rPr>
            </w:pPr>
            <w:r>
              <w:rPr>
                <w:rFonts w:ascii="Arial TUR" w:hAnsi="Arial TUR" w:cs="Arial TUR"/>
                <w:bCs/>
                <w:sz w:val="20"/>
                <w:szCs w:val="20"/>
              </w:rPr>
              <w:t xml:space="preserve">  </w:t>
            </w:r>
            <w:r w:rsidRPr="00DB028A">
              <w:rPr>
                <w:rFonts w:ascii="Arial TUR" w:hAnsi="Arial TUR" w:cs="Arial TUR"/>
                <w:bCs/>
                <w:sz w:val="20"/>
                <w:szCs w:val="20"/>
              </w:rPr>
              <w:t>Makine ve Teçhizat</w:t>
            </w:r>
          </w:p>
        </w:tc>
        <w:tc>
          <w:tcPr>
            <w:tcW w:w="1350" w:type="dxa"/>
            <w:tcBorders>
              <w:top w:val="nil"/>
              <w:left w:val="nil"/>
              <w:bottom w:val="single" w:sz="4" w:space="0" w:color="auto"/>
              <w:right w:val="single" w:sz="4" w:space="0" w:color="auto"/>
            </w:tcBorders>
            <w:noWrap/>
            <w:vAlign w:val="bottom"/>
          </w:tcPr>
          <w:p w:rsidR="00DB028A" w:rsidRDefault="00B44918" w:rsidP="0089443A">
            <w:pPr>
              <w:jc w:val="right"/>
              <w:rPr>
                <w:rFonts w:ascii="Arial" w:hAnsi="Arial" w:cs="Arial"/>
                <w:sz w:val="20"/>
                <w:szCs w:val="20"/>
              </w:rPr>
            </w:pPr>
            <w:r>
              <w:rPr>
                <w:rFonts w:ascii="Arial" w:hAnsi="Arial" w:cs="Arial"/>
                <w:sz w:val="20"/>
                <w:szCs w:val="20"/>
              </w:rPr>
              <w:t>64,3%</w:t>
            </w:r>
          </w:p>
        </w:tc>
        <w:tc>
          <w:tcPr>
            <w:tcW w:w="1350" w:type="dxa"/>
            <w:tcBorders>
              <w:top w:val="nil"/>
              <w:left w:val="nil"/>
              <w:bottom w:val="single" w:sz="4" w:space="0" w:color="auto"/>
              <w:right w:val="single" w:sz="4" w:space="0" w:color="auto"/>
            </w:tcBorders>
            <w:noWrap/>
            <w:vAlign w:val="bottom"/>
          </w:tcPr>
          <w:p w:rsidR="00DB028A" w:rsidRDefault="00DB028A" w:rsidP="0089443A">
            <w:pPr>
              <w:jc w:val="right"/>
              <w:rPr>
                <w:rFonts w:ascii="Arial" w:hAnsi="Arial" w:cs="Arial"/>
                <w:sz w:val="20"/>
                <w:szCs w:val="20"/>
              </w:rPr>
            </w:pPr>
            <w:r>
              <w:rPr>
                <w:rFonts w:ascii="Arial" w:hAnsi="Arial" w:cs="Arial"/>
                <w:sz w:val="20"/>
                <w:szCs w:val="20"/>
              </w:rPr>
              <w:t>0,6%</w:t>
            </w:r>
          </w:p>
        </w:tc>
      </w:tr>
      <w:tr w:rsidR="00DB028A"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DB028A" w:rsidRPr="00DB028A" w:rsidRDefault="00DB028A" w:rsidP="007D751B">
            <w:pPr>
              <w:rPr>
                <w:rFonts w:ascii="Arial TUR" w:hAnsi="Arial TUR" w:cs="Arial TUR"/>
                <w:bCs/>
                <w:sz w:val="20"/>
                <w:szCs w:val="20"/>
              </w:rPr>
            </w:pPr>
            <w:r>
              <w:rPr>
                <w:rFonts w:ascii="Arial TUR" w:hAnsi="Arial TUR" w:cs="Arial TUR"/>
                <w:bCs/>
                <w:sz w:val="20"/>
                <w:szCs w:val="20"/>
              </w:rPr>
              <w:t xml:space="preserve">  </w:t>
            </w:r>
            <w:r w:rsidRPr="00DB028A">
              <w:rPr>
                <w:rFonts w:ascii="Arial TUR" w:hAnsi="Arial TUR" w:cs="Arial TUR"/>
                <w:bCs/>
                <w:sz w:val="20"/>
                <w:szCs w:val="20"/>
              </w:rPr>
              <w:t>İnşaat</w:t>
            </w:r>
          </w:p>
        </w:tc>
        <w:tc>
          <w:tcPr>
            <w:tcW w:w="1350" w:type="dxa"/>
            <w:tcBorders>
              <w:top w:val="nil"/>
              <w:left w:val="nil"/>
              <w:bottom w:val="single" w:sz="4" w:space="0" w:color="auto"/>
              <w:right w:val="single" w:sz="4" w:space="0" w:color="auto"/>
            </w:tcBorders>
            <w:noWrap/>
            <w:vAlign w:val="bottom"/>
          </w:tcPr>
          <w:p w:rsidR="00DB028A" w:rsidRDefault="00B44918" w:rsidP="0089443A">
            <w:pPr>
              <w:jc w:val="right"/>
              <w:rPr>
                <w:rFonts w:ascii="Arial" w:hAnsi="Arial" w:cs="Arial"/>
                <w:sz w:val="20"/>
                <w:szCs w:val="20"/>
              </w:rPr>
            </w:pPr>
            <w:r>
              <w:rPr>
                <w:rFonts w:ascii="Arial" w:hAnsi="Arial" w:cs="Arial"/>
                <w:sz w:val="20"/>
                <w:szCs w:val="20"/>
              </w:rPr>
              <w:t>2,6%</w:t>
            </w:r>
          </w:p>
        </w:tc>
        <w:tc>
          <w:tcPr>
            <w:tcW w:w="1350" w:type="dxa"/>
            <w:tcBorders>
              <w:top w:val="nil"/>
              <w:left w:val="nil"/>
              <w:bottom w:val="single" w:sz="4" w:space="0" w:color="auto"/>
              <w:right w:val="single" w:sz="4" w:space="0" w:color="auto"/>
            </w:tcBorders>
            <w:noWrap/>
            <w:vAlign w:val="bottom"/>
          </w:tcPr>
          <w:p w:rsidR="00DB028A" w:rsidRDefault="00DB028A" w:rsidP="0089443A">
            <w:pPr>
              <w:jc w:val="right"/>
              <w:rPr>
                <w:rFonts w:ascii="Arial" w:hAnsi="Arial" w:cs="Arial"/>
                <w:sz w:val="20"/>
                <w:szCs w:val="20"/>
              </w:rPr>
            </w:pPr>
            <w:r>
              <w:rPr>
                <w:rFonts w:ascii="Arial" w:hAnsi="Arial" w:cs="Arial"/>
                <w:sz w:val="20"/>
                <w:szCs w:val="20"/>
              </w:rPr>
              <w:t>0,1%</w:t>
            </w:r>
          </w:p>
        </w:tc>
      </w:tr>
      <w:tr w:rsidR="00DB028A"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DB028A" w:rsidRDefault="00DB028A" w:rsidP="0089443A">
            <w:pPr>
              <w:rPr>
                <w:rFonts w:ascii="Arial TUR" w:hAnsi="Arial TUR" w:cs="Arial TUR"/>
                <w:b/>
                <w:bCs/>
                <w:sz w:val="20"/>
                <w:szCs w:val="20"/>
              </w:rPr>
            </w:pPr>
            <w:r>
              <w:rPr>
                <w:rFonts w:ascii="Arial TUR" w:hAnsi="Arial TUR" w:cs="Arial TUR"/>
                <w:b/>
                <w:bCs/>
                <w:sz w:val="20"/>
                <w:szCs w:val="20"/>
              </w:rPr>
              <w:t>Stok Değişimi</w:t>
            </w:r>
          </w:p>
        </w:tc>
        <w:tc>
          <w:tcPr>
            <w:tcW w:w="1350" w:type="dxa"/>
            <w:tcBorders>
              <w:top w:val="nil"/>
              <w:left w:val="nil"/>
              <w:bottom w:val="single" w:sz="4" w:space="0" w:color="auto"/>
              <w:right w:val="single" w:sz="4" w:space="0" w:color="auto"/>
            </w:tcBorders>
            <w:noWrap/>
            <w:vAlign w:val="bottom"/>
          </w:tcPr>
          <w:p w:rsidR="00DB028A" w:rsidRDefault="00DB028A" w:rsidP="0089443A">
            <w:pPr>
              <w:jc w:val="right"/>
              <w:rPr>
                <w:rFonts w:ascii="Arial" w:hAnsi="Arial" w:cs="Arial"/>
                <w:sz w:val="20"/>
                <w:szCs w:val="20"/>
              </w:rPr>
            </w:pPr>
            <w:r>
              <w:rPr>
                <w:rFonts w:ascii="Arial" w:hAnsi="Arial" w:cs="Arial"/>
                <w:sz w:val="20"/>
                <w:szCs w:val="20"/>
              </w:rPr>
              <w:t>----</w:t>
            </w:r>
          </w:p>
        </w:tc>
        <w:tc>
          <w:tcPr>
            <w:tcW w:w="1350" w:type="dxa"/>
            <w:tcBorders>
              <w:top w:val="nil"/>
              <w:left w:val="nil"/>
              <w:bottom w:val="single" w:sz="4" w:space="0" w:color="auto"/>
              <w:right w:val="single" w:sz="4" w:space="0" w:color="auto"/>
            </w:tcBorders>
            <w:noWrap/>
            <w:vAlign w:val="bottom"/>
          </w:tcPr>
          <w:p w:rsidR="00DB028A" w:rsidRDefault="00DB028A" w:rsidP="0089443A">
            <w:pPr>
              <w:jc w:val="right"/>
              <w:rPr>
                <w:rFonts w:ascii="Arial" w:hAnsi="Arial" w:cs="Arial"/>
                <w:sz w:val="20"/>
                <w:szCs w:val="20"/>
              </w:rPr>
            </w:pPr>
            <w:r>
              <w:rPr>
                <w:rFonts w:ascii="Arial" w:hAnsi="Arial" w:cs="Arial"/>
                <w:sz w:val="20"/>
                <w:szCs w:val="20"/>
              </w:rPr>
              <w:t>-0,1%</w:t>
            </w:r>
          </w:p>
        </w:tc>
      </w:tr>
      <w:tr w:rsidR="00DB028A"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DB028A" w:rsidRDefault="00DB028A" w:rsidP="0089443A">
            <w:pPr>
              <w:rPr>
                <w:rFonts w:ascii="Arial TUR" w:hAnsi="Arial TUR" w:cs="Arial TUR"/>
                <w:b/>
                <w:bCs/>
                <w:sz w:val="20"/>
                <w:szCs w:val="20"/>
              </w:rPr>
            </w:pPr>
            <w:r>
              <w:rPr>
                <w:rFonts w:ascii="Arial TUR" w:hAnsi="Arial TUR" w:cs="Arial TUR"/>
                <w:b/>
                <w:bCs/>
                <w:sz w:val="20"/>
                <w:szCs w:val="20"/>
              </w:rPr>
              <w:t>İhracat</w:t>
            </w:r>
          </w:p>
        </w:tc>
        <w:tc>
          <w:tcPr>
            <w:tcW w:w="1350" w:type="dxa"/>
            <w:tcBorders>
              <w:top w:val="nil"/>
              <w:left w:val="nil"/>
              <w:bottom w:val="single" w:sz="4" w:space="0" w:color="auto"/>
              <w:right w:val="single" w:sz="4" w:space="0" w:color="auto"/>
            </w:tcBorders>
            <w:noWrap/>
            <w:vAlign w:val="bottom"/>
          </w:tcPr>
          <w:p w:rsidR="00DB028A" w:rsidRDefault="00DB028A" w:rsidP="0089443A">
            <w:pPr>
              <w:jc w:val="right"/>
              <w:rPr>
                <w:rFonts w:ascii="Arial" w:hAnsi="Arial" w:cs="Arial"/>
                <w:sz w:val="20"/>
                <w:szCs w:val="20"/>
              </w:rPr>
            </w:pPr>
            <w:r>
              <w:rPr>
                <w:rFonts w:ascii="Arial" w:hAnsi="Arial" w:cs="Arial"/>
                <w:sz w:val="20"/>
                <w:szCs w:val="20"/>
              </w:rPr>
              <w:t>-0,7%</w:t>
            </w:r>
          </w:p>
        </w:tc>
        <w:tc>
          <w:tcPr>
            <w:tcW w:w="1350" w:type="dxa"/>
            <w:tcBorders>
              <w:top w:val="nil"/>
              <w:left w:val="nil"/>
              <w:bottom w:val="single" w:sz="4" w:space="0" w:color="auto"/>
              <w:right w:val="single" w:sz="4" w:space="0" w:color="auto"/>
            </w:tcBorders>
            <w:noWrap/>
            <w:vAlign w:val="bottom"/>
          </w:tcPr>
          <w:p w:rsidR="00DB028A" w:rsidRDefault="00DB028A" w:rsidP="0089443A">
            <w:pPr>
              <w:jc w:val="right"/>
              <w:rPr>
                <w:rFonts w:ascii="Arial" w:hAnsi="Arial" w:cs="Arial"/>
                <w:sz w:val="20"/>
                <w:szCs w:val="20"/>
              </w:rPr>
            </w:pPr>
            <w:r>
              <w:rPr>
                <w:rFonts w:ascii="Arial" w:hAnsi="Arial" w:cs="Arial"/>
                <w:sz w:val="20"/>
                <w:szCs w:val="20"/>
              </w:rPr>
              <w:t>-0,2%</w:t>
            </w:r>
          </w:p>
        </w:tc>
      </w:tr>
      <w:tr w:rsidR="00DB028A"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DB028A" w:rsidRDefault="00DB028A" w:rsidP="0089443A">
            <w:pPr>
              <w:rPr>
                <w:rFonts w:ascii="Arial TUR" w:hAnsi="Arial TUR" w:cs="Arial TUR"/>
                <w:b/>
                <w:bCs/>
                <w:sz w:val="20"/>
                <w:szCs w:val="20"/>
              </w:rPr>
            </w:pPr>
            <w:r>
              <w:rPr>
                <w:rFonts w:ascii="Arial TUR" w:hAnsi="Arial TUR" w:cs="Arial TUR"/>
                <w:b/>
                <w:bCs/>
                <w:sz w:val="20"/>
                <w:szCs w:val="20"/>
              </w:rPr>
              <w:t>İthalat</w:t>
            </w:r>
          </w:p>
        </w:tc>
        <w:tc>
          <w:tcPr>
            <w:tcW w:w="1350" w:type="dxa"/>
            <w:tcBorders>
              <w:top w:val="nil"/>
              <w:left w:val="nil"/>
              <w:bottom w:val="single" w:sz="4" w:space="0" w:color="auto"/>
              <w:right w:val="single" w:sz="4" w:space="0" w:color="auto"/>
            </w:tcBorders>
            <w:noWrap/>
            <w:vAlign w:val="bottom"/>
          </w:tcPr>
          <w:p w:rsidR="00DB028A" w:rsidRDefault="00DB028A" w:rsidP="0089443A">
            <w:pPr>
              <w:jc w:val="right"/>
              <w:rPr>
                <w:rFonts w:ascii="Arial" w:hAnsi="Arial" w:cs="Arial"/>
                <w:sz w:val="20"/>
                <w:szCs w:val="20"/>
              </w:rPr>
            </w:pPr>
            <w:r>
              <w:rPr>
                <w:rFonts w:ascii="Arial" w:hAnsi="Arial" w:cs="Arial"/>
                <w:sz w:val="20"/>
                <w:szCs w:val="20"/>
              </w:rPr>
              <w:t>-4,0%</w:t>
            </w:r>
          </w:p>
        </w:tc>
        <w:tc>
          <w:tcPr>
            <w:tcW w:w="1350" w:type="dxa"/>
            <w:tcBorders>
              <w:top w:val="nil"/>
              <w:left w:val="nil"/>
              <w:bottom w:val="single" w:sz="4" w:space="0" w:color="auto"/>
              <w:right w:val="single" w:sz="4" w:space="0" w:color="auto"/>
            </w:tcBorders>
            <w:noWrap/>
            <w:vAlign w:val="bottom"/>
          </w:tcPr>
          <w:p w:rsidR="00DB028A" w:rsidRDefault="00DB028A" w:rsidP="0089443A">
            <w:pPr>
              <w:jc w:val="right"/>
              <w:rPr>
                <w:rFonts w:ascii="Arial" w:hAnsi="Arial" w:cs="Arial"/>
                <w:sz w:val="20"/>
                <w:szCs w:val="20"/>
              </w:rPr>
            </w:pPr>
            <w:r>
              <w:rPr>
                <w:rFonts w:ascii="Arial" w:hAnsi="Arial" w:cs="Arial"/>
                <w:sz w:val="20"/>
                <w:szCs w:val="20"/>
              </w:rPr>
              <w:t>1,1%</w:t>
            </w:r>
          </w:p>
        </w:tc>
      </w:tr>
    </w:tbl>
    <w:p w:rsidR="00B834FD" w:rsidRDefault="00B834FD" w:rsidP="00D561EE">
      <w:pPr>
        <w:pStyle w:val="NormalWeb"/>
        <w:spacing w:before="0" w:beforeAutospacing="0" w:after="0" w:afterAutospacing="0"/>
        <w:jc w:val="both"/>
        <w:rPr>
          <w:rFonts w:ascii="Arial" w:hAnsi="Arial" w:cs="Arial"/>
          <w:sz w:val="20"/>
          <w:szCs w:val="20"/>
        </w:rPr>
      </w:pPr>
      <w:r w:rsidRPr="00660DE2">
        <w:rPr>
          <w:rFonts w:ascii="Arial" w:hAnsi="Arial" w:cs="Arial"/>
          <w:sz w:val="16"/>
          <w:szCs w:val="16"/>
        </w:rPr>
        <w:t>Kaynak : TÜİK, Betam.</w:t>
      </w:r>
    </w:p>
    <w:p w:rsidR="00B834FD" w:rsidRDefault="00B834FD" w:rsidP="00A7746C">
      <w:pPr>
        <w:pStyle w:val="NormalWeb"/>
        <w:spacing w:before="0" w:beforeAutospacing="0" w:after="0" w:afterAutospacing="0"/>
        <w:ind w:right="77"/>
        <w:rPr>
          <w:b/>
          <w:bCs/>
          <w:sz w:val="22"/>
          <w:szCs w:val="22"/>
        </w:rPr>
      </w:pPr>
    </w:p>
    <w:p w:rsidR="00B834FD" w:rsidRDefault="00B834FD" w:rsidP="00A7746C">
      <w:pPr>
        <w:pStyle w:val="NormalWeb"/>
        <w:spacing w:before="0" w:beforeAutospacing="0" w:after="0" w:afterAutospacing="0"/>
        <w:ind w:right="77"/>
        <w:rPr>
          <w:b/>
          <w:bCs/>
          <w:sz w:val="22"/>
          <w:szCs w:val="22"/>
        </w:rPr>
      </w:pPr>
    </w:p>
    <w:p w:rsidR="00B834FD" w:rsidRDefault="00B834FD" w:rsidP="00A7746C">
      <w:pPr>
        <w:pStyle w:val="NormalWeb"/>
        <w:spacing w:before="0" w:beforeAutospacing="0" w:after="0" w:afterAutospacing="0"/>
        <w:ind w:right="77"/>
        <w:rPr>
          <w:b/>
          <w:bCs/>
          <w:sz w:val="22"/>
          <w:szCs w:val="22"/>
        </w:rPr>
      </w:pPr>
    </w:p>
    <w:p w:rsidR="00B834FD" w:rsidRDefault="00B834FD" w:rsidP="00A7746C">
      <w:pPr>
        <w:pStyle w:val="NormalWeb"/>
        <w:spacing w:before="0" w:beforeAutospacing="0" w:after="0" w:afterAutospacing="0"/>
        <w:ind w:right="77"/>
        <w:rPr>
          <w:b/>
          <w:bCs/>
          <w:sz w:val="22"/>
          <w:szCs w:val="22"/>
        </w:rPr>
      </w:pPr>
    </w:p>
    <w:p w:rsidR="00B834FD" w:rsidRDefault="00B834FD" w:rsidP="00A7746C">
      <w:pPr>
        <w:pStyle w:val="NormalWeb"/>
        <w:spacing w:before="0" w:beforeAutospacing="0" w:after="0" w:afterAutospacing="0"/>
        <w:ind w:right="77"/>
        <w:rPr>
          <w:b/>
          <w:bCs/>
          <w:sz w:val="22"/>
          <w:szCs w:val="22"/>
        </w:rPr>
      </w:pPr>
    </w:p>
    <w:p w:rsidR="00B834FD" w:rsidRDefault="00B834FD" w:rsidP="00A7746C">
      <w:pPr>
        <w:pStyle w:val="NormalWeb"/>
        <w:spacing w:before="0" w:beforeAutospacing="0" w:after="0" w:afterAutospacing="0"/>
        <w:ind w:right="77"/>
        <w:rPr>
          <w:b/>
          <w:bCs/>
          <w:sz w:val="22"/>
          <w:szCs w:val="22"/>
        </w:rPr>
      </w:pPr>
    </w:p>
    <w:p w:rsidR="00B834FD" w:rsidRDefault="00B834FD" w:rsidP="00A7746C">
      <w:pPr>
        <w:pStyle w:val="NormalWeb"/>
        <w:spacing w:before="0" w:beforeAutospacing="0" w:after="0" w:afterAutospacing="0"/>
        <w:ind w:right="77"/>
        <w:rPr>
          <w:b/>
          <w:bCs/>
          <w:sz w:val="22"/>
          <w:szCs w:val="22"/>
        </w:rPr>
      </w:pPr>
    </w:p>
    <w:p w:rsidR="00B834FD" w:rsidRDefault="00B834FD" w:rsidP="00A7746C">
      <w:pPr>
        <w:pStyle w:val="NormalWeb"/>
        <w:spacing w:before="0" w:beforeAutospacing="0" w:after="0" w:afterAutospacing="0"/>
        <w:ind w:right="77"/>
        <w:rPr>
          <w:b/>
          <w:bCs/>
          <w:sz w:val="22"/>
          <w:szCs w:val="22"/>
        </w:rPr>
      </w:pPr>
    </w:p>
    <w:p w:rsidR="00B834FD" w:rsidRDefault="00B834FD" w:rsidP="00D561EE">
      <w:pPr>
        <w:pStyle w:val="NormalWeb"/>
        <w:spacing w:before="0" w:beforeAutospacing="0" w:after="0" w:afterAutospacing="0"/>
        <w:ind w:right="77"/>
        <w:jc w:val="both"/>
        <w:rPr>
          <w:b/>
          <w:bCs/>
          <w:sz w:val="22"/>
          <w:szCs w:val="22"/>
        </w:rPr>
      </w:pPr>
    </w:p>
    <w:p w:rsidR="00B834FD" w:rsidRDefault="00B834FD" w:rsidP="00D561EE">
      <w:pPr>
        <w:pStyle w:val="NormalWeb"/>
        <w:spacing w:before="0" w:beforeAutospacing="0" w:after="0" w:afterAutospacing="0"/>
        <w:ind w:right="77"/>
        <w:jc w:val="both"/>
        <w:rPr>
          <w:b/>
          <w:bCs/>
          <w:sz w:val="22"/>
          <w:szCs w:val="22"/>
        </w:rPr>
      </w:pPr>
    </w:p>
    <w:p w:rsidR="00B834FD" w:rsidRDefault="00B834FD" w:rsidP="00D561EE">
      <w:pPr>
        <w:pStyle w:val="NormalWeb"/>
        <w:spacing w:before="0" w:beforeAutospacing="0" w:after="0" w:afterAutospacing="0"/>
        <w:ind w:right="77"/>
        <w:jc w:val="both"/>
        <w:rPr>
          <w:b/>
          <w:bCs/>
          <w:sz w:val="22"/>
          <w:szCs w:val="22"/>
        </w:rPr>
      </w:pPr>
    </w:p>
    <w:p w:rsidR="00B834FD" w:rsidRDefault="00B834FD" w:rsidP="00D561EE">
      <w:pPr>
        <w:pStyle w:val="NormalWeb"/>
        <w:spacing w:before="0" w:beforeAutospacing="0" w:after="0" w:afterAutospacing="0"/>
        <w:ind w:right="77"/>
        <w:jc w:val="both"/>
        <w:rPr>
          <w:b/>
          <w:bCs/>
          <w:sz w:val="22"/>
          <w:szCs w:val="22"/>
        </w:rPr>
      </w:pPr>
    </w:p>
    <w:p w:rsidR="00B834FD" w:rsidRDefault="00B834FD" w:rsidP="00D561EE">
      <w:pPr>
        <w:pStyle w:val="NormalWeb"/>
        <w:spacing w:before="0" w:beforeAutospacing="0" w:after="0" w:afterAutospacing="0"/>
        <w:ind w:right="77"/>
        <w:jc w:val="both"/>
        <w:rPr>
          <w:b/>
          <w:bCs/>
          <w:sz w:val="22"/>
          <w:szCs w:val="22"/>
        </w:rPr>
      </w:pPr>
    </w:p>
    <w:p w:rsidR="00B834FD" w:rsidRDefault="00B834FD" w:rsidP="00D561EE">
      <w:pPr>
        <w:pStyle w:val="NormalWeb"/>
        <w:spacing w:before="0" w:beforeAutospacing="0" w:after="0" w:afterAutospacing="0"/>
        <w:ind w:right="77"/>
        <w:jc w:val="both"/>
        <w:rPr>
          <w:b/>
          <w:bCs/>
          <w:sz w:val="22"/>
          <w:szCs w:val="22"/>
        </w:rPr>
      </w:pPr>
    </w:p>
    <w:p w:rsidR="00B834FD" w:rsidRDefault="00B834FD" w:rsidP="00D561EE">
      <w:pPr>
        <w:pStyle w:val="NormalWeb"/>
        <w:spacing w:before="0" w:beforeAutospacing="0" w:after="0" w:afterAutospacing="0"/>
        <w:ind w:right="77"/>
        <w:jc w:val="both"/>
        <w:rPr>
          <w:b/>
          <w:bCs/>
          <w:sz w:val="22"/>
          <w:szCs w:val="22"/>
        </w:rPr>
      </w:pPr>
    </w:p>
    <w:p w:rsidR="00B834FD" w:rsidRDefault="00B834FD" w:rsidP="00D561EE">
      <w:pPr>
        <w:pStyle w:val="NormalWeb"/>
        <w:spacing w:before="0" w:beforeAutospacing="0" w:after="0" w:afterAutospacing="0"/>
        <w:ind w:right="77"/>
        <w:jc w:val="both"/>
        <w:rPr>
          <w:b/>
          <w:bCs/>
          <w:sz w:val="22"/>
          <w:szCs w:val="22"/>
        </w:rPr>
      </w:pPr>
    </w:p>
    <w:p w:rsidR="00B834FD" w:rsidRDefault="00B834FD" w:rsidP="00D561EE">
      <w:pPr>
        <w:pStyle w:val="NormalWeb"/>
        <w:spacing w:before="0" w:beforeAutospacing="0" w:after="0" w:afterAutospacing="0"/>
        <w:ind w:right="77"/>
        <w:jc w:val="both"/>
        <w:rPr>
          <w:b/>
          <w:bCs/>
          <w:sz w:val="22"/>
          <w:szCs w:val="22"/>
        </w:rPr>
      </w:pPr>
    </w:p>
    <w:p w:rsidR="00B834FD" w:rsidRDefault="00B834FD" w:rsidP="00D561EE">
      <w:pPr>
        <w:pStyle w:val="NormalWeb"/>
        <w:spacing w:before="0" w:beforeAutospacing="0" w:after="0" w:afterAutospacing="0"/>
        <w:ind w:right="77"/>
        <w:jc w:val="both"/>
        <w:rPr>
          <w:b/>
          <w:bCs/>
          <w:sz w:val="22"/>
          <w:szCs w:val="22"/>
        </w:rPr>
      </w:pPr>
    </w:p>
    <w:p w:rsidR="00B834FD" w:rsidRDefault="00B834FD" w:rsidP="00D561EE">
      <w:pPr>
        <w:pStyle w:val="NormalWeb"/>
        <w:spacing w:before="0" w:beforeAutospacing="0" w:after="0" w:afterAutospacing="0"/>
        <w:ind w:right="77"/>
        <w:jc w:val="both"/>
        <w:rPr>
          <w:b/>
          <w:bCs/>
          <w:sz w:val="22"/>
          <w:szCs w:val="22"/>
        </w:rPr>
      </w:pPr>
    </w:p>
    <w:p w:rsidR="00B834FD" w:rsidRDefault="00B834FD" w:rsidP="00D561EE">
      <w:pPr>
        <w:pStyle w:val="NormalWeb"/>
        <w:spacing w:before="0" w:beforeAutospacing="0" w:after="0" w:afterAutospacing="0"/>
        <w:ind w:right="77"/>
        <w:jc w:val="both"/>
        <w:rPr>
          <w:b/>
          <w:bCs/>
          <w:sz w:val="22"/>
          <w:szCs w:val="22"/>
        </w:rPr>
      </w:pPr>
    </w:p>
    <w:p w:rsidR="00B834FD" w:rsidRDefault="00B834FD" w:rsidP="00D561EE">
      <w:pPr>
        <w:pStyle w:val="NormalWeb"/>
        <w:spacing w:before="0" w:beforeAutospacing="0" w:after="0" w:afterAutospacing="0"/>
        <w:ind w:right="77"/>
        <w:jc w:val="both"/>
        <w:rPr>
          <w:b/>
          <w:bCs/>
          <w:sz w:val="22"/>
          <w:szCs w:val="22"/>
        </w:rPr>
      </w:pPr>
    </w:p>
    <w:p w:rsidR="00B834FD" w:rsidRDefault="00B834FD" w:rsidP="00D561EE">
      <w:pPr>
        <w:pStyle w:val="NormalWeb"/>
        <w:spacing w:before="0" w:beforeAutospacing="0" w:after="0" w:afterAutospacing="0"/>
        <w:ind w:right="77"/>
        <w:jc w:val="both"/>
        <w:rPr>
          <w:b/>
          <w:bCs/>
          <w:sz w:val="22"/>
          <w:szCs w:val="22"/>
        </w:rPr>
      </w:pPr>
    </w:p>
    <w:p w:rsidR="00B834FD" w:rsidRDefault="00B834FD" w:rsidP="00D561EE">
      <w:pPr>
        <w:pStyle w:val="NormalWeb"/>
        <w:spacing w:before="0" w:beforeAutospacing="0" w:after="0" w:afterAutospacing="0"/>
        <w:ind w:right="77"/>
        <w:jc w:val="both"/>
        <w:rPr>
          <w:b/>
          <w:bCs/>
          <w:sz w:val="22"/>
          <w:szCs w:val="22"/>
        </w:rPr>
      </w:pPr>
    </w:p>
    <w:p w:rsidR="00B834FD" w:rsidRDefault="00B834FD" w:rsidP="00D561EE">
      <w:pPr>
        <w:pStyle w:val="NormalWeb"/>
        <w:spacing w:before="0" w:beforeAutospacing="0" w:after="0" w:afterAutospacing="0"/>
        <w:ind w:right="77"/>
        <w:jc w:val="both"/>
        <w:rPr>
          <w:b/>
          <w:bCs/>
          <w:sz w:val="22"/>
          <w:szCs w:val="22"/>
        </w:rPr>
      </w:pPr>
    </w:p>
    <w:p w:rsidR="00B834FD" w:rsidRDefault="00B834FD" w:rsidP="00D561EE">
      <w:pPr>
        <w:pStyle w:val="NormalWeb"/>
        <w:spacing w:before="0" w:beforeAutospacing="0" w:after="0" w:afterAutospacing="0"/>
        <w:ind w:right="77"/>
        <w:jc w:val="both"/>
        <w:rPr>
          <w:b/>
          <w:bCs/>
          <w:sz w:val="22"/>
          <w:szCs w:val="22"/>
        </w:rPr>
      </w:pPr>
    </w:p>
    <w:p w:rsidR="00B834FD" w:rsidRDefault="00B834FD" w:rsidP="00D561EE">
      <w:pPr>
        <w:pStyle w:val="NormalWeb"/>
        <w:spacing w:before="0" w:beforeAutospacing="0" w:after="0" w:afterAutospacing="0"/>
        <w:ind w:right="77"/>
        <w:jc w:val="both"/>
        <w:rPr>
          <w:b/>
          <w:bCs/>
          <w:sz w:val="22"/>
          <w:szCs w:val="22"/>
        </w:rPr>
      </w:pPr>
    </w:p>
    <w:p w:rsidR="00B834FD" w:rsidRDefault="00B834FD" w:rsidP="00D561EE">
      <w:pPr>
        <w:pStyle w:val="NormalWeb"/>
        <w:spacing w:before="0" w:beforeAutospacing="0" w:after="0" w:afterAutospacing="0"/>
        <w:ind w:right="77"/>
        <w:jc w:val="both"/>
        <w:rPr>
          <w:b/>
          <w:bCs/>
          <w:sz w:val="22"/>
          <w:szCs w:val="22"/>
        </w:rPr>
      </w:pPr>
    </w:p>
    <w:p w:rsidR="00B834FD" w:rsidRDefault="00B834FD" w:rsidP="00D561EE">
      <w:pPr>
        <w:pStyle w:val="NormalWeb"/>
        <w:spacing w:before="0" w:beforeAutospacing="0" w:after="0" w:afterAutospacing="0"/>
        <w:ind w:right="77"/>
        <w:jc w:val="both"/>
        <w:rPr>
          <w:b/>
          <w:bCs/>
          <w:sz w:val="22"/>
          <w:szCs w:val="22"/>
        </w:rPr>
      </w:pPr>
    </w:p>
    <w:p w:rsidR="00B44918" w:rsidRDefault="00B44918" w:rsidP="00D561EE">
      <w:pPr>
        <w:pStyle w:val="NormalWeb"/>
        <w:spacing w:before="0" w:beforeAutospacing="0" w:after="0" w:afterAutospacing="0"/>
        <w:ind w:right="77"/>
        <w:jc w:val="both"/>
        <w:rPr>
          <w:b/>
          <w:bCs/>
          <w:sz w:val="22"/>
          <w:szCs w:val="22"/>
        </w:rPr>
      </w:pPr>
    </w:p>
    <w:p w:rsidR="00B834FD" w:rsidRDefault="00B834FD" w:rsidP="00D561EE">
      <w:pPr>
        <w:pStyle w:val="NormalWeb"/>
        <w:spacing w:before="0" w:beforeAutospacing="0" w:after="0" w:afterAutospacing="0"/>
        <w:ind w:right="77"/>
        <w:jc w:val="both"/>
        <w:rPr>
          <w:b/>
          <w:bCs/>
          <w:sz w:val="22"/>
          <w:szCs w:val="22"/>
        </w:rPr>
      </w:pPr>
      <w:r>
        <w:rPr>
          <w:b/>
          <w:bCs/>
          <w:sz w:val="22"/>
          <w:szCs w:val="22"/>
        </w:rPr>
        <w:t xml:space="preserve">Tablo 2. 2012 4. çeyrekte ve 2013 1. çeyrekte GSYH altkalemlerinin, </w:t>
      </w:r>
      <w:r w:rsidRPr="00002CEE">
        <w:rPr>
          <w:b/>
          <w:bCs/>
          <w:sz w:val="22"/>
          <w:szCs w:val="22"/>
          <w:u w:val="single"/>
        </w:rPr>
        <w:t xml:space="preserve">bir önceki yılın aynı çeyreğine göre </w:t>
      </w:r>
      <w:r>
        <w:rPr>
          <w:b/>
          <w:bCs/>
          <w:sz w:val="22"/>
          <w:szCs w:val="22"/>
        </w:rPr>
        <w:t>değişimleri ve büyümeye katkıları</w:t>
      </w:r>
    </w:p>
    <w:tbl>
      <w:tblPr>
        <w:tblW w:w="4680" w:type="dxa"/>
        <w:tblInd w:w="70" w:type="dxa"/>
        <w:tblLayout w:type="fixed"/>
        <w:tblCellMar>
          <w:left w:w="70" w:type="dxa"/>
          <w:right w:w="70" w:type="dxa"/>
        </w:tblCellMar>
        <w:tblLook w:val="0000"/>
      </w:tblPr>
      <w:tblGrid>
        <w:gridCol w:w="2070"/>
        <w:gridCol w:w="1305"/>
        <w:gridCol w:w="1305"/>
      </w:tblGrid>
      <w:tr w:rsidR="00B834FD" w:rsidTr="00B44918">
        <w:trPr>
          <w:trHeight w:val="255"/>
        </w:trPr>
        <w:tc>
          <w:tcPr>
            <w:tcW w:w="2070" w:type="dxa"/>
            <w:tcBorders>
              <w:top w:val="single" w:sz="4" w:space="0" w:color="auto"/>
              <w:left w:val="single" w:sz="4" w:space="0" w:color="auto"/>
              <w:bottom w:val="single" w:sz="4" w:space="0" w:color="auto"/>
              <w:right w:val="single" w:sz="4" w:space="0" w:color="auto"/>
            </w:tcBorders>
            <w:noWrap/>
            <w:vAlign w:val="bottom"/>
          </w:tcPr>
          <w:p w:rsidR="00B834FD" w:rsidRPr="005E763B" w:rsidRDefault="00B834FD" w:rsidP="0089443A">
            <w:pPr>
              <w:rPr>
                <w:rFonts w:ascii="Arial" w:hAnsi="Arial" w:cs="Arial"/>
                <w:b/>
                <w:bCs/>
                <w:sz w:val="20"/>
                <w:szCs w:val="20"/>
              </w:rPr>
            </w:pPr>
            <w:r>
              <w:rPr>
                <w:rFonts w:ascii="Arial" w:hAnsi="Arial" w:cs="Arial"/>
                <w:b/>
                <w:bCs/>
                <w:sz w:val="20"/>
                <w:szCs w:val="20"/>
              </w:rPr>
              <w:t>2013 – 1</w:t>
            </w:r>
            <w:r w:rsidRPr="005E763B">
              <w:rPr>
                <w:rFonts w:ascii="Arial" w:hAnsi="Arial" w:cs="Arial"/>
                <w:b/>
                <w:bCs/>
                <w:sz w:val="20"/>
                <w:szCs w:val="20"/>
              </w:rPr>
              <w:t>. Ç</w:t>
            </w:r>
          </w:p>
        </w:tc>
        <w:tc>
          <w:tcPr>
            <w:tcW w:w="1305" w:type="dxa"/>
            <w:tcBorders>
              <w:top w:val="single" w:sz="4" w:space="0" w:color="auto"/>
              <w:left w:val="nil"/>
              <w:bottom w:val="single" w:sz="4" w:space="0" w:color="auto"/>
              <w:right w:val="single" w:sz="4" w:space="0" w:color="auto"/>
            </w:tcBorders>
            <w:noWrap/>
            <w:vAlign w:val="bottom"/>
          </w:tcPr>
          <w:p w:rsidR="00B834FD" w:rsidRPr="005E763B" w:rsidRDefault="00B834FD" w:rsidP="0089443A">
            <w:pPr>
              <w:jc w:val="center"/>
              <w:rPr>
                <w:rFonts w:ascii="Arial" w:hAnsi="Arial" w:cs="Arial"/>
                <w:b/>
                <w:bCs/>
                <w:sz w:val="20"/>
                <w:szCs w:val="20"/>
              </w:rPr>
            </w:pPr>
            <w:r w:rsidRPr="005E763B">
              <w:rPr>
                <w:rFonts w:ascii="Arial" w:hAnsi="Arial" w:cs="Arial"/>
                <w:b/>
                <w:bCs/>
                <w:sz w:val="20"/>
                <w:szCs w:val="20"/>
              </w:rPr>
              <w:t>Degişim</w:t>
            </w:r>
          </w:p>
        </w:tc>
        <w:tc>
          <w:tcPr>
            <w:tcW w:w="1305" w:type="dxa"/>
            <w:tcBorders>
              <w:top w:val="single" w:sz="4" w:space="0" w:color="auto"/>
              <w:left w:val="nil"/>
              <w:bottom w:val="single" w:sz="4" w:space="0" w:color="auto"/>
              <w:right w:val="single" w:sz="4" w:space="0" w:color="auto"/>
            </w:tcBorders>
            <w:noWrap/>
            <w:vAlign w:val="bottom"/>
          </w:tcPr>
          <w:p w:rsidR="00B834FD" w:rsidRPr="005E763B" w:rsidRDefault="00B834FD" w:rsidP="0089443A">
            <w:pPr>
              <w:jc w:val="center"/>
              <w:rPr>
                <w:rFonts w:ascii="Arial" w:hAnsi="Arial" w:cs="Arial"/>
                <w:b/>
                <w:bCs/>
                <w:sz w:val="20"/>
                <w:szCs w:val="20"/>
              </w:rPr>
            </w:pPr>
            <w:r w:rsidRPr="005E763B">
              <w:rPr>
                <w:rFonts w:ascii="Arial" w:hAnsi="Arial" w:cs="Arial"/>
                <w:b/>
                <w:bCs/>
                <w:sz w:val="20"/>
                <w:szCs w:val="20"/>
              </w:rPr>
              <w:t>Katkılar</w:t>
            </w:r>
          </w:p>
        </w:tc>
      </w:tr>
      <w:tr w:rsidR="00B834FD"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B834FD" w:rsidRPr="005E763B" w:rsidRDefault="00B834FD" w:rsidP="0089443A">
            <w:pPr>
              <w:rPr>
                <w:rFonts w:ascii="Arial" w:hAnsi="Arial" w:cs="Arial"/>
                <w:b/>
                <w:bCs/>
                <w:sz w:val="20"/>
                <w:szCs w:val="20"/>
              </w:rPr>
            </w:pPr>
            <w:r w:rsidRPr="005E763B">
              <w:rPr>
                <w:rFonts w:ascii="Arial" w:hAnsi="Arial" w:cs="Arial"/>
                <w:b/>
                <w:bCs/>
                <w:sz w:val="20"/>
                <w:szCs w:val="20"/>
              </w:rPr>
              <w:t>Tüketim</w:t>
            </w:r>
          </w:p>
        </w:tc>
        <w:tc>
          <w:tcPr>
            <w:tcW w:w="1305" w:type="dxa"/>
            <w:tcBorders>
              <w:top w:val="nil"/>
              <w:left w:val="nil"/>
              <w:bottom w:val="single" w:sz="4" w:space="0" w:color="auto"/>
              <w:right w:val="single" w:sz="4" w:space="0" w:color="auto"/>
            </w:tcBorders>
            <w:noWrap/>
            <w:vAlign w:val="bottom"/>
          </w:tcPr>
          <w:p w:rsidR="00B834FD" w:rsidRDefault="00B834FD" w:rsidP="0089443A">
            <w:pPr>
              <w:jc w:val="right"/>
              <w:rPr>
                <w:rFonts w:ascii="Arial" w:hAnsi="Arial" w:cs="Arial"/>
                <w:sz w:val="20"/>
                <w:szCs w:val="20"/>
              </w:rPr>
            </w:pPr>
            <w:r>
              <w:rPr>
                <w:rFonts w:ascii="Arial" w:hAnsi="Arial" w:cs="Arial"/>
                <w:sz w:val="20"/>
                <w:szCs w:val="20"/>
              </w:rPr>
              <w:t>3,0%</w:t>
            </w:r>
          </w:p>
        </w:tc>
        <w:tc>
          <w:tcPr>
            <w:tcW w:w="1305" w:type="dxa"/>
            <w:tcBorders>
              <w:top w:val="nil"/>
              <w:left w:val="nil"/>
              <w:bottom w:val="single" w:sz="4" w:space="0" w:color="auto"/>
              <w:right w:val="single" w:sz="4" w:space="0" w:color="auto"/>
            </w:tcBorders>
            <w:noWrap/>
            <w:vAlign w:val="bottom"/>
          </w:tcPr>
          <w:p w:rsidR="00B834FD" w:rsidRDefault="00B834FD" w:rsidP="0089443A">
            <w:pPr>
              <w:jc w:val="right"/>
              <w:rPr>
                <w:rFonts w:ascii="Arial" w:hAnsi="Arial" w:cs="Arial"/>
                <w:sz w:val="20"/>
                <w:szCs w:val="20"/>
              </w:rPr>
            </w:pPr>
            <w:r>
              <w:rPr>
                <w:rFonts w:ascii="Arial" w:hAnsi="Arial" w:cs="Arial"/>
                <w:sz w:val="20"/>
                <w:szCs w:val="20"/>
              </w:rPr>
              <w:t>2,1%</w:t>
            </w:r>
          </w:p>
        </w:tc>
      </w:tr>
      <w:tr w:rsidR="00B834FD"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B834FD" w:rsidRPr="005E763B" w:rsidRDefault="00B834FD" w:rsidP="0089443A">
            <w:pPr>
              <w:rPr>
                <w:rFonts w:ascii="Arial" w:hAnsi="Arial" w:cs="Arial"/>
                <w:b/>
                <w:bCs/>
                <w:sz w:val="20"/>
                <w:szCs w:val="20"/>
              </w:rPr>
            </w:pPr>
            <w:r w:rsidRPr="005E763B">
              <w:rPr>
                <w:rFonts w:ascii="Arial" w:hAnsi="Arial" w:cs="Arial"/>
                <w:b/>
                <w:bCs/>
                <w:sz w:val="20"/>
                <w:szCs w:val="20"/>
              </w:rPr>
              <w:t>Özel Yatırım</w:t>
            </w:r>
          </w:p>
        </w:tc>
        <w:tc>
          <w:tcPr>
            <w:tcW w:w="1305" w:type="dxa"/>
            <w:tcBorders>
              <w:top w:val="nil"/>
              <w:left w:val="nil"/>
              <w:bottom w:val="single" w:sz="4" w:space="0" w:color="auto"/>
              <w:right w:val="single" w:sz="4" w:space="0" w:color="auto"/>
            </w:tcBorders>
            <w:noWrap/>
            <w:vAlign w:val="bottom"/>
          </w:tcPr>
          <w:p w:rsidR="00B834FD" w:rsidRDefault="00B834FD" w:rsidP="0089443A">
            <w:pPr>
              <w:jc w:val="right"/>
              <w:rPr>
                <w:rFonts w:ascii="Arial" w:hAnsi="Arial" w:cs="Arial"/>
                <w:sz w:val="20"/>
                <w:szCs w:val="20"/>
              </w:rPr>
            </w:pPr>
            <w:r>
              <w:rPr>
                <w:rFonts w:ascii="Arial" w:hAnsi="Arial" w:cs="Arial"/>
                <w:sz w:val="20"/>
                <w:szCs w:val="20"/>
              </w:rPr>
              <w:t>-9,1%</w:t>
            </w:r>
          </w:p>
        </w:tc>
        <w:tc>
          <w:tcPr>
            <w:tcW w:w="1305" w:type="dxa"/>
            <w:tcBorders>
              <w:top w:val="nil"/>
              <w:left w:val="nil"/>
              <w:bottom w:val="single" w:sz="4" w:space="0" w:color="auto"/>
              <w:right w:val="single" w:sz="4" w:space="0" w:color="auto"/>
            </w:tcBorders>
            <w:noWrap/>
            <w:vAlign w:val="bottom"/>
          </w:tcPr>
          <w:p w:rsidR="00B834FD" w:rsidRDefault="00B834FD" w:rsidP="0089443A">
            <w:pPr>
              <w:jc w:val="right"/>
              <w:rPr>
                <w:rFonts w:ascii="Arial" w:hAnsi="Arial" w:cs="Arial"/>
                <w:sz w:val="20"/>
                <w:szCs w:val="20"/>
              </w:rPr>
            </w:pPr>
            <w:r>
              <w:rPr>
                <w:rFonts w:ascii="Arial" w:hAnsi="Arial" w:cs="Arial"/>
                <w:sz w:val="20"/>
                <w:szCs w:val="20"/>
              </w:rPr>
              <w:t>-2,1%</w:t>
            </w:r>
          </w:p>
        </w:tc>
      </w:tr>
      <w:tr w:rsidR="00B834FD"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B834FD" w:rsidRPr="005E763B" w:rsidRDefault="00B834FD" w:rsidP="0089443A">
            <w:pPr>
              <w:rPr>
                <w:rFonts w:ascii="Arial" w:hAnsi="Arial" w:cs="Arial"/>
                <w:b/>
                <w:bCs/>
                <w:sz w:val="20"/>
                <w:szCs w:val="20"/>
              </w:rPr>
            </w:pPr>
            <w:r w:rsidRPr="005E763B">
              <w:rPr>
                <w:rFonts w:ascii="Arial" w:hAnsi="Arial" w:cs="Arial"/>
                <w:b/>
                <w:bCs/>
                <w:sz w:val="20"/>
                <w:szCs w:val="20"/>
              </w:rPr>
              <w:t>Kamu Harcamaları</w:t>
            </w:r>
          </w:p>
        </w:tc>
        <w:tc>
          <w:tcPr>
            <w:tcW w:w="1305" w:type="dxa"/>
            <w:tcBorders>
              <w:top w:val="nil"/>
              <w:left w:val="nil"/>
              <w:bottom w:val="single" w:sz="4" w:space="0" w:color="auto"/>
              <w:right w:val="single" w:sz="4" w:space="0" w:color="auto"/>
            </w:tcBorders>
            <w:noWrap/>
            <w:vAlign w:val="bottom"/>
          </w:tcPr>
          <w:p w:rsidR="00B834FD" w:rsidRDefault="00B834FD" w:rsidP="0089443A">
            <w:pPr>
              <w:jc w:val="right"/>
              <w:rPr>
                <w:rFonts w:ascii="Arial" w:hAnsi="Arial" w:cs="Arial"/>
                <w:sz w:val="20"/>
                <w:szCs w:val="20"/>
              </w:rPr>
            </w:pPr>
            <w:r>
              <w:rPr>
                <w:rFonts w:ascii="Arial" w:hAnsi="Arial" w:cs="Arial"/>
                <w:sz w:val="20"/>
                <w:szCs w:val="20"/>
              </w:rPr>
              <w:t>23,3%</w:t>
            </w:r>
          </w:p>
        </w:tc>
        <w:tc>
          <w:tcPr>
            <w:tcW w:w="1305" w:type="dxa"/>
            <w:tcBorders>
              <w:top w:val="nil"/>
              <w:left w:val="nil"/>
              <w:bottom w:val="single" w:sz="4" w:space="0" w:color="auto"/>
              <w:right w:val="single" w:sz="4" w:space="0" w:color="auto"/>
            </w:tcBorders>
            <w:noWrap/>
            <w:vAlign w:val="bottom"/>
          </w:tcPr>
          <w:p w:rsidR="00B834FD" w:rsidRDefault="00B834FD" w:rsidP="0089443A">
            <w:pPr>
              <w:jc w:val="right"/>
              <w:rPr>
                <w:rFonts w:ascii="Arial" w:hAnsi="Arial" w:cs="Arial"/>
                <w:sz w:val="20"/>
                <w:szCs w:val="20"/>
              </w:rPr>
            </w:pPr>
            <w:r>
              <w:rPr>
                <w:rFonts w:ascii="Arial" w:hAnsi="Arial" w:cs="Arial"/>
                <w:sz w:val="20"/>
                <w:szCs w:val="20"/>
              </w:rPr>
              <w:t>2,9%</w:t>
            </w:r>
          </w:p>
        </w:tc>
      </w:tr>
      <w:tr w:rsidR="00B44918"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B44918" w:rsidRPr="00DB028A" w:rsidRDefault="00B44918" w:rsidP="007D751B">
            <w:pPr>
              <w:rPr>
                <w:rFonts w:ascii="Arial TUR" w:hAnsi="Arial TUR" w:cs="Arial TUR"/>
                <w:bCs/>
                <w:sz w:val="20"/>
                <w:szCs w:val="20"/>
              </w:rPr>
            </w:pPr>
            <w:r>
              <w:rPr>
                <w:rFonts w:ascii="Arial TUR" w:hAnsi="Arial TUR" w:cs="Arial TUR"/>
                <w:bCs/>
                <w:sz w:val="20"/>
                <w:szCs w:val="20"/>
              </w:rPr>
              <w:t xml:space="preserve">  </w:t>
            </w:r>
            <w:r w:rsidRPr="00DB028A">
              <w:rPr>
                <w:rFonts w:ascii="Arial TUR" w:hAnsi="Arial TUR" w:cs="Arial TUR"/>
                <w:bCs/>
                <w:sz w:val="20"/>
                <w:szCs w:val="20"/>
              </w:rPr>
              <w:t>Tüketim</w:t>
            </w:r>
          </w:p>
        </w:tc>
        <w:tc>
          <w:tcPr>
            <w:tcW w:w="1305" w:type="dxa"/>
            <w:tcBorders>
              <w:top w:val="nil"/>
              <w:left w:val="nil"/>
              <w:bottom w:val="single" w:sz="4" w:space="0" w:color="auto"/>
              <w:right w:val="single" w:sz="4" w:space="0" w:color="auto"/>
            </w:tcBorders>
            <w:noWrap/>
            <w:vAlign w:val="bottom"/>
          </w:tcPr>
          <w:p w:rsidR="00B44918" w:rsidRDefault="00B44918" w:rsidP="0089443A">
            <w:pPr>
              <w:jc w:val="right"/>
              <w:rPr>
                <w:rFonts w:ascii="Arial" w:hAnsi="Arial" w:cs="Arial"/>
                <w:sz w:val="20"/>
                <w:szCs w:val="20"/>
              </w:rPr>
            </w:pPr>
            <w:r>
              <w:rPr>
                <w:rFonts w:ascii="Arial" w:hAnsi="Arial" w:cs="Arial"/>
                <w:sz w:val="20"/>
                <w:szCs w:val="20"/>
              </w:rPr>
              <w:t>7,2%</w:t>
            </w:r>
          </w:p>
        </w:tc>
        <w:tc>
          <w:tcPr>
            <w:tcW w:w="1305" w:type="dxa"/>
            <w:tcBorders>
              <w:top w:val="nil"/>
              <w:left w:val="nil"/>
              <w:bottom w:val="single" w:sz="4" w:space="0" w:color="auto"/>
              <w:right w:val="single" w:sz="4" w:space="0" w:color="auto"/>
            </w:tcBorders>
            <w:noWrap/>
            <w:vAlign w:val="bottom"/>
          </w:tcPr>
          <w:p w:rsidR="00B44918" w:rsidRDefault="00B44918" w:rsidP="0089443A">
            <w:pPr>
              <w:jc w:val="right"/>
              <w:rPr>
                <w:rFonts w:ascii="Arial" w:hAnsi="Arial" w:cs="Arial"/>
                <w:sz w:val="20"/>
                <w:szCs w:val="20"/>
              </w:rPr>
            </w:pPr>
            <w:r>
              <w:rPr>
                <w:rFonts w:ascii="Arial" w:hAnsi="Arial" w:cs="Arial"/>
                <w:sz w:val="20"/>
                <w:szCs w:val="20"/>
              </w:rPr>
              <w:t>0,7%</w:t>
            </w:r>
          </w:p>
        </w:tc>
      </w:tr>
      <w:tr w:rsidR="00B44918"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B44918" w:rsidRPr="00DB028A" w:rsidRDefault="00B44918" w:rsidP="007D751B">
            <w:pPr>
              <w:rPr>
                <w:rFonts w:ascii="Arial TUR" w:hAnsi="Arial TUR" w:cs="Arial TUR"/>
                <w:bCs/>
                <w:sz w:val="20"/>
                <w:szCs w:val="20"/>
              </w:rPr>
            </w:pPr>
            <w:r>
              <w:rPr>
                <w:rFonts w:ascii="Arial TUR" w:hAnsi="Arial TUR" w:cs="Arial TUR"/>
                <w:bCs/>
                <w:sz w:val="20"/>
                <w:szCs w:val="20"/>
              </w:rPr>
              <w:t xml:space="preserve">  </w:t>
            </w:r>
            <w:r w:rsidRPr="00DB028A">
              <w:rPr>
                <w:rFonts w:ascii="Arial TUR" w:hAnsi="Arial TUR" w:cs="Arial TUR"/>
                <w:bCs/>
                <w:sz w:val="20"/>
                <w:szCs w:val="20"/>
              </w:rPr>
              <w:t>Makine ve Teçhizat</w:t>
            </w:r>
          </w:p>
        </w:tc>
        <w:tc>
          <w:tcPr>
            <w:tcW w:w="1305" w:type="dxa"/>
            <w:tcBorders>
              <w:top w:val="nil"/>
              <w:left w:val="nil"/>
              <w:bottom w:val="single" w:sz="4" w:space="0" w:color="auto"/>
              <w:right w:val="single" w:sz="4" w:space="0" w:color="auto"/>
            </w:tcBorders>
            <w:noWrap/>
            <w:vAlign w:val="bottom"/>
          </w:tcPr>
          <w:p w:rsidR="00B44918" w:rsidRDefault="00B44918" w:rsidP="0089443A">
            <w:pPr>
              <w:jc w:val="right"/>
              <w:rPr>
                <w:rFonts w:ascii="Arial" w:hAnsi="Arial" w:cs="Arial"/>
                <w:sz w:val="20"/>
                <w:szCs w:val="20"/>
              </w:rPr>
            </w:pPr>
            <w:r>
              <w:rPr>
                <w:rFonts w:ascii="Arial" w:hAnsi="Arial" w:cs="Arial"/>
                <w:sz w:val="20"/>
                <w:szCs w:val="20"/>
              </w:rPr>
              <w:t>105,2%</w:t>
            </w:r>
          </w:p>
        </w:tc>
        <w:tc>
          <w:tcPr>
            <w:tcW w:w="1305" w:type="dxa"/>
            <w:tcBorders>
              <w:top w:val="nil"/>
              <w:left w:val="nil"/>
              <w:bottom w:val="single" w:sz="4" w:space="0" w:color="auto"/>
              <w:right w:val="single" w:sz="4" w:space="0" w:color="auto"/>
            </w:tcBorders>
            <w:noWrap/>
            <w:vAlign w:val="bottom"/>
          </w:tcPr>
          <w:p w:rsidR="00B44918" w:rsidRDefault="00B44918" w:rsidP="0089443A">
            <w:pPr>
              <w:jc w:val="right"/>
              <w:rPr>
                <w:rFonts w:ascii="Arial" w:hAnsi="Arial" w:cs="Arial"/>
                <w:sz w:val="20"/>
                <w:szCs w:val="20"/>
              </w:rPr>
            </w:pPr>
            <w:r>
              <w:rPr>
                <w:rFonts w:ascii="Arial" w:hAnsi="Arial" w:cs="Arial"/>
                <w:sz w:val="20"/>
                <w:szCs w:val="20"/>
              </w:rPr>
              <w:t>0,2%</w:t>
            </w:r>
          </w:p>
        </w:tc>
      </w:tr>
      <w:tr w:rsidR="00B44918"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B44918" w:rsidRPr="00DB028A" w:rsidRDefault="00B44918" w:rsidP="007D751B">
            <w:pPr>
              <w:rPr>
                <w:rFonts w:ascii="Arial TUR" w:hAnsi="Arial TUR" w:cs="Arial TUR"/>
                <w:bCs/>
                <w:sz w:val="20"/>
                <w:szCs w:val="20"/>
              </w:rPr>
            </w:pPr>
            <w:r>
              <w:rPr>
                <w:rFonts w:ascii="Arial TUR" w:hAnsi="Arial TUR" w:cs="Arial TUR"/>
                <w:bCs/>
                <w:sz w:val="20"/>
                <w:szCs w:val="20"/>
              </w:rPr>
              <w:t xml:space="preserve">  </w:t>
            </w:r>
            <w:r w:rsidRPr="00DB028A">
              <w:rPr>
                <w:rFonts w:ascii="Arial TUR" w:hAnsi="Arial TUR" w:cs="Arial TUR"/>
                <w:bCs/>
                <w:sz w:val="20"/>
                <w:szCs w:val="20"/>
              </w:rPr>
              <w:t>İnşaat</w:t>
            </w:r>
          </w:p>
        </w:tc>
        <w:tc>
          <w:tcPr>
            <w:tcW w:w="1305" w:type="dxa"/>
            <w:tcBorders>
              <w:top w:val="nil"/>
              <w:left w:val="nil"/>
              <w:bottom w:val="single" w:sz="4" w:space="0" w:color="auto"/>
              <w:right w:val="single" w:sz="4" w:space="0" w:color="auto"/>
            </w:tcBorders>
            <w:noWrap/>
            <w:vAlign w:val="bottom"/>
          </w:tcPr>
          <w:p w:rsidR="00B44918" w:rsidRDefault="00B44918" w:rsidP="0089443A">
            <w:pPr>
              <w:jc w:val="right"/>
              <w:rPr>
                <w:rFonts w:ascii="Arial" w:hAnsi="Arial" w:cs="Arial"/>
                <w:sz w:val="20"/>
                <w:szCs w:val="20"/>
              </w:rPr>
            </w:pPr>
            <w:r>
              <w:rPr>
                <w:rFonts w:ascii="Arial" w:hAnsi="Arial" w:cs="Arial"/>
                <w:sz w:val="20"/>
                <w:szCs w:val="20"/>
              </w:rPr>
              <w:t>79,7%</w:t>
            </w:r>
          </w:p>
        </w:tc>
        <w:tc>
          <w:tcPr>
            <w:tcW w:w="1305" w:type="dxa"/>
            <w:tcBorders>
              <w:top w:val="nil"/>
              <w:left w:val="nil"/>
              <w:bottom w:val="single" w:sz="4" w:space="0" w:color="auto"/>
              <w:right w:val="single" w:sz="4" w:space="0" w:color="auto"/>
            </w:tcBorders>
            <w:noWrap/>
            <w:vAlign w:val="bottom"/>
          </w:tcPr>
          <w:p w:rsidR="00B44918" w:rsidRDefault="00B44918" w:rsidP="0089443A">
            <w:pPr>
              <w:jc w:val="right"/>
              <w:rPr>
                <w:rFonts w:ascii="Arial" w:hAnsi="Arial" w:cs="Arial"/>
                <w:sz w:val="20"/>
                <w:szCs w:val="20"/>
              </w:rPr>
            </w:pPr>
            <w:r>
              <w:rPr>
                <w:rFonts w:ascii="Arial" w:hAnsi="Arial" w:cs="Arial"/>
                <w:sz w:val="20"/>
                <w:szCs w:val="20"/>
              </w:rPr>
              <w:t>1,9%</w:t>
            </w:r>
          </w:p>
        </w:tc>
      </w:tr>
      <w:tr w:rsidR="00B44918"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B44918" w:rsidRPr="005E763B" w:rsidRDefault="00B44918" w:rsidP="0089443A">
            <w:pPr>
              <w:rPr>
                <w:rFonts w:ascii="Arial" w:hAnsi="Arial" w:cs="Arial"/>
                <w:b/>
                <w:bCs/>
                <w:sz w:val="20"/>
                <w:szCs w:val="20"/>
              </w:rPr>
            </w:pPr>
            <w:r w:rsidRPr="005E763B">
              <w:rPr>
                <w:rFonts w:ascii="Arial" w:hAnsi="Arial" w:cs="Arial"/>
                <w:b/>
                <w:bCs/>
                <w:sz w:val="20"/>
                <w:szCs w:val="20"/>
              </w:rPr>
              <w:t>Stok Değişimi</w:t>
            </w:r>
          </w:p>
        </w:tc>
        <w:tc>
          <w:tcPr>
            <w:tcW w:w="1305" w:type="dxa"/>
            <w:tcBorders>
              <w:top w:val="nil"/>
              <w:left w:val="nil"/>
              <w:bottom w:val="single" w:sz="4" w:space="0" w:color="auto"/>
              <w:right w:val="single" w:sz="4" w:space="0" w:color="auto"/>
            </w:tcBorders>
            <w:noWrap/>
            <w:vAlign w:val="bottom"/>
          </w:tcPr>
          <w:p w:rsidR="00B44918" w:rsidRDefault="00B44918" w:rsidP="0089443A">
            <w:pPr>
              <w:jc w:val="right"/>
              <w:rPr>
                <w:rFonts w:ascii="Arial" w:hAnsi="Arial" w:cs="Arial"/>
                <w:sz w:val="20"/>
                <w:szCs w:val="20"/>
              </w:rPr>
            </w:pPr>
            <w:r>
              <w:rPr>
                <w:rFonts w:ascii="Arial" w:hAnsi="Arial" w:cs="Arial"/>
                <w:sz w:val="20"/>
                <w:szCs w:val="20"/>
              </w:rPr>
              <w:t>----</w:t>
            </w:r>
          </w:p>
        </w:tc>
        <w:tc>
          <w:tcPr>
            <w:tcW w:w="1305" w:type="dxa"/>
            <w:tcBorders>
              <w:top w:val="nil"/>
              <w:left w:val="nil"/>
              <w:bottom w:val="single" w:sz="4" w:space="0" w:color="auto"/>
              <w:right w:val="single" w:sz="4" w:space="0" w:color="auto"/>
            </w:tcBorders>
            <w:noWrap/>
            <w:vAlign w:val="bottom"/>
          </w:tcPr>
          <w:p w:rsidR="00B44918" w:rsidRDefault="00B44918" w:rsidP="0089443A">
            <w:pPr>
              <w:jc w:val="right"/>
              <w:rPr>
                <w:rFonts w:ascii="Arial" w:hAnsi="Arial" w:cs="Arial"/>
                <w:sz w:val="20"/>
                <w:szCs w:val="20"/>
              </w:rPr>
            </w:pPr>
            <w:r>
              <w:rPr>
                <w:rFonts w:ascii="Arial" w:hAnsi="Arial" w:cs="Arial"/>
                <w:sz w:val="20"/>
                <w:szCs w:val="20"/>
              </w:rPr>
              <w:t>0,2%</w:t>
            </w:r>
          </w:p>
        </w:tc>
      </w:tr>
      <w:tr w:rsidR="00B44918"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B44918" w:rsidRPr="005E763B" w:rsidRDefault="00B44918" w:rsidP="0089443A">
            <w:pPr>
              <w:rPr>
                <w:rFonts w:ascii="Arial" w:hAnsi="Arial" w:cs="Arial"/>
                <w:b/>
                <w:bCs/>
                <w:sz w:val="20"/>
                <w:szCs w:val="20"/>
              </w:rPr>
            </w:pPr>
            <w:r w:rsidRPr="005E763B">
              <w:rPr>
                <w:rFonts w:ascii="Arial" w:hAnsi="Arial" w:cs="Arial"/>
                <w:b/>
                <w:bCs/>
                <w:sz w:val="20"/>
                <w:szCs w:val="20"/>
              </w:rPr>
              <w:t>İhracat</w:t>
            </w:r>
          </w:p>
        </w:tc>
        <w:tc>
          <w:tcPr>
            <w:tcW w:w="1305" w:type="dxa"/>
            <w:tcBorders>
              <w:top w:val="nil"/>
              <w:left w:val="nil"/>
              <w:bottom w:val="single" w:sz="4" w:space="0" w:color="auto"/>
              <w:right w:val="single" w:sz="4" w:space="0" w:color="auto"/>
            </w:tcBorders>
            <w:noWrap/>
            <w:vAlign w:val="bottom"/>
          </w:tcPr>
          <w:p w:rsidR="00B44918" w:rsidRDefault="00B44918" w:rsidP="0089443A">
            <w:pPr>
              <w:jc w:val="right"/>
              <w:rPr>
                <w:rFonts w:ascii="Arial" w:hAnsi="Arial" w:cs="Arial"/>
                <w:sz w:val="20"/>
                <w:szCs w:val="20"/>
              </w:rPr>
            </w:pPr>
            <w:r>
              <w:rPr>
                <w:rFonts w:ascii="Arial" w:hAnsi="Arial" w:cs="Arial"/>
                <w:sz w:val="20"/>
                <w:szCs w:val="20"/>
              </w:rPr>
              <w:t>3,4%</w:t>
            </w:r>
          </w:p>
        </w:tc>
        <w:tc>
          <w:tcPr>
            <w:tcW w:w="1305" w:type="dxa"/>
            <w:tcBorders>
              <w:top w:val="nil"/>
              <w:left w:val="nil"/>
              <w:bottom w:val="single" w:sz="4" w:space="0" w:color="auto"/>
              <w:right w:val="single" w:sz="4" w:space="0" w:color="auto"/>
            </w:tcBorders>
            <w:noWrap/>
            <w:vAlign w:val="bottom"/>
          </w:tcPr>
          <w:p w:rsidR="00B44918" w:rsidRDefault="00B44918" w:rsidP="0089443A">
            <w:pPr>
              <w:jc w:val="right"/>
              <w:rPr>
                <w:rFonts w:ascii="Arial" w:hAnsi="Arial" w:cs="Arial"/>
                <w:sz w:val="20"/>
                <w:szCs w:val="20"/>
              </w:rPr>
            </w:pPr>
            <w:r>
              <w:rPr>
                <w:rFonts w:ascii="Arial" w:hAnsi="Arial" w:cs="Arial"/>
                <w:sz w:val="20"/>
                <w:szCs w:val="20"/>
              </w:rPr>
              <w:t>0,9%</w:t>
            </w:r>
          </w:p>
        </w:tc>
      </w:tr>
      <w:tr w:rsidR="00B44918"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B44918" w:rsidRPr="005E763B" w:rsidRDefault="00B44918" w:rsidP="0089443A">
            <w:pPr>
              <w:rPr>
                <w:rFonts w:ascii="Arial" w:hAnsi="Arial" w:cs="Arial"/>
                <w:b/>
                <w:bCs/>
                <w:sz w:val="20"/>
                <w:szCs w:val="20"/>
              </w:rPr>
            </w:pPr>
            <w:r w:rsidRPr="005E763B">
              <w:rPr>
                <w:rFonts w:ascii="Arial" w:hAnsi="Arial" w:cs="Arial"/>
                <w:b/>
                <w:bCs/>
                <w:sz w:val="20"/>
                <w:szCs w:val="20"/>
              </w:rPr>
              <w:t>İthalat</w:t>
            </w:r>
          </w:p>
        </w:tc>
        <w:tc>
          <w:tcPr>
            <w:tcW w:w="1305" w:type="dxa"/>
            <w:tcBorders>
              <w:top w:val="nil"/>
              <w:left w:val="nil"/>
              <w:bottom w:val="single" w:sz="4" w:space="0" w:color="auto"/>
              <w:right w:val="single" w:sz="4" w:space="0" w:color="auto"/>
            </w:tcBorders>
            <w:noWrap/>
            <w:vAlign w:val="bottom"/>
          </w:tcPr>
          <w:p w:rsidR="00B44918" w:rsidRDefault="00B44918" w:rsidP="0089443A">
            <w:pPr>
              <w:jc w:val="right"/>
              <w:rPr>
                <w:rFonts w:ascii="Arial" w:hAnsi="Arial" w:cs="Arial"/>
                <w:sz w:val="20"/>
                <w:szCs w:val="20"/>
              </w:rPr>
            </w:pPr>
            <w:r>
              <w:rPr>
                <w:rFonts w:ascii="Arial" w:hAnsi="Arial" w:cs="Arial"/>
                <w:sz w:val="20"/>
                <w:szCs w:val="20"/>
              </w:rPr>
              <w:t>3,2%</w:t>
            </w:r>
          </w:p>
        </w:tc>
        <w:tc>
          <w:tcPr>
            <w:tcW w:w="1305" w:type="dxa"/>
            <w:tcBorders>
              <w:top w:val="nil"/>
              <w:left w:val="nil"/>
              <w:bottom w:val="single" w:sz="4" w:space="0" w:color="auto"/>
              <w:right w:val="single" w:sz="4" w:space="0" w:color="auto"/>
            </w:tcBorders>
            <w:noWrap/>
            <w:vAlign w:val="bottom"/>
          </w:tcPr>
          <w:p w:rsidR="00B44918" w:rsidRDefault="00B44918" w:rsidP="0089443A">
            <w:pPr>
              <w:jc w:val="right"/>
              <w:rPr>
                <w:rFonts w:ascii="Arial" w:hAnsi="Arial" w:cs="Arial"/>
                <w:sz w:val="20"/>
                <w:szCs w:val="20"/>
              </w:rPr>
            </w:pPr>
            <w:r>
              <w:rPr>
                <w:rFonts w:ascii="Arial" w:hAnsi="Arial" w:cs="Arial"/>
                <w:sz w:val="20"/>
                <w:szCs w:val="20"/>
              </w:rPr>
              <w:t>-0,9%</w:t>
            </w:r>
          </w:p>
        </w:tc>
      </w:tr>
      <w:tr w:rsidR="00B44918"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B44918" w:rsidRPr="005E763B" w:rsidRDefault="00B44918" w:rsidP="0089443A">
            <w:pPr>
              <w:rPr>
                <w:rFonts w:ascii="Arial" w:hAnsi="Arial" w:cs="Arial"/>
                <w:b/>
                <w:bCs/>
                <w:sz w:val="20"/>
                <w:szCs w:val="20"/>
              </w:rPr>
            </w:pPr>
            <w:r w:rsidRPr="005E763B">
              <w:rPr>
                <w:rFonts w:ascii="Arial" w:hAnsi="Arial" w:cs="Arial"/>
                <w:b/>
                <w:bCs/>
                <w:sz w:val="20"/>
                <w:szCs w:val="20"/>
              </w:rPr>
              <w:t> </w:t>
            </w:r>
          </w:p>
        </w:tc>
        <w:tc>
          <w:tcPr>
            <w:tcW w:w="1305" w:type="dxa"/>
            <w:tcBorders>
              <w:top w:val="nil"/>
              <w:left w:val="nil"/>
              <w:bottom w:val="single" w:sz="4" w:space="0" w:color="auto"/>
              <w:right w:val="single" w:sz="4" w:space="0" w:color="auto"/>
            </w:tcBorders>
            <w:noWrap/>
            <w:vAlign w:val="bottom"/>
          </w:tcPr>
          <w:p w:rsidR="00B44918" w:rsidRDefault="00B44918" w:rsidP="0089443A">
            <w:pPr>
              <w:rPr>
                <w:rFonts w:ascii="Arial" w:hAnsi="Arial" w:cs="Arial"/>
                <w:sz w:val="20"/>
                <w:szCs w:val="20"/>
              </w:rPr>
            </w:pPr>
            <w:r>
              <w:rPr>
                <w:rFonts w:ascii="Arial" w:hAnsi="Arial" w:cs="Arial"/>
                <w:sz w:val="20"/>
                <w:szCs w:val="20"/>
              </w:rPr>
              <w:t> </w:t>
            </w:r>
          </w:p>
        </w:tc>
        <w:tc>
          <w:tcPr>
            <w:tcW w:w="1305" w:type="dxa"/>
            <w:tcBorders>
              <w:top w:val="nil"/>
              <w:left w:val="nil"/>
              <w:bottom w:val="single" w:sz="4" w:space="0" w:color="auto"/>
              <w:right w:val="single" w:sz="4" w:space="0" w:color="auto"/>
            </w:tcBorders>
            <w:noWrap/>
            <w:vAlign w:val="bottom"/>
          </w:tcPr>
          <w:p w:rsidR="00B44918" w:rsidRDefault="00B44918" w:rsidP="0089443A">
            <w:pPr>
              <w:rPr>
                <w:rFonts w:ascii="Arial" w:hAnsi="Arial" w:cs="Arial"/>
                <w:sz w:val="20"/>
                <w:szCs w:val="20"/>
              </w:rPr>
            </w:pPr>
            <w:r>
              <w:rPr>
                <w:rFonts w:ascii="Arial" w:hAnsi="Arial" w:cs="Arial"/>
                <w:sz w:val="20"/>
                <w:szCs w:val="20"/>
              </w:rPr>
              <w:t> </w:t>
            </w:r>
          </w:p>
        </w:tc>
      </w:tr>
      <w:tr w:rsidR="00B44918"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B44918" w:rsidRPr="005E763B" w:rsidRDefault="00B44918" w:rsidP="0089443A">
            <w:pPr>
              <w:rPr>
                <w:rFonts w:ascii="Arial" w:hAnsi="Arial" w:cs="Arial"/>
                <w:b/>
                <w:bCs/>
                <w:sz w:val="20"/>
                <w:szCs w:val="20"/>
              </w:rPr>
            </w:pPr>
            <w:r>
              <w:rPr>
                <w:rFonts w:ascii="Arial" w:hAnsi="Arial" w:cs="Arial"/>
                <w:b/>
                <w:bCs/>
                <w:sz w:val="20"/>
                <w:szCs w:val="20"/>
              </w:rPr>
              <w:t>2012 – 4</w:t>
            </w:r>
            <w:r w:rsidRPr="005E763B">
              <w:rPr>
                <w:rFonts w:ascii="Arial" w:hAnsi="Arial" w:cs="Arial"/>
                <w:b/>
                <w:bCs/>
                <w:sz w:val="20"/>
                <w:szCs w:val="20"/>
              </w:rPr>
              <w:t>. Ç</w:t>
            </w:r>
          </w:p>
        </w:tc>
        <w:tc>
          <w:tcPr>
            <w:tcW w:w="1305" w:type="dxa"/>
            <w:tcBorders>
              <w:top w:val="nil"/>
              <w:left w:val="nil"/>
              <w:bottom w:val="single" w:sz="4" w:space="0" w:color="auto"/>
              <w:right w:val="single" w:sz="4" w:space="0" w:color="auto"/>
            </w:tcBorders>
            <w:noWrap/>
            <w:vAlign w:val="bottom"/>
          </w:tcPr>
          <w:p w:rsidR="00B44918" w:rsidRPr="005E763B" w:rsidRDefault="00B44918" w:rsidP="0089443A">
            <w:pPr>
              <w:jc w:val="center"/>
              <w:rPr>
                <w:rFonts w:ascii="Arial" w:hAnsi="Arial" w:cs="Arial"/>
                <w:b/>
                <w:bCs/>
                <w:sz w:val="20"/>
                <w:szCs w:val="20"/>
              </w:rPr>
            </w:pPr>
            <w:r w:rsidRPr="005E763B">
              <w:rPr>
                <w:rFonts w:ascii="Arial" w:hAnsi="Arial" w:cs="Arial"/>
                <w:b/>
                <w:bCs/>
                <w:sz w:val="20"/>
                <w:szCs w:val="20"/>
              </w:rPr>
              <w:t>Degişim</w:t>
            </w:r>
          </w:p>
        </w:tc>
        <w:tc>
          <w:tcPr>
            <w:tcW w:w="1305" w:type="dxa"/>
            <w:tcBorders>
              <w:top w:val="nil"/>
              <w:left w:val="nil"/>
              <w:bottom w:val="single" w:sz="4" w:space="0" w:color="auto"/>
              <w:right w:val="single" w:sz="4" w:space="0" w:color="auto"/>
            </w:tcBorders>
            <w:noWrap/>
            <w:vAlign w:val="bottom"/>
          </w:tcPr>
          <w:p w:rsidR="00B44918" w:rsidRPr="005E763B" w:rsidRDefault="00B44918" w:rsidP="0089443A">
            <w:pPr>
              <w:jc w:val="center"/>
              <w:rPr>
                <w:rFonts w:ascii="Arial" w:hAnsi="Arial" w:cs="Arial"/>
                <w:b/>
                <w:bCs/>
                <w:sz w:val="20"/>
                <w:szCs w:val="20"/>
              </w:rPr>
            </w:pPr>
            <w:r w:rsidRPr="005E763B">
              <w:rPr>
                <w:rFonts w:ascii="Arial" w:hAnsi="Arial" w:cs="Arial"/>
                <w:b/>
                <w:bCs/>
                <w:sz w:val="20"/>
                <w:szCs w:val="20"/>
              </w:rPr>
              <w:t>Katkılar</w:t>
            </w:r>
          </w:p>
        </w:tc>
      </w:tr>
      <w:tr w:rsidR="00B44918"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B44918" w:rsidRPr="005E763B" w:rsidRDefault="00B44918" w:rsidP="0089443A">
            <w:pPr>
              <w:rPr>
                <w:rFonts w:ascii="Arial" w:hAnsi="Arial" w:cs="Arial"/>
                <w:b/>
                <w:bCs/>
                <w:sz w:val="20"/>
                <w:szCs w:val="20"/>
              </w:rPr>
            </w:pPr>
            <w:r w:rsidRPr="005E763B">
              <w:rPr>
                <w:rFonts w:ascii="Arial" w:hAnsi="Arial" w:cs="Arial"/>
                <w:b/>
                <w:bCs/>
                <w:sz w:val="20"/>
                <w:szCs w:val="20"/>
              </w:rPr>
              <w:t>Tüketim</w:t>
            </w:r>
          </w:p>
        </w:tc>
        <w:tc>
          <w:tcPr>
            <w:tcW w:w="1305" w:type="dxa"/>
            <w:tcBorders>
              <w:top w:val="nil"/>
              <w:left w:val="nil"/>
              <w:bottom w:val="single" w:sz="4" w:space="0" w:color="auto"/>
              <w:right w:val="single" w:sz="4" w:space="0" w:color="auto"/>
            </w:tcBorders>
            <w:noWrap/>
            <w:vAlign w:val="bottom"/>
          </w:tcPr>
          <w:p w:rsidR="00B44918" w:rsidRDefault="00B44918" w:rsidP="0089443A">
            <w:pPr>
              <w:jc w:val="right"/>
              <w:rPr>
                <w:rFonts w:ascii="Arial" w:hAnsi="Arial" w:cs="Arial"/>
                <w:sz w:val="20"/>
                <w:szCs w:val="20"/>
              </w:rPr>
            </w:pPr>
            <w:r>
              <w:rPr>
                <w:rFonts w:ascii="Arial" w:hAnsi="Arial" w:cs="Arial"/>
                <w:sz w:val="20"/>
                <w:szCs w:val="20"/>
              </w:rPr>
              <w:t>-0,8%</w:t>
            </w:r>
          </w:p>
        </w:tc>
        <w:tc>
          <w:tcPr>
            <w:tcW w:w="1305" w:type="dxa"/>
            <w:tcBorders>
              <w:top w:val="nil"/>
              <w:left w:val="nil"/>
              <w:bottom w:val="single" w:sz="4" w:space="0" w:color="auto"/>
              <w:right w:val="single" w:sz="4" w:space="0" w:color="auto"/>
            </w:tcBorders>
            <w:noWrap/>
            <w:vAlign w:val="bottom"/>
          </w:tcPr>
          <w:p w:rsidR="00B44918" w:rsidRDefault="00B44918" w:rsidP="0089443A">
            <w:pPr>
              <w:jc w:val="right"/>
              <w:rPr>
                <w:rFonts w:ascii="Arial" w:hAnsi="Arial" w:cs="Arial"/>
                <w:sz w:val="20"/>
                <w:szCs w:val="20"/>
              </w:rPr>
            </w:pPr>
            <w:r>
              <w:rPr>
                <w:rFonts w:ascii="Arial" w:hAnsi="Arial" w:cs="Arial"/>
                <w:sz w:val="20"/>
                <w:szCs w:val="20"/>
              </w:rPr>
              <w:t>-0,6%</w:t>
            </w:r>
          </w:p>
        </w:tc>
      </w:tr>
      <w:tr w:rsidR="00B44918"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B44918" w:rsidRPr="005E763B" w:rsidRDefault="00B44918" w:rsidP="0089443A">
            <w:pPr>
              <w:rPr>
                <w:rFonts w:ascii="Arial" w:hAnsi="Arial" w:cs="Arial"/>
                <w:b/>
                <w:bCs/>
                <w:sz w:val="20"/>
                <w:szCs w:val="20"/>
              </w:rPr>
            </w:pPr>
            <w:r w:rsidRPr="005E763B">
              <w:rPr>
                <w:rFonts w:ascii="Arial" w:hAnsi="Arial" w:cs="Arial"/>
                <w:b/>
                <w:bCs/>
                <w:sz w:val="20"/>
                <w:szCs w:val="20"/>
              </w:rPr>
              <w:t>Özel Yatırım</w:t>
            </w:r>
          </w:p>
        </w:tc>
        <w:tc>
          <w:tcPr>
            <w:tcW w:w="1305" w:type="dxa"/>
            <w:tcBorders>
              <w:top w:val="nil"/>
              <w:left w:val="nil"/>
              <w:bottom w:val="single" w:sz="4" w:space="0" w:color="auto"/>
              <w:right w:val="single" w:sz="4" w:space="0" w:color="auto"/>
            </w:tcBorders>
            <w:noWrap/>
            <w:vAlign w:val="bottom"/>
          </w:tcPr>
          <w:p w:rsidR="00B44918" w:rsidRDefault="00B44918" w:rsidP="0089443A">
            <w:pPr>
              <w:jc w:val="right"/>
              <w:rPr>
                <w:rFonts w:ascii="Arial" w:hAnsi="Arial" w:cs="Arial"/>
                <w:sz w:val="20"/>
                <w:szCs w:val="20"/>
              </w:rPr>
            </w:pPr>
            <w:r>
              <w:rPr>
                <w:rFonts w:ascii="Arial" w:hAnsi="Arial" w:cs="Arial"/>
                <w:sz w:val="20"/>
                <w:szCs w:val="20"/>
              </w:rPr>
              <w:t>-9,2%</w:t>
            </w:r>
          </w:p>
        </w:tc>
        <w:tc>
          <w:tcPr>
            <w:tcW w:w="1305" w:type="dxa"/>
            <w:tcBorders>
              <w:top w:val="nil"/>
              <w:left w:val="nil"/>
              <w:bottom w:val="single" w:sz="4" w:space="0" w:color="auto"/>
              <w:right w:val="single" w:sz="4" w:space="0" w:color="auto"/>
            </w:tcBorders>
            <w:noWrap/>
            <w:vAlign w:val="bottom"/>
          </w:tcPr>
          <w:p w:rsidR="00B44918" w:rsidRDefault="00B44918" w:rsidP="0089443A">
            <w:pPr>
              <w:jc w:val="right"/>
              <w:rPr>
                <w:rFonts w:ascii="Arial" w:hAnsi="Arial" w:cs="Arial"/>
                <w:sz w:val="20"/>
                <w:szCs w:val="20"/>
              </w:rPr>
            </w:pPr>
            <w:r>
              <w:rPr>
                <w:rFonts w:ascii="Arial" w:hAnsi="Arial" w:cs="Arial"/>
                <w:sz w:val="20"/>
                <w:szCs w:val="20"/>
              </w:rPr>
              <w:t>-1,9%</w:t>
            </w:r>
          </w:p>
        </w:tc>
      </w:tr>
      <w:tr w:rsidR="00B44918"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B44918" w:rsidRPr="005E763B" w:rsidRDefault="00B44918" w:rsidP="0089443A">
            <w:pPr>
              <w:rPr>
                <w:rFonts w:ascii="Arial" w:hAnsi="Arial" w:cs="Arial"/>
                <w:b/>
                <w:bCs/>
                <w:sz w:val="20"/>
                <w:szCs w:val="20"/>
              </w:rPr>
            </w:pPr>
            <w:r w:rsidRPr="005E763B">
              <w:rPr>
                <w:rFonts w:ascii="Arial" w:hAnsi="Arial" w:cs="Arial"/>
                <w:b/>
                <w:bCs/>
                <w:sz w:val="20"/>
                <w:szCs w:val="20"/>
              </w:rPr>
              <w:t>Kamu Harcamaları</w:t>
            </w:r>
          </w:p>
        </w:tc>
        <w:tc>
          <w:tcPr>
            <w:tcW w:w="1305" w:type="dxa"/>
            <w:tcBorders>
              <w:top w:val="nil"/>
              <w:left w:val="nil"/>
              <w:bottom w:val="single" w:sz="4" w:space="0" w:color="auto"/>
              <w:right w:val="single" w:sz="4" w:space="0" w:color="auto"/>
            </w:tcBorders>
            <w:noWrap/>
            <w:vAlign w:val="bottom"/>
          </w:tcPr>
          <w:p w:rsidR="00B44918" w:rsidRDefault="00B44918" w:rsidP="0089443A">
            <w:pPr>
              <w:jc w:val="right"/>
              <w:rPr>
                <w:rFonts w:ascii="Arial" w:hAnsi="Arial" w:cs="Arial"/>
                <w:sz w:val="20"/>
                <w:szCs w:val="20"/>
              </w:rPr>
            </w:pPr>
            <w:r>
              <w:rPr>
                <w:rFonts w:ascii="Arial" w:hAnsi="Arial" w:cs="Arial"/>
                <w:sz w:val="20"/>
                <w:szCs w:val="20"/>
              </w:rPr>
              <w:t>11,0%</w:t>
            </w:r>
          </w:p>
        </w:tc>
        <w:tc>
          <w:tcPr>
            <w:tcW w:w="1305" w:type="dxa"/>
            <w:tcBorders>
              <w:top w:val="nil"/>
              <w:left w:val="nil"/>
              <w:bottom w:val="single" w:sz="4" w:space="0" w:color="auto"/>
              <w:right w:val="single" w:sz="4" w:space="0" w:color="auto"/>
            </w:tcBorders>
            <w:noWrap/>
            <w:vAlign w:val="bottom"/>
          </w:tcPr>
          <w:p w:rsidR="00B44918" w:rsidRDefault="00B44918" w:rsidP="0089443A">
            <w:pPr>
              <w:jc w:val="right"/>
              <w:rPr>
                <w:rFonts w:ascii="Arial" w:hAnsi="Arial" w:cs="Arial"/>
                <w:sz w:val="20"/>
                <w:szCs w:val="20"/>
              </w:rPr>
            </w:pPr>
            <w:r>
              <w:rPr>
                <w:rFonts w:ascii="Arial" w:hAnsi="Arial" w:cs="Arial"/>
                <w:sz w:val="20"/>
                <w:szCs w:val="20"/>
              </w:rPr>
              <w:t>1,8%</w:t>
            </w:r>
          </w:p>
        </w:tc>
      </w:tr>
      <w:tr w:rsidR="00B44918"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B44918" w:rsidRPr="00DB028A" w:rsidRDefault="00B44918" w:rsidP="007D751B">
            <w:pPr>
              <w:rPr>
                <w:rFonts w:ascii="Arial TUR" w:hAnsi="Arial TUR" w:cs="Arial TUR"/>
                <w:bCs/>
                <w:sz w:val="20"/>
                <w:szCs w:val="20"/>
              </w:rPr>
            </w:pPr>
            <w:r>
              <w:rPr>
                <w:rFonts w:ascii="Arial TUR" w:hAnsi="Arial TUR" w:cs="Arial TUR"/>
                <w:bCs/>
                <w:sz w:val="20"/>
                <w:szCs w:val="20"/>
              </w:rPr>
              <w:t xml:space="preserve">  </w:t>
            </w:r>
            <w:r w:rsidRPr="00DB028A">
              <w:rPr>
                <w:rFonts w:ascii="Arial TUR" w:hAnsi="Arial TUR" w:cs="Arial TUR"/>
                <w:bCs/>
                <w:sz w:val="20"/>
                <w:szCs w:val="20"/>
              </w:rPr>
              <w:t>Tüketim</w:t>
            </w:r>
          </w:p>
        </w:tc>
        <w:tc>
          <w:tcPr>
            <w:tcW w:w="1305" w:type="dxa"/>
            <w:tcBorders>
              <w:top w:val="nil"/>
              <w:left w:val="nil"/>
              <w:bottom w:val="single" w:sz="4" w:space="0" w:color="auto"/>
              <w:right w:val="single" w:sz="4" w:space="0" w:color="auto"/>
            </w:tcBorders>
            <w:noWrap/>
            <w:vAlign w:val="bottom"/>
          </w:tcPr>
          <w:p w:rsidR="00B44918" w:rsidRDefault="00B44918" w:rsidP="0089443A">
            <w:pPr>
              <w:jc w:val="right"/>
              <w:rPr>
                <w:rFonts w:ascii="Arial" w:hAnsi="Arial" w:cs="Arial"/>
                <w:sz w:val="20"/>
                <w:szCs w:val="20"/>
              </w:rPr>
            </w:pPr>
            <w:r>
              <w:rPr>
                <w:rFonts w:ascii="Arial" w:hAnsi="Arial" w:cs="Arial"/>
                <w:sz w:val="20"/>
                <w:szCs w:val="20"/>
              </w:rPr>
              <w:t>7,1%</w:t>
            </w:r>
          </w:p>
        </w:tc>
        <w:tc>
          <w:tcPr>
            <w:tcW w:w="1305" w:type="dxa"/>
            <w:tcBorders>
              <w:top w:val="nil"/>
              <w:left w:val="nil"/>
              <w:bottom w:val="single" w:sz="4" w:space="0" w:color="auto"/>
              <w:right w:val="single" w:sz="4" w:space="0" w:color="auto"/>
            </w:tcBorders>
            <w:noWrap/>
            <w:vAlign w:val="bottom"/>
          </w:tcPr>
          <w:p w:rsidR="00B44918" w:rsidRDefault="00B44918" w:rsidP="0089443A">
            <w:pPr>
              <w:jc w:val="right"/>
              <w:rPr>
                <w:rFonts w:ascii="Arial" w:hAnsi="Arial" w:cs="Arial"/>
                <w:sz w:val="20"/>
                <w:szCs w:val="20"/>
              </w:rPr>
            </w:pPr>
            <w:r>
              <w:rPr>
                <w:rFonts w:ascii="Arial" w:hAnsi="Arial" w:cs="Arial"/>
                <w:sz w:val="20"/>
                <w:szCs w:val="20"/>
              </w:rPr>
              <w:t>0,9%</w:t>
            </w:r>
          </w:p>
        </w:tc>
      </w:tr>
      <w:tr w:rsidR="00B44918"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B44918" w:rsidRPr="00DB028A" w:rsidRDefault="00B44918" w:rsidP="007D751B">
            <w:pPr>
              <w:rPr>
                <w:rFonts w:ascii="Arial TUR" w:hAnsi="Arial TUR" w:cs="Arial TUR"/>
                <w:bCs/>
                <w:sz w:val="20"/>
                <w:szCs w:val="20"/>
              </w:rPr>
            </w:pPr>
            <w:r>
              <w:rPr>
                <w:rFonts w:ascii="Arial TUR" w:hAnsi="Arial TUR" w:cs="Arial TUR"/>
                <w:bCs/>
                <w:sz w:val="20"/>
                <w:szCs w:val="20"/>
              </w:rPr>
              <w:t xml:space="preserve">  </w:t>
            </w:r>
            <w:r w:rsidRPr="00DB028A">
              <w:rPr>
                <w:rFonts w:ascii="Arial TUR" w:hAnsi="Arial TUR" w:cs="Arial TUR"/>
                <w:bCs/>
                <w:sz w:val="20"/>
                <w:szCs w:val="20"/>
              </w:rPr>
              <w:t>Makine ve Teçhizat</w:t>
            </w:r>
          </w:p>
        </w:tc>
        <w:tc>
          <w:tcPr>
            <w:tcW w:w="1305" w:type="dxa"/>
            <w:tcBorders>
              <w:top w:val="nil"/>
              <w:left w:val="nil"/>
              <w:bottom w:val="single" w:sz="4" w:space="0" w:color="auto"/>
              <w:right w:val="single" w:sz="4" w:space="0" w:color="auto"/>
            </w:tcBorders>
            <w:noWrap/>
            <w:vAlign w:val="bottom"/>
          </w:tcPr>
          <w:p w:rsidR="00B44918" w:rsidRDefault="00B44918" w:rsidP="0089443A">
            <w:pPr>
              <w:jc w:val="right"/>
              <w:rPr>
                <w:rFonts w:ascii="Arial" w:hAnsi="Arial" w:cs="Arial"/>
                <w:sz w:val="20"/>
                <w:szCs w:val="20"/>
              </w:rPr>
            </w:pPr>
            <w:r>
              <w:rPr>
                <w:rFonts w:ascii="Arial" w:hAnsi="Arial" w:cs="Arial"/>
                <w:sz w:val="20"/>
                <w:szCs w:val="20"/>
              </w:rPr>
              <w:t>47,8%</w:t>
            </w:r>
          </w:p>
        </w:tc>
        <w:tc>
          <w:tcPr>
            <w:tcW w:w="1305" w:type="dxa"/>
            <w:tcBorders>
              <w:top w:val="nil"/>
              <w:left w:val="nil"/>
              <w:bottom w:val="single" w:sz="4" w:space="0" w:color="auto"/>
              <w:right w:val="single" w:sz="4" w:space="0" w:color="auto"/>
            </w:tcBorders>
            <w:noWrap/>
            <w:vAlign w:val="bottom"/>
          </w:tcPr>
          <w:p w:rsidR="00B44918" w:rsidRDefault="00B44918" w:rsidP="0089443A">
            <w:pPr>
              <w:jc w:val="right"/>
              <w:rPr>
                <w:rFonts w:ascii="Arial" w:hAnsi="Arial" w:cs="Arial"/>
                <w:sz w:val="20"/>
                <w:szCs w:val="20"/>
              </w:rPr>
            </w:pPr>
            <w:r>
              <w:rPr>
                <w:rFonts w:ascii="Arial" w:hAnsi="Arial" w:cs="Arial"/>
                <w:sz w:val="20"/>
                <w:szCs w:val="20"/>
              </w:rPr>
              <w:t>0,8%</w:t>
            </w:r>
          </w:p>
        </w:tc>
      </w:tr>
      <w:tr w:rsidR="00B44918"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B44918" w:rsidRPr="00DB028A" w:rsidRDefault="00B44918" w:rsidP="007D751B">
            <w:pPr>
              <w:rPr>
                <w:rFonts w:ascii="Arial TUR" w:hAnsi="Arial TUR" w:cs="Arial TUR"/>
                <w:bCs/>
                <w:sz w:val="20"/>
                <w:szCs w:val="20"/>
              </w:rPr>
            </w:pPr>
            <w:r>
              <w:rPr>
                <w:rFonts w:ascii="Arial TUR" w:hAnsi="Arial TUR" w:cs="Arial TUR"/>
                <w:bCs/>
                <w:sz w:val="20"/>
                <w:szCs w:val="20"/>
              </w:rPr>
              <w:t xml:space="preserve">  </w:t>
            </w:r>
            <w:r w:rsidRPr="00DB028A">
              <w:rPr>
                <w:rFonts w:ascii="Arial TUR" w:hAnsi="Arial TUR" w:cs="Arial TUR"/>
                <w:bCs/>
                <w:sz w:val="20"/>
                <w:szCs w:val="20"/>
              </w:rPr>
              <w:t>İnşaat</w:t>
            </w:r>
          </w:p>
        </w:tc>
        <w:tc>
          <w:tcPr>
            <w:tcW w:w="1305" w:type="dxa"/>
            <w:tcBorders>
              <w:top w:val="nil"/>
              <w:left w:val="nil"/>
              <w:bottom w:val="single" w:sz="4" w:space="0" w:color="auto"/>
              <w:right w:val="single" w:sz="4" w:space="0" w:color="auto"/>
            </w:tcBorders>
            <w:noWrap/>
            <w:vAlign w:val="bottom"/>
          </w:tcPr>
          <w:p w:rsidR="00B44918" w:rsidRDefault="00B44918" w:rsidP="0089443A">
            <w:pPr>
              <w:jc w:val="right"/>
              <w:rPr>
                <w:rFonts w:ascii="Arial" w:hAnsi="Arial" w:cs="Arial"/>
                <w:sz w:val="20"/>
                <w:szCs w:val="20"/>
              </w:rPr>
            </w:pPr>
            <w:r>
              <w:rPr>
                <w:rFonts w:ascii="Arial" w:hAnsi="Arial" w:cs="Arial"/>
                <w:sz w:val="20"/>
                <w:szCs w:val="20"/>
              </w:rPr>
              <w:t>7,4%</w:t>
            </w:r>
          </w:p>
        </w:tc>
        <w:tc>
          <w:tcPr>
            <w:tcW w:w="1305" w:type="dxa"/>
            <w:tcBorders>
              <w:top w:val="nil"/>
              <w:left w:val="nil"/>
              <w:bottom w:val="single" w:sz="4" w:space="0" w:color="auto"/>
              <w:right w:val="single" w:sz="4" w:space="0" w:color="auto"/>
            </w:tcBorders>
            <w:noWrap/>
            <w:vAlign w:val="bottom"/>
          </w:tcPr>
          <w:p w:rsidR="00B44918" w:rsidRDefault="00B44918" w:rsidP="0089443A">
            <w:pPr>
              <w:jc w:val="right"/>
              <w:rPr>
                <w:rFonts w:ascii="Arial" w:hAnsi="Arial" w:cs="Arial"/>
                <w:sz w:val="20"/>
                <w:szCs w:val="20"/>
              </w:rPr>
            </w:pPr>
            <w:r>
              <w:rPr>
                <w:rFonts w:ascii="Arial" w:hAnsi="Arial" w:cs="Arial"/>
                <w:sz w:val="20"/>
                <w:szCs w:val="20"/>
              </w:rPr>
              <w:t>0,2%</w:t>
            </w:r>
          </w:p>
        </w:tc>
      </w:tr>
      <w:tr w:rsidR="00B44918"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B44918" w:rsidRPr="005E763B" w:rsidRDefault="00B44918" w:rsidP="0089443A">
            <w:pPr>
              <w:rPr>
                <w:rFonts w:ascii="Arial" w:hAnsi="Arial" w:cs="Arial"/>
                <w:b/>
                <w:bCs/>
                <w:sz w:val="20"/>
                <w:szCs w:val="20"/>
              </w:rPr>
            </w:pPr>
            <w:r w:rsidRPr="005E763B">
              <w:rPr>
                <w:rFonts w:ascii="Arial" w:hAnsi="Arial" w:cs="Arial"/>
                <w:b/>
                <w:bCs/>
                <w:sz w:val="20"/>
                <w:szCs w:val="20"/>
              </w:rPr>
              <w:t>Stok Değişimi</w:t>
            </w:r>
          </w:p>
        </w:tc>
        <w:tc>
          <w:tcPr>
            <w:tcW w:w="1305" w:type="dxa"/>
            <w:tcBorders>
              <w:top w:val="nil"/>
              <w:left w:val="nil"/>
              <w:bottom w:val="single" w:sz="4" w:space="0" w:color="auto"/>
              <w:right w:val="single" w:sz="4" w:space="0" w:color="auto"/>
            </w:tcBorders>
            <w:noWrap/>
            <w:vAlign w:val="bottom"/>
          </w:tcPr>
          <w:p w:rsidR="00B44918" w:rsidRDefault="00B44918" w:rsidP="0089443A">
            <w:pPr>
              <w:jc w:val="right"/>
              <w:rPr>
                <w:rFonts w:ascii="Arial" w:hAnsi="Arial" w:cs="Arial"/>
                <w:sz w:val="20"/>
                <w:szCs w:val="20"/>
              </w:rPr>
            </w:pPr>
            <w:r>
              <w:rPr>
                <w:rFonts w:ascii="Arial" w:hAnsi="Arial" w:cs="Arial"/>
                <w:sz w:val="20"/>
                <w:szCs w:val="20"/>
              </w:rPr>
              <w:t>----</w:t>
            </w:r>
          </w:p>
        </w:tc>
        <w:tc>
          <w:tcPr>
            <w:tcW w:w="1305" w:type="dxa"/>
            <w:tcBorders>
              <w:top w:val="nil"/>
              <w:left w:val="nil"/>
              <w:bottom w:val="single" w:sz="4" w:space="0" w:color="auto"/>
              <w:right w:val="single" w:sz="4" w:space="0" w:color="auto"/>
            </w:tcBorders>
            <w:noWrap/>
            <w:vAlign w:val="bottom"/>
          </w:tcPr>
          <w:p w:rsidR="00B44918" w:rsidRDefault="00B44918" w:rsidP="0089443A">
            <w:pPr>
              <w:jc w:val="right"/>
              <w:rPr>
                <w:rFonts w:ascii="Arial" w:hAnsi="Arial" w:cs="Arial"/>
                <w:sz w:val="20"/>
                <w:szCs w:val="20"/>
              </w:rPr>
            </w:pPr>
            <w:r>
              <w:rPr>
                <w:rFonts w:ascii="Arial" w:hAnsi="Arial" w:cs="Arial"/>
                <w:sz w:val="20"/>
                <w:szCs w:val="20"/>
              </w:rPr>
              <w:t>-0,9%</w:t>
            </w:r>
          </w:p>
        </w:tc>
      </w:tr>
      <w:tr w:rsidR="00B44918"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B44918" w:rsidRPr="005E763B" w:rsidRDefault="00B44918" w:rsidP="0089443A">
            <w:pPr>
              <w:rPr>
                <w:rFonts w:ascii="Arial" w:hAnsi="Arial" w:cs="Arial"/>
                <w:b/>
                <w:bCs/>
                <w:sz w:val="20"/>
                <w:szCs w:val="20"/>
              </w:rPr>
            </w:pPr>
            <w:r w:rsidRPr="005E763B">
              <w:rPr>
                <w:rFonts w:ascii="Arial" w:hAnsi="Arial" w:cs="Arial"/>
                <w:b/>
                <w:bCs/>
                <w:sz w:val="20"/>
                <w:szCs w:val="20"/>
              </w:rPr>
              <w:t>İhracat</w:t>
            </w:r>
          </w:p>
        </w:tc>
        <w:tc>
          <w:tcPr>
            <w:tcW w:w="1305" w:type="dxa"/>
            <w:tcBorders>
              <w:top w:val="nil"/>
              <w:left w:val="nil"/>
              <w:bottom w:val="single" w:sz="4" w:space="0" w:color="auto"/>
              <w:right w:val="single" w:sz="4" w:space="0" w:color="auto"/>
            </w:tcBorders>
            <w:noWrap/>
            <w:vAlign w:val="bottom"/>
          </w:tcPr>
          <w:p w:rsidR="00B44918" w:rsidRDefault="00B44918" w:rsidP="0089443A">
            <w:pPr>
              <w:jc w:val="right"/>
              <w:rPr>
                <w:rFonts w:ascii="Arial" w:hAnsi="Arial" w:cs="Arial"/>
                <w:sz w:val="20"/>
                <w:szCs w:val="20"/>
              </w:rPr>
            </w:pPr>
            <w:r>
              <w:rPr>
                <w:rFonts w:ascii="Arial" w:hAnsi="Arial" w:cs="Arial"/>
                <w:sz w:val="20"/>
                <w:szCs w:val="20"/>
              </w:rPr>
              <w:t>15,0%</w:t>
            </w:r>
          </w:p>
        </w:tc>
        <w:tc>
          <w:tcPr>
            <w:tcW w:w="1305" w:type="dxa"/>
            <w:tcBorders>
              <w:top w:val="nil"/>
              <w:left w:val="nil"/>
              <w:bottom w:val="single" w:sz="4" w:space="0" w:color="auto"/>
              <w:right w:val="single" w:sz="4" w:space="0" w:color="auto"/>
            </w:tcBorders>
            <w:noWrap/>
            <w:vAlign w:val="bottom"/>
          </w:tcPr>
          <w:p w:rsidR="00B44918" w:rsidRDefault="00B44918" w:rsidP="0089443A">
            <w:pPr>
              <w:jc w:val="right"/>
              <w:rPr>
                <w:rFonts w:ascii="Arial" w:hAnsi="Arial" w:cs="Arial"/>
                <w:sz w:val="20"/>
                <w:szCs w:val="20"/>
              </w:rPr>
            </w:pPr>
            <w:r>
              <w:rPr>
                <w:rFonts w:ascii="Arial" w:hAnsi="Arial" w:cs="Arial"/>
                <w:sz w:val="20"/>
                <w:szCs w:val="20"/>
              </w:rPr>
              <w:t>3,7%</w:t>
            </w:r>
          </w:p>
        </w:tc>
      </w:tr>
      <w:tr w:rsidR="00B44918"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B44918" w:rsidRPr="005E763B" w:rsidRDefault="00B44918" w:rsidP="0089443A">
            <w:pPr>
              <w:rPr>
                <w:rFonts w:ascii="Arial" w:hAnsi="Arial" w:cs="Arial"/>
                <w:b/>
                <w:bCs/>
                <w:sz w:val="20"/>
                <w:szCs w:val="20"/>
              </w:rPr>
            </w:pPr>
            <w:r w:rsidRPr="005E763B">
              <w:rPr>
                <w:rFonts w:ascii="Arial" w:hAnsi="Arial" w:cs="Arial"/>
                <w:b/>
                <w:bCs/>
                <w:sz w:val="20"/>
                <w:szCs w:val="20"/>
              </w:rPr>
              <w:t>İthalat</w:t>
            </w:r>
          </w:p>
        </w:tc>
        <w:tc>
          <w:tcPr>
            <w:tcW w:w="1305" w:type="dxa"/>
            <w:tcBorders>
              <w:top w:val="nil"/>
              <w:left w:val="nil"/>
              <w:bottom w:val="single" w:sz="4" w:space="0" w:color="auto"/>
              <w:right w:val="single" w:sz="4" w:space="0" w:color="auto"/>
            </w:tcBorders>
            <w:noWrap/>
            <w:vAlign w:val="bottom"/>
          </w:tcPr>
          <w:p w:rsidR="00B44918" w:rsidRDefault="00B44918" w:rsidP="0089443A">
            <w:pPr>
              <w:jc w:val="right"/>
              <w:rPr>
                <w:rFonts w:ascii="Arial" w:hAnsi="Arial" w:cs="Arial"/>
                <w:sz w:val="20"/>
                <w:szCs w:val="20"/>
              </w:rPr>
            </w:pPr>
            <w:r>
              <w:rPr>
                <w:rFonts w:ascii="Arial" w:hAnsi="Arial" w:cs="Arial"/>
                <w:sz w:val="20"/>
                <w:szCs w:val="20"/>
              </w:rPr>
              <w:t>3,2%</w:t>
            </w:r>
          </w:p>
        </w:tc>
        <w:tc>
          <w:tcPr>
            <w:tcW w:w="1305" w:type="dxa"/>
            <w:tcBorders>
              <w:top w:val="nil"/>
              <w:left w:val="nil"/>
              <w:bottom w:val="single" w:sz="4" w:space="0" w:color="auto"/>
              <w:right w:val="single" w:sz="4" w:space="0" w:color="auto"/>
            </w:tcBorders>
            <w:noWrap/>
            <w:vAlign w:val="bottom"/>
          </w:tcPr>
          <w:p w:rsidR="00B44918" w:rsidRDefault="00B44918" w:rsidP="0089443A">
            <w:pPr>
              <w:jc w:val="right"/>
              <w:rPr>
                <w:rFonts w:ascii="Arial" w:hAnsi="Arial" w:cs="Arial"/>
                <w:sz w:val="20"/>
                <w:szCs w:val="20"/>
              </w:rPr>
            </w:pPr>
            <w:r>
              <w:rPr>
                <w:rFonts w:ascii="Arial" w:hAnsi="Arial" w:cs="Arial"/>
                <w:sz w:val="20"/>
                <w:szCs w:val="20"/>
              </w:rPr>
              <w:t>-0,8%</w:t>
            </w:r>
          </w:p>
        </w:tc>
      </w:tr>
    </w:tbl>
    <w:p w:rsidR="00B834FD" w:rsidRDefault="00B834FD" w:rsidP="00D561EE">
      <w:pPr>
        <w:pStyle w:val="NormalWeb"/>
        <w:spacing w:before="0" w:beforeAutospacing="0" w:after="0" w:afterAutospacing="0"/>
        <w:jc w:val="both"/>
        <w:rPr>
          <w:rFonts w:ascii="Arial" w:hAnsi="Arial" w:cs="Arial"/>
          <w:sz w:val="20"/>
          <w:szCs w:val="20"/>
        </w:rPr>
      </w:pPr>
      <w:r w:rsidRPr="00660DE2">
        <w:rPr>
          <w:rFonts w:ascii="Arial" w:hAnsi="Arial" w:cs="Arial"/>
          <w:sz w:val="16"/>
          <w:szCs w:val="16"/>
        </w:rPr>
        <w:t>Kaynak : TÜİK, Betam.</w:t>
      </w:r>
    </w:p>
    <w:p w:rsidR="00B834FD" w:rsidRDefault="00B834FD" w:rsidP="00A7746C">
      <w:pPr>
        <w:pStyle w:val="NormalWeb"/>
        <w:spacing w:before="0" w:beforeAutospacing="0" w:after="0" w:afterAutospacing="0" w:line="360" w:lineRule="auto"/>
        <w:ind w:right="77"/>
        <w:rPr>
          <w:rFonts w:ascii="Arial" w:hAnsi="Arial" w:cs="Arial"/>
          <w:b/>
          <w:bCs/>
          <w:sz w:val="20"/>
          <w:szCs w:val="20"/>
        </w:rPr>
      </w:pPr>
    </w:p>
    <w:p w:rsidR="00B834FD" w:rsidRDefault="00B834FD" w:rsidP="00DD51D1">
      <w:pPr>
        <w:pStyle w:val="NormalWeb"/>
        <w:spacing w:before="0" w:beforeAutospacing="0" w:after="0" w:afterAutospacing="0" w:line="360" w:lineRule="auto"/>
        <w:ind w:right="77"/>
        <w:rPr>
          <w:rFonts w:ascii="Arial" w:hAnsi="Arial" w:cs="Arial"/>
          <w:b/>
          <w:bCs/>
          <w:sz w:val="20"/>
          <w:szCs w:val="20"/>
        </w:rPr>
      </w:pPr>
    </w:p>
    <w:p w:rsidR="00B834FD" w:rsidRDefault="00B834FD" w:rsidP="00DD51D1">
      <w:pPr>
        <w:pStyle w:val="NormalWeb"/>
        <w:spacing w:before="0" w:beforeAutospacing="0" w:after="0" w:afterAutospacing="0" w:line="360" w:lineRule="auto"/>
        <w:ind w:right="77"/>
        <w:rPr>
          <w:rFonts w:ascii="Arial" w:hAnsi="Arial" w:cs="Arial"/>
          <w:b/>
          <w:bCs/>
          <w:sz w:val="20"/>
          <w:szCs w:val="20"/>
        </w:rPr>
      </w:pPr>
    </w:p>
    <w:p w:rsidR="00B834FD" w:rsidRDefault="00B834FD" w:rsidP="00DD51D1">
      <w:pPr>
        <w:pStyle w:val="NormalWeb"/>
        <w:spacing w:before="0" w:beforeAutospacing="0" w:after="0" w:afterAutospacing="0" w:line="360" w:lineRule="auto"/>
        <w:ind w:right="77"/>
        <w:rPr>
          <w:rFonts w:ascii="Arial" w:hAnsi="Arial" w:cs="Arial"/>
          <w:b/>
          <w:bCs/>
          <w:sz w:val="20"/>
          <w:szCs w:val="20"/>
        </w:rPr>
      </w:pPr>
    </w:p>
    <w:p w:rsidR="00B834FD" w:rsidRDefault="00B834FD" w:rsidP="00DD51D1">
      <w:pPr>
        <w:pStyle w:val="NormalWeb"/>
        <w:spacing w:before="0" w:beforeAutospacing="0" w:after="0" w:afterAutospacing="0" w:line="360" w:lineRule="auto"/>
        <w:ind w:right="77"/>
        <w:rPr>
          <w:rFonts w:ascii="Arial" w:hAnsi="Arial" w:cs="Arial"/>
          <w:b/>
          <w:bCs/>
          <w:sz w:val="20"/>
          <w:szCs w:val="20"/>
        </w:rPr>
      </w:pPr>
    </w:p>
    <w:p w:rsidR="00B834FD" w:rsidRPr="00DD51D1" w:rsidRDefault="00B834FD" w:rsidP="00DD51D1">
      <w:pPr>
        <w:pStyle w:val="NormalWeb"/>
        <w:spacing w:before="0" w:beforeAutospacing="0" w:after="0" w:afterAutospacing="0" w:line="360" w:lineRule="auto"/>
        <w:ind w:right="77"/>
        <w:rPr>
          <w:rFonts w:ascii="Arial" w:hAnsi="Arial" w:cs="Arial"/>
          <w:sz w:val="20"/>
          <w:szCs w:val="20"/>
        </w:rPr>
      </w:pPr>
      <w:r w:rsidRPr="00DD51D1">
        <w:rPr>
          <w:rFonts w:ascii="Arial" w:hAnsi="Arial" w:cs="Arial"/>
          <w:b/>
          <w:bCs/>
          <w:sz w:val="20"/>
          <w:szCs w:val="20"/>
        </w:rPr>
        <w:lastRenderedPageBreak/>
        <w:t>Ek 1:</w:t>
      </w:r>
      <w:r w:rsidRPr="00DD51D1">
        <w:rPr>
          <w:rFonts w:ascii="Arial" w:hAnsi="Arial" w:cs="Arial"/>
          <w:sz w:val="20"/>
          <w:szCs w:val="20"/>
        </w:rPr>
        <w:t xml:space="preserve">  </w:t>
      </w:r>
      <w:r w:rsidRPr="00DD51D1">
        <w:rPr>
          <w:rFonts w:ascii="Arial" w:hAnsi="Arial" w:cs="Arial"/>
          <w:b/>
          <w:bCs/>
          <w:sz w:val="20"/>
          <w:szCs w:val="20"/>
        </w:rPr>
        <w:t>GSYH değişimi ve alt kalemlerin büyümeye katkılarının hesaplanması:</w:t>
      </w:r>
    </w:p>
    <w:p w:rsidR="00B834FD" w:rsidRPr="00DD51D1" w:rsidRDefault="00B834FD" w:rsidP="00C335E9">
      <w:pPr>
        <w:pStyle w:val="NormalWeb"/>
        <w:spacing w:before="0" w:beforeAutospacing="0" w:after="0" w:afterAutospacing="0"/>
        <w:ind w:right="77"/>
        <w:jc w:val="both"/>
        <w:rPr>
          <w:rFonts w:ascii="Arial" w:hAnsi="Arial" w:cs="Arial"/>
          <w:sz w:val="20"/>
          <w:szCs w:val="20"/>
        </w:rPr>
      </w:pPr>
    </w:p>
    <w:p w:rsidR="00B834FD" w:rsidRPr="00DD51D1" w:rsidRDefault="00B834FD" w:rsidP="00C335E9">
      <w:pPr>
        <w:pStyle w:val="NormalWeb"/>
        <w:spacing w:before="0" w:beforeAutospacing="0" w:after="0" w:afterAutospacing="0"/>
        <w:ind w:right="77"/>
        <w:jc w:val="both"/>
        <w:rPr>
          <w:rFonts w:ascii="Arial" w:hAnsi="Arial" w:cs="Arial"/>
          <w:sz w:val="20"/>
          <w:szCs w:val="20"/>
        </w:rPr>
      </w:pPr>
      <w:r w:rsidRPr="00DD51D1">
        <w:rPr>
          <w:rFonts w:ascii="Arial" w:hAnsi="Arial" w:cs="Arial"/>
          <w:sz w:val="20"/>
          <w:szCs w:val="20"/>
        </w:rPr>
        <w:t>Alt kalemler 3 grup altında toplanmıştır :</w:t>
      </w:r>
    </w:p>
    <w:p w:rsidR="00B834FD" w:rsidRPr="00DD51D1" w:rsidRDefault="00B834FD" w:rsidP="00C335E9">
      <w:pPr>
        <w:pStyle w:val="NormalWeb"/>
        <w:spacing w:before="0" w:beforeAutospacing="0" w:after="0" w:afterAutospacing="0"/>
        <w:ind w:right="77"/>
        <w:jc w:val="both"/>
        <w:rPr>
          <w:rFonts w:ascii="Arial" w:hAnsi="Arial" w:cs="Arial"/>
          <w:sz w:val="20"/>
          <w:szCs w:val="20"/>
        </w:rPr>
      </w:pPr>
    </w:p>
    <w:p w:rsidR="00B834FD" w:rsidRPr="00DD51D1" w:rsidRDefault="00B834FD" w:rsidP="00C335E9">
      <w:pPr>
        <w:pStyle w:val="NormalWeb"/>
        <w:numPr>
          <w:ilvl w:val="0"/>
          <w:numId w:val="4"/>
        </w:numPr>
        <w:tabs>
          <w:tab w:val="clear" w:pos="720"/>
          <w:tab w:val="num" w:pos="360"/>
        </w:tabs>
        <w:spacing w:before="0" w:beforeAutospacing="0" w:after="0" w:afterAutospacing="0"/>
        <w:ind w:left="360" w:right="77" w:hanging="180"/>
        <w:jc w:val="both"/>
        <w:rPr>
          <w:rFonts w:ascii="Arial" w:hAnsi="Arial" w:cs="Arial"/>
          <w:sz w:val="20"/>
          <w:szCs w:val="20"/>
        </w:rPr>
      </w:pPr>
      <w:r w:rsidRPr="00DD51D1">
        <w:rPr>
          <w:rFonts w:ascii="Arial" w:hAnsi="Arial" w:cs="Arial"/>
          <w:sz w:val="20"/>
          <w:szCs w:val="20"/>
        </w:rPr>
        <w:t>Nihai iç talep, yerleşik hanehalklarının tüketimi (tüketim), devletin nihai tüketim harcamaları ve yatırım harcamaları toplamı (kamu harcamaları), özel sektörün yatırım harcamalar (yatırım) oluşmaktadır.</w:t>
      </w:r>
    </w:p>
    <w:p w:rsidR="00B834FD" w:rsidRPr="00DD51D1" w:rsidRDefault="00B834FD" w:rsidP="00C335E9">
      <w:pPr>
        <w:pStyle w:val="NormalWeb"/>
        <w:spacing w:before="0" w:beforeAutospacing="0" w:after="0" w:afterAutospacing="0"/>
        <w:ind w:left="180" w:right="77"/>
        <w:jc w:val="both"/>
        <w:rPr>
          <w:rFonts w:ascii="Arial" w:hAnsi="Arial" w:cs="Arial"/>
          <w:sz w:val="20"/>
          <w:szCs w:val="20"/>
        </w:rPr>
      </w:pPr>
    </w:p>
    <w:p w:rsidR="00B834FD" w:rsidRPr="00DD51D1" w:rsidRDefault="00B834FD" w:rsidP="00C335E9">
      <w:pPr>
        <w:pStyle w:val="NormalWeb"/>
        <w:numPr>
          <w:ilvl w:val="0"/>
          <w:numId w:val="4"/>
        </w:numPr>
        <w:tabs>
          <w:tab w:val="clear" w:pos="720"/>
          <w:tab w:val="num" w:pos="360"/>
        </w:tabs>
        <w:spacing w:before="0" w:beforeAutospacing="0" w:after="0" w:afterAutospacing="0"/>
        <w:ind w:left="360" w:right="77" w:hanging="180"/>
        <w:jc w:val="both"/>
        <w:rPr>
          <w:rFonts w:ascii="Arial" w:hAnsi="Arial" w:cs="Arial"/>
          <w:sz w:val="20"/>
          <w:szCs w:val="20"/>
        </w:rPr>
      </w:pPr>
      <w:r w:rsidRPr="00DD51D1">
        <w:rPr>
          <w:rFonts w:ascii="Arial" w:hAnsi="Arial" w:cs="Arial"/>
          <w:sz w:val="20"/>
          <w:szCs w:val="20"/>
        </w:rPr>
        <w:t>Net dış talepteki değişim, ihracat ve ithalat kalemleri arasındaki farkı göstermektedir.</w:t>
      </w:r>
    </w:p>
    <w:p w:rsidR="00B834FD" w:rsidRPr="00DD51D1" w:rsidRDefault="00B834FD" w:rsidP="00C335E9">
      <w:pPr>
        <w:pStyle w:val="NormalWeb"/>
        <w:spacing w:before="0" w:beforeAutospacing="0" w:after="0" w:afterAutospacing="0"/>
        <w:ind w:right="77"/>
        <w:jc w:val="both"/>
        <w:rPr>
          <w:rFonts w:ascii="Arial" w:hAnsi="Arial" w:cs="Arial"/>
          <w:sz w:val="20"/>
          <w:szCs w:val="20"/>
        </w:rPr>
      </w:pPr>
    </w:p>
    <w:p w:rsidR="00B834FD" w:rsidRPr="00DD51D1" w:rsidRDefault="00B834FD" w:rsidP="00C335E9">
      <w:pPr>
        <w:pStyle w:val="NormalWeb"/>
        <w:numPr>
          <w:ilvl w:val="0"/>
          <w:numId w:val="4"/>
        </w:numPr>
        <w:tabs>
          <w:tab w:val="clear" w:pos="720"/>
          <w:tab w:val="num" w:pos="360"/>
        </w:tabs>
        <w:spacing w:before="0" w:beforeAutospacing="0" w:after="0" w:afterAutospacing="0"/>
        <w:ind w:left="360" w:right="77" w:hanging="180"/>
        <w:jc w:val="both"/>
        <w:rPr>
          <w:rFonts w:ascii="Arial" w:hAnsi="Arial" w:cs="Arial"/>
          <w:sz w:val="20"/>
          <w:szCs w:val="20"/>
        </w:rPr>
      </w:pPr>
      <w:r w:rsidRPr="00DD51D1">
        <w:rPr>
          <w:rFonts w:ascii="Arial" w:hAnsi="Arial" w:cs="Arial"/>
          <w:sz w:val="20"/>
          <w:szCs w:val="20"/>
        </w:rPr>
        <w:t>Stok değişimi kalemi ise, stokların bir önceki döneme göre nasıl değiştiğini göstermektedir (Ayrıntılar için bkz Ek-2.)</w:t>
      </w:r>
    </w:p>
    <w:p w:rsidR="00B834FD" w:rsidRPr="00DD51D1" w:rsidRDefault="00B834FD" w:rsidP="00C335E9">
      <w:pPr>
        <w:pStyle w:val="NormalWeb"/>
        <w:spacing w:before="0" w:beforeAutospacing="0" w:after="0" w:afterAutospacing="0"/>
        <w:ind w:right="77"/>
        <w:rPr>
          <w:rFonts w:ascii="Arial" w:hAnsi="Arial" w:cs="Arial"/>
          <w:sz w:val="20"/>
          <w:szCs w:val="20"/>
        </w:rPr>
      </w:pPr>
    </w:p>
    <w:p w:rsidR="00B834FD" w:rsidRPr="00DD51D1" w:rsidRDefault="00B834FD" w:rsidP="00F428BE">
      <w:pPr>
        <w:pStyle w:val="NormalWeb"/>
        <w:spacing w:before="0" w:beforeAutospacing="0" w:after="0" w:afterAutospacing="0"/>
        <w:ind w:right="77"/>
        <w:jc w:val="both"/>
        <w:rPr>
          <w:rFonts w:ascii="Arial" w:hAnsi="Arial" w:cs="Arial"/>
          <w:sz w:val="20"/>
          <w:szCs w:val="20"/>
        </w:rPr>
      </w:pPr>
      <w:r w:rsidRPr="00DD51D1">
        <w:rPr>
          <w:rFonts w:ascii="Arial" w:hAnsi="Arial" w:cs="Arial"/>
          <w:sz w:val="20"/>
          <w:szCs w:val="20"/>
        </w:rPr>
        <w:t xml:space="preserve">GSYH'daki yüzde değişimi bulmak için, her bir alt bileşenin önceki döneme göre değişimi, bir önceki döneme ait GSYH rakamına (GSYH </w:t>
      </w:r>
      <w:r w:rsidRPr="00DD51D1">
        <w:rPr>
          <w:rFonts w:ascii="Arial" w:hAnsi="Arial" w:cs="Arial"/>
          <w:i/>
          <w:iCs/>
          <w:sz w:val="20"/>
          <w:szCs w:val="20"/>
          <w:vertAlign w:val="subscript"/>
        </w:rPr>
        <w:t xml:space="preserve">t </w:t>
      </w:r>
      <w:r w:rsidRPr="00DD51D1">
        <w:rPr>
          <w:rFonts w:ascii="Arial" w:hAnsi="Arial" w:cs="Arial"/>
          <w:sz w:val="20"/>
          <w:szCs w:val="20"/>
          <w:vertAlign w:val="subscript"/>
        </w:rPr>
        <w:t>-1</w:t>
      </w:r>
      <w:r w:rsidRPr="00DD51D1">
        <w:rPr>
          <w:rFonts w:ascii="Arial" w:hAnsi="Arial" w:cs="Arial"/>
          <w:sz w:val="20"/>
          <w:szCs w:val="20"/>
        </w:rPr>
        <w:t>) oranlanmış ve böylece her bir bileşenin o GSYH büyümesine olan katkısı bulunmuştur.</w:t>
      </w:r>
    </w:p>
    <w:p w:rsidR="00B834FD" w:rsidRPr="00DD51D1" w:rsidRDefault="00B834FD" w:rsidP="00C335E9">
      <w:pPr>
        <w:pStyle w:val="NormalWeb"/>
        <w:spacing w:before="0" w:beforeAutospacing="0" w:after="0" w:afterAutospacing="0"/>
        <w:ind w:right="77"/>
        <w:rPr>
          <w:rFonts w:ascii="Arial" w:hAnsi="Arial" w:cs="Arial"/>
          <w:sz w:val="20"/>
          <w:szCs w:val="20"/>
        </w:rPr>
      </w:pPr>
    </w:p>
    <w:p w:rsidR="00B834FD" w:rsidRPr="00DD51D1" w:rsidRDefault="00B834FD" w:rsidP="00C335E9">
      <w:pPr>
        <w:pStyle w:val="NormalWeb"/>
        <w:spacing w:before="0" w:beforeAutospacing="0" w:after="0" w:afterAutospacing="0"/>
        <w:ind w:right="77"/>
        <w:rPr>
          <w:rFonts w:ascii="Arial" w:hAnsi="Arial" w:cs="Arial"/>
          <w:sz w:val="20"/>
          <w:szCs w:val="20"/>
        </w:rPr>
      </w:pPr>
      <w:r w:rsidRPr="00DD51D1">
        <w:rPr>
          <w:rFonts w:ascii="Arial" w:hAnsi="Arial" w:cs="Arial"/>
          <w:sz w:val="20"/>
          <w:szCs w:val="20"/>
        </w:rPr>
        <w:t>Başka bir ifadeyle,</w:t>
      </w:r>
    </w:p>
    <w:p w:rsidR="00B834FD" w:rsidRPr="00DD51D1" w:rsidRDefault="00B834FD" w:rsidP="00C335E9">
      <w:pPr>
        <w:pStyle w:val="NormalWeb"/>
        <w:spacing w:before="0" w:beforeAutospacing="0" w:after="0" w:afterAutospacing="0"/>
        <w:ind w:right="77"/>
        <w:rPr>
          <w:rFonts w:ascii="Arial" w:hAnsi="Arial" w:cs="Arial"/>
          <w:sz w:val="20"/>
          <w:szCs w:val="20"/>
        </w:rPr>
      </w:pPr>
      <w:r w:rsidRPr="00DD51D1">
        <w:rPr>
          <w:rFonts w:ascii="Arial" w:hAnsi="Arial" w:cs="Arial"/>
          <w:sz w:val="20"/>
          <w:szCs w:val="20"/>
        </w:rPr>
        <w:t>X : GSYH alt kalemi</w:t>
      </w:r>
    </w:p>
    <w:p w:rsidR="00B834FD" w:rsidRPr="00DD51D1" w:rsidRDefault="00B834FD" w:rsidP="00C335E9">
      <w:pPr>
        <w:pStyle w:val="NormalWeb"/>
        <w:spacing w:before="0" w:beforeAutospacing="0" w:after="0" w:afterAutospacing="0"/>
        <w:ind w:right="77"/>
        <w:rPr>
          <w:rFonts w:ascii="Arial" w:hAnsi="Arial" w:cs="Arial"/>
          <w:sz w:val="20"/>
          <w:szCs w:val="20"/>
        </w:rPr>
      </w:pPr>
      <w:r w:rsidRPr="00DD51D1">
        <w:rPr>
          <w:rFonts w:ascii="Arial" w:hAnsi="Arial" w:cs="Arial"/>
          <w:sz w:val="20"/>
          <w:szCs w:val="20"/>
        </w:rPr>
        <w:t>X'in değişimin t zamandaki büyümeye katkısı :</w:t>
      </w:r>
    </w:p>
    <w:p w:rsidR="00B834FD" w:rsidRPr="00DD51D1" w:rsidRDefault="00B834FD" w:rsidP="00C335E9">
      <w:pPr>
        <w:pStyle w:val="NormalWeb"/>
        <w:spacing w:before="0" w:beforeAutospacing="0" w:after="0" w:afterAutospacing="0"/>
        <w:ind w:right="77"/>
        <w:rPr>
          <w:rFonts w:ascii="Arial" w:hAnsi="Arial" w:cs="Arial"/>
          <w:sz w:val="20"/>
          <w:szCs w:val="20"/>
        </w:rPr>
      </w:pPr>
      <w:r w:rsidRPr="00DD51D1">
        <w:rPr>
          <w:rFonts w:ascii="Arial" w:hAnsi="Arial" w:cs="Arial"/>
          <w:sz w:val="20"/>
          <w:szCs w:val="20"/>
        </w:rPr>
        <w:t xml:space="preserve">     = (X</w:t>
      </w:r>
      <w:r w:rsidRPr="00DD51D1">
        <w:rPr>
          <w:rFonts w:ascii="Arial" w:hAnsi="Arial" w:cs="Arial"/>
          <w:i/>
          <w:iCs/>
          <w:sz w:val="20"/>
          <w:szCs w:val="20"/>
          <w:vertAlign w:val="subscript"/>
        </w:rPr>
        <w:t>t</w:t>
      </w:r>
      <w:r w:rsidRPr="00DD51D1">
        <w:rPr>
          <w:rFonts w:ascii="Arial" w:hAnsi="Arial" w:cs="Arial"/>
          <w:sz w:val="20"/>
          <w:szCs w:val="20"/>
          <w:vertAlign w:val="subscript"/>
        </w:rPr>
        <w:t xml:space="preserve"> </w:t>
      </w:r>
      <w:r w:rsidRPr="00DD51D1">
        <w:rPr>
          <w:rFonts w:ascii="Arial" w:hAnsi="Arial" w:cs="Arial"/>
          <w:sz w:val="20"/>
          <w:szCs w:val="20"/>
        </w:rPr>
        <w:t>– X</w:t>
      </w:r>
      <w:r w:rsidRPr="00DD51D1">
        <w:rPr>
          <w:rFonts w:ascii="Arial" w:hAnsi="Arial" w:cs="Arial"/>
          <w:i/>
          <w:iCs/>
          <w:sz w:val="20"/>
          <w:szCs w:val="20"/>
          <w:vertAlign w:val="subscript"/>
        </w:rPr>
        <w:t>t</w:t>
      </w:r>
      <w:r w:rsidRPr="00DD51D1">
        <w:rPr>
          <w:rFonts w:ascii="Arial" w:hAnsi="Arial" w:cs="Arial"/>
          <w:sz w:val="20"/>
          <w:szCs w:val="20"/>
          <w:vertAlign w:val="subscript"/>
        </w:rPr>
        <w:t>-1</w:t>
      </w:r>
      <w:r w:rsidRPr="00DD51D1">
        <w:rPr>
          <w:rFonts w:ascii="Arial" w:hAnsi="Arial" w:cs="Arial"/>
          <w:sz w:val="20"/>
          <w:szCs w:val="20"/>
        </w:rPr>
        <w:t>) / GSYH</w:t>
      </w:r>
      <w:r w:rsidRPr="00DD51D1">
        <w:rPr>
          <w:rFonts w:ascii="Arial" w:hAnsi="Arial" w:cs="Arial"/>
          <w:i/>
          <w:iCs/>
          <w:sz w:val="20"/>
          <w:szCs w:val="20"/>
          <w:vertAlign w:val="subscript"/>
        </w:rPr>
        <w:t>t</w:t>
      </w:r>
      <w:r w:rsidRPr="00DD51D1">
        <w:rPr>
          <w:rFonts w:ascii="Arial" w:hAnsi="Arial" w:cs="Arial"/>
          <w:sz w:val="20"/>
          <w:szCs w:val="20"/>
          <w:vertAlign w:val="subscript"/>
        </w:rPr>
        <w:t>-1</w:t>
      </w:r>
    </w:p>
    <w:p w:rsidR="00B834FD" w:rsidRPr="00DD51D1" w:rsidRDefault="00B834FD" w:rsidP="00C335E9">
      <w:pPr>
        <w:pStyle w:val="NormalWeb"/>
        <w:spacing w:before="0" w:beforeAutospacing="0" w:after="0" w:afterAutospacing="0"/>
        <w:ind w:right="77"/>
        <w:rPr>
          <w:rFonts w:ascii="Arial" w:hAnsi="Arial" w:cs="Arial"/>
          <w:sz w:val="20"/>
          <w:szCs w:val="20"/>
        </w:rPr>
      </w:pPr>
      <w:r w:rsidRPr="00DD51D1">
        <w:rPr>
          <w:rFonts w:ascii="Arial" w:hAnsi="Arial" w:cs="Arial"/>
          <w:sz w:val="20"/>
          <w:szCs w:val="20"/>
        </w:rPr>
        <w:t>formülünü kullanarak hesaplanabilir.</w:t>
      </w:r>
    </w:p>
    <w:p w:rsidR="00B834FD" w:rsidRPr="00DD51D1" w:rsidRDefault="00B834FD" w:rsidP="00C335E9">
      <w:pPr>
        <w:ind w:right="77"/>
        <w:jc w:val="both"/>
        <w:rPr>
          <w:rFonts w:ascii="Arial" w:hAnsi="Arial" w:cs="Arial"/>
          <w:sz w:val="20"/>
          <w:szCs w:val="20"/>
        </w:rPr>
      </w:pPr>
    </w:p>
    <w:p w:rsidR="00B834FD" w:rsidRPr="00DD51D1" w:rsidRDefault="00B834FD" w:rsidP="00C335E9">
      <w:pPr>
        <w:ind w:right="77"/>
        <w:jc w:val="both"/>
        <w:rPr>
          <w:rFonts w:ascii="Arial" w:hAnsi="Arial" w:cs="Arial"/>
          <w:b/>
          <w:bCs/>
          <w:sz w:val="20"/>
          <w:szCs w:val="20"/>
        </w:rPr>
      </w:pPr>
      <w:r w:rsidRPr="00DD51D1">
        <w:rPr>
          <w:rFonts w:ascii="Arial" w:hAnsi="Arial" w:cs="Arial"/>
          <w:b/>
          <w:bCs/>
          <w:sz w:val="20"/>
          <w:szCs w:val="20"/>
        </w:rPr>
        <w:t>TÜİK ve BETAM’ın yöntemleri arasındaki fark</w:t>
      </w:r>
    </w:p>
    <w:p w:rsidR="00B834FD" w:rsidRPr="00DD51D1" w:rsidRDefault="00B834FD" w:rsidP="00C335E9">
      <w:pPr>
        <w:ind w:right="77"/>
        <w:jc w:val="both"/>
        <w:rPr>
          <w:rFonts w:ascii="Arial" w:hAnsi="Arial" w:cs="Arial"/>
          <w:b/>
          <w:bCs/>
          <w:sz w:val="20"/>
          <w:szCs w:val="20"/>
        </w:rPr>
      </w:pPr>
    </w:p>
    <w:p w:rsidR="00B834FD" w:rsidRPr="00DD51D1" w:rsidRDefault="00B834FD" w:rsidP="00C335E9">
      <w:pPr>
        <w:ind w:right="77"/>
        <w:jc w:val="both"/>
        <w:rPr>
          <w:rFonts w:ascii="Arial" w:hAnsi="Arial" w:cs="Arial"/>
          <w:sz w:val="20"/>
          <w:szCs w:val="20"/>
        </w:rPr>
      </w:pPr>
      <w:r w:rsidRPr="00DD51D1">
        <w:rPr>
          <w:rFonts w:ascii="Arial" w:hAnsi="Arial" w:cs="Arial"/>
          <w:sz w:val="20"/>
          <w:szCs w:val="20"/>
        </w:rPr>
        <w:t>TÜİK, GSYH serisini mevsim ve takvim etkisinden arındırmak için alt kalemleri tek tek almak yerine, bunların toplamını kullanmaktadır. Ancak GSYH’yı oluşturan her bir alt kalemin farklı mevsimsel döngüleri olabileceği göz önüne alındığında, her bir alt kalemi ayrı ayrı ele alıp, mevsim ve takvim etkilerinden arındırmak ve bunların toplamını mevsim ve takvim etkisinden arındırılmış GSYH serisi olarak almak daha sağlıklıdır. Bu iki yöntem farklı sonuçlar verse de, ilgili literatürde her iki yöntem de kabul görmekte ve yaygın olarak kullanılmaktadır.</w:t>
      </w:r>
    </w:p>
    <w:p w:rsidR="00B834FD" w:rsidRPr="00DD51D1" w:rsidRDefault="00B834FD" w:rsidP="00C335E9">
      <w:pPr>
        <w:ind w:right="77"/>
        <w:jc w:val="both"/>
        <w:rPr>
          <w:rFonts w:ascii="Arial" w:hAnsi="Arial" w:cs="Arial"/>
          <w:sz w:val="20"/>
          <w:szCs w:val="20"/>
        </w:rPr>
      </w:pPr>
    </w:p>
    <w:p w:rsidR="00B834FD" w:rsidRPr="00DD51D1" w:rsidRDefault="00B834FD" w:rsidP="00C335E9">
      <w:pPr>
        <w:spacing w:line="288" w:lineRule="auto"/>
        <w:ind w:right="77"/>
        <w:jc w:val="both"/>
        <w:rPr>
          <w:rFonts w:ascii="Arial" w:hAnsi="Arial" w:cs="Arial"/>
          <w:sz w:val="20"/>
          <w:szCs w:val="20"/>
        </w:rPr>
      </w:pPr>
    </w:p>
    <w:p w:rsidR="00B834FD" w:rsidRDefault="00B834FD" w:rsidP="00C335E9">
      <w:pPr>
        <w:spacing w:line="288" w:lineRule="auto"/>
        <w:ind w:right="77"/>
        <w:jc w:val="both"/>
        <w:rPr>
          <w:rFonts w:ascii="Arial" w:hAnsi="Arial" w:cs="Arial"/>
          <w:sz w:val="20"/>
          <w:szCs w:val="20"/>
        </w:rPr>
      </w:pPr>
    </w:p>
    <w:p w:rsidR="00B834FD" w:rsidRDefault="00B834FD" w:rsidP="00C335E9">
      <w:pPr>
        <w:spacing w:line="288" w:lineRule="auto"/>
        <w:ind w:right="77"/>
        <w:jc w:val="both"/>
        <w:rPr>
          <w:rFonts w:ascii="Arial" w:hAnsi="Arial" w:cs="Arial"/>
          <w:sz w:val="20"/>
          <w:szCs w:val="20"/>
        </w:rPr>
      </w:pPr>
    </w:p>
    <w:p w:rsidR="00B834FD" w:rsidRDefault="00B834FD" w:rsidP="00C335E9">
      <w:pPr>
        <w:spacing w:line="288" w:lineRule="auto"/>
        <w:ind w:right="77"/>
        <w:jc w:val="both"/>
        <w:rPr>
          <w:rFonts w:ascii="Arial" w:hAnsi="Arial" w:cs="Arial"/>
          <w:sz w:val="20"/>
          <w:szCs w:val="20"/>
        </w:rPr>
      </w:pPr>
    </w:p>
    <w:p w:rsidR="00B834FD" w:rsidRDefault="00B834FD" w:rsidP="00C335E9">
      <w:pPr>
        <w:spacing w:line="288" w:lineRule="auto"/>
        <w:ind w:right="77"/>
        <w:jc w:val="both"/>
        <w:rPr>
          <w:rFonts w:ascii="Arial" w:hAnsi="Arial" w:cs="Arial"/>
          <w:sz w:val="20"/>
          <w:szCs w:val="20"/>
        </w:rPr>
      </w:pPr>
    </w:p>
    <w:p w:rsidR="00B834FD" w:rsidRDefault="00B834FD" w:rsidP="00C335E9">
      <w:pPr>
        <w:spacing w:line="288" w:lineRule="auto"/>
        <w:ind w:right="77"/>
        <w:jc w:val="both"/>
        <w:rPr>
          <w:rFonts w:ascii="Arial" w:hAnsi="Arial" w:cs="Arial"/>
          <w:sz w:val="20"/>
          <w:szCs w:val="20"/>
        </w:rPr>
      </w:pPr>
    </w:p>
    <w:p w:rsidR="00B834FD" w:rsidRDefault="00B834FD" w:rsidP="00C335E9">
      <w:pPr>
        <w:spacing w:line="288" w:lineRule="auto"/>
        <w:ind w:right="77"/>
        <w:jc w:val="both"/>
        <w:rPr>
          <w:rFonts w:ascii="Arial" w:hAnsi="Arial" w:cs="Arial"/>
          <w:sz w:val="20"/>
          <w:szCs w:val="20"/>
        </w:rPr>
      </w:pPr>
    </w:p>
    <w:p w:rsidR="00B834FD" w:rsidRDefault="00B834FD" w:rsidP="00C335E9">
      <w:pPr>
        <w:spacing w:line="288" w:lineRule="auto"/>
        <w:ind w:right="77"/>
        <w:jc w:val="both"/>
        <w:rPr>
          <w:rFonts w:ascii="Arial" w:hAnsi="Arial" w:cs="Arial"/>
          <w:sz w:val="20"/>
          <w:szCs w:val="20"/>
        </w:rPr>
      </w:pPr>
    </w:p>
    <w:p w:rsidR="00B834FD" w:rsidRDefault="00B834FD" w:rsidP="00C335E9">
      <w:pPr>
        <w:spacing w:line="288" w:lineRule="auto"/>
        <w:ind w:right="77"/>
        <w:jc w:val="both"/>
        <w:rPr>
          <w:rFonts w:ascii="Arial" w:hAnsi="Arial" w:cs="Arial"/>
          <w:sz w:val="20"/>
          <w:szCs w:val="20"/>
        </w:rPr>
      </w:pPr>
    </w:p>
    <w:p w:rsidR="00B834FD" w:rsidRPr="00DD51D1" w:rsidRDefault="00B834FD" w:rsidP="00C335E9">
      <w:pPr>
        <w:spacing w:line="288" w:lineRule="auto"/>
        <w:ind w:right="77"/>
        <w:jc w:val="both"/>
        <w:rPr>
          <w:rFonts w:ascii="Arial" w:hAnsi="Arial" w:cs="Arial"/>
          <w:sz w:val="20"/>
          <w:szCs w:val="20"/>
        </w:rPr>
      </w:pPr>
    </w:p>
    <w:p w:rsidR="00B834FD" w:rsidRPr="00DD51D1" w:rsidRDefault="00B834FD" w:rsidP="00C335E9">
      <w:pPr>
        <w:spacing w:line="288" w:lineRule="auto"/>
        <w:ind w:right="77"/>
        <w:jc w:val="both"/>
        <w:rPr>
          <w:rFonts w:ascii="Arial" w:hAnsi="Arial" w:cs="Arial"/>
          <w:sz w:val="20"/>
          <w:szCs w:val="20"/>
        </w:rPr>
      </w:pPr>
    </w:p>
    <w:p w:rsidR="00B834FD" w:rsidRPr="00DD51D1" w:rsidRDefault="00B834FD" w:rsidP="00C335E9">
      <w:pPr>
        <w:spacing w:line="288" w:lineRule="auto"/>
        <w:ind w:right="77"/>
        <w:jc w:val="both"/>
        <w:rPr>
          <w:rFonts w:ascii="Arial" w:hAnsi="Arial" w:cs="Arial"/>
          <w:sz w:val="20"/>
          <w:szCs w:val="20"/>
        </w:rPr>
      </w:pPr>
    </w:p>
    <w:p w:rsidR="00B834FD" w:rsidRPr="00DD51D1" w:rsidRDefault="00B834FD" w:rsidP="00C335E9">
      <w:pPr>
        <w:ind w:right="77"/>
        <w:jc w:val="both"/>
        <w:rPr>
          <w:rFonts w:ascii="Arial" w:hAnsi="Arial" w:cs="Arial"/>
          <w:b/>
          <w:bCs/>
          <w:sz w:val="20"/>
          <w:szCs w:val="20"/>
        </w:rPr>
      </w:pPr>
      <w:r w:rsidRPr="00DD51D1">
        <w:rPr>
          <w:rFonts w:ascii="Arial" w:hAnsi="Arial" w:cs="Arial"/>
          <w:b/>
          <w:bCs/>
          <w:sz w:val="20"/>
          <w:szCs w:val="20"/>
        </w:rPr>
        <w:lastRenderedPageBreak/>
        <w:t>Ek2 : Stok değişimi kaleminin ve büyümeye katkısının hesaplanması</w:t>
      </w:r>
    </w:p>
    <w:p w:rsidR="00B834FD" w:rsidRPr="00DD51D1" w:rsidRDefault="00B834FD" w:rsidP="00C335E9">
      <w:pPr>
        <w:ind w:right="77"/>
        <w:jc w:val="both"/>
        <w:rPr>
          <w:rFonts w:ascii="Arial" w:hAnsi="Arial" w:cs="Arial"/>
          <w:b/>
          <w:bCs/>
          <w:sz w:val="20"/>
          <w:szCs w:val="20"/>
        </w:rPr>
      </w:pPr>
    </w:p>
    <w:p w:rsidR="00B834FD" w:rsidRPr="00DD51D1" w:rsidRDefault="00B834FD" w:rsidP="00C335E9">
      <w:pPr>
        <w:ind w:right="77"/>
        <w:jc w:val="both"/>
        <w:rPr>
          <w:rFonts w:ascii="Arial" w:hAnsi="Arial" w:cs="Arial"/>
          <w:sz w:val="20"/>
          <w:szCs w:val="20"/>
        </w:rPr>
      </w:pPr>
      <w:r w:rsidRPr="00DD51D1">
        <w:rPr>
          <w:rFonts w:ascii="Arial" w:hAnsi="Arial" w:cs="Arial"/>
          <w:sz w:val="20"/>
          <w:szCs w:val="20"/>
        </w:rPr>
        <w:t>'Stok değişimi' kalemi, GSYH'nin harcamalar yöntemiyle hesaplanan bölümünde yer alır ve stokların bir önceki döneme göre nasıl değiştiğini gösterir.</w:t>
      </w:r>
    </w:p>
    <w:p w:rsidR="00B834FD" w:rsidRPr="00DD51D1" w:rsidRDefault="00B834FD" w:rsidP="00C335E9">
      <w:pPr>
        <w:ind w:left="-360" w:right="77"/>
        <w:jc w:val="both"/>
        <w:rPr>
          <w:rFonts w:ascii="Arial" w:hAnsi="Arial" w:cs="Arial"/>
          <w:sz w:val="20"/>
          <w:szCs w:val="20"/>
        </w:rPr>
      </w:pPr>
    </w:p>
    <w:p w:rsidR="00B834FD" w:rsidRPr="00DD51D1" w:rsidRDefault="00B834FD" w:rsidP="00C335E9">
      <w:pPr>
        <w:ind w:right="77"/>
        <w:jc w:val="both"/>
        <w:rPr>
          <w:rFonts w:ascii="Arial" w:hAnsi="Arial" w:cs="Arial"/>
          <w:sz w:val="20"/>
          <w:szCs w:val="20"/>
          <w:vertAlign w:val="subscript"/>
        </w:rPr>
      </w:pPr>
      <w:r w:rsidRPr="00DD51D1">
        <w:rPr>
          <w:rFonts w:ascii="Arial" w:hAnsi="Arial" w:cs="Arial"/>
          <w:sz w:val="20"/>
          <w:szCs w:val="20"/>
        </w:rPr>
        <w:t xml:space="preserve">Stok değişimi </w:t>
      </w:r>
      <w:r w:rsidRPr="00DD51D1">
        <w:rPr>
          <w:rFonts w:ascii="Arial" w:hAnsi="Arial" w:cs="Arial"/>
          <w:i/>
          <w:iCs/>
          <w:sz w:val="20"/>
          <w:szCs w:val="20"/>
          <w:vertAlign w:val="subscript"/>
        </w:rPr>
        <w:t>t</w:t>
      </w:r>
      <w:r w:rsidRPr="00DD51D1">
        <w:rPr>
          <w:rFonts w:ascii="Arial" w:hAnsi="Arial" w:cs="Arial"/>
          <w:sz w:val="20"/>
          <w:szCs w:val="20"/>
        </w:rPr>
        <w:t xml:space="preserve"> = Stok </w:t>
      </w:r>
      <w:r w:rsidRPr="00DD51D1">
        <w:rPr>
          <w:rFonts w:ascii="Arial" w:hAnsi="Arial" w:cs="Arial"/>
          <w:i/>
          <w:iCs/>
          <w:sz w:val="20"/>
          <w:szCs w:val="20"/>
          <w:vertAlign w:val="subscript"/>
        </w:rPr>
        <w:t>t</w:t>
      </w:r>
      <w:r w:rsidRPr="00DD51D1">
        <w:rPr>
          <w:rFonts w:ascii="Arial" w:hAnsi="Arial" w:cs="Arial"/>
          <w:sz w:val="20"/>
          <w:szCs w:val="20"/>
          <w:vertAlign w:val="subscript"/>
        </w:rPr>
        <w:t xml:space="preserve"> </w:t>
      </w:r>
      <w:r w:rsidRPr="00DD51D1">
        <w:rPr>
          <w:rFonts w:ascii="Arial" w:hAnsi="Arial" w:cs="Arial"/>
          <w:sz w:val="20"/>
          <w:szCs w:val="20"/>
        </w:rPr>
        <w:t xml:space="preserve">– Stok </w:t>
      </w:r>
      <w:r w:rsidRPr="00DD51D1">
        <w:rPr>
          <w:rFonts w:ascii="Arial" w:hAnsi="Arial" w:cs="Arial"/>
          <w:i/>
          <w:iCs/>
          <w:sz w:val="20"/>
          <w:szCs w:val="20"/>
          <w:vertAlign w:val="subscript"/>
        </w:rPr>
        <w:t>t</w:t>
      </w:r>
      <w:r w:rsidRPr="00DD51D1">
        <w:rPr>
          <w:rFonts w:ascii="Arial" w:hAnsi="Arial" w:cs="Arial"/>
          <w:sz w:val="20"/>
          <w:szCs w:val="20"/>
          <w:vertAlign w:val="subscript"/>
        </w:rPr>
        <w:t>-1</w:t>
      </w:r>
    </w:p>
    <w:p w:rsidR="00B834FD" w:rsidRPr="00DD51D1" w:rsidRDefault="00B834FD" w:rsidP="00C335E9">
      <w:pPr>
        <w:ind w:right="77"/>
        <w:jc w:val="both"/>
        <w:rPr>
          <w:rFonts w:ascii="Arial" w:hAnsi="Arial" w:cs="Arial"/>
          <w:sz w:val="20"/>
          <w:szCs w:val="20"/>
        </w:rPr>
      </w:pPr>
    </w:p>
    <w:p w:rsidR="00B834FD" w:rsidRPr="00DD51D1" w:rsidRDefault="00B834FD" w:rsidP="00C335E9">
      <w:pPr>
        <w:pStyle w:val="NormalWeb"/>
        <w:spacing w:before="0" w:beforeAutospacing="0" w:after="0" w:afterAutospacing="0"/>
        <w:ind w:right="77"/>
        <w:jc w:val="both"/>
        <w:rPr>
          <w:rFonts w:ascii="Arial" w:hAnsi="Arial" w:cs="Arial"/>
          <w:sz w:val="20"/>
          <w:szCs w:val="20"/>
        </w:rPr>
      </w:pPr>
      <w:r w:rsidRPr="00DD51D1">
        <w:rPr>
          <w:rFonts w:ascii="Arial" w:hAnsi="Arial" w:cs="Arial"/>
          <w:sz w:val="20"/>
          <w:szCs w:val="20"/>
        </w:rPr>
        <w:t>Dolayısıyla stok değişimi kalemindeki artış (azalış), stoklardaki artıştan (azalıştan) ziyade iki dönem stokları arasındaki farkın artısından (azalışından) kaynaklanmaktadır.</w:t>
      </w:r>
    </w:p>
    <w:p w:rsidR="00B834FD" w:rsidRPr="00DD51D1" w:rsidRDefault="00B834FD" w:rsidP="00C335E9">
      <w:pPr>
        <w:ind w:right="77"/>
        <w:jc w:val="both"/>
        <w:rPr>
          <w:rFonts w:ascii="Arial" w:hAnsi="Arial" w:cs="Arial"/>
          <w:sz w:val="20"/>
          <w:szCs w:val="20"/>
        </w:rPr>
      </w:pPr>
    </w:p>
    <w:p w:rsidR="00B834FD" w:rsidRPr="00DD51D1" w:rsidRDefault="00B834FD" w:rsidP="00C335E9">
      <w:pPr>
        <w:ind w:right="77"/>
        <w:jc w:val="both"/>
        <w:rPr>
          <w:rFonts w:ascii="Arial" w:hAnsi="Arial" w:cs="Arial"/>
          <w:sz w:val="20"/>
          <w:szCs w:val="20"/>
        </w:rPr>
      </w:pPr>
      <w:r w:rsidRPr="00DD51D1">
        <w:rPr>
          <w:rFonts w:ascii="Arial" w:hAnsi="Arial" w:cs="Arial"/>
          <w:sz w:val="20"/>
          <w:szCs w:val="20"/>
        </w:rPr>
        <w:t>Ancak TÜİK, üretim ve tüketim yöntemine göre hesaplanan GSYH rakamları arasında fark olması durumunda, bu farkı da stok değişimi kaleminin içinde göstermektedir.</w:t>
      </w:r>
    </w:p>
    <w:p w:rsidR="00B834FD" w:rsidRPr="00DD51D1" w:rsidRDefault="00B834FD" w:rsidP="00C335E9">
      <w:pPr>
        <w:ind w:right="77"/>
        <w:jc w:val="both"/>
        <w:rPr>
          <w:rFonts w:ascii="Arial" w:hAnsi="Arial" w:cs="Arial"/>
          <w:sz w:val="20"/>
          <w:szCs w:val="20"/>
        </w:rPr>
      </w:pPr>
    </w:p>
    <w:p w:rsidR="00B834FD" w:rsidRPr="00DD51D1" w:rsidRDefault="00B834FD" w:rsidP="00F428BE">
      <w:pPr>
        <w:ind w:right="77"/>
        <w:jc w:val="both"/>
        <w:rPr>
          <w:rFonts w:ascii="Arial" w:hAnsi="Arial" w:cs="Arial"/>
          <w:sz w:val="20"/>
          <w:szCs w:val="20"/>
        </w:rPr>
      </w:pPr>
      <w:r w:rsidRPr="00DD51D1">
        <w:rPr>
          <w:rFonts w:ascii="Arial" w:hAnsi="Arial" w:cs="Arial"/>
          <w:sz w:val="20"/>
          <w:szCs w:val="20"/>
        </w:rPr>
        <w:t xml:space="preserve">İki farklı yönteme göre hesaplanan GSYH rakamları arasında farkı </w:t>
      </w:r>
      <w:r w:rsidRPr="00DD51D1">
        <w:rPr>
          <w:rFonts w:ascii="Arial" w:hAnsi="Arial" w:cs="Arial"/>
          <w:sz w:val="20"/>
          <w:szCs w:val="20"/>
        </w:rPr>
        <w:sym w:font="Symbol" w:char="F065"/>
      </w:r>
      <w:r w:rsidRPr="00DD51D1">
        <w:rPr>
          <w:rFonts w:ascii="Arial" w:hAnsi="Arial" w:cs="Arial"/>
          <w:i/>
          <w:iCs/>
          <w:sz w:val="20"/>
          <w:szCs w:val="20"/>
          <w:vertAlign w:val="subscript"/>
        </w:rPr>
        <w:t>t</w:t>
      </w:r>
      <w:r w:rsidRPr="00DD51D1">
        <w:rPr>
          <w:rFonts w:ascii="Arial" w:hAnsi="Arial" w:cs="Arial"/>
          <w:sz w:val="20"/>
          <w:szCs w:val="20"/>
          <w:vertAlign w:val="subscript"/>
        </w:rPr>
        <w:t>-1</w:t>
      </w:r>
      <w:r w:rsidRPr="00DD51D1">
        <w:rPr>
          <w:rFonts w:ascii="Arial" w:hAnsi="Arial" w:cs="Arial"/>
          <w:sz w:val="20"/>
          <w:szCs w:val="20"/>
        </w:rPr>
        <w:t xml:space="preserve"> ile gösterecek olursak, </w:t>
      </w:r>
      <w:r w:rsidRPr="00DD51D1">
        <w:rPr>
          <w:rFonts w:ascii="Arial" w:hAnsi="Arial" w:cs="Arial"/>
          <w:i/>
          <w:iCs/>
          <w:sz w:val="20"/>
          <w:szCs w:val="20"/>
        </w:rPr>
        <w:t>t</w:t>
      </w:r>
      <w:r w:rsidRPr="00DD51D1">
        <w:rPr>
          <w:rFonts w:ascii="Arial" w:hAnsi="Arial" w:cs="Arial"/>
          <w:sz w:val="20"/>
          <w:szCs w:val="20"/>
        </w:rPr>
        <w:t xml:space="preserve"> zamanındaki 'stok değişimi' kalemini su şekilde ifade edebiliriz:</w:t>
      </w:r>
    </w:p>
    <w:p w:rsidR="00B834FD" w:rsidRPr="00DD51D1" w:rsidRDefault="00B834FD" w:rsidP="00F428BE">
      <w:pPr>
        <w:ind w:right="77"/>
        <w:jc w:val="both"/>
        <w:rPr>
          <w:rFonts w:ascii="Arial" w:hAnsi="Arial" w:cs="Arial"/>
          <w:sz w:val="20"/>
          <w:szCs w:val="20"/>
        </w:rPr>
      </w:pPr>
    </w:p>
    <w:p w:rsidR="00B834FD" w:rsidRPr="00DD51D1" w:rsidRDefault="00B834FD" w:rsidP="00F428BE">
      <w:pPr>
        <w:ind w:right="77"/>
        <w:jc w:val="both"/>
        <w:rPr>
          <w:rFonts w:ascii="Arial" w:hAnsi="Arial" w:cs="Arial"/>
          <w:sz w:val="20"/>
          <w:szCs w:val="20"/>
        </w:rPr>
      </w:pPr>
      <w:r w:rsidRPr="00DD51D1">
        <w:rPr>
          <w:rFonts w:ascii="Arial" w:hAnsi="Arial" w:cs="Arial"/>
          <w:sz w:val="20"/>
          <w:szCs w:val="20"/>
        </w:rPr>
        <w:t xml:space="preserve">Stok değişimi </w:t>
      </w:r>
      <w:r w:rsidRPr="00DD51D1">
        <w:rPr>
          <w:rFonts w:ascii="Arial" w:hAnsi="Arial" w:cs="Arial"/>
          <w:i/>
          <w:iCs/>
          <w:sz w:val="20"/>
          <w:szCs w:val="20"/>
          <w:vertAlign w:val="subscript"/>
        </w:rPr>
        <w:t>t</w:t>
      </w:r>
      <w:r w:rsidRPr="00DD51D1">
        <w:rPr>
          <w:rFonts w:ascii="Arial" w:hAnsi="Arial" w:cs="Arial"/>
          <w:sz w:val="20"/>
          <w:szCs w:val="20"/>
        </w:rPr>
        <w:t xml:space="preserve"> = </w:t>
      </w:r>
      <w:bookmarkStart w:id="0" w:name="OLE_LINK1"/>
      <w:bookmarkStart w:id="1" w:name="OLE_LINK2"/>
      <w:r w:rsidRPr="00DD51D1">
        <w:rPr>
          <w:rFonts w:ascii="Arial" w:hAnsi="Arial" w:cs="Arial"/>
          <w:sz w:val="20"/>
          <w:szCs w:val="20"/>
        </w:rPr>
        <w:t xml:space="preserve">Stok </w:t>
      </w:r>
      <w:r w:rsidRPr="00DD51D1">
        <w:rPr>
          <w:rFonts w:ascii="Arial" w:hAnsi="Arial" w:cs="Arial"/>
          <w:i/>
          <w:iCs/>
          <w:sz w:val="20"/>
          <w:szCs w:val="20"/>
          <w:vertAlign w:val="subscript"/>
        </w:rPr>
        <w:t>t</w:t>
      </w:r>
      <w:r w:rsidRPr="00DD51D1">
        <w:rPr>
          <w:rFonts w:ascii="Arial" w:hAnsi="Arial" w:cs="Arial"/>
          <w:sz w:val="20"/>
          <w:szCs w:val="20"/>
          <w:vertAlign w:val="subscript"/>
        </w:rPr>
        <w:t xml:space="preserve"> </w:t>
      </w:r>
      <w:r w:rsidRPr="00DD51D1">
        <w:rPr>
          <w:rFonts w:ascii="Arial" w:hAnsi="Arial" w:cs="Arial"/>
          <w:sz w:val="20"/>
          <w:szCs w:val="20"/>
        </w:rPr>
        <w:t xml:space="preserve">– Stok </w:t>
      </w:r>
      <w:r w:rsidRPr="00DD51D1">
        <w:rPr>
          <w:rFonts w:ascii="Arial" w:hAnsi="Arial" w:cs="Arial"/>
          <w:i/>
          <w:iCs/>
          <w:sz w:val="20"/>
          <w:szCs w:val="20"/>
          <w:vertAlign w:val="subscript"/>
        </w:rPr>
        <w:t>t</w:t>
      </w:r>
      <w:r w:rsidRPr="00DD51D1">
        <w:rPr>
          <w:rFonts w:ascii="Arial" w:hAnsi="Arial" w:cs="Arial"/>
          <w:sz w:val="20"/>
          <w:szCs w:val="20"/>
          <w:vertAlign w:val="subscript"/>
        </w:rPr>
        <w:t xml:space="preserve">-1 </w:t>
      </w:r>
      <w:bookmarkEnd w:id="0"/>
      <w:bookmarkEnd w:id="1"/>
      <w:r w:rsidRPr="00DD51D1">
        <w:rPr>
          <w:rFonts w:ascii="Arial" w:hAnsi="Arial" w:cs="Arial"/>
          <w:sz w:val="20"/>
          <w:szCs w:val="20"/>
        </w:rPr>
        <w:t xml:space="preserve">+ </w:t>
      </w:r>
      <w:r w:rsidRPr="00DD51D1">
        <w:rPr>
          <w:rFonts w:ascii="Arial" w:hAnsi="Arial" w:cs="Arial"/>
          <w:sz w:val="20"/>
          <w:szCs w:val="20"/>
        </w:rPr>
        <w:sym w:font="Symbol" w:char="F065"/>
      </w:r>
      <w:r w:rsidRPr="00DD51D1">
        <w:rPr>
          <w:rFonts w:ascii="Arial" w:hAnsi="Arial" w:cs="Arial"/>
          <w:i/>
          <w:iCs/>
          <w:sz w:val="20"/>
          <w:szCs w:val="20"/>
          <w:vertAlign w:val="subscript"/>
        </w:rPr>
        <w:t>t</w:t>
      </w:r>
      <w:r w:rsidRPr="00DD51D1">
        <w:rPr>
          <w:rFonts w:ascii="Arial" w:hAnsi="Arial" w:cs="Arial"/>
          <w:sz w:val="20"/>
          <w:szCs w:val="20"/>
          <w:vertAlign w:val="subscript"/>
        </w:rPr>
        <w:t>-1</w:t>
      </w:r>
    </w:p>
    <w:p w:rsidR="00B834FD" w:rsidRPr="00DD51D1" w:rsidRDefault="00B834FD" w:rsidP="00F428BE">
      <w:pPr>
        <w:ind w:right="77"/>
        <w:jc w:val="both"/>
        <w:rPr>
          <w:rFonts w:ascii="Arial" w:hAnsi="Arial" w:cs="Arial"/>
          <w:sz w:val="20"/>
          <w:szCs w:val="20"/>
        </w:rPr>
      </w:pPr>
    </w:p>
    <w:p w:rsidR="00B834FD" w:rsidRPr="00DD51D1" w:rsidRDefault="00B834FD" w:rsidP="00F428BE">
      <w:pPr>
        <w:spacing w:line="288" w:lineRule="auto"/>
        <w:ind w:right="77"/>
        <w:jc w:val="both"/>
        <w:rPr>
          <w:rFonts w:ascii="Arial" w:hAnsi="Arial" w:cs="Arial"/>
          <w:sz w:val="20"/>
          <w:szCs w:val="20"/>
        </w:rPr>
      </w:pPr>
      <w:r w:rsidRPr="00DD51D1">
        <w:rPr>
          <w:rFonts w:ascii="Arial" w:hAnsi="Arial" w:cs="Arial"/>
          <w:sz w:val="20"/>
          <w:szCs w:val="20"/>
        </w:rPr>
        <w:t>Stok değişimi kalemindeki değişimin büyümeye katkısını ise şu şekilde bulabiliriz :</w:t>
      </w:r>
    </w:p>
    <w:p w:rsidR="00B834FD" w:rsidRPr="00DD51D1" w:rsidRDefault="00B834FD" w:rsidP="00F428BE">
      <w:pPr>
        <w:spacing w:line="288" w:lineRule="auto"/>
        <w:ind w:right="77"/>
        <w:jc w:val="both"/>
        <w:rPr>
          <w:rFonts w:ascii="Arial" w:hAnsi="Arial" w:cs="Arial"/>
          <w:sz w:val="20"/>
          <w:szCs w:val="20"/>
        </w:rPr>
      </w:pPr>
      <w:r w:rsidRPr="00DD51D1">
        <w:rPr>
          <w:rFonts w:ascii="Arial" w:hAnsi="Arial" w:cs="Arial"/>
          <w:sz w:val="20"/>
          <w:szCs w:val="20"/>
        </w:rPr>
        <w:t>‘Stok değişiminin’ büyümeye katkısı t</w:t>
      </w:r>
    </w:p>
    <w:p w:rsidR="00B834FD" w:rsidRPr="00DD51D1" w:rsidRDefault="00B834FD" w:rsidP="00F428BE">
      <w:pPr>
        <w:spacing w:line="288" w:lineRule="auto"/>
        <w:ind w:right="77"/>
        <w:jc w:val="both"/>
        <w:rPr>
          <w:rFonts w:ascii="Arial" w:hAnsi="Arial" w:cs="Arial"/>
          <w:sz w:val="20"/>
          <w:szCs w:val="20"/>
        </w:rPr>
      </w:pPr>
      <w:r w:rsidRPr="00DD51D1">
        <w:rPr>
          <w:rFonts w:ascii="Arial" w:hAnsi="Arial" w:cs="Arial"/>
          <w:sz w:val="20"/>
          <w:szCs w:val="20"/>
        </w:rPr>
        <w:t xml:space="preserve">= (Stok </w:t>
      </w:r>
      <w:r w:rsidRPr="00DD51D1">
        <w:rPr>
          <w:rFonts w:ascii="Arial" w:hAnsi="Arial" w:cs="Arial"/>
          <w:i/>
          <w:iCs/>
          <w:sz w:val="20"/>
          <w:szCs w:val="20"/>
          <w:vertAlign w:val="subscript"/>
        </w:rPr>
        <w:t>t</w:t>
      </w:r>
      <w:r w:rsidRPr="00DD51D1">
        <w:rPr>
          <w:rFonts w:ascii="Arial" w:hAnsi="Arial" w:cs="Arial"/>
          <w:sz w:val="20"/>
          <w:szCs w:val="20"/>
          <w:vertAlign w:val="subscript"/>
        </w:rPr>
        <w:t xml:space="preserve"> </w:t>
      </w:r>
      <w:r w:rsidRPr="00DD51D1">
        <w:rPr>
          <w:rFonts w:ascii="Arial" w:hAnsi="Arial" w:cs="Arial"/>
          <w:sz w:val="20"/>
          <w:szCs w:val="20"/>
        </w:rPr>
        <w:t xml:space="preserve">– Stok </w:t>
      </w:r>
      <w:r w:rsidRPr="00DD51D1">
        <w:rPr>
          <w:rFonts w:ascii="Arial" w:hAnsi="Arial" w:cs="Arial"/>
          <w:i/>
          <w:iCs/>
          <w:sz w:val="20"/>
          <w:szCs w:val="20"/>
          <w:vertAlign w:val="subscript"/>
        </w:rPr>
        <w:t>t</w:t>
      </w:r>
      <w:r w:rsidRPr="00DD51D1">
        <w:rPr>
          <w:rFonts w:ascii="Arial" w:hAnsi="Arial" w:cs="Arial"/>
          <w:sz w:val="20"/>
          <w:szCs w:val="20"/>
          <w:vertAlign w:val="subscript"/>
        </w:rPr>
        <w:t>-1</w:t>
      </w:r>
      <w:r w:rsidRPr="00DD51D1">
        <w:rPr>
          <w:rFonts w:ascii="Arial" w:hAnsi="Arial" w:cs="Arial"/>
          <w:sz w:val="20"/>
          <w:szCs w:val="20"/>
        </w:rPr>
        <w:t xml:space="preserve">) / GSYH </w:t>
      </w:r>
      <w:r w:rsidRPr="00DD51D1">
        <w:rPr>
          <w:rFonts w:ascii="Arial" w:hAnsi="Arial" w:cs="Arial"/>
          <w:i/>
          <w:iCs/>
          <w:sz w:val="20"/>
          <w:szCs w:val="20"/>
          <w:vertAlign w:val="subscript"/>
        </w:rPr>
        <w:t>t</w:t>
      </w:r>
      <w:r w:rsidRPr="00DD51D1">
        <w:rPr>
          <w:rFonts w:ascii="Arial" w:hAnsi="Arial" w:cs="Arial"/>
          <w:sz w:val="20"/>
          <w:szCs w:val="20"/>
          <w:vertAlign w:val="subscript"/>
        </w:rPr>
        <w:t>-1</w:t>
      </w:r>
    </w:p>
    <w:p w:rsidR="00B834FD" w:rsidRPr="00DD51D1" w:rsidRDefault="00B834FD" w:rsidP="00F428BE">
      <w:pPr>
        <w:spacing w:line="288" w:lineRule="auto"/>
        <w:ind w:right="77"/>
        <w:jc w:val="both"/>
        <w:rPr>
          <w:rFonts w:ascii="Arial" w:hAnsi="Arial" w:cs="Arial"/>
          <w:sz w:val="20"/>
          <w:szCs w:val="20"/>
        </w:rPr>
      </w:pPr>
    </w:p>
    <w:p w:rsidR="00B834FD" w:rsidRPr="00DD51D1" w:rsidRDefault="00B834FD" w:rsidP="00F428BE">
      <w:pPr>
        <w:spacing w:line="288" w:lineRule="auto"/>
        <w:ind w:right="77"/>
        <w:jc w:val="both"/>
        <w:rPr>
          <w:rFonts w:ascii="Arial" w:hAnsi="Arial" w:cs="Arial"/>
          <w:sz w:val="20"/>
          <w:szCs w:val="20"/>
        </w:rPr>
      </w:pPr>
      <w:r w:rsidRPr="00DD51D1">
        <w:rPr>
          <w:rFonts w:ascii="Arial" w:hAnsi="Arial" w:cs="Arial"/>
          <w:sz w:val="20"/>
          <w:szCs w:val="20"/>
        </w:rPr>
        <w:t>Veya</w:t>
      </w:r>
    </w:p>
    <w:p w:rsidR="00B834FD" w:rsidRPr="00DD51D1" w:rsidRDefault="00B834FD" w:rsidP="00F428BE">
      <w:pPr>
        <w:spacing w:line="288" w:lineRule="auto"/>
        <w:ind w:right="77"/>
        <w:jc w:val="both"/>
        <w:rPr>
          <w:rFonts w:ascii="Arial" w:hAnsi="Arial" w:cs="Arial"/>
          <w:sz w:val="20"/>
          <w:szCs w:val="20"/>
        </w:rPr>
      </w:pPr>
    </w:p>
    <w:p w:rsidR="00B834FD" w:rsidRPr="00DD51D1" w:rsidRDefault="00B834FD" w:rsidP="00F428BE">
      <w:pPr>
        <w:spacing w:line="288" w:lineRule="auto"/>
        <w:ind w:right="77"/>
        <w:jc w:val="both"/>
        <w:rPr>
          <w:rFonts w:ascii="Arial" w:hAnsi="Arial" w:cs="Arial"/>
          <w:sz w:val="20"/>
          <w:szCs w:val="20"/>
        </w:rPr>
      </w:pPr>
      <w:r w:rsidRPr="00DD51D1">
        <w:rPr>
          <w:rFonts w:ascii="Arial" w:hAnsi="Arial" w:cs="Arial"/>
          <w:sz w:val="20"/>
          <w:szCs w:val="20"/>
        </w:rPr>
        <w:t>‘Stok değişiminin’ büyümeye katkısı t</w:t>
      </w:r>
    </w:p>
    <w:p w:rsidR="00B834FD" w:rsidRPr="00DD51D1" w:rsidRDefault="00B834FD" w:rsidP="00F428BE">
      <w:pPr>
        <w:spacing w:line="288" w:lineRule="auto"/>
        <w:ind w:right="77"/>
        <w:jc w:val="both"/>
        <w:rPr>
          <w:rFonts w:ascii="Arial" w:hAnsi="Arial" w:cs="Arial"/>
          <w:sz w:val="20"/>
          <w:szCs w:val="20"/>
        </w:rPr>
      </w:pPr>
      <w:r w:rsidRPr="00DD51D1">
        <w:rPr>
          <w:rFonts w:ascii="Arial" w:hAnsi="Arial" w:cs="Arial"/>
          <w:sz w:val="20"/>
          <w:szCs w:val="20"/>
        </w:rPr>
        <w:t xml:space="preserve">= ((Stok </w:t>
      </w:r>
      <w:r w:rsidRPr="00DD51D1">
        <w:rPr>
          <w:rFonts w:ascii="Arial" w:hAnsi="Arial" w:cs="Arial"/>
          <w:i/>
          <w:iCs/>
          <w:sz w:val="20"/>
          <w:szCs w:val="20"/>
          <w:vertAlign w:val="subscript"/>
        </w:rPr>
        <w:t>t</w:t>
      </w:r>
      <w:r w:rsidRPr="00DD51D1">
        <w:rPr>
          <w:rFonts w:ascii="Arial" w:hAnsi="Arial" w:cs="Arial"/>
          <w:sz w:val="20"/>
          <w:szCs w:val="20"/>
          <w:vertAlign w:val="subscript"/>
        </w:rPr>
        <w:t xml:space="preserve"> </w:t>
      </w:r>
      <w:r w:rsidRPr="00DD51D1">
        <w:rPr>
          <w:rFonts w:ascii="Arial" w:hAnsi="Arial" w:cs="Arial"/>
          <w:sz w:val="20"/>
          <w:szCs w:val="20"/>
        </w:rPr>
        <w:t xml:space="preserve">– Stok </w:t>
      </w:r>
      <w:r w:rsidRPr="00DD51D1">
        <w:rPr>
          <w:rFonts w:ascii="Arial" w:hAnsi="Arial" w:cs="Arial"/>
          <w:i/>
          <w:iCs/>
          <w:sz w:val="20"/>
          <w:szCs w:val="20"/>
          <w:vertAlign w:val="subscript"/>
        </w:rPr>
        <w:t>t</w:t>
      </w:r>
      <w:r w:rsidRPr="00DD51D1">
        <w:rPr>
          <w:rFonts w:ascii="Arial" w:hAnsi="Arial" w:cs="Arial"/>
          <w:sz w:val="20"/>
          <w:szCs w:val="20"/>
          <w:vertAlign w:val="subscript"/>
        </w:rPr>
        <w:t xml:space="preserve">-1 </w:t>
      </w:r>
      <w:r w:rsidRPr="00DD51D1">
        <w:rPr>
          <w:rFonts w:ascii="Arial" w:hAnsi="Arial" w:cs="Arial"/>
          <w:sz w:val="20"/>
          <w:szCs w:val="20"/>
        </w:rPr>
        <w:t xml:space="preserve">+ </w:t>
      </w:r>
      <w:r w:rsidRPr="00DD51D1">
        <w:rPr>
          <w:rFonts w:ascii="Arial" w:hAnsi="Arial" w:cs="Arial"/>
          <w:sz w:val="20"/>
          <w:szCs w:val="20"/>
        </w:rPr>
        <w:sym w:font="Symbol" w:char="F065"/>
      </w:r>
      <w:r w:rsidRPr="00DD51D1">
        <w:rPr>
          <w:rFonts w:ascii="Arial" w:hAnsi="Arial" w:cs="Arial"/>
          <w:i/>
          <w:iCs/>
          <w:sz w:val="20"/>
          <w:szCs w:val="20"/>
          <w:vertAlign w:val="subscript"/>
        </w:rPr>
        <w:t>t</w:t>
      </w:r>
      <w:r w:rsidRPr="00DD51D1">
        <w:rPr>
          <w:rFonts w:ascii="Arial" w:hAnsi="Arial" w:cs="Arial"/>
          <w:sz w:val="20"/>
          <w:szCs w:val="20"/>
          <w:vertAlign w:val="subscript"/>
        </w:rPr>
        <w:t xml:space="preserve"> </w:t>
      </w:r>
      <w:r w:rsidRPr="00DD51D1">
        <w:rPr>
          <w:rFonts w:ascii="Arial" w:hAnsi="Arial" w:cs="Arial"/>
          <w:sz w:val="20"/>
          <w:szCs w:val="20"/>
        </w:rPr>
        <w:t xml:space="preserve">) – (Stok </w:t>
      </w:r>
      <w:r w:rsidRPr="00DD51D1">
        <w:rPr>
          <w:rFonts w:ascii="Arial" w:hAnsi="Arial" w:cs="Arial"/>
          <w:i/>
          <w:iCs/>
          <w:sz w:val="20"/>
          <w:szCs w:val="20"/>
          <w:vertAlign w:val="subscript"/>
        </w:rPr>
        <w:t>t</w:t>
      </w:r>
      <w:r w:rsidRPr="00DD51D1">
        <w:rPr>
          <w:rFonts w:ascii="Arial" w:hAnsi="Arial" w:cs="Arial"/>
          <w:sz w:val="20"/>
          <w:szCs w:val="20"/>
          <w:vertAlign w:val="subscript"/>
        </w:rPr>
        <w:t xml:space="preserve">-1 </w:t>
      </w:r>
      <w:r w:rsidRPr="00DD51D1">
        <w:rPr>
          <w:rFonts w:ascii="Arial" w:hAnsi="Arial" w:cs="Arial"/>
          <w:sz w:val="20"/>
          <w:szCs w:val="20"/>
        </w:rPr>
        <w:t xml:space="preserve">– Stok </w:t>
      </w:r>
      <w:r w:rsidRPr="00DD51D1">
        <w:rPr>
          <w:rFonts w:ascii="Arial" w:hAnsi="Arial" w:cs="Arial"/>
          <w:i/>
          <w:iCs/>
          <w:sz w:val="20"/>
          <w:szCs w:val="20"/>
          <w:vertAlign w:val="subscript"/>
        </w:rPr>
        <w:t>t</w:t>
      </w:r>
      <w:r w:rsidRPr="00DD51D1">
        <w:rPr>
          <w:rFonts w:ascii="Arial" w:hAnsi="Arial" w:cs="Arial"/>
          <w:sz w:val="20"/>
          <w:szCs w:val="20"/>
          <w:vertAlign w:val="subscript"/>
        </w:rPr>
        <w:t xml:space="preserve">-2 </w:t>
      </w:r>
      <w:r w:rsidRPr="00DD51D1">
        <w:rPr>
          <w:rFonts w:ascii="Arial" w:hAnsi="Arial" w:cs="Arial"/>
          <w:sz w:val="20"/>
          <w:szCs w:val="20"/>
        </w:rPr>
        <w:t xml:space="preserve">+ </w:t>
      </w:r>
      <w:r w:rsidRPr="00DD51D1">
        <w:rPr>
          <w:rFonts w:ascii="Arial" w:hAnsi="Arial" w:cs="Arial"/>
          <w:sz w:val="20"/>
          <w:szCs w:val="20"/>
        </w:rPr>
        <w:sym w:font="Symbol" w:char="F065"/>
      </w:r>
      <w:r w:rsidRPr="00DD51D1">
        <w:rPr>
          <w:rFonts w:ascii="Arial" w:hAnsi="Arial" w:cs="Arial"/>
          <w:i/>
          <w:iCs/>
          <w:sz w:val="20"/>
          <w:szCs w:val="20"/>
          <w:vertAlign w:val="subscript"/>
        </w:rPr>
        <w:t>t</w:t>
      </w:r>
      <w:r w:rsidRPr="00DD51D1">
        <w:rPr>
          <w:rFonts w:ascii="Arial" w:hAnsi="Arial" w:cs="Arial"/>
          <w:sz w:val="20"/>
          <w:szCs w:val="20"/>
          <w:vertAlign w:val="subscript"/>
        </w:rPr>
        <w:t>-1</w:t>
      </w:r>
      <w:r w:rsidRPr="00DD51D1">
        <w:rPr>
          <w:rFonts w:ascii="Arial" w:hAnsi="Arial" w:cs="Arial"/>
          <w:sz w:val="20"/>
          <w:szCs w:val="20"/>
        </w:rPr>
        <w:t>))</w:t>
      </w:r>
    </w:p>
    <w:p w:rsidR="00B834FD" w:rsidRPr="00DD51D1" w:rsidRDefault="00B834FD" w:rsidP="00F428BE">
      <w:pPr>
        <w:spacing w:line="288" w:lineRule="auto"/>
        <w:ind w:right="77"/>
        <w:jc w:val="both"/>
        <w:rPr>
          <w:rFonts w:ascii="Arial" w:hAnsi="Arial" w:cs="Arial"/>
          <w:sz w:val="20"/>
          <w:szCs w:val="20"/>
        </w:rPr>
      </w:pPr>
      <w:r w:rsidRPr="00DD51D1">
        <w:rPr>
          <w:rFonts w:ascii="Arial" w:hAnsi="Arial" w:cs="Arial"/>
          <w:sz w:val="20"/>
          <w:szCs w:val="20"/>
        </w:rPr>
        <w:t xml:space="preserve">    / GSYH </w:t>
      </w:r>
      <w:r w:rsidRPr="00DD51D1">
        <w:rPr>
          <w:rFonts w:ascii="Arial" w:hAnsi="Arial" w:cs="Arial"/>
          <w:i/>
          <w:iCs/>
          <w:sz w:val="20"/>
          <w:szCs w:val="20"/>
          <w:vertAlign w:val="subscript"/>
        </w:rPr>
        <w:t>t</w:t>
      </w:r>
      <w:r w:rsidRPr="00DD51D1">
        <w:rPr>
          <w:rFonts w:ascii="Arial" w:hAnsi="Arial" w:cs="Arial"/>
          <w:sz w:val="20"/>
          <w:szCs w:val="20"/>
          <w:vertAlign w:val="subscript"/>
        </w:rPr>
        <w:t>-1</w:t>
      </w:r>
    </w:p>
    <w:p w:rsidR="00B834FD" w:rsidRPr="00DD51D1" w:rsidRDefault="00B834FD" w:rsidP="00AE0BBB">
      <w:pPr>
        <w:spacing w:line="288" w:lineRule="auto"/>
        <w:ind w:right="-318"/>
        <w:jc w:val="both"/>
        <w:rPr>
          <w:rFonts w:ascii="Arial" w:hAnsi="Arial" w:cs="Arial"/>
          <w:sz w:val="20"/>
          <w:szCs w:val="20"/>
        </w:rPr>
      </w:pPr>
    </w:p>
    <w:p w:rsidR="00B834FD" w:rsidRPr="00DD51D1" w:rsidRDefault="00B834FD" w:rsidP="00AE0BBB">
      <w:pPr>
        <w:spacing w:line="288" w:lineRule="auto"/>
        <w:ind w:right="-318"/>
        <w:jc w:val="both"/>
        <w:rPr>
          <w:rFonts w:ascii="Arial" w:hAnsi="Arial" w:cs="Arial"/>
          <w:sz w:val="20"/>
          <w:szCs w:val="20"/>
        </w:rPr>
      </w:pPr>
    </w:p>
    <w:p w:rsidR="00B834FD" w:rsidRPr="00DD51D1" w:rsidRDefault="00B834FD" w:rsidP="00AE0BBB">
      <w:pPr>
        <w:spacing w:line="288" w:lineRule="auto"/>
        <w:ind w:right="-318"/>
        <w:jc w:val="both"/>
        <w:rPr>
          <w:rFonts w:ascii="Arial" w:hAnsi="Arial" w:cs="Arial"/>
          <w:sz w:val="20"/>
          <w:szCs w:val="20"/>
        </w:rPr>
      </w:pPr>
    </w:p>
    <w:p w:rsidR="00B834FD" w:rsidRPr="00DD51D1" w:rsidRDefault="00B834FD" w:rsidP="00AE0BBB">
      <w:pPr>
        <w:spacing w:line="288" w:lineRule="auto"/>
        <w:ind w:right="-318"/>
        <w:jc w:val="both"/>
        <w:rPr>
          <w:rFonts w:ascii="Arial" w:hAnsi="Arial" w:cs="Arial"/>
          <w:sz w:val="20"/>
          <w:szCs w:val="20"/>
        </w:rPr>
      </w:pPr>
    </w:p>
    <w:p w:rsidR="00B834FD" w:rsidRPr="00DD51D1" w:rsidRDefault="00B834FD" w:rsidP="00AE0BBB">
      <w:pPr>
        <w:spacing w:line="288" w:lineRule="auto"/>
        <w:ind w:right="-318"/>
        <w:jc w:val="both"/>
        <w:rPr>
          <w:rFonts w:ascii="Arial" w:hAnsi="Arial" w:cs="Arial"/>
          <w:sz w:val="20"/>
          <w:szCs w:val="20"/>
        </w:rPr>
      </w:pPr>
    </w:p>
    <w:p w:rsidR="00B834FD" w:rsidRPr="00DD51D1" w:rsidRDefault="00B834FD" w:rsidP="00AE0BBB">
      <w:pPr>
        <w:spacing w:line="288" w:lineRule="auto"/>
        <w:ind w:right="-318"/>
        <w:jc w:val="both"/>
        <w:rPr>
          <w:rFonts w:ascii="Arial" w:hAnsi="Arial" w:cs="Arial"/>
          <w:sz w:val="20"/>
          <w:szCs w:val="20"/>
        </w:rPr>
      </w:pPr>
    </w:p>
    <w:p w:rsidR="00B834FD" w:rsidRPr="00DD51D1" w:rsidRDefault="00B834FD" w:rsidP="00AE0BBB">
      <w:pPr>
        <w:spacing w:line="288" w:lineRule="auto"/>
        <w:ind w:right="-318"/>
        <w:jc w:val="both"/>
        <w:rPr>
          <w:rFonts w:ascii="Arial" w:hAnsi="Arial" w:cs="Arial"/>
          <w:sz w:val="20"/>
          <w:szCs w:val="20"/>
        </w:rPr>
      </w:pPr>
    </w:p>
    <w:p w:rsidR="00B834FD" w:rsidRPr="00DD51D1" w:rsidRDefault="00B834FD" w:rsidP="00AE0BBB">
      <w:pPr>
        <w:spacing w:line="288" w:lineRule="auto"/>
        <w:ind w:right="-318"/>
        <w:jc w:val="both"/>
        <w:rPr>
          <w:rFonts w:ascii="Arial" w:hAnsi="Arial" w:cs="Arial"/>
          <w:sz w:val="20"/>
          <w:szCs w:val="20"/>
        </w:rPr>
      </w:pPr>
    </w:p>
    <w:p w:rsidR="00B834FD" w:rsidRPr="00DD51D1" w:rsidRDefault="00B834FD" w:rsidP="00AE0BBB">
      <w:pPr>
        <w:spacing w:line="288" w:lineRule="auto"/>
        <w:ind w:right="-318"/>
        <w:jc w:val="both"/>
        <w:rPr>
          <w:rFonts w:ascii="Arial" w:hAnsi="Arial" w:cs="Arial"/>
          <w:sz w:val="20"/>
          <w:szCs w:val="20"/>
        </w:rPr>
      </w:pPr>
    </w:p>
    <w:p w:rsidR="00B834FD" w:rsidRPr="00DD51D1" w:rsidRDefault="00B834FD" w:rsidP="00AE0BBB">
      <w:pPr>
        <w:spacing w:line="288" w:lineRule="auto"/>
        <w:ind w:right="-318"/>
        <w:jc w:val="both"/>
        <w:rPr>
          <w:rFonts w:ascii="Arial" w:hAnsi="Arial" w:cs="Arial"/>
          <w:sz w:val="20"/>
          <w:szCs w:val="20"/>
        </w:rPr>
      </w:pPr>
    </w:p>
    <w:p w:rsidR="00B834FD" w:rsidRPr="00DD51D1" w:rsidRDefault="00B834FD" w:rsidP="00AE0BBB">
      <w:pPr>
        <w:spacing w:line="288" w:lineRule="auto"/>
        <w:ind w:right="-318"/>
        <w:jc w:val="both"/>
        <w:rPr>
          <w:rFonts w:ascii="Arial" w:hAnsi="Arial" w:cs="Arial"/>
          <w:sz w:val="20"/>
          <w:szCs w:val="20"/>
        </w:rPr>
      </w:pPr>
    </w:p>
    <w:p w:rsidR="00B834FD" w:rsidRPr="00DD51D1" w:rsidRDefault="00B834FD" w:rsidP="00952683">
      <w:pPr>
        <w:autoSpaceDE w:val="0"/>
        <w:autoSpaceDN w:val="0"/>
        <w:adjustRightInd w:val="0"/>
        <w:rPr>
          <w:rFonts w:ascii="Arial" w:hAnsi="Arial" w:cs="Arial"/>
          <w:sz w:val="20"/>
          <w:szCs w:val="20"/>
        </w:rPr>
      </w:pPr>
    </w:p>
    <w:p w:rsidR="00B834FD" w:rsidRPr="00DD51D1" w:rsidRDefault="00B834FD" w:rsidP="00952683">
      <w:pPr>
        <w:autoSpaceDE w:val="0"/>
        <w:autoSpaceDN w:val="0"/>
        <w:adjustRightInd w:val="0"/>
        <w:rPr>
          <w:rFonts w:ascii="Arial" w:hAnsi="Arial" w:cs="Arial"/>
          <w:sz w:val="22"/>
          <w:szCs w:val="22"/>
        </w:rPr>
      </w:pPr>
    </w:p>
    <w:p w:rsidR="00B834FD" w:rsidRPr="00DD51D1" w:rsidRDefault="00B834FD" w:rsidP="00952683">
      <w:pPr>
        <w:autoSpaceDE w:val="0"/>
        <w:autoSpaceDN w:val="0"/>
        <w:adjustRightInd w:val="0"/>
        <w:rPr>
          <w:rFonts w:ascii="Arial" w:hAnsi="Arial" w:cs="Arial"/>
          <w:sz w:val="22"/>
          <w:szCs w:val="22"/>
        </w:rPr>
      </w:pPr>
    </w:p>
    <w:p w:rsidR="00B834FD" w:rsidRPr="00DD51D1" w:rsidRDefault="00B834FD" w:rsidP="00CA5BA6">
      <w:pPr>
        <w:spacing w:line="288" w:lineRule="auto"/>
        <w:ind w:right="-318"/>
        <w:jc w:val="both"/>
        <w:rPr>
          <w:rFonts w:ascii="Arial" w:hAnsi="Arial" w:cs="Arial"/>
          <w:sz w:val="20"/>
          <w:szCs w:val="20"/>
        </w:rPr>
      </w:pPr>
    </w:p>
    <w:sectPr w:rsidR="00B834FD" w:rsidRPr="00DD51D1" w:rsidSect="00C335E9">
      <w:type w:val="continuous"/>
      <w:pgSz w:w="11906" w:h="16838"/>
      <w:pgMar w:top="1417" w:right="1106" w:bottom="1417" w:left="900" w:header="708" w:footer="708" w:gutter="0"/>
      <w:cols w:num="2" w:space="38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446" w:rsidRDefault="00444446">
      <w:r>
        <w:separator/>
      </w:r>
    </w:p>
  </w:endnote>
  <w:endnote w:type="continuationSeparator" w:id="1">
    <w:p w:rsidR="00444446" w:rsidRDefault="004444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TUR">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4FD" w:rsidRDefault="004C2F4B" w:rsidP="007344A9">
    <w:pPr>
      <w:pStyle w:val="Footer"/>
      <w:framePr w:wrap="auto" w:vAnchor="text" w:hAnchor="margin" w:xAlign="right" w:y="1"/>
      <w:rPr>
        <w:rStyle w:val="PageNumber"/>
      </w:rPr>
    </w:pPr>
    <w:r>
      <w:rPr>
        <w:rStyle w:val="PageNumber"/>
      </w:rPr>
      <w:fldChar w:fldCharType="begin"/>
    </w:r>
    <w:r w:rsidR="00B834FD">
      <w:rPr>
        <w:rStyle w:val="PageNumber"/>
      </w:rPr>
      <w:instrText xml:space="preserve">PAGE  </w:instrText>
    </w:r>
    <w:r>
      <w:rPr>
        <w:rStyle w:val="PageNumber"/>
      </w:rPr>
      <w:fldChar w:fldCharType="separate"/>
    </w:r>
    <w:r w:rsidR="00A10419">
      <w:rPr>
        <w:rStyle w:val="PageNumber"/>
        <w:noProof/>
      </w:rPr>
      <w:t>3</w:t>
    </w:r>
    <w:r>
      <w:rPr>
        <w:rStyle w:val="PageNumber"/>
      </w:rPr>
      <w:fldChar w:fldCharType="end"/>
    </w:r>
  </w:p>
  <w:p w:rsidR="00B834FD" w:rsidRPr="007750EF" w:rsidRDefault="00B834FD" w:rsidP="00017426">
    <w:pPr>
      <w:pStyle w:val="Footer"/>
      <w:ind w:right="360"/>
      <w:jc w:val="center"/>
      <w:rPr>
        <w:rFonts w:ascii="Arial" w:hAnsi="Arial" w:cs="Arial"/>
        <w:b/>
        <w:bCs/>
        <w:i/>
        <w:iCs/>
        <w:sz w:val="20"/>
        <w:szCs w:val="20"/>
      </w:rPr>
    </w:pPr>
    <w:r w:rsidRPr="007750EF">
      <w:rPr>
        <w:rFonts w:ascii="Arial" w:hAnsi="Arial" w:cs="Arial"/>
        <w:b/>
        <w:bCs/>
        <w:i/>
        <w:iCs/>
        <w:sz w:val="20"/>
        <w:szCs w:val="20"/>
      </w:rPr>
      <w:t>www.betam.bahcesehir.edu.tr</w:t>
    </w:r>
  </w:p>
  <w:p w:rsidR="00B834FD" w:rsidRDefault="00B834FD" w:rsidP="00B7233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446" w:rsidRDefault="00444446">
      <w:r>
        <w:separator/>
      </w:r>
    </w:p>
  </w:footnote>
  <w:footnote w:type="continuationSeparator" w:id="1">
    <w:p w:rsidR="00444446" w:rsidRDefault="004444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F5F4EC5"/>
    <w:multiLevelType w:val="hybridMultilevel"/>
    <w:tmpl w:val="5A30769A"/>
    <w:lvl w:ilvl="0" w:tplc="041F000F">
      <w:start w:val="1"/>
      <w:numFmt w:val="decimal"/>
      <w:lvlText w:val="%1."/>
      <w:lvlJc w:val="left"/>
      <w:pPr>
        <w:tabs>
          <w:tab w:val="num" w:pos="720"/>
        </w:tabs>
        <w:ind w:left="72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
    <w:nsid w:val="5CCE1052"/>
    <w:multiLevelType w:val="multilevel"/>
    <w:tmpl w:val="4C40BD4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7DF506F2"/>
    <w:multiLevelType w:val="hybridMultilevel"/>
    <w:tmpl w:val="4C40BD48"/>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footnotePr>
    <w:numFmt w:val="chicago"/>
    <w:footnote w:id="0"/>
    <w:footnote w:id="1"/>
  </w:footnotePr>
  <w:endnotePr>
    <w:endnote w:id="0"/>
    <w:endnote w:id="1"/>
  </w:endnotePr>
  <w:compat/>
  <w:rsids>
    <w:rsidRoot w:val="00AE0BBB"/>
    <w:rsid w:val="00001444"/>
    <w:rsid w:val="00002CEE"/>
    <w:rsid w:val="000038DF"/>
    <w:rsid w:val="0000598D"/>
    <w:rsid w:val="000103E6"/>
    <w:rsid w:val="000129C2"/>
    <w:rsid w:val="00017426"/>
    <w:rsid w:val="000231C7"/>
    <w:rsid w:val="000301E5"/>
    <w:rsid w:val="00033759"/>
    <w:rsid w:val="00034ECF"/>
    <w:rsid w:val="00041917"/>
    <w:rsid w:val="00054DF2"/>
    <w:rsid w:val="00060E9B"/>
    <w:rsid w:val="00060EC4"/>
    <w:rsid w:val="00076A31"/>
    <w:rsid w:val="00076E68"/>
    <w:rsid w:val="00083ED6"/>
    <w:rsid w:val="000847EA"/>
    <w:rsid w:val="000A1C83"/>
    <w:rsid w:val="000A3710"/>
    <w:rsid w:val="000A4BD1"/>
    <w:rsid w:val="000A6CA9"/>
    <w:rsid w:val="000A701D"/>
    <w:rsid w:val="000B1F93"/>
    <w:rsid w:val="000C04C5"/>
    <w:rsid w:val="000C5B7E"/>
    <w:rsid w:val="000C5C8B"/>
    <w:rsid w:val="000D321F"/>
    <w:rsid w:val="000D4F14"/>
    <w:rsid w:val="000D79EC"/>
    <w:rsid w:val="000E10A3"/>
    <w:rsid w:val="000F0FAB"/>
    <w:rsid w:val="000F4941"/>
    <w:rsid w:val="00105A12"/>
    <w:rsid w:val="00107363"/>
    <w:rsid w:val="0010795F"/>
    <w:rsid w:val="001105B2"/>
    <w:rsid w:val="00110EBA"/>
    <w:rsid w:val="00111AD6"/>
    <w:rsid w:val="00113284"/>
    <w:rsid w:val="001168BF"/>
    <w:rsid w:val="00124F5D"/>
    <w:rsid w:val="00130FEE"/>
    <w:rsid w:val="00141A2F"/>
    <w:rsid w:val="00144245"/>
    <w:rsid w:val="00150C5D"/>
    <w:rsid w:val="0015266B"/>
    <w:rsid w:val="001635A4"/>
    <w:rsid w:val="0016522D"/>
    <w:rsid w:val="00166F89"/>
    <w:rsid w:val="001679A2"/>
    <w:rsid w:val="00177D70"/>
    <w:rsid w:val="00177FE3"/>
    <w:rsid w:val="001A0A58"/>
    <w:rsid w:val="001A1E7D"/>
    <w:rsid w:val="001A2605"/>
    <w:rsid w:val="001A6323"/>
    <w:rsid w:val="001A713D"/>
    <w:rsid w:val="001A7176"/>
    <w:rsid w:val="001B0683"/>
    <w:rsid w:val="001B4591"/>
    <w:rsid w:val="001C396B"/>
    <w:rsid w:val="001C5776"/>
    <w:rsid w:val="001C629C"/>
    <w:rsid w:val="001D404B"/>
    <w:rsid w:val="001D4057"/>
    <w:rsid w:val="001E1DFE"/>
    <w:rsid w:val="001E5D74"/>
    <w:rsid w:val="001F0A81"/>
    <w:rsid w:val="001F19DC"/>
    <w:rsid w:val="002063D4"/>
    <w:rsid w:val="00206831"/>
    <w:rsid w:val="002111EE"/>
    <w:rsid w:val="0022485B"/>
    <w:rsid w:val="002304FE"/>
    <w:rsid w:val="002310A4"/>
    <w:rsid w:val="00232927"/>
    <w:rsid w:val="00240B3E"/>
    <w:rsid w:val="00242460"/>
    <w:rsid w:val="002548F5"/>
    <w:rsid w:val="00256199"/>
    <w:rsid w:val="00263147"/>
    <w:rsid w:val="002776F4"/>
    <w:rsid w:val="002829AF"/>
    <w:rsid w:val="002A1249"/>
    <w:rsid w:val="002A66ED"/>
    <w:rsid w:val="002C3E28"/>
    <w:rsid w:val="002C664B"/>
    <w:rsid w:val="002D2C9F"/>
    <w:rsid w:val="002E24C3"/>
    <w:rsid w:val="002E4241"/>
    <w:rsid w:val="002E4EBB"/>
    <w:rsid w:val="002F27AE"/>
    <w:rsid w:val="002F4D4C"/>
    <w:rsid w:val="002F5134"/>
    <w:rsid w:val="00301610"/>
    <w:rsid w:val="00303668"/>
    <w:rsid w:val="0031043B"/>
    <w:rsid w:val="00311DAA"/>
    <w:rsid w:val="00312D10"/>
    <w:rsid w:val="003142BA"/>
    <w:rsid w:val="00315A38"/>
    <w:rsid w:val="003232C7"/>
    <w:rsid w:val="00323B97"/>
    <w:rsid w:val="00334029"/>
    <w:rsid w:val="0034543C"/>
    <w:rsid w:val="0035035A"/>
    <w:rsid w:val="003515B5"/>
    <w:rsid w:val="00351F97"/>
    <w:rsid w:val="0035628A"/>
    <w:rsid w:val="0036512F"/>
    <w:rsid w:val="00370430"/>
    <w:rsid w:val="00373696"/>
    <w:rsid w:val="00380585"/>
    <w:rsid w:val="00384835"/>
    <w:rsid w:val="00384C18"/>
    <w:rsid w:val="00397F47"/>
    <w:rsid w:val="003A0ECD"/>
    <w:rsid w:val="003C0C43"/>
    <w:rsid w:val="003C1ECC"/>
    <w:rsid w:val="003C2E6D"/>
    <w:rsid w:val="003C4A71"/>
    <w:rsid w:val="003D29C7"/>
    <w:rsid w:val="003D7E7F"/>
    <w:rsid w:val="003E02D6"/>
    <w:rsid w:val="003E3634"/>
    <w:rsid w:val="003E6684"/>
    <w:rsid w:val="00400B76"/>
    <w:rsid w:val="00402989"/>
    <w:rsid w:val="00405EC6"/>
    <w:rsid w:val="0040666B"/>
    <w:rsid w:val="0040754A"/>
    <w:rsid w:val="00414520"/>
    <w:rsid w:val="0041456D"/>
    <w:rsid w:val="00423CB6"/>
    <w:rsid w:val="004254C3"/>
    <w:rsid w:val="00425675"/>
    <w:rsid w:val="004337B1"/>
    <w:rsid w:val="004360BB"/>
    <w:rsid w:val="00444446"/>
    <w:rsid w:val="004458F8"/>
    <w:rsid w:val="00450ACD"/>
    <w:rsid w:val="004529AD"/>
    <w:rsid w:val="00453FA5"/>
    <w:rsid w:val="00470351"/>
    <w:rsid w:val="004714CD"/>
    <w:rsid w:val="00475519"/>
    <w:rsid w:val="00484F5F"/>
    <w:rsid w:val="004947B8"/>
    <w:rsid w:val="00497E5F"/>
    <w:rsid w:val="004A3A86"/>
    <w:rsid w:val="004A4704"/>
    <w:rsid w:val="004B27BA"/>
    <w:rsid w:val="004B63B3"/>
    <w:rsid w:val="004C2F4B"/>
    <w:rsid w:val="004E272F"/>
    <w:rsid w:val="004E3889"/>
    <w:rsid w:val="004E6D54"/>
    <w:rsid w:val="004F40CF"/>
    <w:rsid w:val="004F7017"/>
    <w:rsid w:val="0050593C"/>
    <w:rsid w:val="00513310"/>
    <w:rsid w:val="00514BF6"/>
    <w:rsid w:val="0051655D"/>
    <w:rsid w:val="005171AD"/>
    <w:rsid w:val="00520C9F"/>
    <w:rsid w:val="00526178"/>
    <w:rsid w:val="00530EC8"/>
    <w:rsid w:val="00542058"/>
    <w:rsid w:val="00550844"/>
    <w:rsid w:val="00552BF8"/>
    <w:rsid w:val="00572866"/>
    <w:rsid w:val="005774A6"/>
    <w:rsid w:val="00580A75"/>
    <w:rsid w:val="00585B90"/>
    <w:rsid w:val="0058720D"/>
    <w:rsid w:val="0058797D"/>
    <w:rsid w:val="00591DB9"/>
    <w:rsid w:val="00595B85"/>
    <w:rsid w:val="005A112A"/>
    <w:rsid w:val="005A5C33"/>
    <w:rsid w:val="005A7A25"/>
    <w:rsid w:val="005B3336"/>
    <w:rsid w:val="005C5B4F"/>
    <w:rsid w:val="005C6DF4"/>
    <w:rsid w:val="005D32E4"/>
    <w:rsid w:val="005D4715"/>
    <w:rsid w:val="005D47AA"/>
    <w:rsid w:val="005D4824"/>
    <w:rsid w:val="005D7AE5"/>
    <w:rsid w:val="005E26C6"/>
    <w:rsid w:val="005E4725"/>
    <w:rsid w:val="005E4EF0"/>
    <w:rsid w:val="005E763B"/>
    <w:rsid w:val="005F31BE"/>
    <w:rsid w:val="005F51ED"/>
    <w:rsid w:val="00604C1F"/>
    <w:rsid w:val="006057A0"/>
    <w:rsid w:val="00614670"/>
    <w:rsid w:val="00633C51"/>
    <w:rsid w:val="00660DE2"/>
    <w:rsid w:val="006641E9"/>
    <w:rsid w:val="00680D3E"/>
    <w:rsid w:val="006878CD"/>
    <w:rsid w:val="00692DB0"/>
    <w:rsid w:val="0069530D"/>
    <w:rsid w:val="00697C0A"/>
    <w:rsid w:val="006A343A"/>
    <w:rsid w:val="006A46FE"/>
    <w:rsid w:val="006A538E"/>
    <w:rsid w:val="006A6C5B"/>
    <w:rsid w:val="006B4D2C"/>
    <w:rsid w:val="006C2514"/>
    <w:rsid w:val="006C405A"/>
    <w:rsid w:val="006C59C1"/>
    <w:rsid w:val="006D0CA9"/>
    <w:rsid w:val="006D3857"/>
    <w:rsid w:val="006E0CBB"/>
    <w:rsid w:val="006F40CE"/>
    <w:rsid w:val="006F4A63"/>
    <w:rsid w:val="00700658"/>
    <w:rsid w:val="007041DF"/>
    <w:rsid w:val="00710098"/>
    <w:rsid w:val="00712EDE"/>
    <w:rsid w:val="00716BBE"/>
    <w:rsid w:val="00717B60"/>
    <w:rsid w:val="00720EA3"/>
    <w:rsid w:val="0072389D"/>
    <w:rsid w:val="00726749"/>
    <w:rsid w:val="00727963"/>
    <w:rsid w:val="0073287D"/>
    <w:rsid w:val="007344A9"/>
    <w:rsid w:val="007415A5"/>
    <w:rsid w:val="00744ACB"/>
    <w:rsid w:val="00752C9A"/>
    <w:rsid w:val="00754536"/>
    <w:rsid w:val="0075696F"/>
    <w:rsid w:val="00762F7B"/>
    <w:rsid w:val="0076354F"/>
    <w:rsid w:val="00763C67"/>
    <w:rsid w:val="00773D7C"/>
    <w:rsid w:val="007750EF"/>
    <w:rsid w:val="007777F0"/>
    <w:rsid w:val="007818BA"/>
    <w:rsid w:val="00783713"/>
    <w:rsid w:val="007848CD"/>
    <w:rsid w:val="007849D7"/>
    <w:rsid w:val="007868A5"/>
    <w:rsid w:val="007972B3"/>
    <w:rsid w:val="007A35F3"/>
    <w:rsid w:val="007A669F"/>
    <w:rsid w:val="007B0061"/>
    <w:rsid w:val="007B5709"/>
    <w:rsid w:val="007B71AC"/>
    <w:rsid w:val="007C2C17"/>
    <w:rsid w:val="007C3006"/>
    <w:rsid w:val="007D27BC"/>
    <w:rsid w:val="007D6427"/>
    <w:rsid w:val="007E2BBD"/>
    <w:rsid w:val="007E6250"/>
    <w:rsid w:val="007F41B8"/>
    <w:rsid w:val="007F50E5"/>
    <w:rsid w:val="008038AF"/>
    <w:rsid w:val="00803E3E"/>
    <w:rsid w:val="00805D70"/>
    <w:rsid w:val="008070A4"/>
    <w:rsid w:val="008178BE"/>
    <w:rsid w:val="00823EC8"/>
    <w:rsid w:val="00835D6F"/>
    <w:rsid w:val="008372C4"/>
    <w:rsid w:val="008372E2"/>
    <w:rsid w:val="008503B3"/>
    <w:rsid w:val="008517F6"/>
    <w:rsid w:val="00855AA6"/>
    <w:rsid w:val="00862742"/>
    <w:rsid w:val="0087093F"/>
    <w:rsid w:val="0088054E"/>
    <w:rsid w:val="008870E7"/>
    <w:rsid w:val="00890B1D"/>
    <w:rsid w:val="0089443A"/>
    <w:rsid w:val="008A14F5"/>
    <w:rsid w:val="008A1528"/>
    <w:rsid w:val="008A5FC4"/>
    <w:rsid w:val="008A6647"/>
    <w:rsid w:val="008D3D8C"/>
    <w:rsid w:val="008D5294"/>
    <w:rsid w:val="008D711C"/>
    <w:rsid w:val="008E1AE4"/>
    <w:rsid w:val="008E3765"/>
    <w:rsid w:val="0091124D"/>
    <w:rsid w:val="0091445B"/>
    <w:rsid w:val="009151D5"/>
    <w:rsid w:val="00923AE7"/>
    <w:rsid w:val="00930D19"/>
    <w:rsid w:val="009344D3"/>
    <w:rsid w:val="00934718"/>
    <w:rsid w:val="009377F5"/>
    <w:rsid w:val="00937D5B"/>
    <w:rsid w:val="00945FFA"/>
    <w:rsid w:val="00952683"/>
    <w:rsid w:val="00953EFF"/>
    <w:rsid w:val="009575C3"/>
    <w:rsid w:val="009608B2"/>
    <w:rsid w:val="00970251"/>
    <w:rsid w:val="0097246B"/>
    <w:rsid w:val="00983059"/>
    <w:rsid w:val="0098521E"/>
    <w:rsid w:val="009860B5"/>
    <w:rsid w:val="00995F40"/>
    <w:rsid w:val="00996034"/>
    <w:rsid w:val="009969B5"/>
    <w:rsid w:val="009A0FAF"/>
    <w:rsid w:val="009A13FB"/>
    <w:rsid w:val="009A38F2"/>
    <w:rsid w:val="009A3A23"/>
    <w:rsid w:val="009A5CBE"/>
    <w:rsid w:val="009B3ADD"/>
    <w:rsid w:val="009B5D1C"/>
    <w:rsid w:val="009C7AA9"/>
    <w:rsid w:val="009D0F22"/>
    <w:rsid w:val="009E0021"/>
    <w:rsid w:val="009E0068"/>
    <w:rsid w:val="009F1285"/>
    <w:rsid w:val="009F61FA"/>
    <w:rsid w:val="009F76E5"/>
    <w:rsid w:val="00A10419"/>
    <w:rsid w:val="00A13AC7"/>
    <w:rsid w:val="00A208D0"/>
    <w:rsid w:val="00A21846"/>
    <w:rsid w:val="00A27158"/>
    <w:rsid w:val="00A3171E"/>
    <w:rsid w:val="00A31D44"/>
    <w:rsid w:val="00A50DE6"/>
    <w:rsid w:val="00A54173"/>
    <w:rsid w:val="00A57199"/>
    <w:rsid w:val="00A610C8"/>
    <w:rsid w:val="00A70CB2"/>
    <w:rsid w:val="00A76BDF"/>
    <w:rsid w:val="00A7746C"/>
    <w:rsid w:val="00A85A9E"/>
    <w:rsid w:val="00A86B36"/>
    <w:rsid w:val="00A95582"/>
    <w:rsid w:val="00AC53E9"/>
    <w:rsid w:val="00AD7A02"/>
    <w:rsid w:val="00AE0BBB"/>
    <w:rsid w:val="00AE12DE"/>
    <w:rsid w:val="00AE2554"/>
    <w:rsid w:val="00AE26E3"/>
    <w:rsid w:val="00AF0547"/>
    <w:rsid w:val="00AF26BD"/>
    <w:rsid w:val="00AF2B70"/>
    <w:rsid w:val="00AF2D7A"/>
    <w:rsid w:val="00B00EBD"/>
    <w:rsid w:val="00B073E3"/>
    <w:rsid w:val="00B10A46"/>
    <w:rsid w:val="00B14F53"/>
    <w:rsid w:val="00B171D8"/>
    <w:rsid w:val="00B213B6"/>
    <w:rsid w:val="00B30B41"/>
    <w:rsid w:val="00B32289"/>
    <w:rsid w:val="00B3427A"/>
    <w:rsid w:val="00B34AC5"/>
    <w:rsid w:val="00B37C4D"/>
    <w:rsid w:val="00B40C86"/>
    <w:rsid w:val="00B44918"/>
    <w:rsid w:val="00B56EE9"/>
    <w:rsid w:val="00B662BD"/>
    <w:rsid w:val="00B70759"/>
    <w:rsid w:val="00B71D85"/>
    <w:rsid w:val="00B71DA7"/>
    <w:rsid w:val="00B72337"/>
    <w:rsid w:val="00B7456E"/>
    <w:rsid w:val="00B75A4B"/>
    <w:rsid w:val="00B80E25"/>
    <w:rsid w:val="00B834FD"/>
    <w:rsid w:val="00B84E62"/>
    <w:rsid w:val="00B92F70"/>
    <w:rsid w:val="00BA30B6"/>
    <w:rsid w:val="00BA3435"/>
    <w:rsid w:val="00BA4C88"/>
    <w:rsid w:val="00BA58D1"/>
    <w:rsid w:val="00BB69A7"/>
    <w:rsid w:val="00BB721D"/>
    <w:rsid w:val="00BC0F31"/>
    <w:rsid w:val="00BD3858"/>
    <w:rsid w:val="00BE1068"/>
    <w:rsid w:val="00BF099B"/>
    <w:rsid w:val="00BF5284"/>
    <w:rsid w:val="00C03A61"/>
    <w:rsid w:val="00C10CAB"/>
    <w:rsid w:val="00C17269"/>
    <w:rsid w:val="00C2177C"/>
    <w:rsid w:val="00C23AF4"/>
    <w:rsid w:val="00C30753"/>
    <w:rsid w:val="00C32546"/>
    <w:rsid w:val="00C335E9"/>
    <w:rsid w:val="00C33984"/>
    <w:rsid w:val="00C402A3"/>
    <w:rsid w:val="00C402F7"/>
    <w:rsid w:val="00C5094B"/>
    <w:rsid w:val="00C6121C"/>
    <w:rsid w:val="00C61305"/>
    <w:rsid w:val="00C63F61"/>
    <w:rsid w:val="00C7064D"/>
    <w:rsid w:val="00C7235A"/>
    <w:rsid w:val="00C805B9"/>
    <w:rsid w:val="00C837A3"/>
    <w:rsid w:val="00C8511A"/>
    <w:rsid w:val="00C87DB6"/>
    <w:rsid w:val="00C91E59"/>
    <w:rsid w:val="00C9454F"/>
    <w:rsid w:val="00C956D5"/>
    <w:rsid w:val="00CA5BA6"/>
    <w:rsid w:val="00CB111E"/>
    <w:rsid w:val="00CB4BF1"/>
    <w:rsid w:val="00CC2A39"/>
    <w:rsid w:val="00CD4AC2"/>
    <w:rsid w:val="00CF1794"/>
    <w:rsid w:val="00CF7EDB"/>
    <w:rsid w:val="00D139DF"/>
    <w:rsid w:val="00D1509B"/>
    <w:rsid w:val="00D16840"/>
    <w:rsid w:val="00D31213"/>
    <w:rsid w:val="00D561EE"/>
    <w:rsid w:val="00D61C20"/>
    <w:rsid w:val="00D705E1"/>
    <w:rsid w:val="00D77718"/>
    <w:rsid w:val="00D87EC4"/>
    <w:rsid w:val="00D91378"/>
    <w:rsid w:val="00D92555"/>
    <w:rsid w:val="00D97362"/>
    <w:rsid w:val="00DA4A6D"/>
    <w:rsid w:val="00DA7445"/>
    <w:rsid w:val="00DB028A"/>
    <w:rsid w:val="00DB54D8"/>
    <w:rsid w:val="00DB5757"/>
    <w:rsid w:val="00DC4D42"/>
    <w:rsid w:val="00DC523D"/>
    <w:rsid w:val="00DC7F3E"/>
    <w:rsid w:val="00DD51D1"/>
    <w:rsid w:val="00DE0BBF"/>
    <w:rsid w:val="00DE3FDF"/>
    <w:rsid w:val="00DE5762"/>
    <w:rsid w:val="00DE7222"/>
    <w:rsid w:val="00E02B7E"/>
    <w:rsid w:val="00E06534"/>
    <w:rsid w:val="00E12EA6"/>
    <w:rsid w:val="00E14F6E"/>
    <w:rsid w:val="00E159A6"/>
    <w:rsid w:val="00E172B6"/>
    <w:rsid w:val="00E2274D"/>
    <w:rsid w:val="00E23A5D"/>
    <w:rsid w:val="00E33156"/>
    <w:rsid w:val="00E3611F"/>
    <w:rsid w:val="00E416B0"/>
    <w:rsid w:val="00E4342A"/>
    <w:rsid w:val="00E50802"/>
    <w:rsid w:val="00E532A7"/>
    <w:rsid w:val="00E663A9"/>
    <w:rsid w:val="00E70298"/>
    <w:rsid w:val="00E74B7B"/>
    <w:rsid w:val="00E74CCB"/>
    <w:rsid w:val="00E76458"/>
    <w:rsid w:val="00E76F2B"/>
    <w:rsid w:val="00E81A3A"/>
    <w:rsid w:val="00E83685"/>
    <w:rsid w:val="00E878C3"/>
    <w:rsid w:val="00E96583"/>
    <w:rsid w:val="00EA32A9"/>
    <w:rsid w:val="00EA32FB"/>
    <w:rsid w:val="00EA55F1"/>
    <w:rsid w:val="00EB2FE3"/>
    <w:rsid w:val="00EB5E9B"/>
    <w:rsid w:val="00EC19E1"/>
    <w:rsid w:val="00ED17CA"/>
    <w:rsid w:val="00EE36D3"/>
    <w:rsid w:val="00F02C52"/>
    <w:rsid w:val="00F04250"/>
    <w:rsid w:val="00F13CED"/>
    <w:rsid w:val="00F26339"/>
    <w:rsid w:val="00F26435"/>
    <w:rsid w:val="00F26692"/>
    <w:rsid w:val="00F27DE2"/>
    <w:rsid w:val="00F30DA8"/>
    <w:rsid w:val="00F30F41"/>
    <w:rsid w:val="00F3293D"/>
    <w:rsid w:val="00F3766D"/>
    <w:rsid w:val="00F428BE"/>
    <w:rsid w:val="00F50073"/>
    <w:rsid w:val="00F528C6"/>
    <w:rsid w:val="00F576A3"/>
    <w:rsid w:val="00F6419E"/>
    <w:rsid w:val="00F64E65"/>
    <w:rsid w:val="00F66727"/>
    <w:rsid w:val="00F70C3E"/>
    <w:rsid w:val="00F70D82"/>
    <w:rsid w:val="00F83753"/>
    <w:rsid w:val="00F86020"/>
    <w:rsid w:val="00FA01C6"/>
    <w:rsid w:val="00FA0645"/>
    <w:rsid w:val="00FA1EEF"/>
    <w:rsid w:val="00FA7C62"/>
    <w:rsid w:val="00FB3BC1"/>
    <w:rsid w:val="00FB4CD9"/>
    <w:rsid w:val="00FB7D81"/>
    <w:rsid w:val="00FB7E08"/>
    <w:rsid w:val="00FD1FE2"/>
    <w:rsid w:val="00FD2781"/>
    <w:rsid w:val="00FD3EF7"/>
    <w:rsid w:val="00FD70DC"/>
    <w:rsid w:val="00FE7CE6"/>
    <w:rsid w:val="00FF0FE7"/>
    <w:rsid w:val="00FF11D0"/>
    <w:rsid w:val="00FF6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3D"/>
    <w:rPr>
      <w:sz w:val="24"/>
      <w:szCs w:val="24"/>
    </w:rPr>
  </w:style>
  <w:style w:type="paragraph" w:styleId="Heading1">
    <w:name w:val="heading 1"/>
    <w:basedOn w:val="Normal"/>
    <w:next w:val="Normal"/>
    <w:link w:val="Heading1Char"/>
    <w:uiPriority w:val="99"/>
    <w:qFormat/>
    <w:rsid w:val="007750EF"/>
    <w:pPr>
      <w:keepNext/>
      <w:tabs>
        <w:tab w:val="num" w:pos="432"/>
      </w:tabs>
      <w:suppressAutoHyphens/>
      <w:ind w:left="432" w:hanging="432"/>
      <w:jc w:val="center"/>
      <w:outlineLvl w:val="0"/>
    </w:pPr>
    <w:rPr>
      <w:rFonts w:ascii="Arial" w:hAnsi="Arial" w:cs="Arial"/>
      <w:b/>
      <w:bCs/>
      <w:sz w:val="18"/>
      <w:szCs w:val="18"/>
      <w:lang w:eastAsia="ar-SA"/>
    </w:rPr>
  </w:style>
  <w:style w:type="paragraph" w:styleId="Heading2">
    <w:name w:val="heading 2"/>
    <w:basedOn w:val="Normal"/>
    <w:next w:val="Normal"/>
    <w:link w:val="Heading2Char"/>
    <w:uiPriority w:val="99"/>
    <w:qFormat/>
    <w:rsid w:val="007750EF"/>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link w:val="Heading3Char"/>
    <w:uiPriority w:val="99"/>
    <w:qFormat/>
    <w:rsid w:val="007750EF"/>
    <w:pPr>
      <w:keepNext/>
      <w:tabs>
        <w:tab w:val="num" w:pos="720"/>
      </w:tabs>
      <w:suppressAutoHyphens/>
      <w:spacing w:before="240" w:after="60"/>
      <w:ind w:left="720" w:hanging="720"/>
      <w:outlineLvl w:val="2"/>
    </w:pPr>
    <w:rPr>
      <w:rFonts w:ascii="Arial"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0F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210F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210FC"/>
    <w:rPr>
      <w:rFonts w:asciiTheme="majorHAnsi" w:eastAsiaTheme="majorEastAsia" w:hAnsiTheme="majorHAnsi" w:cstheme="majorBidi"/>
      <w:b/>
      <w:bCs/>
      <w:sz w:val="26"/>
      <w:szCs w:val="26"/>
    </w:rPr>
  </w:style>
  <w:style w:type="character" w:styleId="Hyperlink">
    <w:name w:val="Hyperlink"/>
    <w:basedOn w:val="DefaultParagraphFont"/>
    <w:uiPriority w:val="99"/>
    <w:rsid w:val="001F0A81"/>
    <w:rPr>
      <w:color w:val="0000FF"/>
      <w:u w:val="single"/>
    </w:rPr>
  </w:style>
  <w:style w:type="paragraph" w:styleId="DocumentMap">
    <w:name w:val="Document Map"/>
    <w:basedOn w:val="Normal"/>
    <w:link w:val="DocumentMapChar"/>
    <w:uiPriority w:val="99"/>
    <w:semiHidden/>
    <w:rsid w:val="00C805B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5210FC"/>
    <w:rPr>
      <w:sz w:val="0"/>
      <w:szCs w:val="0"/>
    </w:rPr>
  </w:style>
  <w:style w:type="paragraph" w:styleId="Footer">
    <w:name w:val="footer"/>
    <w:basedOn w:val="Normal"/>
    <w:link w:val="FooterChar"/>
    <w:uiPriority w:val="99"/>
    <w:rsid w:val="00B72337"/>
    <w:pPr>
      <w:tabs>
        <w:tab w:val="center" w:pos="4536"/>
        <w:tab w:val="right" w:pos="9072"/>
      </w:tabs>
    </w:pPr>
  </w:style>
  <w:style w:type="character" w:customStyle="1" w:styleId="FooterChar">
    <w:name w:val="Footer Char"/>
    <w:basedOn w:val="DefaultParagraphFont"/>
    <w:link w:val="Footer"/>
    <w:uiPriority w:val="99"/>
    <w:semiHidden/>
    <w:rsid w:val="005210FC"/>
    <w:rPr>
      <w:sz w:val="24"/>
      <w:szCs w:val="24"/>
    </w:rPr>
  </w:style>
  <w:style w:type="character" w:styleId="PageNumber">
    <w:name w:val="page number"/>
    <w:basedOn w:val="DefaultParagraphFont"/>
    <w:uiPriority w:val="99"/>
    <w:rsid w:val="00B72337"/>
  </w:style>
  <w:style w:type="paragraph" w:styleId="Header">
    <w:name w:val="header"/>
    <w:basedOn w:val="Normal"/>
    <w:link w:val="HeaderChar"/>
    <w:uiPriority w:val="99"/>
    <w:rsid w:val="00017426"/>
    <w:pPr>
      <w:tabs>
        <w:tab w:val="center" w:pos="4536"/>
        <w:tab w:val="right" w:pos="9072"/>
      </w:tabs>
    </w:pPr>
  </w:style>
  <w:style w:type="character" w:customStyle="1" w:styleId="HeaderChar">
    <w:name w:val="Header Char"/>
    <w:basedOn w:val="DefaultParagraphFont"/>
    <w:link w:val="Header"/>
    <w:uiPriority w:val="99"/>
    <w:semiHidden/>
    <w:rsid w:val="005210FC"/>
    <w:rPr>
      <w:sz w:val="24"/>
      <w:szCs w:val="24"/>
    </w:rPr>
  </w:style>
  <w:style w:type="character" w:customStyle="1" w:styleId="EmailStyle26">
    <w:name w:val="EmailStyle261"/>
    <w:aliases w:val="EmailStyle261"/>
    <w:basedOn w:val="DefaultParagraphFont"/>
    <w:uiPriority w:val="99"/>
    <w:semiHidden/>
    <w:personal/>
    <w:rsid w:val="005171AD"/>
    <w:rPr>
      <w:rFonts w:ascii="Arial" w:hAnsi="Arial" w:cs="Arial"/>
      <w:color w:val="auto"/>
      <w:sz w:val="20"/>
      <w:szCs w:val="20"/>
    </w:rPr>
  </w:style>
  <w:style w:type="paragraph" w:styleId="FootnoteText">
    <w:name w:val="footnote text"/>
    <w:basedOn w:val="Normal"/>
    <w:link w:val="FootnoteTextChar"/>
    <w:uiPriority w:val="99"/>
    <w:semiHidden/>
    <w:rsid w:val="000C5C8B"/>
    <w:rPr>
      <w:sz w:val="20"/>
      <w:szCs w:val="20"/>
    </w:rPr>
  </w:style>
  <w:style w:type="character" w:customStyle="1" w:styleId="FootnoteTextChar">
    <w:name w:val="Footnote Text Char"/>
    <w:basedOn w:val="DefaultParagraphFont"/>
    <w:link w:val="FootnoteText"/>
    <w:uiPriority w:val="99"/>
    <w:semiHidden/>
    <w:rsid w:val="005210FC"/>
    <w:rPr>
      <w:sz w:val="20"/>
      <w:szCs w:val="20"/>
    </w:rPr>
  </w:style>
  <w:style w:type="character" w:styleId="FootnoteReference">
    <w:name w:val="footnote reference"/>
    <w:basedOn w:val="DefaultParagraphFont"/>
    <w:uiPriority w:val="99"/>
    <w:semiHidden/>
    <w:rsid w:val="000C5C8B"/>
    <w:rPr>
      <w:vertAlign w:val="superscript"/>
    </w:rPr>
  </w:style>
  <w:style w:type="paragraph" w:styleId="NormalWeb">
    <w:name w:val="Normal (Web)"/>
    <w:basedOn w:val="Normal"/>
    <w:uiPriority w:val="99"/>
    <w:rsid w:val="005F51ED"/>
    <w:pPr>
      <w:spacing w:before="100" w:beforeAutospacing="1" w:after="100" w:afterAutospacing="1"/>
    </w:pPr>
  </w:style>
  <w:style w:type="paragraph" w:styleId="BalloonText">
    <w:name w:val="Balloon Text"/>
    <w:basedOn w:val="Normal"/>
    <w:link w:val="BalloonTextChar"/>
    <w:uiPriority w:val="99"/>
    <w:semiHidden/>
    <w:rsid w:val="00370430"/>
    <w:rPr>
      <w:rFonts w:ascii="Tahoma" w:hAnsi="Tahoma" w:cs="Tahoma"/>
      <w:sz w:val="16"/>
      <w:szCs w:val="16"/>
    </w:rPr>
  </w:style>
  <w:style w:type="character" w:customStyle="1" w:styleId="BalloonTextChar">
    <w:name w:val="Balloon Text Char"/>
    <w:basedOn w:val="DefaultParagraphFont"/>
    <w:link w:val="BalloonText"/>
    <w:uiPriority w:val="99"/>
    <w:semiHidden/>
    <w:rsid w:val="005210FC"/>
    <w:rPr>
      <w:sz w:val="0"/>
      <w:szCs w:val="0"/>
    </w:rPr>
  </w:style>
</w:styles>
</file>

<file path=word/webSettings.xml><?xml version="1.0" encoding="utf-8"?>
<w:webSettings xmlns:r="http://schemas.openxmlformats.org/officeDocument/2006/relationships" xmlns:w="http://schemas.openxmlformats.org/wordprocessingml/2006/main">
  <w:divs>
    <w:div w:id="1456632100">
      <w:marLeft w:val="0"/>
      <w:marRight w:val="0"/>
      <w:marTop w:val="0"/>
      <w:marBottom w:val="0"/>
      <w:divBdr>
        <w:top w:val="none" w:sz="0" w:space="0" w:color="auto"/>
        <w:left w:val="none" w:sz="0" w:space="0" w:color="auto"/>
        <w:bottom w:val="none" w:sz="0" w:space="0" w:color="auto"/>
        <w:right w:val="none" w:sz="0" w:space="0" w:color="auto"/>
      </w:divBdr>
    </w:div>
    <w:div w:id="1456632101">
      <w:marLeft w:val="0"/>
      <w:marRight w:val="0"/>
      <w:marTop w:val="0"/>
      <w:marBottom w:val="0"/>
      <w:divBdr>
        <w:top w:val="none" w:sz="0" w:space="0" w:color="auto"/>
        <w:left w:val="none" w:sz="0" w:space="0" w:color="auto"/>
        <w:bottom w:val="none" w:sz="0" w:space="0" w:color="auto"/>
        <w:right w:val="none" w:sz="0" w:space="0" w:color="auto"/>
      </w:divBdr>
    </w:div>
    <w:div w:id="1456632102">
      <w:marLeft w:val="0"/>
      <w:marRight w:val="0"/>
      <w:marTop w:val="0"/>
      <w:marBottom w:val="0"/>
      <w:divBdr>
        <w:top w:val="none" w:sz="0" w:space="0" w:color="auto"/>
        <w:left w:val="none" w:sz="0" w:space="0" w:color="auto"/>
        <w:bottom w:val="none" w:sz="0" w:space="0" w:color="auto"/>
        <w:right w:val="none" w:sz="0" w:space="0" w:color="auto"/>
      </w:divBdr>
    </w:div>
    <w:div w:id="14566321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unv</Company>
  <LinksUpToDate>false</LinksUpToDate>
  <CharactersWithSpaces>9620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baris.soybilgen</dc:creator>
  <cp:keywords/>
  <dc:description/>
  <cp:lastModifiedBy>baris.soybilgen</cp:lastModifiedBy>
  <cp:revision>2</cp:revision>
  <cp:lastPrinted>2012-07-02T10:17:00Z</cp:lastPrinted>
  <dcterms:created xsi:type="dcterms:W3CDTF">2013-06-11T09:55:00Z</dcterms:created>
  <dcterms:modified xsi:type="dcterms:W3CDTF">2013-06-11T09:55:00Z</dcterms:modified>
</cp:coreProperties>
</file>