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6D6B" w:rsidRPr="001F282D" w:rsidRDefault="00E01B7C" w:rsidP="003373DA">
      <w:pPr>
        <w:rPr>
          <w:rFonts w:ascii="Calibri" w:hAnsi="Calibri" w:cs="Calibri"/>
          <w:sz w:val="20"/>
          <w:szCs w:val="20"/>
        </w:rPr>
      </w:pPr>
      <w:r>
        <w:rPr>
          <w:noProof/>
          <w:lang w:eastAsia="tr-TR"/>
        </w:rPr>
        <w:drawing>
          <wp:anchor distT="0" distB="0" distL="114300" distR="114300" simplePos="0" relativeHeight="251658752" behindDoc="1" locked="0" layoutInCell="1" allowOverlap="1">
            <wp:simplePos x="0" y="0"/>
            <wp:positionH relativeFrom="column">
              <wp:posOffset>-742950</wp:posOffset>
            </wp:positionH>
            <wp:positionV relativeFrom="paragraph">
              <wp:posOffset>-737870</wp:posOffset>
            </wp:positionV>
            <wp:extent cx="7315200" cy="1330325"/>
            <wp:effectExtent l="19050" t="0" r="0"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r w:rsidR="00E152D0" w:rsidRPr="00E152D0">
        <w:rPr>
          <w:noProof/>
          <w:lang w:eastAsia="tr-TR"/>
        </w:rPr>
        <w:pict>
          <v:shapetype id="_x0000_t202" coordsize="21600,21600" o:spt="202" path="m,l,21600r21600,l21600,xe">
            <v:stroke joinstyle="miter"/>
            <v:path gradientshapeok="t" o:connecttype="rect"/>
          </v:shapetype>
          <v:shape id="_x0000_s1027" type="#_x0000_t202" style="position:absolute;margin-left:142.8pt;margin-top:-43.5pt;width:312.1pt;height:44.8pt;z-index:251656704;mso-wrap-distance-left:9.05pt;mso-wrap-distance-right:9.05pt;mso-position-horizontal-relative:text;mso-position-vertical-relative:text" stroked="f">
            <v:fill opacity="0" color2="black"/>
            <v:textbox style="mso-next-textbox:#_x0000_s1027" inset="0,0,0,0">
              <w:txbxContent>
                <w:p w:rsidR="00D66D6B" w:rsidRPr="00526178" w:rsidRDefault="00D66D6B" w:rsidP="00182F22">
                  <w:pPr>
                    <w:pStyle w:val="Balk1"/>
                    <w:rPr>
                      <w:rFonts w:ascii="Times New Roman" w:hAnsi="Times New Roman" w:cs="Times New Roman"/>
                      <w:sz w:val="52"/>
                      <w:szCs w:val="52"/>
                    </w:rPr>
                  </w:pPr>
                  <w:r w:rsidRPr="00526178">
                    <w:rPr>
                      <w:rFonts w:ascii="Times New Roman" w:hAnsi="Times New Roman" w:cs="Times New Roman"/>
                      <w:sz w:val="52"/>
                      <w:szCs w:val="52"/>
                    </w:rPr>
                    <w:t>Ara</w:t>
                  </w:r>
                  <w:r>
                    <w:rPr>
                      <w:rFonts w:ascii="Times New Roman" w:hAnsi="Times New Roman" w:cs="Times New Roman"/>
                      <w:sz w:val="52"/>
                      <w:szCs w:val="52"/>
                    </w:rPr>
                    <w:t>ştırma</w:t>
                  </w:r>
                  <w:r w:rsidRPr="00526178">
                    <w:rPr>
                      <w:rFonts w:ascii="Times New Roman" w:hAnsi="Times New Roman" w:cs="Times New Roman"/>
                      <w:sz w:val="52"/>
                      <w:szCs w:val="52"/>
                    </w:rPr>
                    <w:t xml:space="preserve"> Notu </w:t>
                  </w:r>
                  <w:r w:rsidR="00E01B7C">
                    <w:rPr>
                      <w:rFonts w:ascii="Times New Roman" w:hAnsi="Times New Roman" w:cs="Times New Roman"/>
                      <w:sz w:val="52"/>
                      <w:szCs w:val="52"/>
                    </w:rPr>
                    <w:t>13/1</w:t>
                  </w:r>
                  <w:r w:rsidR="000E5A09">
                    <w:rPr>
                      <w:rFonts w:ascii="Times New Roman" w:hAnsi="Times New Roman" w:cs="Times New Roman"/>
                      <w:sz w:val="52"/>
                      <w:szCs w:val="52"/>
                    </w:rPr>
                    <w:t>50</w:t>
                  </w:r>
                </w:p>
                <w:p w:rsidR="00D66D6B" w:rsidRPr="00526178" w:rsidRDefault="00D66D6B">
                  <w:pPr>
                    <w:pStyle w:val="Balk2"/>
                    <w:rPr>
                      <w:b w:val="0"/>
                      <w:bCs w:val="0"/>
                      <w:i w:val="0"/>
                      <w:iCs w:val="0"/>
                    </w:rPr>
                  </w:pPr>
                </w:p>
              </w:txbxContent>
            </v:textbox>
          </v:shape>
        </w:pict>
      </w:r>
    </w:p>
    <w:p w:rsidR="00D66D6B" w:rsidRPr="001F282D" w:rsidRDefault="00E152D0" w:rsidP="003373DA">
      <w:pPr>
        <w:rPr>
          <w:rFonts w:ascii="Calibri" w:hAnsi="Calibri" w:cs="Calibri"/>
          <w:sz w:val="20"/>
          <w:szCs w:val="20"/>
        </w:rPr>
      </w:pPr>
      <w:r w:rsidRPr="00E152D0">
        <w:rPr>
          <w:noProof/>
          <w:lang w:eastAsia="tr-TR"/>
        </w:rPr>
        <w:pict>
          <v:shape id="_x0000_s1028" type="#_x0000_t202" style="position:absolute;margin-left:419.25pt;margin-top:.25pt;width:103.3pt;height:34.2pt;z-index:251657728;mso-wrap-distance-left:9.05pt;mso-wrap-distance-right:9.05pt" stroked="f">
            <v:fill opacity="0" color2="black"/>
            <v:textbox style="mso-next-textbox:#_x0000_s1028" inset="0,0,0,0">
              <w:txbxContent>
                <w:p w:rsidR="00D66D6B" w:rsidRDefault="00D66D6B" w:rsidP="00C24EA0">
                  <w:pPr>
                    <w:pStyle w:val="Balk3"/>
                    <w:numPr>
                      <w:ilvl w:val="0"/>
                      <w:numId w:val="0"/>
                    </w:numPr>
                    <w:rPr>
                      <w:color w:val="FFFFFF"/>
                      <w:sz w:val="22"/>
                      <w:szCs w:val="22"/>
                      <w:lang w:val="tr-TR"/>
                    </w:rPr>
                  </w:pPr>
                  <w:r>
                    <w:rPr>
                      <w:color w:val="FFFFFF"/>
                      <w:sz w:val="22"/>
                      <w:szCs w:val="22"/>
                    </w:rPr>
                    <w:t xml:space="preserve">    2</w:t>
                  </w:r>
                  <w:r w:rsidR="000E5A09">
                    <w:rPr>
                      <w:color w:val="FFFFFF"/>
                      <w:sz w:val="22"/>
                      <w:szCs w:val="22"/>
                    </w:rPr>
                    <w:t>8</w:t>
                  </w:r>
                  <w:r>
                    <w:rPr>
                      <w:color w:val="FFFFFF"/>
                      <w:sz w:val="22"/>
                      <w:szCs w:val="22"/>
                    </w:rPr>
                    <w:t xml:space="preserve"> </w:t>
                  </w:r>
                  <w:r w:rsidR="000E5A09">
                    <w:rPr>
                      <w:color w:val="FFFFFF"/>
                      <w:sz w:val="22"/>
                      <w:szCs w:val="22"/>
                    </w:rPr>
                    <w:t>Haziran</w:t>
                  </w:r>
                  <w:r>
                    <w:rPr>
                      <w:color w:val="FFFFFF"/>
                      <w:sz w:val="22"/>
                      <w:szCs w:val="22"/>
                    </w:rPr>
                    <w:t xml:space="preserve"> </w:t>
                  </w:r>
                  <w:r>
                    <w:rPr>
                      <w:color w:val="FFFFFF"/>
                      <w:sz w:val="22"/>
                      <w:szCs w:val="22"/>
                      <w:lang w:val="tr-TR"/>
                    </w:rPr>
                    <w:t>2013</w:t>
                  </w:r>
                </w:p>
                <w:p w:rsidR="00D66D6B" w:rsidRDefault="00D66D6B"/>
              </w:txbxContent>
            </v:textbox>
          </v:shape>
        </w:pict>
      </w:r>
    </w:p>
    <w:p w:rsidR="00D66D6B" w:rsidRPr="001F282D" w:rsidRDefault="00D66D6B" w:rsidP="003373DA">
      <w:pPr>
        <w:rPr>
          <w:rFonts w:ascii="Calibri" w:hAnsi="Calibri" w:cs="Calibri"/>
          <w:sz w:val="20"/>
          <w:szCs w:val="20"/>
        </w:rPr>
      </w:pPr>
    </w:p>
    <w:p w:rsidR="00D66D6B" w:rsidRPr="001F282D" w:rsidRDefault="00D66D6B" w:rsidP="003373DA">
      <w:pPr>
        <w:rPr>
          <w:rFonts w:ascii="Calibri" w:hAnsi="Calibri" w:cs="Calibri"/>
          <w:sz w:val="20"/>
          <w:szCs w:val="20"/>
        </w:rPr>
      </w:pPr>
    </w:p>
    <w:p w:rsidR="00D66D6B" w:rsidRDefault="00D66D6B" w:rsidP="003373DA">
      <w:pPr>
        <w:rPr>
          <w:rFonts w:ascii="Arial" w:hAnsi="Arial" w:cs="Arial"/>
          <w:b/>
          <w:bCs/>
          <w:sz w:val="28"/>
          <w:szCs w:val="28"/>
        </w:rPr>
      </w:pPr>
    </w:p>
    <w:p w:rsidR="009C0008" w:rsidRDefault="009C0008" w:rsidP="009C0008">
      <w:pPr>
        <w:pStyle w:val="Balk1"/>
      </w:pPr>
    </w:p>
    <w:p w:rsidR="009C0008" w:rsidRDefault="009C0008" w:rsidP="009C0008">
      <w:pPr>
        <w:pStyle w:val="Balk1"/>
        <w:rPr>
          <w:sz w:val="28"/>
          <w:szCs w:val="28"/>
        </w:rPr>
      </w:pPr>
      <w:r w:rsidRPr="008D0963">
        <w:rPr>
          <w:sz w:val="28"/>
          <w:szCs w:val="28"/>
        </w:rPr>
        <w:t>M</w:t>
      </w:r>
      <w:r w:rsidR="001B28BB">
        <w:rPr>
          <w:sz w:val="28"/>
          <w:szCs w:val="28"/>
        </w:rPr>
        <w:t>EGA</w:t>
      </w:r>
      <w:r w:rsidRPr="008D0963">
        <w:rPr>
          <w:sz w:val="28"/>
          <w:szCs w:val="28"/>
        </w:rPr>
        <w:t xml:space="preserve"> H</w:t>
      </w:r>
      <w:r w:rsidR="001B28BB">
        <w:rPr>
          <w:sz w:val="28"/>
          <w:szCs w:val="28"/>
        </w:rPr>
        <w:t>AVALİMANININ</w:t>
      </w:r>
      <w:r w:rsidRPr="008D0963">
        <w:rPr>
          <w:sz w:val="28"/>
          <w:szCs w:val="28"/>
        </w:rPr>
        <w:t xml:space="preserve"> K</w:t>
      </w:r>
      <w:r w:rsidR="001B28BB">
        <w:rPr>
          <w:sz w:val="28"/>
          <w:szCs w:val="28"/>
        </w:rPr>
        <w:t>ADERİ</w:t>
      </w:r>
      <w:r w:rsidRPr="008D0963">
        <w:rPr>
          <w:sz w:val="28"/>
          <w:szCs w:val="28"/>
        </w:rPr>
        <w:t xml:space="preserve"> B</w:t>
      </w:r>
      <w:r w:rsidR="001B28BB">
        <w:rPr>
          <w:sz w:val="28"/>
          <w:szCs w:val="28"/>
        </w:rPr>
        <w:t>ÜYÜMEYE</w:t>
      </w:r>
      <w:r w:rsidRPr="008D0963">
        <w:rPr>
          <w:sz w:val="28"/>
          <w:szCs w:val="28"/>
        </w:rPr>
        <w:t xml:space="preserve"> B</w:t>
      </w:r>
      <w:r w:rsidR="001B28BB">
        <w:rPr>
          <w:sz w:val="28"/>
          <w:szCs w:val="28"/>
        </w:rPr>
        <w:t>AĞLI</w:t>
      </w:r>
    </w:p>
    <w:p w:rsidR="008D0963" w:rsidRPr="008D0963" w:rsidRDefault="008D0963" w:rsidP="008D0963"/>
    <w:p w:rsidR="009C0008" w:rsidRDefault="009C0008" w:rsidP="008D0963">
      <w:pPr>
        <w:pStyle w:val="Balk1"/>
        <w:rPr>
          <w:sz w:val="20"/>
          <w:szCs w:val="20"/>
        </w:rPr>
      </w:pPr>
      <w:r w:rsidRPr="008D0963">
        <w:rPr>
          <w:sz w:val="20"/>
          <w:szCs w:val="20"/>
          <w:lang w:val="en-US"/>
        </w:rPr>
        <w:t>Seyfettin Gürsel</w:t>
      </w:r>
      <w:r w:rsidR="00580EDA" w:rsidRPr="00580EDA">
        <w:rPr>
          <w:rStyle w:val="DipnotBavurusu"/>
          <w:sz w:val="20"/>
          <w:szCs w:val="20"/>
          <w:lang w:val="en-US"/>
        </w:rPr>
        <w:footnoteReference w:customMarkFollows="1" w:id="2"/>
        <w:sym w:font="Symbol" w:char="F02A"/>
      </w:r>
      <w:r w:rsidRPr="008D0963">
        <w:rPr>
          <w:sz w:val="20"/>
          <w:szCs w:val="20"/>
        </w:rPr>
        <w:t xml:space="preserve"> ve Tuba Toru Delibaşı</w:t>
      </w:r>
      <w:r w:rsidR="00205CCC">
        <w:rPr>
          <w:rStyle w:val="DipnotBavurusu"/>
          <w:sz w:val="20"/>
          <w:szCs w:val="20"/>
        </w:rPr>
        <w:footnoteReference w:customMarkFollows="1" w:id="3"/>
        <w:t>¥</w:t>
      </w:r>
    </w:p>
    <w:p w:rsidR="008D0963" w:rsidRPr="008D0963" w:rsidRDefault="008D0963" w:rsidP="00F17517"/>
    <w:p w:rsidR="009C0008" w:rsidRPr="00CA03B2" w:rsidRDefault="009C0008" w:rsidP="00F17517">
      <w:pPr>
        <w:tabs>
          <w:tab w:val="left" w:pos="3885"/>
        </w:tabs>
        <w:jc w:val="both"/>
        <w:rPr>
          <w:rFonts w:ascii="Arial" w:hAnsi="Arial" w:cs="Arial"/>
          <w:sz w:val="20"/>
          <w:szCs w:val="20"/>
        </w:rPr>
      </w:pPr>
      <w:r w:rsidRPr="00CA03B2">
        <w:rPr>
          <w:rFonts w:ascii="Arial" w:hAnsi="Arial" w:cs="Arial"/>
          <w:sz w:val="20"/>
          <w:szCs w:val="20"/>
        </w:rPr>
        <w:t xml:space="preserve">Tamamlandığında dünyanın en büyük havalimanlarından biri olması hedeflenen yeni İstanbul havalimanı ihalesi 3 Mayıs 2013 tarihinde yapıldı. Limak-Kolin-Cengiz-Mapa-Kalyon Ortak Girişim Gurubu İstanbul’un üçüncü havalimanını inşa etme ve 25 yıl boyunca işletme hakkını KDV hariç 22 milyar 152 milyon Avroluk bir teklifle aldı. Bu ihale Cumhuriyet tarihinin en yüksek meblağlı ihalesi olarak kayıtlara geçerken beraberinde bu kadar büyük havalimanına gerek olup olmadığı ve aynı zamanda havalimanın özel işletme olarak kârlı olup olamayacağı tartışmasını da gündeme getirdi. </w:t>
      </w:r>
    </w:p>
    <w:p w:rsidR="009C0008" w:rsidRPr="00CA03B2" w:rsidRDefault="009C0008" w:rsidP="00F17517">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İhaleyi kazanan şirketler grubu yeni havalimanını üç aşamada yapmayı planlamaktadırlar. İlk aşamada 90 milyon yolcu kapasiteyle 2019 yılında faaliyete geçecek olan havalimanı ardından yapılacak ek pistlerle ikinci aşamada 120 milyon ve üçüncü aşamada 150 milyon kapasiteye ulaşacaktır. Bu çalışmada amaçlanan, yolcu kapasitelerinin ne kadar gerçekçi olduğunu ve yeni havalimanının ihaleyi alan şirketler için ne kadar kârlı olacağını araştırmaktır. </w:t>
      </w:r>
    </w:p>
    <w:p w:rsidR="009C0008" w:rsidRPr="00CA03B2" w:rsidRDefault="009C0008" w:rsidP="00F17517">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Yolcu sayısını tahmin etmek için nüfus, ekonomik büyüme ve bilet fiyatları değişimlerini hesaba katan nicel bir yöntem kullanıyoruz. Ekonomik büyümeye ilişkin iki farklı senaryo çerçevesinde 2019’dan 2043’e kadar yolcu sayısı projeksiyonları gerçekleştiriyoruz. Senaryo 1’de büyüme 2013-2019 dönemi için yüzde 5, 2020-2030 dönemi için yüzde 4 ve 2031-2043 dönemi için yüzde 2 kabul edildiğinde yolcu sayısı 2019 için 80 milyon, 2020’lerin ikinci yarasında 120 milyon, 2030’larda ise 150 milyon olarak tahmin ediyoruz.  Buna karşılık, büyüme hızlarının aynı dönemlerde yüzde 4, yüzde 3 ve yüzde 1,5 kabul edildiği Senaryo 2’de 90 milyona ancak 2020’lerin ikinci yarısında ulaşılabiliyor. 120 milyonluk kapasiteye ise ancak 2050’lere doğru ihtiyaç duyulacağı görülüyor. Bu tahminler ışığında, İstanbul’da bir mega havalimanına Türkiye’nin kabul gören potansiyel büyüme hızı civarında bir ekonomik gelişmeyi başarması durumunda ihtiyaç duyulduğu anlaşılıyor. Bununla birlikte ekonomik büyüme tahmin edilen potansiyelin altında kaldığı takdirde yeni havalimanının 90 milyonluk yolcu kapasitesiyle sınırlı kalacağı söylenebilir. </w:t>
      </w:r>
    </w:p>
    <w:p w:rsidR="009C0008" w:rsidRPr="0056655F" w:rsidRDefault="009C0008" w:rsidP="00F17517">
      <w:pPr>
        <w:spacing w:before="100" w:beforeAutospacing="1" w:after="100" w:afterAutospacing="1"/>
        <w:ind w:firstLine="709"/>
        <w:jc w:val="both"/>
        <w:rPr>
          <w:rFonts w:asciiTheme="minorHAnsi" w:hAnsiTheme="minorHAnsi"/>
        </w:rPr>
      </w:pPr>
      <w:r w:rsidRPr="00CA03B2">
        <w:rPr>
          <w:rFonts w:ascii="Arial" w:hAnsi="Arial" w:cs="Arial"/>
          <w:sz w:val="20"/>
          <w:szCs w:val="20"/>
        </w:rPr>
        <w:t>Yeni havalimanının kârlılık tartışmasına gelince; yolcu sayısı tahminlerimizi kullanarak yeni havalimanı için havacılık ve ticari işletmelerini kapsayan varsayımsal bir gelir-gider analizi yapıyoruz. Bulmuş olduğumuz sonuçlar, her iki senaryo çerçevesinde de havacılık ve ticari gelirler itibariyle yeni havalimanı işletmesi 2019-2030 döneminde, diğer ifadeyle kredi borcu döneminin sonuna kadar zarar edeceğini tahmin ediyoruz. Senaryo 1’de tahmini birikimli zarar 5,7 milyar Avroya, Senaryo 2’de ise 7,</w:t>
      </w:r>
      <w:r w:rsidRPr="009701B5">
        <w:rPr>
          <w:rFonts w:ascii="Arial" w:hAnsi="Arial" w:cs="Arial"/>
          <w:sz w:val="20"/>
          <w:szCs w:val="20"/>
        </w:rPr>
        <w:t>7 milyar Avroya ulaşıyor. 2030’dan sonra kâr etmeye başlayan havalimanı 2043 sonunda Senaryo 1’de birikimli zararı kapatarak toplamda 7,3 milyar Avro kâr elde ediyor. Buna karşılık Senaryo 2’de birikimli zarar kapanmadığından toplamda 4,8 milyar Avro zarar ortaya çıkıyor.</w:t>
      </w:r>
    </w:p>
    <w:p w:rsidR="009C0008" w:rsidRPr="00CA03B2" w:rsidRDefault="009C0008" w:rsidP="00F17517">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Bu gelir gider tahminleri işletme dışı gelirler (tahsis edilen arazinin çeşitli kullanımlarından kaynaklanan gelirler) hesaba katılmadan yapılmıştır. Oysa her havalimanının bu tür gelirleri mevcuttur. Ancak bu tür gelirlerle ilgili bir tahmin yapılmamıştır.  Yine de şu noktayı vurgulamak isteriz; düşük büyüme varsayımı altında (Senaryo 2) yeni havalimanının makul bir düzeyde kârlı olabilmesi için 25 yıllık dönemde 10 milyar Avronun bir hayli üzerinde işletme dışı gelir elde etmesi gerek</w:t>
      </w:r>
      <w:bookmarkStart w:id="0" w:name="_GoBack"/>
      <w:bookmarkEnd w:id="0"/>
      <w:r w:rsidRPr="00CA03B2">
        <w:rPr>
          <w:rFonts w:ascii="Arial" w:hAnsi="Arial" w:cs="Arial"/>
          <w:sz w:val="20"/>
          <w:szCs w:val="20"/>
        </w:rPr>
        <w:t xml:space="preserve">ecektir. </w:t>
      </w:r>
    </w:p>
    <w:p w:rsidR="009C0008" w:rsidRPr="0056655F" w:rsidRDefault="009C0008" w:rsidP="009C0008">
      <w:pPr>
        <w:pStyle w:val="Balk1"/>
      </w:pPr>
    </w:p>
    <w:p w:rsidR="009C0008" w:rsidRPr="0056655F" w:rsidRDefault="009C0008" w:rsidP="009C0008">
      <w:pPr>
        <w:pStyle w:val="Balk1"/>
      </w:pPr>
    </w:p>
    <w:p w:rsidR="009C0008" w:rsidRPr="0056655F" w:rsidRDefault="009C0008" w:rsidP="009C0008">
      <w:pPr>
        <w:rPr>
          <w:rFonts w:ascii="Cambria" w:hAnsi="Cambria" w:cs="Cambria"/>
          <w:b/>
          <w:bCs/>
          <w:color w:val="365F91"/>
          <w:szCs w:val="28"/>
        </w:rPr>
      </w:pPr>
      <w:r w:rsidRPr="0056655F">
        <w:br w:type="page"/>
      </w:r>
    </w:p>
    <w:p w:rsidR="009C0008" w:rsidRPr="00CA03B2" w:rsidRDefault="009C0008" w:rsidP="00CA03B2">
      <w:pPr>
        <w:pStyle w:val="Balk1"/>
        <w:jc w:val="left"/>
        <w:rPr>
          <w:sz w:val="22"/>
          <w:szCs w:val="22"/>
        </w:rPr>
      </w:pPr>
      <w:r w:rsidRPr="00CA03B2">
        <w:rPr>
          <w:sz w:val="22"/>
          <w:szCs w:val="22"/>
        </w:rPr>
        <w:lastRenderedPageBreak/>
        <w:t>Hava ulaşımında patlama</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Türkiye, 2003 yılından itibaren gerçekleştirilen düzenlemelerle havacılık sektöründe büyük bir gelişim sürecine girmiştir. Sivil havacılıkta serbestleşme yönünde atılan adımlar sonrasında faaliyet gösteren şirket sayısında pek bir değişiklik olmamış ama bu şirketlerin uçuş sayıları ve faaliyet gösterdikleri hat sayıları artmıştır. Serbestleştirmenin yanında yeni bölgesel havalimanlarının yapılması ve mevcut havalimanlarının yenilenmesi özellikle yeni iç hat seferlerinin başlamasında ve uçuş sayısının artmasında önemli bir rol oynamıştır. Hem özel hava yolu şirketlerinin artan kapasiteleri hem de Türk Hava Yolları’nın özelleştirme sonrası büyük gelişimi, Türkiye’de hava trafiğini ciddi bir yükseliş grafiğine sokmuştur. Son on yılda dünyada yolcu trafiği ortalama yüzde 5 büyürken Türkiye’de bu oran ortalama yüzde 16 olmuştur.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Dünyada durum böyleyken, 2012 yılında Avrupa’da hava trafiği bir önceki yıla kıyasla yüzde 5,3 gibi bir artış göstermiş ancak bazı Avrupa ülkelerinde bu oran daha düşük seviyelerde kalmıştır. Özellikle İspanya ve Yunanistan’daki borç krizi nedeniyle işsizlik ve ekonomik daralmayla karşı karşıya kalan Avrupa Birliği (AB) ülkelerinde yolcu sayısı artış oranı azalmıştır (EUROCONTROL, 2012). AB’nde durum böyleyken, Türkiye’de trafik hızla artmaya devam etmiştir. 2012 sonu itibariyle 2009 yılına oranla uçuş sayısı yaklaşık yüzde 29 artarak 1,3 milyona ve yolcu sayısı yaklaşık yüzde 52 artarak 131 milyona çıkmıştır (DHMİ, 2012).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Aynı dönemde İstanbul Atatürk Havalimanı’ndaki (IST) artışa bakılacak olursa,  uçuş sayısı yüzde 38 artışla 1 milyona ve yolcu sayısı yaklaşık yüzde 51 artırarak 45 milyona çıkmıştır (bakınız </w:t>
      </w:r>
      <w:fldSimple w:instr=" REF _Ref357753091 \h  \* MERGEFORMAT ">
        <w:r w:rsidRPr="00CA03B2">
          <w:rPr>
            <w:rFonts w:ascii="Arial" w:hAnsi="Arial" w:cs="Arial"/>
            <w:sz w:val="20"/>
            <w:szCs w:val="20"/>
          </w:rPr>
          <w:t>Şekil 1</w:t>
        </w:r>
      </w:fldSimple>
      <w:r w:rsidRPr="00CA03B2">
        <w:rPr>
          <w:rFonts w:ascii="Arial" w:hAnsi="Arial" w:cs="Arial"/>
          <w:sz w:val="20"/>
          <w:szCs w:val="20"/>
        </w:rPr>
        <w:t xml:space="preserve">). Yıllık 45 milyon yolcu trafiği ile Atatürk havalimanı Türkiye’deki toplam yolcu trafiğinin yaklaşık yüzde 35’ini taşımaktadır.  Atatürk havalimanında uçuş sayısı 2003’ten günümüze bazı yıllar yüzde 20’leri bulan büyüme oranı ile artmıştır. Avrupa Hava Seyrüsefer Güvenliği Örgütü’nün (EUROCONTROL) tahminlerine göre Atatürk havalimanı trafiği orta vadede yıllık ortalama yüzde 5,5 oranında büyümeye devam edecektir. Buna dayanarak bir hesap yapıldığında 2019 yılı sonunda Atatürk havalimanının yolcu sayısının 65 milyonu geçmesi beklenmektedir. Havalimanı zaten yetersiz olan mevcut kapasitesiyle tahmin edilen yolcu sayısını kaldıramayacaktır. 2012 yılı ortalarına kadar Atatürk havalimanına ek pist yapımı ve terminal binasının genişletilmesi planlanırken, bakanlar kurulunun kararıyla yeni havalimanı projesi ortaya çıkmıştır. </w:t>
      </w:r>
    </w:p>
    <w:p w:rsidR="009C0008" w:rsidRPr="00CA03B2" w:rsidRDefault="009C0008" w:rsidP="009C0008">
      <w:pPr>
        <w:pStyle w:val="ResimYazs"/>
        <w:keepNext/>
        <w:spacing w:before="100" w:beforeAutospacing="1" w:after="100" w:afterAutospacing="1"/>
        <w:jc w:val="both"/>
        <w:rPr>
          <w:rFonts w:ascii="Arial" w:hAnsi="Arial" w:cs="Arial"/>
        </w:rPr>
      </w:pPr>
      <w:bookmarkStart w:id="1" w:name="_Ref357753091"/>
      <w:r w:rsidRPr="00CA03B2">
        <w:rPr>
          <w:rFonts w:ascii="Arial" w:hAnsi="Arial" w:cs="Arial"/>
        </w:rPr>
        <w:t xml:space="preserve">Şekil </w:t>
      </w:r>
      <w:r w:rsidRPr="00CA03B2">
        <w:rPr>
          <w:rFonts w:ascii="Arial" w:hAnsi="Arial" w:cs="Arial"/>
        </w:rPr>
        <w:fldChar w:fldCharType="begin"/>
      </w:r>
      <w:r w:rsidRPr="00CA03B2">
        <w:rPr>
          <w:rFonts w:ascii="Arial" w:hAnsi="Arial" w:cs="Arial"/>
        </w:rPr>
        <w:instrText xml:space="preserve"> SEQ Şekil \* ARABIC </w:instrText>
      </w:r>
      <w:r w:rsidRPr="00CA03B2">
        <w:rPr>
          <w:rFonts w:ascii="Arial" w:hAnsi="Arial" w:cs="Arial"/>
        </w:rPr>
        <w:fldChar w:fldCharType="separate"/>
      </w:r>
      <w:r w:rsidRPr="00CA03B2">
        <w:rPr>
          <w:rFonts w:ascii="Arial" w:hAnsi="Arial" w:cs="Arial"/>
          <w:noProof/>
        </w:rPr>
        <w:t>1</w:t>
      </w:r>
      <w:r w:rsidRPr="00CA03B2">
        <w:rPr>
          <w:rFonts w:ascii="Arial" w:hAnsi="Arial" w:cs="Arial"/>
        </w:rPr>
        <w:fldChar w:fldCharType="end"/>
      </w:r>
      <w:bookmarkEnd w:id="1"/>
      <w:r w:rsidRPr="00CA03B2">
        <w:rPr>
          <w:rFonts w:ascii="Arial" w:hAnsi="Arial" w:cs="Arial"/>
        </w:rPr>
        <w:t xml:space="preserve"> Yolcu ve uçak trafiği (milyon)</w:t>
      </w:r>
    </w:p>
    <w:p w:rsidR="009C0008" w:rsidRPr="0056655F" w:rsidRDefault="009C0008" w:rsidP="009C0008">
      <w:pPr>
        <w:jc w:val="both"/>
      </w:pPr>
      <w:r w:rsidRPr="0056655F">
        <w:rPr>
          <w:noProof/>
          <w:lang w:eastAsia="tr-TR"/>
        </w:rPr>
        <w:drawing>
          <wp:inline distT="0" distB="0" distL="0" distR="0">
            <wp:extent cx="4619625" cy="24098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0008" w:rsidRPr="002C6FB5" w:rsidRDefault="009C0008" w:rsidP="009C0008">
      <w:pPr>
        <w:jc w:val="both"/>
        <w:rPr>
          <w:rFonts w:ascii="Arial" w:hAnsi="Arial" w:cs="Arial"/>
          <w:sz w:val="16"/>
          <w:szCs w:val="16"/>
        </w:rPr>
      </w:pPr>
      <w:r w:rsidRPr="002C6FB5">
        <w:rPr>
          <w:rFonts w:ascii="Arial" w:hAnsi="Arial" w:cs="Arial"/>
          <w:sz w:val="16"/>
          <w:szCs w:val="16"/>
        </w:rPr>
        <w:t>Kaynak:  Devlet Hava Meydanları İşletmesi Genel Müdürlüğü (DHMİ)</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Yeni havalimanı faaliyete geçtiğinde öngörüldüğü gibi Atatürk havalimanının kapatılırsa, İstanbul’un Avrupa yakasındaki tek havalimanı olacağı için havalimanının hava ulaşımında ciddi bir rakibi olmayacaktır. Ama Türkiye’de uçuş mesafelerinin kısa ve havalimanlarının merkeze uzak olması halen devam eden hızlı tren yatırımlarını özellikle bazı iç hat seferlerinde hava ulaşımına karşı önemli </w:t>
      </w:r>
      <w:r w:rsidRPr="00CA03B2">
        <w:rPr>
          <w:rFonts w:ascii="Arial" w:hAnsi="Arial" w:cs="Arial"/>
          <w:sz w:val="20"/>
          <w:szCs w:val="20"/>
        </w:rPr>
        <w:lastRenderedPageBreak/>
        <w:t>bir rakip yapmaktadır.</w:t>
      </w:r>
      <w:r w:rsidRPr="00CA03B2">
        <w:rPr>
          <w:rStyle w:val="DipnotBavurusu"/>
          <w:rFonts w:ascii="Arial" w:hAnsi="Arial" w:cs="Arial"/>
          <w:sz w:val="20"/>
          <w:szCs w:val="20"/>
        </w:rPr>
        <w:footnoteReference w:id="4"/>
      </w:r>
      <w:r w:rsidRPr="00CA03B2">
        <w:rPr>
          <w:rFonts w:ascii="Arial" w:hAnsi="Arial" w:cs="Arial"/>
          <w:sz w:val="20"/>
          <w:szCs w:val="20"/>
        </w:rPr>
        <w:t xml:space="preserve"> Ivaldi ve Vibes (2005) çalışmasında özellikle kısa mesafelerde trenin hava ulaşımına rakip olduğu gösterilmiştir. Örneğin, İstanbul-Ankara hattındaki yolcular hava ulaşımı yerine tren yolunu tercih edebilirler ve bu da havayolu şirketlerinin iç hat seferlerinde doluluk oranı en yüksek olan İstanbul-Ankara hattında yolcu kaybetmelerine yol açabilir. Tabi yeni otoyol planlarını da unutmamak gerekir çünkü kısa mesafede karayolu da havayoluna alternatif olarak değerlendirilebilmektedir.</w:t>
      </w:r>
      <w:r w:rsidRPr="00CA03B2">
        <w:rPr>
          <w:rStyle w:val="DipnotBavurusu"/>
          <w:rFonts w:ascii="Arial" w:hAnsi="Arial" w:cs="Arial"/>
          <w:sz w:val="20"/>
          <w:szCs w:val="20"/>
        </w:rPr>
        <w:footnoteReference w:id="5"/>
      </w:r>
      <w:r w:rsidRPr="00CA03B2">
        <w:rPr>
          <w:rFonts w:ascii="Arial" w:hAnsi="Arial" w:cs="Arial"/>
          <w:sz w:val="20"/>
          <w:szCs w:val="20"/>
        </w:rPr>
        <w:t xml:space="preserve"> Dolayısıyla daha kapsamlı bir değerlendirmede, örneğin hatlar üzerinde, ulaşım alternatifleri arasındaki rekabeti de göz önünde bulundurmak gerekir. </w:t>
      </w:r>
    </w:p>
    <w:p w:rsidR="009C0008" w:rsidRPr="00CA03B2" w:rsidRDefault="009C0008" w:rsidP="00CA03B2">
      <w:pPr>
        <w:pStyle w:val="Balk1"/>
        <w:jc w:val="left"/>
        <w:rPr>
          <w:sz w:val="22"/>
          <w:szCs w:val="22"/>
        </w:rPr>
      </w:pPr>
      <w:r w:rsidRPr="00CA03B2">
        <w:rPr>
          <w:sz w:val="22"/>
          <w:szCs w:val="22"/>
        </w:rPr>
        <w:t>Hava trafiği ve ekonomik büyüme</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Havacılık sektörünün ekonomik koşullara hassasiyeti literatürde birçok çalışmada gösterilmiştir. Örneğin Toru (2011) çalışmasında 2004-2008 döneminde petrol fiyatlarındaki artış Avrupa’daki birçok havayolu şirketinin hava trafiği artış oranında düşüşe neden olduğunu göstermiştir. Aynı dönemde Türkiye’de sektörün çok fazla etkilenmemesinin iki temel sebebi vardır. Birincisi, Ekim 2003 tarihinde başlatılan iç hatlarda piyasa serbestleştirmesiyle özel havayolu şirketlerinin (Pegasus, Atlas Jet, Onur Air gibi) artan faaliyetleri ve THY’nın müthiş girişimcilik atakları trafik artışını sağlamıştır. Bu pozitif etki aynı şekilde Amerika Birleşik Devletleri’nde (1979) ve AB’de (1988) havacılık sektörü serbestleştirmelerini takiben görülmüştür ve bir süre sonra artış hızında düşüş gerçekleşerek pazar dengesini bulmuştur. İkincisi, Türkiye’de 2002-2012 döneminde ortalama büyüme oranı yüzde 5,2 olmuştur ve kişi başına reel Gayri Safi Yurtiçi Hâsıla (GSYH) 2012 yılında 2002 yılına göre yüzde 43 artarak 1098 Türk lirasından 1573 Türk lirasına yükselmiştir. Bu ekonomik gelişmelerin hava trafiği üzerinde olumlu etkileri olmuştur. </w:t>
      </w:r>
    </w:p>
    <w:p w:rsidR="009C0008" w:rsidRPr="00CA03B2" w:rsidRDefault="009C0008" w:rsidP="009C0008">
      <w:pPr>
        <w:spacing w:before="100" w:beforeAutospacing="1" w:after="100" w:afterAutospacing="1"/>
        <w:ind w:firstLine="709"/>
        <w:jc w:val="both"/>
        <w:rPr>
          <w:rFonts w:ascii="Arial" w:hAnsi="Arial" w:cs="Arial"/>
          <w:sz w:val="20"/>
          <w:szCs w:val="20"/>
        </w:rPr>
      </w:pPr>
      <w:fldSimple w:instr=" REF _Ref358903372 \h  \* MERGEFORMAT ">
        <w:r w:rsidRPr="00CA03B2">
          <w:rPr>
            <w:rFonts w:ascii="Arial" w:hAnsi="Arial" w:cs="Arial"/>
            <w:sz w:val="20"/>
            <w:szCs w:val="20"/>
          </w:rPr>
          <w:t>Şekil 2</w:t>
        </w:r>
      </w:fldSimple>
      <w:r w:rsidRPr="00CA03B2">
        <w:rPr>
          <w:rFonts w:ascii="Arial" w:hAnsi="Arial" w:cs="Arial"/>
          <w:sz w:val="20"/>
          <w:szCs w:val="20"/>
        </w:rPr>
        <w:t xml:space="preserve">’de 2003 yılı baz alınarak hesaplanmış reel GSYH ile nispi uçak bilet fiyatı (bilet fiyatı/TÜFE) endeksleri gösterilmektedir. Görüldüğü üzere 2003 yılında gerçekleştirilen serbestleştirmeden sonra nispi uçak bileti fiyatının 2004 yılında bir miktar azaldığı sonrasında 2008’e kadar artan bir seyir izlediği görülmektedir. Çünkü Toru (2011) çalışmasında da ifade edildiği gibi bu dönemde havayolu şirketlerinin maliyetlerinde önemli bir kalem olan petrol fiyatları artmış ve şirketler bu artışın neredeyse hepsini bilet fiyatlarına yansıtmışlardır. Ama aynı dönemde </w:t>
      </w:r>
      <w:fldSimple w:instr=" REF _Ref357753091 \h  \* MERGEFORMAT ">
        <w:r w:rsidRPr="00CA03B2">
          <w:rPr>
            <w:rFonts w:ascii="Arial" w:hAnsi="Arial" w:cs="Arial"/>
            <w:sz w:val="20"/>
            <w:szCs w:val="20"/>
          </w:rPr>
          <w:t>Şekil 1</w:t>
        </w:r>
      </w:fldSimple>
      <w:r w:rsidRPr="00CA03B2">
        <w:rPr>
          <w:rFonts w:ascii="Arial" w:hAnsi="Arial" w:cs="Arial"/>
          <w:sz w:val="20"/>
          <w:szCs w:val="20"/>
        </w:rPr>
        <w:t>’de gösterildiği gibi beklenenin aksine yolcu trafiği azalmamıştır. Buna göre 2008 yılına kadar olan yolcu sayısının artmasında gelirin reel olarak artması etkili olmuştur. 2008 yılında uçak bilet fiyatlarında ciddi bir azalma gözlemlenmiş ve sonrasında yatay olarak seyretmiştir. Bu dönemdeki talep artışı uçak biletinin nispi fiyatının düşüşüyle ve artmaya devam eden reel gelir ile açıklanabilir.</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Tarihsel olarak bakıldığında hava trafiğinin ekonomik göstergelere hassas olduğu bilinmektedir. Örneğin, Avrupa ve Amerika’da havayolu şirketleri geçmişte yaşanan ekonomik krizlerden ciddi zarar görmüş hatta bazı şirketler iflas etmişlerdir ve sonrasında Amerika’da hava trafiği artış oranında bir düşüş gözlenmiştir (Borenstein ve Rose, 2003). Her ne kadar Türkiye 2008 krizinden hızlı büyüme ile çıkmış olsa da dünyada ekonomik durgunluğun hala devam ediyor olması Türkiye’de de büyümeyi önemli ölçüde yavaşlattı. Küresel koşullara bağlı olarak önümüzdeki dönemde büyüme hızının düşük devam etmesi mümkün. Bu nedenle hem havacılık sektörünün diğer ülkelerdeki tarihsel verileri hem de sektörün ekonomiye olan hassasiyeti göz önüne alındığında, Türkiye’nin geçtiğimiz 10 yılda tecrübe ettiği hava trafiğinde yüksek büyüme eğiliminin devam edeceği öngörüsü biraz iyimser bir görüş olabilir.</w:t>
      </w:r>
    </w:p>
    <w:p w:rsidR="009C0008" w:rsidRPr="00CA03B2" w:rsidRDefault="009C0008" w:rsidP="009C0008">
      <w:pPr>
        <w:pStyle w:val="ResimYazs"/>
        <w:keepNext/>
        <w:spacing w:before="100" w:beforeAutospacing="1" w:after="100" w:afterAutospacing="1"/>
        <w:jc w:val="both"/>
        <w:rPr>
          <w:rFonts w:ascii="Arial" w:hAnsi="Arial" w:cs="Arial"/>
        </w:rPr>
      </w:pPr>
      <w:bookmarkStart w:id="2" w:name="_Ref358903372"/>
      <w:r w:rsidRPr="00CA03B2">
        <w:rPr>
          <w:rFonts w:ascii="Arial" w:hAnsi="Arial" w:cs="Arial"/>
        </w:rPr>
        <w:lastRenderedPageBreak/>
        <w:t xml:space="preserve">Şekil </w:t>
      </w:r>
      <w:r w:rsidRPr="00CA03B2">
        <w:rPr>
          <w:rFonts w:ascii="Arial" w:hAnsi="Arial" w:cs="Arial"/>
        </w:rPr>
        <w:fldChar w:fldCharType="begin"/>
      </w:r>
      <w:r w:rsidRPr="00CA03B2">
        <w:rPr>
          <w:rFonts w:ascii="Arial" w:hAnsi="Arial" w:cs="Arial"/>
        </w:rPr>
        <w:instrText xml:space="preserve"> SEQ Şekil \* ARABIC </w:instrText>
      </w:r>
      <w:r w:rsidRPr="00CA03B2">
        <w:rPr>
          <w:rFonts w:ascii="Arial" w:hAnsi="Arial" w:cs="Arial"/>
        </w:rPr>
        <w:fldChar w:fldCharType="separate"/>
      </w:r>
      <w:r w:rsidRPr="00CA03B2">
        <w:rPr>
          <w:rFonts w:ascii="Arial" w:hAnsi="Arial" w:cs="Arial"/>
          <w:noProof/>
        </w:rPr>
        <w:t>2</w:t>
      </w:r>
      <w:r w:rsidRPr="00CA03B2">
        <w:rPr>
          <w:rFonts w:ascii="Arial" w:hAnsi="Arial" w:cs="Arial"/>
        </w:rPr>
        <w:fldChar w:fldCharType="end"/>
      </w:r>
      <w:bookmarkEnd w:id="2"/>
      <w:r w:rsidRPr="00CA03B2">
        <w:rPr>
          <w:rFonts w:ascii="Arial" w:hAnsi="Arial" w:cs="Arial"/>
        </w:rPr>
        <w:t xml:space="preserve"> Reel GSYH ve nispi uçak bilet fiyatı (2003=100)</w:t>
      </w:r>
    </w:p>
    <w:p w:rsidR="009C0008" w:rsidRPr="0056655F" w:rsidRDefault="009C0008" w:rsidP="009C0008">
      <w:pPr>
        <w:keepNext/>
        <w:jc w:val="both"/>
      </w:pPr>
      <w:r w:rsidRPr="0056655F">
        <w:rPr>
          <w:noProof/>
          <w:lang w:eastAsia="tr-TR"/>
        </w:rPr>
        <w:drawing>
          <wp:inline distT="0" distB="0" distL="0" distR="0">
            <wp:extent cx="3913632" cy="2048256"/>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0008" w:rsidRPr="002C6FB5" w:rsidRDefault="009C0008" w:rsidP="009C0008">
      <w:pPr>
        <w:jc w:val="both"/>
        <w:rPr>
          <w:rFonts w:ascii="Arial" w:hAnsi="Arial" w:cs="Arial"/>
          <w:sz w:val="16"/>
          <w:szCs w:val="16"/>
        </w:rPr>
      </w:pPr>
      <w:r w:rsidRPr="002C6FB5">
        <w:rPr>
          <w:rFonts w:ascii="Arial" w:hAnsi="Arial" w:cs="Arial"/>
          <w:sz w:val="16"/>
          <w:szCs w:val="16"/>
        </w:rPr>
        <w:t>Kaynak: TÜİK</w:t>
      </w:r>
    </w:p>
    <w:p w:rsidR="00CA03B2" w:rsidRDefault="00CA03B2" w:rsidP="00CA03B2">
      <w:pPr>
        <w:pStyle w:val="Balk1"/>
        <w:jc w:val="left"/>
        <w:rPr>
          <w:sz w:val="22"/>
          <w:szCs w:val="22"/>
        </w:rPr>
      </w:pPr>
    </w:p>
    <w:p w:rsidR="009C0008" w:rsidRPr="00CA03B2" w:rsidRDefault="009C0008" w:rsidP="00CA03B2">
      <w:pPr>
        <w:pStyle w:val="Balk1"/>
        <w:jc w:val="left"/>
        <w:rPr>
          <w:sz w:val="22"/>
          <w:szCs w:val="22"/>
        </w:rPr>
      </w:pPr>
      <w:r w:rsidRPr="00CA03B2">
        <w:rPr>
          <w:sz w:val="22"/>
          <w:szCs w:val="22"/>
        </w:rPr>
        <w:t>Atlanta havalimanı ile bir karşılaştırma</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Yeni havalimanı için öngörülen yolcu sayısını ve büyük bir aktarma merkezi (hub) olma hedefini değerlendirmek için Dünya’nın yolcu trafiği açısından en büyük havalimanı olan Hartsfield-Jackson Atlanta Uluslararası (ATL) havalimanı ile karşılaştırma yapmak uygun olacaktır. Atlanta havalimanı 2012 yılında 95 milyon yolcu trafiğini sağlamıştır.</w:t>
      </w:r>
      <w:r w:rsidRPr="00CA03B2">
        <w:rPr>
          <w:rStyle w:val="DipnotBavurusu"/>
          <w:rFonts w:ascii="Arial" w:hAnsi="Arial" w:cs="Arial"/>
          <w:sz w:val="20"/>
          <w:szCs w:val="20"/>
        </w:rPr>
        <w:footnoteReference w:id="6"/>
      </w:r>
      <w:r w:rsidRPr="00CA03B2">
        <w:rPr>
          <w:rFonts w:ascii="Arial" w:hAnsi="Arial" w:cs="Arial"/>
          <w:sz w:val="20"/>
          <w:szCs w:val="20"/>
        </w:rPr>
        <w:t xml:space="preserve"> Daha önce de belirtildiği gibi, İstanbul’un yeni havalimanı için ilk aşamada 90 milyon yolcu kapasitesi öngörülüyor. Gelecekte ise kapasitenin 120 milyona, son aşamada ise 150 milyona çıkartılması söz konusudur.  </w:t>
      </w:r>
    </w:p>
    <w:p w:rsidR="009C0008" w:rsidRPr="00CA03B2" w:rsidRDefault="009C0008" w:rsidP="009C0008">
      <w:pPr>
        <w:pStyle w:val="Balk2"/>
        <w:rPr>
          <w:rFonts w:cs="Times New Roman"/>
          <w:sz w:val="22"/>
          <w:szCs w:val="22"/>
        </w:rPr>
      </w:pPr>
      <w:r w:rsidRPr="00CA03B2">
        <w:rPr>
          <w:sz w:val="22"/>
          <w:szCs w:val="22"/>
        </w:rPr>
        <w:t>Kapasite ve konum açısından</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Beş piste sahip olan Atlanta havalimanı 2012 yılı verilerine göre yaklaşık 952 bin uçuş sayısı ve 95 milyon yolcu trafiğiyle dünyanın en işlek havaalanıdır. Atatürk havalimanındaysa toplam üç pist yer almaktadır ve yaklaşık 364 bin uçuşla 45 milyon yolcu taşınmıştır. Atatürk havalimanında yolcu sayısı 2002’den 2012 sonuna yaklaşık yüzde 300 artarken Atlanta havalimanında bu oran yüzde 25 civarındadır. Aynı dönemdeki ortalama büyüme oranları ise Atlanta havalimanı için yüzde 2,2 ve Atatürk havalimanı için yüzde 15’dir. </w:t>
      </w:r>
      <w:fldSimple w:instr=" REF _Ref357762495 \h  \* MERGEFORMAT ">
        <w:r w:rsidRPr="00CA03B2">
          <w:rPr>
            <w:rFonts w:ascii="Arial" w:hAnsi="Arial" w:cs="Arial"/>
            <w:sz w:val="20"/>
            <w:szCs w:val="20"/>
          </w:rPr>
          <w:t>Tablo 1</w:t>
        </w:r>
      </w:fldSimple>
      <w:r w:rsidRPr="00CA03B2">
        <w:rPr>
          <w:rFonts w:ascii="Arial" w:hAnsi="Arial" w:cs="Arial"/>
          <w:sz w:val="20"/>
          <w:szCs w:val="20"/>
        </w:rPr>
        <w:t>’de Atlanta ve Atatürk havalimanlarının son on bir yıl içindeki yolcu trafiği değişimi verilmiştir.</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Geçtiğimiz yıl Atatürk havalimanının yolcu trafiğinin 45 milyona ulaşmasıyla dönem dönem aksaklıklar yüzünden uzun rötarlar yaşanmıştır. Aksaklıkların temel nedeni Atatürk havalimanının fiziki yapısının artık yetersiz hale gelmesidir. Bununla beraber, Atatürk havalimanının bazı yeni uçaklar için gerekli fiziki koşulları sağlayamaz haldedir. Atatürk havalimanı ikisi 3 bin metre biri 2,6 bin metre uzunluğunda toplam üç piste sahiptir. Ancak THY 2012 yılında sipariş ettiği ve 2018 yılında teslim alacağı 15 Boeing 777-300 uçakları için 3,38 bin metre kalkış pistine ihtiyaç duymaktadır. Dolayısıyla hem artan yolcu trafiğini karşılamak hem de havayolu şirketleri için teknik gereksinimleri sağlamak için daha büyük bir havalimanına ihtiyaç duyulmaktadır. </w:t>
      </w:r>
    </w:p>
    <w:p w:rsidR="009C0008" w:rsidRDefault="009C0008" w:rsidP="009C0008">
      <w:pPr>
        <w:spacing w:before="100" w:beforeAutospacing="1" w:after="100" w:afterAutospacing="1"/>
        <w:ind w:firstLine="709"/>
        <w:jc w:val="both"/>
      </w:pPr>
    </w:p>
    <w:p w:rsidR="00CA03B2" w:rsidRDefault="00CA03B2" w:rsidP="009C0008">
      <w:pPr>
        <w:spacing w:before="100" w:beforeAutospacing="1" w:after="100" w:afterAutospacing="1"/>
        <w:ind w:firstLine="709"/>
        <w:jc w:val="both"/>
      </w:pPr>
    </w:p>
    <w:p w:rsidR="00CA03B2" w:rsidRDefault="00CA03B2" w:rsidP="009C0008">
      <w:pPr>
        <w:spacing w:before="100" w:beforeAutospacing="1" w:after="100" w:afterAutospacing="1"/>
        <w:ind w:firstLine="709"/>
        <w:jc w:val="both"/>
      </w:pPr>
    </w:p>
    <w:p w:rsidR="00CA03B2" w:rsidRPr="0056655F" w:rsidRDefault="00CA03B2" w:rsidP="009C0008">
      <w:pPr>
        <w:spacing w:before="100" w:beforeAutospacing="1" w:after="100" w:afterAutospacing="1"/>
        <w:ind w:firstLine="709"/>
        <w:jc w:val="both"/>
      </w:pPr>
    </w:p>
    <w:p w:rsidR="009C0008" w:rsidRPr="0056655F" w:rsidRDefault="009C0008" w:rsidP="009C0008">
      <w:pPr>
        <w:pStyle w:val="ResimYazs"/>
        <w:keepNext/>
        <w:spacing w:before="100" w:beforeAutospacing="1" w:after="100" w:afterAutospacing="1"/>
        <w:jc w:val="both"/>
        <w:rPr>
          <w:sz w:val="22"/>
          <w:szCs w:val="22"/>
        </w:rPr>
      </w:pPr>
      <w:bookmarkStart w:id="3" w:name="_Ref357762495"/>
      <w:r w:rsidRPr="0056655F">
        <w:rPr>
          <w:sz w:val="22"/>
          <w:szCs w:val="22"/>
        </w:rPr>
        <w:lastRenderedPageBreak/>
        <w:t xml:space="preserve">Tablo </w:t>
      </w:r>
      <w:r w:rsidRPr="0056655F">
        <w:rPr>
          <w:sz w:val="22"/>
          <w:szCs w:val="22"/>
        </w:rPr>
        <w:fldChar w:fldCharType="begin"/>
      </w:r>
      <w:r w:rsidRPr="0056655F">
        <w:rPr>
          <w:sz w:val="22"/>
          <w:szCs w:val="22"/>
        </w:rPr>
        <w:instrText xml:space="preserve"> SEQ Tablo \* ARABIC </w:instrText>
      </w:r>
      <w:r w:rsidRPr="0056655F">
        <w:rPr>
          <w:sz w:val="22"/>
          <w:szCs w:val="22"/>
        </w:rPr>
        <w:fldChar w:fldCharType="separate"/>
      </w:r>
      <w:r w:rsidRPr="0056655F">
        <w:rPr>
          <w:noProof/>
          <w:sz w:val="22"/>
          <w:szCs w:val="22"/>
        </w:rPr>
        <w:t>1</w:t>
      </w:r>
      <w:r w:rsidRPr="0056655F">
        <w:rPr>
          <w:sz w:val="22"/>
          <w:szCs w:val="22"/>
        </w:rPr>
        <w:fldChar w:fldCharType="end"/>
      </w:r>
      <w:bookmarkEnd w:id="3"/>
      <w:r w:rsidRPr="0056655F">
        <w:rPr>
          <w:sz w:val="22"/>
          <w:szCs w:val="22"/>
        </w:rPr>
        <w:t xml:space="preserve"> Yolcu sayısı ve büyüme oranı</w:t>
      </w:r>
    </w:p>
    <w:tbl>
      <w:tblPr>
        <w:tblW w:w="4632" w:type="dxa"/>
        <w:tblInd w:w="-68" w:type="dxa"/>
        <w:tblBorders>
          <w:top w:val="single" w:sz="4" w:space="0" w:color="auto"/>
          <w:bottom w:val="single" w:sz="4" w:space="0" w:color="auto"/>
        </w:tblBorders>
        <w:tblCellMar>
          <w:left w:w="70" w:type="dxa"/>
          <w:right w:w="70" w:type="dxa"/>
        </w:tblCellMar>
        <w:tblLook w:val="00A0"/>
      </w:tblPr>
      <w:tblGrid>
        <w:gridCol w:w="696"/>
        <w:gridCol w:w="752"/>
        <w:gridCol w:w="1314"/>
        <w:gridCol w:w="707"/>
        <w:gridCol w:w="1163"/>
      </w:tblGrid>
      <w:tr w:rsidR="009C0008" w:rsidRPr="00F17517" w:rsidTr="00FF1A86">
        <w:trPr>
          <w:trHeight w:hRule="exact" w:val="284"/>
        </w:trPr>
        <w:tc>
          <w:tcPr>
            <w:tcW w:w="696" w:type="dxa"/>
            <w:tcBorders>
              <w:top w:val="single" w:sz="4" w:space="0" w:color="auto"/>
              <w:left w:val="single" w:sz="4" w:space="0" w:color="auto"/>
              <w:bottom w:val="single" w:sz="4" w:space="0" w:color="auto"/>
              <w:right w:val="single" w:sz="4" w:space="0" w:color="auto"/>
            </w:tcBorders>
            <w:noWrap/>
            <w:vAlign w:val="center"/>
          </w:tcPr>
          <w:p w:rsidR="009C0008" w:rsidRPr="00F17517" w:rsidRDefault="009C0008" w:rsidP="00FF1A86">
            <w:pPr>
              <w:rPr>
                <w:rFonts w:ascii="Arial" w:hAnsi="Arial" w:cs="Arial"/>
                <w:b/>
                <w:color w:val="000000"/>
                <w:sz w:val="18"/>
                <w:szCs w:val="18"/>
                <w:lang w:eastAsia="tr-TR"/>
              </w:rPr>
            </w:pPr>
          </w:p>
        </w:tc>
        <w:tc>
          <w:tcPr>
            <w:tcW w:w="2066" w:type="dxa"/>
            <w:gridSpan w:val="2"/>
            <w:tcBorders>
              <w:top w:val="single" w:sz="4" w:space="0" w:color="auto"/>
              <w:left w:val="single" w:sz="4" w:space="0" w:color="auto"/>
              <w:bottom w:val="single" w:sz="4" w:space="0" w:color="auto"/>
              <w:right w:val="single" w:sz="4" w:space="0" w:color="auto"/>
            </w:tcBorders>
            <w:noWrap/>
            <w:vAlign w:val="center"/>
          </w:tcPr>
          <w:p w:rsidR="009C0008" w:rsidRPr="00F17517" w:rsidRDefault="009C0008" w:rsidP="00FF1A86">
            <w:pPr>
              <w:jc w:val="center"/>
              <w:rPr>
                <w:rFonts w:ascii="Arial" w:hAnsi="Arial" w:cs="Arial"/>
                <w:b/>
                <w:color w:val="000000"/>
                <w:sz w:val="18"/>
                <w:szCs w:val="18"/>
                <w:lang w:eastAsia="tr-TR"/>
              </w:rPr>
            </w:pPr>
            <w:r w:rsidRPr="00F17517">
              <w:rPr>
                <w:rFonts w:ascii="Arial" w:hAnsi="Arial" w:cs="Arial"/>
                <w:b/>
                <w:color w:val="000000"/>
                <w:sz w:val="18"/>
                <w:szCs w:val="18"/>
                <w:lang w:eastAsia="tr-TR"/>
              </w:rPr>
              <w:t>Yolcu Sayısı (milyon)</w:t>
            </w:r>
          </w:p>
        </w:tc>
        <w:tc>
          <w:tcPr>
            <w:tcW w:w="1870" w:type="dxa"/>
            <w:gridSpan w:val="2"/>
            <w:tcBorders>
              <w:top w:val="single" w:sz="4" w:space="0" w:color="auto"/>
              <w:left w:val="single" w:sz="4" w:space="0" w:color="auto"/>
              <w:bottom w:val="single" w:sz="4" w:space="0" w:color="auto"/>
              <w:right w:val="single" w:sz="4" w:space="0" w:color="auto"/>
            </w:tcBorders>
            <w:noWrap/>
            <w:vAlign w:val="center"/>
          </w:tcPr>
          <w:p w:rsidR="009C0008" w:rsidRPr="00F17517" w:rsidRDefault="009C0008" w:rsidP="00FF1A86">
            <w:pPr>
              <w:jc w:val="center"/>
              <w:rPr>
                <w:rFonts w:ascii="Arial" w:hAnsi="Arial" w:cs="Arial"/>
                <w:b/>
                <w:color w:val="000000"/>
                <w:sz w:val="18"/>
                <w:szCs w:val="18"/>
                <w:lang w:eastAsia="tr-TR"/>
              </w:rPr>
            </w:pPr>
            <w:r w:rsidRPr="00F17517">
              <w:rPr>
                <w:rFonts w:ascii="Arial" w:hAnsi="Arial" w:cs="Arial"/>
                <w:b/>
                <w:color w:val="000000"/>
                <w:sz w:val="18"/>
                <w:szCs w:val="18"/>
                <w:lang w:eastAsia="tr-TR"/>
              </w:rPr>
              <w:t>Büyüme Oranı (%)</w:t>
            </w:r>
          </w:p>
        </w:tc>
      </w:tr>
      <w:tr w:rsidR="009C0008" w:rsidRPr="00F17517" w:rsidTr="00FF1A86">
        <w:trPr>
          <w:trHeight w:hRule="exact" w:val="284"/>
        </w:trPr>
        <w:tc>
          <w:tcPr>
            <w:tcW w:w="696" w:type="dxa"/>
            <w:tcBorders>
              <w:top w:val="single" w:sz="4" w:space="0" w:color="auto"/>
              <w:left w:val="single" w:sz="4" w:space="0" w:color="auto"/>
              <w:bottom w:val="single" w:sz="4" w:space="0" w:color="auto"/>
              <w:right w:val="single" w:sz="4" w:space="0" w:color="auto"/>
            </w:tcBorders>
            <w:noWrap/>
            <w:vAlign w:val="center"/>
          </w:tcPr>
          <w:p w:rsidR="009C0008" w:rsidRPr="00F17517" w:rsidRDefault="009C0008" w:rsidP="00FF1A86">
            <w:pPr>
              <w:rPr>
                <w:rFonts w:ascii="Arial" w:hAnsi="Arial" w:cs="Arial"/>
                <w:b/>
                <w:color w:val="000000"/>
                <w:sz w:val="18"/>
                <w:szCs w:val="18"/>
                <w:lang w:eastAsia="tr-TR"/>
              </w:rPr>
            </w:pPr>
            <w:r w:rsidRPr="00F17517">
              <w:rPr>
                <w:rFonts w:ascii="Arial" w:hAnsi="Arial" w:cs="Arial"/>
                <w:b/>
                <w:color w:val="000000"/>
                <w:sz w:val="18"/>
                <w:szCs w:val="18"/>
                <w:lang w:eastAsia="tr-TR"/>
              </w:rPr>
              <w:t>Yıl</w:t>
            </w:r>
          </w:p>
        </w:tc>
        <w:tc>
          <w:tcPr>
            <w:tcW w:w="752" w:type="dxa"/>
            <w:tcBorders>
              <w:top w:val="single" w:sz="4" w:space="0" w:color="auto"/>
              <w:left w:val="single" w:sz="4" w:space="0" w:color="auto"/>
              <w:bottom w:val="single" w:sz="4" w:space="0" w:color="auto"/>
            </w:tcBorders>
            <w:noWrap/>
            <w:vAlign w:val="center"/>
          </w:tcPr>
          <w:p w:rsidR="009C0008" w:rsidRPr="00F17517" w:rsidRDefault="009C0008" w:rsidP="00FF1A86">
            <w:pPr>
              <w:jc w:val="center"/>
              <w:rPr>
                <w:rFonts w:ascii="Arial" w:hAnsi="Arial" w:cs="Arial"/>
                <w:b/>
                <w:color w:val="000000"/>
                <w:sz w:val="18"/>
                <w:szCs w:val="18"/>
                <w:lang w:eastAsia="tr-TR"/>
              </w:rPr>
            </w:pPr>
            <w:r w:rsidRPr="00F17517">
              <w:rPr>
                <w:rFonts w:ascii="Arial" w:hAnsi="Arial" w:cs="Arial"/>
                <w:b/>
                <w:color w:val="000000"/>
                <w:sz w:val="18"/>
                <w:szCs w:val="18"/>
                <w:lang w:eastAsia="tr-TR"/>
              </w:rPr>
              <w:t>ATL</w:t>
            </w:r>
          </w:p>
        </w:tc>
        <w:tc>
          <w:tcPr>
            <w:tcW w:w="1314" w:type="dxa"/>
            <w:tcBorders>
              <w:top w:val="single" w:sz="4" w:space="0" w:color="auto"/>
              <w:bottom w:val="single" w:sz="4" w:space="0" w:color="auto"/>
              <w:right w:val="single" w:sz="4" w:space="0" w:color="auto"/>
            </w:tcBorders>
            <w:noWrap/>
            <w:vAlign w:val="center"/>
          </w:tcPr>
          <w:p w:rsidR="009C0008" w:rsidRPr="00F17517" w:rsidRDefault="009C0008" w:rsidP="00FF1A86">
            <w:pPr>
              <w:jc w:val="center"/>
              <w:rPr>
                <w:rFonts w:ascii="Arial" w:hAnsi="Arial" w:cs="Arial"/>
                <w:b/>
                <w:color w:val="000000"/>
                <w:sz w:val="18"/>
                <w:szCs w:val="18"/>
                <w:lang w:eastAsia="tr-TR"/>
              </w:rPr>
            </w:pPr>
            <w:r w:rsidRPr="00F17517">
              <w:rPr>
                <w:rFonts w:ascii="Arial" w:hAnsi="Arial" w:cs="Arial"/>
                <w:b/>
                <w:color w:val="000000"/>
                <w:sz w:val="18"/>
                <w:szCs w:val="18"/>
                <w:lang w:eastAsia="tr-TR"/>
              </w:rPr>
              <w:t>IST</w:t>
            </w:r>
          </w:p>
        </w:tc>
        <w:tc>
          <w:tcPr>
            <w:tcW w:w="707" w:type="dxa"/>
            <w:tcBorders>
              <w:top w:val="single" w:sz="4" w:space="0" w:color="auto"/>
              <w:left w:val="single" w:sz="4" w:space="0" w:color="auto"/>
              <w:bottom w:val="single" w:sz="4" w:space="0" w:color="auto"/>
            </w:tcBorders>
            <w:noWrap/>
            <w:vAlign w:val="center"/>
          </w:tcPr>
          <w:p w:rsidR="009C0008" w:rsidRPr="00F17517" w:rsidRDefault="009C0008" w:rsidP="00FF1A86">
            <w:pPr>
              <w:jc w:val="center"/>
              <w:rPr>
                <w:rFonts w:ascii="Arial" w:hAnsi="Arial" w:cs="Arial"/>
                <w:b/>
                <w:color w:val="000000"/>
                <w:sz w:val="18"/>
                <w:szCs w:val="18"/>
                <w:lang w:eastAsia="tr-TR"/>
              </w:rPr>
            </w:pPr>
            <w:r w:rsidRPr="00F17517">
              <w:rPr>
                <w:rFonts w:ascii="Arial" w:hAnsi="Arial" w:cs="Arial"/>
                <w:b/>
                <w:color w:val="000000"/>
                <w:sz w:val="18"/>
                <w:szCs w:val="18"/>
                <w:lang w:eastAsia="tr-TR"/>
              </w:rPr>
              <w:t>ATL</w:t>
            </w:r>
          </w:p>
        </w:tc>
        <w:tc>
          <w:tcPr>
            <w:tcW w:w="1163" w:type="dxa"/>
            <w:tcBorders>
              <w:top w:val="single" w:sz="4" w:space="0" w:color="auto"/>
              <w:bottom w:val="single" w:sz="4" w:space="0" w:color="auto"/>
              <w:right w:val="single" w:sz="4" w:space="0" w:color="auto"/>
            </w:tcBorders>
            <w:noWrap/>
            <w:vAlign w:val="center"/>
          </w:tcPr>
          <w:p w:rsidR="009C0008" w:rsidRPr="00F17517" w:rsidRDefault="009C0008" w:rsidP="00FF1A86">
            <w:pPr>
              <w:jc w:val="center"/>
              <w:rPr>
                <w:rFonts w:ascii="Arial" w:hAnsi="Arial" w:cs="Arial"/>
                <w:b/>
                <w:color w:val="000000"/>
                <w:sz w:val="18"/>
                <w:szCs w:val="18"/>
                <w:lang w:eastAsia="tr-TR"/>
              </w:rPr>
            </w:pPr>
            <w:r w:rsidRPr="00F17517">
              <w:rPr>
                <w:rFonts w:ascii="Arial" w:hAnsi="Arial" w:cs="Arial"/>
                <w:b/>
                <w:color w:val="000000"/>
                <w:sz w:val="18"/>
                <w:szCs w:val="18"/>
                <w:lang w:eastAsia="tr-TR"/>
              </w:rPr>
              <w:t>IST</w:t>
            </w:r>
          </w:p>
        </w:tc>
      </w:tr>
      <w:tr w:rsidR="009C0008" w:rsidRPr="004C50BA" w:rsidTr="00FF1A86">
        <w:trPr>
          <w:trHeight w:hRule="exact" w:val="284"/>
        </w:trPr>
        <w:tc>
          <w:tcPr>
            <w:tcW w:w="696" w:type="dxa"/>
            <w:tcBorders>
              <w:top w:val="single" w:sz="4" w:space="0" w:color="auto"/>
              <w:left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2002</w:t>
            </w:r>
          </w:p>
        </w:tc>
        <w:tc>
          <w:tcPr>
            <w:tcW w:w="752" w:type="dxa"/>
            <w:tcBorders>
              <w:top w:val="single" w:sz="4" w:space="0" w:color="auto"/>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76,9</w:t>
            </w:r>
          </w:p>
        </w:tc>
        <w:tc>
          <w:tcPr>
            <w:tcW w:w="1314" w:type="dxa"/>
            <w:tcBorders>
              <w:top w:val="single" w:sz="4" w:space="0" w:color="auto"/>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11,4</w:t>
            </w:r>
          </w:p>
        </w:tc>
        <w:tc>
          <w:tcPr>
            <w:tcW w:w="707" w:type="dxa"/>
            <w:tcBorders>
              <w:top w:val="single" w:sz="4" w:space="0" w:color="auto"/>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w:t>
            </w:r>
          </w:p>
        </w:tc>
        <w:tc>
          <w:tcPr>
            <w:tcW w:w="1163" w:type="dxa"/>
            <w:tcBorders>
              <w:top w:val="single" w:sz="4" w:space="0" w:color="auto"/>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w:t>
            </w:r>
          </w:p>
        </w:tc>
      </w:tr>
      <w:tr w:rsidR="009C0008" w:rsidRPr="004C50BA" w:rsidTr="00FF1A86">
        <w:trPr>
          <w:trHeight w:hRule="exact" w:val="284"/>
        </w:trPr>
        <w:tc>
          <w:tcPr>
            <w:tcW w:w="696" w:type="dxa"/>
            <w:tcBorders>
              <w:left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2003</w:t>
            </w:r>
          </w:p>
        </w:tc>
        <w:tc>
          <w:tcPr>
            <w:tcW w:w="752"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79,1</w:t>
            </w:r>
          </w:p>
        </w:tc>
        <w:tc>
          <w:tcPr>
            <w:tcW w:w="1314"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12,1</w:t>
            </w:r>
          </w:p>
        </w:tc>
        <w:tc>
          <w:tcPr>
            <w:tcW w:w="707"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w:t>
            </w:r>
          </w:p>
        </w:tc>
        <w:tc>
          <w:tcPr>
            <w:tcW w:w="1163"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6,6</w:t>
            </w:r>
          </w:p>
        </w:tc>
      </w:tr>
      <w:tr w:rsidR="009C0008" w:rsidRPr="004C50BA" w:rsidTr="00FF1A86">
        <w:trPr>
          <w:trHeight w:hRule="exact" w:val="284"/>
        </w:trPr>
        <w:tc>
          <w:tcPr>
            <w:tcW w:w="696" w:type="dxa"/>
            <w:tcBorders>
              <w:left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2004</w:t>
            </w:r>
          </w:p>
        </w:tc>
        <w:tc>
          <w:tcPr>
            <w:tcW w:w="752"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83,6</w:t>
            </w:r>
          </w:p>
        </w:tc>
        <w:tc>
          <w:tcPr>
            <w:tcW w:w="1314"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15,6</w:t>
            </w:r>
          </w:p>
        </w:tc>
        <w:tc>
          <w:tcPr>
            <w:tcW w:w="707"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5,7</w:t>
            </w:r>
          </w:p>
        </w:tc>
        <w:tc>
          <w:tcPr>
            <w:tcW w:w="1163"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28,9</w:t>
            </w:r>
          </w:p>
        </w:tc>
      </w:tr>
      <w:tr w:rsidR="009C0008" w:rsidRPr="004C50BA" w:rsidTr="00FF1A86">
        <w:trPr>
          <w:trHeight w:hRule="exact" w:val="284"/>
        </w:trPr>
        <w:tc>
          <w:tcPr>
            <w:tcW w:w="696" w:type="dxa"/>
            <w:tcBorders>
              <w:left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2005</w:t>
            </w:r>
          </w:p>
        </w:tc>
        <w:tc>
          <w:tcPr>
            <w:tcW w:w="752"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85,9</w:t>
            </w:r>
          </w:p>
        </w:tc>
        <w:tc>
          <w:tcPr>
            <w:tcW w:w="1314"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19,3</w:t>
            </w:r>
          </w:p>
        </w:tc>
        <w:tc>
          <w:tcPr>
            <w:tcW w:w="707"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w:t>
            </w:r>
          </w:p>
        </w:tc>
        <w:tc>
          <w:tcPr>
            <w:tcW w:w="1163"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23,7</w:t>
            </w:r>
          </w:p>
        </w:tc>
      </w:tr>
      <w:tr w:rsidR="009C0008" w:rsidRPr="004C50BA" w:rsidTr="00FF1A86">
        <w:trPr>
          <w:trHeight w:hRule="exact" w:val="284"/>
        </w:trPr>
        <w:tc>
          <w:tcPr>
            <w:tcW w:w="696" w:type="dxa"/>
            <w:tcBorders>
              <w:left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2006</w:t>
            </w:r>
          </w:p>
        </w:tc>
        <w:tc>
          <w:tcPr>
            <w:tcW w:w="752"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84,8</w:t>
            </w:r>
          </w:p>
        </w:tc>
        <w:tc>
          <w:tcPr>
            <w:tcW w:w="1314"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21,3</w:t>
            </w:r>
          </w:p>
        </w:tc>
        <w:tc>
          <w:tcPr>
            <w:tcW w:w="707"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-1,2</w:t>
            </w:r>
          </w:p>
        </w:tc>
        <w:tc>
          <w:tcPr>
            <w:tcW w:w="1163"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10,2</w:t>
            </w:r>
          </w:p>
        </w:tc>
      </w:tr>
      <w:tr w:rsidR="009C0008" w:rsidRPr="004C50BA" w:rsidTr="00FF1A86">
        <w:trPr>
          <w:trHeight w:hRule="exact" w:val="284"/>
        </w:trPr>
        <w:tc>
          <w:tcPr>
            <w:tcW w:w="696" w:type="dxa"/>
            <w:tcBorders>
              <w:left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2007</w:t>
            </w:r>
          </w:p>
        </w:tc>
        <w:tc>
          <w:tcPr>
            <w:tcW w:w="752"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89,4</w:t>
            </w:r>
          </w:p>
        </w:tc>
        <w:tc>
          <w:tcPr>
            <w:tcW w:w="1314"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23,2</w:t>
            </w:r>
          </w:p>
        </w:tc>
        <w:tc>
          <w:tcPr>
            <w:tcW w:w="707"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w:t>
            </w:r>
          </w:p>
        </w:tc>
        <w:tc>
          <w:tcPr>
            <w:tcW w:w="1163"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9,1</w:t>
            </w:r>
          </w:p>
        </w:tc>
      </w:tr>
      <w:tr w:rsidR="009C0008" w:rsidRPr="004C50BA" w:rsidTr="00FF1A86">
        <w:trPr>
          <w:trHeight w:hRule="exact" w:val="284"/>
        </w:trPr>
        <w:tc>
          <w:tcPr>
            <w:tcW w:w="696" w:type="dxa"/>
            <w:tcBorders>
              <w:left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2008</w:t>
            </w:r>
          </w:p>
        </w:tc>
        <w:tc>
          <w:tcPr>
            <w:tcW w:w="752"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90,0</w:t>
            </w:r>
          </w:p>
        </w:tc>
        <w:tc>
          <w:tcPr>
            <w:tcW w:w="1314"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28,6</w:t>
            </w:r>
          </w:p>
        </w:tc>
        <w:tc>
          <w:tcPr>
            <w:tcW w:w="707"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1163"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23,1</w:t>
            </w:r>
          </w:p>
        </w:tc>
      </w:tr>
      <w:tr w:rsidR="009C0008" w:rsidRPr="004C50BA" w:rsidTr="00FF1A86">
        <w:trPr>
          <w:trHeight w:hRule="exact" w:val="284"/>
        </w:trPr>
        <w:tc>
          <w:tcPr>
            <w:tcW w:w="696" w:type="dxa"/>
            <w:tcBorders>
              <w:left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2009</w:t>
            </w:r>
          </w:p>
        </w:tc>
        <w:tc>
          <w:tcPr>
            <w:tcW w:w="752"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88,0</w:t>
            </w:r>
          </w:p>
        </w:tc>
        <w:tc>
          <w:tcPr>
            <w:tcW w:w="1314"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29,8</w:t>
            </w:r>
          </w:p>
        </w:tc>
        <w:tc>
          <w:tcPr>
            <w:tcW w:w="707"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w:t>
            </w:r>
          </w:p>
        </w:tc>
        <w:tc>
          <w:tcPr>
            <w:tcW w:w="1163"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4,4</w:t>
            </w:r>
          </w:p>
        </w:tc>
      </w:tr>
      <w:tr w:rsidR="009C0008" w:rsidRPr="004C50BA" w:rsidTr="00FF1A86">
        <w:trPr>
          <w:trHeight w:hRule="exact" w:val="284"/>
        </w:trPr>
        <w:tc>
          <w:tcPr>
            <w:tcW w:w="696" w:type="dxa"/>
            <w:tcBorders>
              <w:left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2010</w:t>
            </w:r>
          </w:p>
        </w:tc>
        <w:tc>
          <w:tcPr>
            <w:tcW w:w="752"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89,3</w:t>
            </w:r>
          </w:p>
        </w:tc>
        <w:tc>
          <w:tcPr>
            <w:tcW w:w="1314"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32,1</w:t>
            </w:r>
          </w:p>
        </w:tc>
        <w:tc>
          <w:tcPr>
            <w:tcW w:w="707"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w:t>
            </w:r>
          </w:p>
        </w:tc>
        <w:tc>
          <w:tcPr>
            <w:tcW w:w="1163"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7,8</w:t>
            </w:r>
          </w:p>
        </w:tc>
      </w:tr>
      <w:tr w:rsidR="009C0008" w:rsidRPr="004C50BA" w:rsidTr="00FF1A86">
        <w:trPr>
          <w:trHeight w:hRule="exact" w:val="284"/>
        </w:trPr>
        <w:tc>
          <w:tcPr>
            <w:tcW w:w="696" w:type="dxa"/>
            <w:tcBorders>
              <w:left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2011</w:t>
            </w:r>
          </w:p>
        </w:tc>
        <w:tc>
          <w:tcPr>
            <w:tcW w:w="752"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92,4</w:t>
            </w:r>
          </w:p>
        </w:tc>
        <w:tc>
          <w:tcPr>
            <w:tcW w:w="1314"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37,4</w:t>
            </w:r>
          </w:p>
        </w:tc>
        <w:tc>
          <w:tcPr>
            <w:tcW w:w="707" w:type="dxa"/>
            <w:tcBorders>
              <w:lef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3,4</w:t>
            </w:r>
          </w:p>
        </w:tc>
        <w:tc>
          <w:tcPr>
            <w:tcW w:w="1163" w:type="dxa"/>
            <w:tcBorders>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16,3</w:t>
            </w:r>
          </w:p>
        </w:tc>
      </w:tr>
      <w:tr w:rsidR="009C0008" w:rsidRPr="004C50BA" w:rsidTr="00FF1A86">
        <w:trPr>
          <w:trHeight w:hRule="exact" w:val="284"/>
        </w:trPr>
        <w:tc>
          <w:tcPr>
            <w:tcW w:w="696" w:type="dxa"/>
            <w:tcBorders>
              <w:left w:val="single" w:sz="4" w:space="0" w:color="auto"/>
              <w:bottom w:val="single" w:sz="4" w:space="0" w:color="auto"/>
              <w:right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2012</w:t>
            </w:r>
          </w:p>
        </w:tc>
        <w:tc>
          <w:tcPr>
            <w:tcW w:w="752" w:type="dxa"/>
            <w:tcBorders>
              <w:left w:val="single" w:sz="4" w:space="0" w:color="auto"/>
              <w:bottom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95,5</w:t>
            </w:r>
          </w:p>
        </w:tc>
        <w:tc>
          <w:tcPr>
            <w:tcW w:w="1314" w:type="dxa"/>
            <w:tcBorders>
              <w:bottom w:val="single" w:sz="4" w:space="0" w:color="auto"/>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45,1</w:t>
            </w:r>
          </w:p>
        </w:tc>
        <w:tc>
          <w:tcPr>
            <w:tcW w:w="707" w:type="dxa"/>
            <w:tcBorders>
              <w:left w:val="single" w:sz="4" w:space="0" w:color="auto"/>
              <w:bottom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3,4</w:t>
            </w:r>
          </w:p>
        </w:tc>
        <w:tc>
          <w:tcPr>
            <w:tcW w:w="1163" w:type="dxa"/>
            <w:tcBorders>
              <w:bottom w:val="single" w:sz="4" w:space="0" w:color="auto"/>
              <w:right w:val="single" w:sz="4" w:space="0" w:color="auto"/>
            </w:tcBorders>
            <w:noWrap/>
            <w:vAlign w:val="bottom"/>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20,6</w:t>
            </w:r>
          </w:p>
        </w:tc>
      </w:tr>
    </w:tbl>
    <w:p w:rsidR="009C0008" w:rsidRPr="004C50BA" w:rsidRDefault="009C0008" w:rsidP="009C0008">
      <w:pPr>
        <w:jc w:val="both"/>
        <w:rPr>
          <w:rFonts w:ascii="Arial" w:hAnsi="Arial" w:cs="Arial"/>
          <w:sz w:val="16"/>
          <w:szCs w:val="16"/>
        </w:rPr>
      </w:pPr>
      <w:r w:rsidRPr="004C50BA">
        <w:rPr>
          <w:rFonts w:ascii="Arial" w:hAnsi="Arial" w:cs="Arial"/>
          <w:sz w:val="16"/>
          <w:szCs w:val="16"/>
        </w:rPr>
        <w:t>Kaynak: Federal Havacılık Kurumu (FAA) ve Devlet Hava Meydanları İşletmesi Genel Müdürlüğü (DHMİ)</w:t>
      </w:r>
    </w:p>
    <w:p w:rsidR="009C0008" w:rsidRPr="00CA03B2" w:rsidRDefault="009C0008" w:rsidP="009C0008">
      <w:pPr>
        <w:spacing w:before="100" w:beforeAutospacing="1" w:after="100" w:afterAutospacing="1"/>
        <w:ind w:firstLine="709"/>
        <w:jc w:val="both"/>
        <w:rPr>
          <w:rFonts w:ascii="Arial" w:hAnsi="Arial" w:cs="Arial"/>
          <w:color w:val="333333"/>
          <w:sz w:val="20"/>
          <w:szCs w:val="20"/>
        </w:rPr>
      </w:pPr>
      <w:r w:rsidRPr="00CA03B2">
        <w:rPr>
          <w:rFonts w:ascii="Arial" w:hAnsi="Arial" w:cs="Arial"/>
          <w:sz w:val="20"/>
          <w:szCs w:val="20"/>
        </w:rPr>
        <w:t>Birçok akademik çalışmada hava ulaşımı talebinde havalimanının özelliklerini</w:t>
      </w:r>
      <w:r w:rsidR="00F17517">
        <w:rPr>
          <w:rFonts w:ascii="Arial" w:hAnsi="Arial" w:cs="Arial"/>
          <w:sz w:val="20"/>
          <w:szCs w:val="20"/>
        </w:rPr>
        <w:t xml:space="preserve">n etkili olduğu gösterilmiştir </w:t>
      </w:r>
      <w:r w:rsidRPr="00CA03B2">
        <w:rPr>
          <w:rFonts w:ascii="Arial" w:hAnsi="Arial" w:cs="Arial"/>
          <w:sz w:val="20"/>
          <w:szCs w:val="20"/>
        </w:rPr>
        <w:t>(</w:t>
      </w:r>
      <w:r w:rsidR="00F17517">
        <w:rPr>
          <w:rFonts w:ascii="Arial" w:hAnsi="Arial" w:cs="Arial"/>
          <w:sz w:val="20"/>
          <w:szCs w:val="20"/>
        </w:rPr>
        <w:t xml:space="preserve">bakınız </w:t>
      </w:r>
      <w:r w:rsidRPr="00CA03B2">
        <w:rPr>
          <w:rFonts w:ascii="Arial" w:hAnsi="Arial" w:cs="Arial"/>
          <w:sz w:val="20"/>
          <w:szCs w:val="20"/>
        </w:rPr>
        <w:t>Caves ve Thomson, 1993, Nijkamp ve ark., 1998, ve Ivaldi et al. 2012)</w:t>
      </w:r>
      <w:r w:rsidR="00F17517">
        <w:rPr>
          <w:rFonts w:ascii="Arial" w:hAnsi="Arial" w:cs="Arial"/>
          <w:sz w:val="20"/>
          <w:szCs w:val="20"/>
        </w:rPr>
        <w:t>.</w:t>
      </w:r>
      <w:r w:rsidRPr="00CA03B2">
        <w:rPr>
          <w:rFonts w:ascii="Arial" w:hAnsi="Arial" w:cs="Arial"/>
          <w:sz w:val="20"/>
          <w:szCs w:val="20"/>
        </w:rPr>
        <w:t xml:space="preserve"> Havalimanının şehir merkezine olan uzaklığı ve ulaşım kolaylığı/fiyatı yolcular için önemli bir faktördür. Atlanta </w:t>
      </w:r>
      <w:r w:rsidR="00F17517">
        <w:rPr>
          <w:rFonts w:ascii="Arial" w:hAnsi="Arial" w:cs="Arial"/>
          <w:sz w:val="20"/>
          <w:szCs w:val="20"/>
        </w:rPr>
        <w:t>havalimanı şehir merkezinden 16,</w:t>
      </w:r>
      <w:r w:rsidRPr="00CA03B2">
        <w:rPr>
          <w:rFonts w:ascii="Arial" w:hAnsi="Arial" w:cs="Arial"/>
          <w:sz w:val="20"/>
          <w:szCs w:val="20"/>
        </w:rPr>
        <w:t>1 km uzaklıktadır ve iyi ulaşım imkanları olan bir havalimanıdır. Havaalanında 33500 park yeri, otobüs bağlantıları ve hızlı tren istasyonu (MARTA) vardır. Atlanta şehir merkezi hızlı trenle 20 dakika sürme</w:t>
      </w:r>
      <w:r w:rsidR="00F17517">
        <w:rPr>
          <w:rFonts w:ascii="Arial" w:hAnsi="Arial" w:cs="Arial"/>
          <w:sz w:val="20"/>
          <w:szCs w:val="20"/>
        </w:rPr>
        <w:t>ktedir ve bilet fiyatı sadece 2,</w:t>
      </w:r>
      <w:r w:rsidRPr="00CA03B2">
        <w:rPr>
          <w:rFonts w:ascii="Arial" w:hAnsi="Arial" w:cs="Arial"/>
          <w:sz w:val="20"/>
          <w:szCs w:val="20"/>
        </w:rPr>
        <w:t>5 Amerikan dolarıdır. Aynı zamanda, taksiyle de yaklaşık 30 Amerikan doları tutmaktadır. (ATL raporları, 2012.) Atatürk havalimanı da şehir merkezine 16 km uzaklıktadır. Metro istasyonu vardır ve taksiyle ulaşım makul fiyatlardadır. Yeni İstanbul havalimanı ise merkeze yaklaşık 42 kilometredir ve erişimi yapılması planlanan ulaşım altyapısına bağlıdır. Altyapı projesindeki bir aksaklık ve/veya yetersizlik yeni havalimanına olan talebin tahmin edilenden az olmasına sebep olabilir.</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Havalimanlarının kuruldukları alanlara bakılacak olursa, beş pistli Atlanta havalimanı 1900 hektar araziye kurulmuşken, altı pistli İstanbul yeni havalimanının yaklaşık 7400 hektarlık bir alana yapılması planlanmıştır. Eğer inşa edilen alan açısından bakılacak olursa, altı piste sahip olan 13000 hektara kurulmuş olan Denver Uluslararası Havalimanı (DEN) Amerika Birleşik Devletleri’nin en büyük havalimanı olmasına karşın yıllık yolcu trafiği 2012’de 53 milyon olmuştur ve Denver havalimanı halen fiziki kapasitesinin altında faaliyet göstermektedir. Yeni Havalimanı ile ilgili yapılan açıklamalarda yolcu sayısı açısından dünyanın en büyük aktarma merkezi (hub) ve kurulduğu alan açısından beşinci büyük havalimanı olacağı söyleniyor. Kabaca bir hesap yaparsak 1178 hektar alana kurulu olan Atatürk havalimanı 45 milyon yolcu trafiğine sahiptir. Yolcu sayısının 150 milyona ulaştığında havalimanının kapasitesinin Atatürk havalimanının yaklaşık üç katı olması gerekecektir. Buna dayanarak, yeni havalimanı için ihtiyaç duyulan alanın 3500 hektar olduğunu tahmin ediyoruz. Yolcu sayısı için beklentilerin gerçekleştiğini varsaysak bile 7400 hektar gibi geniş bir araziye ihtiyaç olup olmadığı tartışmaya açık bir konudur.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Belki de yeni havalimanının inşaatı için ayrılan alanın bu kadar geniş olması henüz havalimanı için ölçümlerin tam olarak yapılmamış olmasından dolayı kesin bir veri değildir. Bu ölçümler sadece ihmal edilen çevre faktörleri açısından değil, havalimanının güvenliği (rüzgâr yönü, erozyon, çökme ve benzeri faktörler) açısından da çok önemlidir. Rüzgâr ölçümleri ve tahminleri ideal pist konumlandırmada çok önemlidir. Rüzgâr verilerinin</w:t>
      </w:r>
      <w:r w:rsidRPr="0056655F">
        <w:t xml:space="preserve"> </w:t>
      </w:r>
      <w:r w:rsidRPr="00CA03B2">
        <w:rPr>
          <w:rFonts w:ascii="Arial" w:hAnsi="Arial" w:cs="Arial"/>
          <w:sz w:val="20"/>
          <w:szCs w:val="20"/>
        </w:rPr>
        <w:t>geçmişe yönelik incelenmesi ve olası koşulların tahminleri yapılmalıdır. Altı tane pist yapılacak ve yapılan pistlerin çapraz rüzgârlara göre doğru konumlandırması hava trafik kapasite potansiyelini artıracaktır. Dolayısıyla yapılan bir yanlışlık boşa kapasite yatırımına sebep olabilir.</w:t>
      </w:r>
      <w:r w:rsidRPr="00CA03B2">
        <w:rPr>
          <w:rStyle w:val="DipnotBavurusu"/>
          <w:rFonts w:ascii="Arial" w:hAnsi="Arial" w:cs="Arial"/>
          <w:sz w:val="20"/>
          <w:szCs w:val="20"/>
        </w:rPr>
        <w:footnoteReference w:id="7"/>
      </w:r>
      <w:r w:rsidRPr="00CA03B2">
        <w:rPr>
          <w:rFonts w:ascii="Arial" w:hAnsi="Arial" w:cs="Arial"/>
          <w:sz w:val="20"/>
          <w:szCs w:val="20"/>
        </w:rPr>
        <w:t xml:space="preserve"> Yapılacak yeni havalimanı yapısal olarak ne kadar havalimanı işletmeciliğine uygun ve kârlı olacağı ön</w:t>
      </w:r>
      <w:r w:rsidRPr="0056655F">
        <w:t xml:space="preserve"> </w:t>
      </w:r>
      <w:r w:rsidRPr="00CA03B2">
        <w:rPr>
          <w:rFonts w:ascii="Arial" w:hAnsi="Arial" w:cs="Arial"/>
          <w:sz w:val="20"/>
          <w:szCs w:val="20"/>
        </w:rPr>
        <w:t xml:space="preserve">çalışmaların ne kadar iyi yapıldığıyla doğrudan ilintilidir. Şirketlerin ihale öncesinde hazırlık için bir yıldan kısa bir süresi olduğu düşüncesiyle kamuoyunda saha zemin etüdünün çok detaylı yapılmadığı konusunda endişeler yer almaktadır. İhaleyi alan </w:t>
      </w:r>
      <w:r w:rsidRPr="00CA03B2">
        <w:rPr>
          <w:rFonts w:ascii="Arial" w:hAnsi="Arial" w:cs="Arial"/>
          <w:sz w:val="20"/>
          <w:szCs w:val="20"/>
        </w:rPr>
        <w:lastRenderedPageBreak/>
        <w:t>firmalar inşaat sektöründeki deneyimlerini vurgulayarak bu ölçümleri kısa sürede doğru bir şekilde yapabileceklerini belirtmişlerdir.</w:t>
      </w:r>
      <w:r w:rsidRPr="00CA03B2">
        <w:rPr>
          <w:rStyle w:val="DipnotBavurusu"/>
          <w:rFonts w:ascii="Arial" w:hAnsi="Arial" w:cs="Arial"/>
          <w:sz w:val="20"/>
          <w:szCs w:val="20"/>
        </w:rPr>
        <w:footnoteReference w:id="8"/>
      </w:r>
      <w:r w:rsidRPr="00CA03B2">
        <w:rPr>
          <w:rFonts w:ascii="Arial" w:hAnsi="Arial" w:cs="Arial"/>
          <w:sz w:val="20"/>
          <w:szCs w:val="20"/>
        </w:rPr>
        <w:t xml:space="preserve"> İstanbul yeni havalimanı için yapılan planın detaylarının önümüzdeki günlerde kamuoyu ile paylaşılması bu konudaki endişe ve belirsizlikleri ortadan kaldıracaktır. </w:t>
      </w:r>
    </w:p>
    <w:p w:rsidR="009C0008" w:rsidRPr="00CA03B2" w:rsidRDefault="009C0008" w:rsidP="009C0008">
      <w:pPr>
        <w:pStyle w:val="Balk2"/>
        <w:rPr>
          <w:sz w:val="22"/>
          <w:szCs w:val="22"/>
        </w:rPr>
      </w:pPr>
      <w:r w:rsidRPr="00CA03B2">
        <w:rPr>
          <w:sz w:val="22"/>
          <w:szCs w:val="22"/>
        </w:rPr>
        <w:t>Aktarma merkezi (hub) açısından karşılaştırma</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Şüphesiz Atlanta havalimanının bu kadar işlek olmasının altında yatan temel neden dünyanın en büyük havayolu şirketi olan Delta havayolu şirketine aktarma merkezi (hub) hizmeti vermesidir. Atlanta havalimanında 2012’de 95 milyon olan yolcunun yüzde 66,4’ünü (63,4 milyon) Delta havayolu şirketi taşımıştır. Bunun yanında Delta havayolu şirketi yedi tane bölgesel havayolu şirketiyle bağlantılı uçuşlar gerçekleştirmektedir ve bu bağlantılarla 2012’de Atlanta havalimanından yaklaşık 12 milyon yolcu taşınmıştır. Sonuç olarak, Delta havayolu şirketi bölgesel ortaklarıyla birlikte 2012 yılında Atlanta havalimanında yaklaşık 78 milyon yolcu taşımıştır.</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Atatürk havalimanı ise THY’ye aktarma merkezi (hub) hizmeti vermektedir. 2012 yılı verilerine göre, THY Atatürk havalimanının 29,8 milyon dış hat yolcularının yüzde 72’sini ve 15,2 milyon iç hat yolcularının yüzde 74’ünü taşıyarak bu havalimanında toplam 32,7 milyon yolcu taşımıştır. THY’nin Delta havayolunun Atlanta havalimanında taşıdığı yolcu sayısı olan 78 milyonu tutturabilmesi için önümüzdeki 5 yıl içerisinde yıllık ortalama yüzde 15 büyüme oranını devam ettirmesi gerekmektedir. Son yıllarda verilen uçak siparişlerine bakılırsa THY de bunu hedeflemektedir (THY Raporları, 2012).</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Filo sayısı açısında bakılacak olursa, Delta havayolu şirketinin 719 uçağı THY’nin ise 202 uçağı vardır. Airbus’tan 117 ve Boeing’den 95 uçaklık siparişi bulunan THY’nin şayet tüm siparişleri gerçekleşirse 414 uçaklık bir filosu olacaktır. THY son on yılda büyürken özellikle Avrupa’daki diğer havayolları kısmen pazar kayıpları yaşadılar ve hatta zarar ettiler. Ne var ki Avrupa’daki diğer havayolları da artık bir toparlanma süreci içerisindeler ve bu da THY’nin yakalamış olduğu büyüme hızını korumasını engelleyebilir. Yeni havalimanı, Atatürk havalimanının kapanmasıyla onun faaliyetlerini devralacak ve THY gelişiminde olası bir yavaşlama bu havalimanı için hedeflenen yolcu sayısına ulaşamamasına sebep olabilir. Tersi durumda, yani THY büyümeye devam eder ve yeni havalimanının inşaatında bir gecikme olursa THY’ye İstanbul’daki mevcut havalimanlarının kapasiteleri yeterli gelmeyecek ve THY büyüme planını ertelemek durumunda kalacaktır.</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Havayolu şirketinin yolcu taşıma kapasitesinin ne kadarının kullanıldığını gösteren doluluk oranı havayolu şirketi için önemli bir kapasite kullanım verimliliği ölçüsüdür. Hava taşımacılığı yüksek sabit maliyeti olan sermaye yoğun bir sektör olduğu için, kapasitenin tam verimli kullanılması son birim (marjinal) maliyeti avantajı getirdiğinden havayolu şirketleri için oldukça önemlidir. Doluluk oranının yüksek olması havayolu şirketine koltuk başına maliyeti düşüreceği için rekabet gücü vermektedir. DL havayolunun doluluk oranı 2012’de yüzde 83,8’i bulurken THY doluluk oranını yüzde 77,4 olmuştur.</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Bir başka unsur da Atlanta havalimanının Amerika Doğu Yakası’nda birçok büyük yerleşim yerine iki saatlik uçuş mesafesinde yer almasıdır. Dolayısıyla hem Amerika kıtası içi</w:t>
      </w:r>
      <w:r w:rsidRPr="0056655F">
        <w:t xml:space="preserve"> </w:t>
      </w:r>
      <w:r w:rsidRPr="00CA03B2">
        <w:rPr>
          <w:rFonts w:ascii="Arial" w:hAnsi="Arial" w:cs="Arial"/>
          <w:sz w:val="20"/>
          <w:szCs w:val="20"/>
        </w:rPr>
        <w:t>hem de transatlantik uçuşlarda bu havalimanının aktarma merkezi (hub) olarak kullanılması cazip gelmektedir. Atatürk havalimanının iç hatlarda büyük bir aktarma merkezi (hub) olması pek de mümkün değildir çünkü Türkiye’de iki şehir arası mesafeler ABD’ye kıyasla daha kısadır. Zaten yeni havalimanını yapmaktaki amaçlardan biri Türkiye’yi özellikle Körfez bölgesine rakip olacak bir küresel bir aktarma merkezine (global hub) dönüştürmektir. Günümüzde Atatürk havalimanında yaklaşık 10 milyon transit yolcu taşınmıştır. Yeni havalimanı ile hedeflenen özellikle Avrupa, Afrika ve Asya’ya giden uluslararası transit yolcuları çekmektir. THY’nın 2008 yılında gerçekleştirdiği Star Alliance üyeliği ile özellikle United Airlines ve Lufthansa’dan gelen yolcu trafiği desteği görmüştür, bu da THY’nın son beş yılda yolcu sayısını arttırmış ve piyasada güven kazandırmıştır. Star Alliance üyeliği İstanbul’u küresel aktarma merkezi yapmada mutlaka destek olacaktır. Ayrıca İstanbul’un tarih ve turizm</w:t>
      </w:r>
      <w:r w:rsidRPr="0056655F">
        <w:t xml:space="preserve"> </w:t>
      </w:r>
      <w:r w:rsidRPr="00CA03B2">
        <w:rPr>
          <w:rFonts w:ascii="Arial" w:hAnsi="Arial" w:cs="Arial"/>
          <w:sz w:val="20"/>
          <w:szCs w:val="20"/>
        </w:rPr>
        <w:t>potansiyeli havalimanını Körfez havalimanlarına kıyasla daha çekici bir indi-bindi merkezi (stopover hub) yapabilir.</w:t>
      </w:r>
    </w:p>
    <w:p w:rsidR="009C0008" w:rsidRPr="00CA03B2" w:rsidRDefault="009C0008" w:rsidP="009C0008">
      <w:pPr>
        <w:pStyle w:val="Balk2"/>
        <w:rPr>
          <w:rFonts w:cs="Times New Roman"/>
          <w:sz w:val="22"/>
          <w:szCs w:val="22"/>
        </w:rPr>
      </w:pPr>
      <w:r w:rsidRPr="00CA03B2">
        <w:rPr>
          <w:sz w:val="22"/>
          <w:szCs w:val="22"/>
        </w:rPr>
        <w:lastRenderedPageBreak/>
        <w:t>Gelir açısından karşılaştırma</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Havalimanlarının hizmetleri havacılık ve ticari olmak üzere ikiye ayrılır. Havacılık hizmetleri (yolcu ve yük taşıma) havalimanlarının temel misyonu olmasına rağmen, günümüzde havalimanları ticari hizmetlerden (otoparklardan, restoranlardan, mağazalardan ve benzeri ticari alanlardan) önemli miktarda gelir elde etmektedirler. Dünyadaki büyük aktarma merkezi (hub) olan havalimanlarına bakıldığında ticari hizmetlerden sağlanan gelirin toplam gelirin ortalama yüzde 40’lık bir dilimini oluşturduğunu görüyoruz.</w:t>
      </w:r>
      <w:r w:rsidRPr="00CA03B2">
        <w:rPr>
          <w:rStyle w:val="DipnotBavurusu"/>
          <w:rFonts w:ascii="Arial" w:hAnsi="Arial" w:cs="Arial"/>
          <w:sz w:val="20"/>
          <w:szCs w:val="20"/>
        </w:rPr>
        <w:footnoteReference w:id="9"/>
      </w:r>
      <w:r w:rsidRPr="00CA03B2">
        <w:rPr>
          <w:rFonts w:ascii="Arial" w:hAnsi="Arial" w:cs="Arial"/>
          <w:sz w:val="20"/>
          <w:szCs w:val="20"/>
        </w:rPr>
        <w:t xml:space="preserve"> Atlanta havalimanı 2011 yılında 411 milyon Amerikan doları işletme geliri elde etmiştir ve bunun sadece yüzde 37’si olan yaklaşık 153,4 milyon Amerikan dolarını havacılık hizmetlerinden sağlamıştır. Kalan yüzde 63, yaklaşık 257,7 milyon Amerikan doları, gibi büyük bir kısmını ticari hizmetlerden toplamıştır (Bakınız </w:t>
      </w:r>
      <w:fldSimple w:instr=" REF _Ref360051210 \h  \* MERGEFORMAT ">
        <w:r w:rsidRPr="00CA03B2">
          <w:rPr>
            <w:rFonts w:ascii="Arial" w:hAnsi="Arial" w:cs="Arial"/>
            <w:sz w:val="20"/>
            <w:szCs w:val="20"/>
          </w:rPr>
          <w:t xml:space="preserve">Tablo </w:t>
        </w:r>
        <w:r w:rsidRPr="00CA03B2">
          <w:rPr>
            <w:rFonts w:ascii="Arial" w:hAnsi="Arial" w:cs="Arial"/>
            <w:noProof/>
            <w:sz w:val="20"/>
            <w:szCs w:val="20"/>
          </w:rPr>
          <w:t>2</w:t>
        </w:r>
      </w:fldSimple>
      <w:r w:rsidRPr="00CA03B2">
        <w:rPr>
          <w:rFonts w:ascii="Arial" w:hAnsi="Arial" w:cs="Arial"/>
          <w:sz w:val="20"/>
          <w:szCs w:val="20"/>
        </w:rPr>
        <w:t>)</w:t>
      </w:r>
      <w:bookmarkStart w:id="4" w:name="_Ref358624978"/>
      <w:r w:rsidRPr="00CA03B2">
        <w:rPr>
          <w:rFonts w:ascii="Arial" w:hAnsi="Arial" w:cs="Arial"/>
          <w:sz w:val="20"/>
          <w:szCs w:val="20"/>
        </w:rPr>
        <w:t>.</w:t>
      </w:r>
    </w:p>
    <w:p w:rsidR="009C0008" w:rsidRPr="00CA03B2" w:rsidRDefault="009C0008" w:rsidP="009C0008">
      <w:pPr>
        <w:pStyle w:val="ResimYazs"/>
        <w:keepNext/>
        <w:spacing w:before="100" w:beforeAutospacing="1" w:after="100" w:afterAutospacing="1"/>
        <w:jc w:val="both"/>
        <w:rPr>
          <w:rFonts w:ascii="Arial" w:hAnsi="Arial" w:cs="Arial"/>
        </w:rPr>
      </w:pPr>
      <w:bookmarkStart w:id="5" w:name="_Ref360051210"/>
      <w:r w:rsidRPr="00CA03B2">
        <w:rPr>
          <w:rFonts w:ascii="Arial" w:hAnsi="Arial" w:cs="Arial"/>
        </w:rPr>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2</w:t>
      </w:r>
      <w:r w:rsidRPr="00CA03B2">
        <w:rPr>
          <w:rFonts w:ascii="Arial" w:hAnsi="Arial" w:cs="Arial"/>
        </w:rPr>
        <w:fldChar w:fldCharType="end"/>
      </w:r>
      <w:bookmarkEnd w:id="4"/>
      <w:bookmarkEnd w:id="5"/>
      <w:r w:rsidRPr="00CA03B2">
        <w:rPr>
          <w:rFonts w:ascii="Arial" w:hAnsi="Arial" w:cs="Arial"/>
        </w:rPr>
        <w:t xml:space="preserve"> Atlanta havalimanı için gelir ve yolcu sayısı (2011)</w:t>
      </w:r>
    </w:p>
    <w:tbl>
      <w:tblPr>
        <w:tblW w:w="6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1"/>
        <w:gridCol w:w="1051"/>
        <w:gridCol w:w="1996"/>
      </w:tblGrid>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b/>
                <w:bCs/>
                <w:color w:val="000000"/>
                <w:sz w:val="18"/>
                <w:szCs w:val="18"/>
                <w:lang w:eastAsia="en-GB"/>
              </w:rPr>
            </w:pPr>
            <w:r w:rsidRPr="004C50BA">
              <w:rPr>
                <w:rFonts w:ascii="Arial" w:hAnsi="Arial" w:cs="Arial"/>
                <w:b/>
                <w:bCs/>
                <w:color w:val="000000"/>
                <w:sz w:val="18"/>
                <w:szCs w:val="18"/>
                <w:lang w:eastAsia="en-GB"/>
              </w:rPr>
              <w:t>Gelir (milyon Amerikan doları)</w:t>
            </w:r>
          </w:p>
        </w:tc>
        <w:tc>
          <w:tcPr>
            <w:tcW w:w="1051" w:type="dxa"/>
            <w:noWrap/>
            <w:vAlign w:val="center"/>
          </w:tcPr>
          <w:p w:rsidR="009C0008" w:rsidRPr="004C50BA" w:rsidRDefault="009C0008" w:rsidP="00FF1A86">
            <w:pPr>
              <w:jc w:val="center"/>
              <w:rPr>
                <w:rFonts w:ascii="Arial" w:hAnsi="Arial" w:cs="Arial"/>
                <w:b/>
                <w:bCs/>
                <w:color w:val="000000"/>
                <w:sz w:val="18"/>
                <w:szCs w:val="18"/>
                <w:lang w:eastAsia="en-GB"/>
              </w:rPr>
            </w:pPr>
            <w:r w:rsidRPr="004C50BA">
              <w:rPr>
                <w:rFonts w:ascii="Arial" w:hAnsi="Arial" w:cs="Arial"/>
                <w:b/>
                <w:bCs/>
                <w:color w:val="000000"/>
                <w:sz w:val="18"/>
                <w:szCs w:val="18"/>
                <w:lang w:eastAsia="en-GB"/>
              </w:rPr>
              <w:t>ATL</w:t>
            </w:r>
          </w:p>
        </w:tc>
        <w:tc>
          <w:tcPr>
            <w:tcW w:w="1996" w:type="dxa"/>
            <w:vAlign w:val="center"/>
          </w:tcPr>
          <w:p w:rsidR="009C0008" w:rsidRPr="004C50BA" w:rsidRDefault="009C0008" w:rsidP="00FF1A86">
            <w:pPr>
              <w:jc w:val="center"/>
              <w:rPr>
                <w:rFonts w:ascii="Arial" w:hAnsi="Arial" w:cs="Arial"/>
                <w:b/>
                <w:bCs/>
                <w:color w:val="000000"/>
                <w:sz w:val="18"/>
                <w:szCs w:val="18"/>
                <w:lang w:eastAsia="en-GB"/>
              </w:rPr>
            </w:pPr>
            <w:r w:rsidRPr="004C50BA">
              <w:rPr>
                <w:rFonts w:ascii="Arial" w:hAnsi="Arial" w:cs="Arial"/>
                <w:b/>
                <w:bCs/>
                <w:color w:val="000000"/>
                <w:sz w:val="18"/>
                <w:szCs w:val="18"/>
                <w:lang w:eastAsia="en-GB"/>
              </w:rPr>
              <w:t>Toplama oranı (%)</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Toplam Havacılık İşletme Geliri</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153,4</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37,3</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 xml:space="preserve">    Yolcu Havayolu Gelirleri</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132,7</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32,3</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i/>
                <w:iCs/>
                <w:color w:val="000000"/>
                <w:sz w:val="18"/>
                <w:szCs w:val="18"/>
                <w:lang w:eastAsia="en-GB"/>
              </w:rPr>
            </w:pPr>
            <w:r w:rsidRPr="004C50BA">
              <w:rPr>
                <w:rFonts w:ascii="Arial" w:hAnsi="Arial" w:cs="Arial"/>
                <w:i/>
                <w:iCs/>
                <w:color w:val="000000"/>
                <w:sz w:val="18"/>
                <w:szCs w:val="18"/>
                <w:lang w:eastAsia="en-GB"/>
              </w:rPr>
              <w:t xml:space="preserve">        Yolcu Gelirleri</w:t>
            </w:r>
          </w:p>
        </w:tc>
        <w:tc>
          <w:tcPr>
            <w:tcW w:w="1051" w:type="dxa"/>
            <w:noWrap/>
            <w:vAlign w:val="center"/>
          </w:tcPr>
          <w:p w:rsidR="009C0008" w:rsidRPr="004C50BA" w:rsidRDefault="009C0008" w:rsidP="00FF1A86">
            <w:pPr>
              <w:jc w:val="center"/>
              <w:rPr>
                <w:rFonts w:ascii="Arial" w:hAnsi="Arial" w:cs="Arial"/>
                <w:i/>
                <w:iCs/>
                <w:color w:val="000000"/>
                <w:sz w:val="18"/>
                <w:szCs w:val="18"/>
              </w:rPr>
            </w:pPr>
            <w:r w:rsidRPr="004C50BA">
              <w:rPr>
                <w:rFonts w:ascii="Arial" w:hAnsi="Arial" w:cs="Arial"/>
                <w:i/>
                <w:iCs/>
                <w:color w:val="000000"/>
                <w:sz w:val="18"/>
                <w:szCs w:val="18"/>
                <w:lang w:eastAsia="en-GB"/>
              </w:rPr>
              <w:t>52,6</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12,8</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i/>
                <w:iCs/>
                <w:color w:val="000000"/>
                <w:sz w:val="18"/>
                <w:szCs w:val="18"/>
                <w:lang w:eastAsia="en-GB"/>
              </w:rPr>
            </w:pPr>
            <w:r w:rsidRPr="004C50BA">
              <w:rPr>
                <w:rFonts w:ascii="Arial" w:hAnsi="Arial" w:cs="Arial"/>
                <w:i/>
                <w:iCs/>
                <w:color w:val="000000"/>
                <w:sz w:val="18"/>
                <w:szCs w:val="18"/>
                <w:lang w:eastAsia="en-GB"/>
              </w:rPr>
              <w:t xml:space="preserve">        Konma Geliri</w:t>
            </w:r>
          </w:p>
        </w:tc>
        <w:tc>
          <w:tcPr>
            <w:tcW w:w="1051" w:type="dxa"/>
            <w:noWrap/>
            <w:vAlign w:val="center"/>
          </w:tcPr>
          <w:p w:rsidR="009C0008" w:rsidRPr="004C50BA" w:rsidRDefault="009C0008" w:rsidP="00FF1A86">
            <w:pPr>
              <w:jc w:val="center"/>
              <w:rPr>
                <w:rFonts w:ascii="Arial" w:hAnsi="Arial" w:cs="Arial"/>
                <w:i/>
                <w:iCs/>
                <w:color w:val="000000"/>
                <w:sz w:val="18"/>
                <w:szCs w:val="18"/>
              </w:rPr>
            </w:pPr>
            <w:r w:rsidRPr="004C50BA">
              <w:rPr>
                <w:rFonts w:ascii="Arial" w:hAnsi="Arial" w:cs="Arial"/>
                <w:i/>
                <w:iCs/>
                <w:color w:val="000000"/>
                <w:sz w:val="18"/>
                <w:szCs w:val="18"/>
                <w:lang w:eastAsia="en-GB"/>
              </w:rPr>
              <w:t>67,5</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16,4</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i/>
                <w:iCs/>
                <w:color w:val="000000"/>
                <w:sz w:val="18"/>
                <w:szCs w:val="18"/>
                <w:lang w:eastAsia="en-GB"/>
              </w:rPr>
            </w:pPr>
            <w:r w:rsidRPr="004C50BA">
              <w:rPr>
                <w:rFonts w:ascii="Arial" w:hAnsi="Arial" w:cs="Arial"/>
                <w:i/>
                <w:iCs/>
                <w:color w:val="000000"/>
                <w:sz w:val="18"/>
                <w:szCs w:val="18"/>
                <w:lang w:eastAsia="en-GB"/>
              </w:rPr>
              <w:t xml:space="preserve">        Diğer Yolcu Gelirleri</w:t>
            </w:r>
          </w:p>
        </w:tc>
        <w:tc>
          <w:tcPr>
            <w:tcW w:w="1051" w:type="dxa"/>
            <w:noWrap/>
            <w:vAlign w:val="center"/>
          </w:tcPr>
          <w:p w:rsidR="009C0008" w:rsidRPr="004C50BA" w:rsidRDefault="009C0008" w:rsidP="00FF1A86">
            <w:pPr>
              <w:jc w:val="center"/>
              <w:rPr>
                <w:rFonts w:ascii="Arial" w:hAnsi="Arial" w:cs="Arial"/>
                <w:i/>
                <w:iCs/>
                <w:color w:val="000000"/>
                <w:sz w:val="18"/>
                <w:szCs w:val="18"/>
              </w:rPr>
            </w:pPr>
            <w:r w:rsidRPr="004C50BA">
              <w:rPr>
                <w:rFonts w:ascii="Arial" w:hAnsi="Arial" w:cs="Arial"/>
                <w:i/>
                <w:iCs/>
                <w:color w:val="000000"/>
                <w:sz w:val="18"/>
                <w:szCs w:val="18"/>
                <w:lang w:eastAsia="en-GB"/>
              </w:rPr>
              <w:t>12,6</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 xml:space="preserve">    Yolcu Dışı Gelirler</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20,8</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5,1</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Toplam Ticari İşletme Geliri</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257,7</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62,7</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 xml:space="preserve">    Yer ve Terminal Dışı Gelir</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14,1</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3,4</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 xml:space="preserve">    Terminal Geliri</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106,8</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26,0</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i/>
                <w:iCs/>
                <w:color w:val="000000"/>
                <w:sz w:val="18"/>
                <w:szCs w:val="18"/>
                <w:lang w:eastAsia="en-GB"/>
              </w:rPr>
            </w:pPr>
            <w:r w:rsidRPr="004C50BA">
              <w:rPr>
                <w:rFonts w:ascii="Arial" w:hAnsi="Arial" w:cs="Arial"/>
                <w:i/>
                <w:iCs/>
                <w:color w:val="000000"/>
                <w:sz w:val="18"/>
                <w:szCs w:val="18"/>
                <w:lang w:eastAsia="en-GB"/>
              </w:rPr>
              <w:t xml:space="preserve">         Yiyecek ve İçecek</w:t>
            </w:r>
          </w:p>
        </w:tc>
        <w:tc>
          <w:tcPr>
            <w:tcW w:w="1051" w:type="dxa"/>
            <w:noWrap/>
            <w:vAlign w:val="center"/>
          </w:tcPr>
          <w:p w:rsidR="009C0008" w:rsidRPr="004C50BA" w:rsidRDefault="009C0008" w:rsidP="00FF1A86">
            <w:pPr>
              <w:jc w:val="center"/>
              <w:rPr>
                <w:rFonts w:ascii="Arial" w:hAnsi="Arial" w:cs="Arial"/>
                <w:i/>
                <w:iCs/>
                <w:color w:val="000000"/>
                <w:sz w:val="18"/>
                <w:szCs w:val="18"/>
              </w:rPr>
            </w:pPr>
            <w:r w:rsidRPr="004C50BA">
              <w:rPr>
                <w:rFonts w:ascii="Arial" w:hAnsi="Arial" w:cs="Arial"/>
                <w:i/>
                <w:iCs/>
                <w:color w:val="000000"/>
                <w:sz w:val="18"/>
                <w:szCs w:val="18"/>
                <w:lang w:eastAsia="en-GB"/>
              </w:rPr>
              <w:t>27,7</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6,7</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i/>
                <w:iCs/>
                <w:color w:val="000000"/>
                <w:sz w:val="18"/>
                <w:szCs w:val="18"/>
                <w:lang w:eastAsia="en-GB"/>
              </w:rPr>
            </w:pPr>
            <w:r w:rsidRPr="004C50BA">
              <w:rPr>
                <w:rFonts w:ascii="Arial" w:hAnsi="Arial" w:cs="Arial"/>
                <w:i/>
                <w:iCs/>
                <w:color w:val="000000"/>
                <w:sz w:val="18"/>
                <w:szCs w:val="18"/>
                <w:lang w:eastAsia="en-GB"/>
              </w:rPr>
              <w:t xml:space="preserve">         Mağaza</w:t>
            </w:r>
          </w:p>
        </w:tc>
        <w:tc>
          <w:tcPr>
            <w:tcW w:w="1051" w:type="dxa"/>
            <w:noWrap/>
            <w:vAlign w:val="center"/>
          </w:tcPr>
          <w:p w:rsidR="009C0008" w:rsidRPr="004C50BA" w:rsidRDefault="009C0008" w:rsidP="00FF1A86">
            <w:pPr>
              <w:jc w:val="center"/>
              <w:rPr>
                <w:rFonts w:ascii="Arial" w:hAnsi="Arial" w:cs="Arial"/>
                <w:i/>
                <w:iCs/>
                <w:color w:val="000000"/>
                <w:sz w:val="18"/>
                <w:szCs w:val="18"/>
              </w:rPr>
            </w:pPr>
            <w:r w:rsidRPr="004C50BA">
              <w:rPr>
                <w:rFonts w:ascii="Arial" w:hAnsi="Arial" w:cs="Arial"/>
                <w:i/>
                <w:iCs/>
                <w:color w:val="000000"/>
                <w:sz w:val="18"/>
                <w:szCs w:val="18"/>
                <w:lang w:eastAsia="en-GB"/>
              </w:rPr>
              <w:t>31,2</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7,6</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i/>
                <w:iCs/>
                <w:color w:val="000000"/>
                <w:sz w:val="18"/>
                <w:szCs w:val="18"/>
                <w:lang w:eastAsia="en-GB"/>
              </w:rPr>
            </w:pPr>
            <w:r w:rsidRPr="004C50BA">
              <w:rPr>
                <w:rFonts w:ascii="Arial" w:hAnsi="Arial" w:cs="Arial"/>
                <w:i/>
                <w:iCs/>
                <w:color w:val="000000"/>
                <w:sz w:val="18"/>
                <w:szCs w:val="18"/>
                <w:lang w:eastAsia="en-GB"/>
              </w:rPr>
              <w:t xml:space="preserve">        Diğer Terminal Gelirleri</w:t>
            </w:r>
          </w:p>
        </w:tc>
        <w:tc>
          <w:tcPr>
            <w:tcW w:w="1051" w:type="dxa"/>
            <w:noWrap/>
            <w:vAlign w:val="center"/>
          </w:tcPr>
          <w:p w:rsidR="009C0008" w:rsidRPr="004C50BA" w:rsidRDefault="009C0008" w:rsidP="00FF1A86">
            <w:pPr>
              <w:jc w:val="center"/>
              <w:rPr>
                <w:rFonts w:ascii="Arial" w:hAnsi="Arial" w:cs="Arial"/>
                <w:i/>
                <w:iCs/>
                <w:color w:val="000000"/>
                <w:sz w:val="18"/>
                <w:szCs w:val="18"/>
              </w:rPr>
            </w:pPr>
            <w:r w:rsidRPr="004C50BA">
              <w:rPr>
                <w:rFonts w:ascii="Arial" w:hAnsi="Arial" w:cs="Arial"/>
                <w:i/>
                <w:iCs/>
                <w:color w:val="000000"/>
                <w:sz w:val="18"/>
                <w:szCs w:val="18"/>
                <w:lang w:eastAsia="en-GB"/>
              </w:rPr>
              <w:t>16,7</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 xml:space="preserve">    Otopark Geliri</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116,0</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28,2</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 xml:space="preserve">    Diğer Gelirler</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20,9</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5,1</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Toplam İşletme Geliri</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411,2</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100,0</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b/>
                <w:bCs/>
                <w:color w:val="000000"/>
                <w:sz w:val="18"/>
                <w:szCs w:val="18"/>
                <w:lang w:eastAsia="en-GB"/>
              </w:rPr>
            </w:pPr>
            <w:r w:rsidRPr="004C50BA">
              <w:rPr>
                <w:rFonts w:ascii="Arial" w:hAnsi="Arial" w:cs="Arial"/>
                <w:b/>
                <w:bCs/>
                <w:color w:val="000000"/>
                <w:sz w:val="18"/>
                <w:szCs w:val="18"/>
                <w:lang w:eastAsia="en-GB"/>
              </w:rPr>
              <w:t>Yolcu Sayısı (milyon)</w:t>
            </w:r>
          </w:p>
        </w:tc>
        <w:tc>
          <w:tcPr>
            <w:tcW w:w="1051" w:type="dxa"/>
            <w:noWrap/>
            <w:vAlign w:val="center"/>
          </w:tcPr>
          <w:p w:rsidR="009C0008" w:rsidRPr="004C50BA" w:rsidRDefault="009C0008" w:rsidP="00FF1A86">
            <w:pPr>
              <w:jc w:val="center"/>
              <w:rPr>
                <w:rFonts w:ascii="Arial" w:hAnsi="Arial" w:cs="Arial"/>
                <w:b/>
                <w:bCs/>
                <w:color w:val="000000"/>
                <w:sz w:val="18"/>
                <w:szCs w:val="18"/>
                <w:lang w:eastAsia="en-GB"/>
              </w:rPr>
            </w:pPr>
            <w:r w:rsidRPr="004C50BA">
              <w:rPr>
                <w:rFonts w:ascii="Arial" w:hAnsi="Arial" w:cs="Arial"/>
                <w:b/>
                <w:bCs/>
                <w:color w:val="000000"/>
                <w:sz w:val="18"/>
                <w:szCs w:val="18"/>
                <w:lang w:eastAsia="en-GB"/>
              </w:rPr>
              <w:t>ATL</w:t>
            </w:r>
          </w:p>
        </w:tc>
        <w:tc>
          <w:tcPr>
            <w:tcW w:w="1996" w:type="dxa"/>
            <w:vAlign w:val="center"/>
          </w:tcPr>
          <w:p w:rsidR="009C0008" w:rsidRPr="004C50BA" w:rsidRDefault="009C0008" w:rsidP="00FF1A86">
            <w:pPr>
              <w:jc w:val="center"/>
              <w:rPr>
                <w:rFonts w:ascii="Arial" w:hAnsi="Arial" w:cs="Arial"/>
                <w:b/>
                <w:bCs/>
                <w:color w:val="000000"/>
                <w:sz w:val="18"/>
                <w:szCs w:val="18"/>
              </w:rPr>
            </w:pPr>
            <w:r w:rsidRPr="004C50BA">
              <w:rPr>
                <w:rFonts w:ascii="Arial" w:hAnsi="Arial" w:cs="Arial"/>
                <w:b/>
                <w:bCs/>
                <w:color w:val="000000"/>
                <w:sz w:val="18"/>
                <w:szCs w:val="18"/>
              </w:rPr>
              <w:t>Toplama oranı (%)</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Toplam Yolcu Sayısı</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92,4</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100,0</w:t>
            </w:r>
          </w:p>
        </w:tc>
      </w:tr>
      <w:tr w:rsidR="009C0008" w:rsidRPr="004C50BA" w:rsidTr="00F17517">
        <w:trPr>
          <w:trHeight w:hRule="exact" w:val="284"/>
        </w:trPr>
        <w:tc>
          <w:tcPr>
            <w:tcW w:w="3481" w:type="dxa"/>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 xml:space="preserve">    Giden Yolcu Sayısı</w:t>
            </w:r>
          </w:p>
        </w:tc>
        <w:tc>
          <w:tcPr>
            <w:tcW w:w="105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lang w:eastAsia="en-GB"/>
              </w:rPr>
              <w:t>44,4</w:t>
            </w:r>
          </w:p>
        </w:tc>
        <w:tc>
          <w:tcPr>
            <w:tcW w:w="19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48,1</w:t>
            </w:r>
          </w:p>
        </w:tc>
      </w:tr>
    </w:tbl>
    <w:p w:rsidR="009C0008" w:rsidRPr="002C6FB5" w:rsidRDefault="009C0008" w:rsidP="009C0008">
      <w:pPr>
        <w:jc w:val="both"/>
        <w:rPr>
          <w:rFonts w:ascii="Arial" w:hAnsi="Arial" w:cs="Arial"/>
          <w:sz w:val="16"/>
          <w:szCs w:val="16"/>
        </w:rPr>
      </w:pPr>
      <w:r w:rsidRPr="0056655F">
        <w:rPr>
          <w:sz w:val="20"/>
          <w:szCs w:val="20"/>
        </w:rPr>
        <w:t xml:space="preserve"> </w:t>
      </w:r>
      <w:r w:rsidRPr="002C6FB5">
        <w:rPr>
          <w:rFonts w:ascii="Arial" w:hAnsi="Arial" w:cs="Arial"/>
          <w:sz w:val="16"/>
          <w:szCs w:val="16"/>
        </w:rPr>
        <w:t xml:space="preserve">Kaynak: FAA 2011 verileri ve yazarın kendi hesaplamaları </w:t>
      </w:r>
    </w:p>
    <w:p w:rsidR="009C0008" w:rsidRPr="00CA03B2" w:rsidRDefault="009C0008" w:rsidP="009C0008">
      <w:pPr>
        <w:spacing w:before="100" w:beforeAutospacing="1" w:after="100" w:afterAutospacing="1"/>
        <w:ind w:firstLine="709"/>
        <w:jc w:val="both"/>
        <w:rPr>
          <w:rFonts w:ascii="Arial" w:hAnsi="Arial" w:cs="Arial"/>
          <w:sz w:val="20"/>
          <w:szCs w:val="20"/>
        </w:rPr>
      </w:pPr>
      <w:fldSimple w:instr=" REF _Ref360051210 \h  \* MERGEFORMAT ">
        <w:r w:rsidRPr="00CA03B2">
          <w:rPr>
            <w:rFonts w:ascii="Arial" w:hAnsi="Arial" w:cs="Arial"/>
            <w:sz w:val="20"/>
            <w:szCs w:val="20"/>
          </w:rPr>
          <w:t xml:space="preserve">Tablo </w:t>
        </w:r>
        <w:r w:rsidRPr="00CA03B2">
          <w:rPr>
            <w:rFonts w:ascii="Arial" w:hAnsi="Arial" w:cs="Arial"/>
            <w:noProof/>
            <w:sz w:val="20"/>
            <w:szCs w:val="20"/>
          </w:rPr>
          <w:t>2</w:t>
        </w:r>
      </w:fldSimple>
      <w:r w:rsidRPr="00CA03B2">
        <w:rPr>
          <w:rFonts w:ascii="Arial" w:hAnsi="Arial" w:cs="Arial"/>
          <w:sz w:val="20"/>
          <w:szCs w:val="20"/>
        </w:rPr>
        <w:t xml:space="preserve">’deki gelir kalemlerini detaylı incelersek, toplam havacılık hizmetleri iki ana başlık altında toplanmaktadır: Yolcu havayolu ve yolcu dışı gelirler. Yolcu havayolu gelirleri altında yolcu gelirleri (havaalanı tarafından yolcu başı alınan ücret), konma geliri (yolcu taşıyan havayolu şirketlerinden her inen uçağın ağırlığına göre alınan ücret) ve diğer yolcu gelirleri (havaalanı güvenlik ücretleri ve benzeri) bulunmaktadır. Yolcu dışı gelirleri ise kargo uçakları konma ücretleri, askeri uçaklar konma ücretleri, yakıt vergileri, hangar ücretleri, bakım ücretleri gibi kalemler oluşturmaktadır.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Diğer taraftan toplam ticari işletme gelirleri ise dört ana başlık altında toplanmaktadır: Yer ve terminal dışı, terminal, otopark ve diğer gelirler. Yer ve terminal dışı gelirleri havalimanının ticari işletme alanlarından (havalimanı alanı, bina ve depo gibi yerlerden) gelen kira bedelleri oluşturmaktadır. Terminal gelirlerini yiyecek-içecek satışları yapılan yerlerden gelen gelirler, duty-free ve perakende satış mağazaları ve internet, telekomünikasyon, reklam, küçük stantlar olarak tanımlanan diğer gelirler oluşturmaktadır. Otopark gelirleri ise park yeri ve yer ulaşımı gelirlerinin toplamıdır.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Atlanta 411 milyon Amerikan doları olan toplam işletme gelirinin yüzde 32’sini (132 milyon Amerikan doları) yolcu havayollarından, yüzde 5’ini (yaklaşık 20 milyon Amerikan dolarını) yolcu dışı </w:t>
      </w:r>
      <w:r w:rsidRPr="00CA03B2">
        <w:rPr>
          <w:rFonts w:ascii="Arial" w:hAnsi="Arial" w:cs="Arial"/>
          <w:sz w:val="20"/>
          <w:szCs w:val="20"/>
        </w:rPr>
        <w:lastRenderedPageBreak/>
        <w:t>hizmetlerden ve yüzde 63’ünü ticari hizmetlerden sağlamaktadır. Limak Yönetim Kurulu Başkanı Nihat Özdemir gelir beklentilerinden bahsederken yolcu gelirlerinin toplam gelirin yaklaşık üçte birini oluşturacağını düşündüklerini belirtmiştir.</w:t>
      </w:r>
      <w:r w:rsidRPr="00CA03B2">
        <w:rPr>
          <w:rStyle w:val="DipnotBavurusu"/>
          <w:rFonts w:ascii="Arial" w:hAnsi="Arial" w:cs="Arial"/>
          <w:sz w:val="20"/>
          <w:szCs w:val="20"/>
        </w:rPr>
        <w:footnoteReference w:id="10"/>
      </w:r>
      <w:r w:rsidRPr="00CA03B2">
        <w:rPr>
          <w:rFonts w:ascii="Arial" w:hAnsi="Arial" w:cs="Arial"/>
          <w:sz w:val="20"/>
          <w:szCs w:val="20"/>
        </w:rPr>
        <w:t xml:space="preserve"> Bu da bize gösteriyor ki, ihaleyi alan şirketler Atlanta havalimanının sahip olduğu gibi bir gelir tablosu hedeflemekteler. </w:t>
      </w:r>
    </w:p>
    <w:p w:rsidR="009C0008" w:rsidRPr="00CA03B2" w:rsidRDefault="009C0008" w:rsidP="00CA03B2">
      <w:pPr>
        <w:pStyle w:val="Balk1"/>
        <w:jc w:val="left"/>
        <w:rPr>
          <w:sz w:val="22"/>
          <w:szCs w:val="22"/>
        </w:rPr>
      </w:pPr>
      <w:r w:rsidRPr="00CA03B2">
        <w:rPr>
          <w:sz w:val="22"/>
          <w:szCs w:val="22"/>
        </w:rPr>
        <w:t>Yolcu sayısı hedefleri gerçekçi mi?</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Günümüze kadar Türkiye hava ulaşımında birçok düzenlemeyle önemli gelişmeler kaydetmiş ve hava trafiğinin son 10 yılda ortalama yüzde 16 gibi bir büyüme gösterdiğini belirtmiştik. İstanbul’un yeni havalimanı belirtildiği gibi 2019 yılı itibariyle faaliyete geçmesi öngörülmektedir. Bugünden 2019’a hava trafiğini ve yolcu sayısını tahmin etmeye çalıştık. Bu amaçla yolcu sayısının başlıca belirleyenleri olan nüfus artışı, büyüme ve bilet fiyatlarının etkilerini regresyon modeli ile belirlemeye çalışıyoruz.</w:t>
      </w:r>
      <w:r w:rsidRPr="00CA03B2">
        <w:rPr>
          <w:rStyle w:val="DipnotBavurusu"/>
          <w:rFonts w:ascii="Arial" w:hAnsi="Arial" w:cs="Arial"/>
          <w:sz w:val="20"/>
          <w:szCs w:val="20"/>
        </w:rPr>
        <w:footnoteReference w:id="11"/>
      </w:r>
      <w:r w:rsidRPr="00CA03B2">
        <w:rPr>
          <w:rFonts w:ascii="Arial" w:hAnsi="Arial" w:cs="Arial"/>
          <w:sz w:val="20"/>
          <w:szCs w:val="20"/>
        </w:rPr>
        <w:t xml:space="preserve"> Ardından regresyon sonuçlarını kullanarak iki farklı senaryo altında 2019 yılına kadar yolcu sayısını tahmin ediyoruz.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Senaryo 1’de yıllık ortalama ekonomideki reel büyüme oranı Ekonomik İşbirliği ve Kalkınma Örgütü’nün (OECD) orta ve uzun vade tahminlerine dayanarak 2013-2019 döneminde yüzde 5, 2020-2030 döneminde yüzde 4 ve 2030-2043 döneminde yüzde 2 alınmıştır. Bu oran aynı zamanda Orta Vadeli Programın da benimsediği bir orandır ve Türkiye ekonomisinin potansiyel büyüme hızını temsil ettiği konusunda iktisatçılar arasında geniş bir görüş birliği vardır. Ancak potansiyel büyüme hızının gerçekleşmesi, Türkiye ekonomisinin karşı karşıya olduğu düşük tasarruf, rekabet gücü zafiyeti gibi temel yapısal tahditler aşıldığı ölçüde mümkün olabilir. Tahditlerin aşılması da yapısal reformlara hız verilmesine bağlıdır. Senaryo 2’deyse büyümeyi fiilen kısıtlayan tahditlerin yeterince aşılamayacağı varsayımı altında büyüme oranının 2013-2019 döneminde yüzde 4’de kalacağı kabul edilmiştir. Büyüme oranı sonraki dönemlerde sırasıyla yüzde 3 ve yüzde 1,5 olarak alınmıştır. Yolcu sayısını açıkladığımız diğer iki değişken (nüfus ve bilet fiyatı) için gruplandırdığımız dönemlerdeki artış oranları belirledik. Nüfus için TÜİK nüfus projeksiyonlarını kullandık. TÜİK’nun kullandığı ortalama nüfus artış oranları 2013-2019 dönemi için yüzde 1,02, 2020-2030 dönemi için yüzde 0,74 ve 2030-2043 dönemi için yüzde 0,36’dir. Bilet fiyatı için TÜİK TÜFE sepeti içerisinde yer alan uçak bileti fiyatının değişim eğrisine bakılarak bilet fiyatında artış oranlarını 2012-2019 arası yüzde 3, 2019-2030 arası yüzde 2 ve 2031-2043 arası yüzde 1,5 olarak aldık.</w:t>
      </w:r>
      <w:bookmarkStart w:id="6" w:name="_Ref358562115"/>
      <w:r w:rsidRPr="00CA03B2">
        <w:rPr>
          <w:rFonts w:ascii="Arial" w:hAnsi="Arial" w:cs="Arial"/>
          <w:sz w:val="20"/>
          <w:szCs w:val="20"/>
        </w:rPr>
        <w:t xml:space="preserve">  Senaryo 1 ve 2 birbirinden reel büyüme için yapılan varsayımlar açısından farklılık göstermektedir. </w:t>
      </w:r>
      <w:fldSimple w:instr=" REF _Ref360026670 \h  \* MERGEFORMAT ">
        <w:r w:rsidRPr="00CA03B2">
          <w:rPr>
            <w:rFonts w:ascii="Arial" w:hAnsi="Arial" w:cs="Arial"/>
            <w:sz w:val="20"/>
            <w:szCs w:val="20"/>
          </w:rPr>
          <w:t xml:space="preserve">Tablo </w:t>
        </w:r>
        <w:r w:rsidRPr="00CA03B2">
          <w:rPr>
            <w:rFonts w:ascii="Arial" w:hAnsi="Arial" w:cs="Arial"/>
            <w:noProof/>
            <w:sz w:val="20"/>
            <w:szCs w:val="20"/>
          </w:rPr>
          <w:t>3</w:t>
        </w:r>
      </w:fldSimple>
      <w:r w:rsidRPr="00CA03B2">
        <w:rPr>
          <w:rFonts w:ascii="Arial" w:hAnsi="Arial" w:cs="Arial"/>
          <w:sz w:val="20"/>
          <w:szCs w:val="20"/>
        </w:rPr>
        <w:t>’de her iki senaryo için yapılan varsayımlar özetlenmiştir.</w:t>
      </w:r>
    </w:p>
    <w:p w:rsidR="009C0008" w:rsidRPr="00CA03B2" w:rsidRDefault="009C0008" w:rsidP="009C0008">
      <w:pPr>
        <w:pStyle w:val="ResimYazs"/>
        <w:keepNext/>
        <w:spacing w:before="100" w:beforeAutospacing="1" w:after="100" w:afterAutospacing="1"/>
        <w:jc w:val="both"/>
        <w:rPr>
          <w:rFonts w:ascii="Arial" w:hAnsi="Arial" w:cs="Arial"/>
        </w:rPr>
      </w:pPr>
      <w:bookmarkStart w:id="7" w:name="_Ref360026670"/>
      <w:r w:rsidRPr="00CA03B2">
        <w:rPr>
          <w:rFonts w:ascii="Arial" w:hAnsi="Arial" w:cs="Arial"/>
        </w:rPr>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3</w:t>
      </w:r>
      <w:r w:rsidRPr="00CA03B2">
        <w:rPr>
          <w:rFonts w:ascii="Arial" w:hAnsi="Arial" w:cs="Arial"/>
        </w:rPr>
        <w:fldChar w:fldCharType="end"/>
      </w:r>
      <w:bookmarkEnd w:id="7"/>
      <w:r w:rsidRPr="00CA03B2">
        <w:rPr>
          <w:rFonts w:ascii="Arial" w:hAnsi="Arial" w:cs="Arial"/>
        </w:rPr>
        <w:t xml:space="preserve"> Senaryo 1 ve 2 için reel büyüme, nüfus artış oranı ve bilet fiyatı artış oranı</w:t>
      </w:r>
    </w:p>
    <w:tbl>
      <w:tblPr>
        <w:tblStyle w:val="TabloKlavuzu"/>
        <w:tblW w:w="8700" w:type="dxa"/>
        <w:tblLook w:val="04A0"/>
      </w:tblPr>
      <w:tblGrid>
        <w:gridCol w:w="1285"/>
        <w:gridCol w:w="1079"/>
        <w:gridCol w:w="1366"/>
        <w:gridCol w:w="1271"/>
        <w:gridCol w:w="1062"/>
        <w:gridCol w:w="1366"/>
        <w:gridCol w:w="1271"/>
      </w:tblGrid>
      <w:tr w:rsidR="009C0008" w:rsidRPr="004C50BA" w:rsidTr="00F17517">
        <w:trPr>
          <w:trHeight w:hRule="exact" w:val="284"/>
        </w:trPr>
        <w:tc>
          <w:tcPr>
            <w:tcW w:w="1285" w:type="dxa"/>
            <w:vAlign w:val="center"/>
          </w:tcPr>
          <w:p w:rsidR="009C0008" w:rsidRPr="004C50BA" w:rsidRDefault="009C0008" w:rsidP="00FF1A86">
            <w:pPr>
              <w:spacing w:before="100" w:beforeAutospacing="1" w:after="100" w:afterAutospacing="1"/>
              <w:jc w:val="both"/>
              <w:rPr>
                <w:rFonts w:ascii="Arial" w:hAnsi="Arial" w:cs="Arial"/>
                <w:sz w:val="18"/>
                <w:szCs w:val="18"/>
              </w:rPr>
            </w:pPr>
          </w:p>
        </w:tc>
        <w:tc>
          <w:tcPr>
            <w:tcW w:w="3716" w:type="dxa"/>
            <w:gridSpan w:val="3"/>
            <w:vAlign w:val="center"/>
          </w:tcPr>
          <w:p w:rsidR="009C0008" w:rsidRPr="004C50BA" w:rsidRDefault="009C0008" w:rsidP="00FF1A86">
            <w:pPr>
              <w:spacing w:before="100" w:beforeAutospacing="1" w:after="100" w:afterAutospacing="1"/>
              <w:jc w:val="center"/>
              <w:rPr>
                <w:rFonts w:ascii="Arial" w:hAnsi="Arial" w:cs="Arial"/>
                <w:b/>
                <w:sz w:val="18"/>
                <w:szCs w:val="18"/>
              </w:rPr>
            </w:pPr>
            <w:r w:rsidRPr="004C50BA">
              <w:rPr>
                <w:rFonts w:ascii="Arial" w:hAnsi="Arial" w:cs="Arial"/>
                <w:b/>
                <w:sz w:val="18"/>
                <w:szCs w:val="18"/>
              </w:rPr>
              <w:t>Senaryo 1</w:t>
            </w:r>
          </w:p>
        </w:tc>
        <w:tc>
          <w:tcPr>
            <w:tcW w:w="3699" w:type="dxa"/>
            <w:gridSpan w:val="3"/>
            <w:vAlign w:val="center"/>
          </w:tcPr>
          <w:p w:rsidR="009C0008" w:rsidRPr="004C50BA" w:rsidRDefault="009C0008" w:rsidP="00FF1A86">
            <w:pPr>
              <w:spacing w:before="100" w:beforeAutospacing="1" w:after="100" w:afterAutospacing="1"/>
              <w:jc w:val="center"/>
              <w:rPr>
                <w:rFonts w:ascii="Arial" w:hAnsi="Arial" w:cs="Arial"/>
                <w:b/>
                <w:sz w:val="18"/>
                <w:szCs w:val="18"/>
              </w:rPr>
            </w:pPr>
            <w:r w:rsidRPr="004C50BA">
              <w:rPr>
                <w:rFonts w:ascii="Arial" w:hAnsi="Arial" w:cs="Arial"/>
                <w:b/>
                <w:sz w:val="18"/>
                <w:szCs w:val="18"/>
              </w:rPr>
              <w:t>Senaryo 2</w:t>
            </w:r>
          </w:p>
        </w:tc>
      </w:tr>
      <w:tr w:rsidR="009C0008" w:rsidRPr="004C50BA" w:rsidTr="00F17517">
        <w:trPr>
          <w:trHeight w:hRule="exact" w:val="567"/>
        </w:trPr>
        <w:tc>
          <w:tcPr>
            <w:tcW w:w="1285" w:type="dxa"/>
            <w:vAlign w:val="center"/>
          </w:tcPr>
          <w:p w:rsidR="009C0008" w:rsidRPr="004C50BA" w:rsidRDefault="009C0008" w:rsidP="00FF1A86">
            <w:pPr>
              <w:jc w:val="both"/>
              <w:rPr>
                <w:rFonts w:ascii="Arial" w:hAnsi="Arial" w:cs="Arial"/>
                <w:b/>
                <w:sz w:val="18"/>
                <w:szCs w:val="18"/>
              </w:rPr>
            </w:pPr>
            <w:r w:rsidRPr="004C50BA">
              <w:rPr>
                <w:rFonts w:ascii="Arial" w:hAnsi="Arial" w:cs="Arial"/>
                <w:b/>
                <w:sz w:val="18"/>
                <w:szCs w:val="18"/>
              </w:rPr>
              <w:t>Dönem</w:t>
            </w:r>
          </w:p>
        </w:tc>
        <w:tc>
          <w:tcPr>
            <w:tcW w:w="1079" w:type="dxa"/>
            <w:vAlign w:val="center"/>
          </w:tcPr>
          <w:p w:rsidR="009C0008" w:rsidRPr="004C50BA" w:rsidRDefault="009C0008" w:rsidP="00FF1A86">
            <w:pPr>
              <w:jc w:val="center"/>
              <w:rPr>
                <w:rFonts w:ascii="Arial" w:hAnsi="Arial" w:cs="Arial"/>
                <w:b/>
                <w:sz w:val="18"/>
                <w:szCs w:val="18"/>
              </w:rPr>
            </w:pPr>
            <w:r w:rsidRPr="004C50BA">
              <w:rPr>
                <w:rFonts w:ascii="Arial" w:hAnsi="Arial" w:cs="Arial"/>
                <w:b/>
                <w:sz w:val="18"/>
                <w:szCs w:val="18"/>
              </w:rPr>
              <w:t>Reel</w:t>
            </w:r>
          </w:p>
          <w:p w:rsidR="009C0008" w:rsidRPr="004C50BA" w:rsidRDefault="009C0008" w:rsidP="00FF1A86">
            <w:pPr>
              <w:jc w:val="center"/>
              <w:rPr>
                <w:rFonts w:ascii="Arial" w:hAnsi="Arial" w:cs="Arial"/>
                <w:b/>
                <w:sz w:val="18"/>
                <w:szCs w:val="18"/>
              </w:rPr>
            </w:pPr>
            <w:r w:rsidRPr="004C50BA">
              <w:rPr>
                <w:rFonts w:ascii="Arial" w:hAnsi="Arial" w:cs="Arial"/>
                <w:b/>
                <w:sz w:val="18"/>
                <w:szCs w:val="18"/>
              </w:rPr>
              <w:t>Büyüme</w:t>
            </w:r>
          </w:p>
        </w:tc>
        <w:tc>
          <w:tcPr>
            <w:tcW w:w="1366" w:type="dxa"/>
            <w:vAlign w:val="center"/>
          </w:tcPr>
          <w:p w:rsidR="009C0008" w:rsidRPr="004C50BA" w:rsidRDefault="009C0008" w:rsidP="00FF1A86">
            <w:pPr>
              <w:jc w:val="center"/>
              <w:rPr>
                <w:rFonts w:ascii="Arial" w:hAnsi="Arial" w:cs="Arial"/>
                <w:b/>
                <w:sz w:val="18"/>
                <w:szCs w:val="18"/>
              </w:rPr>
            </w:pPr>
            <w:r w:rsidRPr="004C50BA">
              <w:rPr>
                <w:rFonts w:ascii="Arial" w:hAnsi="Arial" w:cs="Arial"/>
                <w:b/>
                <w:sz w:val="18"/>
                <w:szCs w:val="18"/>
              </w:rPr>
              <w:t>Nüfus Artış</w:t>
            </w:r>
          </w:p>
          <w:p w:rsidR="009C0008" w:rsidRPr="004C50BA" w:rsidRDefault="009C0008" w:rsidP="00FF1A86">
            <w:pPr>
              <w:jc w:val="center"/>
              <w:rPr>
                <w:rFonts w:ascii="Arial" w:hAnsi="Arial" w:cs="Arial"/>
                <w:b/>
                <w:sz w:val="18"/>
                <w:szCs w:val="18"/>
              </w:rPr>
            </w:pPr>
            <w:r w:rsidRPr="004C50BA">
              <w:rPr>
                <w:rFonts w:ascii="Arial" w:hAnsi="Arial" w:cs="Arial"/>
                <w:b/>
                <w:sz w:val="18"/>
                <w:szCs w:val="18"/>
              </w:rPr>
              <w:t>Oranı</w:t>
            </w:r>
          </w:p>
        </w:tc>
        <w:tc>
          <w:tcPr>
            <w:tcW w:w="1271" w:type="dxa"/>
            <w:vAlign w:val="center"/>
          </w:tcPr>
          <w:p w:rsidR="009C0008" w:rsidRPr="004C50BA" w:rsidRDefault="009C0008" w:rsidP="00FF1A86">
            <w:pPr>
              <w:jc w:val="center"/>
              <w:rPr>
                <w:rFonts w:ascii="Arial" w:hAnsi="Arial" w:cs="Arial"/>
                <w:b/>
                <w:sz w:val="18"/>
                <w:szCs w:val="18"/>
              </w:rPr>
            </w:pPr>
            <w:r w:rsidRPr="004C50BA">
              <w:rPr>
                <w:rFonts w:ascii="Arial" w:hAnsi="Arial" w:cs="Arial"/>
                <w:b/>
                <w:sz w:val="18"/>
                <w:szCs w:val="18"/>
              </w:rPr>
              <w:t>Fiyat Artış</w:t>
            </w:r>
          </w:p>
          <w:p w:rsidR="009C0008" w:rsidRPr="004C50BA" w:rsidRDefault="009C0008" w:rsidP="00FF1A86">
            <w:pPr>
              <w:jc w:val="center"/>
              <w:rPr>
                <w:rFonts w:ascii="Arial" w:hAnsi="Arial" w:cs="Arial"/>
                <w:b/>
                <w:sz w:val="18"/>
                <w:szCs w:val="18"/>
              </w:rPr>
            </w:pPr>
            <w:r w:rsidRPr="004C50BA">
              <w:rPr>
                <w:rFonts w:ascii="Arial" w:hAnsi="Arial" w:cs="Arial"/>
                <w:b/>
                <w:sz w:val="18"/>
                <w:szCs w:val="18"/>
              </w:rPr>
              <w:t>Oranı</w:t>
            </w:r>
          </w:p>
        </w:tc>
        <w:tc>
          <w:tcPr>
            <w:tcW w:w="1062" w:type="dxa"/>
            <w:vAlign w:val="center"/>
          </w:tcPr>
          <w:p w:rsidR="009C0008" w:rsidRPr="004C50BA" w:rsidRDefault="009C0008" w:rsidP="00FF1A86">
            <w:pPr>
              <w:jc w:val="center"/>
              <w:rPr>
                <w:rFonts w:ascii="Arial" w:hAnsi="Arial" w:cs="Arial"/>
                <w:b/>
                <w:sz w:val="18"/>
                <w:szCs w:val="18"/>
              </w:rPr>
            </w:pPr>
            <w:r w:rsidRPr="004C50BA">
              <w:rPr>
                <w:rFonts w:ascii="Arial" w:hAnsi="Arial" w:cs="Arial"/>
                <w:b/>
                <w:sz w:val="18"/>
                <w:szCs w:val="18"/>
              </w:rPr>
              <w:t>Reel</w:t>
            </w:r>
          </w:p>
          <w:p w:rsidR="009C0008" w:rsidRPr="004C50BA" w:rsidRDefault="009C0008" w:rsidP="00FF1A86">
            <w:pPr>
              <w:jc w:val="center"/>
              <w:rPr>
                <w:rFonts w:ascii="Arial" w:hAnsi="Arial" w:cs="Arial"/>
                <w:b/>
                <w:sz w:val="18"/>
                <w:szCs w:val="18"/>
              </w:rPr>
            </w:pPr>
            <w:r w:rsidRPr="004C50BA">
              <w:rPr>
                <w:rFonts w:ascii="Arial" w:hAnsi="Arial" w:cs="Arial"/>
                <w:b/>
                <w:sz w:val="18"/>
                <w:szCs w:val="18"/>
              </w:rPr>
              <w:t>Büyüme</w:t>
            </w:r>
          </w:p>
        </w:tc>
        <w:tc>
          <w:tcPr>
            <w:tcW w:w="1366" w:type="dxa"/>
            <w:vAlign w:val="center"/>
          </w:tcPr>
          <w:p w:rsidR="009C0008" w:rsidRPr="004C50BA" w:rsidRDefault="009C0008" w:rsidP="00FF1A86">
            <w:pPr>
              <w:jc w:val="center"/>
              <w:rPr>
                <w:rFonts w:ascii="Arial" w:hAnsi="Arial" w:cs="Arial"/>
                <w:b/>
                <w:sz w:val="18"/>
                <w:szCs w:val="18"/>
              </w:rPr>
            </w:pPr>
            <w:r w:rsidRPr="004C50BA">
              <w:rPr>
                <w:rFonts w:ascii="Arial" w:hAnsi="Arial" w:cs="Arial"/>
                <w:b/>
                <w:sz w:val="18"/>
                <w:szCs w:val="18"/>
              </w:rPr>
              <w:t>Nüfus Artış</w:t>
            </w:r>
          </w:p>
          <w:p w:rsidR="009C0008" w:rsidRPr="004C50BA" w:rsidRDefault="009C0008" w:rsidP="00FF1A86">
            <w:pPr>
              <w:jc w:val="center"/>
              <w:rPr>
                <w:rFonts w:ascii="Arial" w:hAnsi="Arial" w:cs="Arial"/>
                <w:b/>
                <w:sz w:val="18"/>
                <w:szCs w:val="18"/>
              </w:rPr>
            </w:pPr>
            <w:r w:rsidRPr="004C50BA">
              <w:rPr>
                <w:rFonts w:ascii="Arial" w:hAnsi="Arial" w:cs="Arial"/>
                <w:b/>
                <w:sz w:val="18"/>
                <w:szCs w:val="18"/>
              </w:rPr>
              <w:t>Oranı</w:t>
            </w:r>
          </w:p>
        </w:tc>
        <w:tc>
          <w:tcPr>
            <w:tcW w:w="1271" w:type="dxa"/>
            <w:vAlign w:val="center"/>
          </w:tcPr>
          <w:p w:rsidR="009C0008" w:rsidRPr="004C50BA" w:rsidRDefault="009C0008" w:rsidP="00FF1A86">
            <w:pPr>
              <w:jc w:val="center"/>
              <w:rPr>
                <w:rFonts w:ascii="Arial" w:hAnsi="Arial" w:cs="Arial"/>
                <w:b/>
                <w:sz w:val="18"/>
                <w:szCs w:val="18"/>
              </w:rPr>
            </w:pPr>
            <w:r w:rsidRPr="004C50BA">
              <w:rPr>
                <w:rFonts w:ascii="Arial" w:hAnsi="Arial" w:cs="Arial"/>
                <w:b/>
                <w:sz w:val="18"/>
                <w:szCs w:val="18"/>
              </w:rPr>
              <w:t>Fiyat Artış</w:t>
            </w:r>
          </w:p>
          <w:p w:rsidR="009C0008" w:rsidRPr="004C50BA" w:rsidRDefault="009C0008" w:rsidP="00FF1A86">
            <w:pPr>
              <w:jc w:val="center"/>
              <w:rPr>
                <w:rFonts w:ascii="Arial" w:hAnsi="Arial" w:cs="Arial"/>
                <w:b/>
                <w:sz w:val="18"/>
                <w:szCs w:val="18"/>
              </w:rPr>
            </w:pPr>
            <w:r w:rsidRPr="004C50BA">
              <w:rPr>
                <w:rFonts w:ascii="Arial" w:hAnsi="Arial" w:cs="Arial"/>
                <w:b/>
                <w:sz w:val="18"/>
                <w:szCs w:val="18"/>
              </w:rPr>
              <w:t>Oranı</w:t>
            </w:r>
          </w:p>
        </w:tc>
      </w:tr>
      <w:tr w:rsidR="009C0008" w:rsidRPr="004C50BA" w:rsidTr="00F17517">
        <w:trPr>
          <w:trHeight w:hRule="exact" w:val="284"/>
        </w:trPr>
        <w:tc>
          <w:tcPr>
            <w:tcW w:w="1285" w:type="dxa"/>
            <w:vAlign w:val="center"/>
          </w:tcPr>
          <w:p w:rsidR="009C0008" w:rsidRPr="00F17517" w:rsidRDefault="009C0008" w:rsidP="00FF1A86">
            <w:pPr>
              <w:spacing w:before="100" w:beforeAutospacing="1" w:after="100" w:afterAutospacing="1"/>
              <w:jc w:val="both"/>
              <w:rPr>
                <w:rFonts w:ascii="Arial" w:hAnsi="Arial" w:cs="Arial"/>
                <w:sz w:val="18"/>
                <w:szCs w:val="18"/>
              </w:rPr>
            </w:pPr>
            <w:r w:rsidRPr="00F17517">
              <w:rPr>
                <w:rFonts w:ascii="Arial" w:hAnsi="Arial" w:cs="Arial"/>
                <w:sz w:val="18"/>
                <w:szCs w:val="18"/>
              </w:rPr>
              <w:t>2013-2019</w:t>
            </w:r>
          </w:p>
        </w:tc>
        <w:tc>
          <w:tcPr>
            <w:tcW w:w="1079"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%5</w:t>
            </w:r>
          </w:p>
        </w:tc>
        <w:tc>
          <w:tcPr>
            <w:tcW w:w="1366"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%1,02</w:t>
            </w:r>
          </w:p>
        </w:tc>
        <w:tc>
          <w:tcPr>
            <w:tcW w:w="1271"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%3</w:t>
            </w:r>
          </w:p>
        </w:tc>
        <w:tc>
          <w:tcPr>
            <w:tcW w:w="1062"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%4</w:t>
            </w:r>
          </w:p>
        </w:tc>
        <w:tc>
          <w:tcPr>
            <w:tcW w:w="1366"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%1,02</w:t>
            </w:r>
          </w:p>
        </w:tc>
        <w:tc>
          <w:tcPr>
            <w:tcW w:w="1271"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%3</w:t>
            </w:r>
          </w:p>
        </w:tc>
      </w:tr>
      <w:tr w:rsidR="009C0008" w:rsidRPr="004C50BA" w:rsidTr="00F17517">
        <w:trPr>
          <w:trHeight w:hRule="exact" w:val="284"/>
        </w:trPr>
        <w:tc>
          <w:tcPr>
            <w:tcW w:w="1285" w:type="dxa"/>
            <w:vAlign w:val="center"/>
          </w:tcPr>
          <w:p w:rsidR="009C0008" w:rsidRPr="00F17517" w:rsidRDefault="009C0008" w:rsidP="00FF1A86">
            <w:pPr>
              <w:spacing w:before="100" w:beforeAutospacing="1" w:after="100" w:afterAutospacing="1"/>
              <w:jc w:val="both"/>
              <w:rPr>
                <w:rFonts w:ascii="Arial" w:hAnsi="Arial" w:cs="Arial"/>
                <w:sz w:val="18"/>
                <w:szCs w:val="18"/>
              </w:rPr>
            </w:pPr>
            <w:r w:rsidRPr="00F17517">
              <w:rPr>
                <w:rFonts w:ascii="Arial" w:hAnsi="Arial" w:cs="Arial"/>
                <w:sz w:val="18"/>
                <w:szCs w:val="18"/>
              </w:rPr>
              <w:t>2020-2030</w:t>
            </w:r>
          </w:p>
        </w:tc>
        <w:tc>
          <w:tcPr>
            <w:tcW w:w="1079"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%4</w:t>
            </w:r>
          </w:p>
        </w:tc>
        <w:tc>
          <w:tcPr>
            <w:tcW w:w="1366"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%0,74</w:t>
            </w:r>
          </w:p>
        </w:tc>
        <w:tc>
          <w:tcPr>
            <w:tcW w:w="1271"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%2</w:t>
            </w:r>
          </w:p>
        </w:tc>
        <w:tc>
          <w:tcPr>
            <w:tcW w:w="1062"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%3</w:t>
            </w:r>
          </w:p>
        </w:tc>
        <w:tc>
          <w:tcPr>
            <w:tcW w:w="1366"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%0,74</w:t>
            </w:r>
          </w:p>
        </w:tc>
        <w:tc>
          <w:tcPr>
            <w:tcW w:w="1271"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%2</w:t>
            </w:r>
          </w:p>
        </w:tc>
      </w:tr>
      <w:tr w:rsidR="009C0008" w:rsidRPr="004C50BA" w:rsidTr="00F17517">
        <w:trPr>
          <w:trHeight w:hRule="exact" w:val="284"/>
        </w:trPr>
        <w:tc>
          <w:tcPr>
            <w:tcW w:w="1285" w:type="dxa"/>
            <w:vAlign w:val="center"/>
          </w:tcPr>
          <w:p w:rsidR="009C0008" w:rsidRPr="00F17517" w:rsidRDefault="009C0008" w:rsidP="00FF1A86">
            <w:pPr>
              <w:spacing w:before="100" w:beforeAutospacing="1" w:after="100" w:afterAutospacing="1"/>
              <w:jc w:val="both"/>
              <w:rPr>
                <w:rFonts w:ascii="Arial" w:hAnsi="Arial" w:cs="Arial"/>
                <w:sz w:val="18"/>
                <w:szCs w:val="18"/>
              </w:rPr>
            </w:pPr>
            <w:r w:rsidRPr="00F17517">
              <w:rPr>
                <w:rFonts w:ascii="Arial" w:hAnsi="Arial" w:cs="Arial"/>
                <w:sz w:val="18"/>
                <w:szCs w:val="18"/>
              </w:rPr>
              <w:t>2031-2043</w:t>
            </w:r>
          </w:p>
        </w:tc>
        <w:tc>
          <w:tcPr>
            <w:tcW w:w="1079"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%2</w:t>
            </w:r>
          </w:p>
        </w:tc>
        <w:tc>
          <w:tcPr>
            <w:tcW w:w="1366"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%0,36</w:t>
            </w:r>
          </w:p>
        </w:tc>
        <w:tc>
          <w:tcPr>
            <w:tcW w:w="1271"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%1,5</w:t>
            </w:r>
          </w:p>
        </w:tc>
        <w:tc>
          <w:tcPr>
            <w:tcW w:w="1062"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%1,5</w:t>
            </w:r>
          </w:p>
        </w:tc>
        <w:tc>
          <w:tcPr>
            <w:tcW w:w="1366"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%0,36</w:t>
            </w:r>
          </w:p>
        </w:tc>
        <w:tc>
          <w:tcPr>
            <w:tcW w:w="1271" w:type="dxa"/>
            <w:vAlign w:val="center"/>
          </w:tcPr>
          <w:p w:rsidR="009C0008" w:rsidRPr="004C50BA" w:rsidRDefault="009C0008" w:rsidP="00FF1A86">
            <w:pPr>
              <w:spacing w:before="100" w:beforeAutospacing="1" w:after="100" w:afterAutospacing="1"/>
              <w:jc w:val="center"/>
              <w:rPr>
                <w:rFonts w:ascii="Arial" w:hAnsi="Arial" w:cs="Arial"/>
                <w:sz w:val="18"/>
                <w:szCs w:val="18"/>
              </w:rPr>
            </w:pPr>
            <w:r w:rsidRPr="004C50BA">
              <w:rPr>
                <w:rFonts w:ascii="Arial" w:hAnsi="Arial" w:cs="Arial"/>
                <w:sz w:val="18"/>
                <w:szCs w:val="18"/>
              </w:rPr>
              <w:t>%1,5</w:t>
            </w:r>
          </w:p>
        </w:tc>
      </w:tr>
    </w:tbl>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Regresyon parametreleri ve değişkenler için varsayılan artış oranlarıyla tahmin edilen yolcu sayısını iç hat, dış hat ve transit (dıştan gelip dışa giden) bileşimlerine ayırmak için önce 2005-2012 döneminde DHMİ veri tabanından Atatürk havalimanı iç hat ve toplam dış hat yolcu sayısı değişim eğilimlerini hesaplayarak 2013-2019 dönemine yansıtıyoruz. Sonrası için iç hat ve dış hat yolcu sayısının toplam yolcu sayısına oranlarını sırasıyla yüzde 26 ve yüzde 74 olarak sabitliyoruz. 2012-2043 dönemi için yolcu sayısı yıllık ortalama artış oranları birinci senaryo için toplamda yüzde 4,9, iç hat için yüzde 4 ve toplam dış hat için yüzde 5,3</w:t>
      </w:r>
      <w:r w:rsidRPr="0056655F">
        <w:t xml:space="preserve"> </w:t>
      </w:r>
      <w:r w:rsidRPr="00CA03B2">
        <w:rPr>
          <w:rFonts w:ascii="Arial" w:hAnsi="Arial" w:cs="Arial"/>
          <w:sz w:val="20"/>
          <w:szCs w:val="20"/>
        </w:rPr>
        <w:t>olarak; ikinci senaryoda ise sırasıyla yüzde 3,1, yüzde 2,2 ve yüzde 3,5 olarak hesaplanmıştır. Dış hat yolcu sayısı içinden transit yolcu</w:t>
      </w:r>
      <w:r w:rsidRPr="0056655F">
        <w:t xml:space="preserve"> </w:t>
      </w:r>
      <w:r w:rsidRPr="00CA03B2">
        <w:rPr>
          <w:rFonts w:ascii="Arial" w:hAnsi="Arial" w:cs="Arial"/>
          <w:sz w:val="20"/>
          <w:szCs w:val="20"/>
        </w:rPr>
        <w:t>sayısını tahmin etmek için de THY 2005-2012 döneminde transit yolcu sayısının toplam dış hat yolcu</w:t>
      </w:r>
      <w:r w:rsidRPr="0056655F">
        <w:t xml:space="preserve"> </w:t>
      </w:r>
      <w:r w:rsidRPr="00CA03B2">
        <w:rPr>
          <w:rFonts w:ascii="Arial" w:hAnsi="Arial" w:cs="Arial"/>
          <w:sz w:val="20"/>
          <w:szCs w:val="20"/>
        </w:rPr>
        <w:t xml:space="preserve">sayısındaki payının değişimini kullanıyoruz. 2012 yılında yüzde 39 olan transit yolcu payının yıllık ortalama artışı Senaryo 1’de yüzde 5,6 ve ikinci senaryoda yüzde 3,8 olarak görülmektedir. Tahmini </w:t>
      </w:r>
      <w:r w:rsidRPr="00CA03B2">
        <w:rPr>
          <w:rFonts w:ascii="Arial" w:hAnsi="Arial" w:cs="Arial"/>
          <w:sz w:val="20"/>
          <w:szCs w:val="20"/>
        </w:rPr>
        <w:lastRenderedPageBreak/>
        <w:t xml:space="preserve">yolcu sayıları ve yolcu sayısı artış oranları Senaryo 1 için </w:t>
      </w:r>
      <w:fldSimple w:instr=" REF _Ref359847187 \h  \* MERGEFORMAT ">
        <w:r w:rsidRPr="00CA03B2">
          <w:rPr>
            <w:rFonts w:ascii="Arial" w:hAnsi="Arial" w:cs="Arial"/>
            <w:sz w:val="20"/>
            <w:szCs w:val="20"/>
          </w:rPr>
          <w:t xml:space="preserve">Tablo </w:t>
        </w:r>
        <w:r w:rsidRPr="00CA03B2">
          <w:rPr>
            <w:rFonts w:ascii="Arial" w:hAnsi="Arial" w:cs="Arial"/>
            <w:noProof/>
            <w:sz w:val="20"/>
            <w:szCs w:val="20"/>
          </w:rPr>
          <w:t>4</w:t>
        </w:r>
      </w:fldSimple>
      <w:r w:rsidRPr="00CA03B2">
        <w:rPr>
          <w:rFonts w:ascii="Arial" w:hAnsi="Arial" w:cs="Arial"/>
          <w:sz w:val="20"/>
          <w:szCs w:val="20"/>
        </w:rPr>
        <w:t xml:space="preserve">’de, Senaryo 2 içinse </w:t>
      </w:r>
      <w:fldSimple w:instr=" REF _Ref360029200 \h  \* MERGEFORMAT ">
        <w:r w:rsidRPr="00CA03B2">
          <w:rPr>
            <w:rFonts w:ascii="Arial" w:hAnsi="Arial" w:cs="Arial"/>
            <w:sz w:val="20"/>
            <w:szCs w:val="20"/>
          </w:rPr>
          <w:t xml:space="preserve">Tablo </w:t>
        </w:r>
        <w:r w:rsidRPr="00CA03B2">
          <w:rPr>
            <w:rFonts w:ascii="Arial" w:hAnsi="Arial" w:cs="Arial"/>
            <w:noProof/>
            <w:sz w:val="20"/>
            <w:szCs w:val="20"/>
          </w:rPr>
          <w:t>5</w:t>
        </w:r>
      </w:fldSimple>
      <w:r w:rsidRPr="00CA03B2">
        <w:rPr>
          <w:rFonts w:ascii="Arial" w:hAnsi="Arial" w:cs="Arial"/>
          <w:sz w:val="20"/>
          <w:szCs w:val="20"/>
        </w:rPr>
        <w:t xml:space="preserve">’de gösterilmiştir. 2019 yılında yolcu sayısı Senaryo 1 altında yaklaşık 80 milyon olacaktır. Bunun yaklaşık 20 milyonu iç hat, yaklaşık 37 milyonu dış hat ve yaklaşık 21 milyonu transit yolcusu olacaktır. Senaryo 2’deyse yolcu sayısının yaklaşık 68 milyon olacağı ve bunun 18 milyonunun iç hat, 32 milyonunun dış hat ve 18 milyonunun transit yolcusu olacağı hesaplanmıştır.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Yeni havalimanı için hedeflenen yolcu sayısı 90 milyon olduğunu dikkate alırsak, Senaryo 1’de açılışta kapasite kullanımı yaklaşık yüzde 89 olmaktadır. Bu kapasite kullanımı da nispeten kabul edilebilir bir orandır (Barnhart ve Vaze, 2012). Senaryo 2’de ise yüzde 76’lık bir kapasite kullanımı olacaktır. Daha öncede belirtildiği gibi Atatürk havalimanı şu anda olan 45 milyon yolcu trafiğini kaldıramamaktadır. </w:t>
      </w:r>
      <w:fldSimple w:instr=" REF _Ref359847187 \h  \* MERGEFORMAT ">
        <w:r w:rsidRPr="00CA03B2">
          <w:rPr>
            <w:rFonts w:ascii="Arial" w:hAnsi="Arial" w:cs="Arial"/>
            <w:sz w:val="20"/>
            <w:szCs w:val="20"/>
          </w:rPr>
          <w:t xml:space="preserve">Tablo </w:t>
        </w:r>
        <w:r w:rsidRPr="00CA03B2">
          <w:rPr>
            <w:rFonts w:ascii="Arial" w:hAnsi="Arial" w:cs="Arial"/>
            <w:noProof/>
            <w:sz w:val="20"/>
            <w:szCs w:val="20"/>
          </w:rPr>
          <w:t>4</w:t>
        </w:r>
      </w:fldSimple>
      <w:r w:rsidRPr="00CA03B2">
        <w:rPr>
          <w:rFonts w:ascii="Arial" w:hAnsi="Arial" w:cs="Arial"/>
          <w:sz w:val="20"/>
          <w:szCs w:val="20"/>
        </w:rPr>
        <w:t xml:space="preserve"> ve </w:t>
      </w:r>
      <w:fldSimple w:instr=" REF _Ref360029200 \h  \* MERGEFORMAT ">
        <w:r w:rsidRPr="00CA03B2">
          <w:rPr>
            <w:rFonts w:ascii="Arial" w:hAnsi="Arial" w:cs="Arial"/>
            <w:sz w:val="20"/>
            <w:szCs w:val="20"/>
          </w:rPr>
          <w:t xml:space="preserve">Tablo </w:t>
        </w:r>
        <w:r w:rsidRPr="00CA03B2">
          <w:rPr>
            <w:rFonts w:ascii="Arial" w:hAnsi="Arial" w:cs="Arial"/>
            <w:noProof/>
            <w:sz w:val="20"/>
            <w:szCs w:val="20"/>
          </w:rPr>
          <w:t>5</w:t>
        </w:r>
      </w:fldSimple>
      <w:r w:rsidRPr="00CA03B2">
        <w:rPr>
          <w:rFonts w:ascii="Arial" w:hAnsi="Arial" w:cs="Arial"/>
          <w:sz w:val="20"/>
          <w:szCs w:val="20"/>
        </w:rPr>
        <w:t xml:space="preserve">’deki tahminlere bakılacak olursa her iki senaryo altında da Atatürk havalimanının mevcut kapasitesinin 2019 yılına kadar geçecek dönemde yetersiz kalacağını söyleyebiliriz. Dolayısıyla yeni havalimanı bitene kadar Atatürk havalimanına kapasiteyi arttırmak için yeni yatırımların yapılması gerekebilir.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Hatırlarsak, yeni havalimanı için hedeflenen yolcu sayıları ilk etapta 90 milyon, ikinci etapta 120 milyon ve son etapta 150 milyondu. Yaptığımız varsayımlar altında bu hedefler ne zaman tutturulabilecektir? Bu sorunun cevabı için yapmış olduğumuz projeksiyonu kira süresinin dolduğu 2043 yılına kadar götürdük. </w:t>
      </w:r>
      <w:fldSimple w:instr=" REF _Ref359847187 \h  \* MERGEFORMAT ">
        <w:r w:rsidRPr="00CA03B2">
          <w:rPr>
            <w:rFonts w:ascii="Arial" w:hAnsi="Arial" w:cs="Arial"/>
            <w:sz w:val="20"/>
            <w:szCs w:val="20"/>
          </w:rPr>
          <w:t xml:space="preserve">Tablo </w:t>
        </w:r>
        <w:r w:rsidRPr="00CA03B2">
          <w:rPr>
            <w:rFonts w:ascii="Arial" w:hAnsi="Arial" w:cs="Arial"/>
            <w:noProof/>
            <w:sz w:val="20"/>
            <w:szCs w:val="20"/>
          </w:rPr>
          <w:t>4</w:t>
        </w:r>
      </w:fldSimple>
      <w:r w:rsidRPr="00CA03B2">
        <w:rPr>
          <w:rFonts w:ascii="Arial" w:hAnsi="Arial" w:cs="Arial"/>
          <w:sz w:val="20"/>
          <w:szCs w:val="20"/>
        </w:rPr>
        <w:t xml:space="preserve">’de Senaryo 1 altında yolcu sayısı ve belirlediğimiz dönemlerdeki artış oranları görülmektedir. 2012-2043 döneminde yolcu sayısı ortalama yüzde 4,9 artarak ancak 2025 yılında 120 milyona çıkmaktadır. Buna karşılık 150 milyon kapasiteye ancak 2030’a doğru ihtiyaç duyulacaktır. Senaryo 2’de ise yıllık ortalama yüzde 3,1 büyüme ile hedeflenen yolcu sayısına ancak 2025’ten sonra ulaşılacaktır. </w:t>
      </w:r>
      <w:fldSimple w:instr=" REF _Ref360133337 \h  \* MERGEFORMAT ">
        <w:r w:rsidRPr="00CA03B2">
          <w:rPr>
            <w:rFonts w:ascii="Arial" w:hAnsi="Arial" w:cs="Arial"/>
            <w:sz w:val="20"/>
            <w:szCs w:val="20"/>
          </w:rPr>
          <w:t xml:space="preserve">Tablo </w:t>
        </w:r>
        <w:r w:rsidRPr="00CA03B2">
          <w:rPr>
            <w:rFonts w:ascii="Arial" w:hAnsi="Arial" w:cs="Arial"/>
            <w:noProof/>
            <w:sz w:val="20"/>
            <w:szCs w:val="20"/>
          </w:rPr>
          <w:t>5</w:t>
        </w:r>
      </w:fldSimple>
      <w:r w:rsidRPr="00CA03B2">
        <w:rPr>
          <w:rFonts w:ascii="Arial" w:hAnsi="Arial" w:cs="Arial"/>
          <w:sz w:val="20"/>
          <w:szCs w:val="20"/>
        </w:rPr>
        <w:t xml:space="preserve">’de görüldüğü gibi 120 milyon yolcu kapasitesine ihtiyaç çok uzun dönemde de duyulmayacağı görülmektedir. 2012-2043 döneminde bütün yıllar için tahmin edilen yolcu sayıları Ekler bölümünde </w:t>
      </w:r>
      <w:fldSimple w:instr=" REF _Ref359847187 \h  \* MERGEFORMAT ">
        <w:r w:rsidRPr="00CA03B2">
          <w:rPr>
            <w:rFonts w:ascii="Arial" w:hAnsi="Arial" w:cs="Arial"/>
            <w:sz w:val="20"/>
            <w:szCs w:val="20"/>
          </w:rPr>
          <w:t xml:space="preserve">Tablo </w:t>
        </w:r>
        <w:r w:rsidRPr="00CA03B2">
          <w:rPr>
            <w:rFonts w:ascii="Arial" w:hAnsi="Arial" w:cs="Arial"/>
            <w:noProof/>
            <w:sz w:val="20"/>
            <w:szCs w:val="20"/>
          </w:rPr>
          <w:t>10</w:t>
        </w:r>
      </w:fldSimple>
      <w:r w:rsidRPr="00CA03B2">
        <w:rPr>
          <w:rFonts w:ascii="Arial" w:hAnsi="Arial" w:cs="Arial"/>
          <w:sz w:val="20"/>
          <w:szCs w:val="20"/>
        </w:rPr>
        <w:t xml:space="preserve"> ve </w:t>
      </w:r>
      <w:fldSimple w:instr=" REF _Ref360029200 \h  \* MERGEFORMAT ">
        <w:r w:rsidRPr="00CA03B2">
          <w:rPr>
            <w:rFonts w:ascii="Arial" w:hAnsi="Arial" w:cs="Arial"/>
            <w:sz w:val="20"/>
            <w:szCs w:val="20"/>
          </w:rPr>
          <w:t xml:space="preserve">Tablo </w:t>
        </w:r>
        <w:r w:rsidRPr="00CA03B2">
          <w:rPr>
            <w:rFonts w:ascii="Arial" w:hAnsi="Arial" w:cs="Arial"/>
            <w:noProof/>
            <w:sz w:val="20"/>
            <w:szCs w:val="20"/>
          </w:rPr>
          <w:t>11</w:t>
        </w:r>
      </w:fldSimple>
      <w:r w:rsidRPr="00CA03B2">
        <w:rPr>
          <w:rFonts w:ascii="Arial" w:hAnsi="Arial" w:cs="Arial"/>
          <w:sz w:val="20"/>
          <w:szCs w:val="20"/>
        </w:rPr>
        <w:t xml:space="preserve"> detaylı olarak sunulmuştur.</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Hedeflerin tutması için önümüzdeki yıllarda ekonomik büyümenin Senaryo 1’de çizmiş olduğumuz gibi olumlu gitmesi gerekmektedir. Bu tahminler çerçevesinde büyüme potansiyelin altında kaldığı takdirde 150 milyon yolcu kapasitesine hiçbir zaman gerçek olmayacağı, 120 milyon yolcu kapasitesine de ancak 2050’lerde ihtiyaç duyulacağı söylenebilir. Dolayısıyla İstanbul mega havalimanının Dünya’nın en büyük havalimanı olup olmayacağı Türkiye’nin ekonomik büyüme performansı tarafından belirlenecektir.  </w:t>
      </w:r>
    </w:p>
    <w:p w:rsidR="009C0008" w:rsidRPr="00CA03B2" w:rsidRDefault="009C0008" w:rsidP="009C0008">
      <w:pPr>
        <w:pStyle w:val="ResimYazs"/>
        <w:keepNext/>
        <w:spacing w:before="100" w:beforeAutospacing="1" w:after="100" w:afterAutospacing="1"/>
        <w:jc w:val="both"/>
        <w:rPr>
          <w:rFonts w:ascii="Arial" w:hAnsi="Arial" w:cs="Arial"/>
        </w:rPr>
      </w:pPr>
      <w:r w:rsidRPr="00CA03B2">
        <w:rPr>
          <w:rFonts w:ascii="Arial" w:hAnsi="Arial" w:cs="Arial"/>
        </w:rPr>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4</w:t>
      </w:r>
      <w:r w:rsidRPr="00CA03B2">
        <w:rPr>
          <w:rFonts w:ascii="Arial" w:hAnsi="Arial" w:cs="Arial"/>
        </w:rPr>
        <w:fldChar w:fldCharType="end"/>
      </w:r>
      <w:r w:rsidRPr="00CA03B2">
        <w:rPr>
          <w:rFonts w:ascii="Arial" w:hAnsi="Arial" w:cs="Arial"/>
        </w:rPr>
        <w:t xml:space="preserve"> Senaryo 1 için yolcu sayısı (milyon) ve artış oranları tahminleri (%) </w:t>
      </w:r>
    </w:p>
    <w:tbl>
      <w:tblPr>
        <w:tblW w:w="77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71"/>
        <w:gridCol w:w="1309"/>
        <w:gridCol w:w="1142"/>
        <w:gridCol w:w="1641"/>
        <w:gridCol w:w="1142"/>
        <w:gridCol w:w="1142"/>
      </w:tblGrid>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Yıl</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2012*</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9,8</w:t>
            </w:r>
          </w:p>
        </w:tc>
      </w:tr>
      <w:tr w:rsidR="009C0008" w:rsidRPr="004C50BA" w:rsidTr="00F17517">
        <w:trPr>
          <w:trHeight w:hRule="exact" w:val="284"/>
        </w:trPr>
        <w:tc>
          <w:tcPr>
            <w:tcW w:w="7747" w:type="dxa"/>
            <w:gridSpan w:val="6"/>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Senaryo 1</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Yıl</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54,0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36,7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13,3</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80,3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59,4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37,9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21,6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158,2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41,1</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117,0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74,5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42,5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2043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201,1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148,8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94,8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54,0</w:t>
            </w:r>
          </w:p>
        </w:tc>
      </w:tr>
      <w:tr w:rsidR="009C0008" w:rsidRPr="004C50BA" w:rsidTr="00F17517">
        <w:trPr>
          <w:trHeight w:hRule="exact" w:val="284"/>
        </w:trPr>
        <w:tc>
          <w:tcPr>
            <w:tcW w:w="7747" w:type="dxa"/>
            <w:gridSpan w:val="6"/>
            <w:noWrap/>
            <w:vAlign w:val="center"/>
          </w:tcPr>
          <w:p w:rsidR="009C0008" w:rsidRPr="004C50BA" w:rsidRDefault="009C0008" w:rsidP="00FF1A86">
            <w:pPr>
              <w:jc w:val="center"/>
              <w:rPr>
                <w:rFonts w:ascii="Arial" w:hAnsi="Arial" w:cs="Arial"/>
                <w:b/>
                <w:color w:val="000000"/>
                <w:sz w:val="18"/>
                <w:szCs w:val="18"/>
              </w:rPr>
            </w:pPr>
            <w:r w:rsidRPr="004C50BA">
              <w:rPr>
                <w:rFonts w:ascii="Arial" w:hAnsi="Arial" w:cs="Arial"/>
                <w:b/>
                <w:color w:val="000000"/>
                <w:sz w:val="18"/>
                <w:szCs w:val="18"/>
              </w:rPr>
              <w:t>Artış Oranları</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color w:val="000000"/>
                <w:sz w:val="18"/>
                <w:szCs w:val="18"/>
              </w:rPr>
            </w:pPr>
            <w:r w:rsidRPr="004C50BA">
              <w:rPr>
                <w:rFonts w:ascii="Arial" w:hAnsi="Arial" w:cs="Arial"/>
                <w:b/>
                <w:color w:val="000000"/>
                <w:sz w:val="18"/>
                <w:szCs w:val="18"/>
              </w:rPr>
              <w:t>Dönemler</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2012-2043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2012-2019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4,6</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11,9</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2019-2030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2030-2043</w:t>
            </w:r>
          </w:p>
          <w:p w:rsidR="009C0008" w:rsidRPr="004C50BA" w:rsidRDefault="009C0008" w:rsidP="00FF1A86">
            <w:pPr>
              <w:rPr>
                <w:rFonts w:ascii="Arial" w:hAnsi="Arial" w:cs="Arial"/>
                <w:color w:val="000000"/>
                <w:sz w:val="18"/>
                <w:szCs w:val="18"/>
              </w:rPr>
            </w:pP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w:t>
            </w:r>
          </w:p>
        </w:tc>
      </w:tr>
    </w:tbl>
    <w:p w:rsidR="009C0008" w:rsidRPr="004C50BA" w:rsidRDefault="009C0008" w:rsidP="009C0008">
      <w:pPr>
        <w:jc w:val="both"/>
        <w:rPr>
          <w:rFonts w:ascii="Arial" w:hAnsi="Arial" w:cs="Arial"/>
          <w:sz w:val="16"/>
          <w:szCs w:val="16"/>
        </w:rPr>
      </w:pPr>
      <w:r w:rsidRPr="004C50BA">
        <w:rPr>
          <w:rFonts w:ascii="Arial" w:hAnsi="Arial" w:cs="Arial"/>
          <w:sz w:val="16"/>
          <w:szCs w:val="16"/>
        </w:rPr>
        <w:t>Kaynak: Yazar</w:t>
      </w:r>
      <w:r w:rsidR="002C6FB5">
        <w:rPr>
          <w:rFonts w:ascii="Arial" w:hAnsi="Arial" w:cs="Arial"/>
          <w:sz w:val="16"/>
          <w:szCs w:val="16"/>
        </w:rPr>
        <w:t>lar</w:t>
      </w:r>
      <w:r w:rsidRPr="004C50BA">
        <w:rPr>
          <w:rFonts w:ascii="Arial" w:hAnsi="Arial" w:cs="Arial"/>
          <w:sz w:val="16"/>
          <w:szCs w:val="16"/>
        </w:rPr>
        <w:t xml:space="preserve">ın kendi hesaplamaları </w:t>
      </w:r>
    </w:p>
    <w:p w:rsidR="009C0008" w:rsidRPr="004C50BA" w:rsidRDefault="009C0008" w:rsidP="009C0008">
      <w:pPr>
        <w:jc w:val="both"/>
        <w:rPr>
          <w:rFonts w:ascii="Arial" w:hAnsi="Arial" w:cs="Arial"/>
          <w:sz w:val="16"/>
          <w:szCs w:val="16"/>
        </w:rPr>
      </w:pPr>
      <w:r w:rsidRPr="004C50BA">
        <w:rPr>
          <w:rFonts w:ascii="Arial" w:hAnsi="Arial" w:cs="Arial"/>
          <w:sz w:val="16"/>
          <w:szCs w:val="16"/>
        </w:rPr>
        <w:t>* 2012 yılı gerçekleşen yolcu sayıları</w:t>
      </w:r>
    </w:p>
    <w:p w:rsidR="002C6FB5" w:rsidRDefault="002C6FB5" w:rsidP="009C0008">
      <w:pPr>
        <w:pStyle w:val="ResimYazs"/>
        <w:keepNext/>
        <w:spacing w:before="100" w:beforeAutospacing="1" w:after="100" w:afterAutospacing="1"/>
        <w:jc w:val="both"/>
        <w:rPr>
          <w:rFonts w:ascii="Arial" w:hAnsi="Arial" w:cs="Arial"/>
        </w:rPr>
      </w:pPr>
      <w:bookmarkStart w:id="8" w:name="_Ref360133337"/>
    </w:p>
    <w:p w:rsidR="009C0008" w:rsidRPr="00CA03B2" w:rsidRDefault="009C0008" w:rsidP="009C0008">
      <w:pPr>
        <w:pStyle w:val="ResimYazs"/>
        <w:keepNext/>
        <w:spacing w:before="100" w:beforeAutospacing="1" w:after="100" w:afterAutospacing="1"/>
        <w:jc w:val="both"/>
        <w:rPr>
          <w:rFonts w:ascii="Arial" w:hAnsi="Arial" w:cs="Arial"/>
        </w:rPr>
      </w:pPr>
      <w:r w:rsidRPr="00CA03B2">
        <w:rPr>
          <w:rFonts w:ascii="Arial" w:hAnsi="Arial" w:cs="Arial"/>
        </w:rPr>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5</w:t>
      </w:r>
      <w:r w:rsidRPr="00CA03B2">
        <w:rPr>
          <w:rFonts w:ascii="Arial" w:hAnsi="Arial" w:cs="Arial"/>
        </w:rPr>
        <w:fldChar w:fldCharType="end"/>
      </w:r>
      <w:bookmarkEnd w:id="8"/>
      <w:r w:rsidRPr="00CA03B2">
        <w:rPr>
          <w:rFonts w:ascii="Arial" w:hAnsi="Arial" w:cs="Arial"/>
        </w:rPr>
        <w:t xml:space="preserve"> Senaryo 2 için yolcu sayısı (milyon) ve artış oranları tahminleri (%)</w:t>
      </w:r>
    </w:p>
    <w:tbl>
      <w:tblPr>
        <w:tblW w:w="77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71"/>
        <w:gridCol w:w="1309"/>
        <w:gridCol w:w="1142"/>
        <w:gridCol w:w="1641"/>
        <w:gridCol w:w="1142"/>
        <w:gridCol w:w="1142"/>
      </w:tblGrid>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Yıl</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2012*</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9,8</w:t>
            </w:r>
          </w:p>
        </w:tc>
      </w:tr>
      <w:tr w:rsidR="009C0008" w:rsidRPr="004C50BA" w:rsidTr="00F17517">
        <w:trPr>
          <w:trHeight w:hRule="exact" w:val="284"/>
        </w:trPr>
        <w:tc>
          <w:tcPr>
            <w:tcW w:w="7747" w:type="dxa"/>
            <w:gridSpan w:val="6"/>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Senaryo 2</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Yıl</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16,9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13,0</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68,9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51,0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32,5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18,5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106,4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27,7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78,7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50,2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2043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116,9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30,4</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86,5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31,4</w:t>
            </w:r>
          </w:p>
        </w:tc>
      </w:tr>
      <w:tr w:rsidR="009C0008" w:rsidRPr="004C50BA" w:rsidTr="00F17517">
        <w:trPr>
          <w:trHeight w:hRule="exact" w:val="284"/>
        </w:trPr>
        <w:tc>
          <w:tcPr>
            <w:tcW w:w="7747" w:type="dxa"/>
            <w:gridSpan w:val="6"/>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color w:val="000000"/>
                <w:sz w:val="18"/>
                <w:szCs w:val="18"/>
              </w:rPr>
              <w:t>Artış Oranları</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color w:val="000000"/>
                <w:sz w:val="18"/>
                <w:szCs w:val="18"/>
              </w:rPr>
            </w:pPr>
            <w:r w:rsidRPr="004C50BA">
              <w:rPr>
                <w:rFonts w:ascii="Arial" w:hAnsi="Arial" w:cs="Arial"/>
                <w:b/>
                <w:color w:val="000000"/>
                <w:sz w:val="18"/>
                <w:szCs w:val="18"/>
              </w:rPr>
              <w:t>Dönemler</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2012-2043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2012-2019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9,4</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2019-2030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2030-2043</w:t>
            </w:r>
          </w:p>
          <w:p w:rsidR="009C0008" w:rsidRPr="004C50BA" w:rsidRDefault="009C0008" w:rsidP="00FF1A86">
            <w:pPr>
              <w:rPr>
                <w:rFonts w:ascii="Arial" w:hAnsi="Arial" w:cs="Arial"/>
                <w:color w:val="000000"/>
                <w:sz w:val="18"/>
                <w:szCs w:val="18"/>
              </w:rPr>
            </w:pP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r>
    </w:tbl>
    <w:p w:rsidR="009C0008" w:rsidRPr="002C6FB5" w:rsidRDefault="009C0008" w:rsidP="009C0008">
      <w:pPr>
        <w:jc w:val="both"/>
        <w:rPr>
          <w:rFonts w:ascii="Arial" w:hAnsi="Arial" w:cs="Arial"/>
          <w:sz w:val="16"/>
          <w:szCs w:val="16"/>
        </w:rPr>
      </w:pPr>
      <w:r w:rsidRPr="002C6FB5">
        <w:rPr>
          <w:rFonts w:ascii="Arial" w:hAnsi="Arial" w:cs="Arial"/>
          <w:sz w:val="16"/>
          <w:szCs w:val="16"/>
        </w:rPr>
        <w:t>Kaynak: Yazar</w:t>
      </w:r>
      <w:r w:rsidR="002C6FB5">
        <w:rPr>
          <w:rFonts w:ascii="Arial" w:hAnsi="Arial" w:cs="Arial"/>
          <w:sz w:val="16"/>
          <w:szCs w:val="16"/>
        </w:rPr>
        <w:t>lar</w:t>
      </w:r>
      <w:r w:rsidRPr="002C6FB5">
        <w:rPr>
          <w:rFonts w:ascii="Arial" w:hAnsi="Arial" w:cs="Arial"/>
          <w:sz w:val="16"/>
          <w:szCs w:val="16"/>
        </w:rPr>
        <w:t xml:space="preserve">ın kendi hesaplamaları </w:t>
      </w:r>
    </w:p>
    <w:p w:rsidR="009C0008" w:rsidRPr="002C6FB5" w:rsidRDefault="009C0008" w:rsidP="009C0008">
      <w:pPr>
        <w:jc w:val="both"/>
        <w:rPr>
          <w:rFonts w:ascii="Arial" w:hAnsi="Arial" w:cs="Arial"/>
          <w:sz w:val="16"/>
          <w:szCs w:val="16"/>
        </w:rPr>
      </w:pPr>
      <w:r w:rsidRPr="002C6FB5">
        <w:rPr>
          <w:rFonts w:ascii="Arial" w:hAnsi="Arial" w:cs="Arial"/>
          <w:sz w:val="16"/>
          <w:szCs w:val="16"/>
        </w:rPr>
        <w:t>* 2012 yılı gerçekleşen yolcu sayıları</w:t>
      </w:r>
    </w:p>
    <w:bookmarkEnd w:id="6"/>
    <w:p w:rsidR="00CA03B2" w:rsidRDefault="00CA03B2" w:rsidP="009C0008">
      <w:pPr>
        <w:pStyle w:val="Balk1"/>
      </w:pPr>
    </w:p>
    <w:p w:rsidR="009C0008" w:rsidRPr="00CA03B2" w:rsidRDefault="009C0008" w:rsidP="00CA03B2">
      <w:pPr>
        <w:pStyle w:val="Balk1"/>
        <w:jc w:val="left"/>
        <w:rPr>
          <w:sz w:val="22"/>
          <w:szCs w:val="22"/>
        </w:rPr>
      </w:pPr>
      <w:r w:rsidRPr="00CA03B2">
        <w:rPr>
          <w:sz w:val="22"/>
          <w:szCs w:val="22"/>
        </w:rPr>
        <w:t>Faaliyete geçildiğinde yeni havalimanı için gelir-gider tahminleri</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Yeni İstanbul havalimanı için 2012-2043 döneminde iki senaryo altında tahmini yolcu sayılarını temel alarak havalimanı faaliyete geçtiğinde elde edeceği gelir için bir tahmin yapabiliriz. Havalimanı beklenen tarihte biter ve yolcu trafiği öngörüldüğü şekilde artarsa 2019 yılında yolcu sayısı birinci senaryoya göre yaklaşık 80 milyon ve ikinci senaryoya göre de 68 milyon olacaktır (bakınız </w:t>
      </w:r>
      <w:fldSimple w:instr=" REF _Ref359847187 \h  \* MERGEFORMAT ">
        <w:r w:rsidRPr="00CA03B2">
          <w:rPr>
            <w:rFonts w:ascii="Arial" w:hAnsi="Arial" w:cs="Arial"/>
            <w:sz w:val="20"/>
            <w:szCs w:val="20"/>
          </w:rPr>
          <w:t xml:space="preserve">Tablo </w:t>
        </w:r>
        <w:r w:rsidRPr="00CA03B2">
          <w:rPr>
            <w:rFonts w:ascii="Arial" w:hAnsi="Arial" w:cs="Arial"/>
            <w:noProof/>
            <w:sz w:val="20"/>
            <w:szCs w:val="20"/>
          </w:rPr>
          <w:t>4</w:t>
        </w:r>
      </w:fldSimple>
      <w:r w:rsidRPr="00CA03B2">
        <w:rPr>
          <w:rFonts w:ascii="Arial" w:hAnsi="Arial" w:cs="Arial"/>
          <w:sz w:val="20"/>
          <w:szCs w:val="20"/>
        </w:rPr>
        <w:t xml:space="preserve"> ve </w:t>
      </w:r>
      <w:fldSimple w:instr=" REF _Ref360029200 \h  \* MERGEFORMAT ">
        <w:r w:rsidRPr="00CA03B2">
          <w:rPr>
            <w:rFonts w:ascii="Arial" w:hAnsi="Arial" w:cs="Arial"/>
            <w:sz w:val="20"/>
            <w:szCs w:val="20"/>
          </w:rPr>
          <w:t xml:space="preserve">Tablo </w:t>
        </w:r>
        <w:r w:rsidRPr="00CA03B2">
          <w:rPr>
            <w:rFonts w:ascii="Arial" w:hAnsi="Arial" w:cs="Arial"/>
            <w:noProof/>
            <w:sz w:val="20"/>
            <w:szCs w:val="20"/>
          </w:rPr>
          <w:t>5</w:t>
        </w:r>
      </w:fldSimple>
      <w:r w:rsidRPr="00CA03B2">
        <w:rPr>
          <w:rFonts w:ascii="Arial" w:hAnsi="Arial" w:cs="Arial"/>
          <w:sz w:val="20"/>
          <w:szCs w:val="20"/>
        </w:rPr>
        <w:t xml:space="preserve">). </w:t>
      </w:r>
      <w:fldSimple w:instr=" REF _Ref360051210 \h  \* MERGEFORMAT ">
        <w:r w:rsidRPr="00CA03B2">
          <w:rPr>
            <w:rFonts w:ascii="Arial" w:hAnsi="Arial" w:cs="Arial"/>
            <w:sz w:val="20"/>
            <w:szCs w:val="20"/>
          </w:rPr>
          <w:t xml:space="preserve">Tablo </w:t>
        </w:r>
        <w:r w:rsidRPr="00CA03B2">
          <w:rPr>
            <w:rFonts w:ascii="Arial" w:hAnsi="Arial" w:cs="Arial"/>
            <w:noProof/>
            <w:sz w:val="20"/>
            <w:szCs w:val="20"/>
          </w:rPr>
          <w:t>2</w:t>
        </w:r>
      </w:fldSimple>
      <w:r w:rsidRPr="00CA03B2">
        <w:rPr>
          <w:rFonts w:ascii="Arial" w:hAnsi="Arial" w:cs="Arial"/>
          <w:sz w:val="20"/>
          <w:szCs w:val="20"/>
        </w:rPr>
        <w:t xml:space="preserve">’de Atlanta havalimanı finansal raporunda gelir kalemleri ve bu kalemlerin toplam gelirdeki payları gösterilmektedir. Bu oranlara ve konsorsiyumun yolcu gelirlerinin toplam gelirlerin toplam işletme gelirinin üçte biri olması beklentisine dayanarak yeni havalimanı için tahmini finansal tabloyu hazırladık.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Yolcu gelirleri şartnameye göre yeni havalimanı yolcu servis ücretleri, dış hat için 20 Avro, dış hattan gelip dış hatta giden (direk) transit için 5 Avro ve iç hat için 3 Avro üzerinden toplanacaktır. Bu ücretleri havalimanından giden yolculardan aldıkları için giden yolcu sayısını belirlemek gerekmektedir. </w:t>
      </w:r>
      <w:fldSimple w:instr=" REF _Ref360051210 \h  \* MERGEFORMAT ">
        <w:r w:rsidRPr="00CA03B2">
          <w:rPr>
            <w:rFonts w:ascii="Arial" w:hAnsi="Arial" w:cs="Arial"/>
            <w:sz w:val="20"/>
            <w:szCs w:val="20"/>
          </w:rPr>
          <w:t xml:space="preserve">Tablo </w:t>
        </w:r>
        <w:r w:rsidRPr="00CA03B2">
          <w:rPr>
            <w:rFonts w:ascii="Arial" w:hAnsi="Arial" w:cs="Arial"/>
            <w:noProof/>
            <w:sz w:val="20"/>
            <w:szCs w:val="20"/>
          </w:rPr>
          <w:t>2</w:t>
        </w:r>
      </w:fldSimple>
      <w:r w:rsidRPr="00CA03B2">
        <w:rPr>
          <w:rFonts w:ascii="Arial" w:hAnsi="Arial" w:cs="Arial"/>
          <w:sz w:val="20"/>
          <w:szCs w:val="20"/>
        </w:rPr>
        <w:t>’de görüldüğü gibi Atlanta havalimanında giden yolcu sayısı toplam yolcu sayısının neredeyse yarısıdır. Biz de buna dayanarak hesaplamış olduğumuz yolcu sayısının yarısının giden yolcu olduğunu varsaydık. Toplam yolcu geliri iç hat, dış hat ve transit yolcu sayılarının ayrı ayrı karşılık gelen ücretle çarpılıp toplanmasından elde edilmiştir. Konma ücretinden doğan geliri hesaplamak için önce iç hat ve dış hat gelen yolcu sayılarını bir uçakta bulunan ortalama yolcu sayısına bölerek konan uçak sayısını elde ettik.</w:t>
      </w:r>
      <w:r w:rsidRPr="00CA03B2">
        <w:rPr>
          <w:rStyle w:val="DipnotBavurusu"/>
          <w:rFonts w:ascii="Arial" w:hAnsi="Arial" w:cs="Arial"/>
          <w:sz w:val="20"/>
          <w:szCs w:val="20"/>
        </w:rPr>
        <w:footnoteReference w:id="12"/>
      </w:r>
      <w:r w:rsidRPr="00CA03B2">
        <w:rPr>
          <w:rFonts w:ascii="Arial" w:hAnsi="Arial" w:cs="Arial"/>
          <w:sz w:val="20"/>
          <w:szCs w:val="20"/>
        </w:rPr>
        <w:t xml:space="preserve"> Daha sonra iç hat ve dış hat konan uçak sayılarını ortalama azami uçak ağırlığı (190 metrik ton) ile çarptık.</w:t>
      </w:r>
      <w:r w:rsidRPr="00CA03B2">
        <w:rPr>
          <w:rStyle w:val="DipnotBavurusu"/>
          <w:rFonts w:ascii="Arial" w:hAnsi="Arial" w:cs="Arial"/>
          <w:sz w:val="20"/>
          <w:szCs w:val="20"/>
        </w:rPr>
        <w:footnoteReference w:id="13"/>
      </w:r>
      <w:r w:rsidRPr="00CA03B2">
        <w:rPr>
          <w:rFonts w:ascii="Arial" w:hAnsi="Arial" w:cs="Arial"/>
          <w:sz w:val="20"/>
          <w:szCs w:val="20"/>
        </w:rPr>
        <w:t xml:space="preserve"> Son olarak da, DHMİ 2013 fiyat listesinde belirlenen ücretlerle çarparak uçak inişlerinden elde edilen konma gelirlerini hesapladık.</w:t>
      </w:r>
      <w:r w:rsidRPr="00CA03B2">
        <w:rPr>
          <w:rStyle w:val="DipnotBavurusu"/>
          <w:rFonts w:ascii="Arial" w:hAnsi="Arial" w:cs="Arial"/>
          <w:sz w:val="20"/>
          <w:szCs w:val="20"/>
        </w:rPr>
        <w:footnoteReference w:id="14"/>
      </w:r>
      <w:r w:rsidRPr="00CA03B2">
        <w:rPr>
          <w:rFonts w:ascii="Arial" w:hAnsi="Arial" w:cs="Arial"/>
          <w:sz w:val="20"/>
          <w:szCs w:val="20"/>
        </w:rPr>
        <w:t xml:space="preserve"> Havalimanı güvenlik ücretleri gibi havalimanlarında yolcu başına alınan ücretleri diğer yolcu gelirleri kalemi içerisinde topladık ve bunun Atlanta havalimanında olduğu gibi iç ve dış hat yolcu gelirleri toplamının dörtte biri olacağını kabul ettik. Atlanta havalimanının gelirlerini incelerken ticari gelirin yolcu gelirlerinin yaklaşık iki katı olduğunu ve ihaleyi alan şirket grubunun da hedeflediklerinin bu olduğunu belirtmiştik. Bunu esas alarak ticari gelirlerini toplam yolcu gelirinin iki katını alarak hesapladık.</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lastRenderedPageBreak/>
        <w:t xml:space="preserve">Yeni havalimanının işletme giderlerini hesaplamak için İstanbul Atatürk ve Sabiha Gökçen havalimanlarının işletme kâr marjlarına dayanarak yüzde 30’luk bir marj belirledik (TAV Faaliyet Raporu ve SWA Faaliyet Raporu, 2012). Bu marjı dikkate alınarak işletme giderleri hesaplandı. Bu hesaplamalarla bahsetmiş olduğumuz iki senaryo altında elde edilen 2019 yılı gelir-gider tablosu </w:t>
      </w:r>
      <w:fldSimple w:instr=" REF _Ref359318318 \h  \* MERGEFORMAT ">
        <w:r w:rsidRPr="00CA03B2">
          <w:rPr>
            <w:rFonts w:ascii="Arial" w:hAnsi="Arial" w:cs="Arial"/>
            <w:sz w:val="20"/>
            <w:szCs w:val="20"/>
          </w:rPr>
          <w:t xml:space="preserve">Tablo </w:t>
        </w:r>
        <w:r w:rsidRPr="00CA03B2">
          <w:rPr>
            <w:rFonts w:ascii="Arial" w:hAnsi="Arial" w:cs="Arial"/>
            <w:noProof/>
            <w:sz w:val="20"/>
            <w:szCs w:val="20"/>
          </w:rPr>
          <w:t>6</w:t>
        </w:r>
      </w:fldSimple>
      <w:r w:rsidRPr="00CA03B2">
        <w:rPr>
          <w:rFonts w:ascii="Arial" w:hAnsi="Arial" w:cs="Arial"/>
          <w:sz w:val="20"/>
          <w:szCs w:val="20"/>
        </w:rPr>
        <w:t>’te gösterilmektedir.</w:t>
      </w:r>
    </w:p>
    <w:p w:rsidR="009C0008" w:rsidRPr="00CA03B2" w:rsidRDefault="009C0008" w:rsidP="009C0008">
      <w:pPr>
        <w:pStyle w:val="ResimYazs"/>
        <w:keepNext/>
        <w:spacing w:before="100" w:beforeAutospacing="1" w:after="100" w:afterAutospacing="1"/>
        <w:jc w:val="both"/>
        <w:rPr>
          <w:rFonts w:ascii="Arial" w:hAnsi="Arial" w:cs="Arial"/>
        </w:rPr>
      </w:pPr>
      <w:bookmarkStart w:id="9" w:name="_Ref359318318"/>
      <w:r w:rsidRPr="00CA03B2">
        <w:rPr>
          <w:rFonts w:ascii="Arial" w:hAnsi="Arial" w:cs="Arial"/>
        </w:rPr>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6</w:t>
      </w:r>
      <w:r w:rsidRPr="00CA03B2">
        <w:rPr>
          <w:rFonts w:ascii="Arial" w:hAnsi="Arial" w:cs="Arial"/>
        </w:rPr>
        <w:fldChar w:fldCharType="end"/>
      </w:r>
      <w:bookmarkEnd w:id="9"/>
      <w:r w:rsidRPr="00CA03B2">
        <w:rPr>
          <w:rFonts w:ascii="Arial" w:hAnsi="Arial" w:cs="Arial"/>
        </w:rPr>
        <w:t xml:space="preserve"> İşletme gelirleri tahmini (milyon Avro) </w:t>
      </w:r>
    </w:p>
    <w:tbl>
      <w:tblPr>
        <w:tblW w:w="88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959"/>
        <w:gridCol w:w="1424"/>
        <w:gridCol w:w="1424"/>
      </w:tblGrid>
      <w:tr w:rsidR="009C0008" w:rsidRPr="004C50BA" w:rsidTr="00F17517">
        <w:trPr>
          <w:trHeight w:hRule="exact" w:val="284"/>
        </w:trPr>
        <w:tc>
          <w:tcPr>
            <w:tcW w:w="5959"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 </w:t>
            </w:r>
          </w:p>
        </w:tc>
        <w:tc>
          <w:tcPr>
            <w:tcW w:w="1424"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Senaryo 1</w:t>
            </w:r>
          </w:p>
          <w:p w:rsidR="009C0008" w:rsidRPr="004C50BA" w:rsidRDefault="009C0008" w:rsidP="00FF1A86">
            <w:pPr>
              <w:jc w:val="center"/>
              <w:rPr>
                <w:rFonts w:ascii="Arial" w:hAnsi="Arial" w:cs="Arial"/>
                <w:b/>
                <w:bCs/>
                <w:color w:val="000000"/>
                <w:sz w:val="18"/>
                <w:szCs w:val="18"/>
                <w:lang w:eastAsia="tr-TR"/>
              </w:rPr>
            </w:pPr>
          </w:p>
        </w:tc>
        <w:tc>
          <w:tcPr>
            <w:tcW w:w="1424"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Senaryo 2</w:t>
            </w:r>
          </w:p>
          <w:p w:rsidR="009C0008" w:rsidRPr="004C50BA" w:rsidRDefault="009C0008" w:rsidP="00FF1A86">
            <w:pPr>
              <w:jc w:val="center"/>
              <w:rPr>
                <w:rFonts w:ascii="Arial" w:hAnsi="Arial" w:cs="Arial"/>
                <w:b/>
                <w:bCs/>
                <w:color w:val="000000"/>
                <w:sz w:val="18"/>
                <w:szCs w:val="18"/>
                <w:lang w:eastAsia="tr-TR"/>
              </w:rPr>
            </w:pPr>
          </w:p>
        </w:tc>
      </w:tr>
      <w:tr w:rsidR="009C0008" w:rsidRPr="004C50BA" w:rsidTr="00F17517">
        <w:trPr>
          <w:trHeight w:hRule="exact" w:val="284"/>
        </w:trPr>
        <w:tc>
          <w:tcPr>
            <w:tcW w:w="5959"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Toplam İşletme Gelirleri</w:t>
            </w:r>
          </w:p>
        </w:tc>
        <w:tc>
          <w:tcPr>
            <w:tcW w:w="1424" w:type="dxa"/>
            <w:noWrap/>
            <w:vAlign w:val="center"/>
          </w:tcPr>
          <w:p w:rsidR="009C0008" w:rsidRPr="004C50BA" w:rsidRDefault="009C0008" w:rsidP="00FF1A86">
            <w:pPr>
              <w:jc w:val="center"/>
              <w:rPr>
                <w:rFonts w:ascii="Arial" w:hAnsi="Arial" w:cs="Arial"/>
                <w:b/>
                <w:bCs/>
                <w:color w:val="000000"/>
                <w:sz w:val="18"/>
                <w:szCs w:val="18"/>
              </w:rPr>
            </w:pPr>
            <w:r w:rsidRPr="004C50BA">
              <w:rPr>
                <w:rFonts w:ascii="Arial" w:hAnsi="Arial" w:cs="Arial"/>
                <w:b/>
                <w:bCs/>
                <w:color w:val="000000"/>
                <w:sz w:val="18"/>
                <w:szCs w:val="18"/>
              </w:rPr>
              <w:t>2995,1</w:t>
            </w:r>
          </w:p>
        </w:tc>
        <w:tc>
          <w:tcPr>
            <w:tcW w:w="1424" w:type="dxa"/>
            <w:noWrap/>
            <w:vAlign w:val="center"/>
          </w:tcPr>
          <w:p w:rsidR="009C0008" w:rsidRPr="004C50BA" w:rsidRDefault="009C0008" w:rsidP="00FF1A86">
            <w:pPr>
              <w:jc w:val="center"/>
              <w:rPr>
                <w:rFonts w:ascii="Arial" w:hAnsi="Arial" w:cs="Arial"/>
                <w:b/>
                <w:bCs/>
                <w:color w:val="000000"/>
                <w:sz w:val="18"/>
                <w:szCs w:val="18"/>
              </w:rPr>
            </w:pPr>
            <w:r w:rsidRPr="004C50BA">
              <w:rPr>
                <w:rFonts w:ascii="Arial" w:hAnsi="Arial" w:cs="Arial"/>
                <w:b/>
                <w:bCs/>
                <w:color w:val="000000"/>
                <w:sz w:val="18"/>
                <w:szCs w:val="18"/>
              </w:rPr>
              <w:t>2569,5</w:t>
            </w:r>
          </w:p>
        </w:tc>
      </w:tr>
      <w:tr w:rsidR="009C0008" w:rsidRPr="004C50BA" w:rsidTr="00F17517">
        <w:trPr>
          <w:trHeight w:hRule="exact" w:val="284"/>
        </w:trPr>
        <w:tc>
          <w:tcPr>
            <w:tcW w:w="5959" w:type="dxa"/>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 xml:space="preserve">   Yolcu Havayolu Gelirleri</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998,4</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856,5</w:t>
            </w:r>
          </w:p>
        </w:tc>
      </w:tr>
      <w:tr w:rsidR="009C0008" w:rsidRPr="004C50BA" w:rsidTr="00F17517">
        <w:trPr>
          <w:trHeight w:hRule="exact" w:val="284"/>
        </w:trPr>
        <w:tc>
          <w:tcPr>
            <w:tcW w:w="5959" w:type="dxa"/>
            <w:noWrap/>
            <w:vAlign w:val="center"/>
          </w:tcPr>
          <w:p w:rsidR="009C0008" w:rsidRPr="004C50BA" w:rsidRDefault="009C0008" w:rsidP="00FF1A86">
            <w:pPr>
              <w:rPr>
                <w:rFonts w:ascii="Arial" w:hAnsi="Arial" w:cs="Arial"/>
                <w:b/>
                <w:bCs/>
                <w:i/>
                <w:iCs/>
                <w:color w:val="000000"/>
                <w:sz w:val="18"/>
                <w:szCs w:val="18"/>
                <w:lang w:eastAsia="tr-TR"/>
              </w:rPr>
            </w:pPr>
            <w:r w:rsidRPr="004C50BA">
              <w:rPr>
                <w:rFonts w:ascii="Arial" w:hAnsi="Arial" w:cs="Arial"/>
                <w:b/>
                <w:bCs/>
                <w:i/>
                <w:iCs/>
                <w:color w:val="000000"/>
                <w:sz w:val="18"/>
                <w:szCs w:val="18"/>
                <w:lang w:eastAsia="tr-TR"/>
              </w:rPr>
              <w:t xml:space="preserve">        </w:t>
            </w:r>
            <w:r w:rsidRPr="004C50BA">
              <w:rPr>
                <w:rFonts w:ascii="Arial" w:hAnsi="Arial" w:cs="Arial"/>
                <w:i/>
                <w:iCs/>
                <w:color w:val="000000"/>
                <w:sz w:val="18"/>
                <w:szCs w:val="18"/>
                <w:lang w:eastAsia="tr-TR"/>
              </w:rPr>
              <w:t>Yolcu Gelirleri</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463,9</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397,9</w:t>
            </w:r>
          </w:p>
        </w:tc>
      </w:tr>
      <w:tr w:rsidR="009C0008" w:rsidRPr="004C50BA" w:rsidTr="00F17517">
        <w:trPr>
          <w:trHeight w:hRule="exact" w:val="284"/>
        </w:trPr>
        <w:tc>
          <w:tcPr>
            <w:tcW w:w="5959" w:type="dxa"/>
            <w:noWrap/>
            <w:vAlign w:val="center"/>
          </w:tcPr>
          <w:p w:rsidR="009C0008" w:rsidRPr="004C50BA" w:rsidRDefault="009C0008" w:rsidP="00FF1A86">
            <w:pPr>
              <w:rPr>
                <w:rFonts w:ascii="Arial" w:hAnsi="Arial" w:cs="Arial"/>
                <w:i/>
                <w:iCs/>
                <w:color w:val="000000"/>
                <w:sz w:val="18"/>
                <w:szCs w:val="18"/>
                <w:lang w:eastAsia="tr-TR"/>
              </w:rPr>
            </w:pPr>
            <w:r w:rsidRPr="004C50BA">
              <w:rPr>
                <w:rFonts w:ascii="Arial" w:hAnsi="Arial" w:cs="Arial"/>
                <w:i/>
                <w:iCs/>
                <w:color w:val="000000"/>
                <w:sz w:val="18"/>
                <w:szCs w:val="18"/>
                <w:lang w:eastAsia="tr-TR"/>
              </w:rPr>
              <w:t xml:space="preserve">                 İç Hat</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31,3</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26,9</w:t>
            </w:r>
          </w:p>
        </w:tc>
      </w:tr>
      <w:tr w:rsidR="009C0008" w:rsidRPr="004C50BA" w:rsidTr="00F17517">
        <w:trPr>
          <w:trHeight w:hRule="exact" w:val="284"/>
        </w:trPr>
        <w:tc>
          <w:tcPr>
            <w:tcW w:w="5959" w:type="dxa"/>
            <w:noWrap/>
            <w:vAlign w:val="center"/>
          </w:tcPr>
          <w:p w:rsidR="009C0008" w:rsidRPr="004C50BA" w:rsidRDefault="009C0008" w:rsidP="00FF1A86">
            <w:pPr>
              <w:rPr>
                <w:rFonts w:ascii="Arial" w:hAnsi="Arial" w:cs="Arial"/>
                <w:i/>
                <w:iCs/>
                <w:color w:val="000000"/>
                <w:sz w:val="18"/>
                <w:szCs w:val="18"/>
                <w:lang w:eastAsia="tr-TR"/>
              </w:rPr>
            </w:pPr>
            <w:r w:rsidRPr="004C50BA">
              <w:rPr>
                <w:rFonts w:ascii="Arial" w:hAnsi="Arial" w:cs="Arial"/>
                <w:i/>
                <w:iCs/>
                <w:color w:val="000000"/>
                <w:sz w:val="18"/>
                <w:szCs w:val="18"/>
                <w:lang w:eastAsia="tr-TR"/>
              </w:rPr>
              <w:t xml:space="preserve">                 Dış Hat</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432,5</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371,1</w:t>
            </w:r>
          </w:p>
        </w:tc>
      </w:tr>
      <w:tr w:rsidR="009C0008" w:rsidRPr="004C50BA" w:rsidTr="00F17517">
        <w:trPr>
          <w:trHeight w:hRule="exact" w:val="284"/>
        </w:trPr>
        <w:tc>
          <w:tcPr>
            <w:tcW w:w="5959" w:type="dxa"/>
            <w:noWrap/>
            <w:vAlign w:val="center"/>
          </w:tcPr>
          <w:p w:rsidR="009C0008" w:rsidRPr="004C50BA" w:rsidRDefault="009C0008" w:rsidP="00FF1A86">
            <w:pPr>
              <w:rPr>
                <w:rFonts w:ascii="Arial" w:hAnsi="Arial" w:cs="Arial"/>
                <w:i/>
                <w:iCs/>
                <w:color w:val="000000"/>
                <w:sz w:val="18"/>
                <w:szCs w:val="18"/>
                <w:lang w:eastAsia="tr-TR"/>
              </w:rPr>
            </w:pPr>
            <w:r w:rsidRPr="004C50BA">
              <w:rPr>
                <w:rFonts w:ascii="Arial" w:hAnsi="Arial" w:cs="Arial"/>
                <w:i/>
                <w:iCs/>
                <w:color w:val="000000"/>
                <w:sz w:val="18"/>
                <w:szCs w:val="18"/>
                <w:lang w:eastAsia="tr-TR"/>
              </w:rPr>
              <w:t xml:space="preserve">         Konma Geliri</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418,5</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359,1</w:t>
            </w:r>
          </w:p>
        </w:tc>
      </w:tr>
      <w:tr w:rsidR="009C0008" w:rsidRPr="004C50BA" w:rsidTr="00F17517">
        <w:trPr>
          <w:trHeight w:hRule="exact" w:val="284"/>
        </w:trPr>
        <w:tc>
          <w:tcPr>
            <w:tcW w:w="5959" w:type="dxa"/>
            <w:noWrap/>
            <w:vAlign w:val="center"/>
          </w:tcPr>
          <w:p w:rsidR="009C0008" w:rsidRPr="004C50BA" w:rsidRDefault="009C0008" w:rsidP="00FF1A86">
            <w:pPr>
              <w:rPr>
                <w:rFonts w:ascii="Arial" w:hAnsi="Arial" w:cs="Arial"/>
                <w:i/>
                <w:iCs/>
                <w:color w:val="000000"/>
                <w:sz w:val="18"/>
                <w:szCs w:val="18"/>
                <w:lang w:eastAsia="tr-TR"/>
              </w:rPr>
            </w:pPr>
            <w:r w:rsidRPr="004C50BA">
              <w:rPr>
                <w:rFonts w:ascii="Arial" w:hAnsi="Arial" w:cs="Arial"/>
                <w:i/>
                <w:iCs/>
                <w:color w:val="000000"/>
                <w:sz w:val="18"/>
                <w:szCs w:val="18"/>
                <w:lang w:eastAsia="tr-TR"/>
              </w:rPr>
              <w:t xml:space="preserve">         Diğer Yolcu Gelirleri</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116,0</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99,5</w:t>
            </w:r>
          </w:p>
        </w:tc>
      </w:tr>
      <w:tr w:rsidR="009C0008" w:rsidRPr="004C50BA" w:rsidTr="00F17517">
        <w:trPr>
          <w:trHeight w:hRule="exact" w:val="567"/>
        </w:trPr>
        <w:tc>
          <w:tcPr>
            <w:tcW w:w="5959" w:type="dxa"/>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 xml:space="preserve">   Diğer İşletme Gelirleri  (Yolcu Dışı+Yer ve Terminal Dışı Gelir+Terminal Geliri+Otopark Geliri+Diğer Gelirler)</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1996,7</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1713,0</w:t>
            </w:r>
          </w:p>
        </w:tc>
      </w:tr>
      <w:tr w:rsidR="009C0008" w:rsidRPr="004C50BA" w:rsidTr="00F17517">
        <w:trPr>
          <w:trHeight w:hRule="exact" w:val="284"/>
        </w:trPr>
        <w:tc>
          <w:tcPr>
            <w:tcW w:w="5959"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Toplam İşletme Giderleri</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-2096,6</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-1798,7</w:t>
            </w:r>
          </w:p>
        </w:tc>
      </w:tr>
      <w:tr w:rsidR="009C0008" w:rsidRPr="004C50BA" w:rsidTr="00F17517">
        <w:trPr>
          <w:trHeight w:hRule="exact" w:val="284"/>
        </w:trPr>
        <w:tc>
          <w:tcPr>
            <w:tcW w:w="5959"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Net İşletme Kazancı</w:t>
            </w:r>
          </w:p>
        </w:tc>
        <w:tc>
          <w:tcPr>
            <w:tcW w:w="1424" w:type="dxa"/>
            <w:noWrap/>
            <w:vAlign w:val="center"/>
          </w:tcPr>
          <w:p w:rsidR="009C0008" w:rsidRPr="004C50BA" w:rsidRDefault="009C0008" w:rsidP="00FF1A86">
            <w:pPr>
              <w:jc w:val="center"/>
              <w:rPr>
                <w:rFonts w:ascii="Arial" w:hAnsi="Arial" w:cs="Arial"/>
                <w:b/>
                <w:bCs/>
                <w:color w:val="000000"/>
                <w:sz w:val="18"/>
                <w:szCs w:val="18"/>
              </w:rPr>
            </w:pPr>
            <w:r w:rsidRPr="004C50BA">
              <w:rPr>
                <w:rFonts w:ascii="Arial" w:hAnsi="Arial" w:cs="Arial"/>
                <w:b/>
                <w:bCs/>
                <w:color w:val="000000"/>
                <w:sz w:val="18"/>
                <w:szCs w:val="18"/>
              </w:rPr>
              <w:t>898,5</w:t>
            </w:r>
          </w:p>
        </w:tc>
        <w:tc>
          <w:tcPr>
            <w:tcW w:w="1424" w:type="dxa"/>
            <w:noWrap/>
            <w:vAlign w:val="center"/>
          </w:tcPr>
          <w:p w:rsidR="009C0008" w:rsidRPr="004C50BA" w:rsidRDefault="009C0008" w:rsidP="00FF1A86">
            <w:pPr>
              <w:jc w:val="center"/>
              <w:rPr>
                <w:rFonts w:ascii="Arial" w:hAnsi="Arial" w:cs="Arial"/>
                <w:b/>
                <w:bCs/>
                <w:color w:val="000000"/>
                <w:sz w:val="18"/>
                <w:szCs w:val="18"/>
              </w:rPr>
            </w:pPr>
            <w:r w:rsidRPr="004C50BA">
              <w:rPr>
                <w:rFonts w:ascii="Arial" w:hAnsi="Arial" w:cs="Arial"/>
                <w:b/>
                <w:bCs/>
                <w:color w:val="000000"/>
                <w:sz w:val="18"/>
                <w:szCs w:val="18"/>
              </w:rPr>
              <w:t>770,9</w:t>
            </w:r>
          </w:p>
        </w:tc>
      </w:tr>
    </w:tbl>
    <w:p w:rsidR="009C0008" w:rsidRPr="002C6FB5" w:rsidRDefault="009C0008" w:rsidP="009C0008">
      <w:pPr>
        <w:jc w:val="both"/>
        <w:rPr>
          <w:rFonts w:ascii="Arial" w:hAnsi="Arial" w:cs="Arial"/>
          <w:sz w:val="16"/>
          <w:szCs w:val="16"/>
        </w:rPr>
      </w:pPr>
      <w:r w:rsidRPr="002C6FB5">
        <w:rPr>
          <w:rFonts w:ascii="Arial" w:hAnsi="Arial" w:cs="Arial"/>
          <w:sz w:val="16"/>
          <w:szCs w:val="16"/>
        </w:rPr>
        <w:t>Kaynak: Yazar</w:t>
      </w:r>
      <w:r w:rsidR="002C6FB5">
        <w:rPr>
          <w:rFonts w:ascii="Arial" w:hAnsi="Arial" w:cs="Arial"/>
          <w:sz w:val="16"/>
          <w:szCs w:val="16"/>
        </w:rPr>
        <w:t>lar</w:t>
      </w:r>
      <w:r w:rsidRPr="002C6FB5">
        <w:rPr>
          <w:rFonts w:ascii="Arial" w:hAnsi="Arial" w:cs="Arial"/>
          <w:sz w:val="16"/>
          <w:szCs w:val="16"/>
        </w:rPr>
        <w:t xml:space="preserve">ın kendi hesaplamaları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Senaryo 1’de havalimanının yolcu havayolu geliri 998 milyon Avro ve diğer işletme gelirleri 1 milyar 996 milyon Avro çıkmıştır. Toplam işletme gelirleri 2 milyar 995 milyon Avro olmuştur. Bunun yanında işletme giderleri yüzde 30’luk marj ile 2 milyar 96 milyon Avro olacaktır. Varsaydığımız kâr marjı altında havalimanı 2019 yılında 898 milyon Avroluk bir işletme kârı elde edecektir.</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Şimdi bu gelir-gider tablosuna ihale koşullarından doğan gelir ve giderleri ekleyelim. İhale sözleşmesinin maddelerine bakarak üç kalemin hesabını yapmak gerekmektedir. Birincisi Hazine’nin vermiş olduğu yolcu garantisidir. DHMİ’nin şartnamede ilk 12 yıl için toplam 6,3 milyar Avroluk sadece dış hat ve transitleri kapsayan yolcu garantisi sunmuştur. Bu da demek oluyor ki, eğer ihaleyi alan taraf dış ve transit yolcularından yıllık 525 milyon Avronun altında gelir elde ederse Hazine aradaki farkı konsorsiyuma ödeyecektir. Eğer bu meblağın üzerinde gelir elde edilirse fark Hazine’ye aktarılacaktır. Dış hat ve transit yolculardan gelen 432,9 milyon Avro Hazine’nin vermiş olduğu garanti 525 milyon Avrodan az olduğu için 2019 yılda havalimanı 92,5 milyon Avro Hazine’den ödenek alacaktır.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İkinci olarak dikkate alınması gereken husus, yapılan ihalede 25 yıllık kira bedeli KDV dahil yaklaşık 26,1 milyar Avro olarak belirlenmiş olmasıdır. Bunu 25 yıla bölecek olursak 2019 yılı için kira gideri 1 milyar 45 milyon Avro olacaktır. Üçüncü husus ise, ilk aşama inşaatı için alınacak olan kredidir. İlk aşamada yani 90 milyon kapasiteli havalimanı için yaklaşık 7,5 milyar Avro inşaat maliyeti tahmin edilmektedir. Konsorsiyum bu maliyetin yüzde 20’sini öz sermaye kullanarak karşılayacaktır. Geriye kalan 6 milyar Avro için dört yıl geri ödemesiz ve artı 12 yıl ödemeli toplam 16 yıl vadeli kredi paketi almayı planlamaktadır. Konsorsiyum bu kredinin (6 milyar Avro) Hazine’nin ilk 12 yıl için garanti ettiği 6.3 milyar Avro sayesinde kolaylıkla alınabileceğine inanıyor.</w:t>
      </w:r>
      <w:r w:rsidRPr="00CA03B2">
        <w:rPr>
          <w:rFonts w:ascii="Arial" w:hAnsi="Arial" w:cs="Arial"/>
          <w:sz w:val="20"/>
          <w:szCs w:val="20"/>
        </w:rPr>
        <w:footnoteReference w:id="15"/>
      </w:r>
      <w:r w:rsidRPr="00CA03B2">
        <w:rPr>
          <w:rFonts w:ascii="Arial" w:hAnsi="Arial" w:cs="Arial"/>
          <w:sz w:val="20"/>
          <w:szCs w:val="20"/>
        </w:rPr>
        <w:t xml:space="preserve"> Kredi taksitlerini (anapara ve faiz) ödemelerini hesaplarken Eurobond faiz oranı olan yüzde 3,5’e yarım puanlık bir risk primi ekleyerek kredi faiz oranını yüzde 4 olarak belirledik. Bu faiz oranının olabilecek en düşük faiz oranı olduğunun altını çizelim. Bu varsayımlar altında kredi geri ödemesi başladığında havalimanı işletmeye acilmiş olacak ve yıllık kredi taksiti 628,9 milyon Avro olacaktır. </w:t>
      </w:r>
    </w:p>
    <w:p w:rsidR="009C0008" w:rsidRPr="00CA03B2" w:rsidRDefault="009C0008" w:rsidP="009C0008">
      <w:pPr>
        <w:spacing w:before="100" w:beforeAutospacing="1" w:after="100" w:afterAutospacing="1"/>
        <w:ind w:firstLine="709"/>
        <w:jc w:val="both"/>
        <w:rPr>
          <w:rFonts w:ascii="Arial" w:hAnsi="Arial" w:cs="Arial"/>
          <w:sz w:val="20"/>
          <w:szCs w:val="20"/>
        </w:rPr>
      </w:pPr>
      <w:fldSimple w:instr=" REF _Ref359600650 \h  \* MERGEFORMAT ">
        <w:r w:rsidRPr="00CA03B2">
          <w:rPr>
            <w:rFonts w:ascii="Arial" w:hAnsi="Arial" w:cs="Arial"/>
            <w:sz w:val="20"/>
            <w:szCs w:val="20"/>
          </w:rPr>
          <w:t xml:space="preserve">Tablo </w:t>
        </w:r>
        <w:r w:rsidRPr="00CA03B2">
          <w:rPr>
            <w:rFonts w:ascii="Arial" w:hAnsi="Arial" w:cs="Arial"/>
            <w:noProof/>
            <w:sz w:val="20"/>
            <w:szCs w:val="20"/>
          </w:rPr>
          <w:t>7</w:t>
        </w:r>
      </w:fldSimple>
      <w:r w:rsidRPr="00CA03B2">
        <w:rPr>
          <w:rFonts w:ascii="Arial" w:hAnsi="Arial" w:cs="Arial"/>
          <w:sz w:val="20"/>
          <w:szCs w:val="20"/>
        </w:rPr>
        <w:t xml:space="preserve">’da sözleşme koşulları altında oluşturulmuş gelir-gider tablosu tahmininde görülüğü gibi bizim hesaplarımıza göre 2019 yılında konsorsiyumun bu yatırımdan Senaryo 1’de 683 milyon Avro zarar yazacaktır. Kısacası, işletme </w:t>
      </w:r>
      <w:r w:rsidRPr="00CA03B2">
        <w:rPr>
          <w:rFonts w:ascii="Arial" w:hAnsi="Arial" w:cs="Arial"/>
          <w:bCs/>
          <w:color w:val="000000"/>
          <w:sz w:val="20"/>
          <w:szCs w:val="20"/>
          <w:shd w:val="clear" w:color="auto" w:fill="FFFFFF"/>
        </w:rPr>
        <w:t>kâr</w:t>
      </w:r>
      <w:r w:rsidRPr="00CA03B2">
        <w:rPr>
          <w:rFonts w:ascii="Arial" w:hAnsi="Arial" w:cs="Arial"/>
          <w:sz w:val="20"/>
          <w:szCs w:val="20"/>
        </w:rPr>
        <w:t>ı havalimanının Devlet’e ödeyeceği kirayı ve kredi taksitlerini karşılayamayacaktır.</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lastRenderedPageBreak/>
        <w:t xml:space="preserve">Daha konservatif olan Senaryo 2’de, 2019 yılında yaklaşık 68 milyon yolcu trafiğine ulaşılacağı öngörülmektedir. Net işletme kazancı 770 milyon Avro olarak hesaplanırken, sözleşme koşullarına ve inşaata bağlı giderlerden sonra net kayıp 749 milyon Avro olarak hesaplanmıştır. </w:t>
      </w:r>
    </w:p>
    <w:p w:rsidR="009C0008" w:rsidRPr="00CA03B2" w:rsidRDefault="009C0008" w:rsidP="009C0008">
      <w:pPr>
        <w:pStyle w:val="ResimYazs"/>
        <w:keepNext/>
        <w:spacing w:before="100" w:beforeAutospacing="1" w:after="100" w:afterAutospacing="1"/>
        <w:jc w:val="both"/>
        <w:rPr>
          <w:rFonts w:ascii="Arial" w:hAnsi="Arial" w:cs="Arial"/>
        </w:rPr>
      </w:pPr>
      <w:bookmarkStart w:id="10" w:name="_Ref359600650"/>
      <w:r w:rsidRPr="00CA03B2">
        <w:rPr>
          <w:rFonts w:ascii="Arial" w:hAnsi="Arial" w:cs="Arial"/>
        </w:rPr>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7</w:t>
      </w:r>
      <w:r w:rsidRPr="00CA03B2">
        <w:rPr>
          <w:rFonts w:ascii="Arial" w:hAnsi="Arial" w:cs="Arial"/>
        </w:rPr>
        <w:fldChar w:fldCharType="end"/>
      </w:r>
      <w:bookmarkEnd w:id="10"/>
      <w:r w:rsidRPr="00CA03B2">
        <w:rPr>
          <w:rFonts w:ascii="Arial" w:hAnsi="Arial" w:cs="Arial"/>
        </w:rPr>
        <w:t xml:space="preserve"> Sözleşme koşulları ile finansal tablo tahmini (milyon Avro)</w:t>
      </w:r>
    </w:p>
    <w:tbl>
      <w:tblPr>
        <w:tblW w:w="60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157"/>
        <w:gridCol w:w="1424"/>
        <w:gridCol w:w="1424"/>
      </w:tblGrid>
      <w:tr w:rsidR="009C0008" w:rsidRPr="004C50BA" w:rsidTr="00F17517">
        <w:trPr>
          <w:trHeight w:hRule="exact" w:val="284"/>
        </w:trPr>
        <w:tc>
          <w:tcPr>
            <w:tcW w:w="3157" w:type="dxa"/>
            <w:noWrap/>
            <w:vAlign w:val="center"/>
          </w:tcPr>
          <w:p w:rsidR="009C0008" w:rsidRPr="004C50BA" w:rsidRDefault="009C0008" w:rsidP="00FF1A86">
            <w:pPr>
              <w:rPr>
                <w:rFonts w:ascii="Arial" w:hAnsi="Arial" w:cs="Arial"/>
                <w:b/>
                <w:bCs/>
                <w:color w:val="000000"/>
                <w:sz w:val="18"/>
                <w:szCs w:val="18"/>
                <w:lang w:eastAsia="tr-TR"/>
              </w:rPr>
            </w:pPr>
          </w:p>
        </w:tc>
        <w:tc>
          <w:tcPr>
            <w:tcW w:w="1424"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Senaryo 1</w:t>
            </w:r>
          </w:p>
          <w:p w:rsidR="009C0008" w:rsidRPr="004C50BA" w:rsidRDefault="009C0008" w:rsidP="00FF1A86">
            <w:pPr>
              <w:jc w:val="center"/>
              <w:rPr>
                <w:rFonts w:ascii="Arial" w:hAnsi="Arial" w:cs="Arial"/>
                <w:b/>
                <w:bCs/>
                <w:color w:val="000000"/>
                <w:sz w:val="18"/>
                <w:szCs w:val="18"/>
                <w:lang w:eastAsia="tr-TR"/>
              </w:rPr>
            </w:pPr>
          </w:p>
        </w:tc>
        <w:tc>
          <w:tcPr>
            <w:tcW w:w="1424"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Senaryo 2</w:t>
            </w:r>
          </w:p>
          <w:p w:rsidR="009C0008" w:rsidRPr="004C50BA" w:rsidRDefault="009C0008" w:rsidP="00FF1A86">
            <w:pPr>
              <w:jc w:val="center"/>
              <w:rPr>
                <w:rFonts w:ascii="Arial" w:hAnsi="Arial" w:cs="Arial"/>
                <w:b/>
                <w:bCs/>
                <w:color w:val="000000"/>
                <w:sz w:val="18"/>
                <w:szCs w:val="18"/>
                <w:lang w:eastAsia="tr-TR"/>
              </w:rPr>
            </w:pPr>
          </w:p>
        </w:tc>
      </w:tr>
      <w:tr w:rsidR="009C0008" w:rsidRPr="004C50BA" w:rsidTr="00F17517">
        <w:trPr>
          <w:trHeight w:hRule="exact" w:val="567"/>
        </w:trPr>
        <w:tc>
          <w:tcPr>
            <w:tcW w:w="3157"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Hazine Garantisi’nden doğan gelir transferi</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92,5</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153,9</w:t>
            </w:r>
          </w:p>
        </w:tc>
      </w:tr>
      <w:tr w:rsidR="009C0008" w:rsidRPr="004C50BA" w:rsidTr="00F17517">
        <w:trPr>
          <w:trHeight w:hRule="exact" w:val="284"/>
        </w:trPr>
        <w:tc>
          <w:tcPr>
            <w:tcW w:w="3157"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Toplam İhale ve İnşaat Giderleri</w:t>
            </w:r>
          </w:p>
        </w:tc>
        <w:tc>
          <w:tcPr>
            <w:tcW w:w="1424" w:type="dxa"/>
            <w:noWrap/>
            <w:vAlign w:val="center"/>
          </w:tcPr>
          <w:p w:rsidR="009C0008" w:rsidRPr="004C50BA" w:rsidRDefault="009C0008" w:rsidP="00FF1A86">
            <w:pPr>
              <w:jc w:val="center"/>
              <w:rPr>
                <w:rFonts w:ascii="Arial" w:hAnsi="Arial" w:cs="Arial"/>
                <w:b/>
                <w:bCs/>
                <w:color w:val="000000"/>
                <w:sz w:val="18"/>
                <w:szCs w:val="18"/>
              </w:rPr>
            </w:pPr>
            <w:r w:rsidRPr="004C50BA">
              <w:rPr>
                <w:rFonts w:ascii="Arial" w:hAnsi="Arial" w:cs="Arial"/>
                <w:b/>
                <w:bCs/>
                <w:color w:val="000000"/>
                <w:sz w:val="18"/>
                <w:szCs w:val="18"/>
              </w:rPr>
              <w:t>-1674,5</w:t>
            </w:r>
          </w:p>
        </w:tc>
        <w:tc>
          <w:tcPr>
            <w:tcW w:w="1424" w:type="dxa"/>
            <w:noWrap/>
            <w:vAlign w:val="center"/>
          </w:tcPr>
          <w:p w:rsidR="009C0008" w:rsidRPr="004C50BA" w:rsidRDefault="009C0008" w:rsidP="00FF1A86">
            <w:pPr>
              <w:jc w:val="center"/>
              <w:rPr>
                <w:rFonts w:ascii="Arial" w:hAnsi="Arial" w:cs="Arial"/>
                <w:b/>
                <w:bCs/>
                <w:color w:val="000000"/>
                <w:sz w:val="18"/>
                <w:szCs w:val="18"/>
              </w:rPr>
            </w:pPr>
            <w:r w:rsidRPr="004C50BA">
              <w:rPr>
                <w:rFonts w:ascii="Arial" w:hAnsi="Arial" w:cs="Arial"/>
                <w:b/>
                <w:bCs/>
                <w:color w:val="000000"/>
                <w:sz w:val="18"/>
                <w:szCs w:val="18"/>
              </w:rPr>
              <w:t>-1674,5</w:t>
            </w:r>
          </w:p>
        </w:tc>
      </w:tr>
      <w:tr w:rsidR="009C0008" w:rsidRPr="004C50BA" w:rsidTr="00F17517">
        <w:trPr>
          <w:trHeight w:hRule="exact" w:val="284"/>
        </w:trPr>
        <w:tc>
          <w:tcPr>
            <w:tcW w:w="3157" w:type="dxa"/>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 xml:space="preserve">   Kredi</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-628,9</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-628,9</w:t>
            </w:r>
          </w:p>
        </w:tc>
      </w:tr>
      <w:tr w:rsidR="009C0008" w:rsidRPr="004C50BA" w:rsidTr="00F17517">
        <w:trPr>
          <w:trHeight w:hRule="exact" w:val="284"/>
        </w:trPr>
        <w:tc>
          <w:tcPr>
            <w:tcW w:w="3157" w:type="dxa"/>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 xml:space="preserve">   Kira</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-1045,6</w:t>
            </w:r>
          </w:p>
        </w:tc>
        <w:tc>
          <w:tcPr>
            <w:tcW w:w="1424"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-1045,6</w:t>
            </w:r>
          </w:p>
        </w:tc>
      </w:tr>
      <w:tr w:rsidR="009C0008" w:rsidRPr="004C50BA" w:rsidTr="00F17517">
        <w:trPr>
          <w:trHeight w:hRule="exact" w:val="284"/>
        </w:trPr>
        <w:tc>
          <w:tcPr>
            <w:tcW w:w="3157"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Net Kayıp</w:t>
            </w:r>
          </w:p>
        </w:tc>
        <w:tc>
          <w:tcPr>
            <w:tcW w:w="1424" w:type="dxa"/>
            <w:noWrap/>
            <w:vAlign w:val="center"/>
          </w:tcPr>
          <w:p w:rsidR="009C0008" w:rsidRPr="004C50BA" w:rsidRDefault="009C0008" w:rsidP="00FF1A86">
            <w:pPr>
              <w:jc w:val="center"/>
              <w:rPr>
                <w:rFonts w:ascii="Arial" w:hAnsi="Arial" w:cs="Arial"/>
                <w:b/>
                <w:bCs/>
                <w:color w:val="000000"/>
                <w:sz w:val="18"/>
                <w:szCs w:val="18"/>
              </w:rPr>
            </w:pPr>
            <w:r w:rsidRPr="004C50BA">
              <w:rPr>
                <w:rFonts w:ascii="Arial" w:hAnsi="Arial" w:cs="Arial"/>
                <w:b/>
                <w:bCs/>
                <w:color w:val="000000"/>
                <w:sz w:val="18"/>
                <w:szCs w:val="18"/>
              </w:rPr>
              <w:t>-683,5</w:t>
            </w:r>
          </w:p>
        </w:tc>
        <w:tc>
          <w:tcPr>
            <w:tcW w:w="1424" w:type="dxa"/>
            <w:noWrap/>
            <w:vAlign w:val="center"/>
          </w:tcPr>
          <w:p w:rsidR="009C0008" w:rsidRPr="004C50BA" w:rsidRDefault="009C0008" w:rsidP="00FF1A86">
            <w:pPr>
              <w:jc w:val="center"/>
              <w:rPr>
                <w:rFonts w:ascii="Arial" w:hAnsi="Arial" w:cs="Arial"/>
                <w:b/>
                <w:bCs/>
                <w:color w:val="000000"/>
                <w:sz w:val="18"/>
                <w:szCs w:val="18"/>
              </w:rPr>
            </w:pPr>
            <w:r w:rsidRPr="004C50BA">
              <w:rPr>
                <w:rFonts w:ascii="Arial" w:hAnsi="Arial" w:cs="Arial"/>
                <w:b/>
                <w:bCs/>
                <w:color w:val="000000"/>
                <w:sz w:val="18"/>
                <w:szCs w:val="18"/>
              </w:rPr>
              <w:t>-749,7</w:t>
            </w:r>
          </w:p>
        </w:tc>
      </w:tr>
    </w:tbl>
    <w:p w:rsidR="009C0008" w:rsidRPr="002C6FB5" w:rsidRDefault="009C0008" w:rsidP="009C0008">
      <w:pPr>
        <w:jc w:val="both"/>
        <w:rPr>
          <w:rFonts w:ascii="Arial" w:hAnsi="Arial" w:cs="Arial"/>
          <w:sz w:val="16"/>
          <w:szCs w:val="16"/>
        </w:rPr>
      </w:pPr>
      <w:r w:rsidRPr="002C6FB5">
        <w:rPr>
          <w:rFonts w:ascii="Arial" w:hAnsi="Arial" w:cs="Arial"/>
          <w:sz w:val="16"/>
          <w:szCs w:val="16"/>
        </w:rPr>
        <w:t>Kaynak: Yazar</w:t>
      </w:r>
      <w:r w:rsidR="002C6FB5">
        <w:rPr>
          <w:rFonts w:ascii="Arial" w:hAnsi="Arial" w:cs="Arial"/>
          <w:sz w:val="16"/>
          <w:szCs w:val="16"/>
        </w:rPr>
        <w:t>lar</w:t>
      </w:r>
      <w:r w:rsidRPr="002C6FB5">
        <w:rPr>
          <w:rFonts w:ascii="Arial" w:hAnsi="Arial" w:cs="Arial"/>
          <w:sz w:val="16"/>
          <w:szCs w:val="16"/>
        </w:rPr>
        <w:t xml:space="preserve">ın kendi hesaplamaları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Bu hesaplamada sadece yeni havalimanın tahmini havacılık ve ticari gelirleri ve giderleri ile ihale şartlarından kaynaklanan giderler dikkate alindi. Bilindiği gibi havalimanlarının tek gelir kaynakları havacılık ve ticari hizmetler değildir. Havalimanının gelir-gider tablolarına işletme dişi gelir (non-operating revenues) olarak giren gayrimenkul yatırım gelirleri, sponsor firma destekleri ve benzeri çeşitli gelir kaynakları vardır. Bu işletme dışı gelir altındaki en net kalem yolcu tesis ücretleri (passenger facility fees) altında toplanan güvenlik, kapasite ya da ulusal hava taşımacılığı sistemi güvenliğini koruma ve geliştirme, havalimanından kaynaklanan gürültüyü azaltma ve havayolu şirketleri arası rekabeti artırma amaçlı projeleri finanse edebilmek için havalimanları tarafından giden yolculardan alınabilen ücretlerdir. Yeni havalimanı bu ücretler sayesinde yolcu başı ücret toplayarak ekstra gelir yaratabilir. Bu işletme dışı gelirlerin ne kadar olacağı hususunda bir kestirim yapmak için başka havalimanlarının gelir-gider tablolarında işletme dışı gelirlerin toplam işletme gelirlerine oranına bakılabilir. Atlanta havalimanı için bu oran yaklaşık yüzde 42, Los Angeles Havalimanı için yüzde 25 ve John F. Kennedy havalimanı için yüzde 22’dir. </w:t>
      </w:r>
    </w:p>
    <w:p w:rsidR="009C0008" w:rsidRPr="002C6FB5" w:rsidRDefault="009C0008" w:rsidP="002C6FB5">
      <w:pPr>
        <w:pStyle w:val="Balk1"/>
        <w:jc w:val="left"/>
        <w:rPr>
          <w:sz w:val="22"/>
          <w:szCs w:val="22"/>
        </w:rPr>
      </w:pPr>
      <w:r w:rsidRPr="002C6FB5">
        <w:rPr>
          <w:sz w:val="22"/>
          <w:szCs w:val="22"/>
        </w:rPr>
        <w:t>2019-2043 döneminde havalimanının tahmini gelir-gider durumu</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Kira döneminde İstanbul yeni havalimanı için tahmini gelir-gider tablosu </w:t>
      </w:r>
      <w:fldSimple w:instr=" REF _Ref360053789 \h  \* MERGEFORMAT ">
        <w:r w:rsidRPr="00CA03B2">
          <w:rPr>
            <w:rFonts w:ascii="Arial" w:hAnsi="Arial" w:cs="Arial"/>
            <w:sz w:val="20"/>
            <w:szCs w:val="20"/>
          </w:rPr>
          <w:t xml:space="preserve">Tablo </w:t>
        </w:r>
        <w:r w:rsidRPr="00CA03B2">
          <w:rPr>
            <w:rFonts w:ascii="Arial" w:hAnsi="Arial" w:cs="Arial"/>
            <w:noProof/>
            <w:sz w:val="20"/>
            <w:szCs w:val="20"/>
          </w:rPr>
          <w:t>8</w:t>
        </w:r>
      </w:fldSimple>
      <w:r w:rsidRPr="00CA03B2">
        <w:rPr>
          <w:rFonts w:ascii="Arial" w:hAnsi="Arial" w:cs="Arial"/>
          <w:sz w:val="20"/>
          <w:szCs w:val="20"/>
        </w:rPr>
        <w:t xml:space="preserve">’de gösterilmektedir. Burada gelir hesabi yaparken kira suresi boyunca (2019-2043) yolcu hizmet ücretlerini sözleşmede belirlenen tutarlarda sabit tuttuk. Bu ücretlerde ilerde değişiklikler olabileceğini hatırlatalım. Bu varsayım ve yolcu tahminleri çerçevesinde yeni havalimanı için kira dönemi bittiğinde Senaryo 1 altında 7,3 milyar Avro net kazanç ve Senaryo 2 altında 4,8 milyar Avro net kayıp hesaplıyoruz. Senaryo 1 ve Senaryo 2 altında 2019-2043 dönemi bütün yılların gelir-gider tablosu Eklerde </w:t>
      </w:r>
      <w:fldSimple w:instr=" REF _Ref360135888 \h  \* MERGEFORMAT ">
        <w:r w:rsidRPr="00CA03B2">
          <w:rPr>
            <w:rFonts w:ascii="Arial" w:hAnsi="Arial" w:cs="Arial"/>
            <w:sz w:val="20"/>
            <w:szCs w:val="20"/>
          </w:rPr>
          <w:t xml:space="preserve">Tablo </w:t>
        </w:r>
        <w:r w:rsidRPr="00CA03B2">
          <w:rPr>
            <w:rFonts w:ascii="Arial" w:hAnsi="Arial" w:cs="Arial"/>
            <w:noProof/>
            <w:sz w:val="20"/>
            <w:szCs w:val="20"/>
          </w:rPr>
          <w:t>12</w:t>
        </w:r>
      </w:fldSimple>
      <w:r w:rsidRPr="00CA03B2">
        <w:rPr>
          <w:rFonts w:ascii="Arial" w:hAnsi="Arial" w:cs="Arial"/>
          <w:sz w:val="20"/>
          <w:szCs w:val="20"/>
        </w:rPr>
        <w:t>’dedir.</w:t>
      </w:r>
    </w:p>
    <w:p w:rsidR="009C0008" w:rsidRPr="00CA03B2" w:rsidRDefault="009C0008" w:rsidP="009C0008">
      <w:pPr>
        <w:pStyle w:val="ResimYazs"/>
        <w:keepNext/>
        <w:spacing w:before="100" w:beforeAutospacing="1" w:after="100" w:afterAutospacing="1"/>
        <w:jc w:val="both"/>
        <w:rPr>
          <w:rFonts w:ascii="Arial" w:hAnsi="Arial" w:cs="Arial"/>
        </w:rPr>
      </w:pPr>
      <w:bookmarkStart w:id="11" w:name="_Ref360053789"/>
      <w:r w:rsidRPr="00CA03B2">
        <w:rPr>
          <w:rFonts w:ascii="Arial" w:hAnsi="Arial" w:cs="Arial"/>
        </w:rPr>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8</w:t>
      </w:r>
      <w:r w:rsidRPr="00CA03B2">
        <w:rPr>
          <w:rFonts w:ascii="Arial" w:hAnsi="Arial" w:cs="Arial"/>
        </w:rPr>
        <w:fldChar w:fldCharType="end"/>
      </w:r>
      <w:bookmarkEnd w:id="11"/>
      <w:r w:rsidRPr="00CA03B2">
        <w:rPr>
          <w:rFonts w:ascii="Arial" w:hAnsi="Arial" w:cs="Arial"/>
        </w:rPr>
        <w:t xml:space="preserve"> 2019-2043 döneminde havalimanı için tahmini gelir-gider tablosu (milyar Avro)</w:t>
      </w:r>
    </w:p>
    <w:tbl>
      <w:tblPr>
        <w:tblW w:w="9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162"/>
        <w:gridCol w:w="1162"/>
        <w:gridCol w:w="1561"/>
        <w:gridCol w:w="1096"/>
        <w:gridCol w:w="1068"/>
        <w:gridCol w:w="1548"/>
      </w:tblGrid>
      <w:tr w:rsidR="009C0008" w:rsidRPr="004C50BA" w:rsidTr="00F17517">
        <w:trPr>
          <w:trHeight w:hRule="exact" w:val="284"/>
        </w:trPr>
        <w:tc>
          <w:tcPr>
            <w:tcW w:w="1956" w:type="dxa"/>
            <w:shd w:val="clear" w:color="auto" w:fill="auto"/>
            <w:noWrap/>
            <w:vAlign w:val="center"/>
          </w:tcPr>
          <w:p w:rsidR="009C0008" w:rsidRPr="004C50BA" w:rsidRDefault="009C0008" w:rsidP="00FF1A86">
            <w:pPr>
              <w:rPr>
                <w:rFonts w:ascii="Arial" w:hAnsi="Arial" w:cs="Arial"/>
                <w:b/>
                <w:color w:val="000000"/>
                <w:sz w:val="18"/>
                <w:szCs w:val="18"/>
                <w:lang w:eastAsia="en-GB"/>
              </w:rPr>
            </w:pPr>
          </w:p>
        </w:tc>
        <w:tc>
          <w:tcPr>
            <w:tcW w:w="3885" w:type="dxa"/>
            <w:gridSpan w:val="3"/>
            <w:shd w:val="clear" w:color="auto" w:fill="auto"/>
            <w:noWrap/>
            <w:vAlign w:val="center"/>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bCs/>
                <w:color w:val="000000"/>
                <w:sz w:val="18"/>
                <w:szCs w:val="18"/>
                <w:lang w:eastAsia="tr-TR"/>
              </w:rPr>
              <w:t>Senaryo 1</w:t>
            </w:r>
          </w:p>
        </w:tc>
        <w:tc>
          <w:tcPr>
            <w:tcW w:w="3712" w:type="dxa"/>
            <w:gridSpan w:val="3"/>
            <w:vAlign w:val="center"/>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bCs/>
                <w:color w:val="000000"/>
                <w:sz w:val="18"/>
                <w:szCs w:val="18"/>
                <w:lang w:eastAsia="tr-TR"/>
              </w:rPr>
              <w:t>Senaryo 2</w:t>
            </w:r>
          </w:p>
        </w:tc>
      </w:tr>
      <w:tr w:rsidR="009C0008" w:rsidRPr="004C50BA" w:rsidTr="00F17517">
        <w:trPr>
          <w:trHeight w:hRule="exact" w:val="1134"/>
        </w:trPr>
        <w:tc>
          <w:tcPr>
            <w:tcW w:w="1956" w:type="dxa"/>
            <w:shd w:val="clear" w:color="auto" w:fill="auto"/>
            <w:noWrap/>
            <w:vAlign w:val="center"/>
            <w:hideMark/>
          </w:tcPr>
          <w:p w:rsidR="009C0008" w:rsidRPr="004C50BA" w:rsidRDefault="009C0008" w:rsidP="00FF1A86">
            <w:pPr>
              <w:rPr>
                <w:rFonts w:ascii="Arial" w:hAnsi="Arial" w:cs="Arial"/>
                <w:b/>
                <w:color w:val="000000"/>
                <w:sz w:val="18"/>
                <w:szCs w:val="18"/>
                <w:lang w:eastAsia="en-GB"/>
              </w:rPr>
            </w:pPr>
            <w:r w:rsidRPr="004C50BA">
              <w:rPr>
                <w:rFonts w:ascii="Arial" w:hAnsi="Arial" w:cs="Arial"/>
                <w:b/>
                <w:color w:val="000000"/>
                <w:sz w:val="18"/>
                <w:szCs w:val="18"/>
                <w:lang w:eastAsia="en-GB"/>
              </w:rPr>
              <w:t>Yıl</w:t>
            </w:r>
          </w:p>
        </w:tc>
        <w:tc>
          <w:tcPr>
            <w:tcW w:w="1162" w:type="dxa"/>
            <w:shd w:val="clear" w:color="auto" w:fill="auto"/>
            <w:noWrap/>
            <w:vAlign w:val="center"/>
            <w:hideMark/>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w:t>
            </w:r>
          </w:p>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Işletme</w:t>
            </w:r>
          </w:p>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Gelirleri</w:t>
            </w:r>
          </w:p>
        </w:tc>
        <w:tc>
          <w:tcPr>
            <w:tcW w:w="1162" w:type="dxa"/>
            <w:shd w:val="clear" w:color="auto" w:fill="auto"/>
            <w:noWrap/>
            <w:vAlign w:val="center"/>
            <w:hideMark/>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Toplam</w:t>
            </w:r>
          </w:p>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Gider</w:t>
            </w:r>
          </w:p>
        </w:tc>
        <w:tc>
          <w:tcPr>
            <w:tcW w:w="1561" w:type="dxa"/>
            <w:shd w:val="clear" w:color="auto" w:fill="auto"/>
            <w:noWrap/>
            <w:vAlign w:val="center"/>
            <w:hideMark/>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Net</w:t>
            </w:r>
          </w:p>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Kazanç/Kayıp</w:t>
            </w:r>
          </w:p>
        </w:tc>
        <w:tc>
          <w:tcPr>
            <w:tcW w:w="1096" w:type="dxa"/>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w:t>
            </w:r>
          </w:p>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Işletme</w:t>
            </w:r>
          </w:p>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Gelirleri</w:t>
            </w:r>
          </w:p>
        </w:tc>
        <w:tc>
          <w:tcPr>
            <w:tcW w:w="1068" w:type="dxa"/>
            <w:vAlign w:val="center"/>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Toplam</w:t>
            </w:r>
          </w:p>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Gider</w:t>
            </w:r>
          </w:p>
        </w:tc>
        <w:tc>
          <w:tcPr>
            <w:tcW w:w="1548" w:type="dxa"/>
            <w:vAlign w:val="center"/>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Net</w:t>
            </w:r>
          </w:p>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Kazanç/Kayıp</w:t>
            </w:r>
          </w:p>
        </w:tc>
      </w:tr>
      <w:tr w:rsidR="009C0008" w:rsidRPr="004C50BA" w:rsidTr="00F17517">
        <w:trPr>
          <w:trHeight w:hRule="exact" w:val="284"/>
        </w:trPr>
        <w:tc>
          <w:tcPr>
            <w:tcW w:w="195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2019</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10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2,6</w:t>
            </w:r>
          </w:p>
        </w:tc>
        <w:tc>
          <w:tcPr>
            <w:tcW w:w="106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w:t>
            </w:r>
          </w:p>
        </w:tc>
        <w:tc>
          <w:tcPr>
            <w:tcW w:w="154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r>
      <w:tr w:rsidR="009C0008" w:rsidRPr="004C50BA" w:rsidTr="00F17517">
        <w:trPr>
          <w:trHeight w:hRule="exact" w:val="284"/>
        </w:trPr>
        <w:tc>
          <w:tcPr>
            <w:tcW w:w="195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2030</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5,9</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5,8</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-0,2</w:t>
            </w:r>
          </w:p>
        </w:tc>
        <w:tc>
          <w:tcPr>
            <w:tcW w:w="10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w:t>
            </w:r>
          </w:p>
        </w:tc>
        <w:tc>
          <w:tcPr>
            <w:tcW w:w="106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w:t>
            </w:r>
          </w:p>
        </w:tc>
        <w:tc>
          <w:tcPr>
            <w:tcW w:w="154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-0,5</w:t>
            </w:r>
          </w:p>
        </w:tc>
      </w:tr>
      <w:tr w:rsidR="009C0008" w:rsidRPr="004C50BA" w:rsidTr="00F17517">
        <w:trPr>
          <w:trHeight w:hRule="exact" w:val="284"/>
        </w:trPr>
        <w:tc>
          <w:tcPr>
            <w:tcW w:w="195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2043</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7,5</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6,3</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1,2</w:t>
            </w:r>
          </w:p>
        </w:tc>
        <w:tc>
          <w:tcPr>
            <w:tcW w:w="10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4,4</w:t>
            </w:r>
          </w:p>
        </w:tc>
        <w:tc>
          <w:tcPr>
            <w:tcW w:w="106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w:t>
            </w:r>
          </w:p>
        </w:tc>
        <w:tc>
          <w:tcPr>
            <w:tcW w:w="154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0,3</w:t>
            </w:r>
          </w:p>
        </w:tc>
      </w:tr>
      <w:tr w:rsidR="009C0008" w:rsidRPr="004C50BA" w:rsidTr="00F17517">
        <w:trPr>
          <w:trHeight w:hRule="exact" w:val="284"/>
        </w:trPr>
        <w:tc>
          <w:tcPr>
            <w:tcW w:w="1956" w:type="dxa"/>
            <w:shd w:val="clear" w:color="auto" w:fill="auto"/>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2019-2030 Toplam</w:t>
            </w:r>
          </w:p>
        </w:tc>
        <w:tc>
          <w:tcPr>
            <w:tcW w:w="1162"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52,0</w:t>
            </w:r>
          </w:p>
        </w:tc>
        <w:tc>
          <w:tcPr>
            <w:tcW w:w="1162"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56,5</w:t>
            </w:r>
          </w:p>
        </w:tc>
        <w:tc>
          <w:tcPr>
            <w:tcW w:w="1561"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-5,7</w:t>
            </w:r>
          </w:p>
        </w:tc>
        <w:tc>
          <w:tcPr>
            <w:tcW w:w="10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39</w:t>
            </w:r>
          </w:p>
        </w:tc>
        <w:tc>
          <w:tcPr>
            <w:tcW w:w="106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47,4</w:t>
            </w:r>
          </w:p>
        </w:tc>
        <w:tc>
          <w:tcPr>
            <w:tcW w:w="154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-7,7</w:t>
            </w:r>
          </w:p>
        </w:tc>
      </w:tr>
      <w:tr w:rsidR="009C0008" w:rsidRPr="004C50BA" w:rsidTr="00F17517">
        <w:trPr>
          <w:trHeight w:hRule="exact" w:val="284"/>
        </w:trPr>
        <w:tc>
          <w:tcPr>
            <w:tcW w:w="1956" w:type="dxa"/>
            <w:shd w:val="clear" w:color="auto" w:fill="auto"/>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2031-2043 Toplam</w:t>
            </w:r>
          </w:p>
        </w:tc>
        <w:tc>
          <w:tcPr>
            <w:tcW w:w="1162"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88,6</w:t>
            </w:r>
          </w:p>
        </w:tc>
        <w:tc>
          <w:tcPr>
            <w:tcW w:w="1162"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75,6</w:t>
            </w:r>
          </w:p>
        </w:tc>
        <w:tc>
          <w:tcPr>
            <w:tcW w:w="1561"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13,0</w:t>
            </w:r>
          </w:p>
        </w:tc>
        <w:tc>
          <w:tcPr>
            <w:tcW w:w="10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w:t>
            </w:r>
          </w:p>
        </w:tc>
        <w:tc>
          <w:tcPr>
            <w:tcW w:w="106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52,1</w:t>
            </w:r>
          </w:p>
        </w:tc>
        <w:tc>
          <w:tcPr>
            <w:tcW w:w="154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w:t>
            </w:r>
          </w:p>
        </w:tc>
      </w:tr>
      <w:tr w:rsidR="009C0008" w:rsidRPr="004C50BA" w:rsidTr="00F17517">
        <w:trPr>
          <w:trHeight w:hRule="exact" w:val="284"/>
        </w:trPr>
        <w:tc>
          <w:tcPr>
            <w:tcW w:w="1956" w:type="dxa"/>
            <w:shd w:val="clear" w:color="auto" w:fill="auto"/>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2019-2043 Toplam</w:t>
            </w:r>
          </w:p>
        </w:tc>
        <w:tc>
          <w:tcPr>
            <w:tcW w:w="1162"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140,6</w:t>
            </w:r>
          </w:p>
        </w:tc>
        <w:tc>
          <w:tcPr>
            <w:tcW w:w="1162"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132,1</w:t>
            </w:r>
          </w:p>
        </w:tc>
        <w:tc>
          <w:tcPr>
            <w:tcW w:w="1561"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7,3</w:t>
            </w:r>
          </w:p>
        </w:tc>
        <w:tc>
          <w:tcPr>
            <w:tcW w:w="1096"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94</w:t>
            </w:r>
          </w:p>
        </w:tc>
        <w:tc>
          <w:tcPr>
            <w:tcW w:w="106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99,5</w:t>
            </w:r>
          </w:p>
        </w:tc>
        <w:tc>
          <w:tcPr>
            <w:tcW w:w="1548"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-4,8</w:t>
            </w:r>
          </w:p>
        </w:tc>
      </w:tr>
    </w:tbl>
    <w:p w:rsidR="009C0008" w:rsidRPr="002C6FB5" w:rsidRDefault="009C0008" w:rsidP="009C0008">
      <w:pPr>
        <w:jc w:val="both"/>
        <w:rPr>
          <w:rFonts w:ascii="Arial" w:hAnsi="Arial" w:cs="Arial"/>
          <w:sz w:val="16"/>
          <w:szCs w:val="16"/>
        </w:rPr>
      </w:pPr>
      <w:r w:rsidRPr="002C6FB5">
        <w:rPr>
          <w:rFonts w:ascii="Arial" w:hAnsi="Arial" w:cs="Arial"/>
          <w:sz w:val="16"/>
          <w:szCs w:val="16"/>
        </w:rPr>
        <w:t>Kaynak: Yazar</w:t>
      </w:r>
      <w:r w:rsidR="002C6FB5">
        <w:rPr>
          <w:rFonts w:ascii="Arial" w:hAnsi="Arial" w:cs="Arial"/>
          <w:sz w:val="16"/>
          <w:szCs w:val="16"/>
        </w:rPr>
        <w:t>lar</w:t>
      </w:r>
      <w:r w:rsidRPr="002C6FB5">
        <w:rPr>
          <w:rFonts w:ascii="Arial" w:hAnsi="Arial" w:cs="Arial"/>
          <w:sz w:val="16"/>
          <w:szCs w:val="16"/>
        </w:rPr>
        <w:t xml:space="preserve">ın kendi hesaplamaları </w:t>
      </w:r>
    </w:p>
    <w:p w:rsidR="009C0008" w:rsidRPr="00CA03B2" w:rsidRDefault="009C0008" w:rsidP="00ED44D6">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lastRenderedPageBreak/>
        <w:t>Kuşkusuz,  ihaleyi alan şirketler de kendi gelir gider hesaplarını yapmışlardır.  Onların hesabı ile burada yaptığımız tahmini hesabın ne ölçüde uyuştuğunu söyleyemeyiz. Bununla birlikte, sanırız şunu söyleyebiliriz. İstanbul yeni havalimanının işletme dışı gelirleri yeterince yüksek olmadığı takdirde özel işletme olarak kârlı bir işletme olması zor görünmektedir.  Ayrıca, yeni havalimanını inşa edecek olan Limak-Kolin-Cengiz-Mapa-Kalyon Ortak Girişim Gurubunun her biri inşaat sektöründe faaliyet gösteren firmalardır. Bu firmalar yeni havalimanı sayesinde ortaya çıkacak olan gayrimenkul, yol yapımı, ulaşım altyapısı ve benzeri gibi yeni yatırım alanları ve yatırım getirileri bulacaklardır.</w:t>
      </w:r>
    </w:p>
    <w:p w:rsidR="009C0008" w:rsidRPr="002C6FB5" w:rsidRDefault="009C0008" w:rsidP="00CA03B2">
      <w:pPr>
        <w:pStyle w:val="Balk1"/>
        <w:jc w:val="left"/>
        <w:rPr>
          <w:sz w:val="22"/>
          <w:szCs w:val="22"/>
        </w:rPr>
      </w:pPr>
      <w:r w:rsidRPr="002C6FB5">
        <w:rPr>
          <w:sz w:val="22"/>
          <w:szCs w:val="22"/>
        </w:rPr>
        <w:t>Sonuç</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İstanbul yeni havalimanının kira süresi için biçilen 25 yıl çok uzun bir süredir ve Türkiye’de ekonomi bu süre zarfında nasıl seyreder tam olarak kestiremeyiz. Bu çalışmada ekonomik büyüme üzerine kurulmuş iki farklı senaryo altında tahminler yaptık: Birinci senaryoda yıllık ortalama büyüme 2013-2019 döneminde yüzde 5, 2020-2030 döneminde yüzde 4, 2031-2050 döneminde yüzde 2 ve ikinci senaryoda 2013-2019 döneminde yüzde 4, 2020-2030 döneminde yüzde 3, 2031-2050 döneminde yüzde 1,5 olarak alınmıştır. Bu çalışmanın bulguları üç noktaya dikkat çekiyor.</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Birinci nokta, yolcu sayısıyla ilgili yapmış olduğumuz projeksiyonlar yeni havalimanının 2019 yılı için yolcu trafiğini Senaryo 1 altında 80 milyon olarak tahmin ediyor. 2020’lerin ikinci yarısında ise yolcu sayısının 120 milyona ulaşmasını bekliyoruz. 150 milyonluk kapasiteye de 2030’larda ulaşılması mümkün görünüyor. Dolayısıyla, Türkiye ekonomisi gelecek 20 yılda potansiyeli civarında (yüzde 5, 4 ve 2) büyüdüğü takdirde yeni havalimanı için öngörülen yüksek kapasiteler gerçekçi durmaktadır. Buna karşılık, Türkiye ekonomisinin karşı karşıya olduğu temel yapısal tahditler aşılamadığı takdirde, birinci senaryodaki potansiyel büyüme hızı yakalanamayacak ve ikinci senaryoda öngörülen büyüme hızları çerçevesinde (yüzde 4, 3 ve 1,5) farklı bir tablo oluşacaktır. Senaryo 2’ye göre 150 milyon yolcu kapasiteye hiçbir zaman ihtiyaç duyulmayacak, 120 milyon yolcu kapasitesine ise ancak 2050’lere doğru ulaşılacaktır. Dolayısıyla bu mega havalimanı projesinin çarpıcı kapasite öngörüleri ekonomik büyümeye yakından bağlıdır.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İkinci nokta, yeni havalimanının kârlılığı ile ilgilidir. Bu araştırmadaki hesaplamalara göre yeni havalimanı kredi geri ödemesinin bitimine (2030) kadar zarar etmekte ve birikimli zarar Senaryo 1’de 5,7 milyar Avroya, Senaryo 2’de 7,7 milyar Avroya ulaşmaktadır. 2030 sonrasında Senaryo 1’de elde edilen kazançlar ilk dönemdeki zararı fazlasıyla karşılayabildiğinden 2043 sonu itibariyle toplamda 7,2 milyar Avro birikimli kâr ortaya çıkmaktadır. Buna karşılık, yolcu sayısının düşük büyüme nedeniyle daha az arttığı Senaryo 2’de, ilk dönemdeki birikimli zarar 2030-2043 döneminde kapatılamamakta ve toplamda 4,8 milyar Avro birikimli zarar oluşmaktadır. Konsorsiyumun bu kaybı göze almayacağından hareketle iki ihtimal öne çıkıyor. Birinci ihtimal, oluşan açığın yolculardan çeşitli adlar altında alınacak fazladan ücretlerle kapatılmasıdır. Bu durumda yeni havalimanı oldukça pahalı olacaktır. İkinci ihtimal ise, açığın kapatılabilmesi için konsorsiyumun havalimanına tahsil edilen arazide yeterli tutarda işletme dışı gelir elde etmesidir.  </w:t>
      </w:r>
    </w:p>
    <w:p w:rsidR="009C0008" w:rsidRPr="00CA03B2" w:rsidRDefault="009C0008" w:rsidP="009C0008">
      <w:pPr>
        <w:spacing w:before="100" w:beforeAutospacing="1" w:after="100" w:afterAutospacing="1"/>
        <w:ind w:firstLine="709"/>
        <w:jc w:val="both"/>
        <w:rPr>
          <w:rFonts w:ascii="Arial" w:hAnsi="Arial" w:cs="Arial"/>
          <w:sz w:val="20"/>
          <w:szCs w:val="20"/>
        </w:rPr>
      </w:pPr>
      <w:r w:rsidRPr="00CA03B2">
        <w:rPr>
          <w:rFonts w:ascii="Arial" w:hAnsi="Arial" w:cs="Arial"/>
          <w:sz w:val="20"/>
          <w:szCs w:val="20"/>
        </w:rPr>
        <w:t xml:space="preserve">Üçüncü ve son nokta ise, yeni havalimanı için kiralanan 7400 hektarlık alanın yeterli mi yoksa fazla mı olduğu konusudur. Atatürk Havalimanı’nın 45 milyonluk yolcu trafiği ile 1178 hektarlık bir alanda faaliyet göstermektedir. Yüksek ekonomik büyümeye dayalı olarak yüksek yolcu artışı içeren Senaryo 1’de 150 milyonluk kapasiteye ulaşılabileceğini tahmin ediyoruz. Bu durumda ihtiyaç duyulan alan yaklaşık 3500 hektar olmaktadır. Aradaki 3900 hektarın neden tahsis edildiğinin ayrıca açıklanması yararlı olur. </w:t>
      </w:r>
    </w:p>
    <w:p w:rsidR="009C0008" w:rsidRPr="0056655F" w:rsidRDefault="009C0008" w:rsidP="009C0008">
      <w:pPr>
        <w:jc w:val="both"/>
        <w:sectPr w:rsidR="009C0008" w:rsidRPr="0056655F" w:rsidSect="00167557">
          <w:footerReference w:type="default" r:id="rId11"/>
          <w:footnotePr>
            <w:numStart w:val="3"/>
            <w:numRestart w:val="eachSect"/>
          </w:footnotePr>
          <w:pgSz w:w="11906" w:h="16838"/>
          <w:pgMar w:top="1418" w:right="1417" w:bottom="1417" w:left="1417" w:header="708" w:footer="708" w:gutter="0"/>
          <w:cols w:space="708"/>
          <w:docGrid w:linePitch="360"/>
        </w:sectPr>
      </w:pPr>
    </w:p>
    <w:p w:rsidR="009C0008" w:rsidRPr="002C6FB5" w:rsidRDefault="009C0008" w:rsidP="009C0008">
      <w:pPr>
        <w:pStyle w:val="Balk2"/>
        <w:rPr>
          <w:sz w:val="22"/>
          <w:szCs w:val="22"/>
        </w:rPr>
      </w:pPr>
      <w:r w:rsidRPr="002C6FB5">
        <w:rPr>
          <w:sz w:val="22"/>
          <w:szCs w:val="22"/>
        </w:rPr>
        <w:lastRenderedPageBreak/>
        <w:t>Kaynakça</w:t>
      </w:r>
    </w:p>
    <w:p w:rsidR="009C0008" w:rsidRPr="00CA03B2" w:rsidRDefault="009C0008" w:rsidP="009C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A03B2">
        <w:rPr>
          <w:rFonts w:ascii="Arial" w:hAnsi="Arial" w:cs="Arial"/>
          <w:sz w:val="20"/>
          <w:szCs w:val="20"/>
        </w:rPr>
        <w:t>Borenstein, S. and Rose,N. L.  (2003). "Do Airline Bankruptcies Reduce Air Service?", NBER Working Papers 9636, National Bureau of Economic Research, Inc.</w:t>
      </w:r>
    </w:p>
    <w:p w:rsidR="009C0008" w:rsidRPr="00CA03B2" w:rsidRDefault="009C0008" w:rsidP="009C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9C0008" w:rsidRPr="00CA03B2" w:rsidRDefault="009C0008" w:rsidP="009C0008">
      <w:pPr>
        <w:jc w:val="both"/>
        <w:rPr>
          <w:rFonts w:ascii="Arial" w:hAnsi="Arial" w:cs="Arial"/>
          <w:sz w:val="20"/>
          <w:szCs w:val="20"/>
        </w:rPr>
      </w:pPr>
      <w:r w:rsidRPr="00CA03B2">
        <w:rPr>
          <w:rFonts w:ascii="Arial" w:hAnsi="Arial" w:cs="Arial"/>
          <w:sz w:val="20"/>
          <w:szCs w:val="20"/>
        </w:rPr>
        <w:t>Fu, X., Oum T.H. ve Zhang, A. (2010). “Air Transport Liberalization and Its Impacts on Airline Competition and Air Passenger Traffic”, Transportation Journal, Cilt 49, Numara 4, Sayfa 24-41.</w:t>
      </w:r>
    </w:p>
    <w:p w:rsidR="009C0008" w:rsidRPr="00CA03B2" w:rsidRDefault="009C0008" w:rsidP="009C0008">
      <w:pPr>
        <w:jc w:val="both"/>
        <w:rPr>
          <w:rFonts w:ascii="Arial" w:hAnsi="Arial" w:cs="Arial"/>
          <w:sz w:val="20"/>
          <w:szCs w:val="20"/>
        </w:rPr>
      </w:pPr>
    </w:p>
    <w:p w:rsidR="009C0008" w:rsidRPr="00CA03B2" w:rsidRDefault="009C0008" w:rsidP="009C0008">
      <w:pPr>
        <w:jc w:val="both"/>
        <w:rPr>
          <w:rFonts w:ascii="Arial" w:hAnsi="Arial" w:cs="Arial"/>
          <w:sz w:val="20"/>
          <w:szCs w:val="20"/>
        </w:rPr>
      </w:pPr>
      <w:r w:rsidRPr="00CA03B2">
        <w:rPr>
          <w:rFonts w:ascii="Arial" w:hAnsi="Arial" w:cs="Arial"/>
          <w:sz w:val="20"/>
          <w:szCs w:val="20"/>
        </w:rPr>
        <w:t>Ivaldi, M., Sokullu S., ve Toru, T. (2012). “Are Airports Two-Sided Platforms?: A Methodological Approach”, Pricing Behavior and Non-Price Characteristics in the Airline Industry , derleyen J. Peoples, Cilt 3 of Advances in Airline Economics, Bölüm 10. Emerald Group Publishing Ltd.</w:t>
      </w:r>
    </w:p>
    <w:p w:rsidR="009C0008" w:rsidRPr="00CA03B2" w:rsidRDefault="009C0008" w:rsidP="009C0008">
      <w:pPr>
        <w:jc w:val="both"/>
        <w:rPr>
          <w:rFonts w:ascii="Arial" w:hAnsi="Arial" w:cs="Arial"/>
          <w:sz w:val="20"/>
          <w:szCs w:val="20"/>
        </w:rPr>
      </w:pPr>
    </w:p>
    <w:p w:rsidR="009C0008" w:rsidRPr="00CA03B2" w:rsidRDefault="009C0008" w:rsidP="009C0008">
      <w:pPr>
        <w:jc w:val="both"/>
        <w:rPr>
          <w:rFonts w:ascii="Arial" w:hAnsi="Arial" w:cs="Arial"/>
          <w:sz w:val="20"/>
          <w:szCs w:val="20"/>
        </w:rPr>
      </w:pPr>
      <w:r w:rsidRPr="00CA03B2">
        <w:rPr>
          <w:rFonts w:ascii="Arial" w:hAnsi="Arial" w:cs="Arial"/>
          <w:sz w:val="20"/>
          <w:szCs w:val="20"/>
        </w:rPr>
        <w:t>Ivaldi, M., Sokullu S., ve Toru, T. (2013). “Airport Prices in a Two-Sided Framwork”. Working paper IDEI.</w:t>
      </w:r>
    </w:p>
    <w:p w:rsidR="009C0008" w:rsidRPr="00CA03B2" w:rsidRDefault="009C0008" w:rsidP="009C0008">
      <w:pPr>
        <w:autoSpaceDE w:val="0"/>
        <w:autoSpaceDN w:val="0"/>
        <w:adjustRightInd w:val="0"/>
        <w:rPr>
          <w:rFonts w:ascii="Arial" w:hAnsi="Arial" w:cs="Arial"/>
          <w:sz w:val="20"/>
          <w:szCs w:val="20"/>
        </w:rPr>
      </w:pPr>
    </w:p>
    <w:p w:rsidR="009C0008" w:rsidRPr="00CA03B2" w:rsidRDefault="009C0008" w:rsidP="009C0008">
      <w:pPr>
        <w:autoSpaceDE w:val="0"/>
        <w:autoSpaceDN w:val="0"/>
        <w:adjustRightInd w:val="0"/>
        <w:rPr>
          <w:rFonts w:ascii="Arial" w:hAnsi="Arial" w:cs="Arial"/>
          <w:sz w:val="20"/>
          <w:szCs w:val="20"/>
        </w:rPr>
      </w:pPr>
      <w:r w:rsidRPr="00CA03B2">
        <w:rPr>
          <w:rFonts w:ascii="Arial" w:hAnsi="Arial" w:cs="Arial"/>
          <w:sz w:val="20"/>
          <w:szCs w:val="20"/>
        </w:rPr>
        <w:t>Ivaldi, M., ve Vibes, C. (2005). “Intermodal and Intramodal Competition in Passenger Rail Transport”, Toulouse: IDEI.</w:t>
      </w:r>
    </w:p>
    <w:p w:rsidR="009C0008" w:rsidRPr="00CA03B2" w:rsidRDefault="009C0008" w:rsidP="009C0008">
      <w:pPr>
        <w:autoSpaceDE w:val="0"/>
        <w:autoSpaceDN w:val="0"/>
        <w:adjustRightInd w:val="0"/>
        <w:rPr>
          <w:rFonts w:ascii="Arial" w:hAnsi="Arial" w:cs="Arial"/>
          <w:sz w:val="20"/>
          <w:szCs w:val="20"/>
        </w:rPr>
      </w:pPr>
    </w:p>
    <w:p w:rsidR="009C0008" w:rsidRPr="00CA03B2" w:rsidRDefault="009C0008" w:rsidP="009C0008">
      <w:pPr>
        <w:jc w:val="both"/>
        <w:rPr>
          <w:rFonts w:ascii="Arial" w:hAnsi="Arial" w:cs="Arial"/>
          <w:sz w:val="20"/>
          <w:szCs w:val="20"/>
        </w:rPr>
      </w:pPr>
      <w:r w:rsidRPr="00CA03B2">
        <w:rPr>
          <w:rFonts w:ascii="Arial" w:hAnsi="Arial" w:cs="Arial"/>
          <w:sz w:val="20"/>
          <w:szCs w:val="20"/>
        </w:rPr>
        <w:t>Pels, E., Nijkamp P. ve Rietveld P. (1998). “Equilibrium Airfares, Frequencies and Airport Taxes in a Multiple Airport Region: an Application of the Nested Logit Demand Model”, Free University, mimeo.</w:t>
      </w:r>
    </w:p>
    <w:p w:rsidR="009C0008" w:rsidRPr="00CA03B2" w:rsidRDefault="009C0008" w:rsidP="009C0008">
      <w:pPr>
        <w:rPr>
          <w:rFonts w:ascii="Arial" w:hAnsi="Arial" w:cs="Arial"/>
          <w:sz w:val="20"/>
          <w:szCs w:val="20"/>
        </w:rPr>
      </w:pPr>
    </w:p>
    <w:p w:rsidR="009C0008" w:rsidRPr="00CA03B2" w:rsidRDefault="009C0008" w:rsidP="009C0008">
      <w:pPr>
        <w:rPr>
          <w:rFonts w:ascii="Arial" w:hAnsi="Arial" w:cs="Arial"/>
          <w:sz w:val="20"/>
          <w:szCs w:val="20"/>
        </w:rPr>
      </w:pPr>
      <w:r w:rsidRPr="00CA03B2">
        <w:rPr>
          <w:rFonts w:ascii="Arial" w:hAnsi="Arial" w:cs="Arial"/>
          <w:sz w:val="20"/>
          <w:szCs w:val="20"/>
        </w:rPr>
        <w:t>Starkie, D., and Yarrow, G. (2009). “Single till aproach to the price regulation of airports “ (Tech. Rep.). The UK Civil Aviation Authority.</w:t>
      </w:r>
    </w:p>
    <w:p w:rsidR="009C0008" w:rsidRPr="00CA03B2" w:rsidRDefault="009C0008" w:rsidP="009C0008">
      <w:pPr>
        <w:jc w:val="both"/>
        <w:rPr>
          <w:rFonts w:ascii="Arial" w:hAnsi="Arial" w:cs="Arial"/>
          <w:sz w:val="20"/>
          <w:szCs w:val="20"/>
        </w:rPr>
      </w:pPr>
    </w:p>
    <w:p w:rsidR="009C0008" w:rsidRPr="00CA03B2" w:rsidRDefault="009C0008" w:rsidP="009C0008">
      <w:pPr>
        <w:jc w:val="both"/>
        <w:rPr>
          <w:rFonts w:ascii="Arial" w:hAnsi="Arial" w:cs="Arial"/>
          <w:sz w:val="20"/>
          <w:szCs w:val="20"/>
        </w:rPr>
      </w:pPr>
      <w:r w:rsidRPr="00CA03B2">
        <w:rPr>
          <w:rFonts w:ascii="Arial" w:hAnsi="Arial" w:cs="Arial"/>
          <w:sz w:val="20"/>
          <w:szCs w:val="20"/>
        </w:rPr>
        <w:t>Thompson, A. ve Caves, R.  (1993). “The Projected Market Share for a New Small Airport in the North of England”, Regional Studies, Cilt 27, Numara 2, Sayfa 137-147.</w:t>
      </w:r>
    </w:p>
    <w:p w:rsidR="009C0008" w:rsidRPr="00CA03B2" w:rsidRDefault="009C0008" w:rsidP="009C0008">
      <w:pPr>
        <w:jc w:val="both"/>
        <w:rPr>
          <w:rFonts w:ascii="Arial" w:hAnsi="Arial" w:cs="Arial"/>
          <w:sz w:val="20"/>
          <w:szCs w:val="20"/>
        </w:rPr>
      </w:pPr>
    </w:p>
    <w:p w:rsidR="009C0008" w:rsidRPr="00CA03B2" w:rsidRDefault="009C0008" w:rsidP="009C0008">
      <w:pPr>
        <w:jc w:val="both"/>
        <w:rPr>
          <w:rFonts w:ascii="Arial" w:hAnsi="Arial" w:cs="Arial"/>
          <w:bCs/>
          <w:sz w:val="20"/>
          <w:szCs w:val="20"/>
        </w:rPr>
      </w:pPr>
      <w:r w:rsidRPr="00CA03B2">
        <w:rPr>
          <w:rFonts w:ascii="Arial" w:hAnsi="Arial" w:cs="Arial"/>
          <w:sz w:val="20"/>
          <w:szCs w:val="20"/>
        </w:rPr>
        <w:t>Toru, T. (2011). “</w:t>
      </w:r>
      <w:r w:rsidRPr="00CA03B2">
        <w:rPr>
          <w:rFonts w:ascii="Arial" w:hAnsi="Arial" w:cs="Arial"/>
          <w:bCs/>
          <w:sz w:val="20"/>
          <w:szCs w:val="20"/>
        </w:rPr>
        <w:t>European Air Traffic Facing Raising Fuel Prices and Carbon Permits: An Empirical Analysis”, TSE working paper.</w:t>
      </w:r>
    </w:p>
    <w:p w:rsidR="009C0008" w:rsidRPr="00CA03B2" w:rsidRDefault="009C0008" w:rsidP="009C0008">
      <w:pPr>
        <w:jc w:val="both"/>
        <w:rPr>
          <w:rFonts w:ascii="Arial" w:hAnsi="Arial" w:cs="Arial"/>
          <w:sz w:val="20"/>
          <w:szCs w:val="20"/>
        </w:rPr>
      </w:pPr>
    </w:p>
    <w:p w:rsidR="009C0008" w:rsidRPr="00CA03B2" w:rsidRDefault="009C0008" w:rsidP="009C0008">
      <w:pPr>
        <w:jc w:val="both"/>
        <w:rPr>
          <w:rFonts w:ascii="Arial" w:hAnsi="Arial" w:cs="Arial"/>
          <w:sz w:val="20"/>
          <w:szCs w:val="20"/>
        </w:rPr>
      </w:pPr>
      <w:r w:rsidRPr="00CA03B2">
        <w:rPr>
          <w:rFonts w:ascii="Arial" w:hAnsi="Arial" w:cs="Arial"/>
          <w:sz w:val="20"/>
          <w:szCs w:val="20"/>
        </w:rPr>
        <w:t xml:space="preserve">DHMİ. (2012). “Havacılık Raporları”, DHMİ internet sitesinden alınmıştır. </w:t>
      </w:r>
      <w:r w:rsidRPr="00CA03B2">
        <w:rPr>
          <w:rFonts w:ascii="Arial" w:hAnsi="Arial" w:cs="Arial"/>
          <w:color w:val="0000FF"/>
          <w:sz w:val="20"/>
          <w:szCs w:val="20"/>
          <w:u w:val="single"/>
        </w:rPr>
        <w:t>http://www.dhmi.gov.tr/</w:t>
      </w:r>
      <w:r w:rsidRPr="00CA03B2">
        <w:rPr>
          <w:rFonts w:ascii="Arial" w:hAnsi="Arial" w:cs="Arial"/>
          <w:sz w:val="20"/>
          <w:szCs w:val="20"/>
        </w:rPr>
        <w:t xml:space="preserve"> </w:t>
      </w:r>
    </w:p>
    <w:p w:rsidR="009C0008" w:rsidRPr="00CA03B2" w:rsidRDefault="009C0008" w:rsidP="009C0008">
      <w:pPr>
        <w:jc w:val="both"/>
        <w:rPr>
          <w:rFonts w:ascii="Arial" w:hAnsi="Arial" w:cs="Arial"/>
          <w:sz w:val="20"/>
          <w:szCs w:val="20"/>
        </w:rPr>
      </w:pPr>
    </w:p>
    <w:p w:rsidR="009C0008" w:rsidRPr="00CA03B2" w:rsidRDefault="009C0008" w:rsidP="009C0008">
      <w:pPr>
        <w:jc w:val="both"/>
        <w:rPr>
          <w:rFonts w:ascii="Arial" w:hAnsi="Arial" w:cs="Arial"/>
          <w:sz w:val="20"/>
          <w:szCs w:val="20"/>
        </w:rPr>
      </w:pPr>
      <w:r w:rsidRPr="00CA03B2">
        <w:rPr>
          <w:rFonts w:ascii="Arial" w:hAnsi="Arial" w:cs="Arial"/>
          <w:sz w:val="20"/>
          <w:szCs w:val="20"/>
        </w:rPr>
        <w:t xml:space="preserve">EUROCONTROL. (2012). “Seven-Year Forecast September 2012”, EUROCONTROL internet sitesinden alınmıştır. </w:t>
      </w:r>
    </w:p>
    <w:p w:rsidR="009C0008" w:rsidRPr="00CA03B2" w:rsidRDefault="009C0008" w:rsidP="009C0008">
      <w:pPr>
        <w:jc w:val="both"/>
        <w:rPr>
          <w:rFonts w:ascii="Arial" w:hAnsi="Arial" w:cs="Arial"/>
          <w:sz w:val="20"/>
          <w:szCs w:val="20"/>
        </w:rPr>
      </w:pPr>
    </w:p>
    <w:p w:rsidR="009C0008" w:rsidRPr="00CA03B2" w:rsidRDefault="009C0008" w:rsidP="009C0008">
      <w:pPr>
        <w:jc w:val="both"/>
        <w:rPr>
          <w:rFonts w:ascii="Arial" w:hAnsi="Arial" w:cs="Arial"/>
          <w:sz w:val="20"/>
          <w:szCs w:val="20"/>
        </w:rPr>
      </w:pPr>
      <w:r w:rsidRPr="00CA03B2">
        <w:rPr>
          <w:rFonts w:ascii="Arial" w:hAnsi="Arial" w:cs="Arial"/>
          <w:sz w:val="20"/>
          <w:szCs w:val="20"/>
        </w:rPr>
        <w:t xml:space="preserve">Federal Aviation Administration. (2012). “Financial Reports”, FAA internet sitesinden alınmıştır. </w:t>
      </w:r>
      <w:hyperlink r:id="rId12" w:history="1">
        <w:r w:rsidRPr="00CA03B2">
          <w:rPr>
            <w:rFonts w:ascii="Arial" w:hAnsi="Arial" w:cs="Arial"/>
            <w:color w:val="0000FF"/>
            <w:sz w:val="20"/>
            <w:szCs w:val="20"/>
            <w:u w:val="single"/>
          </w:rPr>
          <w:t>http://www.faa.gov/airports/airport_safety/airportdata_5010/</w:t>
        </w:r>
      </w:hyperlink>
    </w:p>
    <w:p w:rsidR="009C0008" w:rsidRPr="00CA03B2" w:rsidRDefault="009C0008" w:rsidP="009C0008">
      <w:pPr>
        <w:jc w:val="both"/>
        <w:rPr>
          <w:rFonts w:ascii="Arial" w:hAnsi="Arial" w:cs="Arial"/>
          <w:sz w:val="20"/>
          <w:szCs w:val="20"/>
        </w:rPr>
      </w:pPr>
    </w:p>
    <w:p w:rsidR="009C0008" w:rsidRPr="00CA03B2" w:rsidRDefault="009C0008" w:rsidP="009C0008">
      <w:pPr>
        <w:jc w:val="both"/>
        <w:rPr>
          <w:rFonts w:ascii="Arial" w:hAnsi="Arial" w:cs="Arial"/>
          <w:sz w:val="20"/>
          <w:szCs w:val="20"/>
        </w:rPr>
      </w:pPr>
      <w:r w:rsidRPr="00CA03B2">
        <w:rPr>
          <w:rFonts w:ascii="Arial" w:hAnsi="Arial" w:cs="Arial"/>
          <w:sz w:val="20"/>
          <w:szCs w:val="20"/>
        </w:rPr>
        <w:t xml:space="preserve">TAV. (2012). “Faaliyet Raporları”, TAV internet sitesinden alınmıştır. </w:t>
      </w:r>
    </w:p>
    <w:p w:rsidR="009C0008" w:rsidRPr="00CA03B2" w:rsidRDefault="009C0008" w:rsidP="009C0008">
      <w:pPr>
        <w:jc w:val="both"/>
        <w:rPr>
          <w:rFonts w:ascii="Arial" w:hAnsi="Arial" w:cs="Arial"/>
          <w:sz w:val="20"/>
          <w:szCs w:val="20"/>
        </w:rPr>
      </w:pPr>
      <w:hyperlink r:id="rId13" w:history="1">
        <w:r w:rsidRPr="00CA03B2">
          <w:rPr>
            <w:rFonts w:ascii="Arial" w:hAnsi="Arial" w:cs="Arial"/>
            <w:color w:val="0000FF"/>
            <w:sz w:val="20"/>
            <w:szCs w:val="20"/>
            <w:u w:val="single"/>
          </w:rPr>
          <w:t>http://www.tavyatirimciiliskileri.com/tr-TR/pages/faaliyet_raporlari.aspx</w:t>
        </w:r>
      </w:hyperlink>
    </w:p>
    <w:p w:rsidR="009C0008" w:rsidRPr="00CA03B2" w:rsidRDefault="009C0008" w:rsidP="009C0008">
      <w:pPr>
        <w:autoSpaceDE w:val="0"/>
        <w:autoSpaceDN w:val="0"/>
        <w:adjustRightInd w:val="0"/>
        <w:rPr>
          <w:rFonts w:ascii="Arial" w:hAnsi="Arial" w:cs="Arial"/>
          <w:sz w:val="20"/>
          <w:szCs w:val="20"/>
        </w:rPr>
      </w:pPr>
    </w:p>
    <w:p w:rsidR="009C0008" w:rsidRPr="00CA03B2" w:rsidRDefault="009C0008" w:rsidP="009C0008">
      <w:pPr>
        <w:autoSpaceDE w:val="0"/>
        <w:autoSpaceDN w:val="0"/>
        <w:adjustRightInd w:val="0"/>
        <w:rPr>
          <w:rFonts w:ascii="Arial" w:hAnsi="Arial" w:cs="Arial"/>
          <w:sz w:val="20"/>
          <w:szCs w:val="20"/>
        </w:rPr>
      </w:pPr>
      <w:r w:rsidRPr="00CA03B2">
        <w:rPr>
          <w:rFonts w:ascii="Arial" w:hAnsi="Arial" w:cs="Arial"/>
          <w:sz w:val="20"/>
          <w:szCs w:val="20"/>
        </w:rPr>
        <w:t xml:space="preserve">TÜİK. (2012).  “Nüfus Projeksiyonları 2013-2075”, TÜİK internet sitesinden alınmıştır. </w:t>
      </w:r>
      <w:hyperlink r:id="rId14" w:history="1">
        <w:r w:rsidRPr="00CA03B2">
          <w:rPr>
            <w:rStyle w:val="Kpr"/>
            <w:rFonts w:ascii="Arial" w:hAnsi="Arial" w:cs="Arial"/>
            <w:sz w:val="20"/>
            <w:szCs w:val="20"/>
          </w:rPr>
          <w:t>www.tuik.gov.tr</w:t>
        </w:r>
      </w:hyperlink>
    </w:p>
    <w:p w:rsidR="009C0008" w:rsidRPr="00CA03B2" w:rsidRDefault="009C0008" w:rsidP="009C0008">
      <w:pPr>
        <w:autoSpaceDE w:val="0"/>
        <w:autoSpaceDN w:val="0"/>
        <w:adjustRightInd w:val="0"/>
        <w:rPr>
          <w:rFonts w:ascii="Arial" w:hAnsi="Arial" w:cs="Arial"/>
          <w:sz w:val="20"/>
          <w:szCs w:val="20"/>
        </w:rPr>
      </w:pPr>
    </w:p>
    <w:p w:rsidR="009C0008" w:rsidRPr="00CA03B2" w:rsidRDefault="009C0008" w:rsidP="009C0008">
      <w:pPr>
        <w:autoSpaceDE w:val="0"/>
        <w:autoSpaceDN w:val="0"/>
        <w:adjustRightInd w:val="0"/>
        <w:rPr>
          <w:rFonts w:ascii="Arial" w:hAnsi="Arial" w:cs="Arial"/>
          <w:sz w:val="20"/>
          <w:szCs w:val="20"/>
        </w:rPr>
      </w:pPr>
      <w:r w:rsidRPr="00CA03B2">
        <w:rPr>
          <w:rFonts w:ascii="Arial" w:hAnsi="Arial" w:cs="Arial"/>
          <w:sz w:val="20"/>
          <w:szCs w:val="20"/>
        </w:rPr>
        <w:t>Vaze, V. Ve Barnhart, C. (2012). “An assessment of the impact of demand management strategies for efficient allocation of airport capacity”, International Journal of Revenue Management, Volume 6, Issue 1, sayfa 5-27.</w:t>
      </w:r>
    </w:p>
    <w:p w:rsidR="009C0008" w:rsidRPr="002C6FB5" w:rsidRDefault="009C0008" w:rsidP="009C0008">
      <w:pPr>
        <w:pStyle w:val="Balk2"/>
        <w:rPr>
          <w:sz w:val="22"/>
          <w:szCs w:val="22"/>
        </w:rPr>
      </w:pPr>
      <w:r w:rsidRPr="00CA03B2">
        <w:rPr>
          <w:sz w:val="20"/>
          <w:szCs w:val="20"/>
        </w:rPr>
        <w:br w:type="page"/>
      </w:r>
      <w:r w:rsidRPr="002C6FB5">
        <w:rPr>
          <w:sz w:val="22"/>
          <w:szCs w:val="22"/>
        </w:rPr>
        <w:lastRenderedPageBreak/>
        <w:t>Ekler</w:t>
      </w:r>
    </w:p>
    <w:p w:rsidR="009C0008" w:rsidRPr="00CA03B2" w:rsidRDefault="009C0008" w:rsidP="009C0008">
      <w:pPr>
        <w:autoSpaceDE w:val="0"/>
        <w:autoSpaceDN w:val="0"/>
        <w:adjustRightInd w:val="0"/>
        <w:jc w:val="both"/>
        <w:rPr>
          <w:rFonts w:ascii="Arial" w:hAnsi="Arial" w:cs="Arial"/>
          <w:sz w:val="20"/>
          <w:szCs w:val="20"/>
        </w:rPr>
      </w:pPr>
      <w:r w:rsidRPr="00CA03B2">
        <w:rPr>
          <w:rFonts w:ascii="Arial" w:hAnsi="Arial" w:cs="Arial"/>
          <w:sz w:val="20"/>
          <w:szCs w:val="20"/>
        </w:rPr>
        <w:t xml:space="preserve">Yolcu trafiği projeksiyonunu gerçekleştirmek için yolcu sayısını reel bilet fiyatı, reel GSYH ve nüfus ile açıklayan bir doğrusal regresyon modeli oluşturduk. Ölçek farkını ortadan kaldırmak ve yorumları kolaylaştırmak için hem bağlı değişkenin hem de bağımsız değişkenlerin logaritmalarını aldıktan sonra en küçük kareler methodu ile regres ettik.  </w:t>
      </w:r>
    </w:p>
    <w:p w:rsidR="009C0008" w:rsidRPr="00CA03B2" w:rsidRDefault="009C0008" w:rsidP="009C0008">
      <w:pPr>
        <w:autoSpaceDE w:val="0"/>
        <w:autoSpaceDN w:val="0"/>
        <w:adjustRightInd w:val="0"/>
        <w:jc w:val="both"/>
        <w:rPr>
          <w:rFonts w:ascii="Arial" w:hAnsi="Arial" w:cs="Arial"/>
          <w:sz w:val="20"/>
          <w:szCs w:val="20"/>
        </w:rPr>
      </w:pPr>
    </w:p>
    <w:p w:rsidR="009C0008" w:rsidRPr="00CA03B2" w:rsidRDefault="009C0008" w:rsidP="009C0008">
      <w:pPr>
        <w:pStyle w:val="MTDisplayEquation"/>
        <w:rPr>
          <w:rFonts w:ascii="Arial" w:hAnsi="Arial" w:cs="Arial"/>
          <w:sz w:val="20"/>
          <w:szCs w:val="20"/>
        </w:rPr>
      </w:pPr>
      <w:r w:rsidRPr="00CA03B2">
        <w:rPr>
          <w:rFonts w:ascii="Arial" w:hAnsi="Arial" w:cs="Arial"/>
          <w:sz w:val="20"/>
          <w:szCs w:val="20"/>
        </w:rPr>
        <w:tab/>
      </w:r>
      <w:r w:rsidRPr="00CA03B2">
        <w:rPr>
          <w:rFonts w:ascii="Arial" w:hAnsi="Arial" w:cs="Arial"/>
          <w:position w:val="-12"/>
          <w:sz w:val="20"/>
          <w:szCs w:val="20"/>
        </w:rPr>
        <w:object w:dxaOrig="6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18.75pt" o:ole="">
            <v:imagedata r:id="rId15" o:title=""/>
          </v:shape>
          <o:OLEObject Type="Embed" ProgID="Equation.DSMT4" ShapeID="_x0000_i1025" DrawAspect="Content" ObjectID="_1433920130" r:id="rId16"/>
        </w:object>
      </w:r>
      <w:r w:rsidRPr="00CA03B2">
        <w:rPr>
          <w:rFonts w:ascii="Arial" w:hAnsi="Arial" w:cs="Arial"/>
          <w:sz w:val="20"/>
          <w:szCs w:val="20"/>
        </w:rPr>
        <w:t xml:space="preserve"> </w:t>
      </w:r>
    </w:p>
    <w:p w:rsidR="009C0008" w:rsidRPr="00CA03B2" w:rsidRDefault="009C0008" w:rsidP="009C0008">
      <w:pPr>
        <w:autoSpaceDE w:val="0"/>
        <w:autoSpaceDN w:val="0"/>
        <w:adjustRightInd w:val="0"/>
        <w:jc w:val="both"/>
        <w:rPr>
          <w:rFonts w:ascii="Arial" w:hAnsi="Arial" w:cs="Arial"/>
          <w:sz w:val="20"/>
          <w:szCs w:val="20"/>
        </w:rPr>
      </w:pPr>
    </w:p>
    <w:p w:rsidR="009C0008" w:rsidRPr="00CA03B2" w:rsidRDefault="009C0008" w:rsidP="009C0008">
      <w:pPr>
        <w:autoSpaceDE w:val="0"/>
        <w:autoSpaceDN w:val="0"/>
        <w:adjustRightInd w:val="0"/>
        <w:jc w:val="both"/>
        <w:rPr>
          <w:rFonts w:ascii="Arial" w:hAnsi="Arial" w:cs="Arial"/>
          <w:sz w:val="20"/>
          <w:szCs w:val="20"/>
        </w:rPr>
      </w:pPr>
      <w:r w:rsidRPr="00CA03B2">
        <w:rPr>
          <w:rFonts w:ascii="Arial" w:hAnsi="Arial" w:cs="Arial"/>
          <w:sz w:val="20"/>
          <w:szCs w:val="20"/>
        </w:rPr>
        <w:t xml:space="preserve">Regresyon sonuçları  </w:t>
      </w:r>
      <w:fldSimple w:instr=" REF _Ref359845064 \h  \* MERGEFORMAT ">
        <w:r w:rsidRPr="00CA03B2">
          <w:rPr>
            <w:rFonts w:ascii="Arial" w:hAnsi="Arial" w:cs="Arial"/>
            <w:sz w:val="20"/>
            <w:szCs w:val="20"/>
          </w:rPr>
          <w:t>Tablo 9</w:t>
        </w:r>
      </w:fldSimple>
      <w:r w:rsidRPr="00CA03B2">
        <w:rPr>
          <w:rFonts w:ascii="Arial" w:hAnsi="Arial" w:cs="Arial"/>
          <w:sz w:val="20"/>
          <w:szCs w:val="20"/>
        </w:rPr>
        <w:t xml:space="preserve">’de gösterilmiştir.  Bütün katsayılar istatistiksel olarak tutarlı ve sıfırdan farklıdır. Beklenildiği gibi bilet fiyatlarının artması yolcu trafiğine azaltıcı bir etki yapacaktır, yüzde bir artış olursa yolcu sayısı yüzde 2,5 azalacaktır. GSYH ve/veya nüfus artışı yolcu sayısının artmasını sağlayacaktır.  </w:t>
      </w:r>
    </w:p>
    <w:p w:rsidR="009C0008" w:rsidRPr="00CA03B2" w:rsidRDefault="009C0008" w:rsidP="009C0008">
      <w:pPr>
        <w:pStyle w:val="ResimYazs"/>
        <w:keepNext/>
        <w:spacing w:before="100" w:beforeAutospacing="1" w:after="100" w:afterAutospacing="1"/>
        <w:jc w:val="both"/>
        <w:rPr>
          <w:rFonts w:ascii="Arial" w:hAnsi="Arial" w:cs="Arial"/>
        </w:rPr>
      </w:pPr>
      <w:bookmarkStart w:id="12" w:name="_Ref359845064"/>
      <w:r w:rsidRPr="00CA03B2">
        <w:rPr>
          <w:rFonts w:ascii="Arial" w:hAnsi="Arial" w:cs="Arial"/>
        </w:rPr>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9</w:t>
      </w:r>
      <w:r w:rsidRPr="00CA03B2">
        <w:rPr>
          <w:rFonts w:ascii="Arial" w:hAnsi="Arial" w:cs="Arial"/>
        </w:rPr>
        <w:fldChar w:fldCharType="end"/>
      </w:r>
      <w:bookmarkEnd w:id="12"/>
      <w:r w:rsidRPr="00CA03B2">
        <w:rPr>
          <w:rFonts w:ascii="Arial" w:hAnsi="Arial" w:cs="Arial"/>
        </w:rPr>
        <w:t xml:space="preserve"> Regresyon Sonuçları</w:t>
      </w:r>
    </w:p>
    <w:tbl>
      <w:tblPr>
        <w:tblW w:w="4952" w:type="dxa"/>
        <w:tblInd w:w="-68" w:type="dxa"/>
        <w:tblCellMar>
          <w:left w:w="70" w:type="dxa"/>
          <w:right w:w="70" w:type="dxa"/>
        </w:tblCellMar>
        <w:tblLook w:val="00A0"/>
      </w:tblPr>
      <w:tblGrid>
        <w:gridCol w:w="1470"/>
        <w:gridCol w:w="910"/>
        <w:gridCol w:w="1423"/>
        <w:gridCol w:w="596"/>
        <w:gridCol w:w="553"/>
      </w:tblGrid>
      <w:tr w:rsidR="009C0008" w:rsidRPr="004C50BA" w:rsidTr="00FF1A86">
        <w:trPr>
          <w:trHeight w:hRule="exact" w:val="284"/>
        </w:trPr>
        <w:tc>
          <w:tcPr>
            <w:tcW w:w="4952" w:type="dxa"/>
            <w:gridSpan w:val="5"/>
            <w:tcBorders>
              <w:top w:val="single" w:sz="4" w:space="0" w:color="auto"/>
              <w:bottom w:val="single" w:sz="4" w:space="0" w:color="auto"/>
            </w:tcBorders>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Bağımlı değişken: Yolcu sayısı</w:t>
            </w:r>
          </w:p>
        </w:tc>
      </w:tr>
      <w:tr w:rsidR="009C0008" w:rsidRPr="004C50BA" w:rsidTr="00FF1A86">
        <w:trPr>
          <w:trHeight w:hRule="exact" w:val="284"/>
        </w:trPr>
        <w:tc>
          <w:tcPr>
            <w:tcW w:w="1470" w:type="dxa"/>
            <w:tcBorders>
              <w:top w:val="single" w:sz="4" w:space="0" w:color="auto"/>
              <w:bottom w:val="single" w:sz="4" w:space="0" w:color="auto"/>
            </w:tcBorders>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Değişkenler</w:t>
            </w:r>
          </w:p>
        </w:tc>
        <w:tc>
          <w:tcPr>
            <w:tcW w:w="910" w:type="dxa"/>
            <w:tcBorders>
              <w:top w:val="single" w:sz="4" w:space="0" w:color="auto"/>
              <w:bottom w:val="single" w:sz="4" w:space="0" w:color="auto"/>
            </w:tcBorders>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Katsayı</w:t>
            </w:r>
          </w:p>
        </w:tc>
        <w:tc>
          <w:tcPr>
            <w:tcW w:w="1423" w:type="dxa"/>
            <w:tcBorders>
              <w:top w:val="single" w:sz="4" w:space="0" w:color="auto"/>
              <w:bottom w:val="single" w:sz="4" w:space="0" w:color="auto"/>
            </w:tcBorders>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Standart Hata</w:t>
            </w:r>
          </w:p>
        </w:tc>
        <w:tc>
          <w:tcPr>
            <w:tcW w:w="596" w:type="dxa"/>
            <w:tcBorders>
              <w:top w:val="single" w:sz="4" w:space="0" w:color="auto"/>
              <w:bottom w:val="single" w:sz="4" w:space="0" w:color="auto"/>
            </w:tcBorders>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w:t>
            </w:r>
          </w:p>
        </w:tc>
        <w:tc>
          <w:tcPr>
            <w:tcW w:w="553" w:type="dxa"/>
            <w:tcBorders>
              <w:top w:val="single" w:sz="4" w:space="0" w:color="auto"/>
              <w:bottom w:val="single" w:sz="4" w:space="0" w:color="auto"/>
            </w:tcBorders>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P&gt;t</w:t>
            </w:r>
          </w:p>
        </w:tc>
      </w:tr>
      <w:tr w:rsidR="009C0008" w:rsidRPr="004C50BA" w:rsidTr="00FF1A86">
        <w:trPr>
          <w:trHeight w:hRule="exact" w:val="284"/>
        </w:trPr>
        <w:tc>
          <w:tcPr>
            <w:tcW w:w="1470" w:type="dxa"/>
            <w:tcBorders>
              <w:top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Fiyat</w:t>
            </w:r>
          </w:p>
        </w:tc>
        <w:tc>
          <w:tcPr>
            <w:tcW w:w="910" w:type="dxa"/>
            <w:tcBorders>
              <w:top w:val="single" w:sz="4" w:space="0" w:color="auto"/>
            </w:tcBorders>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-2.5</w:t>
            </w:r>
          </w:p>
        </w:tc>
        <w:tc>
          <w:tcPr>
            <w:tcW w:w="1423" w:type="dxa"/>
            <w:tcBorders>
              <w:top w:val="single" w:sz="4" w:space="0" w:color="auto"/>
            </w:tcBorders>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596" w:type="dxa"/>
            <w:tcBorders>
              <w:top w:val="single" w:sz="4" w:space="0" w:color="auto"/>
            </w:tcBorders>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w:t>
            </w:r>
          </w:p>
        </w:tc>
        <w:tc>
          <w:tcPr>
            <w:tcW w:w="553" w:type="dxa"/>
            <w:tcBorders>
              <w:top w:val="single" w:sz="4" w:space="0" w:color="auto"/>
            </w:tcBorders>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0.0</w:t>
            </w:r>
          </w:p>
        </w:tc>
      </w:tr>
      <w:tr w:rsidR="009C0008" w:rsidRPr="004C50BA" w:rsidTr="00FF1A86">
        <w:trPr>
          <w:trHeight w:hRule="exact" w:val="284"/>
        </w:trPr>
        <w:tc>
          <w:tcPr>
            <w:tcW w:w="1470" w:type="dxa"/>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GSYH</w:t>
            </w:r>
          </w:p>
        </w:tc>
        <w:tc>
          <w:tcPr>
            <w:tcW w:w="910"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w:t>
            </w:r>
          </w:p>
        </w:tc>
        <w:tc>
          <w:tcPr>
            <w:tcW w:w="1423"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0.5</w:t>
            </w:r>
          </w:p>
        </w:tc>
        <w:tc>
          <w:tcPr>
            <w:tcW w:w="596"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4.8</w:t>
            </w:r>
          </w:p>
        </w:tc>
        <w:tc>
          <w:tcPr>
            <w:tcW w:w="553"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0.0</w:t>
            </w:r>
          </w:p>
        </w:tc>
      </w:tr>
      <w:tr w:rsidR="009C0008" w:rsidRPr="004C50BA" w:rsidTr="00FF1A86">
        <w:trPr>
          <w:trHeight w:hRule="exact" w:val="284"/>
        </w:trPr>
        <w:tc>
          <w:tcPr>
            <w:tcW w:w="1470" w:type="dxa"/>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Nüfus</w:t>
            </w:r>
          </w:p>
        </w:tc>
        <w:tc>
          <w:tcPr>
            <w:tcW w:w="910"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w:t>
            </w:r>
          </w:p>
        </w:tc>
        <w:tc>
          <w:tcPr>
            <w:tcW w:w="1423"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w:t>
            </w:r>
          </w:p>
        </w:tc>
        <w:tc>
          <w:tcPr>
            <w:tcW w:w="596"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w:t>
            </w:r>
          </w:p>
        </w:tc>
        <w:tc>
          <w:tcPr>
            <w:tcW w:w="553"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0.0</w:t>
            </w:r>
          </w:p>
        </w:tc>
      </w:tr>
      <w:tr w:rsidR="009C0008" w:rsidRPr="004C50BA" w:rsidTr="00FF1A86">
        <w:trPr>
          <w:trHeight w:hRule="exact" w:val="284"/>
        </w:trPr>
        <w:tc>
          <w:tcPr>
            <w:tcW w:w="1470" w:type="dxa"/>
            <w:tcBorders>
              <w:bottom w:val="single" w:sz="4" w:space="0" w:color="auto"/>
            </w:tcBorders>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Sabit</w:t>
            </w:r>
          </w:p>
        </w:tc>
        <w:tc>
          <w:tcPr>
            <w:tcW w:w="910" w:type="dxa"/>
            <w:tcBorders>
              <w:bottom w:val="single" w:sz="4" w:space="0" w:color="auto"/>
            </w:tcBorders>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-85.9</w:t>
            </w:r>
          </w:p>
        </w:tc>
        <w:tc>
          <w:tcPr>
            <w:tcW w:w="1423" w:type="dxa"/>
            <w:tcBorders>
              <w:bottom w:val="single" w:sz="4" w:space="0" w:color="auto"/>
            </w:tcBorders>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22.5</w:t>
            </w:r>
          </w:p>
        </w:tc>
        <w:tc>
          <w:tcPr>
            <w:tcW w:w="596" w:type="dxa"/>
            <w:tcBorders>
              <w:bottom w:val="single" w:sz="4" w:space="0" w:color="auto"/>
            </w:tcBorders>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w:t>
            </w:r>
          </w:p>
        </w:tc>
        <w:tc>
          <w:tcPr>
            <w:tcW w:w="553" w:type="dxa"/>
            <w:tcBorders>
              <w:bottom w:val="single" w:sz="4" w:space="0" w:color="auto"/>
            </w:tcBorders>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0.0</w:t>
            </w:r>
          </w:p>
        </w:tc>
      </w:tr>
      <w:tr w:rsidR="009C0008" w:rsidRPr="004C50BA" w:rsidTr="00FF1A86">
        <w:trPr>
          <w:trHeight w:hRule="exact" w:val="284"/>
        </w:trPr>
        <w:tc>
          <w:tcPr>
            <w:tcW w:w="1470" w:type="dxa"/>
            <w:tcBorders>
              <w:top w:val="single" w:sz="4" w:space="0" w:color="auto"/>
            </w:tcBorders>
            <w:noWrap/>
            <w:vAlign w:val="bottom"/>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Gözlem Sayısı</w:t>
            </w:r>
          </w:p>
        </w:tc>
        <w:tc>
          <w:tcPr>
            <w:tcW w:w="910" w:type="dxa"/>
            <w:tcBorders>
              <w:top w:val="single" w:sz="4" w:space="0" w:color="auto"/>
            </w:tcBorders>
            <w:noWrap/>
            <w:vAlign w:val="bottom"/>
          </w:tcPr>
          <w:p w:rsidR="009C0008" w:rsidRPr="004C50BA" w:rsidRDefault="009C0008" w:rsidP="00FF1A86">
            <w:pPr>
              <w:jc w:val="right"/>
              <w:rPr>
                <w:rFonts w:ascii="Arial" w:hAnsi="Arial" w:cs="Arial"/>
                <w:color w:val="000000"/>
                <w:sz w:val="18"/>
                <w:szCs w:val="18"/>
                <w:lang w:eastAsia="tr-TR"/>
              </w:rPr>
            </w:pPr>
            <w:r w:rsidRPr="004C50BA">
              <w:rPr>
                <w:rFonts w:ascii="Arial" w:hAnsi="Arial" w:cs="Arial"/>
                <w:color w:val="000000"/>
                <w:sz w:val="18"/>
                <w:szCs w:val="18"/>
                <w:lang w:eastAsia="tr-TR"/>
              </w:rPr>
              <w:t>15</w:t>
            </w:r>
          </w:p>
        </w:tc>
        <w:tc>
          <w:tcPr>
            <w:tcW w:w="1423" w:type="dxa"/>
            <w:tcBorders>
              <w:top w:val="single" w:sz="4" w:space="0" w:color="auto"/>
            </w:tcBorders>
            <w:noWrap/>
            <w:vAlign w:val="center"/>
          </w:tcPr>
          <w:p w:rsidR="009C0008" w:rsidRPr="004C50BA" w:rsidRDefault="009C0008" w:rsidP="00FF1A86">
            <w:pPr>
              <w:jc w:val="center"/>
              <w:rPr>
                <w:rFonts w:ascii="Arial" w:hAnsi="Arial" w:cs="Arial"/>
                <w:color w:val="000000"/>
                <w:sz w:val="18"/>
                <w:szCs w:val="18"/>
              </w:rPr>
            </w:pPr>
          </w:p>
        </w:tc>
        <w:tc>
          <w:tcPr>
            <w:tcW w:w="596" w:type="dxa"/>
            <w:tcBorders>
              <w:top w:val="single" w:sz="4" w:space="0" w:color="auto"/>
            </w:tcBorders>
            <w:noWrap/>
            <w:vAlign w:val="center"/>
          </w:tcPr>
          <w:p w:rsidR="009C0008" w:rsidRPr="004C50BA" w:rsidRDefault="009C0008" w:rsidP="00FF1A86">
            <w:pPr>
              <w:jc w:val="center"/>
              <w:rPr>
                <w:rFonts w:ascii="Arial" w:hAnsi="Arial" w:cs="Arial"/>
                <w:color w:val="000000"/>
                <w:sz w:val="18"/>
                <w:szCs w:val="18"/>
              </w:rPr>
            </w:pPr>
          </w:p>
        </w:tc>
        <w:tc>
          <w:tcPr>
            <w:tcW w:w="553" w:type="dxa"/>
            <w:tcBorders>
              <w:top w:val="single" w:sz="4" w:space="0" w:color="auto"/>
            </w:tcBorders>
            <w:noWrap/>
            <w:vAlign w:val="center"/>
          </w:tcPr>
          <w:p w:rsidR="009C0008" w:rsidRPr="004C50BA" w:rsidRDefault="009C0008" w:rsidP="00FF1A86">
            <w:pPr>
              <w:jc w:val="center"/>
              <w:rPr>
                <w:rFonts w:ascii="Arial" w:hAnsi="Arial" w:cs="Arial"/>
                <w:color w:val="000000"/>
                <w:sz w:val="18"/>
                <w:szCs w:val="18"/>
              </w:rPr>
            </w:pPr>
          </w:p>
        </w:tc>
      </w:tr>
      <w:tr w:rsidR="009C0008" w:rsidRPr="004C50BA" w:rsidTr="00FF1A86">
        <w:trPr>
          <w:trHeight w:hRule="exact" w:val="284"/>
        </w:trPr>
        <w:tc>
          <w:tcPr>
            <w:tcW w:w="1470" w:type="dxa"/>
            <w:noWrap/>
            <w:vAlign w:val="bottom"/>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F(  3,    11)</w:t>
            </w:r>
          </w:p>
        </w:tc>
        <w:tc>
          <w:tcPr>
            <w:tcW w:w="910" w:type="dxa"/>
            <w:noWrap/>
            <w:vAlign w:val="bottom"/>
          </w:tcPr>
          <w:p w:rsidR="009C0008" w:rsidRPr="004C50BA" w:rsidRDefault="009C0008" w:rsidP="00FF1A86">
            <w:pPr>
              <w:jc w:val="right"/>
              <w:rPr>
                <w:rFonts w:ascii="Arial" w:hAnsi="Arial" w:cs="Arial"/>
                <w:color w:val="000000"/>
                <w:sz w:val="18"/>
                <w:szCs w:val="18"/>
                <w:lang w:eastAsia="tr-TR"/>
              </w:rPr>
            </w:pPr>
            <w:r w:rsidRPr="004C50BA">
              <w:rPr>
                <w:rFonts w:ascii="Arial" w:hAnsi="Arial" w:cs="Arial"/>
                <w:color w:val="000000"/>
                <w:sz w:val="18"/>
                <w:szCs w:val="18"/>
                <w:lang w:eastAsia="tr-TR"/>
              </w:rPr>
              <w:t>81.81</w:t>
            </w:r>
          </w:p>
        </w:tc>
        <w:tc>
          <w:tcPr>
            <w:tcW w:w="1423" w:type="dxa"/>
            <w:noWrap/>
            <w:vAlign w:val="center"/>
          </w:tcPr>
          <w:p w:rsidR="009C0008" w:rsidRPr="004C50BA" w:rsidRDefault="009C0008" w:rsidP="00FF1A86">
            <w:pPr>
              <w:jc w:val="center"/>
              <w:rPr>
                <w:rFonts w:ascii="Arial" w:hAnsi="Arial" w:cs="Arial"/>
                <w:color w:val="000000"/>
                <w:sz w:val="18"/>
                <w:szCs w:val="18"/>
              </w:rPr>
            </w:pPr>
          </w:p>
        </w:tc>
        <w:tc>
          <w:tcPr>
            <w:tcW w:w="596" w:type="dxa"/>
            <w:noWrap/>
            <w:vAlign w:val="center"/>
          </w:tcPr>
          <w:p w:rsidR="009C0008" w:rsidRPr="004C50BA" w:rsidRDefault="009C0008" w:rsidP="00FF1A86">
            <w:pPr>
              <w:jc w:val="center"/>
              <w:rPr>
                <w:rFonts w:ascii="Arial" w:hAnsi="Arial" w:cs="Arial"/>
                <w:color w:val="000000"/>
                <w:sz w:val="18"/>
                <w:szCs w:val="18"/>
              </w:rPr>
            </w:pPr>
          </w:p>
        </w:tc>
        <w:tc>
          <w:tcPr>
            <w:tcW w:w="553" w:type="dxa"/>
            <w:noWrap/>
            <w:vAlign w:val="center"/>
          </w:tcPr>
          <w:p w:rsidR="009C0008" w:rsidRPr="004C50BA" w:rsidRDefault="009C0008" w:rsidP="00FF1A86">
            <w:pPr>
              <w:jc w:val="center"/>
              <w:rPr>
                <w:rFonts w:ascii="Arial" w:hAnsi="Arial" w:cs="Arial"/>
                <w:color w:val="000000"/>
                <w:sz w:val="18"/>
                <w:szCs w:val="18"/>
              </w:rPr>
            </w:pPr>
          </w:p>
        </w:tc>
      </w:tr>
      <w:tr w:rsidR="009C0008" w:rsidRPr="004C50BA" w:rsidTr="00FF1A86">
        <w:trPr>
          <w:trHeight w:hRule="exact" w:val="284"/>
        </w:trPr>
        <w:tc>
          <w:tcPr>
            <w:tcW w:w="1470" w:type="dxa"/>
            <w:noWrap/>
            <w:vAlign w:val="bottom"/>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Prob &gt; F</w:t>
            </w:r>
          </w:p>
        </w:tc>
        <w:tc>
          <w:tcPr>
            <w:tcW w:w="910" w:type="dxa"/>
            <w:noWrap/>
            <w:vAlign w:val="bottom"/>
          </w:tcPr>
          <w:p w:rsidR="009C0008" w:rsidRPr="004C50BA" w:rsidRDefault="009C0008" w:rsidP="00FF1A86">
            <w:pPr>
              <w:jc w:val="right"/>
              <w:rPr>
                <w:rFonts w:ascii="Arial" w:hAnsi="Arial" w:cs="Arial"/>
                <w:color w:val="000000"/>
                <w:sz w:val="18"/>
                <w:szCs w:val="18"/>
                <w:lang w:eastAsia="tr-TR"/>
              </w:rPr>
            </w:pPr>
            <w:r w:rsidRPr="004C50BA">
              <w:rPr>
                <w:rFonts w:ascii="Arial" w:hAnsi="Arial" w:cs="Arial"/>
                <w:color w:val="000000"/>
                <w:sz w:val="18"/>
                <w:szCs w:val="18"/>
                <w:lang w:eastAsia="tr-TR"/>
              </w:rPr>
              <w:t>0</w:t>
            </w:r>
          </w:p>
        </w:tc>
        <w:tc>
          <w:tcPr>
            <w:tcW w:w="1423" w:type="dxa"/>
            <w:noWrap/>
            <w:vAlign w:val="center"/>
          </w:tcPr>
          <w:p w:rsidR="009C0008" w:rsidRPr="004C50BA" w:rsidRDefault="009C0008" w:rsidP="00FF1A86">
            <w:pPr>
              <w:jc w:val="center"/>
              <w:rPr>
                <w:rFonts w:ascii="Arial" w:hAnsi="Arial" w:cs="Arial"/>
                <w:color w:val="000000"/>
                <w:sz w:val="18"/>
                <w:szCs w:val="18"/>
              </w:rPr>
            </w:pPr>
          </w:p>
        </w:tc>
        <w:tc>
          <w:tcPr>
            <w:tcW w:w="596" w:type="dxa"/>
            <w:noWrap/>
            <w:vAlign w:val="center"/>
          </w:tcPr>
          <w:p w:rsidR="009C0008" w:rsidRPr="004C50BA" w:rsidRDefault="009C0008" w:rsidP="00FF1A86">
            <w:pPr>
              <w:jc w:val="center"/>
              <w:rPr>
                <w:rFonts w:ascii="Arial" w:hAnsi="Arial" w:cs="Arial"/>
                <w:color w:val="000000"/>
                <w:sz w:val="18"/>
                <w:szCs w:val="18"/>
              </w:rPr>
            </w:pPr>
          </w:p>
        </w:tc>
        <w:tc>
          <w:tcPr>
            <w:tcW w:w="553" w:type="dxa"/>
            <w:noWrap/>
            <w:vAlign w:val="center"/>
          </w:tcPr>
          <w:p w:rsidR="009C0008" w:rsidRPr="004C50BA" w:rsidRDefault="009C0008" w:rsidP="00FF1A86">
            <w:pPr>
              <w:jc w:val="center"/>
              <w:rPr>
                <w:rFonts w:ascii="Arial" w:hAnsi="Arial" w:cs="Arial"/>
                <w:color w:val="000000"/>
                <w:sz w:val="18"/>
                <w:szCs w:val="18"/>
              </w:rPr>
            </w:pPr>
          </w:p>
        </w:tc>
      </w:tr>
      <w:tr w:rsidR="009C0008" w:rsidRPr="004C50BA" w:rsidTr="00FF1A86">
        <w:trPr>
          <w:trHeight w:hRule="exact" w:val="284"/>
        </w:trPr>
        <w:tc>
          <w:tcPr>
            <w:tcW w:w="1470" w:type="dxa"/>
            <w:tcBorders>
              <w:bottom w:val="single" w:sz="4" w:space="0" w:color="auto"/>
            </w:tcBorders>
            <w:noWrap/>
            <w:vAlign w:val="bottom"/>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R</w:t>
            </w:r>
            <w:r w:rsidRPr="004C50BA">
              <w:rPr>
                <w:rFonts w:ascii="Arial" w:hAnsi="Arial" w:cs="Arial"/>
                <w:color w:val="000000"/>
                <w:sz w:val="18"/>
                <w:szCs w:val="18"/>
                <w:vertAlign w:val="superscript"/>
                <w:lang w:eastAsia="tr-TR"/>
              </w:rPr>
              <w:t>2</w:t>
            </w:r>
          </w:p>
        </w:tc>
        <w:tc>
          <w:tcPr>
            <w:tcW w:w="910" w:type="dxa"/>
            <w:tcBorders>
              <w:bottom w:val="single" w:sz="4" w:space="0" w:color="auto"/>
            </w:tcBorders>
            <w:noWrap/>
            <w:vAlign w:val="bottom"/>
          </w:tcPr>
          <w:p w:rsidR="009C0008" w:rsidRPr="004C50BA" w:rsidRDefault="009C0008" w:rsidP="00FF1A86">
            <w:pPr>
              <w:jc w:val="right"/>
              <w:rPr>
                <w:rFonts w:ascii="Arial" w:hAnsi="Arial" w:cs="Arial"/>
                <w:color w:val="000000"/>
                <w:sz w:val="18"/>
                <w:szCs w:val="18"/>
                <w:lang w:eastAsia="tr-TR"/>
              </w:rPr>
            </w:pPr>
            <w:r w:rsidRPr="004C50BA">
              <w:rPr>
                <w:rFonts w:ascii="Arial" w:hAnsi="Arial" w:cs="Arial"/>
                <w:color w:val="000000"/>
                <w:sz w:val="18"/>
                <w:szCs w:val="18"/>
                <w:lang w:eastAsia="tr-TR"/>
              </w:rPr>
              <w:t>0.9571</w:t>
            </w:r>
          </w:p>
        </w:tc>
        <w:tc>
          <w:tcPr>
            <w:tcW w:w="1423" w:type="dxa"/>
            <w:noWrap/>
            <w:vAlign w:val="center"/>
          </w:tcPr>
          <w:p w:rsidR="009C0008" w:rsidRPr="004C50BA" w:rsidRDefault="009C0008" w:rsidP="00FF1A86">
            <w:pPr>
              <w:jc w:val="center"/>
              <w:rPr>
                <w:rFonts w:ascii="Arial" w:hAnsi="Arial" w:cs="Arial"/>
                <w:color w:val="000000"/>
                <w:sz w:val="18"/>
                <w:szCs w:val="18"/>
              </w:rPr>
            </w:pPr>
          </w:p>
        </w:tc>
        <w:tc>
          <w:tcPr>
            <w:tcW w:w="596" w:type="dxa"/>
            <w:noWrap/>
            <w:vAlign w:val="center"/>
          </w:tcPr>
          <w:p w:rsidR="009C0008" w:rsidRPr="004C50BA" w:rsidRDefault="009C0008" w:rsidP="00FF1A86">
            <w:pPr>
              <w:jc w:val="center"/>
              <w:rPr>
                <w:rFonts w:ascii="Arial" w:hAnsi="Arial" w:cs="Arial"/>
                <w:color w:val="000000"/>
                <w:sz w:val="18"/>
                <w:szCs w:val="18"/>
              </w:rPr>
            </w:pPr>
          </w:p>
        </w:tc>
        <w:tc>
          <w:tcPr>
            <w:tcW w:w="553" w:type="dxa"/>
            <w:noWrap/>
            <w:vAlign w:val="center"/>
          </w:tcPr>
          <w:p w:rsidR="009C0008" w:rsidRPr="004C50BA" w:rsidRDefault="009C0008" w:rsidP="00FF1A86">
            <w:pPr>
              <w:jc w:val="center"/>
              <w:rPr>
                <w:rFonts w:ascii="Arial" w:hAnsi="Arial" w:cs="Arial"/>
                <w:color w:val="000000"/>
                <w:sz w:val="18"/>
                <w:szCs w:val="18"/>
              </w:rPr>
            </w:pPr>
          </w:p>
        </w:tc>
      </w:tr>
    </w:tbl>
    <w:p w:rsidR="009C0008" w:rsidRPr="0056655F" w:rsidRDefault="009C0008" w:rsidP="009C0008">
      <w:pPr>
        <w:autoSpaceDE w:val="0"/>
        <w:autoSpaceDN w:val="0"/>
        <w:adjustRightInd w:val="0"/>
      </w:pPr>
      <w:r w:rsidRPr="0056655F">
        <w:tab/>
      </w:r>
      <w:r w:rsidRPr="0056655F">
        <w:tab/>
      </w:r>
      <w:r w:rsidRPr="0056655F">
        <w:tab/>
      </w:r>
      <w:r w:rsidRPr="0056655F">
        <w:tab/>
      </w:r>
      <w:r w:rsidRPr="0056655F">
        <w:tab/>
      </w:r>
    </w:p>
    <w:p w:rsidR="009C0008" w:rsidRPr="00CA03B2" w:rsidRDefault="009C0008" w:rsidP="009C0008">
      <w:pPr>
        <w:autoSpaceDE w:val="0"/>
        <w:autoSpaceDN w:val="0"/>
        <w:adjustRightInd w:val="0"/>
        <w:jc w:val="both"/>
        <w:rPr>
          <w:rFonts w:ascii="Arial" w:hAnsi="Arial" w:cs="Arial"/>
          <w:sz w:val="20"/>
          <w:szCs w:val="20"/>
        </w:rPr>
      </w:pPr>
      <w:r w:rsidRPr="00CA03B2">
        <w:rPr>
          <w:rFonts w:ascii="Arial" w:hAnsi="Arial" w:cs="Arial"/>
          <w:sz w:val="20"/>
          <w:szCs w:val="20"/>
        </w:rPr>
        <w:t xml:space="preserve">Bu regresyon katsayılarını elde edip istatistiksel olarak geçerliliklerini kabul ettikten sonra bağımsız değişkenleri üzerine ekonomik tahminler çerçevesinde bir takım simülasyonlar gerçekleştirildi ve yolcu sayısı tahminleri iki farklı senaryo altında hesaplandı. </w:t>
      </w:r>
    </w:p>
    <w:p w:rsidR="009C0008" w:rsidRPr="0056655F" w:rsidRDefault="009C0008" w:rsidP="009C0008">
      <w:pPr>
        <w:autoSpaceDE w:val="0"/>
        <w:autoSpaceDN w:val="0"/>
        <w:adjustRightInd w:val="0"/>
        <w:jc w:val="both"/>
        <w:sectPr w:rsidR="009C0008" w:rsidRPr="0056655F" w:rsidSect="004F4835">
          <w:pgSz w:w="11906" w:h="16838"/>
          <w:pgMar w:top="1417" w:right="1417" w:bottom="1417" w:left="1417" w:header="708" w:footer="708" w:gutter="0"/>
          <w:cols w:space="708"/>
          <w:docGrid w:linePitch="360"/>
        </w:sectPr>
      </w:pPr>
    </w:p>
    <w:p w:rsidR="009C0008" w:rsidRPr="00CA03B2" w:rsidRDefault="009C0008" w:rsidP="009C0008">
      <w:pPr>
        <w:pStyle w:val="ResimYazs"/>
        <w:keepNext/>
        <w:spacing w:before="100" w:beforeAutospacing="1" w:after="100" w:afterAutospacing="1"/>
        <w:jc w:val="both"/>
        <w:rPr>
          <w:rFonts w:ascii="Arial" w:hAnsi="Arial" w:cs="Arial"/>
        </w:rPr>
      </w:pPr>
      <w:bookmarkStart w:id="13" w:name="_Ref359847187"/>
      <w:r w:rsidRPr="00CA03B2">
        <w:rPr>
          <w:rFonts w:ascii="Arial" w:hAnsi="Arial" w:cs="Arial"/>
        </w:rPr>
        <w:lastRenderedPageBreak/>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10</w:t>
      </w:r>
      <w:r w:rsidRPr="00CA03B2">
        <w:rPr>
          <w:rFonts w:ascii="Arial" w:hAnsi="Arial" w:cs="Arial"/>
        </w:rPr>
        <w:fldChar w:fldCharType="end"/>
      </w:r>
      <w:bookmarkEnd w:id="13"/>
      <w:r w:rsidRPr="00CA03B2">
        <w:rPr>
          <w:rFonts w:ascii="Arial" w:hAnsi="Arial" w:cs="Arial"/>
        </w:rPr>
        <w:t xml:space="preserve"> Senaryo 1 için yolcu sayısı (milyon) ve artış oranları tahminleri (%) </w:t>
      </w:r>
    </w:p>
    <w:tbl>
      <w:tblPr>
        <w:tblW w:w="77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71"/>
        <w:gridCol w:w="1309"/>
        <w:gridCol w:w="1142"/>
        <w:gridCol w:w="1641"/>
        <w:gridCol w:w="1142"/>
        <w:gridCol w:w="1142"/>
      </w:tblGrid>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Yıl</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2012*</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9,8</w:t>
            </w:r>
          </w:p>
        </w:tc>
      </w:tr>
      <w:tr w:rsidR="009C0008" w:rsidRPr="004C50BA" w:rsidTr="00F17517">
        <w:trPr>
          <w:trHeight w:hRule="exact" w:val="284"/>
        </w:trPr>
        <w:tc>
          <w:tcPr>
            <w:tcW w:w="7747" w:type="dxa"/>
            <w:gridSpan w:val="6"/>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Senaryo 1</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Yıl</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54,0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36,7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13,3</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2014</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57,8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39,9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25,4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2015</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61,8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18,5</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27,6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15,7</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2016</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66,1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19,2</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46,9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17,0</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2017</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70,6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19,8</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50,8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32,4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18,4</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2018</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75,3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20,0</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80,3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59,4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37,9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21,6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85,8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63,5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23,1</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2021</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91,6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23,8</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67,8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24,6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2022</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97,8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25,4</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72,4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46,1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26,3</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104,2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27,1</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77,1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49,1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28,0</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2024</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111,0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82,2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29,8</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2025</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118,0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87,3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31,7</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2026</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125,3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32,6</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92,8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59,1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33,7</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2027</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133,0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34,6</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98,4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62,7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35,7</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2028</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141,0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36,7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104,4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66,5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37,9</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149,4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38,8</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110,6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70,4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40,1</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158,2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41,1</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117,0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74,5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42,5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2031</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162,0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42,1</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119,9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76,4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2032</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165,8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43,1</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122,7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78,1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44,5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169,5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44,1</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125,4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79,9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2034</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173,1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45,0</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128,1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81,6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46,5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2035</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176,7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130,7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83,3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47,5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2036</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180,1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46,8</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133,3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84,9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48,4</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2037</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183,4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47,7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135,7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86,5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49,3</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2038</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186,7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48,5</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138,1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88,0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50,1</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189,8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49,4</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140,5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89,5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51,0</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2040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192,8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50,1</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142,7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90,9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51,8</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2041</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195,7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50,9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144,8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92,3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2042</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198,5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51,6</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146,9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93,6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53,3</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2043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201,1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148,8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94,8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54,0</w:t>
            </w:r>
          </w:p>
        </w:tc>
      </w:tr>
      <w:tr w:rsidR="009C0008" w:rsidRPr="004C50BA" w:rsidTr="00F17517">
        <w:trPr>
          <w:trHeight w:hRule="exact" w:val="284"/>
        </w:trPr>
        <w:tc>
          <w:tcPr>
            <w:tcW w:w="7747" w:type="dxa"/>
            <w:gridSpan w:val="6"/>
            <w:noWrap/>
            <w:vAlign w:val="center"/>
          </w:tcPr>
          <w:p w:rsidR="009C0008" w:rsidRPr="004C50BA" w:rsidRDefault="009C0008" w:rsidP="00FF1A86">
            <w:pPr>
              <w:jc w:val="center"/>
              <w:rPr>
                <w:rFonts w:ascii="Arial" w:hAnsi="Arial" w:cs="Arial"/>
                <w:b/>
                <w:color w:val="000000"/>
                <w:sz w:val="18"/>
                <w:szCs w:val="18"/>
              </w:rPr>
            </w:pPr>
            <w:r w:rsidRPr="004C50BA">
              <w:rPr>
                <w:rFonts w:ascii="Arial" w:hAnsi="Arial" w:cs="Arial"/>
                <w:b/>
                <w:color w:val="000000"/>
                <w:sz w:val="18"/>
                <w:szCs w:val="18"/>
              </w:rPr>
              <w:t>Artış Oranları</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color w:val="000000"/>
                <w:sz w:val="18"/>
                <w:szCs w:val="18"/>
              </w:rPr>
            </w:pPr>
            <w:r w:rsidRPr="004C50BA">
              <w:rPr>
                <w:rFonts w:ascii="Arial" w:hAnsi="Arial" w:cs="Arial"/>
                <w:b/>
                <w:color w:val="000000"/>
                <w:sz w:val="18"/>
                <w:szCs w:val="18"/>
              </w:rPr>
              <w:t>Dönemler</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2012-2043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2012-2019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4,6</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11,9</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2019-2030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2030-2043</w:t>
            </w:r>
          </w:p>
          <w:p w:rsidR="009C0008" w:rsidRPr="004C50BA" w:rsidRDefault="009C0008" w:rsidP="00FF1A86">
            <w:pPr>
              <w:rPr>
                <w:rFonts w:ascii="Arial" w:hAnsi="Arial" w:cs="Arial"/>
                <w:color w:val="000000"/>
                <w:sz w:val="18"/>
                <w:szCs w:val="18"/>
              </w:rPr>
            </w:pP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w:t>
            </w:r>
          </w:p>
        </w:tc>
      </w:tr>
    </w:tbl>
    <w:p w:rsidR="009C0008" w:rsidRPr="0056655F" w:rsidRDefault="009C0008" w:rsidP="009C0008">
      <w:pPr>
        <w:jc w:val="both"/>
        <w:rPr>
          <w:sz w:val="20"/>
          <w:szCs w:val="20"/>
        </w:rPr>
      </w:pPr>
      <w:r w:rsidRPr="0056655F">
        <w:rPr>
          <w:sz w:val="20"/>
          <w:szCs w:val="20"/>
        </w:rPr>
        <w:t xml:space="preserve">Kaynak: Yazarın kendi hesaplamaları </w:t>
      </w:r>
    </w:p>
    <w:p w:rsidR="009C0008" w:rsidRPr="0056655F" w:rsidRDefault="009C0008" w:rsidP="009C0008">
      <w:pPr>
        <w:jc w:val="both"/>
        <w:rPr>
          <w:sz w:val="20"/>
          <w:szCs w:val="20"/>
        </w:rPr>
      </w:pPr>
      <w:r w:rsidRPr="0056655F">
        <w:rPr>
          <w:sz w:val="20"/>
          <w:szCs w:val="20"/>
        </w:rPr>
        <w:t>* 2012 yılı gerçekleşen yolcu sayıları</w:t>
      </w:r>
    </w:p>
    <w:p w:rsidR="009C0008" w:rsidRPr="0056655F" w:rsidRDefault="009C0008" w:rsidP="009C0008">
      <w:pPr>
        <w:jc w:val="both"/>
        <w:rPr>
          <w:sz w:val="20"/>
          <w:szCs w:val="20"/>
        </w:rPr>
      </w:pPr>
    </w:p>
    <w:p w:rsidR="009C0008" w:rsidRPr="00CA03B2" w:rsidRDefault="009C0008" w:rsidP="009C0008">
      <w:pPr>
        <w:pStyle w:val="ResimYazs"/>
        <w:keepNext/>
        <w:spacing w:before="100" w:beforeAutospacing="1" w:after="100" w:afterAutospacing="1"/>
        <w:jc w:val="both"/>
        <w:rPr>
          <w:rFonts w:ascii="Arial" w:hAnsi="Arial" w:cs="Arial"/>
        </w:rPr>
      </w:pPr>
      <w:bookmarkStart w:id="14" w:name="_Ref360029200"/>
      <w:r w:rsidRPr="00CA03B2">
        <w:rPr>
          <w:rFonts w:ascii="Arial" w:hAnsi="Arial" w:cs="Arial"/>
        </w:rPr>
        <w:lastRenderedPageBreak/>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11</w:t>
      </w:r>
      <w:r w:rsidRPr="00CA03B2">
        <w:rPr>
          <w:rFonts w:ascii="Arial" w:hAnsi="Arial" w:cs="Arial"/>
        </w:rPr>
        <w:fldChar w:fldCharType="end"/>
      </w:r>
      <w:bookmarkEnd w:id="14"/>
      <w:r w:rsidRPr="00CA03B2">
        <w:rPr>
          <w:rFonts w:ascii="Arial" w:hAnsi="Arial" w:cs="Arial"/>
        </w:rPr>
        <w:t xml:space="preserve"> Senaryo 2 için yolcu sayısı (milyon) ve artış oranları tahminleri (%)</w:t>
      </w:r>
    </w:p>
    <w:tbl>
      <w:tblPr>
        <w:tblW w:w="77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71"/>
        <w:gridCol w:w="1309"/>
        <w:gridCol w:w="1142"/>
        <w:gridCol w:w="1641"/>
        <w:gridCol w:w="1142"/>
        <w:gridCol w:w="1142"/>
      </w:tblGrid>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Yıl</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lang w:eastAsia="tr-TR"/>
              </w:rPr>
            </w:pPr>
            <w:r w:rsidRPr="004C50BA">
              <w:rPr>
                <w:rFonts w:ascii="Arial" w:hAnsi="Arial" w:cs="Arial"/>
                <w:color w:val="000000"/>
                <w:sz w:val="18"/>
                <w:szCs w:val="18"/>
                <w:lang w:eastAsia="tr-TR"/>
              </w:rPr>
              <w:t>2012*</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9,8</w:t>
            </w:r>
          </w:p>
        </w:tc>
      </w:tr>
      <w:tr w:rsidR="009C0008" w:rsidRPr="004C50BA" w:rsidTr="00F17517">
        <w:trPr>
          <w:trHeight w:hRule="exact" w:val="284"/>
        </w:trPr>
        <w:tc>
          <w:tcPr>
            <w:tcW w:w="7747" w:type="dxa"/>
            <w:gridSpan w:val="6"/>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Senaryo 2</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bCs/>
                <w:color w:val="000000"/>
                <w:sz w:val="18"/>
                <w:szCs w:val="18"/>
                <w:lang w:eastAsia="tr-TR"/>
              </w:rPr>
            </w:pPr>
            <w:r w:rsidRPr="004C50BA">
              <w:rPr>
                <w:rFonts w:ascii="Arial" w:hAnsi="Arial" w:cs="Arial"/>
                <w:b/>
                <w:bCs/>
                <w:color w:val="000000"/>
                <w:sz w:val="18"/>
                <w:szCs w:val="18"/>
                <w:lang w:eastAsia="tr-TR"/>
              </w:rPr>
              <w:t>Yıl</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16,9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13,0</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2014</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17,1</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24,3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13,9</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2015</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57,9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17,4</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25,8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14,7</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2016</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60,5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17,6</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27,4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2017</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63,3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16,5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2018</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66,0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17,8</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48,2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68,9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51,0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32,5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18,5</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72,0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18,7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33,9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19,3</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2021</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75,2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19,6</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20,2</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2022</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78,5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20,4</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58,1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37,0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21,1</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81,9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21,3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60,6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22,0</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2024</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85,3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22,2</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63,1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22,9</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2025</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88,7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23,1</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65,6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23,8</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2026</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92,1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68,2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24,7</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2027</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95,6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24,9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70,8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25,7</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2028</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99,2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25,8</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73,4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46,7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26,6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2029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102,8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26,7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76,0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48,4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27,6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106,4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27,7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78,7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50,2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2031</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107,8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28,0</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79,7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50,8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28,9</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2032</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109,0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80,7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51,4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29,3</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110,2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81,6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2034</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111,3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28,9</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82,4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29,9</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2035</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112,3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29,2</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83,1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30,2</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2036</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113,3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29,4</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83,8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30,4</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2037</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114,1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84,4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30,6</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2038</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114,8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29,8</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84,9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54,1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30,8</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115,4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30,0</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85,4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54,4</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31,0</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2040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115,9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30,1</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85,8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54,6</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31,1</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2041</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116,3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30,2</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86,1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54,8</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31,3</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2042</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116,7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86,3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31,3</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2043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116,9</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30,4</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86,5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31,4</w:t>
            </w:r>
          </w:p>
        </w:tc>
      </w:tr>
      <w:tr w:rsidR="009C0008" w:rsidRPr="004C50BA" w:rsidTr="00F17517">
        <w:trPr>
          <w:trHeight w:hRule="exact" w:val="284"/>
        </w:trPr>
        <w:tc>
          <w:tcPr>
            <w:tcW w:w="7747" w:type="dxa"/>
            <w:gridSpan w:val="6"/>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color w:val="000000"/>
                <w:sz w:val="18"/>
                <w:szCs w:val="18"/>
              </w:rPr>
              <w:t>Artış Oranları</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b/>
                <w:color w:val="000000"/>
                <w:sz w:val="18"/>
                <w:szCs w:val="18"/>
              </w:rPr>
            </w:pPr>
            <w:r w:rsidRPr="004C50BA">
              <w:rPr>
                <w:rFonts w:ascii="Arial" w:hAnsi="Arial" w:cs="Arial"/>
                <w:b/>
                <w:color w:val="000000"/>
                <w:sz w:val="18"/>
                <w:szCs w:val="18"/>
              </w:rPr>
              <w:t>Dönemler</w:t>
            </w:r>
          </w:p>
        </w:tc>
        <w:tc>
          <w:tcPr>
            <w:tcW w:w="1309"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Yolcu Sayısı</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İç hat</w:t>
            </w:r>
          </w:p>
        </w:tc>
        <w:tc>
          <w:tcPr>
            <w:tcW w:w="1641"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Toplam 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Dış Hat</w:t>
            </w:r>
          </w:p>
        </w:tc>
        <w:tc>
          <w:tcPr>
            <w:tcW w:w="1142" w:type="dxa"/>
            <w:noWrap/>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Transit</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2012-2043</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3,3</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2012-2019</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7,2</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9,4</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2019-2030</w:t>
            </w: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w:t>
            </w:r>
          </w:p>
        </w:tc>
      </w:tr>
      <w:tr w:rsidR="009C0008" w:rsidRPr="004C50BA" w:rsidTr="00F17517">
        <w:trPr>
          <w:trHeight w:hRule="exact" w:val="284"/>
        </w:trPr>
        <w:tc>
          <w:tcPr>
            <w:tcW w:w="1371" w:type="dxa"/>
            <w:noWrap/>
            <w:vAlign w:val="center"/>
          </w:tcPr>
          <w:p w:rsidR="009C0008" w:rsidRPr="004C50BA" w:rsidRDefault="009C0008" w:rsidP="00FF1A86">
            <w:pPr>
              <w:rPr>
                <w:rFonts w:ascii="Arial" w:hAnsi="Arial" w:cs="Arial"/>
                <w:color w:val="000000"/>
                <w:sz w:val="18"/>
                <w:szCs w:val="18"/>
              </w:rPr>
            </w:pPr>
            <w:r w:rsidRPr="004C50BA">
              <w:rPr>
                <w:rFonts w:ascii="Arial" w:hAnsi="Arial" w:cs="Arial"/>
                <w:color w:val="000000"/>
                <w:sz w:val="18"/>
                <w:szCs w:val="18"/>
              </w:rPr>
              <w:t>2030-2043</w:t>
            </w:r>
          </w:p>
          <w:p w:rsidR="009C0008" w:rsidRPr="004C50BA" w:rsidRDefault="009C0008" w:rsidP="00FF1A86">
            <w:pPr>
              <w:rPr>
                <w:rFonts w:ascii="Arial" w:hAnsi="Arial" w:cs="Arial"/>
                <w:color w:val="000000"/>
                <w:sz w:val="18"/>
                <w:szCs w:val="18"/>
              </w:rPr>
            </w:pPr>
          </w:p>
        </w:tc>
        <w:tc>
          <w:tcPr>
            <w:tcW w:w="1309"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1641"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c>
          <w:tcPr>
            <w:tcW w:w="1142" w:type="dxa"/>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0,7</w:t>
            </w:r>
          </w:p>
        </w:tc>
      </w:tr>
    </w:tbl>
    <w:p w:rsidR="009C0008" w:rsidRPr="0056655F" w:rsidRDefault="009C0008" w:rsidP="009C0008">
      <w:pPr>
        <w:jc w:val="both"/>
        <w:rPr>
          <w:sz w:val="20"/>
          <w:szCs w:val="20"/>
        </w:rPr>
      </w:pPr>
      <w:r w:rsidRPr="0056655F">
        <w:rPr>
          <w:sz w:val="20"/>
          <w:szCs w:val="20"/>
        </w:rPr>
        <w:t xml:space="preserve">Kaynak: Yazarın kendi hesaplamaları </w:t>
      </w:r>
    </w:p>
    <w:p w:rsidR="009C0008" w:rsidRPr="0056655F" w:rsidRDefault="009C0008" w:rsidP="009C0008">
      <w:pPr>
        <w:jc w:val="both"/>
        <w:rPr>
          <w:sz w:val="20"/>
          <w:szCs w:val="20"/>
        </w:rPr>
      </w:pPr>
      <w:r w:rsidRPr="0056655F">
        <w:rPr>
          <w:sz w:val="20"/>
          <w:szCs w:val="20"/>
        </w:rPr>
        <w:t>* 2012 yılı gerçekleşen yolcu sayıları</w:t>
      </w:r>
    </w:p>
    <w:p w:rsidR="009C0008" w:rsidRPr="0056655F" w:rsidRDefault="009C0008" w:rsidP="009C0008">
      <w:pPr>
        <w:autoSpaceDE w:val="0"/>
        <w:autoSpaceDN w:val="0"/>
        <w:adjustRightInd w:val="0"/>
        <w:jc w:val="both"/>
        <w:sectPr w:rsidR="009C0008" w:rsidRPr="0056655F" w:rsidSect="004F4835">
          <w:pgSz w:w="11906" w:h="16838"/>
          <w:pgMar w:top="1417" w:right="1417" w:bottom="1417" w:left="1417" w:header="708" w:footer="708" w:gutter="0"/>
          <w:cols w:space="708"/>
          <w:docGrid w:linePitch="360"/>
        </w:sectPr>
      </w:pPr>
    </w:p>
    <w:p w:rsidR="009C0008" w:rsidRPr="00CA03B2" w:rsidRDefault="009C0008" w:rsidP="00CA03B2">
      <w:pPr>
        <w:pStyle w:val="ResimYazs"/>
        <w:keepNext/>
        <w:spacing w:before="100" w:beforeAutospacing="1" w:after="100" w:afterAutospacing="1"/>
        <w:jc w:val="both"/>
        <w:rPr>
          <w:rFonts w:ascii="Arial" w:hAnsi="Arial" w:cs="Arial"/>
        </w:rPr>
      </w:pPr>
      <w:bookmarkStart w:id="15" w:name="_Ref360135888"/>
      <w:r w:rsidRPr="00CA03B2">
        <w:rPr>
          <w:rFonts w:ascii="Arial" w:hAnsi="Arial" w:cs="Arial"/>
        </w:rPr>
        <w:lastRenderedPageBreak/>
        <w:t xml:space="preserve">Tablo </w:t>
      </w:r>
      <w:r w:rsidRPr="00CA03B2">
        <w:rPr>
          <w:rFonts w:ascii="Arial" w:hAnsi="Arial" w:cs="Arial"/>
        </w:rPr>
        <w:fldChar w:fldCharType="begin"/>
      </w:r>
      <w:r w:rsidRPr="00CA03B2">
        <w:rPr>
          <w:rFonts w:ascii="Arial" w:hAnsi="Arial" w:cs="Arial"/>
        </w:rPr>
        <w:instrText xml:space="preserve"> SEQ Tablo \* ARABIC </w:instrText>
      </w:r>
      <w:r w:rsidRPr="00CA03B2">
        <w:rPr>
          <w:rFonts w:ascii="Arial" w:hAnsi="Arial" w:cs="Arial"/>
        </w:rPr>
        <w:fldChar w:fldCharType="separate"/>
      </w:r>
      <w:r w:rsidRPr="00CA03B2">
        <w:rPr>
          <w:rFonts w:ascii="Arial" w:hAnsi="Arial" w:cs="Arial"/>
          <w:noProof/>
        </w:rPr>
        <w:t>12</w:t>
      </w:r>
      <w:r w:rsidRPr="00CA03B2">
        <w:rPr>
          <w:rFonts w:ascii="Arial" w:hAnsi="Arial" w:cs="Arial"/>
        </w:rPr>
        <w:fldChar w:fldCharType="end"/>
      </w:r>
      <w:bookmarkEnd w:id="15"/>
      <w:r w:rsidRPr="00CA03B2">
        <w:rPr>
          <w:rFonts w:ascii="Arial" w:hAnsi="Arial" w:cs="Arial"/>
        </w:rPr>
        <w:t xml:space="preserve"> Kira döneminde havalimanı için tahmini finansal tablo (milyon)</w:t>
      </w:r>
    </w:p>
    <w:tbl>
      <w:tblPr>
        <w:tblW w:w="86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1162"/>
        <w:gridCol w:w="1162"/>
        <w:gridCol w:w="1561"/>
        <w:gridCol w:w="1115"/>
        <w:gridCol w:w="1085"/>
        <w:gridCol w:w="1561"/>
      </w:tblGrid>
      <w:tr w:rsidR="009C0008" w:rsidRPr="004C50BA" w:rsidTr="00FF1A86">
        <w:trPr>
          <w:trHeight w:hRule="exact" w:val="284"/>
        </w:trPr>
        <w:tc>
          <w:tcPr>
            <w:tcW w:w="996" w:type="dxa"/>
            <w:shd w:val="clear" w:color="auto" w:fill="auto"/>
            <w:noWrap/>
            <w:vAlign w:val="center"/>
          </w:tcPr>
          <w:p w:rsidR="009C0008" w:rsidRPr="004C50BA" w:rsidRDefault="009C0008" w:rsidP="00FF1A86">
            <w:pPr>
              <w:rPr>
                <w:rFonts w:ascii="Arial" w:hAnsi="Arial" w:cs="Arial"/>
                <w:b/>
                <w:color w:val="000000"/>
                <w:sz w:val="18"/>
                <w:szCs w:val="18"/>
                <w:lang w:eastAsia="en-GB"/>
              </w:rPr>
            </w:pPr>
          </w:p>
        </w:tc>
        <w:tc>
          <w:tcPr>
            <w:tcW w:w="3885" w:type="dxa"/>
            <w:gridSpan w:val="3"/>
            <w:shd w:val="clear" w:color="auto" w:fill="auto"/>
            <w:noWrap/>
            <w:vAlign w:val="center"/>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bCs/>
                <w:color w:val="000000"/>
                <w:sz w:val="18"/>
                <w:szCs w:val="18"/>
                <w:lang w:eastAsia="tr-TR"/>
              </w:rPr>
              <w:t>Senaryo 1</w:t>
            </w:r>
          </w:p>
        </w:tc>
        <w:tc>
          <w:tcPr>
            <w:tcW w:w="3761" w:type="dxa"/>
            <w:gridSpan w:val="3"/>
            <w:vAlign w:val="center"/>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bCs/>
                <w:color w:val="000000"/>
                <w:sz w:val="18"/>
                <w:szCs w:val="18"/>
                <w:lang w:eastAsia="tr-TR"/>
              </w:rPr>
              <w:t>Senaryo 2</w:t>
            </w:r>
          </w:p>
        </w:tc>
      </w:tr>
      <w:tr w:rsidR="009C0008" w:rsidRPr="004C50BA" w:rsidTr="00FF1A86">
        <w:trPr>
          <w:trHeight w:hRule="exact" w:val="1134"/>
        </w:trPr>
        <w:tc>
          <w:tcPr>
            <w:tcW w:w="996" w:type="dxa"/>
            <w:shd w:val="clear" w:color="auto" w:fill="auto"/>
            <w:noWrap/>
            <w:vAlign w:val="center"/>
            <w:hideMark/>
          </w:tcPr>
          <w:p w:rsidR="009C0008" w:rsidRPr="004C50BA" w:rsidRDefault="009C0008" w:rsidP="00FF1A86">
            <w:pPr>
              <w:rPr>
                <w:rFonts w:ascii="Arial" w:hAnsi="Arial" w:cs="Arial"/>
                <w:b/>
                <w:color w:val="000000"/>
                <w:sz w:val="18"/>
                <w:szCs w:val="18"/>
                <w:lang w:eastAsia="en-GB"/>
              </w:rPr>
            </w:pPr>
            <w:r w:rsidRPr="004C50BA">
              <w:rPr>
                <w:rFonts w:ascii="Arial" w:hAnsi="Arial" w:cs="Arial"/>
                <w:b/>
                <w:color w:val="000000"/>
                <w:sz w:val="18"/>
                <w:szCs w:val="18"/>
                <w:lang w:eastAsia="en-GB"/>
              </w:rPr>
              <w:t>Yıl</w:t>
            </w:r>
          </w:p>
        </w:tc>
        <w:tc>
          <w:tcPr>
            <w:tcW w:w="1162" w:type="dxa"/>
            <w:shd w:val="clear" w:color="auto" w:fill="auto"/>
            <w:noWrap/>
            <w:vAlign w:val="center"/>
            <w:hideMark/>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 xml:space="preserve">Toplam </w:t>
            </w:r>
          </w:p>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 xml:space="preserve">Işletme </w:t>
            </w:r>
          </w:p>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Gelirleri</w:t>
            </w:r>
          </w:p>
        </w:tc>
        <w:tc>
          <w:tcPr>
            <w:tcW w:w="1162" w:type="dxa"/>
            <w:shd w:val="clear" w:color="auto" w:fill="auto"/>
            <w:noWrap/>
            <w:vAlign w:val="center"/>
            <w:hideMark/>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Toplam</w:t>
            </w:r>
          </w:p>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Gider</w:t>
            </w:r>
          </w:p>
        </w:tc>
        <w:tc>
          <w:tcPr>
            <w:tcW w:w="1561" w:type="dxa"/>
            <w:shd w:val="clear" w:color="auto" w:fill="auto"/>
            <w:noWrap/>
            <w:vAlign w:val="center"/>
            <w:hideMark/>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Net</w:t>
            </w:r>
          </w:p>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Kazanç/Kayıp</w:t>
            </w:r>
          </w:p>
        </w:tc>
        <w:tc>
          <w:tcPr>
            <w:tcW w:w="1115" w:type="dxa"/>
            <w:vAlign w:val="center"/>
          </w:tcPr>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 xml:space="preserve">Toplam </w:t>
            </w:r>
          </w:p>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 xml:space="preserve">Işletme </w:t>
            </w:r>
          </w:p>
          <w:p w:rsidR="009C0008" w:rsidRPr="004C50BA" w:rsidRDefault="009C0008" w:rsidP="00FF1A86">
            <w:pPr>
              <w:jc w:val="center"/>
              <w:rPr>
                <w:rFonts w:ascii="Arial" w:hAnsi="Arial" w:cs="Arial"/>
                <w:b/>
                <w:bCs/>
                <w:color w:val="000000"/>
                <w:sz w:val="18"/>
                <w:szCs w:val="18"/>
                <w:lang w:eastAsia="tr-TR"/>
              </w:rPr>
            </w:pPr>
            <w:r w:rsidRPr="004C50BA">
              <w:rPr>
                <w:rFonts w:ascii="Arial" w:hAnsi="Arial" w:cs="Arial"/>
                <w:b/>
                <w:bCs/>
                <w:color w:val="000000"/>
                <w:sz w:val="18"/>
                <w:szCs w:val="18"/>
                <w:lang w:eastAsia="tr-TR"/>
              </w:rPr>
              <w:t>Gelirleri</w:t>
            </w:r>
          </w:p>
        </w:tc>
        <w:tc>
          <w:tcPr>
            <w:tcW w:w="1085" w:type="dxa"/>
            <w:vAlign w:val="center"/>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 xml:space="preserve">Toplam </w:t>
            </w:r>
          </w:p>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Gider</w:t>
            </w:r>
          </w:p>
        </w:tc>
        <w:tc>
          <w:tcPr>
            <w:tcW w:w="1561" w:type="dxa"/>
            <w:vAlign w:val="center"/>
          </w:tcPr>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Net</w:t>
            </w:r>
          </w:p>
          <w:p w:rsidR="009C0008" w:rsidRPr="004C50BA" w:rsidRDefault="009C0008" w:rsidP="00FF1A86">
            <w:pPr>
              <w:jc w:val="center"/>
              <w:rPr>
                <w:rFonts w:ascii="Arial" w:hAnsi="Arial" w:cs="Arial"/>
                <w:b/>
                <w:color w:val="000000"/>
                <w:sz w:val="18"/>
                <w:szCs w:val="18"/>
                <w:lang w:eastAsia="en-GB"/>
              </w:rPr>
            </w:pPr>
            <w:r w:rsidRPr="004C50BA">
              <w:rPr>
                <w:rFonts w:ascii="Arial" w:hAnsi="Arial" w:cs="Arial"/>
                <w:b/>
                <w:color w:val="000000"/>
                <w:sz w:val="18"/>
                <w:szCs w:val="18"/>
                <w:lang w:eastAsia="en-GB"/>
              </w:rPr>
              <w:t>Kazanç/Kayıp</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2019</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2995,1</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3771,2</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-683,7</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2569,5</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3473,3</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-749,9</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2020</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3200,5</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3915,0</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-651,7</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2685,7</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3554,7</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-731,8</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2021</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3417,3</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4066,8</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-618,0</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2805,0</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3638,1</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-713,2</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2022</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3646,0</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4226,9</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-582,4</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2927,2</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3723,7</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-694,2</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2023</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3886,8</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4395,5</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-544,9</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3052,4</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3811,3</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-674,8</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2024</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4140,2</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4572,8</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-505,5</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3180,2</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3900,8</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-654,9</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2025</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4400,8</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4755,2</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-465,0</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3306,5</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3989,2</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-635,2</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2026</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4674,0</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4946,5</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-422,4</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3435,0</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4079,2</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-615,2</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2027</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4960,1</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5146,7</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-377,9</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3565,6</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4170,6</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-594,9</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2028</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5259,3</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5356,2</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-331,4</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3698,0</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4263,3</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-574,3</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2029</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5571,9</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5575,0</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-282,8</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3832,1</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4357,1</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-553,4</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2030</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5897,7</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5803,0</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-232,1</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3967,5</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4451,9</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-532,4</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2031</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6040,7</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5274,2</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766,5</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4018,3</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3858,5</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159,8</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2032</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6181,6</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5372,8</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808,8</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4066,0</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3891,9</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174,1</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2033</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6319,9</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5469,6</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850,3</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4110,5</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3923,1</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187,5</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2034</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6455,4</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5564,4</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890,9</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4151,7</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3951,9</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199,8</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2035</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6587,6</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5657,0</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930,6</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4189,4</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3978,3</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211,1</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2036</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6716,2</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5747,0</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969,2</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4223,4</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4002,1</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221,3</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2037</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6840,9</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5834,3</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1006,6</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4253,7</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4023,3</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230,4</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2038</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6961,7</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5918,9</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1042,8</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4280,5</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4042,0</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238,5</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2039</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7078,3</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6000,5</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1077,8</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4303,5</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4058,1</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245,4</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2040</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7190,5</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6079,0</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1111,5</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4322,8</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4071,7</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251,2</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2041</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7298,0</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6154,3</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1143,7</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4338,4</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4082,6</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255,9</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2042</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7401,0</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6226,4</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1174,6</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4350,5</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4091,0</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259,5</w:t>
            </w:r>
          </w:p>
        </w:tc>
      </w:tr>
      <w:tr w:rsidR="009C0008" w:rsidRPr="004C50BA" w:rsidTr="00FF1A86">
        <w:trPr>
          <w:trHeight w:hRule="exact" w:val="284"/>
        </w:trPr>
        <w:tc>
          <w:tcPr>
            <w:tcW w:w="996" w:type="dxa"/>
            <w:shd w:val="clear" w:color="auto" w:fill="auto"/>
            <w:noWrap/>
            <w:vAlign w:val="center"/>
            <w:hideMark/>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2043</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7499,4</w:t>
            </w:r>
          </w:p>
        </w:tc>
        <w:tc>
          <w:tcPr>
            <w:tcW w:w="1162"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6295,3</w:t>
            </w:r>
          </w:p>
        </w:tc>
        <w:tc>
          <w:tcPr>
            <w:tcW w:w="1561" w:type="dxa"/>
            <w:shd w:val="clear" w:color="auto" w:fill="auto"/>
            <w:noWrap/>
            <w:vAlign w:val="center"/>
            <w:hideMark/>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1204,1</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4359,0</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4097,0</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262,0</w:t>
            </w:r>
          </w:p>
        </w:tc>
      </w:tr>
      <w:tr w:rsidR="009C0008" w:rsidRPr="004C50BA" w:rsidTr="00FF1A86">
        <w:trPr>
          <w:trHeight w:hRule="exact" w:val="284"/>
        </w:trPr>
        <w:tc>
          <w:tcPr>
            <w:tcW w:w="996" w:type="dxa"/>
            <w:shd w:val="clear" w:color="auto" w:fill="auto"/>
            <w:noWrap/>
            <w:vAlign w:val="center"/>
          </w:tcPr>
          <w:p w:rsidR="009C0008" w:rsidRPr="004C50BA" w:rsidRDefault="009C0008" w:rsidP="00FF1A86">
            <w:pPr>
              <w:rPr>
                <w:rFonts w:ascii="Arial" w:hAnsi="Arial" w:cs="Arial"/>
                <w:color w:val="000000"/>
                <w:sz w:val="18"/>
                <w:szCs w:val="18"/>
                <w:lang w:eastAsia="en-GB"/>
              </w:rPr>
            </w:pPr>
            <w:r w:rsidRPr="004C50BA">
              <w:rPr>
                <w:rFonts w:ascii="Arial" w:hAnsi="Arial" w:cs="Arial"/>
                <w:color w:val="000000"/>
                <w:sz w:val="18"/>
                <w:szCs w:val="18"/>
                <w:lang w:eastAsia="en-GB"/>
              </w:rPr>
              <w:t>Toplam</w:t>
            </w:r>
          </w:p>
        </w:tc>
        <w:tc>
          <w:tcPr>
            <w:tcW w:w="1162"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140620,8</w:t>
            </w:r>
          </w:p>
        </w:tc>
        <w:tc>
          <w:tcPr>
            <w:tcW w:w="1162"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132124,4</w:t>
            </w:r>
          </w:p>
        </w:tc>
        <w:tc>
          <w:tcPr>
            <w:tcW w:w="1561" w:type="dxa"/>
            <w:shd w:val="clear" w:color="auto" w:fill="auto"/>
            <w:noWrap/>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7279,8</w:t>
            </w:r>
          </w:p>
        </w:tc>
        <w:tc>
          <w:tcPr>
            <w:tcW w:w="111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93992,6</w:t>
            </w:r>
          </w:p>
        </w:tc>
        <w:tc>
          <w:tcPr>
            <w:tcW w:w="1085"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99484,6</w:t>
            </w:r>
          </w:p>
        </w:tc>
        <w:tc>
          <w:tcPr>
            <w:tcW w:w="1561" w:type="dxa"/>
            <w:vAlign w:val="center"/>
          </w:tcPr>
          <w:p w:rsidR="009C0008" w:rsidRPr="004C50BA" w:rsidRDefault="009C0008" w:rsidP="00FF1A86">
            <w:pPr>
              <w:jc w:val="center"/>
              <w:rPr>
                <w:rFonts w:ascii="Arial" w:hAnsi="Arial" w:cs="Arial"/>
                <w:color w:val="000000"/>
                <w:sz w:val="18"/>
                <w:szCs w:val="18"/>
              </w:rPr>
            </w:pPr>
            <w:r w:rsidRPr="004C50BA">
              <w:rPr>
                <w:rFonts w:ascii="Arial" w:hAnsi="Arial" w:cs="Arial"/>
                <w:color w:val="000000"/>
                <w:sz w:val="18"/>
                <w:szCs w:val="18"/>
              </w:rPr>
              <w:t>-4827,7</w:t>
            </w:r>
          </w:p>
        </w:tc>
      </w:tr>
    </w:tbl>
    <w:p w:rsidR="009C0008" w:rsidRPr="0056655F" w:rsidRDefault="009C0008" w:rsidP="009C0008">
      <w:pPr>
        <w:jc w:val="both"/>
        <w:rPr>
          <w:sz w:val="20"/>
          <w:szCs w:val="20"/>
        </w:rPr>
      </w:pPr>
      <w:r w:rsidRPr="0056655F">
        <w:rPr>
          <w:sz w:val="20"/>
          <w:szCs w:val="20"/>
        </w:rPr>
        <w:t xml:space="preserve">Kaynak: Yazarın kendi hesaplamaları </w:t>
      </w:r>
    </w:p>
    <w:p w:rsidR="009C0008" w:rsidRPr="0056655F" w:rsidRDefault="009C0008" w:rsidP="009C0008">
      <w:pPr>
        <w:autoSpaceDE w:val="0"/>
        <w:autoSpaceDN w:val="0"/>
        <w:adjustRightInd w:val="0"/>
        <w:jc w:val="both"/>
      </w:pPr>
    </w:p>
    <w:p w:rsidR="009C0008" w:rsidRPr="00E912CC" w:rsidRDefault="009C0008" w:rsidP="003373DA">
      <w:pPr>
        <w:rPr>
          <w:rFonts w:ascii="Arial" w:hAnsi="Arial" w:cs="Arial"/>
          <w:b/>
          <w:bCs/>
          <w:sz w:val="28"/>
          <w:szCs w:val="28"/>
        </w:rPr>
      </w:pPr>
    </w:p>
    <w:sectPr w:rsidR="009C0008" w:rsidRPr="00E912CC" w:rsidSect="003373DA">
      <w:footerReference w:type="default" r:id="rId17"/>
      <w:pgSz w:w="11905" w:h="16837"/>
      <w:pgMar w:top="1296" w:right="1296" w:bottom="1296" w:left="129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27A" w:rsidRDefault="0017427A">
      <w:r>
        <w:separator/>
      </w:r>
    </w:p>
  </w:endnote>
  <w:endnote w:type="continuationSeparator" w:id="1">
    <w:p w:rsidR="0017427A" w:rsidRDefault="00174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008" w:rsidRDefault="009C0008">
    <w:pPr>
      <w:pStyle w:val="Altbilgi"/>
      <w:jc w:val="center"/>
    </w:pPr>
    <w:fldSimple w:instr="PAGE   \* MERGEFORMAT">
      <w:r w:rsidR="002C6FB5">
        <w:rPr>
          <w:noProof/>
        </w:rPr>
        <w:t>1</w:t>
      </w:r>
    </w:fldSimple>
  </w:p>
  <w:p w:rsidR="009C0008" w:rsidRDefault="009C000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6B" w:rsidRPr="00EA46E1" w:rsidRDefault="00E152D0" w:rsidP="00B079FB">
    <w:pPr>
      <w:pStyle w:val="Altbilgi"/>
      <w:framePr w:wrap="auto" w:vAnchor="text" w:hAnchor="margin" w:xAlign="right" w:y="1"/>
      <w:rPr>
        <w:rStyle w:val="SayfaNumaras"/>
        <w:rFonts w:ascii="Calibri" w:hAnsi="Calibri" w:cs="Calibri"/>
        <w:sz w:val="22"/>
        <w:szCs w:val="22"/>
      </w:rPr>
    </w:pPr>
    <w:r w:rsidRPr="00EA46E1">
      <w:rPr>
        <w:rStyle w:val="SayfaNumaras"/>
        <w:rFonts w:ascii="Calibri" w:hAnsi="Calibri" w:cs="Calibri"/>
        <w:sz w:val="22"/>
        <w:szCs w:val="22"/>
      </w:rPr>
      <w:fldChar w:fldCharType="begin"/>
    </w:r>
    <w:r w:rsidR="00D66D6B" w:rsidRPr="00EA46E1">
      <w:rPr>
        <w:rStyle w:val="SayfaNumaras"/>
        <w:rFonts w:ascii="Calibri" w:hAnsi="Calibri" w:cs="Calibri"/>
        <w:sz w:val="22"/>
        <w:szCs w:val="22"/>
      </w:rPr>
      <w:instrText xml:space="preserve">PAGE  </w:instrText>
    </w:r>
    <w:r w:rsidRPr="00EA46E1">
      <w:rPr>
        <w:rStyle w:val="SayfaNumaras"/>
        <w:rFonts w:ascii="Calibri" w:hAnsi="Calibri" w:cs="Calibri"/>
        <w:sz w:val="22"/>
        <w:szCs w:val="22"/>
      </w:rPr>
      <w:fldChar w:fldCharType="separate"/>
    </w:r>
    <w:r w:rsidR="002C6FB5">
      <w:rPr>
        <w:rStyle w:val="SayfaNumaras"/>
        <w:rFonts w:ascii="Calibri" w:hAnsi="Calibri" w:cs="Calibri"/>
        <w:noProof/>
        <w:sz w:val="22"/>
        <w:szCs w:val="22"/>
      </w:rPr>
      <w:t>18</w:t>
    </w:r>
    <w:r w:rsidRPr="00EA46E1">
      <w:rPr>
        <w:rStyle w:val="SayfaNumaras"/>
        <w:rFonts w:ascii="Calibri" w:hAnsi="Calibri" w:cs="Calibri"/>
        <w:sz w:val="22"/>
        <w:szCs w:val="22"/>
      </w:rPr>
      <w:fldChar w:fldCharType="end"/>
    </w:r>
  </w:p>
  <w:p w:rsidR="00D66D6B" w:rsidRDefault="00D66D6B"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27A" w:rsidRDefault="0017427A">
      <w:r>
        <w:separator/>
      </w:r>
    </w:p>
  </w:footnote>
  <w:footnote w:type="continuationSeparator" w:id="1">
    <w:p w:rsidR="0017427A" w:rsidRDefault="0017427A">
      <w:r>
        <w:continuationSeparator/>
      </w:r>
    </w:p>
  </w:footnote>
  <w:footnote w:id="2">
    <w:p w:rsidR="00580EDA" w:rsidRDefault="00580EDA">
      <w:pPr>
        <w:pStyle w:val="DipnotMetni"/>
      </w:pPr>
      <w:r w:rsidRPr="00580EDA">
        <w:rPr>
          <w:rStyle w:val="DipnotBavurusu"/>
        </w:rPr>
        <w:sym w:font="Symbol" w:char="F02A"/>
      </w:r>
      <w:r>
        <w:t xml:space="preserve"> </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205CCC" w:rsidRPr="00205CCC" w:rsidRDefault="00205CCC">
      <w:pPr>
        <w:pStyle w:val="DipnotMetni"/>
        <w:rPr>
          <w:rFonts w:ascii="Arial" w:hAnsi="Arial" w:cs="Arial"/>
          <w:sz w:val="16"/>
          <w:szCs w:val="16"/>
        </w:rPr>
      </w:pPr>
      <w:r w:rsidRPr="00205CCC">
        <w:rPr>
          <w:rStyle w:val="DipnotBavurusu"/>
          <w:rFonts w:ascii="Arial" w:hAnsi="Arial" w:cs="Arial"/>
          <w:sz w:val="16"/>
          <w:szCs w:val="16"/>
        </w:rPr>
        <w:t>¥</w:t>
      </w:r>
      <w:r w:rsidRPr="00205CCC">
        <w:rPr>
          <w:rFonts w:ascii="Arial" w:hAnsi="Arial" w:cs="Arial"/>
          <w:sz w:val="16"/>
          <w:szCs w:val="16"/>
        </w:rPr>
        <w:t xml:space="preserve"> Tuba Toru Delibaşı, Betam, Araştırma Görevlisi, tuba.toru@bahcesehir.edu.tr</w:t>
      </w:r>
    </w:p>
  </w:footnote>
  <w:footnote w:id="4">
    <w:p w:rsidR="009C0008" w:rsidRPr="00CA03B2" w:rsidRDefault="009C0008" w:rsidP="009C0008">
      <w:pPr>
        <w:pStyle w:val="DipnotMetni"/>
        <w:jc w:val="both"/>
        <w:rPr>
          <w:rFonts w:ascii="Arial" w:hAnsi="Arial" w:cs="Arial"/>
          <w:sz w:val="16"/>
          <w:szCs w:val="16"/>
        </w:rPr>
      </w:pPr>
      <w:r w:rsidRPr="00CA03B2">
        <w:rPr>
          <w:rFonts w:ascii="Arial" w:hAnsi="Arial" w:cs="Arial"/>
          <w:sz w:val="16"/>
          <w:szCs w:val="16"/>
        </w:rPr>
        <w:footnoteRef/>
      </w:r>
      <w:r w:rsidRPr="00CA03B2">
        <w:rPr>
          <w:rFonts w:ascii="Arial" w:hAnsi="Arial" w:cs="Arial"/>
          <w:sz w:val="16"/>
          <w:szCs w:val="16"/>
        </w:rPr>
        <w:t xml:space="preserve"> 523 km uzunluğundaki İstanbul-Ankara hattında yolculuğun 3 saat sürmesi beklenmektedir. Projenin 2013 yılı sonuna yetiştirilmesi hedeflenmektedir. Tren istasyonlarının şehir merkezinde olması yani ulaşımının daha kolay olması yolcular için hava yoluna kıyasla tercih sebebi olabilir.</w:t>
      </w:r>
    </w:p>
  </w:footnote>
  <w:footnote w:id="5">
    <w:p w:rsidR="009C0008" w:rsidRDefault="009C0008" w:rsidP="009C0008">
      <w:pPr>
        <w:pStyle w:val="DipnotMetni"/>
        <w:jc w:val="both"/>
      </w:pPr>
      <w:r w:rsidRPr="00CA03B2">
        <w:rPr>
          <w:rStyle w:val="DipnotBavurusu"/>
          <w:rFonts w:ascii="Arial" w:hAnsi="Arial" w:cs="Arial"/>
          <w:sz w:val="16"/>
          <w:szCs w:val="16"/>
        </w:rPr>
        <w:footnoteRef/>
      </w:r>
      <w:r w:rsidRPr="00CA03B2">
        <w:rPr>
          <w:rFonts w:ascii="Arial" w:hAnsi="Arial" w:cs="Arial"/>
          <w:sz w:val="16"/>
          <w:szCs w:val="16"/>
        </w:rPr>
        <w:t xml:space="preserve"> İzmir-İstanbul otoyol projesi gibi.</w:t>
      </w:r>
    </w:p>
  </w:footnote>
  <w:footnote w:id="6">
    <w:p w:rsidR="009C0008" w:rsidRPr="00CA03B2" w:rsidRDefault="009C0008" w:rsidP="009C0008">
      <w:pPr>
        <w:pStyle w:val="DipnotMetni"/>
        <w:jc w:val="both"/>
        <w:rPr>
          <w:rFonts w:ascii="Arial" w:hAnsi="Arial" w:cs="Arial"/>
          <w:sz w:val="16"/>
          <w:szCs w:val="16"/>
        </w:rPr>
      </w:pPr>
      <w:r w:rsidRPr="00CA03B2">
        <w:rPr>
          <w:rStyle w:val="DipnotBavurusu"/>
          <w:rFonts w:ascii="Arial" w:hAnsi="Arial" w:cs="Arial"/>
          <w:sz w:val="16"/>
          <w:szCs w:val="16"/>
        </w:rPr>
        <w:footnoteRef/>
      </w:r>
      <w:r w:rsidRPr="00CA03B2">
        <w:rPr>
          <w:rFonts w:ascii="Arial" w:hAnsi="Arial" w:cs="Arial"/>
          <w:sz w:val="16"/>
          <w:szCs w:val="16"/>
        </w:rPr>
        <w:t xml:space="preserve"> Atlanta Havalimani 2012 Faaliyet Raporu</w:t>
      </w:r>
    </w:p>
    <w:p w:rsidR="009C0008" w:rsidRDefault="009C0008" w:rsidP="009C0008">
      <w:pPr>
        <w:pStyle w:val="DipnotMetni"/>
      </w:pPr>
    </w:p>
  </w:footnote>
  <w:footnote w:id="7">
    <w:p w:rsidR="009C0008" w:rsidRPr="00CA03B2" w:rsidRDefault="009C0008" w:rsidP="009C0008">
      <w:pPr>
        <w:pStyle w:val="DipnotMetni"/>
        <w:jc w:val="both"/>
        <w:rPr>
          <w:rFonts w:ascii="Arial" w:hAnsi="Arial" w:cs="Arial"/>
          <w:sz w:val="16"/>
          <w:szCs w:val="16"/>
        </w:rPr>
      </w:pPr>
      <w:r w:rsidRPr="00CA03B2">
        <w:rPr>
          <w:rStyle w:val="DipnotBavurusu"/>
          <w:rFonts w:ascii="Arial" w:hAnsi="Arial" w:cs="Arial"/>
          <w:sz w:val="16"/>
          <w:szCs w:val="16"/>
        </w:rPr>
        <w:footnoteRef/>
      </w:r>
      <w:r w:rsidRPr="00CA03B2">
        <w:rPr>
          <w:rFonts w:ascii="Arial" w:hAnsi="Arial" w:cs="Arial"/>
          <w:sz w:val="16"/>
          <w:szCs w:val="16"/>
        </w:rPr>
        <w:t xml:space="preserve"> Airport Research Center raporunda detaylı olarak anlatılmıştır. </w:t>
      </w:r>
    </w:p>
    <w:p w:rsidR="009C0008" w:rsidRPr="00CA03B2" w:rsidRDefault="009C0008" w:rsidP="009C0008">
      <w:pPr>
        <w:pStyle w:val="DipnotMetni"/>
        <w:rPr>
          <w:rFonts w:ascii="Arial" w:hAnsi="Arial" w:cs="Arial"/>
          <w:sz w:val="16"/>
          <w:szCs w:val="16"/>
        </w:rPr>
      </w:pPr>
      <w:r w:rsidRPr="00CA03B2">
        <w:rPr>
          <w:rFonts w:ascii="Arial" w:hAnsi="Arial" w:cs="Arial"/>
          <w:sz w:val="16"/>
          <w:szCs w:val="16"/>
        </w:rPr>
        <w:t>(</w:t>
      </w:r>
      <w:hyperlink r:id="rId1" w:history="1">
        <w:r w:rsidRPr="00CA03B2">
          <w:rPr>
            <w:rStyle w:val="Kpr"/>
            <w:rFonts w:ascii="Arial" w:hAnsi="Arial" w:cs="Arial"/>
            <w:sz w:val="16"/>
            <w:szCs w:val="16"/>
          </w:rPr>
          <w:t>http://www.airport-consultants.com/images/download/pl-osp_rdo.pdf</w:t>
        </w:r>
      </w:hyperlink>
      <w:r w:rsidRPr="00CA03B2">
        <w:rPr>
          <w:rFonts w:ascii="Arial" w:hAnsi="Arial" w:cs="Arial"/>
          <w:sz w:val="16"/>
          <w:szCs w:val="16"/>
        </w:rPr>
        <w:t>)</w:t>
      </w:r>
    </w:p>
  </w:footnote>
  <w:footnote w:id="8">
    <w:p w:rsidR="009C0008" w:rsidRPr="00CA03B2" w:rsidRDefault="009C0008" w:rsidP="009C0008">
      <w:pPr>
        <w:pStyle w:val="DipnotMetni"/>
        <w:jc w:val="both"/>
        <w:rPr>
          <w:rFonts w:ascii="Arial" w:hAnsi="Arial" w:cs="Arial"/>
          <w:sz w:val="16"/>
          <w:szCs w:val="16"/>
        </w:rPr>
      </w:pPr>
      <w:r w:rsidRPr="00CA03B2">
        <w:rPr>
          <w:rStyle w:val="DipnotBavurusu"/>
          <w:rFonts w:ascii="Arial" w:hAnsi="Arial" w:cs="Arial"/>
          <w:sz w:val="16"/>
          <w:szCs w:val="16"/>
        </w:rPr>
        <w:footnoteRef/>
      </w:r>
      <w:r w:rsidRPr="00CA03B2">
        <w:rPr>
          <w:rFonts w:ascii="Arial" w:hAnsi="Arial" w:cs="Arial"/>
          <w:sz w:val="16"/>
          <w:szCs w:val="16"/>
        </w:rPr>
        <w:t xml:space="preserve"> Bloomberg Businessweek Türkiye dergisinin 12-18 Mayıs haftası özel röportaj</w:t>
      </w:r>
    </w:p>
    <w:p w:rsidR="009C0008" w:rsidRDefault="009C0008" w:rsidP="009C0008">
      <w:pPr>
        <w:pStyle w:val="DipnotMetni"/>
      </w:pPr>
    </w:p>
  </w:footnote>
  <w:footnote w:id="9">
    <w:p w:rsidR="009C0008" w:rsidRPr="00CA03B2" w:rsidRDefault="009C0008" w:rsidP="009C0008">
      <w:pPr>
        <w:pStyle w:val="DipnotMetni"/>
        <w:jc w:val="both"/>
        <w:rPr>
          <w:rFonts w:ascii="Arial" w:hAnsi="Arial" w:cs="Arial"/>
          <w:sz w:val="16"/>
          <w:szCs w:val="16"/>
        </w:rPr>
      </w:pPr>
      <w:r w:rsidRPr="00CA03B2">
        <w:rPr>
          <w:rStyle w:val="DipnotBavurusu"/>
          <w:rFonts w:ascii="Arial" w:hAnsi="Arial" w:cs="Arial"/>
          <w:sz w:val="16"/>
          <w:szCs w:val="16"/>
        </w:rPr>
        <w:footnoteRef/>
      </w:r>
      <w:r w:rsidRPr="00CA03B2">
        <w:rPr>
          <w:rFonts w:ascii="Arial" w:hAnsi="Arial" w:cs="Arial"/>
          <w:sz w:val="16"/>
          <w:szCs w:val="16"/>
        </w:rPr>
        <w:t xml:space="preserve"> FAA 2012 verilerine dayanarak yazarın kendi hesaplamaları.</w:t>
      </w:r>
    </w:p>
    <w:p w:rsidR="009C0008" w:rsidRDefault="009C0008" w:rsidP="009C0008">
      <w:pPr>
        <w:pStyle w:val="DipnotMetni"/>
      </w:pPr>
    </w:p>
  </w:footnote>
  <w:footnote w:id="10">
    <w:p w:rsidR="009C0008" w:rsidRPr="00CA03B2" w:rsidRDefault="009C0008" w:rsidP="009C0008">
      <w:pPr>
        <w:pStyle w:val="DipnotMetni"/>
        <w:jc w:val="both"/>
        <w:rPr>
          <w:rFonts w:ascii="Arial" w:hAnsi="Arial" w:cs="Arial"/>
          <w:sz w:val="16"/>
          <w:szCs w:val="16"/>
        </w:rPr>
      </w:pPr>
      <w:r w:rsidRPr="00CA03B2">
        <w:rPr>
          <w:rStyle w:val="DipnotBavurusu"/>
          <w:rFonts w:ascii="Arial" w:hAnsi="Arial" w:cs="Arial"/>
          <w:sz w:val="16"/>
          <w:szCs w:val="16"/>
        </w:rPr>
        <w:footnoteRef/>
      </w:r>
      <w:r w:rsidRPr="00CA03B2">
        <w:rPr>
          <w:rFonts w:ascii="Arial" w:hAnsi="Arial" w:cs="Arial"/>
          <w:sz w:val="16"/>
          <w:szCs w:val="16"/>
        </w:rPr>
        <w:t xml:space="preserve"> Bloomberg Businessweek Türkiye dergisinin 12-18 Mayıs haftası Limak yönetim kurulu başkanı Nihat Özdemir ile özel röportaj.  </w:t>
      </w:r>
    </w:p>
  </w:footnote>
  <w:footnote w:id="11">
    <w:p w:rsidR="009C0008" w:rsidRPr="00CA03B2" w:rsidRDefault="009C0008" w:rsidP="009C0008">
      <w:pPr>
        <w:pStyle w:val="DipnotMetni"/>
        <w:rPr>
          <w:rFonts w:ascii="Arial" w:hAnsi="Arial" w:cs="Arial"/>
          <w:sz w:val="16"/>
          <w:szCs w:val="16"/>
        </w:rPr>
      </w:pPr>
      <w:r w:rsidRPr="00CA03B2">
        <w:rPr>
          <w:rStyle w:val="DipnotBavurusu"/>
          <w:rFonts w:ascii="Arial" w:hAnsi="Arial" w:cs="Arial"/>
          <w:sz w:val="16"/>
          <w:szCs w:val="16"/>
        </w:rPr>
        <w:footnoteRef/>
      </w:r>
      <w:r w:rsidRPr="00CA03B2">
        <w:rPr>
          <w:rFonts w:ascii="Arial" w:hAnsi="Arial" w:cs="Arial"/>
          <w:sz w:val="16"/>
          <w:szCs w:val="16"/>
        </w:rPr>
        <w:t xml:space="preserve"> Regresyon sonuçları ekte verilmiştir.</w:t>
      </w:r>
    </w:p>
  </w:footnote>
  <w:footnote w:id="12">
    <w:p w:rsidR="009C0008" w:rsidRPr="00CA03B2" w:rsidRDefault="009C0008" w:rsidP="009C0008">
      <w:pPr>
        <w:pStyle w:val="DipnotMetni"/>
        <w:rPr>
          <w:rFonts w:ascii="Arial" w:hAnsi="Arial" w:cs="Arial"/>
          <w:sz w:val="16"/>
          <w:szCs w:val="16"/>
        </w:rPr>
      </w:pPr>
      <w:r w:rsidRPr="00CA03B2">
        <w:rPr>
          <w:rStyle w:val="DipnotBavurusu"/>
          <w:rFonts w:ascii="Arial" w:hAnsi="Arial" w:cs="Arial"/>
          <w:sz w:val="16"/>
          <w:szCs w:val="16"/>
        </w:rPr>
        <w:footnoteRef/>
      </w:r>
      <w:r w:rsidRPr="00CA03B2">
        <w:rPr>
          <w:rFonts w:ascii="Arial" w:hAnsi="Arial" w:cs="Arial"/>
          <w:sz w:val="16"/>
          <w:szCs w:val="16"/>
        </w:rPr>
        <w:t xml:space="preserve"> THY uçak filosunun koltuk kapasitelerini yüzde 77 doluluk oranı dikkate alınarak ortalama bir uçaktaki yolcu sayısı 123 olarak hesaplandı.</w:t>
      </w:r>
    </w:p>
  </w:footnote>
  <w:footnote w:id="13">
    <w:p w:rsidR="009C0008" w:rsidRPr="00CA03B2" w:rsidRDefault="009C0008" w:rsidP="009C0008">
      <w:pPr>
        <w:pStyle w:val="DipnotMetni"/>
        <w:rPr>
          <w:rFonts w:ascii="Arial" w:hAnsi="Arial" w:cs="Arial"/>
          <w:sz w:val="16"/>
          <w:szCs w:val="16"/>
        </w:rPr>
      </w:pPr>
      <w:r w:rsidRPr="00CA03B2">
        <w:rPr>
          <w:rStyle w:val="DipnotBavurusu"/>
          <w:rFonts w:ascii="Arial" w:hAnsi="Arial" w:cs="Arial"/>
          <w:sz w:val="16"/>
          <w:szCs w:val="16"/>
        </w:rPr>
        <w:footnoteRef/>
      </w:r>
      <w:r w:rsidRPr="00CA03B2">
        <w:rPr>
          <w:rFonts w:ascii="Arial" w:hAnsi="Arial" w:cs="Arial"/>
          <w:sz w:val="16"/>
          <w:szCs w:val="16"/>
        </w:rPr>
        <w:t xml:space="preserve"> THY uçak filosunun ortalama azami kalkış ağırlığı kullanıldı. </w:t>
      </w:r>
    </w:p>
  </w:footnote>
  <w:footnote w:id="14">
    <w:p w:rsidR="009C0008" w:rsidRDefault="009C0008" w:rsidP="009C0008">
      <w:pPr>
        <w:pStyle w:val="DipnotMetni"/>
      </w:pPr>
      <w:r w:rsidRPr="00CA03B2">
        <w:rPr>
          <w:rStyle w:val="DipnotBavurusu"/>
          <w:rFonts w:ascii="Arial" w:hAnsi="Arial" w:cs="Arial"/>
          <w:sz w:val="16"/>
          <w:szCs w:val="16"/>
        </w:rPr>
        <w:footnoteRef/>
      </w:r>
      <w:r w:rsidRPr="00CA03B2">
        <w:rPr>
          <w:rFonts w:ascii="Arial" w:hAnsi="Arial" w:cs="Arial"/>
          <w:sz w:val="16"/>
          <w:szCs w:val="16"/>
        </w:rPr>
        <w:t xml:space="preserve"> DHMİ Ücretler Tarifeleri 2013 notunda dış hat uçuşlarında konma ücreti bir metrik ton başına 8.34 Avro ve konma başına 84 Avro aydınlatma-yaklaşma, iç hat uçuşlarında konma ücreti bir metrik ton başına 1 Avro ve konma başına 20 Avro olarak ilan edilmiştir.</w:t>
      </w:r>
    </w:p>
  </w:footnote>
  <w:footnote w:id="15">
    <w:p w:rsidR="009C0008" w:rsidRPr="00CA03B2" w:rsidRDefault="009C0008" w:rsidP="009C0008">
      <w:pPr>
        <w:pStyle w:val="DipnotMetni"/>
        <w:rPr>
          <w:rFonts w:ascii="Arial" w:hAnsi="Arial" w:cs="Arial"/>
          <w:sz w:val="16"/>
          <w:szCs w:val="16"/>
        </w:rPr>
      </w:pPr>
      <w:r w:rsidRPr="00CA03B2">
        <w:rPr>
          <w:rStyle w:val="DipnotBavurusu"/>
          <w:rFonts w:ascii="Arial" w:hAnsi="Arial" w:cs="Arial"/>
          <w:sz w:val="16"/>
          <w:szCs w:val="16"/>
        </w:rPr>
        <w:footnoteRef/>
      </w:r>
      <w:r w:rsidRPr="00CA03B2">
        <w:rPr>
          <w:rFonts w:ascii="Arial" w:hAnsi="Arial" w:cs="Arial"/>
          <w:sz w:val="16"/>
          <w:szCs w:val="16"/>
        </w:rPr>
        <w:t xml:space="preserve"> Bloomberg Businessweek Türkiye dergisinin 12-18 Mayıs haftası LİMAK yöetim kurulu başkanı Nihat Özdemir ile özel röportaj.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1ED0F6"/>
    <w:lvl w:ilvl="0">
      <w:start w:val="1"/>
      <w:numFmt w:val="none"/>
      <w:pStyle w:val="Balk1"/>
      <w:lvlText w:val=""/>
      <w:lvlJc w:val="left"/>
      <w:pPr>
        <w:tabs>
          <w:tab w:val="num" w:pos="432"/>
        </w:tabs>
        <w:ind w:left="432" w:hanging="432"/>
      </w:pPr>
    </w:lvl>
    <w:lvl w:ilvl="1">
      <w:start w:val="1"/>
      <w:numFmt w:val="none"/>
      <w:pStyle w:val="Balk2"/>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112B2E"/>
    <w:multiLevelType w:val="hybridMultilevel"/>
    <w:tmpl w:val="597420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35231D4"/>
    <w:multiLevelType w:val="hybridMultilevel"/>
    <w:tmpl w:val="78560256"/>
    <w:lvl w:ilvl="0" w:tplc="F73C8192">
      <w:start w:val="1"/>
      <w:numFmt w:val="bullet"/>
      <w:lvlText w:val=""/>
      <w:lvlJc w:val="left"/>
      <w:pPr>
        <w:tabs>
          <w:tab w:val="num" w:pos="720"/>
        </w:tabs>
        <w:ind w:left="720" w:hanging="360"/>
      </w:pPr>
      <w:rPr>
        <w:rFonts w:ascii="Wingdings" w:hAnsi="Wingdings" w:cs="Wingdings" w:hint="default"/>
      </w:rPr>
    </w:lvl>
    <w:lvl w:ilvl="1" w:tplc="516AD046">
      <w:start w:val="1"/>
      <w:numFmt w:val="bullet"/>
      <w:lvlText w:val=""/>
      <w:lvlJc w:val="left"/>
      <w:pPr>
        <w:tabs>
          <w:tab w:val="num" w:pos="1440"/>
        </w:tabs>
        <w:ind w:left="1440" w:hanging="360"/>
      </w:pPr>
      <w:rPr>
        <w:rFonts w:ascii="Wingdings" w:hAnsi="Wingdings" w:cs="Wingdings" w:hint="default"/>
      </w:rPr>
    </w:lvl>
    <w:lvl w:ilvl="2" w:tplc="922C1BB6">
      <w:start w:val="1"/>
      <w:numFmt w:val="bullet"/>
      <w:lvlText w:val=""/>
      <w:lvlJc w:val="left"/>
      <w:pPr>
        <w:tabs>
          <w:tab w:val="num" w:pos="2160"/>
        </w:tabs>
        <w:ind w:left="2160" w:hanging="360"/>
      </w:pPr>
      <w:rPr>
        <w:rFonts w:ascii="Wingdings" w:hAnsi="Wingdings" w:cs="Wingdings" w:hint="default"/>
      </w:rPr>
    </w:lvl>
    <w:lvl w:ilvl="3" w:tplc="82A8FEF6">
      <w:start w:val="1"/>
      <w:numFmt w:val="bullet"/>
      <w:lvlText w:val=""/>
      <w:lvlJc w:val="left"/>
      <w:pPr>
        <w:tabs>
          <w:tab w:val="num" w:pos="2880"/>
        </w:tabs>
        <w:ind w:left="2880" w:hanging="360"/>
      </w:pPr>
      <w:rPr>
        <w:rFonts w:ascii="Wingdings" w:hAnsi="Wingdings" w:cs="Wingdings" w:hint="default"/>
      </w:rPr>
    </w:lvl>
    <w:lvl w:ilvl="4" w:tplc="A622DDA6">
      <w:start w:val="1"/>
      <w:numFmt w:val="bullet"/>
      <w:lvlText w:val=""/>
      <w:lvlJc w:val="left"/>
      <w:pPr>
        <w:tabs>
          <w:tab w:val="num" w:pos="3600"/>
        </w:tabs>
        <w:ind w:left="3600" w:hanging="360"/>
      </w:pPr>
      <w:rPr>
        <w:rFonts w:ascii="Wingdings" w:hAnsi="Wingdings" w:cs="Wingdings" w:hint="default"/>
      </w:rPr>
    </w:lvl>
    <w:lvl w:ilvl="5" w:tplc="A8A0879C">
      <w:start w:val="1"/>
      <w:numFmt w:val="bullet"/>
      <w:lvlText w:val=""/>
      <w:lvlJc w:val="left"/>
      <w:pPr>
        <w:tabs>
          <w:tab w:val="num" w:pos="4320"/>
        </w:tabs>
        <w:ind w:left="4320" w:hanging="360"/>
      </w:pPr>
      <w:rPr>
        <w:rFonts w:ascii="Wingdings" w:hAnsi="Wingdings" w:cs="Wingdings" w:hint="default"/>
      </w:rPr>
    </w:lvl>
    <w:lvl w:ilvl="6" w:tplc="E8A6CC1A">
      <w:start w:val="1"/>
      <w:numFmt w:val="bullet"/>
      <w:lvlText w:val=""/>
      <w:lvlJc w:val="left"/>
      <w:pPr>
        <w:tabs>
          <w:tab w:val="num" w:pos="5040"/>
        </w:tabs>
        <w:ind w:left="5040" w:hanging="360"/>
      </w:pPr>
      <w:rPr>
        <w:rFonts w:ascii="Wingdings" w:hAnsi="Wingdings" w:cs="Wingdings" w:hint="default"/>
      </w:rPr>
    </w:lvl>
    <w:lvl w:ilvl="7" w:tplc="C0EA463A">
      <w:start w:val="1"/>
      <w:numFmt w:val="bullet"/>
      <w:lvlText w:val=""/>
      <w:lvlJc w:val="left"/>
      <w:pPr>
        <w:tabs>
          <w:tab w:val="num" w:pos="5760"/>
        </w:tabs>
        <w:ind w:left="5760" w:hanging="360"/>
      </w:pPr>
      <w:rPr>
        <w:rFonts w:ascii="Wingdings" w:hAnsi="Wingdings" w:cs="Wingdings" w:hint="default"/>
      </w:rPr>
    </w:lvl>
    <w:lvl w:ilvl="8" w:tplc="7CDC6298">
      <w:start w:val="1"/>
      <w:numFmt w:val="bullet"/>
      <w:lvlText w:val=""/>
      <w:lvlJc w:val="left"/>
      <w:pPr>
        <w:tabs>
          <w:tab w:val="num" w:pos="6480"/>
        </w:tabs>
        <w:ind w:left="6480" w:hanging="360"/>
      </w:pPr>
      <w:rPr>
        <w:rFonts w:ascii="Wingdings" w:hAnsi="Wingdings" w:cs="Wingdings" w:hint="default"/>
      </w:rPr>
    </w:lvl>
  </w:abstractNum>
  <w:abstractNum w:abstractNumId="3">
    <w:nsid w:val="23CD1AB5"/>
    <w:multiLevelType w:val="hybridMultilevel"/>
    <w:tmpl w:val="67FC9C6E"/>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23EC45D5"/>
    <w:multiLevelType w:val="multilevel"/>
    <w:tmpl w:val="186AF6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2C236554"/>
    <w:multiLevelType w:val="hybridMultilevel"/>
    <w:tmpl w:val="422AB97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7305D7E"/>
    <w:multiLevelType w:val="hybridMultilevel"/>
    <w:tmpl w:val="FC74865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47025829"/>
    <w:multiLevelType w:val="multilevel"/>
    <w:tmpl w:val="026897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F7F7DDE"/>
    <w:multiLevelType w:val="hybridMultilevel"/>
    <w:tmpl w:val="F75AC6B2"/>
    <w:lvl w:ilvl="0" w:tplc="43C4467A">
      <w:start w:val="1"/>
      <w:numFmt w:val="bullet"/>
      <w:lvlText w:val=""/>
      <w:lvlJc w:val="left"/>
      <w:pPr>
        <w:tabs>
          <w:tab w:val="num" w:pos="720"/>
        </w:tabs>
        <w:ind w:left="720" w:hanging="360"/>
      </w:pPr>
      <w:rPr>
        <w:rFonts w:ascii="Wingdings" w:hAnsi="Wingdings" w:cs="Wingdings" w:hint="default"/>
      </w:rPr>
    </w:lvl>
    <w:lvl w:ilvl="1" w:tplc="20D85100">
      <w:start w:val="1"/>
      <w:numFmt w:val="bullet"/>
      <w:lvlText w:val=""/>
      <w:lvlJc w:val="left"/>
      <w:pPr>
        <w:tabs>
          <w:tab w:val="num" w:pos="1440"/>
        </w:tabs>
        <w:ind w:left="1440" w:hanging="360"/>
      </w:pPr>
      <w:rPr>
        <w:rFonts w:ascii="Wingdings" w:hAnsi="Wingdings" w:cs="Wingdings" w:hint="default"/>
      </w:rPr>
    </w:lvl>
    <w:lvl w:ilvl="2" w:tplc="F33E1742">
      <w:start w:val="1"/>
      <w:numFmt w:val="bullet"/>
      <w:lvlText w:val=""/>
      <w:lvlJc w:val="left"/>
      <w:pPr>
        <w:tabs>
          <w:tab w:val="num" w:pos="2160"/>
        </w:tabs>
        <w:ind w:left="2160" w:hanging="360"/>
      </w:pPr>
      <w:rPr>
        <w:rFonts w:ascii="Wingdings" w:hAnsi="Wingdings" w:cs="Wingdings" w:hint="default"/>
      </w:rPr>
    </w:lvl>
    <w:lvl w:ilvl="3" w:tplc="B35421A6">
      <w:start w:val="1"/>
      <w:numFmt w:val="bullet"/>
      <w:lvlText w:val=""/>
      <w:lvlJc w:val="left"/>
      <w:pPr>
        <w:tabs>
          <w:tab w:val="num" w:pos="2880"/>
        </w:tabs>
        <w:ind w:left="2880" w:hanging="360"/>
      </w:pPr>
      <w:rPr>
        <w:rFonts w:ascii="Wingdings" w:hAnsi="Wingdings" w:cs="Wingdings" w:hint="default"/>
      </w:rPr>
    </w:lvl>
    <w:lvl w:ilvl="4" w:tplc="69D80A4A">
      <w:start w:val="1"/>
      <w:numFmt w:val="bullet"/>
      <w:lvlText w:val=""/>
      <w:lvlJc w:val="left"/>
      <w:pPr>
        <w:tabs>
          <w:tab w:val="num" w:pos="3600"/>
        </w:tabs>
        <w:ind w:left="3600" w:hanging="360"/>
      </w:pPr>
      <w:rPr>
        <w:rFonts w:ascii="Wingdings" w:hAnsi="Wingdings" w:cs="Wingdings" w:hint="default"/>
      </w:rPr>
    </w:lvl>
    <w:lvl w:ilvl="5" w:tplc="F9527CCE">
      <w:start w:val="1"/>
      <w:numFmt w:val="bullet"/>
      <w:lvlText w:val=""/>
      <w:lvlJc w:val="left"/>
      <w:pPr>
        <w:tabs>
          <w:tab w:val="num" w:pos="4320"/>
        </w:tabs>
        <w:ind w:left="4320" w:hanging="360"/>
      </w:pPr>
      <w:rPr>
        <w:rFonts w:ascii="Wingdings" w:hAnsi="Wingdings" w:cs="Wingdings" w:hint="default"/>
      </w:rPr>
    </w:lvl>
    <w:lvl w:ilvl="6" w:tplc="4C2C9A02">
      <w:start w:val="1"/>
      <w:numFmt w:val="bullet"/>
      <w:lvlText w:val=""/>
      <w:lvlJc w:val="left"/>
      <w:pPr>
        <w:tabs>
          <w:tab w:val="num" w:pos="5040"/>
        </w:tabs>
        <w:ind w:left="5040" w:hanging="360"/>
      </w:pPr>
      <w:rPr>
        <w:rFonts w:ascii="Wingdings" w:hAnsi="Wingdings" w:cs="Wingdings" w:hint="default"/>
      </w:rPr>
    </w:lvl>
    <w:lvl w:ilvl="7" w:tplc="CB423BE8">
      <w:start w:val="1"/>
      <w:numFmt w:val="bullet"/>
      <w:lvlText w:val=""/>
      <w:lvlJc w:val="left"/>
      <w:pPr>
        <w:tabs>
          <w:tab w:val="num" w:pos="5760"/>
        </w:tabs>
        <w:ind w:left="5760" w:hanging="360"/>
      </w:pPr>
      <w:rPr>
        <w:rFonts w:ascii="Wingdings" w:hAnsi="Wingdings" w:cs="Wingdings" w:hint="default"/>
      </w:rPr>
    </w:lvl>
    <w:lvl w:ilvl="8" w:tplc="9F5883D6">
      <w:start w:val="1"/>
      <w:numFmt w:val="bullet"/>
      <w:lvlText w:val=""/>
      <w:lvlJc w:val="left"/>
      <w:pPr>
        <w:tabs>
          <w:tab w:val="num" w:pos="6480"/>
        </w:tabs>
        <w:ind w:left="6480" w:hanging="360"/>
      </w:pPr>
      <w:rPr>
        <w:rFonts w:ascii="Wingdings" w:hAnsi="Wingdings" w:cs="Wingdings" w:hint="default"/>
      </w:rPr>
    </w:lvl>
  </w:abstractNum>
  <w:abstractNum w:abstractNumId="9">
    <w:nsid w:val="4FFE0EB3"/>
    <w:multiLevelType w:val="hybridMultilevel"/>
    <w:tmpl w:val="58C61696"/>
    <w:lvl w:ilvl="0" w:tplc="2DFEF5D4">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505219A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2">
    <w:nsid w:val="6454281C"/>
    <w:multiLevelType w:val="multilevel"/>
    <w:tmpl w:val="D43A70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77857600"/>
    <w:multiLevelType w:val="hybridMultilevel"/>
    <w:tmpl w:val="EFDED0D4"/>
    <w:lvl w:ilvl="0" w:tplc="8B90B79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1"/>
  </w:num>
  <w:num w:numId="3">
    <w:abstractNumId w:val="9"/>
  </w:num>
  <w:num w:numId="4">
    <w:abstractNumId w:val="12"/>
  </w:num>
  <w:num w:numId="5">
    <w:abstractNumId w:val="6"/>
  </w:num>
  <w:num w:numId="6">
    <w:abstractNumId w:val="3"/>
  </w:num>
  <w:num w:numId="7">
    <w:abstractNumId w:val="5"/>
  </w:num>
  <w:num w:numId="8">
    <w:abstractNumId w:val="1"/>
  </w:num>
  <w:num w:numId="9">
    <w:abstractNumId w:val="13"/>
  </w:num>
  <w:num w:numId="10">
    <w:abstractNumId w:val="10"/>
  </w:num>
  <w:num w:numId="11">
    <w:abstractNumId w:val="7"/>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numStart w:val="3"/>
    <w:numRestart w:val="eachSect"/>
    <w:footnote w:id="0"/>
    <w:footnote w:id="1"/>
  </w:footnotePr>
  <w:endnotePr>
    <w:endnote w:id="0"/>
    <w:endnote w:id="1"/>
  </w:endnotePr>
  <w:compat/>
  <w:rsids>
    <w:rsidRoot w:val="00A5464D"/>
    <w:rsid w:val="00002384"/>
    <w:rsid w:val="00003BAA"/>
    <w:rsid w:val="000040CB"/>
    <w:rsid w:val="00006183"/>
    <w:rsid w:val="00006AA5"/>
    <w:rsid w:val="00007E52"/>
    <w:rsid w:val="000100BE"/>
    <w:rsid w:val="00011267"/>
    <w:rsid w:val="000116C3"/>
    <w:rsid w:val="00012BDE"/>
    <w:rsid w:val="000137EB"/>
    <w:rsid w:val="000141AB"/>
    <w:rsid w:val="000163FB"/>
    <w:rsid w:val="0001735F"/>
    <w:rsid w:val="0002026D"/>
    <w:rsid w:val="00021063"/>
    <w:rsid w:val="00021213"/>
    <w:rsid w:val="00021404"/>
    <w:rsid w:val="00021827"/>
    <w:rsid w:val="00021AFF"/>
    <w:rsid w:val="00022AE9"/>
    <w:rsid w:val="000231A1"/>
    <w:rsid w:val="00023610"/>
    <w:rsid w:val="000239B5"/>
    <w:rsid w:val="00023C91"/>
    <w:rsid w:val="0002468C"/>
    <w:rsid w:val="00030168"/>
    <w:rsid w:val="0003041D"/>
    <w:rsid w:val="000312D6"/>
    <w:rsid w:val="000313AF"/>
    <w:rsid w:val="0003174C"/>
    <w:rsid w:val="00031966"/>
    <w:rsid w:val="00032FCF"/>
    <w:rsid w:val="000333FC"/>
    <w:rsid w:val="0003467B"/>
    <w:rsid w:val="00035FEC"/>
    <w:rsid w:val="000372FD"/>
    <w:rsid w:val="00045F48"/>
    <w:rsid w:val="00047106"/>
    <w:rsid w:val="000473E8"/>
    <w:rsid w:val="00050813"/>
    <w:rsid w:val="000508A7"/>
    <w:rsid w:val="00051434"/>
    <w:rsid w:val="0005237D"/>
    <w:rsid w:val="000527AD"/>
    <w:rsid w:val="0005303D"/>
    <w:rsid w:val="00053A82"/>
    <w:rsid w:val="00053D37"/>
    <w:rsid w:val="00055DF3"/>
    <w:rsid w:val="000562EC"/>
    <w:rsid w:val="00061E0B"/>
    <w:rsid w:val="000621B1"/>
    <w:rsid w:val="000626B3"/>
    <w:rsid w:val="000629AF"/>
    <w:rsid w:val="00062CB4"/>
    <w:rsid w:val="00064968"/>
    <w:rsid w:val="00065B4B"/>
    <w:rsid w:val="00065EE2"/>
    <w:rsid w:val="00070162"/>
    <w:rsid w:val="00070C1C"/>
    <w:rsid w:val="00072050"/>
    <w:rsid w:val="00072286"/>
    <w:rsid w:val="00072945"/>
    <w:rsid w:val="000729AB"/>
    <w:rsid w:val="00072DC3"/>
    <w:rsid w:val="000732A7"/>
    <w:rsid w:val="00074625"/>
    <w:rsid w:val="0007676E"/>
    <w:rsid w:val="00077C42"/>
    <w:rsid w:val="00077C55"/>
    <w:rsid w:val="0008112A"/>
    <w:rsid w:val="0008121E"/>
    <w:rsid w:val="000812DE"/>
    <w:rsid w:val="00081619"/>
    <w:rsid w:val="00084A53"/>
    <w:rsid w:val="00085CB9"/>
    <w:rsid w:val="00090EFB"/>
    <w:rsid w:val="00091405"/>
    <w:rsid w:val="00092792"/>
    <w:rsid w:val="00094453"/>
    <w:rsid w:val="000950C0"/>
    <w:rsid w:val="00095783"/>
    <w:rsid w:val="000959E3"/>
    <w:rsid w:val="00095A1F"/>
    <w:rsid w:val="00095AD6"/>
    <w:rsid w:val="00096392"/>
    <w:rsid w:val="000964F4"/>
    <w:rsid w:val="000976AD"/>
    <w:rsid w:val="000A3788"/>
    <w:rsid w:val="000A3A30"/>
    <w:rsid w:val="000A3DF0"/>
    <w:rsid w:val="000A4D0B"/>
    <w:rsid w:val="000A6940"/>
    <w:rsid w:val="000A7CBF"/>
    <w:rsid w:val="000B0C03"/>
    <w:rsid w:val="000B0DB4"/>
    <w:rsid w:val="000B23FE"/>
    <w:rsid w:val="000B2770"/>
    <w:rsid w:val="000B380D"/>
    <w:rsid w:val="000B5594"/>
    <w:rsid w:val="000B60D9"/>
    <w:rsid w:val="000B6451"/>
    <w:rsid w:val="000B7FBA"/>
    <w:rsid w:val="000C0511"/>
    <w:rsid w:val="000C0D3E"/>
    <w:rsid w:val="000C0FB8"/>
    <w:rsid w:val="000C2A9A"/>
    <w:rsid w:val="000C2FBB"/>
    <w:rsid w:val="000C374E"/>
    <w:rsid w:val="000C4429"/>
    <w:rsid w:val="000C50B7"/>
    <w:rsid w:val="000C5935"/>
    <w:rsid w:val="000C5F65"/>
    <w:rsid w:val="000C663D"/>
    <w:rsid w:val="000C76E2"/>
    <w:rsid w:val="000C7BA0"/>
    <w:rsid w:val="000D0265"/>
    <w:rsid w:val="000D1454"/>
    <w:rsid w:val="000D2E52"/>
    <w:rsid w:val="000D37CC"/>
    <w:rsid w:val="000D4567"/>
    <w:rsid w:val="000D4994"/>
    <w:rsid w:val="000D4B6B"/>
    <w:rsid w:val="000D6257"/>
    <w:rsid w:val="000D7426"/>
    <w:rsid w:val="000D7B24"/>
    <w:rsid w:val="000E1008"/>
    <w:rsid w:val="000E261E"/>
    <w:rsid w:val="000E2F19"/>
    <w:rsid w:val="000E4068"/>
    <w:rsid w:val="000E46F4"/>
    <w:rsid w:val="000E50DE"/>
    <w:rsid w:val="000E5A09"/>
    <w:rsid w:val="000E5CAB"/>
    <w:rsid w:val="000E5CF3"/>
    <w:rsid w:val="000F05DD"/>
    <w:rsid w:val="000F0D76"/>
    <w:rsid w:val="000F3ADE"/>
    <w:rsid w:val="000F5A37"/>
    <w:rsid w:val="000F670C"/>
    <w:rsid w:val="000F6F76"/>
    <w:rsid w:val="001002A9"/>
    <w:rsid w:val="00102160"/>
    <w:rsid w:val="00102359"/>
    <w:rsid w:val="00102D0F"/>
    <w:rsid w:val="001043F7"/>
    <w:rsid w:val="00104684"/>
    <w:rsid w:val="00105834"/>
    <w:rsid w:val="00105D47"/>
    <w:rsid w:val="0010623A"/>
    <w:rsid w:val="001079E6"/>
    <w:rsid w:val="00107AF0"/>
    <w:rsid w:val="00107B95"/>
    <w:rsid w:val="0011135B"/>
    <w:rsid w:val="001118F6"/>
    <w:rsid w:val="00112CA0"/>
    <w:rsid w:val="001130B0"/>
    <w:rsid w:val="00113219"/>
    <w:rsid w:val="001145AC"/>
    <w:rsid w:val="00116B7D"/>
    <w:rsid w:val="00121232"/>
    <w:rsid w:val="001214F2"/>
    <w:rsid w:val="0012338D"/>
    <w:rsid w:val="001237F2"/>
    <w:rsid w:val="00123E0B"/>
    <w:rsid w:val="00124FAF"/>
    <w:rsid w:val="001257F4"/>
    <w:rsid w:val="00125BA9"/>
    <w:rsid w:val="00125EB2"/>
    <w:rsid w:val="0012790F"/>
    <w:rsid w:val="00130FF2"/>
    <w:rsid w:val="00131EE0"/>
    <w:rsid w:val="00132399"/>
    <w:rsid w:val="00134486"/>
    <w:rsid w:val="00134743"/>
    <w:rsid w:val="0013543D"/>
    <w:rsid w:val="001357F9"/>
    <w:rsid w:val="00135E2A"/>
    <w:rsid w:val="00136C92"/>
    <w:rsid w:val="00137CF1"/>
    <w:rsid w:val="00140DD4"/>
    <w:rsid w:val="001420B0"/>
    <w:rsid w:val="001427FE"/>
    <w:rsid w:val="001450C3"/>
    <w:rsid w:val="0014563B"/>
    <w:rsid w:val="00147464"/>
    <w:rsid w:val="0015011D"/>
    <w:rsid w:val="00153040"/>
    <w:rsid w:val="001531DD"/>
    <w:rsid w:val="00153615"/>
    <w:rsid w:val="00153787"/>
    <w:rsid w:val="001538DD"/>
    <w:rsid w:val="00153D44"/>
    <w:rsid w:val="001541B3"/>
    <w:rsid w:val="001541EA"/>
    <w:rsid w:val="00154BEB"/>
    <w:rsid w:val="001550F5"/>
    <w:rsid w:val="00156446"/>
    <w:rsid w:val="00156BBA"/>
    <w:rsid w:val="00156DE1"/>
    <w:rsid w:val="00157FDC"/>
    <w:rsid w:val="00161C29"/>
    <w:rsid w:val="00162D07"/>
    <w:rsid w:val="00164B58"/>
    <w:rsid w:val="00165C13"/>
    <w:rsid w:val="001662F7"/>
    <w:rsid w:val="001700EC"/>
    <w:rsid w:val="00170634"/>
    <w:rsid w:val="00172C54"/>
    <w:rsid w:val="00172CB1"/>
    <w:rsid w:val="00173095"/>
    <w:rsid w:val="0017427A"/>
    <w:rsid w:val="00175CA9"/>
    <w:rsid w:val="001777DC"/>
    <w:rsid w:val="00181C8E"/>
    <w:rsid w:val="00182F22"/>
    <w:rsid w:val="00183E0E"/>
    <w:rsid w:val="001840BF"/>
    <w:rsid w:val="00184A13"/>
    <w:rsid w:val="00185726"/>
    <w:rsid w:val="00185FD6"/>
    <w:rsid w:val="00186D59"/>
    <w:rsid w:val="00190725"/>
    <w:rsid w:val="00190859"/>
    <w:rsid w:val="00191588"/>
    <w:rsid w:val="00191945"/>
    <w:rsid w:val="001946A8"/>
    <w:rsid w:val="001951C2"/>
    <w:rsid w:val="001955C3"/>
    <w:rsid w:val="001A1BED"/>
    <w:rsid w:val="001A2260"/>
    <w:rsid w:val="001A4412"/>
    <w:rsid w:val="001A5038"/>
    <w:rsid w:val="001A563C"/>
    <w:rsid w:val="001A624F"/>
    <w:rsid w:val="001A6319"/>
    <w:rsid w:val="001A7728"/>
    <w:rsid w:val="001B039F"/>
    <w:rsid w:val="001B0745"/>
    <w:rsid w:val="001B19B8"/>
    <w:rsid w:val="001B1A4B"/>
    <w:rsid w:val="001B28BB"/>
    <w:rsid w:val="001B2B8F"/>
    <w:rsid w:val="001B3D21"/>
    <w:rsid w:val="001B3FBF"/>
    <w:rsid w:val="001B40B8"/>
    <w:rsid w:val="001B54B7"/>
    <w:rsid w:val="001B5695"/>
    <w:rsid w:val="001B5D5B"/>
    <w:rsid w:val="001B6FCC"/>
    <w:rsid w:val="001B7990"/>
    <w:rsid w:val="001C0C70"/>
    <w:rsid w:val="001C46C4"/>
    <w:rsid w:val="001C4950"/>
    <w:rsid w:val="001C4954"/>
    <w:rsid w:val="001C4F73"/>
    <w:rsid w:val="001C6656"/>
    <w:rsid w:val="001D1B21"/>
    <w:rsid w:val="001D2511"/>
    <w:rsid w:val="001D339B"/>
    <w:rsid w:val="001D3483"/>
    <w:rsid w:val="001D48D3"/>
    <w:rsid w:val="001D6039"/>
    <w:rsid w:val="001D6BF6"/>
    <w:rsid w:val="001D77AA"/>
    <w:rsid w:val="001D7EA6"/>
    <w:rsid w:val="001E3E44"/>
    <w:rsid w:val="001E41AF"/>
    <w:rsid w:val="001E5C49"/>
    <w:rsid w:val="001F0777"/>
    <w:rsid w:val="001F08EF"/>
    <w:rsid w:val="001F0E60"/>
    <w:rsid w:val="001F2366"/>
    <w:rsid w:val="001F282D"/>
    <w:rsid w:val="001F2844"/>
    <w:rsid w:val="001F2994"/>
    <w:rsid w:val="001F3BD3"/>
    <w:rsid w:val="001F5017"/>
    <w:rsid w:val="001F6582"/>
    <w:rsid w:val="001F74C8"/>
    <w:rsid w:val="00200AC4"/>
    <w:rsid w:val="00200B66"/>
    <w:rsid w:val="00203116"/>
    <w:rsid w:val="00205B72"/>
    <w:rsid w:val="00205CCC"/>
    <w:rsid w:val="00205DFC"/>
    <w:rsid w:val="00205E88"/>
    <w:rsid w:val="002065EE"/>
    <w:rsid w:val="00206DCD"/>
    <w:rsid w:val="00207724"/>
    <w:rsid w:val="00207CF7"/>
    <w:rsid w:val="0021241F"/>
    <w:rsid w:val="002134E7"/>
    <w:rsid w:val="0021444D"/>
    <w:rsid w:val="00215426"/>
    <w:rsid w:val="00215B10"/>
    <w:rsid w:val="00215B3C"/>
    <w:rsid w:val="00215D7A"/>
    <w:rsid w:val="00216ABB"/>
    <w:rsid w:val="00216D1F"/>
    <w:rsid w:val="00220F32"/>
    <w:rsid w:val="00223B63"/>
    <w:rsid w:val="002243D2"/>
    <w:rsid w:val="002245E1"/>
    <w:rsid w:val="00224E56"/>
    <w:rsid w:val="00225787"/>
    <w:rsid w:val="00225D81"/>
    <w:rsid w:val="00226A2C"/>
    <w:rsid w:val="00230056"/>
    <w:rsid w:val="002307A3"/>
    <w:rsid w:val="00230DE3"/>
    <w:rsid w:val="00231977"/>
    <w:rsid w:val="00231FAD"/>
    <w:rsid w:val="002323C0"/>
    <w:rsid w:val="0023293F"/>
    <w:rsid w:val="00232FFC"/>
    <w:rsid w:val="002343C3"/>
    <w:rsid w:val="002344C7"/>
    <w:rsid w:val="002366D9"/>
    <w:rsid w:val="00237748"/>
    <w:rsid w:val="0023776A"/>
    <w:rsid w:val="00240E30"/>
    <w:rsid w:val="00241C21"/>
    <w:rsid w:val="0024231B"/>
    <w:rsid w:val="00242A88"/>
    <w:rsid w:val="00242FB4"/>
    <w:rsid w:val="002430A1"/>
    <w:rsid w:val="00245BB6"/>
    <w:rsid w:val="00246D44"/>
    <w:rsid w:val="002472F8"/>
    <w:rsid w:val="00250937"/>
    <w:rsid w:val="00250C3D"/>
    <w:rsid w:val="00252A51"/>
    <w:rsid w:val="002540FA"/>
    <w:rsid w:val="002547C1"/>
    <w:rsid w:val="0025512B"/>
    <w:rsid w:val="00255DE8"/>
    <w:rsid w:val="002561DA"/>
    <w:rsid w:val="0025690C"/>
    <w:rsid w:val="00257129"/>
    <w:rsid w:val="00257842"/>
    <w:rsid w:val="002608EE"/>
    <w:rsid w:val="00260B29"/>
    <w:rsid w:val="00260EBB"/>
    <w:rsid w:val="00261D68"/>
    <w:rsid w:val="00262AB6"/>
    <w:rsid w:val="0026312B"/>
    <w:rsid w:val="00264AC9"/>
    <w:rsid w:val="00265527"/>
    <w:rsid w:val="00265805"/>
    <w:rsid w:val="002659BB"/>
    <w:rsid w:val="002670CE"/>
    <w:rsid w:val="00267F1C"/>
    <w:rsid w:val="002713BB"/>
    <w:rsid w:val="002717A9"/>
    <w:rsid w:val="0027204A"/>
    <w:rsid w:val="0027312B"/>
    <w:rsid w:val="00274701"/>
    <w:rsid w:val="00274764"/>
    <w:rsid w:val="00275827"/>
    <w:rsid w:val="00276C5E"/>
    <w:rsid w:val="0027759C"/>
    <w:rsid w:val="00277853"/>
    <w:rsid w:val="00281A88"/>
    <w:rsid w:val="0028200D"/>
    <w:rsid w:val="00282383"/>
    <w:rsid w:val="00282448"/>
    <w:rsid w:val="00282515"/>
    <w:rsid w:val="00284C76"/>
    <w:rsid w:val="0028564F"/>
    <w:rsid w:val="00286898"/>
    <w:rsid w:val="00291544"/>
    <w:rsid w:val="002918B1"/>
    <w:rsid w:val="00291D2D"/>
    <w:rsid w:val="00292A11"/>
    <w:rsid w:val="00292C8F"/>
    <w:rsid w:val="00295CCD"/>
    <w:rsid w:val="0029660A"/>
    <w:rsid w:val="002979D6"/>
    <w:rsid w:val="00297DBF"/>
    <w:rsid w:val="002A1F4D"/>
    <w:rsid w:val="002A2A80"/>
    <w:rsid w:val="002A3371"/>
    <w:rsid w:val="002A3CE2"/>
    <w:rsid w:val="002A613B"/>
    <w:rsid w:val="002A7E57"/>
    <w:rsid w:val="002B165E"/>
    <w:rsid w:val="002B2A35"/>
    <w:rsid w:val="002B2EF7"/>
    <w:rsid w:val="002B3700"/>
    <w:rsid w:val="002B42C1"/>
    <w:rsid w:val="002B5EED"/>
    <w:rsid w:val="002B6C6D"/>
    <w:rsid w:val="002B7426"/>
    <w:rsid w:val="002C015E"/>
    <w:rsid w:val="002C16DE"/>
    <w:rsid w:val="002C191F"/>
    <w:rsid w:val="002C1B98"/>
    <w:rsid w:val="002C3358"/>
    <w:rsid w:val="002C3E23"/>
    <w:rsid w:val="002C4203"/>
    <w:rsid w:val="002C458D"/>
    <w:rsid w:val="002C47F1"/>
    <w:rsid w:val="002C6398"/>
    <w:rsid w:val="002C6AEB"/>
    <w:rsid w:val="002C6EDE"/>
    <w:rsid w:val="002C6FB5"/>
    <w:rsid w:val="002D0178"/>
    <w:rsid w:val="002D018A"/>
    <w:rsid w:val="002D0A67"/>
    <w:rsid w:val="002D35D5"/>
    <w:rsid w:val="002D4A9E"/>
    <w:rsid w:val="002D4D8E"/>
    <w:rsid w:val="002D559E"/>
    <w:rsid w:val="002D73B8"/>
    <w:rsid w:val="002E0FD1"/>
    <w:rsid w:val="002E3436"/>
    <w:rsid w:val="002E3CD5"/>
    <w:rsid w:val="002E44DA"/>
    <w:rsid w:val="002E5B24"/>
    <w:rsid w:val="002E669D"/>
    <w:rsid w:val="002F052D"/>
    <w:rsid w:val="002F0F9A"/>
    <w:rsid w:val="002F210C"/>
    <w:rsid w:val="002F2582"/>
    <w:rsid w:val="002F2FB3"/>
    <w:rsid w:val="002F3A43"/>
    <w:rsid w:val="00301865"/>
    <w:rsid w:val="00302531"/>
    <w:rsid w:val="00302B4A"/>
    <w:rsid w:val="0030471B"/>
    <w:rsid w:val="003054D7"/>
    <w:rsid w:val="00307929"/>
    <w:rsid w:val="00310C3D"/>
    <w:rsid w:val="00310DAC"/>
    <w:rsid w:val="00311B8E"/>
    <w:rsid w:val="003122B1"/>
    <w:rsid w:val="00313110"/>
    <w:rsid w:val="00314A09"/>
    <w:rsid w:val="003169BE"/>
    <w:rsid w:val="00317CCB"/>
    <w:rsid w:val="00317F92"/>
    <w:rsid w:val="003218FF"/>
    <w:rsid w:val="00325C6C"/>
    <w:rsid w:val="00326BDD"/>
    <w:rsid w:val="00330799"/>
    <w:rsid w:val="003307F5"/>
    <w:rsid w:val="00331482"/>
    <w:rsid w:val="00332167"/>
    <w:rsid w:val="003326E0"/>
    <w:rsid w:val="0033614E"/>
    <w:rsid w:val="00336CFF"/>
    <w:rsid w:val="003373DA"/>
    <w:rsid w:val="00337662"/>
    <w:rsid w:val="003404F3"/>
    <w:rsid w:val="00340751"/>
    <w:rsid w:val="00341F5A"/>
    <w:rsid w:val="00345577"/>
    <w:rsid w:val="00354559"/>
    <w:rsid w:val="003545AF"/>
    <w:rsid w:val="00355604"/>
    <w:rsid w:val="00355D9B"/>
    <w:rsid w:val="0036048F"/>
    <w:rsid w:val="00360CFC"/>
    <w:rsid w:val="00363FFB"/>
    <w:rsid w:val="00364039"/>
    <w:rsid w:val="0036478C"/>
    <w:rsid w:val="00364F38"/>
    <w:rsid w:val="003652ED"/>
    <w:rsid w:val="0036629D"/>
    <w:rsid w:val="00366959"/>
    <w:rsid w:val="00366A27"/>
    <w:rsid w:val="00367EB7"/>
    <w:rsid w:val="0037002A"/>
    <w:rsid w:val="003700A3"/>
    <w:rsid w:val="0037156C"/>
    <w:rsid w:val="00371905"/>
    <w:rsid w:val="00372E12"/>
    <w:rsid w:val="0037415C"/>
    <w:rsid w:val="003758F2"/>
    <w:rsid w:val="0037634B"/>
    <w:rsid w:val="00377234"/>
    <w:rsid w:val="0038020D"/>
    <w:rsid w:val="00381C58"/>
    <w:rsid w:val="00382C32"/>
    <w:rsid w:val="00386082"/>
    <w:rsid w:val="0038724D"/>
    <w:rsid w:val="00387BC1"/>
    <w:rsid w:val="003903F4"/>
    <w:rsid w:val="00390D59"/>
    <w:rsid w:val="00392505"/>
    <w:rsid w:val="00392C1C"/>
    <w:rsid w:val="00392C3F"/>
    <w:rsid w:val="0039408E"/>
    <w:rsid w:val="00394A44"/>
    <w:rsid w:val="00394E4A"/>
    <w:rsid w:val="003A00A0"/>
    <w:rsid w:val="003A06CD"/>
    <w:rsid w:val="003A0AB6"/>
    <w:rsid w:val="003A0AC8"/>
    <w:rsid w:val="003A1286"/>
    <w:rsid w:val="003A19E9"/>
    <w:rsid w:val="003A23EB"/>
    <w:rsid w:val="003A30B6"/>
    <w:rsid w:val="003A3DBE"/>
    <w:rsid w:val="003A5072"/>
    <w:rsid w:val="003A546E"/>
    <w:rsid w:val="003A566E"/>
    <w:rsid w:val="003A597C"/>
    <w:rsid w:val="003A61D5"/>
    <w:rsid w:val="003A65DA"/>
    <w:rsid w:val="003A73A7"/>
    <w:rsid w:val="003A7BFD"/>
    <w:rsid w:val="003B00EC"/>
    <w:rsid w:val="003B0886"/>
    <w:rsid w:val="003B13F1"/>
    <w:rsid w:val="003B23E4"/>
    <w:rsid w:val="003B3ECD"/>
    <w:rsid w:val="003B6AC2"/>
    <w:rsid w:val="003B77E9"/>
    <w:rsid w:val="003B7B3E"/>
    <w:rsid w:val="003B7CB4"/>
    <w:rsid w:val="003C1ACA"/>
    <w:rsid w:val="003C2B0F"/>
    <w:rsid w:val="003C2E29"/>
    <w:rsid w:val="003C447D"/>
    <w:rsid w:val="003C46E0"/>
    <w:rsid w:val="003C6507"/>
    <w:rsid w:val="003C66AF"/>
    <w:rsid w:val="003C6F9E"/>
    <w:rsid w:val="003D028B"/>
    <w:rsid w:val="003D1728"/>
    <w:rsid w:val="003D176E"/>
    <w:rsid w:val="003D1A69"/>
    <w:rsid w:val="003D1B3B"/>
    <w:rsid w:val="003D33A3"/>
    <w:rsid w:val="003D34E9"/>
    <w:rsid w:val="003D4E37"/>
    <w:rsid w:val="003D5F8E"/>
    <w:rsid w:val="003D64A0"/>
    <w:rsid w:val="003D70A5"/>
    <w:rsid w:val="003D77B2"/>
    <w:rsid w:val="003E1472"/>
    <w:rsid w:val="003E14DE"/>
    <w:rsid w:val="003E196A"/>
    <w:rsid w:val="003E3B34"/>
    <w:rsid w:val="003E3F95"/>
    <w:rsid w:val="003E6CC2"/>
    <w:rsid w:val="003F0531"/>
    <w:rsid w:val="003F0548"/>
    <w:rsid w:val="003F07E4"/>
    <w:rsid w:val="003F1865"/>
    <w:rsid w:val="003F30BE"/>
    <w:rsid w:val="003F3CCA"/>
    <w:rsid w:val="003F51FE"/>
    <w:rsid w:val="003F6086"/>
    <w:rsid w:val="003F647A"/>
    <w:rsid w:val="003F73A7"/>
    <w:rsid w:val="004008D6"/>
    <w:rsid w:val="00402315"/>
    <w:rsid w:val="004041CA"/>
    <w:rsid w:val="004069A0"/>
    <w:rsid w:val="004073D0"/>
    <w:rsid w:val="00407FD8"/>
    <w:rsid w:val="00410134"/>
    <w:rsid w:val="00410FD1"/>
    <w:rsid w:val="0041252B"/>
    <w:rsid w:val="00412E50"/>
    <w:rsid w:val="00413984"/>
    <w:rsid w:val="004145C8"/>
    <w:rsid w:val="004146F2"/>
    <w:rsid w:val="00414AB8"/>
    <w:rsid w:val="00415327"/>
    <w:rsid w:val="00417138"/>
    <w:rsid w:val="00417933"/>
    <w:rsid w:val="00421919"/>
    <w:rsid w:val="004219D7"/>
    <w:rsid w:val="004220E1"/>
    <w:rsid w:val="00424C32"/>
    <w:rsid w:val="00425C3C"/>
    <w:rsid w:val="00425FB3"/>
    <w:rsid w:val="00426594"/>
    <w:rsid w:val="00427CC3"/>
    <w:rsid w:val="00430721"/>
    <w:rsid w:val="00430C71"/>
    <w:rsid w:val="004319DD"/>
    <w:rsid w:val="00432A71"/>
    <w:rsid w:val="004353DA"/>
    <w:rsid w:val="00435C5F"/>
    <w:rsid w:val="004374E1"/>
    <w:rsid w:val="00437644"/>
    <w:rsid w:val="0044013F"/>
    <w:rsid w:val="0044036D"/>
    <w:rsid w:val="00440B08"/>
    <w:rsid w:val="004413C3"/>
    <w:rsid w:val="0044248B"/>
    <w:rsid w:val="00442E2E"/>
    <w:rsid w:val="00443E37"/>
    <w:rsid w:val="00444308"/>
    <w:rsid w:val="004469E4"/>
    <w:rsid w:val="00446EC2"/>
    <w:rsid w:val="0044703C"/>
    <w:rsid w:val="004477F6"/>
    <w:rsid w:val="00451104"/>
    <w:rsid w:val="00451822"/>
    <w:rsid w:val="00452996"/>
    <w:rsid w:val="0045345B"/>
    <w:rsid w:val="00453761"/>
    <w:rsid w:val="00453D41"/>
    <w:rsid w:val="00453E8A"/>
    <w:rsid w:val="004543D7"/>
    <w:rsid w:val="004546A7"/>
    <w:rsid w:val="00455DB6"/>
    <w:rsid w:val="00456EF8"/>
    <w:rsid w:val="00457772"/>
    <w:rsid w:val="0046043B"/>
    <w:rsid w:val="00460CF4"/>
    <w:rsid w:val="00460EA6"/>
    <w:rsid w:val="00461601"/>
    <w:rsid w:val="004631E2"/>
    <w:rsid w:val="004643A6"/>
    <w:rsid w:val="00464502"/>
    <w:rsid w:val="00464A28"/>
    <w:rsid w:val="00464F21"/>
    <w:rsid w:val="00466924"/>
    <w:rsid w:val="004702D9"/>
    <w:rsid w:val="00472CA4"/>
    <w:rsid w:val="004750D5"/>
    <w:rsid w:val="00480970"/>
    <w:rsid w:val="00481A2A"/>
    <w:rsid w:val="00483782"/>
    <w:rsid w:val="00484334"/>
    <w:rsid w:val="00484DE2"/>
    <w:rsid w:val="00487269"/>
    <w:rsid w:val="004876FD"/>
    <w:rsid w:val="00487AB0"/>
    <w:rsid w:val="00487D2B"/>
    <w:rsid w:val="0049007D"/>
    <w:rsid w:val="00490E3E"/>
    <w:rsid w:val="00491158"/>
    <w:rsid w:val="004927AB"/>
    <w:rsid w:val="0049574B"/>
    <w:rsid w:val="00495A57"/>
    <w:rsid w:val="00495BE4"/>
    <w:rsid w:val="00497551"/>
    <w:rsid w:val="004A06AA"/>
    <w:rsid w:val="004A0A93"/>
    <w:rsid w:val="004A1183"/>
    <w:rsid w:val="004A203E"/>
    <w:rsid w:val="004A22BE"/>
    <w:rsid w:val="004A2B2E"/>
    <w:rsid w:val="004A2E2A"/>
    <w:rsid w:val="004A3405"/>
    <w:rsid w:val="004A4F93"/>
    <w:rsid w:val="004A519F"/>
    <w:rsid w:val="004A56CB"/>
    <w:rsid w:val="004A6756"/>
    <w:rsid w:val="004A68B2"/>
    <w:rsid w:val="004A7959"/>
    <w:rsid w:val="004A7EC4"/>
    <w:rsid w:val="004B014F"/>
    <w:rsid w:val="004B1943"/>
    <w:rsid w:val="004B2C95"/>
    <w:rsid w:val="004B351E"/>
    <w:rsid w:val="004B594C"/>
    <w:rsid w:val="004B5DD3"/>
    <w:rsid w:val="004B626D"/>
    <w:rsid w:val="004B681F"/>
    <w:rsid w:val="004B7ACA"/>
    <w:rsid w:val="004B7CFC"/>
    <w:rsid w:val="004C0A48"/>
    <w:rsid w:val="004C0AE4"/>
    <w:rsid w:val="004C4324"/>
    <w:rsid w:val="004C50BA"/>
    <w:rsid w:val="004C6336"/>
    <w:rsid w:val="004C68F6"/>
    <w:rsid w:val="004C6AB3"/>
    <w:rsid w:val="004D0270"/>
    <w:rsid w:val="004D23BF"/>
    <w:rsid w:val="004D372F"/>
    <w:rsid w:val="004D3C8E"/>
    <w:rsid w:val="004D42DC"/>
    <w:rsid w:val="004D4DC7"/>
    <w:rsid w:val="004D5201"/>
    <w:rsid w:val="004D5EC0"/>
    <w:rsid w:val="004D661A"/>
    <w:rsid w:val="004D78AF"/>
    <w:rsid w:val="004D7A7B"/>
    <w:rsid w:val="004E0036"/>
    <w:rsid w:val="004E1CFE"/>
    <w:rsid w:val="004E1D61"/>
    <w:rsid w:val="004E3563"/>
    <w:rsid w:val="004E3852"/>
    <w:rsid w:val="004E5722"/>
    <w:rsid w:val="004E74BE"/>
    <w:rsid w:val="004E7746"/>
    <w:rsid w:val="004F1DD1"/>
    <w:rsid w:val="004F1F08"/>
    <w:rsid w:val="004F200A"/>
    <w:rsid w:val="004F3D50"/>
    <w:rsid w:val="004F3E6A"/>
    <w:rsid w:val="004F5CDA"/>
    <w:rsid w:val="004F6C7E"/>
    <w:rsid w:val="004F6D60"/>
    <w:rsid w:val="004F73AA"/>
    <w:rsid w:val="004F7961"/>
    <w:rsid w:val="0050087E"/>
    <w:rsid w:val="00501487"/>
    <w:rsid w:val="00503565"/>
    <w:rsid w:val="00503E38"/>
    <w:rsid w:val="0050449E"/>
    <w:rsid w:val="00504503"/>
    <w:rsid w:val="00506D91"/>
    <w:rsid w:val="00506FA9"/>
    <w:rsid w:val="005116B9"/>
    <w:rsid w:val="00513969"/>
    <w:rsid w:val="00513CF1"/>
    <w:rsid w:val="00516221"/>
    <w:rsid w:val="00516375"/>
    <w:rsid w:val="00516A85"/>
    <w:rsid w:val="00516C11"/>
    <w:rsid w:val="00520D03"/>
    <w:rsid w:val="00522B5E"/>
    <w:rsid w:val="00522DB9"/>
    <w:rsid w:val="005234AC"/>
    <w:rsid w:val="005251F6"/>
    <w:rsid w:val="0052590F"/>
    <w:rsid w:val="00526178"/>
    <w:rsid w:val="00526456"/>
    <w:rsid w:val="0053128E"/>
    <w:rsid w:val="005316D2"/>
    <w:rsid w:val="00533029"/>
    <w:rsid w:val="005338FF"/>
    <w:rsid w:val="00535D5C"/>
    <w:rsid w:val="00535F6A"/>
    <w:rsid w:val="005369AD"/>
    <w:rsid w:val="00537429"/>
    <w:rsid w:val="00541DF7"/>
    <w:rsid w:val="00543870"/>
    <w:rsid w:val="00543F31"/>
    <w:rsid w:val="005448AB"/>
    <w:rsid w:val="00545BB4"/>
    <w:rsid w:val="00545E0D"/>
    <w:rsid w:val="00551837"/>
    <w:rsid w:val="005519EB"/>
    <w:rsid w:val="00552A79"/>
    <w:rsid w:val="00552CCA"/>
    <w:rsid w:val="00554217"/>
    <w:rsid w:val="00556A64"/>
    <w:rsid w:val="00557044"/>
    <w:rsid w:val="00561CF5"/>
    <w:rsid w:val="0056385A"/>
    <w:rsid w:val="005640F7"/>
    <w:rsid w:val="0056521C"/>
    <w:rsid w:val="00565FF7"/>
    <w:rsid w:val="00567166"/>
    <w:rsid w:val="0057043F"/>
    <w:rsid w:val="00571EAA"/>
    <w:rsid w:val="005732BF"/>
    <w:rsid w:val="00573913"/>
    <w:rsid w:val="00574DB0"/>
    <w:rsid w:val="005752C0"/>
    <w:rsid w:val="005752EB"/>
    <w:rsid w:val="00575F08"/>
    <w:rsid w:val="00576A77"/>
    <w:rsid w:val="00576D69"/>
    <w:rsid w:val="005777B6"/>
    <w:rsid w:val="00577DE4"/>
    <w:rsid w:val="00580EDA"/>
    <w:rsid w:val="005818A7"/>
    <w:rsid w:val="00587381"/>
    <w:rsid w:val="00590769"/>
    <w:rsid w:val="0059155A"/>
    <w:rsid w:val="005952BB"/>
    <w:rsid w:val="0059555E"/>
    <w:rsid w:val="00595F48"/>
    <w:rsid w:val="00597B35"/>
    <w:rsid w:val="005A0938"/>
    <w:rsid w:val="005A3063"/>
    <w:rsid w:val="005A3A39"/>
    <w:rsid w:val="005A570E"/>
    <w:rsid w:val="005A6A28"/>
    <w:rsid w:val="005A6BA5"/>
    <w:rsid w:val="005A7DBC"/>
    <w:rsid w:val="005B1A36"/>
    <w:rsid w:val="005B2742"/>
    <w:rsid w:val="005B3164"/>
    <w:rsid w:val="005B3231"/>
    <w:rsid w:val="005B4A03"/>
    <w:rsid w:val="005B76F0"/>
    <w:rsid w:val="005C15D0"/>
    <w:rsid w:val="005C417F"/>
    <w:rsid w:val="005C5183"/>
    <w:rsid w:val="005C5245"/>
    <w:rsid w:val="005C52FD"/>
    <w:rsid w:val="005C62EC"/>
    <w:rsid w:val="005C652B"/>
    <w:rsid w:val="005C71BB"/>
    <w:rsid w:val="005C7D99"/>
    <w:rsid w:val="005D009D"/>
    <w:rsid w:val="005D02D2"/>
    <w:rsid w:val="005D0C83"/>
    <w:rsid w:val="005D0CC6"/>
    <w:rsid w:val="005D1F3D"/>
    <w:rsid w:val="005D22F0"/>
    <w:rsid w:val="005D236B"/>
    <w:rsid w:val="005D3A5F"/>
    <w:rsid w:val="005D51D9"/>
    <w:rsid w:val="005D5237"/>
    <w:rsid w:val="005D571C"/>
    <w:rsid w:val="005D7272"/>
    <w:rsid w:val="005E027B"/>
    <w:rsid w:val="005E07F1"/>
    <w:rsid w:val="005E0839"/>
    <w:rsid w:val="005E0B74"/>
    <w:rsid w:val="005E2496"/>
    <w:rsid w:val="005E52A8"/>
    <w:rsid w:val="005E5DFB"/>
    <w:rsid w:val="005E64A4"/>
    <w:rsid w:val="005E6CF2"/>
    <w:rsid w:val="005E6DB6"/>
    <w:rsid w:val="005F147B"/>
    <w:rsid w:val="005F1EAD"/>
    <w:rsid w:val="005F4847"/>
    <w:rsid w:val="005F4C97"/>
    <w:rsid w:val="005F62A8"/>
    <w:rsid w:val="006012E1"/>
    <w:rsid w:val="00601461"/>
    <w:rsid w:val="00601E08"/>
    <w:rsid w:val="0060202A"/>
    <w:rsid w:val="00602268"/>
    <w:rsid w:val="00602BFF"/>
    <w:rsid w:val="00603B08"/>
    <w:rsid w:val="00604494"/>
    <w:rsid w:val="0060453B"/>
    <w:rsid w:val="0060508F"/>
    <w:rsid w:val="00605DE0"/>
    <w:rsid w:val="00606FAB"/>
    <w:rsid w:val="00607ECF"/>
    <w:rsid w:val="006104AB"/>
    <w:rsid w:val="00611B0A"/>
    <w:rsid w:val="00611C01"/>
    <w:rsid w:val="00612C67"/>
    <w:rsid w:val="00615CE0"/>
    <w:rsid w:val="00615CEE"/>
    <w:rsid w:val="00616D07"/>
    <w:rsid w:val="006202D7"/>
    <w:rsid w:val="006209D0"/>
    <w:rsid w:val="00621774"/>
    <w:rsid w:val="00621B73"/>
    <w:rsid w:val="00623506"/>
    <w:rsid w:val="0062698D"/>
    <w:rsid w:val="00626F4D"/>
    <w:rsid w:val="00630B61"/>
    <w:rsid w:val="00632188"/>
    <w:rsid w:val="0063344E"/>
    <w:rsid w:val="00633B33"/>
    <w:rsid w:val="00633D78"/>
    <w:rsid w:val="00634633"/>
    <w:rsid w:val="00634DE4"/>
    <w:rsid w:val="006357A5"/>
    <w:rsid w:val="00635B79"/>
    <w:rsid w:val="00635E8D"/>
    <w:rsid w:val="00640CE0"/>
    <w:rsid w:val="006416DF"/>
    <w:rsid w:val="0064368B"/>
    <w:rsid w:val="0064470C"/>
    <w:rsid w:val="0064503D"/>
    <w:rsid w:val="00647FAF"/>
    <w:rsid w:val="00650335"/>
    <w:rsid w:val="006509A9"/>
    <w:rsid w:val="00650E30"/>
    <w:rsid w:val="00652040"/>
    <w:rsid w:val="00652848"/>
    <w:rsid w:val="00653EA2"/>
    <w:rsid w:val="00656C10"/>
    <w:rsid w:val="006571F5"/>
    <w:rsid w:val="00657FF3"/>
    <w:rsid w:val="006600A4"/>
    <w:rsid w:val="00660BC2"/>
    <w:rsid w:val="006610B7"/>
    <w:rsid w:val="00661475"/>
    <w:rsid w:val="00662BD2"/>
    <w:rsid w:val="00663AFC"/>
    <w:rsid w:val="00664C2A"/>
    <w:rsid w:val="0066654C"/>
    <w:rsid w:val="006715C3"/>
    <w:rsid w:val="00671AB1"/>
    <w:rsid w:val="0067275D"/>
    <w:rsid w:val="00673DA1"/>
    <w:rsid w:val="0067523C"/>
    <w:rsid w:val="006752D2"/>
    <w:rsid w:val="00677EF4"/>
    <w:rsid w:val="00682A9A"/>
    <w:rsid w:val="00683308"/>
    <w:rsid w:val="006846FE"/>
    <w:rsid w:val="0069074B"/>
    <w:rsid w:val="00691072"/>
    <w:rsid w:val="006912A2"/>
    <w:rsid w:val="00692C9B"/>
    <w:rsid w:val="006936C2"/>
    <w:rsid w:val="00693C95"/>
    <w:rsid w:val="00694C89"/>
    <w:rsid w:val="00695DD2"/>
    <w:rsid w:val="006A22F6"/>
    <w:rsid w:val="006A2AC4"/>
    <w:rsid w:val="006A57EC"/>
    <w:rsid w:val="006A6A23"/>
    <w:rsid w:val="006A706B"/>
    <w:rsid w:val="006A7AB0"/>
    <w:rsid w:val="006A7D13"/>
    <w:rsid w:val="006B0356"/>
    <w:rsid w:val="006B0AC0"/>
    <w:rsid w:val="006B307C"/>
    <w:rsid w:val="006B3A8D"/>
    <w:rsid w:val="006B489E"/>
    <w:rsid w:val="006B61FA"/>
    <w:rsid w:val="006C0BFA"/>
    <w:rsid w:val="006C175D"/>
    <w:rsid w:val="006C1854"/>
    <w:rsid w:val="006C28C8"/>
    <w:rsid w:val="006C2D16"/>
    <w:rsid w:val="006C3626"/>
    <w:rsid w:val="006C4019"/>
    <w:rsid w:val="006C414C"/>
    <w:rsid w:val="006C4927"/>
    <w:rsid w:val="006C5A15"/>
    <w:rsid w:val="006C638C"/>
    <w:rsid w:val="006C7728"/>
    <w:rsid w:val="006D071A"/>
    <w:rsid w:val="006D106B"/>
    <w:rsid w:val="006D15AD"/>
    <w:rsid w:val="006D1C0E"/>
    <w:rsid w:val="006D59B0"/>
    <w:rsid w:val="006E0AA0"/>
    <w:rsid w:val="006E0E4C"/>
    <w:rsid w:val="006E0EAE"/>
    <w:rsid w:val="006E1512"/>
    <w:rsid w:val="006E1EE3"/>
    <w:rsid w:val="006E4574"/>
    <w:rsid w:val="006E4CD8"/>
    <w:rsid w:val="006E564E"/>
    <w:rsid w:val="006E731A"/>
    <w:rsid w:val="006E7503"/>
    <w:rsid w:val="006E7885"/>
    <w:rsid w:val="006F0B1D"/>
    <w:rsid w:val="006F0DE9"/>
    <w:rsid w:val="006F1A97"/>
    <w:rsid w:val="006F1DAB"/>
    <w:rsid w:val="006F3D2F"/>
    <w:rsid w:val="006F4D52"/>
    <w:rsid w:val="006F527A"/>
    <w:rsid w:val="006F65D4"/>
    <w:rsid w:val="006F705E"/>
    <w:rsid w:val="006F7434"/>
    <w:rsid w:val="00700EB4"/>
    <w:rsid w:val="00701A6C"/>
    <w:rsid w:val="00702BC1"/>
    <w:rsid w:val="007048C5"/>
    <w:rsid w:val="007074F9"/>
    <w:rsid w:val="007101DC"/>
    <w:rsid w:val="00711002"/>
    <w:rsid w:val="0071145E"/>
    <w:rsid w:val="007123B3"/>
    <w:rsid w:val="007124B2"/>
    <w:rsid w:val="0071286C"/>
    <w:rsid w:val="00713873"/>
    <w:rsid w:val="00715EF9"/>
    <w:rsid w:val="007160C9"/>
    <w:rsid w:val="00721F23"/>
    <w:rsid w:val="00722102"/>
    <w:rsid w:val="0072212C"/>
    <w:rsid w:val="007231C5"/>
    <w:rsid w:val="00723CF0"/>
    <w:rsid w:val="00724357"/>
    <w:rsid w:val="0072484C"/>
    <w:rsid w:val="00724D6F"/>
    <w:rsid w:val="00724E47"/>
    <w:rsid w:val="00725BAA"/>
    <w:rsid w:val="00727BC3"/>
    <w:rsid w:val="00727C74"/>
    <w:rsid w:val="00727E7A"/>
    <w:rsid w:val="0073151F"/>
    <w:rsid w:val="007318F6"/>
    <w:rsid w:val="00731D97"/>
    <w:rsid w:val="00733655"/>
    <w:rsid w:val="00733FA6"/>
    <w:rsid w:val="00735237"/>
    <w:rsid w:val="00736835"/>
    <w:rsid w:val="00736D2F"/>
    <w:rsid w:val="007376A3"/>
    <w:rsid w:val="00741C60"/>
    <w:rsid w:val="00742117"/>
    <w:rsid w:val="0074224E"/>
    <w:rsid w:val="0074391C"/>
    <w:rsid w:val="00743FFE"/>
    <w:rsid w:val="007440AD"/>
    <w:rsid w:val="00747C4F"/>
    <w:rsid w:val="00751027"/>
    <w:rsid w:val="0075114F"/>
    <w:rsid w:val="007512B2"/>
    <w:rsid w:val="007519FB"/>
    <w:rsid w:val="007541EE"/>
    <w:rsid w:val="00754FCE"/>
    <w:rsid w:val="00756790"/>
    <w:rsid w:val="00756851"/>
    <w:rsid w:val="00757895"/>
    <w:rsid w:val="007579FC"/>
    <w:rsid w:val="00760DBC"/>
    <w:rsid w:val="00767246"/>
    <w:rsid w:val="007677AC"/>
    <w:rsid w:val="00770764"/>
    <w:rsid w:val="00770EE0"/>
    <w:rsid w:val="00771ECA"/>
    <w:rsid w:val="007724B5"/>
    <w:rsid w:val="00773397"/>
    <w:rsid w:val="00773830"/>
    <w:rsid w:val="007742F6"/>
    <w:rsid w:val="0077478F"/>
    <w:rsid w:val="00774944"/>
    <w:rsid w:val="00774A69"/>
    <w:rsid w:val="007754ED"/>
    <w:rsid w:val="007761BF"/>
    <w:rsid w:val="007779B2"/>
    <w:rsid w:val="00777CC7"/>
    <w:rsid w:val="007803EF"/>
    <w:rsid w:val="00781D76"/>
    <w:rsid w:val="007839AF"/>
    <w:rsid w:val="0078437E"/>
    <w:rsid w:val="00784B8C"/>
    <w:rsid w:val="0078567E"/>
    <w:rsid w:val="00785F1B"/>
    <w:rsid w:val="007860DC"/>
    <w:rsid w:val="0078627E"/>
    <w:rsid w:val="0078657D"/>
    <w:rsid w:val="00786F82"/>
    <w:rsid w:val="007872BF"/>
    <w:rsid w:val="0078774D"/>
    <w:rsid w:val="0079331A"/>
    <w:rsid w:val="00794426"/>
    <w:rsid w:val="00794841"/>
    <w:rsid w:val="00795059"/>
    <w:rsid w:val="00795E40"/>
    <w:rsid w:val="007A029D"/>
    <w:rsid w:val="007A0892"/>
    <w:rsid w:val="007A2400"/>
    <w:rsid w:val="007A3354"/>
    <w:rsid w:val="007A3C15"/>
    <w:rsid w:val="007A4BE9"/>
    <w:rsid w:val="007A5E1D"/>
    <w:rsid w:val="007A6433"/>
    <w:rsid w:val="007A703D"/>
    <w:rsid w:val="007B1E3E"/>
    <w:rsid w:val="007B22B5"/>
    <w:rsid w:val="007B5D2E"/>
    <w:rsid w:val="007B7FD0"/>
    <w:rsid w:val="007C23F1"/>
    <w:rsid w:val="007C28AD"/>
    <w:rsid w:val="007C3667"/>
    <w:rsid w:val="007C4A40"/>
    <w:rsid w:val="007C4F64"/>
    <w:rsid w:val="007C60D5"/>
    <w:rsid w:val="007C670E"/>
    <w:rsid w:val="007C77AC"/>
    <w:rsid w:val="007C7AE4"/>
    <w:rsid w:val="007D1A66"/>
    <w:rsid w:val="007D328D"/>
    <w:rsid w:val="007D3E58"/>
    <w:rsid w:val="007D47E1"/>
    <w:rsid w:val="007D53BE"/>
    <w:rsid w:val="007D5FA3"/>
    <w:rsid w:val="007D5FFB"/>
    <w:rsid w:val="007D7191"/>
    <w:rsid w:val="007D791A"/>
    <w:rsid w:val="007D79E3"/>
    <w:rsid w:val="007D7C81"/>
    <w:rsid w:val="007D7EEA"/>
    <w:rsid w:val="007E0036"/>
    <w:rsid w:val="007E08FF"/>
    <w:rsid w:val="007E0E51"/>
    <w:rsid w:val="007E106A"/>
    <w:rsid w:val="007E1128"/>
    <w:rsid w:val="007E1DCB"/>
    <w:rsid w:val="007E2E2C"/>
    <w:rsid w:val="007E3157"/>
    <w:rsid w:val="007E62F8"/>
    <w:rsid w:val="007E692D"/>
    <w:rsid w:val="007F0E13"/>
    <w:rsid w:val="007F191B"/>
    <w:rsid w:val="007F2628"/>
    <w:rsid w:val="007F36E9"/>
    <w:rsid w:val="007F7740"/>
    <w:rsid w:val="008000E0"/>
    <w:rsid w:val="00800121"/>
    <w:rsid w:val="00800369"/>
    <w:rsid w:val="00804558"/>
    <w:rsid w:val="00804743"/>
    <w:rsid w:val="00804A7E"/>
    <w:rsid w:val="00804FAB"/>
    <w:rsid w:val="00805510"/>
    <w:rsid w:val="008055D3"/>
    <w:rsid w:val="00806384"/>
    <w:rsid w:val="00806A62"/>
    <w:rsid w:val="00806AE9"/>
    <w:rsid w:val="00810CA5"/>
    <w:rsid w:val="0081163F"/>
    <w:rsid w:val="00811FF2"/>
    <w:rsid w:val="008120B0"/>
    <w:rsid w:val="008121C5"/>
    <w:rsid w:val="00812459"/>
    <w:rsid w:val="00812499"/>
    <w:rsid w:val="008125AD"/>
    <w:rsid w:val="00813352"/>
    <w:rsid w:val="008140D9"/>
    <w:rsid w:val="00820581"/>
    <w:rsid w:val="00820D35"/>
    <w:rsid w:val="00822490"/>
    <w:rsid w:val="00825891"/>
    <w:rsid w:val="00827050"/>
    <w:rsid w:val="008273AD"/>
    <w:rsid w:val="008279F2"/>
    <w:rsid w:val="00827C36"/>
    <w:rsid w:val="0083121E"/>
    <w:rsid w:val="0083139D"/>
    <w:rsid w:val="0083169F"/>
    <w:rsid w:val="008316E7"/>
    <w:rsid w:val="00831886"/>
    <w:rsid w:val="008334A7"/>
    <w:rsid w:val="0083468B"/>
    <w:rsid w:val="00834B77"/>
    <w:rsid w:val="0083548E"/>
    <w:rsid w:val="0083763E"/>
    <w:rsid w:val="008415BA"/>
    <w:rsid w:val="008418B2"/>
    <w:rsid w:val="00842D50"/>
    <w:rsid w:val="008435EE"/>
    <w:rsid w:val="00843BDC"/>
    <w:rsid w:val="008440E4"/>
    <w:rsid w:val="00844BF0"/>
    <w:rsid w:val="00846E7E"/>
    <w:rsid w:val="00847004"/>
    <w:rsid w:val="008474A4"/>
    <w:rsid w:val="00851E47"/>
    <w:rsid w:val="0085363A"/>
    <w:rsid w:val="0085449A"/>
    <w:rsid w:val="008547C6"/>
    <w:rsid w:val="00854D24"/>
    <w:rsid w:val="00854E23"/>
    <w:rsid w:val="00855ADD"/>
    <w:rsid w:val="00855C78"/>
    <w:rsid w:val="00855D16"/>
    <w:rsid w:val="00855E85"/>
    <w:rsid w:val="00857859"/>
    <w:rsid w:val="00857D4A"/>
    <w:rsid w:val="00857DB5"/>
    <w:rsid w:val="0086112B"/>
    <w:rsid w:val="00861583"/>
    <w:rsid w:val="00863693"/>
    <w:rsid w:val="008638EF"/>
    <w:rsid w:val="00864B24"/>
    <w:rsid w:val="008655B6"/>
    <w:rsid w:val="00865615"/>
    <w:rsid w:val="00865AED"/>
    <w:rsid w:val="00867E11"/>
    <w:rsid w:val="00867F4A"/>
    <w:rsid w:val="00867FAA"/>
    <w:rsid w:val="0087063A"/>
    <w:rsid w:val="008709B5"/>
    <w:rsid w:val="00870CD8"/>
    <w:rsid w:val="008711A7"/>
    <w:rsid w:val="00872FDF"/>
    <w:rsid w:val="0087360D"/>
    <w:rsid w:val="00873C24"/>
    <w:rsid w:val="00873CCA"/>
    <w:rsid w:val="008743CD"/>
    <w:rsid w:val="00875F0E"/>
    <w:rsid w:val="008764F1"/>
    <w:rsid w:val="008775D0"/>
    <w:rsid w:val="008779A0"/>
    <w:rsid w:val="00877EAA"/>
    <w:rsid w:val="0088080A"/>
    <w:rsid w:val="008817A5"/>
    <w:rsid w:val="008836D4"/>
    <w:rsid w:val="008859D0"/>
    <w:rsid w:val="0088691E"/>
    <w:rsid w:val="00887605"/>
    <w:rsid w:val="0088774E"/>
    <w:rsid w:val="00892A65"/>
    <w:rsid w:val="008977DF"/>
    <w:rsid w:val="008A0307"/>
    <w:rsid w:val="008A0DA4"/>
    <w:rsid w:val="008A2676"/>
    <w:rsid w:val="008A296F"/>
    <w:rsid w:val="008A3CB3"/>
    <w:rsid w:val="008A61D8"/>
    <w:rsid w:val="008A7EA5"/>
    <w:rsid w:val="008B0791"/>
    <w:rsid w:val="008B0B72"/>
    <w:rsid w:val="008B19DD"/>
    <w:rsid w:val="008B1AA9"/>
    <w:rsid w:val="008B228C"/>
    <w:rsid w:val="008B3310"/>
    <w:rsid w:val="008B395A"/>
    <w:rsid w:val="008B490B"/>
    <w:rsid w:val="008B5991"/>
    <w:rsid w:val="008B72F8"/>
    <w:rsid w:val="008B77CA"/>
    <w:rsid w:val="008C01D7"/>
    <w:rsid w:val="008C09D0"/>
    <w:rsid w:val="008C1A2B"/>
    <w:rsid w:val="008C302A"/>
    <w:rsid w:val="008C5188"/>
    <w:rsid w:val="008C55A6"/>
    <w:rsid w:val="008C5C2D"/>
    <w:rsid w:val="008D0963"/>
    <w:rsid w:val="008D1FFC"/>
    <w:rsid w:val="008D2C11"/>
    <w:rsid w:val="008D41DE"/>
    <w:rsid w:val="008D56EA"/>
    <w:rsid w:val="008E05B2"/>
    <w:rsid w:val="008E06FB"/>
    <w:rsid w:val="008E0ABA"/>
    <w:rsid w:val="008E1248"/>
    <w:rsid w:val="008E20D0"/>
    <w:rsid w:val="008E3853"/>
    <w:rsid w:val="008E53CF"/>
    <w:rsid w:val="008E6095"/>
    <w:rsid w:val="008F0ED3"/>
    <w:rsid w:val="008F1928"/>
    <w:rsid w:val="008F31E9"/>
    <w:rsid w:val="008F3875"/>
    <w:rsid w:val="008F5EB2"/>
    <w:rsid w:val="008F766F"/>
    <w:rsid w:val="008F7967"/>
    <w:rsid w:val="008F797A"/>
    <w:rsid w:val="00903EE6"/>
    <w:rsid w:val="009042CE"/>
    <w:rsid w:val="00905B35"/>
    <w:rsid w:val="00905BC3"/>
    <w:rsid w:val="00906DCC"/>
    <w:rsid w:val="00911034"/>
    <w:rsid w:val="009110B4"/>
    <w:rsid w:val="00911861"/>
    <w:rsid w:val="00912231"/>
    <w:rsid w:val="0091297C"/>
    <w:rsid w:val="009140FF"/>
    <w:rsid w:val="00914401"/>
    <w:rsid w:val="009156F6"/>
    <w:rsid w:val="00917E25"/>
    <w:rsid w:val="009205BB"/>
    <w:rsid w:val="00920B75"/>
    <w:rsid w:val="0092118A"/>
    <w:rsid w:val="00923608"/>
    <w:rsid w:val="00924A11"/>
    <w:rsid w:val="009253F2"/>
    <w:rsid w:val="0092649A"/>
    <w:rsid w:val="00926E4E"/>
    <w:rsid w:val="009305C0"/>
    <w:rsid w:val="00930672"/>
    <w:rsid w:val="00930B62"/>
    <w:rsid w:val="00930D59"/>
    <w:rsid w:val="00932155"/>
    <w:rsid w:val="009352D7"/>
    <w:rsid w:val="009353E1"/>
    <w:rsid w:val="00935887"/>
    <w:rsid w:val="00936BFA"/>
    <w:rsid w:val="009375CD"/>
    <w:rsid w:val="00937B3B"/>
    <w:rsid w:val="00937E18"/>
    <w:rsid w:val="00937E73"/>
    <w:rsid w:val="00940161"/>
    <w:rsid w:val="009416E5"/>
    <w:rsid w:val="009421E7"/>
    <w:rsid w:val="00942953"/>
    <w:rsid w:val="00942AC4"/>
    <w:rsid w:val="00943509"/>
    <w:rsid w:val="00944069"/>
    <w:rsid w:val="00944414"/>
    <w:rsid w:val="009449C1"/>
    <w:rsid w:val="00945189"/>
    <w:rsid w:val="00946221"/>
    <w:rsid w:val="009462B4"/>
    <w:rsid w:val="009470FC"/>
    <w:rsid w:val="00947400"/>
    <w:rsid w:val="009475E2"/>
    <w:rsid w:val="00950754"/>
    <w:rsid w:val="00950C00"/>
    <w:rsid w:val="009510A4"/>
    <w:rsid w:val="00951116"/>
    <w:rsid w:val="009512CC"/>
    <w:rsid w:val="00951E12"/>
    <w:rsid w:val="00953440"/>
    <w:rsid w:val="00954185"/>
    <w:rsid w:val="0095590D"/>
    <w:rsid w:val="00955C4D"/>
    <w:rsid w:val="00960305"/>
    <w:rsid w:val="00960F1E"/>
    <w:rsid w:val="009611F4"/>
    <w:rsid w:val="009628AD"/>
    <w:rsid w:val="00962EB5"/>
    <w:rsid w:val="009630BA"/>
    <w:rsid w:val="00963ADF"/>
    <w:rsid w:val="00963EEF"/>
    <w:rsid w:val="0096576C"/>
    <w:rsid w:val="00965C02"/>
    <w:rsid w:val="00966480"/>
    <w:rsid w:val="009669B4"/>
    <w:rsid w:val="009676C1"/>
    <w:rsid w:val="00967788"/>
    <w:rsid w:val="00967981"/>
    <w:rsid w:val="009701B5"/>
    <w:rsid w:val="0097158E"/>
    <w:rsid w:val="00971817"/>
    <w:rsid w:val="0097219F"/>
    <w:rsid w:val="009731A6"/>
    <w:rsid w:val="00974D10"/>
    <w:rsid w:val="00975EF5"/>
    <w:rsid w:val="009767F1"/>
    <w:rsid w:val="00977583"/>
    <w:rsid w:val="009778CE"/>
    <w:rsid w:val="00977DE6"/>
    <w:rsid w:val="009812BC"/>
    <w:rsid w:val="00984AF9"/>
    <w:rsid w:val="009858DD"/>
    <w:rsid w:val="00991AEF"/>
    <w:rsid w:val="00992710"/>
    <w:rsid w:val="00993478"/>
    <w:rsid w:val="00994B51"/>
    <w:rsid w:val="00995349"/>
    <w:rsid w:val="00996953"/>
    <w:rsid w:val="00997CD8"/>
    <w:rsid w:val="009A1832"/>
    <w:rsid w:val="009A24A4"/>
    <w:rsid w:val="009A2B3E"/>
    <w:rsid w:val="009A31BF"/>
    <w:rsid w:val="009A450C"/>
    <w:rsid w:val="009A5E4F"/>
    <w:rsid w:val="009A6C07"/>
    <w:rsid w:val="009A725E"/>
    <w:rsid w:val="009A7790"/>
    <w:rsid w:val="009B0EEE"/>
    <w:rsid w:val="009B164C"/>
    <w:rsid w:val="009B1C45"/>
    <w:rsid w:val="009B3A21"/>
    <w:rsid w:val="009B6842"/>
    <w:rsid w:val="009B7570"/>
    <w:rsid w:val="009B7582"/>
    <w:rsid w:val="009C0008"/>
    <w:rsid w:val="009C0428"/>
    <w:rsid w:val="009C0561"/>
    <w:rsid w:val="009C1525"/>
    <w:rsid w:val="009C21ED"/>
    <w:rsid w:val="009C279F"/>
    <w:rsid w:val="009C5D0E"/>
    <w:rsid w:val="009C5F60"/>
    <w:rsid w:val="009C6969"/>
    <w:rsid w:val="009C6A8F"/>
    <w:rsid w:val="009D034A"/>
    <w:rsid w:val="009D04AF"/>
    <w:rsid w:val="009D17A5"/>
    <w:rsid w:val="009D27C0"/>
    <w:rsid w:val="009D2917"/>
    <w:rsid w:val="009D36BF"/>
    <w:rsid w:val="009D39A4"/>
    <w:rsid w:val="009D3ECD"/>
    <w:rsid w:val="009D583A"/>
    <w:rsid w:val="009D786C"/>
    <w:rsid w:val="009D7DDA"/>
    <w:rsid w:val="009E00FD"/>
    <w:rsid w:val="009E0909"/>
    <w:rsid w:val="009E10B4"/>
    <w:rsid w:val="009E16CC"/>
    <w:rsid w:val="009E22F0"/>
    <w:rsid w:val="009E365C"/>
    <w:rsid w:val="009E4394"/>
    <w:rsid w:val="009E4E3C"/>
    <w:rsid w:val="009E54CA"/>
    <w:rsid w:val="009E7D18"/>
    <w:rsid w:val="009E7F1F"/>
    <w:rsid w:val="009F218C"/>
    <w:rsid w:val="009F7650"/>
    <w:rsid w:val="00A002B9"/>
    <w:rsid w:val="00A01AE5"/>
    <w:rsid w:val="00A0316E"/>
    <w:rsid w:val="00A03327"/>
    <w:rsid w:val="00A036E0"/>
    <w:rsid w:val="00A038C6"/>
    <w:rsid w:val="00A03ABC"/>
    <w:rsid w:val="00A0441F"/>
    <w:rsid w:val="00A0449E"/>
    <w:rsid w:val="00A049D3"/>
    <w:rsid w:val="00A060CA"/>
    <w:rsid w:val="00A07421"/>
    <w:rsid w:val="00A10C8D"/>
    <w:rsid w:val="00A12044"/>
    <w:rsid w:val="00A1292C"/>
    <w:rsid w:val="00A1311B"/>
    <w:rsid w:val="00A1386A"/>
    <w:rsid w:val="00A13C06"/>
    <w:rsid w:val="00A148E7"/>
    <w:rsid w:val="00A14A5C"/>
    <w:rsid w:val="00A14C54"/>
    <w:rsid w:val="00A15F71"/>
    <w:rsid w:val="00A16523"/>
    <w:rsid w:val="00A16733"/>
    <w:rsid w:val="00A1704B"/>
    <w:rsid w:val="00A17FF2"/>
    <w:rsid w:val="00A22822"/>
    <w:rsid w:val="00A24046"/>
    <w:rsid w:val="00A245A8"/>
    <w:rsid w:val="00A26329"/>
    <w:rsid w:val="00A26BE3"/>
    <w:rsid w:val="00A30082"/>
    <w:rsid w:val="00A30CC0"/>
    <w:rsid w:val="00A31AA1"/>
    <w:rsid w:val="00A31EA2"/>
    <w:rsid w:val="00A3232D"/>
    <w:rsid w:val="00A33265"/>
    <w:rsid w:val="00A33A9A"/>
    <w:rsid w:val="00A358E9"/>
    <w:rsid w:val="00A363E0"/>
    <w:rsid w:val="00A408B2"/>
    <w:rsid w:val="00A41C56"/>
    <w:rsid w:val="00A4250E"/>
    <w:rsid w:val="00A42C8A"/>
    <w:rsid w:val="00A42E8B"/>
    <w:rsid w:val="00A42EBA"/>
    <w:rsid w:val="00A431F7"/>
    <w:rsid w:val="00A443CB"/>
    <w:rsid w:val="00A44C00"/>
    <w:rsid w:val="00A47DDA"/>
    <w:rsid w:val="00A50651"/>
    <w:rsid w:val="00A52608"/>
    <w:rsid w:val="00A52959"/>
    <w:rsid w:val="00A52E7E"/>
    <w:rsid w:val="00A5464D"/>
    <w:rsid w:val="00A54CD1"/>
    <w:rsid w:val="00A54ED3"/>
    <w:rsid w:val="00A555EF"/>
    <w:rsid w:val="00A5612E"/>
    <w:rsid w:val="00A56F2F"/>
    <w:rsid w:val="00A57556"/>
    <w:rsid w:val="00A60727"/>
    <w:rsid w:val="00A613FB"/>
    <w:rsid w:val="00A61598"/>
    <w:rsid w:val="00A638F8"/>
    <w:rsid w:val="00A646C5"/>
    <w:rsid w:val="00A64A17"/>
    <w:rsid w:val="00A64F6C"/>
    <w:rsid w:val="00A66830"/>
    <w:rsid w:val="00A715A9"/>
    <w:rsid w:val="00A720A3"/>
    <w:rsid w:val="00A72163"/>
    <w:rsid w:val="00A727E2"/>
    <w:rsid w:val="00A730DC"/>
    <w:rsid w:val="00A7340A"/>
    <w:rsid w:val="00A73631"/>
    <w:rsid w:val="00A73749"/>
    <w:rsid w:val="00A76764"/>
    <w:rsid w:val="00A77595"/>
    <w:rsid w:val="00A77C71"/>
    <w:rsid w:val="00A83221"/>
    <w:rsid w:val="00A8349F"/>
    <w:rsid w:val="00A856AE"/>
    <w:rsid w:val="00A8626F"/>
    <w:rsid w:val="00A86BC9"/>
    <w:rsid w:val="00A87CF2"/>
    <w:rsid w:val="00A87E62"/>
    <w:rsid w:val="00A90892"/>
    <w:rsid w:val="00A91F94"/>
    <w:rsid w:val="00A92522"/>
    <w:rsid w:val="00A92B4E"/>
    <w:rsid w:val="00A9501B"/>
    <w:rsid w:val="00A96B14"/>
    <w:rsid w:val="00AA17CC"/>
    <w:rsid w:val="00AA29C6"/>
    <w:rsid w:val="00AA5532"/>
    <w:rsid w:val="00AB053C"/>
    <w:rsid w:val="00AB09EA"/>
    <w:rsid w:val="00AB11F6"/>
    <w:rsid w:val="00AB21F9"/>
    <w:rsid w:val="00AB257D"/>
    <w:rsid w:val="00AB317A"/>
    <w:rsid w:val="00AB4500"/>
    <w:rsid w:val="00AB61B5"/>
    <w:rsid w:val="00AB6493"/>
    <w:rsid w:val="00AB7F8A"/>
    <w:rsid w:val="00AC0207"/>
    <w:rsid w:val="00AC53D8"/>
    <w:rsid w:val="00AD0270"/>
    <w:rsid w:val="00AD366F"/>
    <w:rsid w:val="00AD3BA5"/>
    <w:rsid w:val="00AD4F7F"/>
    <w:rsid w:val="00AD5D13"/>
    <w:rsid w:val="00AD60B8"/>
    <w:rsid w:val="00AD610A"/>
    <w:rsid w:val="00AD63EE"/>
    <w:rsid w:val="00AD65A4"/>
    <w:rsid w:val="00AD69CC"/>
    <w:rsid w:val="00AD6D49"/>
    <w:rsid w:val="00AE01B0"/>
    <w:rsid w:val="00AE0CEB"/>
    <w:rsid w:val="00AE0DA7"/>
    <w:rsid w:val="00AE2B57"/>
    <w:rsid w:val="00AE3567"/>
    <w:rsid w:val="00AE4125"/>
    <w:rsid w:val="00AE6AD5"/>
    <w:rsid w:val="00AE722A"/>
    <w:rsid w:val="00AE7903"/>
    <w:rsid w:val="00AE7AD0"/>
    <w:rsid w:val="00AE7EDD"/>
    <w:rsid w:val="00AF0B76"/>
    <w:rsid w:val="00AF1448"/>
    <w:rsid w:val="00AF17DF"/>
    <w:rsid w:val="00AF1A44"/>
    <w:rsid w:val="00AF1CAF"/>
    <w:rsid w:val="00AF3CAC"/>
    <w:rsid w:val="00AF4556"/>
    <w:rsid w:val="00AF47DD"/>
    <w:rsid w:val="00AF4DA2"/>
    <w:rsid w:val="00AF5EB0"/>
    <w:rsid w:val="00AF7308"/>
    <w:rsid w:val="00AF78A3"/>
    <w:rsid w:val="00AF78C8"/>
    <w:rsid w:val="00AF795D"/>
    <w:rsid w:val="00B001D3"/>
    <w:rsid w:val="00B00433"/>
    <w:rsid w:val="00B011FC"/>
    <w:rsid w:val="00B012FD"/>
    <w:rsid w:val="00B01FF1"/>
    <w:rsid w:val="00B0296C"/>
    <w:rsid w:val="00B032AB"/>
    <w:rsid w:val="00B0602E"/>
    <w:rsid w:val="00B073FF"/>
    <w:rsid w:val="00B07668"/>
    <w:rsid w:val="00B076EC"/>
    <w:rsid w:val="00B079FB"/>
    <w:rsid w:val="00B103EA"/>
    <w:rsid w:val="00B11263"/>
    <w:rsid w:val="00B1174D"/>
    <w:rsid w:val="00B12793"/>
    <w:rsid w:val="00B14642"/>
    <w:rsid w:val="00B2227D"/>
    <w:rsid w:val="00B22CB5"/>
    <w:rsid w:val="00B2336E"/>
    <w:rsid w:val="00B2358B"/>
    <w:rsid w:val="00B237CF"/>
    <w:rsid w:val="00B23FBA"/>
    <w:rsid w:val="00B244AA"/>
    <w:rsid w:val="00B24665"/>
    <w:rsid w:val="00B24BC1"/>
    <w:rsid w:val="00B25615"/>
    <w:rsid w:val="00B301D7"/>
    <w:rsid w:val="00B3222A"/>
    <w:rsid w:val="00B33BF1"/>
    <w:rsid w:val="00B34451"/>
    <w:rsid w:val="00B349B5"/>
    <w:rsid w:val="00B34F77"/>
    <w:rsid w:val="00B35947"/>
    <w:rsid w:val="00B3737B"/>
    <w:rsid w:val="00B40BDC"/>
    <w:rsid w:val="00B41483"/>
    <w:rsid w:val="00B4192C"/>
    <w:rsid w:val="00B42F80"/>
    <w:rsid w:val="00B4342C"/>
    <w:rsid w:val="00B44C6C"/>
    <w:rsid w:val="00B45572"/>
    <w:rsid w:val="00B46033"/>
    <w:rsid w:val="00B462E1"/>
    <w:rsid w:val="00B464DD"/>
    <w:rsid w:val="00B47CB6"/>
    <w:rsid w:val="00B47CE5"/>
    <w:rsid w:val="00B47D41"/>
    <w:rsid w:val="00B50735"/>
    <w:rsid w:val="00B51636"/>
    <w:rsid w:val="00B51B8C"/>
    <w:rsid w:val="00B51F99"/>
    <w:rsid w:val="00B53638"/>
    <w:rsid w:val="00B53C06"/>
    <w:rsid w:val="00B57895"/>
    <w:rsid w:val="00B57CFA"/>
    <w:rsid w:val="00B61413"/>
    <w:rsid w:val="00B61D92"/>
    <w:rsid w:val="00B6204C"/>
    <w:rsid w:val="00B62362"/>
    <w:rsid w:val="00B6299F"/>
    <w:rsid w:val="00B630C9"/>
    <w:rsid w:val="00B64B83"/>
    <w:rsid w:val="00B6667D"/>
    <w:rsid w:val="00B6679F"/>
    <w:rsid w:val="00B67370"/>
    <w:rsid w:val="00B70417"/>
    <w:rsid w:val="00B70421"/>
    <w:rsid w:val="00B7053B"/>
    <w:rsid w:val="00B71C14"/>
    <w:rsid w:val="00B72A13"/>
    <w:rsid w:val="00B7318D"/>
    <w:rsid w:val="00B73A1D"/>
    <w:rsid w:val="00B80191"/>
    <w:rsid w:val="00B80988"/>
    <w:rsid w:val="00B8153C"/>
    <w:rsid w:val="00B818CF"/>
    <w:rsid w:val="00B823C2"/>
    <w:rsid w:val="00B833BE"/>
    <w:rsid w:val="00B86096"/>
    <w:rsid w:val="00B911CA"/>
    <w:rsid w:val="00B9366D"/>
    <w:rsid w:val="00B93F5B"/>
    <w:rsid w:val="00B944BD"/>
    <w:rsid w:val="00B9450D"/>
    <w:rsid w:val="00B94D48"/>
    <w:rsid w:val="00B9647A"/>
    <w:rsid w:val="00B964E5"/>
    <w:rsid w:val="00B969F4"/>
    <w:rsid w:val="00B96FA4"/>
    <w:rsid w:val="00B976F9"/>
    <w:rsid w:val="00BA0EBA"/>
    <w:rsid w:val="00BA1700"/>
    <w:rsid w:val="00BA1AFD"/>
    <w:rsid w:val="00BA5390"/>
    <w:rsid w:val="00BA5A47"/>
    <w:rsid w:val="00BA6D4A"/>
    <w:rsid w:val="00BB0321"/>
    <w:rsid w:val="00BB0998"/>
    <w:rsid w:val="00BB311D"/>
    <w:rsid w:val="00BB62A8"/>
    <w:rsid w:val="00BB6FB5"/>
    <w:rsid w:val="00BC178D"/>
    <w:rsid w:val="00BC1943"/>
    <w:rsid w:val="00BC2C90"/>
    <w:rsid w:val="00BC53D0"/>
    <w:rsid w:val="00BC5467"/>
    <w:rsid w:val="00BC74FA"/>
    <w:rsid w:val="00BC7848"/>
    <w:rsid w:val="00BD0E22"/>
    <w:rsid w:val="00BD2B05"/>
    <w:rsid w:val="00BD471A"/>
    <w:rsid w:val="00BD5726"/>
    <w:rsid w:val="00BD675A"/>
    <w:rsid w:val="00BD67A4"/>
    <w:rsid w:val="00BE050A"/>
    <w:rsid w:val="00BE1A83"/>
    <w:rsid w:val="00BE1DCA"/>
    <w:rsid w:val="00BE20BB"/>
    <w:rsid w:val="00BE454E"/>
    <w:rsid w:val="00BE45A7"/>
    <w:rsid w:val="00BE4BE0"/>
    <w:rsid w:val="00BE6D48"/>
    <w:rsid w:val="00BF199C"/>
    <w:rsid w:val="00BF1B2C"/>
    <w:rsid w:val="00BF40FE"/>
    <w:rsid w:val="00BF6B53"/>
    <w:rsid w:val="00C0013A"/>
    <w:rsid w:val="00C0122B"/>
    <w:rsid w:val="00C02007"/>
    <w:rsid w:val="00C02353"/>
    <w:rsid w:val="00C03C19"/>
    <w:rsid w:val="00C04625"/>
    <w:rsid w:val="00C053F0"/>
    <w:rsid w:val="00C078B0"/>
    <w:rsid w:val="00C07EFE"/>
    <w:rsid w:val="00C10500"/>
    <w:rsid w:val="00C109D2"/>
    <w:rsid w:val="00C11025"/>
    <w:rsid w:val="00C123D5"/>
    <w:rsid w:val="00C1270E"/>
    <w:rsid w:val="00C1333B"/>
    <w:rsid w:val="00C13791"/>
    <w:rsid w:val="00C14A7A"/>
    <w:rsid w:val="00C14DBC"/>
    <w:rsid w:val="00C15213"/>
    <w:rsid w:val="00C217EA"/>
    <w:rsid w:val="00C24EA0"/>
    <w:rsid w:val="00C24F11"/>
    <w:rsid w:val="00C27ADB"/>
    <w:rsid w:val="00C30F20"/>
    <w:rsid w:val="00C315BE"/>
    <w:rsid w:val="00C31B1D"/>
    <w:rsid w:val="00C32AC9"/>
    <w:rsid w:val="00C33CA7"/>
    <w:rsid w:val="00C33EC4"/>
    <w:rsid w:val="00C34000"/>
    <w:rsid w:val="00C34EDE"/>
    <w:rsid w:val="00C354E7"/>
    <w:rsid w:val="00C404BF"/>
    <w:rsid w:val="00C409A5"/>
    <w:rsid w:val="00C41E85"/>
    <w:rsid w:val="00C42207"/>
    <w:rsid w:val="00C42D63"/>
    <w:rsid w:val="00C434C3"/>
    <w:rsid w:val="00C436A0"/>
    <w:rsid w:val="00C43B7C"/>
    <w:rsid w:val="00C43C27"/>
    <w:rsid w:val="00C4531D"/>
    <w:rsid w:val="00C460CD"/>
    <w:rsid w:val="00C510C4"/>
    <w:rsid w:val="00C514E6"/>
    <w:rsid w:val="00C533A7"/>
    <w:rsid w:val="00C54993"/>
    <w:rsid w:val="00C54D58"/>
    <w:rsid w:val="00C550EF"/>
    <w:rsid w:val="00C55667"/>
    <w:rsid w:val="00C55889"/>
    <w:rsid w:val="00C55C4D"/>
    <w:rsid w:val="00C55D2D"/>
    <w:rsid w:val="00C5764D"/>
    <w:rsid w:val="00C57A1E"/>
    <w:rsid w:val="00C603F1"/>
    <w:rsid w:val="00C60AE0"/>
    <w:rsid w:val="00C61203"/>
    <w:rsid w:val="00C634A3"/>
    <w:rsid w:val="00C634C8"/>
    <w:rsid w:val="00C63AC5"/>
    <w:rsid w:val="00C64405"/>
    <w:rsid w:val="00C6548F"/>
    <w:rsid w:val="00C704F4"/>
    <w:rsid w:val="00C715E9"/>
    <w:rsid w:val="00C71D1A"/>
    <w:rsid w:val="00C7361B"/>
    <w:rsid w:val="00C7388A"/>
    <w:rsid w:val="00C74204"/>
    <w:rsid w:val="00C745E5"/>
    <w:rsid w:val="00C763E9"/>
    <w:rsid w:val="00C772BB"/>
    <w:rsid w:val="00C825EE"/>
    <w:rsid w:val="00C832F1"/>
    <w:rsid w:val="00C833E1"/>
    <w:rsid w:val="00C84052"/>
    <w:rsid w:val="00C8466C"/>
    <w:rsid w:val="00C84DD8"/>
    <w:rsid w:val="00C858FC"/>
    <w:rsid w:val="00C85F6E"/>
    <w:rsid w:val="00C86EBB"/>
    <w:rsid w:val="00C8740F"/>
    <w:rsid w:val="00C91DB7"/>
    <w:rsid w:val="00C925A6"/>
    <w:rsid w:val="00C92B40"/>
    <w:rsid w:val="00C92F1A"/>
    <w:rsid w:val="00C9526B"/>
    <w:rsid w:val="00C95F20"/>
    <w:rsid w:val="00C960DE"/>
    <w:rsid w:val="00C962DA"/>
    <w:rsid w:val="00C978A6"/>
    <w:rsid w:val="00C97ACD"/>
    <w:rsid w:val="00CA03B2"/>
    <w:rsid w:val="00CA1119"/>
    <w:rsid w:val="00CA2303"/>
    <w:rsid w:val="00CA26A1"/>
    <w:rsid w:val="00CA2909"/>
    <w:rsid w:val="00CA4190"/>
    <w:rsid w:val="00CA4E88"/>
    <w:rsid w:val="00CA746A"/>
    <w:rsid w:val="00CA76F6"/>
    <w:rsid w:val="00CB02A9"/>
    <w:rsid w:val="00CB0E9D"/>
    <w:rsid w:val="00CB1254"/>
    <w:rsid w:val="00CB2C98"/>
    <w:rsid w:val="00CB3742"/>
    <w:rsid w:val="00CB387D"/>
    <w:rsid w:val="00CB4E29"/>
    <w:rsid w:val="00CB5246"/>
    <w:rsid w:val="00CB6F45"/>
    <w:rsid w:val="00CC04A7"/>
    <w:rsid w:val="00CC0639"/>
    <w:rsid w:val="00CC11F3"/>
    <w:rsid w:val="00CC17EB"/>
    <w:rsid w:val="00CC1D53"/>
    <w:rsid w:val="00CC27E5"/>
    <w:rsid w:val="00CC7B8D"/>
    <w:rsid w:val="00CD0784"/>
    <w:rsid w:val="00CD13DD"/>
    <w:rsid w:val="00CD33C2"/>
    <w:rsid w:val="00CD50B8"/>
    <w:rsid w:val="00CD5887"/>
    <w:rsid w:val="00CD63F2"/>
    <w:rsid w:val="00CD6BE0"/>
    <w:rsid w:val="00CD78D9"/>
    <w:rsid w:val="00CE0558"/>
    <w:rsid w:val="00CE0ACF"/>
    <w:rsid w:val="00CE0EFA"/>
    <w:rsid w:val="00CE207C"/>
    <w:rsid w:val="00CE2107"/>
    <w:rsid w:val="00CE25FF"/>
    <w:rsid w:val="00CE2843"/>
    <w:rsid w:val="00CE2B58"/>
    <w:rsid w:val="00CE2C92"/>
    <w:rsid w:val="00CE498C"/>
    <w:rsid w:val="00CE61CA"/>
    <w:rsid w:val="00CE6537"/>
    <w:rsid w:val="00CE785A"/>
    <w:rsid w:val="00CF01AC"/>
    <w:rsid w:val="00CF2C5D"/>
    <w:rsid w:val="00CF3676"/>
    <w:rsid w:val="00CF37AC"/>
    <w:rsid w:val="00CF3933"/>
    <w:rsid w:val="00CF46AB"/>
    <w:rsid w:val="00CF4A11"/>
    <w:rsid w:val="00CF4A1F"/>
    <w:rsid w:val="00CF4DA4"/>
    <w:rsid w:val="00CF4FDC"/>
    <w:rsid w:val="00CF6A93"/>
    <w:rsid w:val="00D0113A"/>
    <w:rsid w:val="00D022EE"/>
    <w:rsid w:val="00D02921"/>
    <w:rsid w:val="00D03CBD"/>
    <w:rsid w:val="00D054F1"/>
    <w:rsid w:val="00D07924"/>
    <w:rsid w:val="00D11458"/>
    <w:rsid w:val="00D119D9"/>
    <w:rsid w:val="00D129A8"/>
    <w:rsid w:val="00D13F8B"/>
    <w:rsid w:val="00D1464B"/>
    <w:rsid w:val="00D1571C"/>
    <w:rsid w:val="00D1586F"/>
    <w:rsid w:val="00D161B0"/>
    <w:rsid w:val="00D17103"/>
    <w:rsid w:val="00D17237"/>
    <w:rsid w:val="00D17239"/>
    <w:rsid w:val="00D2057D"/>
    <w:rsid w:val="00D20F88"/>
    <w:rsid w:val="00D21238"/>
    <w:rsid w:val="00D24E4C"/>
    <w:rsid w:val="00D252A7"/>
    <w:rsid w:val="00D25602"/>
    <w:rsid w:val="00D25813"/>
    <w:rsid w:val="00D26AAB"/>
    <w:rsid w:val="00D30772"/>
    <w:rsid w:val="00D32B67"/>
    <w:rsid w:val="00D33068"/>
    <w:rsid w:val="00D34C37"/>
    <w:rsid w:val="00D35E3B"/>
    <w:rsid w:val="00D37FD8"/>
    <w:rsid w:val="00D400E2"/>
    <w:rsid w:val="00D408A5"/>
    <w:rsid w:val="00D416B6"/>
    <w:rsid w:val="00D41C6B"/>
    <w:rsid w:val="00D43002"/>
    <w:rsid w:val="00D4478C"/>
    <w:rsid w:val="00D451C1"/>
    <w:rsid w:val="00D45518"/>
    <w:rsid w:val="00D45B3C"/>
    <w:rsid w:val="00D46599"/>
    <w:rsid w:val="00D501E4"/>
    <w:rsid w:val="00D5023A"/>
    <w:rsid w:val="00D509AC"/>
    <w:rsid w:val="00D51538"/>
    <w:rsid w:val="00D517E0"/>
    <w:rsid w:val="00D52142"/>
    <w:rsid w:val="00D52863"/>
    <w:rsid w:val="00D53E87"/>
    <w:rsid w:val="00D54C11"/>
    <w:rsid w:val="00D553EB"/>
    <w:rsid w:val="00D55C0F"/>
    <w:rsid w:val="00D5699C"/>
    <w:rsid w:val="00D56B76"/>
    <w:rsid w:val="00D573D6"/>
    <w:rsid w:val="00D6000A"/>
    <w:rsid w:val="00D604D3"/>
    <w:rsid w:val="00D60EB1"/>
    <w:rsid w:val="00D61EF9"/>
    <w:rsid w:val="00D62455"/>
    <w:rsid w:val="00D63168"/>
    <w:rsid w:val="00D63B7E"/>
    <w:rsid w:val="00D649B7"/>
    <w:rsid w:val="00D64E1E"/>
    <w:rsid w:val="00D66D6B"/>
    <w:rsid w:val="00D6709B"/>
    <w:rsid w:val="00D71662"/>
    <w:rsid w:val="00D71705"/>
    <w:rsid w:val="00D719A5"/>
    <w:rsid w:val="00D71D71"/>
    <w:rsid w:val="00D74EC0"/>
    <w:rsid w:val="00D751C2"/>
    <w:rsid w:val="00D761D1"/>
    <w:rsid w:val="00D766ED"/>
    <w:rsid w:val="00D77D71"/>
    <w:rsid w:val="00D77F6C"/>
    <w:rsid w:val="00D80CCB"/>
    <w:rsid w:val="00D84EDE"/>
    <w:rsid w:val="00D85135"/>
    <w:rsid w:val="00D8521C"/>
    <w:rsid w:val="00D853CD"/>
    <w:rsid w:val="00D86B29"/>
    <w:rsid w:val="00D87585"/>
    <w:rsid w:val="00D90E5F"/>
    <w:rsid w:val="00D918E4"/>
    <w:rsid w:val="00D9235A"/>
    <w:rsid w:val="00D9361D"/>
    <w:rsid w:val="00D95DB8"/>
    <w:rsid w:val="00D97868"/>
    <w:rsid w:val="00D979A4"/>
    <w:rsid w:val="00DA1000"/>
    <w:rsid w:val="00DA24EE"/>
    <w:rsid w:val="00DA30F7"/>
    <w:rsid w:val="00DA32A7"/>
    <w:rsid w:val="00DA4C5C"/>
    <w:rsid w:val="00DA5B85"/>
    <w:rsid w:val="00DA5E13"/>
    <w:rsid w:val="00DA62F5"/>
    <w:rsid w:val="00DA679F"/>
    <w:rsid w:val="00DB2296"/>
    <w:rsid w:val="00DB3E7E"/>
    <w:rsid w:val="00DB4B55"/>
    <w:rsid w:val="00DB5CDC"/>
    <w:rsid w:val="00DB5E37"/>
    <w:rsid w:val="00DB67CC"/>
    <w:rsid w:val="00DB6D4E"/>
    <w:rsid w:val="00DB7118"/>
    <w:rsid w:val="00DB7D8F"/>
    <w:rsid w:val="00DC0727"/>
    <w:rsid w:val="00DC0D82"/>
    <w:rsid w:val="00DC101E"/>
    <w:rsid w:val="00DC151B"/>
    <w:rsid w:val="00DC3F94"/>
    <w:rsid w:val="00DC45BC"/>
    <w:rsid w:val="00DC4AA3"/>
    <w:rsid w:val="00DD07A6"/>
    <w:rsid w:val="00DD07D9"/>
    <w:rsid w:val="00DD089C"/>
    <w:rsid w:val="00DD0A9A"/>
    <w:rsid w:val="00DD0B49"/>
    <w:rsid w:val="00DD44F6"/>
    <w:rsid w:val="00DD4758"/>
    <w:rsid w:val="00DD4E51"/>
    <w:rsid w:val="00DD56DD"/>
    <w:rsid w:val="00DD5F5F"/>
    <w:rsid w:val="00DD79A4"/>
    <w:rsid w:val="00DE05C3"/>
    <w:rsid w:val="00DE0B85"/>
    <w:rsid w:val="00DE3D98"/>
    <w:rsid w:val="00DE6549"/>
    <w:rsid w:val="00DF00D2"/>
    <w:rsid w:val="00DF4FEC"/>
    <w:rsid w:val="00DF5D5E"/>
    <w:rsid w:val="00DF5DCE"/>
    <w:rsid w:val="00DF65F5"/>
    <w:rsid w:val="00DF6AAB"/>
    <w:rsid w:val="00DF74B2"/>
    <w:rsid w:val="00DF7EB5"/>
    <w:rsid w:val="00E00B26"/>
    <w:rsid w:val="00E00C55"/>
    <w:rsid w:val="00E01B7C"/>
    <w:rsid w:val="00E026A4"/>
    <w:rsid w:val="00E02824"/>
    <w:rsid w:val="00E05462"/>
    <w:rsid w:val="00E05820"/>
    <w:rsid w:val="00E06D52"/>
    <w:rsid w:val="00E075BA"/>
    <w:rsid w:val="00E07C39"/>
    <w:rsid w:val="00E10F00"/>
    <w:rsid w:val="00E1177E"/>
    <w:rsid w:val="00E11954"/>
    <w:rsid w:val="00E11F15"/>
    <w:rsid w:val="00E12210"/>
    <w:rsid w:val="00E1352B"/>
    <w:rsid w:val="00E1393E"/>
    <w:rsid w:val="00E13B2A"/>
    <w:rsid w:val="00E152D0"/>
    <w:rsid w:val="00E17559"/>
    <w:rsid w:val="00E20560"/>
    <w:rsid w:val="00E22518"/>
    <w:rsid w:val="00E2337F"/>
    <w:rsid w:val="00E251DE"/>
    <w:rsid w:val="00E258DD"/>
    <w:rsid w:val="00E3065C"/>
    <w:rsid w:val="00E308C4"/>
    <w:rsid w:val="00E3185A"/>
    <w:rsid w:val="00E3209F"/>
    <w:rsid w:val="00E33F4F"/>
    <w:rsid w:val="00E34424"/>
    <w:rsid w:val="00E35DDB"/>
    <w:rsid w:val="00E40138"/>
    <w:rsid w:val="00E423C6"/>
    <w:rsid w:val="00E4277C"/>
    <w:rsid w:val="00E43084"/>
    <w:rsid w:val="00E4311B"/>
    <w:rsid w:val="00E447B6"/>
    <w:rsid w:val="00E4577A"/>
    <w:rsid w:val="00E46B8E"/>
    <w:rsid w:val="00E47A6D"/>
    <w:rsid w:val="00E47FEE"/>
    <w:rsid w:val="00E5068A"/>
    <w:rsid w:val="00E5101A"/>
    <w:rsid w:val="00E53064"/>
    <w:rsid w:val="00E531B7"/>
    <w:rsid w:val="00E5391B"/>
    <w:rsid w:val="00E53978"/>
    <w:rsid w:val="00E54B00"/>
    <w:rsid w:val="00E567A7"/>
    <w:rsid w:val="00E57E6B"/>
    <w:rsid w:val="00E60490"/>
    <w:rsid w:val="00E6208B"/>
    <w:rsid w:val="00E62CFB"/>
    <w:rsid w:val="00E63303"/>
    <w:rsid w:val="00E644B2"/>
    <w:rsid w:val="00E64AC3"/>
    <w:rsid w:val="00E6563A"/>
    <w:rsid w:val="00E65758"/>
    <w:rsid w:val="00E657C2"/>
    <w:rsid w:val="00E661B0"/>
    <w:rsid w:val="00E67394"/>
    <w:rsid w:val="00E7063B"/>
    <w:rsid w:val="00E70955"/>
    <w:rsid w:val="00E72223"/>
    <w:rsid w:val="00E73781"/>
    <w:rsid w:val="00E74F93"/>
    <w:rsid w:val="00E75944"/>
    <w:rsid w:val="00E7604A"/>
    <w:rsid w:val="00E768C7"/>
    <w:rsid w:val="00E76B87"/>
    <w:rsid w:val="00E76CA2"/>
    <w:rsid w:val="00E80256"/>
    <w:rsid w:val="00E80905"/>
    <w:rsid w:val="00E80D16"/>
    <w:rsid w:val="00E81950"/>
    <w:rsid w:val="00E81C45"/>
    <w:rsid w:val="00E81E9B"/>
    <w:rsid w:val="00E82E8C"/>
    <w:rsid w:val="00E844CB"/>
    <w:rsid w:val="00E84A76"/>
    <w:rsid w:val="00E85A4D"/>
    <w:rsid w:val="00E86FDF"/>
    <w:rsid w:val="00E8718B"/>
    <w:rsid w:val="00E909B0"/>
    <w:rsid w:val="00E912CC"/>
    <w:rsid w:val="00E91B76"/>
    <w:rsid w:val="00E91C54"/>
    <w:rsid w:val="00E92B02"/>
    <w:rsid w:val="00E9512F"/>
    <w:rsid w:val="00E960F1"/>
    <w:rsid w:val="00E9640A"/>
    <w:rsid w:val="00EA1698"/>
    <w:rsid w:val="00EA1705"/>
    <w:rsid w:val="00EA3194"/>
    <w:rsid w:val="00EA3A6E"/>
    <w:rsid w:val="00EA4529"/>
    <w:rsid w:val="00EA46E1"/>
    <w:rsid w:val="00EA4AA9"/>
    <w:rsid w:val="00EA4C7A"/>
    <w:rsid w:val="00EA52D8"/>
    <w:rsid w:val="00EA5E75"/>
    <w:rsid w:val="00EA706D"/>
    <w:rsid w:val="00EB0F01"/>
    <w:rsid w:val="00EB131F"/>
    <w:rsid w:val="00EB3135"/>
    <w:rsid w:val="00EB4D94"/>
    <w:rsid w:val="00EB60AB"/>
    <w:rsid w:val="00EB66AD"/>
    <w:rsid w:val="00EB6BF0"/>
    <w:rsid w:val="00EB7BF1"/>
    <w:rsid w:val="00EC0062"/>
    <w:rsid w:val="00EC030C"/>
    <w:rsid w:val="00EC1C2D"/>
    <w:rsid w:val="00EC2D5D"/>
    <w:rsid w:val="00EC3B92"/>
    <w:rsid w:val="00EC44D9"/>
    <w:rsid w:val="00EC4E34"/>
    <w:rsid w:val="00EC52C9"/>
    <w:rsid w:val="00EC7AE1"/>
    <w:rsid w:val="00EC7B45"/>
    <w:rsid w:val="00ED35D6"/>
    <w:rsid w:val="00ED3820"/>
    <w:rsid w:val="00ED3E13"/>
    <w:rsid w:val="00ED44D6"/>
    <w:rsid w:val="00ED4A4D"/>
    <w:rsid w:val="00ED6296"/>
    <w:rsid w:val="00ED64C1"/>
    <w:rsid w:val="00ED7C86"/>
    <w:rsid w:val="00EE0F94"/>
    <w:rsid w:val="00EE1240"/>
    <w:rsid w:val="00EE3BC2"/>
    <w:rsid w:val="00EE5157"/>
    <w:rsid w:val="00EE6DA0"/>
    <w:rsid w:val="00EE7BCD"/>
    <w:rsid w:val="00EF076A"/>
    <w:rsid w:val="00EF0A50"/>
    <w:rsid w:val="00EF0D1E"/>
    <w:rsid w:val="00EF1286"/>
    <w:rsid w:val="00EF13E8"/>
    <w:rsid w:val="00EF1B4B"/>
    <w:rsid w:val="00EF205B"/>
    <w:rsid w:val="00EF2749"/>
    <w:rsid w:val="00EF3E29"/>
    <w:rsid w:val="00EF5765"/>
    <w:rsid w:val="00EF5936"/>
    <w:rsid w:val="00EF5DD4"/>
    <w:rsid w:val="00EF6611"/>
    <w:rsid w:val="00EF79BF"/>
    <w:rsid w:val="00F00047"/>
    <w:rsid w:val="00F01150"/>
    <w:rsid w:val="00F011E4"/>
    <w:rsid w:val="00F012C7"/>
    <w:rsid w:val="00F04C3D"/>
    <w:rsid w:val="00F04D61"/>
    <w:rsid w:val="00F05D13"/>
    <w:rsid w:val="00F06119"/>
    <w:rsid w:val="00F06A3B"/>
    <w:rsid w:val="00F07265"/>
    <w:rsid w:val="00F11B05"/>
    <w:rsid w:val="00F13185"/>
    <w:rsid w:val="00F1458E"/>
    <w:rsid w:val="00F1585E"/>
    <w:rsid w:val="00F17363"/>
    <w:rsid w:val="00F17517"/>
    <w:rsid w:val="00F17CEC"/>
    <w:rsid w:val="00F205C4"/>
    <w:rsid w:val="00F20D92"/>
    <w:rsid w:val="00F21128"/>
    <w:rsid w:val="00F2159E"/>
    <w:rsid w:val="00F21BB6"/>
    <w:rsid w:val="00F2201B"/>
    <w:rsid w:val="00F22F39"/>
    <w:rsid w:val="00F25E8E"/>
    <w:rsid w:val="00F26647"/>
    <w:rsid w:val="00F30B50"/>
    <w:rsid w:val="00F31B5A"/>
    <w:rsid w:val="00F322EE"/>
    <w:rsid w:val="00F323B8"/>
    <w:rsid w:val="00F328F3"/>
    <w:rsid w:val="00F341E9"/>
    <w:rsid w:val="00F345A6"/>
    <w:rsid w:val="00F34AA6"/>
    <w:rsid w:val="00F34FAD"/>
    <w:rsid w:val="00F34FC2"/>
    <w:rsid w:val="00F35236"/>
    <w:rsid w:val="00F3594C"/>
    <w:rsid w:val="00F36976"/>
    <w:rsid w:val="00F37155"/>
    <w:rsid w:val="00F419A4"/>
    <w:rsid w:val="00F42914"/>
    <w:rsid w:val="00F4295D"/>
    <w:rsid w:val="00F438A9"/>
    <w:rsid w:val="00F478FE"/>
    <w:rsid w:val="00F5157D"/>
    <w:rsid w:val="00F526D5"/>
    <w:rsid w:val="00F5376C"/>
    <w:rsid w:val="00F545FE"/>
    <w:rsid w:val="00F54885"/>
    <w:rsid w:val="00F54CF9"/>
    <w:rsid w:val="00F55652"/>
    <w:rsid w:val="00F57DA2"/>
    <w:rsid w:val="00F6062B"/>
    <w:rsid w:val="00F60A0B"/>
    <w:rsid w:val="00F610D5"/>
    <w:rsid w:val="00F613D7"/>
    <w:rsid w:val="00F62D03"/>
    <w:rsid w:val="00F635C3"/>
    <w:rsid w:val="00F6608D"/>
    <w:rsid w:val="00F66E72"/>
    <w:rsid w:val="00F67438"/>
    <w:rsid w:val="00F678C9"/>
    <w:rsid w:val="00F715B2"/>
    <w:rsid w:val="00F737BD"/>
    <w:rsid w:val="00F7587E"/>
    <w:rsid w:val="00F7641A"/>
    <w:rsid w:val="00F76CAE"/>
    <w:rsid w:val="00F76DF3"/>
    <w:rsid w:val="00F8046D"/>
    <w:rsid w:val="00F80645"/>
    <w:rsid w:val="00F840FD"/>
    <w:rsid w:val="00F84392"/>
    <w:rsid w:val="00F84FD3"/>
    <w:rsid w:val="00F8648F"/>
    <w:rsid w:val="00F876EF"/>
    <w:rsid w:val="00F90169"/>
    <w:rsid w:val="00F90670"/>
    <w:rsid w:val="00F923D5"/>
    <w:rsid w:val="00F925D1"/>
    <w:rsid w:val="00F92DAE"/>
    <w:rsid w:val="00F9330F"/>
    <w:rsid w:val="00F93C2E"/>
    <w:rsid w:val="00F949FD"/>
    <w:rsid w:val="00F95448"/>
    <w:rsid w:val="00F960F4"/>
    <w:rsid w:val="00FA3ECC"/>
    <w:rsid w:val="00FA6B8B"/>
    <w:rsid w:val="00FB028C"/>
    <w:rsid w:val="00FB0BFC"/>
    <w:rsid w:val="00FB164D"/>
    <w:rsid w:val="00FB6718"/>
    <w:rsid w:val="00FB7061"/>
    <w:rsid w:val="00FB7C4A"/>
    <w:rsid w:val="00FC01A9"/>
    <w:rsid w:val="00FC0952"/>
    <w:rsid w:val="00FC12AE"/>
    <w:rsid w:val="00FC50A1"/>
    <w:rsid w:val="00FC576B"/>
    <w:rsid w:val="00FD03D3"/>
    <w:rsid w:val="00FD0559"/>
    <w:rsid w:val="00FD1720"/>
    <w:rsid w:val="00FD1D49"/>
    <w:rsid w:val="00FD2202"/>
    <w:rsid w:val="00FD221E"/>
    <w:rsid w:val="00FD329E"/>
    <w:rsid w:val="00FD32B3"/>
    <w:rsid w:val="00FD4A6E"/>
    <w:rsid w:val="00FD51B8"/>
    <w:rsid w:val="00FD5315"/>
    <w:rsid w:val="00FD5FC7"/>
    <w:rsid w:val="00FD75B3"/>
    <w:rsid w:val="00FE0E90"/>
    <w:rsid w:val="00FE169D"/>
    <w:rsid w:val="00FE1BB6"/>
    <w:rsid w:val="00FE33AC"/>
    <w:rsid w:val="00FE35D0"/>
    <w:rsid w:val="00FE4AD8"/>
    <w:rsid w:val="00FF0557"/>
    <w:rsid w:val="00FF08FF"/>
    <w:rsid w:val="00FF0F9E"/>
    <w:rsid w:val="00FF1133"/>
    <w:rsid w:val="00FF3085"/>
    <w:rsid w:val="00FF564D"/>
    <w:rsid w:val="00FF65BA"/>
    <w:rsid w:val="00FF71E8"/>
    <w:rsid w:val="00FF73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val="tr-TR" w:eastAsia="ar-SA"/>
    </w:rPr>
  </w:style>
  <w:style w:type="paragraph" w:styleId="Balk1">
    <w:name w:val="heading 1"/>
    <w:basedOn w:val="Normal"/>
    <w:next w:val="Normal"/>
    <w:link w:val="Balk1Char"/>
    <w:uiPriority w:val="99"/>
    <w:qFormat/>
    <w:rsid w:val="00C60AE0"/>
    <w:pPr>
      <w:keepNext/>
      <w:numPr>
        <w:numId w:val="1"/>
      </w:numPr>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C60AE0"/>
    <w:pPr>
      <w:keepNext/>
      <w:numPr>
        <w:ilvl w:val="1"/>
        <w:numId w:val="1"/>
      </w:numPr>
      <w:spacing w:before="240" w:after="60"/>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C60AE0"/>
    <w:pPr>
      <w:keepNext/>
      <w:numPr>
        <w:ilvl w:val="2"/>
        <w:numId w:val="1"/>
      </w:numPr>
      <w:spacing w:before="240" w:after="60"/>
      <w:outlineLvl w:val="2"/>
    </w:pPr>
    <w:rPr>
      <w:rFonts w:ascii="Arial" w:hAnsi="Arial" w:cs="Arial"/>
      <w:b/>
      <w:bCs/>
      <w:sz w:val="26"/>
      <w:szCs w:val="26"/>
      <w:lang w:val="en-GB"/>
    </w:rPr>
  </w:style>
  <w:style w:type="paragraph" w:styleId="Balk4">
    <w:name w:val="heading 4"/>
    <w:basedOn w:val="Normal"/>
    <w:next w:val="Normal"/>
    <w:link w:val="Balk4Char"/>
    <w:uiPriority w:val="99"/>
    <w:qFormat/>
    <w:locked/>
    <w:rsid w:val="009C0008"/>
    <w:pPr>
      <w:keepNext/>
      <w:keepLines/>
      <w:numPr>
        <w:ilvl w:val="3"/>
        <w:numId w:val="12"/>
      </w:numPr>
      <w:suppressAutoHyphens w:val="0"/>
      <w:spacing w:before="200" w:line="276" w:lineRule="auto"/>
      <w:outlineLvl w:val="3"/>
    </w:pPr>
    <w:rPr>
      <w:rFonts w:ascii="Cambria" w:hAnsi="Cambria" w:cs="Cambria"/>
      <w:b/>
      <w:bCs/>
      <w:i/>
      <w:iCs/>
      <w:color w:val="4F81BD"/>
      <w:sz w:val="22"/>
      <w:szCs w:val="22"/>
      <w:lang w:eastAsia="en-US"/>
    </w:rPr>
  </w:style>
  <w:style w:type="paragraph" w:styleId="Balk5">
    <w:name w:val="heading 5"/>
    <w:basedOn w:val="Normal"/>
    <w:next w:val="Normal"/>
    <w:link w:val="Balk5Char"/>
    <w:uiPriority w:val="99"/>
    <w:qFormat/>
    <w:locked/>
    <w:rsid w:val="009C0008"/>
    <w:pPr>
      <w:keepNext/>
      <w:keepLines/>
      <w:numPr>
        <w:ilvl w:val="4"/>
        <w:numId w:val="12"/>
      </w:numPr>
      <w:suppressAutoHyphens w:val="0"/>
      <w:spacing w:before="200" w:line="276" w:lineRule="auto"/>
      <w:outlineLvl w:val="4"/>
    </w:pPr>
    <w:rPr>
      <w:rFonts w:ascii="Cambria" w:hAnsi="Cambria" w:cs="Cambria"/>
      <w:color w:val="243F60"/>
      <w:sz w:val="22"/>
      <w:szCs w:val="22"/>
      <w:lang w:eastAsia="en-US"/>
    </w:rPr>
  </w:style>
  <w:style w:type="paragraph" w:styleId="Balk6">
    <w:name w:val="heading 6"/>
    <w:basedOn w:val="Normal"/>
    <w:next w:val="Normal"/>
    <w:link w:val="Balk6Char"/>
    <w:uiPriority w:val="99"/>
    <w:qFormat/>
    <w:locked/>
    <w:rsid w:val="009C0008"/>
    <w:pPr>
      <w:keepNext/>
      <w:keepLines/>
      <w:numPr>
        <w:ilvl w:val="5"/>
        <w:numId w:val="12"/>
      </w:numPr>
      <w:suppressAutoHyphens w:val="0"/>
      <w:spacing w:before="200" w:line="276" w:lineRule="auto"/>
      <w:outlineLvl w:val="5"/>
    </w:pPr>
    <w:rPr>
      <w:rFonts w:ascii="Cambria" w:hAnsi="Cambria" w:cs="Cambria"/>
      <w:i/>
      <w:iCs/>
      <w:color w:val="243F60"/>
      <w:sz w:val="22"/>
      <w:szCs w:val="22"/>
      <w:lang w:eastAsia="en-US"/>
    </w:rPr>
  </w:style>
  <w:style w:type="paragraph" w:styleId="Balk7">
    <w:name w:val="heading 7"/>
    <w:basedOn w:val="Normal"/>
    <w:next w:val="Normal"/>
    <w:link w:val="Balk7Char"/>
    <w:uiPriority w:val="99"/>
    <w:qFormat/>
    <w:locked/>
    <w:rsid w:val="009C0008"/>
    <w:pPr>
      <w:keepNext/>
      <w:keepLines/>
      <w:numPr>
        <w:ilvl w:val="6"/>
        <w:numId w:val="12"/>
      </w:numPr>
      <w:suppressAutoHyphens w:val="0"/>
      <w:spacing w:before="200" w:line="276" w:lineRule="auto"/>
      <w:outlineLvl w:val="6"/>
    </w:pPr>
    <w:rPr>
      <w:rFonts w:ascii="Cambria" w:hAnsi="Cambria" w:cs="Cambria"/>
      <w:i/>
      <w:iCs/>
      <w:color w:val="404040"/>
      <w:sz w:val="22"/>
      <w:szCs w:val="22"/>
      <w:lang w:eastAsia="en-US"/>
    </w:rPr>
  </w:style>
  <w:style w:type="paragraph" w:styleId="Balk8">
    <w:name w:val="heading 8"/>
    <w:basedOn w:val="Normal"/>
    <w:next w:val="Normal"/>
    <w:link w:val="Balk8Char"/>
    <w:uiPriority w:val="99"/>
    <w:qFormat/>
    <w:locked/>
    <w:rsid w:val="009C0008"/>
    <w:pPr>
      <w:keepNext/>
      <w:keepLines/>
      <w:numPr>
        <w:ilvl w:val="7"/>
        <w:numId w:val="12"/>
      </w:numPr>
      <w:suppressAutoHyphens w:val="0"/>
      <w:spacing w:before="200" w:line="276" w:lineRule="auto"/>
      <w:outlineLvl w:val="7"/>
    </w:pPr>
    <w:rPr>
      <w:rFonts w:ascii="Cambria" w:hAnsi="Cambria" w:cs="Cambria"/>
      <w:color w:val="404040"/>
      <w:sz w:val="20"/>
      <w:szCs w:val="20"/>
      <w:lang w:eastAsia="en-US"/>
    </w:rPr>
  </w:style>
  <w:style w:type="paragraph" w:styleId="Balk9">
    <w:name w:val="heading 9"/>
    <w:basedOn w:val="Normal"/>
    <w:next w:val="Normal"/>
    <w:link w:val="Balk9Char"/>
    <w:uiPriority w:val="99"/>
    <w:qFormat/>
    <w:locked/>
    <w:rsid w:val="009C0008"/>
    <w:pPr>
      <w:keepNext/>
      <w:keepLines/>
      <w:numPr>
        <w:ilvl w:val="8"/>
        <w:numId w:val="12"/>
      </w:numPr>
      <w:suppressAutoHyphens w:val="0"/>
      <w:spacing w:before="200" w:line="276" w:lineRule="auto"/>
      <w:outlineLvl w:val="8"/>
    </w:pPr>
    <w:rPr>
      <w:rFonts w:ascii="Cambria" w:hAnsi="Cambria" w:cs="Cambria"/>
      <w:i/>
      <w:iCs/>
      <w:color w:val="40404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F2C61"/>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FF2C61"/>
    <w:rPr>
      <w:rFonts w:ascii="Arial" w:hAnsi="Arial" w:cs="Arial"/>
      <w:b/>
      <w:bCs/>
      <w:i/>
      <w:iCs/>
      <w:sz w:val="28"/>
      <w:szCs w:val="28"/>
      <w:lang w:val="en-GB" w:eastAsia="ar-SA"/>
    </w:rPr>
  </w:style>
  <w:style w:type="character" w:customStyle="1" w:styleId="Balk3Char">
    <w:name w:val="Başlık 3 Char"/>
    <w:basedOn w:val="VarsaylanParagrafYazTipi"/>
    <w:link w:val="Balk3"/>
    <w:uiPriority w:val="99"/>
    <w:rsid w:val="00FF2C61"/>
    <w:rPr>
      <w:rFonts w:ascii="Arial" w:hAnsi="Arial" w:cs="Arial"/>
      <w:b/>
      <w:bCs/>
      <w:sz w:val="26"/>
      <w:szCs w:val="26"/>
      <w:lang w:val="en-GB" w:eastAsia="ar-SA"/>
    </w:rPr>
  </w:style>
  <w:style w:type="character" w:customStyle="1" w:styleId="Absatz-Standardschriftart">
    <w:name w:val="Absatz-Standardschriftart"/>
    <w:uiPriority w:val="99"/>
    <w:rsid w:val="00C60AE0"/>
  </w:style>
  <w:style w:type="character" w:customStyle="1" w:styleId="WW-Absatz-Standardschriftart">
    <w:name w:val="WW-Absatz-Standardschriftart"/>
    <w:uiPriority w:val="99"/>
    <w:rsid w:val="00C60AE0"/>
  </w:style>
  <w:style w:type="character" w:customStyle="1" w:styleId="WW-Absatz-Standardschriftart1">
    <w:name w:val="WW-Absatz-Standardschriftart1"/>
    <w:uiPriority w:val="99"/>
    <w:rsid w:val="00C60AE0"/>
  </w:style>
  <w:style w:type="character" w:customStyle="1" w:styleId="WW8Num1z0">
    <w:name w:val="WW8Num1z0"/>
    <w:uiPriority w:val="99"/>
    <w:rsid w:val="00C60AE0"/>
    <w:rPr>
      <w:sz w:val="20"/>
      <w:szCs w:val="20"/>
    </w:rPr>
  </w:style>
  <w:style w:type="character" w:customStyle="1" w:styleId="FootnoteCharacters">
    <w:name w:val="Footnote Characters"/>
    <w:basedOn w:val="VarsaylanParagrafYazTipi"/>
    <w:uiPriority w:val="99"/>
    <w:rsid w:val="00C60AE0"/>
    <w:rPr>
      <w:vertAlign w:val="superscript"/>
    </w:rPr>
  </w:style>
  <w:style w:type="character" w:styleId="Gl">
    <w:name w:val="Strong"/>
    <w:basedOn w:val="VarsaylanParagrafYazTipi"/>
    <w:uiPriority w:val="99"/>
    <w:qFormat/>
    <w:rsid w:val="00C60AE0"/>
    <w:rPr>
      <w:b/>
      <w:bCs/>
    </w:rPr>
  </w:style>
  <w:style w:type="character" w:styleId="Kpr">
    <w:name w:val="Hyperlink"/>
    <w:basedOn w:val="VarsaylanParagrafYazTipi"/>
    <w:uiPriority w:val="99"/>
    <w:rsid w:val="00C60AE0"/>
    <w:rPr>
      <w:color w:val="0000FF"/>
      <w:u w:val="single"/>
    </w:rPr>
  </w:style>
  <w:style w:type="character" w:styleId="DipnotBavurusu">
    <w:name w:val="footnote reference"/>
    <w:basedOn w:val="VarsaylanParagrafYazTipi"/>
    <w:uiPriority w:val="99"/>
    <w:semiHidden/>
    <w:rsid w:val="00C60AE0"/>
    <w:rPr>
      <w:vertAlign w:val="superscript"/>
    </w:rPr>
  </w:style>
  <w:style w:type="character" w:customStyle="1" w:styleId="EndnoteCharacters">
    <w:name w:val="Endnote Characters"/>
    <w:uiPriority w:val="99"/>
    <w:rsid w:val="00C60AE0"/>
    <w:rPr>
      <w:vertAlign w:val="superscript"/>
    </w:rPr>
  </w:style>
  <w:style w:type="character" w:customStyle="1" w:styleId="WW-EndnoteCharacters">
    <w:name w:val="WW-Endnote Characters"/>
    <w:uiPriority w:val="99"/>
    <w:rsid w:val="00C60AE0"/>
  </w:style>
  <w:style w:type="character" w:styleId="SonnotBavurusu">
    <w:name w:val="endnote reference"/>
    <w:basedOn w:val="VarsaylanParagrafYazTipi"/>
    <w:uiPriority w:val="99"/>
    <w:semiHidden/>
    <w:rsid w:val="00C60AE0"/>
    <w:rPr>
      <w:vertAlign w:val="superscript"/>
    </w:rPr>
  </w:style>
  <w:style w:type="paragraph" w:customStyle="1" w:styleId="Heading">
    <w:name w:val="Heading"/>
    <w:basedOn w:val="Normal"/>
    <w:next w:val="GvdeMetni"/>
    <w:uiPriority w:val="99"/>
    <w:rsid w:val="00C60AE0"/>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C60AE0"/>
    <w:pPr>
      <w:spacing w:after="120"/>
    </w:pPr>
  </w:style>
  <w:style w:type="character" w:customStyle="1" w:styleId="GvdeMetniChar">
    <w:name w:val="Gövde Metni Char"/>
    <w:basedOn w:val="VarsaylanParagrafYazTipi"/>
    <w:link w:val="GvdeMetni"/>
    <w:uiPriority w:val="99"/>
    <w:semiHidden/>
    <w:rsid w:val="00FF2C61"/>
    <w:rPr>
      <w:sz w:val="24"/>
      <w:szCs w:val="24"/>
      <w:lang w:eastAsia="ar-SA"/>
    </w:rPr>
  </w:style>
  <w:style w:type="paragraph" w:styleId="Liste">
    <w:name w:val="List"/>
    <w:basedOn w:val="GvdeMetni"/>
    <w:uiPriority w:val="99"/>
    <w:rsid w:val="00C60AE0"/>
  </w:style>
  <w:style w:type="paragraph" w:styleId="ResimYazs">
    <w:name w:val="caption"/>
    <w:basedOn w:val="Normal"/>
    <w:next w:val="Normal"/>
    <w:uiPriority w:val="99"/>
    <w:qFormat/>
    <w:rsid w:val="00C60AE0"/>
    <w:rPr>
      <w:b/>
      <w:bCs/>
      <w:sz w:val="20"/>
      <w:szCs w:val="20"/>
    </w:rPr>
  </w:style>
  <w:style w:type="paragraph" w:customStyle="1" w:styleId="Index">
    <w:name w:val="Index"/>
    <w:basedOn w:val="Normal"/>
    <w:uiPriority w:val="99"/>
    <w:rsid w:val="00C60AE0"/>
    <w:pPr>
      <w:suppressLineNumbers/>
    </w:pPr>
  </w:style>
  <w:style w:type="paragraph" w:styleId="DipnotMetni">
    <w:name w:val="footnote text"/>
    <w:basedOn w:val="Normal"/>
    <w:link w:val="DipnotMetniChar"/>
    <w:uiPriority w:val="99"/>
    <w:semiHidden/>
    <w:rsid w:val="00C60AE0"/>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C60AE0"/>
    <w:pPr>
      <w:tabs>
        <w:tab w:val="center" w:pos="4536"/>
        <w:tab w:val="right" w:pos="9072"/>
      </w:tabs>
    </w:pPr>
  </w:style>
  <w:style w:type="character" w:customStyle="1" w:styleId="stbilgiChar">
    <w:name w:val="Üstbilgi Char"/>
    <w:basedOn w:val="VarsaylanParagrafYazTipi"/>
    <w:link w:val="stbilgi"/>
    <w:uiPriority w:val="99"/>
    <w:rsid w:val="00FF2C61"/>
    <w:rPr>
      <w:sz w:val="24"/>
      <w:szCs w:val="24"/>
      <w:lang w:eastAsia="ar-SA"/>
    </w:rPr>
  </w:style>
  <w:style w:type="paragraph" w:styleId="Altbilgi">
    <w:name w:val="footer"/>
    <w:basedOn w:val="Normal"/>
    <w:link w:val="AltbilgiChar"/>
    <w:uiPriority w:val="99"/>
    <w:rsid w:val="00C60AE0"/>
    <w:pPr>
      <w:tabs>
        <w:tab w:val="center" w:pos="4536"/>
        <w:tab w:val="right" w:pos="9072"/>
      </w:tabs>
    </w:pPr>
  </w:style>
  <w:style w:type="character" w:customStyle="1" w:styleId="AltbilgiChar">
    <w:name w:val="Altbilgi Char"/>
    <w:basedOn w:val="VarsaylanParagrafYazTipi"/>
    <w:link w:val="Altbilgi"/>
    <w:uiPriority w:val="99"/>
    <w:rsid w:val="00FF2C61"/>
    <w:rPr>
      <w:sz w:val="24"/>
      <w:szCs w:val="24"/>
      <w:lang w:eastAsia="ar-SA"/>
    </w:rPr>
  </w:style>
  <w:style w:type="paragraph" w:customStyle="1" w:styleId="Framecontents">
    <w:name w:val="Frame contents"/>
    <w:basedOn w:val="GvdeMetni"/>
    <w:uiPriority w:val="99"/>
    <w:rsid w:val="00C60AE0"/>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rsid w:val="00FF2C61"/>
    <w:rPr>
      <w:sz w:val="0"/>
      <w:szCs w:val="0"/>
      <w:lang w:eastAsia="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VarsaylanParagrafYazTipi"/>
    <w:uiPriority w:val="99"/>
    <w:rsid w:val="001A563C"/>
    <w:rPr>
      <w:lang w:val="tr-TR" w:eastAsia="ar-SA" w:bidi="ar-SA"/>
    </w:rPr>
  </w:style>
  <w:style w:type="paragraph" w:styleId="SonnotMetni">
    <w:name w:val="endnote text"/>
    <w:basedOn w:val="Normal"/>
    <w:link w:val="SonnotMetniChar"/>
    <w:uiPriority w:val="99"/>
    <w:semiHidden/>
    <w:rsid w:val="00072050"/>
    <w:rPr>
      <w:sz w:val="20"/>
      <w:szCs w:val="20"/>
    </w:rPr>
  </w:style>
  <w:style w:type="character" w:customStyle="1" w:styleId="SonnotMetniChar">
    <w:name w:val="Sonnot Metni Char"/>
    <w:basedOn w:val="VarsaylanParagrafYazTipi"/>
    <w:link w:val="SonnotMetni"/>
    <w:uiPriority w:val="99"/>
    <w:locked/>
    <w:rsid w:val="00072050"/>
    <w:rPr>
      <w:lang w:eastAsia="ar-SA" w:bidi="ar-SA"/>
    </w:rPr>
  </w:style>
  <w:style w:type="character" w:customStyle="1" w:styleId="Balk4Char">
    <w:name w:val="Başlık 4 Char"/>
    <w:basedOn w:val="VarsaylanParagrafYazTipi"/>
    <w:link w:val="Balk4"/>
    <w:uiPriority w:val="99"/>
    <w:rsid w:val="009C0008"/>
    <w:rPr>
      <w:rFonts w:ascii="Cambria" w:hAnsi="Cambria" w:cs="Cambria"/>
      <w:b/>
      <w:bCs/>
      <w:i/>
      <w:iCs/>
      <w:color w:val="4F81BD"/>
      <w:sz w:val="22"/>
      <w:szCs w:val="22"/>
      <w:lang w:val="tr-TR"/>
    </w:rPr>
  </w:style>
  <w:style w:type="character" w:customStyle="1" w:styleId="Balk5Char">
    <w:name w:val="Başlık 5 Char"/>
    <w:basedOn w:val="VarsaylanParagrafYazTipi"/>
    <w:link w:val="Balk5"/>
    <w:uiPriority w:val="99"/>
    <w:rsid w:val="009C0008"/>
    <w:rPr>
      <w:rFonts w:ascii="Cambria" w:hAnsi="Cambria" w:cs="Cambria"/>
      <w:color w:val="243F60"/>
      <w:sz w:val="22"/>
      <w:szCs w:val="22"/>
      <w:lang w:val="tr-TR"/>
    </w:rPr>
  </w:style>
  <w:style w:type="character" w:customStyle="1" w:styleId="Balk6Char">
    <w:name w:val="Başlık 6 Char"/>
    <w:basedOn w:val="VarsaylanParagrafYazTipi"/>
    <w:link w:val="Balk6"/>
    <w:uiPriority w:val="99"/>
    <w:rsid w:val="009C0008"/>
    <w:rPr>
      <w:rFonts w:ascii="Cambria" w:hAnsi="Cambria" w:cs="Cambria"/>
      <w:i/>
      <w:iCs/>
      <w:color w:val="243F60"/>
      <w:sz w:val="22"/>
      <w:szCs w:val="22"/>
      <w:lang w:val="tr-TR"/>
    </w:rPr>
  </w:style>
  <w:style w:type="character" w:customStyle="1" w:styleId="Balk7Char">
    <w:name w:val="Başlık 7 Char"/>
    <w:basedOn w:val="VarsaylanParagrafYazTipi"/>
    <w:link w:val="Balk7"/>
    <w:uiPriority w:val="99"/>
    <w:rsid w:val="009C0008"/>
    <w:rPr>
      <w:rFonts w:ascii="Cambria" w:hAnsi="Cambria" w:cs="Cambria"/>
      <w:i/>
      <w:iCs/>
      <w:color w:val="404040"/>
      <w:sz w:val="22"/>
      <w:szCs w:val="22"/>
      <w:lang w:val="tr-TR"/>
    </w:rPr>
  </w:style>
  <w:style w:type="character" w:customStyle="1" w:styleId="Balk8Char">
    <w:name w:val="Başlık 8 Char"/>
    <w:basedOn w:val="VarsaylanParagrafYazTipi"/>
    <w:link w:val="Balk8"/>
    <w:uiPriority w:val="99"/>
    <w:rsid w:val="009C0008"/>
    <w:rPr>
      <w:rFonts w:ascii="Cambria" w:hAnsi="Cambria" w:cs="Cambria"/>
      <w:color w:val="404040"/>
      <w:lang w:val="tr-TR"/>
    </w:rPr>
  </w:style>
  <w:style w:type="character" w:customStyle="1" w:styleId="Balk9Char">
    <w:name w:val="Başlık 9 Char"/>
    <w:basedOn w:val="VarsaylanParagrafYazTipi"/>
    <w:link w:val="Balk9"/>
    <w:uiPriority w:val="99"/>
    <w:rsid w:val="009C0008"/>
    <w:rPr>
      <w:rFonts w:ascii="Cambria" w:hAnsi="Cambria" w:cs="Cambria"/>
      <w:i/>
      <w:iCs/>
      <w:color w:val="404040"/>
      <w:lang w:val="tr-TR"/>
    </w:rPr>
  </w:style>
  <w:style w:type="character" w:customStyle="1" w:styleId="flagicon">
    <w:name w:val="flagicon"/>
    <w:basedOn w:val="VarsaylanParagrafYazTipi"/>
    <w:uiPriority w:val="99"/>
    <w:rsid w:val="009C0008"/>
  </w:style>
  <w:style w:type="character" w:customStyle="1" w:styleId="apple-converted-space">
    <w:name w:val="apple-converted-space"/>
    <w:basedOn w:val="VarsaylanParagrafYazTipi"/>
    <w:uiPriority w:val="99"/>
    <w:rsid w:val="009C0008"/>
  </w:style>
  <w:style w:type="character" w:customStyle="1" w:styleId="citation">
    <w:name w:val="citation"/>
    <w:basedOn w:val="VarsaylanParagrafYazTipi"/>
    <w:uiPriority w:val="99"/>
    <w:rsid w:val="009C0008"/>
  </w:style>
  <w:style w:type="paragraph" w:styleId="ListeParagraf">
    <w:name w:val="List Paragraph"/>
    <w:basedOn w:val="Normal"/>
    <w:uiPriority w:val="99"/>
    <w:qFormat/>
    <w:rsid w:val="009C0008"/>
    <w:pPr>
      <w:suppressAutoHyphens w:val="0"/>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rsid w:val="009C0008"/>
    <w:pPr>
      <w:suppressAutoHyphens w:val="0"/>
      <w:spacing w:before="100" w:beforeAutospacing="1" w:after="100" w:afterAutospacing="1"/>
    </w:pPr>
    <w:rPr>
      <w:lang w:eastAsia="tr-TR"/>
    </w:rPr>
  </w:style>
  <w:style w:type="character" w:styleId="HTMLCite">
    <w:name w:val="HTML Cite"/>
    <w:basedOn w:val="VarsaylanParagrafYazTipi"/>
    <w:uiPriority w:val="99"/>
    <w:semiHidden/>
    <w:rsid w:val="009C0008"/>
    <w:rPr>
      <w:i/>
      <w:iCs/>
    </w:rPr>
  </w:style>
  <w:style w:type="paragraph" w:styleId="HTMLncedenBiimlendirilmi">
    <w:name w:val="HTML Preformatted"/>
    <w:basedOn w:val="Normal"/>
    <w:link w:val="HTMLncedenBiimlendirilmiChar"/>
    <w:uiPriority w:val="99"/>
    <w:semiHidden/>
    <w:rsid w:val="009C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9C0008"/>
    <w:rPr>
      <w:rFonts w:ascii="Courier New" w:hAnsi="Courier New" w:cs="Courier New"/>
      <w:lang w:val="en-GB" w:eastAsia="en-GB"/>
    </w:rPr>
  </w:style>
  <w:style w:type="paragraph" w:customStyle="1" w:styleId="Default">
    <w:name w:val="Default"/>
    <w:uiPriority w:val="99"/>
    <w:rsid w:val="009C0008"/>
    <w:pPr>
      <w:autoSpaceDE w:val="0"/>
      <w:autoSpaceDN w:val="0"/>
      <w:adjustRightInd w:val="0"/>
    </w:pPr>
    <w:rPr>
      <w:rFonts w:ascii="Arial" w:eastAsia="Calibri" w:hAnsi="Arial" w:cs="Arial"/>
      <w:color w:val="000000"/>
      <w:sz w:val="24"/>
      <w:szCs w:val="24"/>
      <w:lang w:val="tr-TR"/>
    </w:rPr>
  </w:style>
  <w:style w:type="paragraph" w:customStyle="1" w:styleId="MTDisplayEquation">
    <w:name w:val="MTDisplayEquation"/>
    <w:basedOn w:val="Normal"/>
    <w:next w:val="Normal"/>
    <w:link w:val="MTDisplayEquationChar"/>
    <w:rsid w:val="009C0008"/>
    <w:pPr>
      <w:tabs>
        <w:tab w:val="center" w:pos="4540"/>
        <w:tab w:val="right" w:pos="9080"/>
      </w:tabs>
      <w:suppressAutoHyphens w:val="0"/>
      <w:autoSpaceDE w:val="0"/>
      <w:autoSpaceDN w:val="0"/>
      <w:adjustRightInd w:val="0"/>
      <w:jc w:val="both"/>
    </w:pPr>
    <w:rPr>
      <w:rFonts w:ascii="Calibri" w:eastAsia="Calibri" w:hAnsi="Calibri" w:cs="Calibri"/>
      <w:sz w:val="22"/>
      <w:szCs w:val="22"/>
      <w:lang w:eastAsia="en-US"/>
    </w:rPr>
  </w:style>
  <w:style w:type="character" w:customStyle="1" w:styleId="MTDisplayEquationChar">
    <w:name w:val="MTDisplayEquation Char"/>
    <w:basedOn w:val="VarsaylanParagrafYazTipi"/>
    <w:link w:val="MTDisplayEquation"/>
    <w:rsid w:val="009C0008"/>
    <w:rPr>
      <w:rFonts w:ascii="Calibri" w:eastAsia="Calibri" w:hAnsi="Calibri" w:cs="Calibri"/>
      <w:sz w:val="22"/>
      <w:szCs w:val="22"/>
      <w:lang w:val="tr-TR"/>
    </w:rPr>
  </w:style>
</w:styles>
</file>

<file path=word/webSettings.xml><?xml version="1.0" encoding="utf-8"?>
<w:webSettings xmlns:r="http://schemas.openxmlformats.org/officeDocument/2006/relationships" xmlns:w="http://schemas.openxmlformats.org/wordprocessingml/2006/main">
  <w:divs>
    <w:div w:id="1271275269">
      <w:marLeft w:val="0"/>
      <w:marRight w:val="0"/>
      <w:marTop w:val="0"/>
      <w:marBottom w:val="0"/>
      <w:divBdr>
        <w:top w:val="none" w:sz="0" w:space="0" w:color="auto"/>
        <w:left w:val="none" w:sz="0" w:space="0" w:color="auto"/>
        <w:bottom w:val="none" w:sz="0" w:space="0" w:color="auto"/>
        <w:right w:val="none" w:sz="0" w:space="0" w:color="auto"/>
      </w:divBdr>
    </w:div>
    <w:div w:id="1271275270">
      <w:marLeft w:val="0"/>
      <w:marRight w:val="0"/>
      <w:marTop w:val="0"/>
      <w:marBottom w:val="0"/>
      <w:divBdr>
        <w:top w:val="none" w:sz="0" w:space="0" w:color="auto"/>
        <w:left w:val="none" w:sz="0" w:space="0" w:color="auto"/>
        <w:bottom w:val="none" w:sz="0" w:space="0" w:color="auto"/>
        <w:right w:val="none" w:sz="0" w:space="0" w:color="auto"/>
      </w:divBdr>
    </w:div>
    <w:div w:id="1271275271">
      <w:marLeft w:val="0"/>
      <w:marRight w:val="0"/>
      <w:marTop w:val="0"/>
      <w:marBottom w:val="0"/>
      <w:divBdr>
        <w:top w:val="none" w:sz="0" w:space="0" w:color="auto"/>
        <w:left w:val="none" w:sz="0" w:space="0" w:color="auto"/>
        <w:bottom w:val="none" w:sz="0" w:space="0" w:color="auto"/>
        <w:right w:val="none" w:sz="0" w:space="0" w:color="auto"/>
      </w:divBdr>
    </w:div>
    <w:div w:id="1271275272">
      <w:marLeft w:val="0"/>
      <w:marRight w:val="0"/>
      <w:marTop w:val="0"/>
      <w:marBottom w:val="0"/>
      <w:divBdr>
        <w:top w:val="none" w:sz="0" w:space="0" w:color="auto"/>
        <w:left w:val="none" w:sz="0" w:space="0" w:color="auto"/>
        <w:bottom w:val="none" w:sz="0" w:space="0" w:color="auto"/>
        <w:right w:val="none" w:sz="0" w:space="0" w:color="auto"/>
      </w:divBdr>
    </w:div>
    <w:div w:id="1271275273">
      <w:marLeft w:val="0"/>
      <w:marRight w:val="0"/>
      <w:marTop w:val="0"/>
      <w:marBottom w:val="0"/>
      <w:divBdr>
        <w:top w:val="none" w:sz="0" w:space="0" w:color="auto"/>
        <w:left w:val="none" w:sz="0" w:space="0" w:color="auto"/>
        <w:bottom w:val="none" w:sz="0" w:space="0" w:color="auto"/>
        <w:right w:val="none" w:sz="0" w:space="0" w:color="auto"/>
      </w:divBdr>
    </w:div>
    <w:div w:id="1271275274">
      <w:marLeft w:val="0"/>
      <w:marRight w:val="0"/>
      <w:marTop w:val="0"/>
      <w:marBottom w:val="0"/>
      <w:divBdr>
        <w:top w:val="none" w:sz="0" w:space="0" w:color="auto"/>
        <w:left w:val="none" w:sz="0" w:space="0" w:color="auto"/>
        <w:bottom w:val="none" w:sz="0" w:space="0" w:color="auto"/>
        <w:right w:val="none" w:sz="0" w:space="0" w:color="auto"/>
      </w:divBdr>
    </w:div>
    <w:div w:id="1271275275">
      <w:marLeft w:val="0"/>
      <w:marRight w:val="0"/>
      <w:marTop w:val="0"/>
      <w:marBottom w:val="0"/>
      <w:divBdr>
        <w:top w:val="none" w:sz="0" w:space="0" w:color="auto"/>
        <w:left w:val="none" w:sz="0" w:space="0" w:color="auto"/>
        <w:bottom w:val="none" w:sz="0" w:space="0" w:color="auto"/>
        <w:right w:val="none" w:sz="0" w:space="0" w:color="auto"/>
      </w:divBdr>
    </w:div>
    <w:div w:id="1271275276">
      <w:marLeft w:val="0"/>
      <w:marRight w:val="0"/>
      <w:marTop w:val="0"/>
      <w:marBottom w:val="0"/>
      <w:divBdr>
        <w:top w:val="none" w:sz="0" w:space="0" w:color="auto"/>
        <w:left w:val="none" w:sz="0" w:space="0" w:color="auto"/>
        <w:bottom w:val="none" w:sz="0" w:space="0" w:color="auto"/>
        <w:right w:val="none" w:sz="0" w:space="0" w:color="auto"/>
      </w:divBdr>
    </w:div>
    <w:div w:id="1271275277">
      <w:marLeft w:val="0"/>
      <w:marRight w:val="0"/>
      <w:marTop w:val="0"/>
      <w:marBottom w:val="0"/>
      <w:divBdr>
        <w:top w:val="none" w:sz="0" w:space="0" w:color="auto"/>
        <w:left w:val="none" w:sz="0" w:space="0" w:color="auto"/>
        <w:bottom w:val="none" w:sz="0" w:space="0" w:color="auto"/>
        <w:right w:val="none" w:sz="0" w:space="0" w:color="auto"/>
      </w:divBdr>
    </w:div>
    <w:div w:id="1271275278">
      <w:marLeft w:val="0"/>
      <w:marRight w:val="0"/>
      <w:marTop w:val="0"/>
      <w:marBottom w:val="0"/>
      <w:divBdr>
        <w:top w:val="none" w:sz="0" w:space="0" w:color="auto"/>
        <w:left w:val="none" w:sz="0" w:space="0" w:color="auto"/>
        <w:bottom w:val="none" w:sz="0" w:space="0" w:color="auto"/>
        <w:right w:val="none" w:sz="0" w:space="0" w:color="auto"/>
      </w:divBdr>
    </w:div>
    <w:div w:id="1271275279">
      <w:marLeft w:val="0"/>
      <w:marRight w:val="0"/>
      <w:marTop w:val="0"/>
      <w:marBottom w:val="0"/>
      <w:divBdr>
        <w:top w:val="none" w:sz="0" w:space="0" w:color="auto"/>
        <w:left w:val="none" w:sz="0" w:space="0" w:color="auto"/>
        <w:bottom w:val="none" w:sz="0" w:space="0" w:color="auto"/>
        <w:right w:val="none" w:sz="0" w:space="0" w:color="auto"/>
      </w:divBdr>
    </w:div>
    <w:div w:id="1271275280">
      <w:marLeft w:val="0"/>
      <w:marRight w:val="0"/>
      <w:marTop w:val="0"/>
      <w:marBottom w:val="0"/>
      <w:divBdr>
        <w:top w:val="none" w:sz="0" w:space="0" w:color="auto"/>
        <w:left w:val="none" w:sz="0" w:space="0" w:color="auto"/>
        <w:bottom w:val="none" w:sz="0" w:space="0" w:color="auto"/>
        <w:right w:val="none" w:sz="0" w:space="0" w:color="auto"/>
      </w:divBdr>
    </w:div>
    <w:div w:id="1271275281">
      <w:marLeft w:val="0"/>
      <w:marRight w:val="0"/>
      <w:marTop w:val="0"/>
      <w:marBottom w:val="0"/>
      <w:divBdr>
        <w:top w:val="none" w:sz="0" w:space="0" w:color="auto"/>
        <w:left w:val="none" w:sz="0" w:space="0" w:color="auto"/>
        <w:bottom w:val="none" w:sz="0" w:space="0" w:color="auto"/>
        <w:right w:val="none" w:sz="0" w:space="0" w:color="auto"/>
      </w:divBdr>
    </w:div>
    <w:div w:id="1271275282">
      <w:marLeft w:val="0"/>
      <w:marRight w:val="0"/>
      <w:marTop w:val="0"/>
      <w:marBottom w:val="0"/>
      <w:divBdr>
        <w:top w:val="none" w:sz="0" w:space="0" w:color="auto"/>
        <w:left w:val="none" w:sz="0" w:space="0" w:color="auto"/>
        <w:bottom w:val="none" w:sz="0" w:space="0" w:color="auto"/>
        <w:right w:val="none" w:sz="0" w:space="0" w:color="auto"/>
      </w:divBdr>
    </w:div>
    <w:div w:id="1271275283">
      <w:marLeft w:val="0"/>
      <w:marRight w:val="0"/>
      <w:marTop w:val="0"/>
      <w:marBottom w:val="0"/>
      <w:divBdr>
        <w:top w:val="none" w:sz="0" w:space="0" w:color="auto"/>
        <w:left w:val="none" w:sz="0" w:space="0" w:color="auto"/>
        <w:bottom w:val="none" w:sz="0" w:space="0" w:color="auto"/>
        <w:right w:val="none" w:sz="0" w:space="0" w:color="auto"/>
      </w:divBdr>
    </w:div>
    <w:div w:id="1271275284">
      <w:marLeft w:val="0"/>
      <w:marRight w:val="0"/>
      <w:marTop w:val="0"/>
      <w:marBottom w:val="0"/>
      <w:divBdr>
        <w:top w:val="none" w:sz="0" w:space="0" w:color="auto"/>
        <w:left w:val="none" w:sz="0" w:space="0" w:color="auto"/>
        <w:bottom w:val="none" w:sz="0" w:space="0" w:color="auto"/>
        <w:right w:val="none" w:sz="0" w:space="0" w:color="auto"/>
      </w:divBdr>
    </w:div>
    <w:div w:id="1271275285">
      <w:marLeft w:val="0"/>
      <w:marRight w:val="0"/>
      <w:marTop w:val="0"/>
      <w:marBottom w:val="0"/>
      <w:divBdr>
        <w:top w:val="none" w:sz="0" w:space="0" w:color="auto"/>
        <w:left w:val="none" w:sz="0" w:space="0" w:color="auto"/>
        <w:bottom w:val="none" w:sz="0" w:space="0" w:color="auto"/>
        <w:right w:val="none" w:sz="0" w:space="0" w:color="auto"/>
      </w:divBdr>
    </w:div>
    <w:div w:id="1271275286">
      <w:marLeft w:val="0"/>
      <w:marRight w:val="0"/>
      <w:marTop w:val="0"/>
      <w:marBottom w:val="0"/>
      <w:divBdr>
        <w:top w:val="none" w:sz="0" w:space="0" w:color="auto"/>
        <w:left w:val="none" w:sz="0" w:space="0" w:color="auto"/>
        <w:bottom w:val="none" w:sz="0" w:space="0" w:color="auto"/>
        <w:right w:val="none" w:sz="0" w:space="0" w:color="auto"/>
      </w:divBdr>
    </w:div>
    <w:div w:id="1271275287">
      <w:marLeft w:val="0"/>
      <w:marRight w:val="0"/>
      <w:marTop w:val="0"/>
      <w:marBottom w:val="0"/>
      <w:divBdr>
        <w:top w:val="none" w:sz="0" w:space="0" w:color="auto"/>
        <w:left w:val="none" w:sz="0" w:space="0" w:color="auto"/>
        <w:bottom w:val="none" w:sz="0" w:space="0" w:color="auto"/>
        <w:right w:val="none" w:sz="0" w:space="0" w:color="auto"/>
      </w:divBdr>
    </w:div>
    <w:div w:id="1271275288">
      <w:marLeft w:val="0"/>
      <w:marRight w:val="0"/>
      <w:marTop w:val="0"/>
      <w:marBottom w:val="0"/>
      <w:divBdr>
        <w:top w:val="none" w:sz="0" w:space="0" w:color="auto"/>
        <w:left w:val="none" w:sz="0" w:space="0" w:color="auto"/>
        <w:bottom w:val="none" w:sz="0" w:space="0" w:color="auto"/>
        <w:right w:val="none" w:sz="0" w:space="0" w:color="auto"/>
      </w:divBdr>
    </w:div>
    <w:div w:id="1271275289">
      <w:marLeft w:val="0"/>
      <w:marRight w:val="0"/>
      <w:marTop w:val="0"/>
      <w:marBottom w:val="0"/>
      <w:divBdr>
        <w:top w:val="none" w:sz="0" w:space="0" w:color="auto"/>
        <w:left w:val="none" w:sz="0" w:space="0" w:color="auto"/>
        <w:bottom w:val="none" w:sz="0" w:space="0" w:color="auto"/>
        <w:right w:val="none" w:sz="0" w:space="0" w:color="auto"/>
      </w:divBdr>
    </w:div>
    <w:div w:id="1271275290">
      <w:marLeft w:val="0"/>
      <w:marRight w:val="0"/>
      <w:marTop w:val="0"/>
      <w:marBottom w:val="0"/>
      <w:divBdr>
        <w:top w:val="none" w:sz="0" w:space="0" w:color="auto"/>
        <w:left w:val="none" w:sz="0" w:space="0" w:color="auto"/>
        <w:bottom w:val="none" w:sz="0" w:space="0" w:color="auto"/>
        <w:right w:val="none" w:sz="0" w:space="0" w:color="auto"/>
      </w:divBdr>
    </w:div>
    <w:div w:id="1271275291">
      <w:marLeft w:val="0"/>
      <w:marRight w:val="0"/>
      <w:marTop w:val="0"/>
      <w:marBottom w:val="0"/>
      <w:divBdr>
        <w:top w:val="none" w:sz="0" w:space="0" w:color="auto"/>
        <w:left w:val="none" w:sz="0" w:space="0" w:color="auto"/>
        <w:bottom w:val="none" w:sz="0" w:space="0" w:color="auto"/>
        <w:right w:val="none" w:sz="0" w:space="0" w:color="auto"/>
      </w:divBdr>
    </w:div>
    <w:div w:id="1271275292">
      <w:marLeft w:val="0"/>
      <w:marRight w:val="0"/>
      <w:marTop w:val="0"/>
      <w:marBottom w:val="0"/>
      <w:divBdr>
        <w:top w:val="none" w:sz="0" w:space="0" w:color="auto"/>
        <w:left w:val="none" w:sz="0" w:space="0" w:color="auto"/>
        <w:bottom w:val="none" w:sz="0" w:space="0" w:color="auto"/>
        <w:right w:val="none" w:sz="0" w:space="0" w:color="auto"/>
      </w:divBdr>
    </w:div>
    <w:div w:id="1271275293">
      <w:marLeft w:val="0"/>
      <w:marRight w:val="0"/>
      <w:marTop w:val="0"/>
      <w:marBottom w:val="0"/>
      <w:divBdr>
        <w:top w:val="none" w:sz="0" w:space="0" w:color="auto"/>
        <w:left w:val="none" w:sz="0" w:space="0" w:color="auto"/>
        <w:bottom w:val="none" w:sz="0" w:space="0" w:color="auto"/>
        <w:right w:val="none" w:sz="0" w:space="0" w:color="auto"/>
      </w:divBdr>
    </w:div>
    <w:div w:id="1271275294">
      <w:marLeft w:val="0"/>
      <w:marRight w:val="0"/>
      <w:marTop w:val="0"/>
      <w:marBottom w:val="0"/>
      <w:divBdr>
        <w:top w:val="none" w:sz="0" w:space="0" w:color="auto"/>
        <w:left w:val="none" w:sz="0" w:space="0" w:color="auto"/>
        <w:bottom w:val="none" w:sz="0" w:space="0" w:color="auto"/>
        <w:right w:val="none" w:sz="0" w:space="0" w:color="auto"/>
      </w:divBdr>
    </w:div>
    <w:div w:id="1271275295">
      <w:marLeft w:val="0"/>
      <w:marRight w:val="0"/>
      <w:marTop w:val="0"/>
      <w:marBottom w:val="0"/>
      <w:divBdr>
        <w:top w:val="none" w:sz="0" w:space="0" w:color="auto"/>
        <w:left w:val="none" w:sz="0" w:space="0" w:color="auto"/>
        <w:bottom w:val="none" w:sz="0" w:space="0" w:color="auto"/>
        <w:right w:val="none" w:sz="0" w:space="0" w:color="auto"/>
      </w:divBdr>
    </w:div>
    <w:div w:id="1271275296">
      <w:marLeft w:val="0"/>
      <w:marRight w:val="0"/>
      <w:marTop w:val="0"/>
      <w:marBottom w:val="0"/>
      <w:divBdr>
        <w:top w:val="none" w:sz="0" w:space="0" w:color="auto"/>
        <w:left w:val="none" w:sz="0" w:space="0" w:color="auto"/>
        <w:bottom w:val="none" w:sz="0" w:space="0" w:color="auto"/>
        <w:right w:val="none" w:sz="0" w:space="0" w:color="auto"/>
      </w:divBdr>
    </w:div>
    <w:div w:id="1271275297">
      <w:marLeft w:val="0"/>
      <w:marRight w:val="0"/>
      <w:marTop w:val="0"/>
      <w:marBottom w:val="0"/>
      <w:divBdr>
        <w:top w:val="none" w:sz="0" w:space="0" w:color="auto"/>
        <w:left w:val="none" w:sz="0" w:space="0" w:color="auto"/>
        <w:bottom w:val="none" w:sz="0" w:space="0" w:color="auto"/>
        <w:right w:val="none" w:sz="0" w:space="0" w:color="auto"/>
      </w:divBdr>
    </w:div>
    <w:div w:id="1271275298">
      <w:marLeft w:val="0"/>
      <w:marRight w:val="0"/>
      <w:marTop w:val="0"/>
      <w:marBottom w:val="0"/>
      <w:divBdr>
        <w:top w:val="none" w:sz="0" w:space="0" w:color="auto"/>
        <w:left w:val="none" w:sz="0" w:space="0" w:color="auto"/>
        <w:bottom w:val="none" w:sz="0" w:space="0" w:color="auto"/>
        <w:right w:val="none" w:sz="0" w:space="0" w:color="auto"/>
      </w:divBdr>
    </w:div>
    <w:div w:id="1271275299">
      <w:marLeft w:val="0"/>
      <w:marRight w:val="0"/>
      <w:marTop w:val="0"/>
      <w:marBottom w:val="0"/>
      <w:divBdr>
        <w:top w:val="none" w:sz="0" w:space="0" w:color="auto"/>
        <w:left w:val="none" w:sz="0" w:space="0" w:color="auto"/>
        <w:bottom w:val="none" w:sz="0" w:space="0" w:color="auto"/>
        <w:right w:val="none" w:sz="0" w:space="0" w:color="auto"/>
      </w:divBdr>
    </w:div>
    <w:div w:id="1271275300">
      <w:marLeft w:val="0"/>
      <w:marRight w:val="0"/>
      <w:marTop w:val="0"/>
      <w:marBottom w:val="0"/>
      <w:divBdr>
        <w:top w:val="none" w:sz="0" w:space="0" w:color="auto"/>
        <w:left w:val="none" w:sz="0" w:space="0" w:color="auto"/>
        <w:bottom w:val="none" w:sz="0" w:space="0" w:color="auto"/>
        <w:right w:val="none" w:sz="0" w:space="0" w:color="auto"/>
      </w:divBdr>
    </w:div>
    <w:div w:id="1271275301">
      <w:marLeft w:val="0"/>
      <w:marRight w:val="0"/>
      <w:marTop w:val="0"/>
      <w:marBottom w:val="0"/>
      <w:divBdr>
        <w:top w:val="none" w:sz="0" w:space="0" w:color="auto"/>
        <w:left w:val="none" w:sz="0" w:space="0" w:color="auto"/>
        <w:bottom w:val="none" w:sz="0" w:space="0" w:color="auto"/>
        <w:right w:val="none" w:sz="0" w:space="0" w:color="auto"/>
      </w:divBdr>
    </w:div>
    <w:div w:id="1271275302">
      <w:marLeft w:val="0"/>
      <w:marRight w:val="0"/>
      <w:marTop w:val="0"/>
      <w:marBottom w:val="0"/>
      <w:divBdr>
        <w:top w:val="none" w:sz="0" w:space="0" w:color="auto"/>
        <w:left w:val="none" w:sz="0" w:space="0" w:color="auto"/>
        <w:bottom w:val="none" w:sz="0" w:space="0" w:color="auto"/>
        <w:right w:val="none" w:sz="0" w:space="0" w:color="auto"/>
      </w:divBdr>
    </w:div>
    <w:div w:id="1271275303">
      <w:marLeft w:val="0"/>
      <w:marRight w:val="0"/>
      <w:marTop w:val="0"/>
      <w:marBottom w:val="0"/>
      <w:divBdr>
        <w:top w:val="none" w:sz="0" w:space="0" w:color="auto"/>
        <w:left w:val="none" w:sz="0" w:space="0" w:color="auto"/>
        <w:bottom w:val="none" w:sz="0" w:space="0" w:color="auto"/>
        <w:right w:val="none" w:sz="0" w:space="0" w:color="auto"/>
      </w:divBdr>
    </w:div>
    <w:div w:id="1271275304">
      <w:marLeft w:val="0"/>
      <w:marRight w:val="0"/>
      <w:marTop w:val="0"/>
      <w:marBottom w:val="0"/>
      <w:divBdr>
        <w:top w:val="none" w:sz="0" w:space="0" w:color="auto"/>
        <w:left w:val="none" w:sz="0" w:space="0" w:color="auto"/>
        <w:bottom w:val="none" w:sz="0" w:space="0" w:color="auto"/>
        <w:right w:val="none" w:sz="0" w:space="0" w:color="auto"/>
      </w:divBdr>
    </w:div>
    <w:div w:id="1271275305">
      <w:marLeft w:val="0"/>
      <w:marRight w:val="0"/>
      <w:marTop w:val="0"/>
      <w:marBottom w:val="0"/>
      <w:divBdr>
        <w:top w:val="none" w:sz="0" w:space="0" w:color="auto"/>
        <w:left w:val="none" w:sz="0" w:space="0" w:color="auto"/>
        <w:bottom w:val="none" w:sz="0" w:space="0" w:color="auto"/>
        <w:right w:val="none" w:sz="0" w:space="0" w:color="auto"/>
      </w:divBdr>
    </w:div>
    <w:div w:id="1271275306">
      <w:marLeft w:val="0"/>
      <w:marRight w:val="0"/>
      <w:marTop w:val="0"/>
      <w:marBottom w:val="0"/>
      <w:divBdr>
        <w:top w:val="none" w:sz="0" w:space="0" w:color="auto"/>
        <w:left w:val="none" w:sz="0" w:space="0" w:color="auto"/>
        <w:bottom w:val="none" w:sz="0" w:space="0" w:color="auto"/>
        <w:right w:val="none" w:sz="0" w:space="0" w:color="auto"/>
      </w:divBdr>
    </w:div>
    <w:div w:id="1271275307">
      <w:marLeft w:val="0"/>
      <w:marRight w:val="0"/>
      <w:marTop w:val="0"/>
      <w:marBottom w:val="0"/>
      <w:divBdr>
        <w:top w:val="none" w:sz="0" w:space="0" w:color="auto"/>
        <w:left w:val="none" w:sz="0" w:space="0" w:color="auto"/>
        <w:bottom w:val="none" w:sz="0" w:space="0" w:color="auto"/>
        <w:right w:val="none" w:sz="0" w:space="0" w:color="auto"/>
      </w:divBdr>
    </w:div>
    <w:div w:id="1271275308">
      <w:marLeft w:val="0"/>
      <w:marRight w:val="0"/>
      <w:marTop w:val="0"/>
      <w:marBottom w:val="0"/>
      <w:divBdr>
        <w:top w:val="none" w:sz="0" w:space="0" w:color="auto"/>
        <w:left w:val="none" w:sz="0" w:space="0" w:color="auto"/>
        <w:bottom w:val="none" w:sz="0" w:space="0" w:color="auto"/>
        <w:right w:val="none" w:sz="0" w:space="0" w:color="auto"/>
      </w:divBdr>
    </w:div>
    <w:div w:id="1271275309">
      <w:marLeft w:val="0"/>
      <w:marRight w:val="0"/>
      <w:marTop w:val="0"/>
      <w:marBottom w:val="0"/>
      <w:divBdr>
        <w:top w:val="none" w:sz="0" w:space="0" w:color="auto"/>
        <w:left w:val="none" w:sz="0" w:space="0" w:color="auto"/>
        <w:bottom w:val="none" w:sz="0" w:space="0" w:color="auto"/>
        <w:right w:val="none" w:sz="0" w:space="0" w:color="auto"/>
      </w:divBdr>
    </w:div>
    <w:div w:id="1271275310">
      <w:marLeft w:val="0"/>
      <w:marRight w:val="0"/>
      <w:marTop w:val="0"/>
      <w:marBottom w:val="0"/>
      <w:divBdr>
        <w:top w:val="none" w:sz="0" w:space="0" w:color="auto"/>
        <w:left w:val="none" w:sz="0" w:space="0" w:color="auto"/>
        <w:bottom w:val="none" w:sz="0" w:space="0" w:color="auto"/>
        <w:right w:val="none" w:sz="0" w:space="0" w:color="auto"/>
      </w:divBdr>
    </w:div>
    <w:div w:id="1271275311">
      <w:marLeft w:val="0"/>
      <w:marRight w:val="0"/>
      <w:marTop w:val="0"/>
      <w:marBottom w:val="0"/>
      <w:divBdr>
        <w:top w:val="none" w:sz="0" w:space="0" w:color="auto"/>
        <w:left w:val="none" w:sz="0" w:space="0" w:color="auto"/>
        <w:bottom w:val="none" w:sz="0" w:space="0" w:color="auto"/>
        <w:right w:val="none" w:sz="0" w:space="0" w:color="auto"/>
      </w:divBdr>
    </w:div>
    <w:div w:id="1271275312">
      <w:marLeft w:val="0"/>
      <w:marRight w:val="0"/>
      <w:marTop w:val="0"/>
      <w:marBottom w:val="0"/>
      <w:divBdr>
        <w:top w:val="none" w:sz="0" w:space="0" w:color="auto"/>
        <w:left w:val="none" w:sz="0" w:space="0" w:color="auto"/>
        <w:bottom w:val="none" w:sz="0" w:space="0" w:color="auto"/>
        <w:right w:val="none" w:sz="0" w:space="0" w:color="auto"/>
      </w:divBdr>
    </w:div>
    <w:div w:id="1271275313">
      <w:marLeft w:val="0"/>
      <w:marRight w:val="0"/>
      <w:marTop w:val="0"/>
      <w:marBottom w:val="0"/>
      <w:divBdr>
        <w:top w:val="none" w:sz="0" w:space="0" w:color="auto"/>
        <w:left w:val="none" w:sz="0" w:space="0" w:color="auto"/>
        <w:bottom w:val="none" w:sz="0" w:space="0" w:color="auto"/>
        <w:right w:val="none" w:sz="0" w:space="0" w:color="auto"/>
      </w:divBdr>
    </w:div>
    <w:div w:id="1271275314">
      <w:marLeft w:val="0"/>
      <w:marRight w:val="0"/>
      <w:marTop w:val="0"/>
      <w:marBottom w:val="0"/>
      <w:divBdr>
        <w:top w:val="none" w:sz="0" w:space="0" w:color="auto"/>
        <w:left w:val="none" w:sz="0" w:space="0" w:color="auto"/>
        <w:bottom w:val="none" w:sz="0" w:space="0" w:color="auto"/>
        <w:right w:val="none" w:sz="0" w:space="0" w:color="auto"/>
      </w:divBdr>
    </w:div>
    <w:div w:id="1271275315">
      <w:marLeft w:val="0"/>
      <w:marRight w:val="0"/>
      <w:marTop w:val="0"/>
      <w:marBottom w:val="0"/>
      <w:divBdr>
        <w:top w:val="none" w:sz="0" w:space="0" w:color="auto"/>
        <w:left w:val="none" w:sz="0" w:space="0" w:color="auto"/>
        <w:bottom w:val="none" w:sz="0" w:space="0" w:color="auto"/>
        <w:right w:val="none" w:sz="0" w:space="0" w:color="auto"/>
      </w:divBdr>
    </w:div>
    <w:div w:id="1271275316">
      <w:marLeft w:val="0"/>
      <w:marRight w:val="0"/>
      <w:marTop w:val="0"/>
      <w:marBottom w:val="0"/>
      <w:divBdr>
        <w:top w:val="none" w:sz="0" w:space="0" w:color="auto"/>
        <w:left w:val="none" w:sz="0" w:space="0" w:color="auto"/>
        <w:bottom w:val="none" w:sz="0" w:space="0" w:color="auto"/>
        <w:right w:val="none" w:sz="0" w:space="0" w:color="auto"/>
      </w:divBdr>
    </w:div>
    <w:div w:id="1271275317">
      <w:marLeft w:val="0"/>
      <w:marRight w:val="0"/>
      <w:marTop w:val="0"/>
      <w:marBottom w:val="0"/>
      <w:divBdr>
        <w:top w:val="none" w:sz="0" w:space="0" w:color="auto"/>
        <w:left w:val="none" w:sz="0" w:space="0" w:color="auto"/>
        <w:bottom w:val="none" w:sz="0" w:space="0" w:color="auto"/>
        <w:right w:val="none" w:sz="0" w:space="0" w:color="auto"/>
      </w:divBdr>
    </w:div>
    <w:div w:id="1271275318">
      <w:marLeft w:val="0"/>
      <w:marRight w:val="0"/>
      <w:marTop w:val="0"/>
      <w:marBottom w:val="0"/>
      <w:divBdr>
        <w:top w:val="none" w:sz="0" w:space="0" w:color="auto"/>
        <w:left w:val="none" w:sz="0" w:space="0" w:color="auto"/>
        <w:bottom w:val="none" w:sz="0" w:space="0" w:color="auto"/>
        <w:right w:val="none" w:sz="0" w:space="0" w:color="auto"/>
      </w:divBdr>
    </w:div>
    <w:div w:id="1271275319">
      <w:marLeft w:val="0"/>
      <w:marRight w:val="0"/>
      <w:marTop w:val="0"/>
      <w:marBottom w:val="0"/>
      <w:divBdr>
        <w:top w:val="none" w:sz="0" w:space="0" w:color="auto"/>
        <w:left w:val="none" w:sz="0" w:space="0" w:color="auto"/>
        <w:bottom w:val="none" w:sz="0" w:space="0" w:color="auto"/>
        <w:right w:val="none" w:sz="0" w:space="0" w:color="auto"/>
      </w:divBdr>
    </w:div>
    <w:div w:id="1271275320">
      <w:marLeft w:val="0"/>
      <w:marRight w:val="0"/>
      <w:marTop w:val="0"/>
      <w:marBottom w:val="0"/>
      <w:divBdr>
        <w:top w:val="none" w:sz="0" w:space="0" w:color="auto"/>
        <w:left w:val="none" w:sz="0" w:space="0" w:color="auto"/>
        <w:bottom w:val="none" w:sz="0" w:space="0" w:color="auto"/>
        <w:right w:val="none" w:sz="0" w:space="0" w:color="auto"/>
      </w:divBdr>
    </w:div>
    <w:div w:id="1271275321">
      <w:marLeft w:val="0"/>
      <w:marRight w:val="0"/>
      <w:marTop w:val="0"/>
      <w:marBottom w:val="0"/>
      <w:divBdr>
        <w:top w:val="none" w:sz="0" w:space="0" w:color="auto"/>
        <w:left w:val="none" w:sz="0" w:space="0" w:color="auto"/>
        <w:bottom w:val="none" w:sz="0" w:space="0" w:color="auto"/>
        <w:right w:val="none" w:sz="0" w:space="0" w:color="auto"/>
      </w:divBdr>
    </w:div>
    <w:div w:id="1271275322">
      <w:marLeft w:val="0"/>
      <w:marRight w:val="0"/>
      <w:marTop w:val="0"/>
      <w:marBottom w:val="0"/>
      <w:divBdr>
        <w:top w:val="none" w:sz="0" w:space="0" w:color="auto"/>
        <w:left w:val="none" w:sz="0" w:space="0" w:color="auto"/>
        <w:bottom w:val="none" w:sz="0" w:space="0" w:color="auto"/>
        <w:right w:val="none" w:sz="0" w:space="0" w:color="auto"/>
      </w:divBdr>
    </w:div>
    <w:div w:id="1271275323">
      <w:marLeft w:val="0"/>
      <w:marRight w:val="0"/>
      <w:marTop w:val="0"/>
      <w:marBottom w:val="0"/>
      <w:divBdr>
        <w:top w:val="none" w:sz="0" w:space="0" w:color="auto"/>
        <w:left w:val="none" w:sz="0" w:space="0" w:color="auto"/>
        <w:bottom w:val="none" w:sz="0" w:space="0" w:color="auto"/>
        <w:right w:val="none" w:sz="0" w:space="0" w:color="auto"/>
      </w:divBdr>
    </w:div>
    <w:div w:id="1271275324">
      <w:marLeft w:val="0"/>
      <w:marRight w:val="0"/>
      <w:marTop w:val="0"/>
      <w:marBottom w:val="0"/>
      <w:divBdr>
        <w:top w:val="none" w:sz="0" w:space="0" w:color="auto"/>
        <w:left w:val="none" w:sz="0" w:space="0" w:color="auto"/>
        <w:bottom w:val="none" w:sz="0" w:space="0" w:color="auto"/>
        <w:right w:val="none" w:sz="0" w:space="0" w:color="auto"/>
      </w:divBdr>
    </w:div>
    <w:div w:id="1271275325">
      <w:marLeft w:val="0"/>
      <w:marRight w:val="0"/>
      <w:marTop w:val="0"/>
      <w:marBottom w:val="0"/>
      <w:divBdr>
        <w:top w:val="none" w:sz="0" w:space="0" w:color="auto"/>
        <w:left w:val="none" w:sz="0" w:space="0" w:color="auto"/>
        <w:bottom w:val="none" w:sz="0" w:space="0" w:color="auto"/>
        <w:right w:val="none" w:sz="0" w:space="0" w:color="auto"/>
      </w:divBdr>
    </w:div>
    <w:div w:id="1271275326">
      <w:marLeft w:val="0"/>
      <w:marRight w:val="0"/>
      <w:marTop w:val="0"/>
      <w:marBottom w:val="0"/>
      <w:divBdr>
        <w:top w:val="none" w:sz="0" w:space="0" w:color="auto"/>
        <w:left w:val="none" w:sz="0" w:space="0" w:color="auto"/>
        <w:bottom w:val="none" w:sz="0" w:space="0" w:color="auto"/>
        <w:right w:val="none" w:sz="0" w:space="0" w:color="auto"/>
      </w:divBdr>
    </w:div>
    <w:div w:id="1271275327">
      <w:marLeft w:val="0"/>
      <w:marRight w:val="0"/>
      <w:marTop w:val="0"/>
      <w:marBottom w:val="0"/>
      <w:divBdr>
        <w:top w:val="none" w:sz="0" w:space="0" w:color="auto"/>
        <w:left w:val="none" w:sz="0" w:space="0" w:color="auto"/>
        <w:bottom w:val="none" w:sz="0" w:space="0" w:color="auto"/>
        <w:right w:val="none" w:sz="0" w:space="0" w:color="auto"/>
      </w:divBdr>
    </w:div>
    <w:div w:id="1271275328">
      <w:marLeft w:val="0"/>
      <w:marRight w:val="0"/>
      <w:marTop w:val="0"/>
      <w:marBottom w:val="0"/>
      <w:divBdr>
        <w:top w:val="none" w:sz="0" w:space="0" w:color="auto"/>
        <w:left w:val="none" w:sz="0" w:space="0" w:color="auto"/>
        <w:bottom w:val="none" w:sz="0" w:space="0" w:color="auto"/>
        <w:right w:val="none" w:sz="0" w:space="0" w:color="auto"/>
      </w:divBdr>
    </w:div>
    <w:div w:id="1271275329">
      <w:marLeft w:val="0"/>
      <w:marRight w:val="0"/>
      <w:marTop w:val="0"/>
      <w:marBottom w:val="0"/>
      <w:divBdr>
        <w:top w:val="none" w:sz="0" w:space="0" w:color="auto"/>
        <w:left w:val="none" w:sz="0" w:space="0" w:color="auto"/>
        <w:bottom w:val="none" w:sz="0" w:space="0" w:color="auto"/>
        <w:right w:val="none" w:sz="0" w:space="0" w:color="auto"/>
      </w:divBdr>
    </w:div>
    <w:div w:id="1271275330">
      <w:marLeft w:val="0"/>
      <w:marRight w:val="0"/>
      <w:marTop w:val="0"/>
      <w:marBottom w:val="0"/>
      <w:divBdr>
        <w:top w:val="none" w:sz="0" w:space="0" w:color="auto"/>
        <w:left w:val="none" w:sz="0" w:space="0" w:color="auto"/>
        <w:bottom w:val="none" w:sz="0" w:space="0" w:color="auto"/>
        <w:right w:val="none" w:sz="0" w:space="0" w:color="auto"/>
      </w:divBdr>
    </w:div>
    <w:div w:id="1271275331">
      <w:marLeft w:val="0"/>
      <w:marRight w:val="0"/>
      <w:marTop w:val="0"/>
      <w:marBottom w:val="0"/>
      <w:divBdr>
        <w:top w:val="none" w:sz="0" w:space="0" w:color="auto"/>
        <w:left w:val="none" w:sz="0" w:space="0" w:color="auto"/>
        <w:bottom w:val="none" w:sz="0" w:space="0" w:color="auto"/>
        <w:right w:val="none" w:sz="0" w:space="0" w:color="auto"/>
      </w:divBdr>
    </w:div>
    <w:div w:id="1271275332">
      <w:marLeft w:val="0"/>
      <w:marRight w:val="0"/>
      <w:marTop w:val="0"/>
      <w:marBottom w:val="0"/>
      <w:divBdr>
        <w:top w:val="none" w:sz="0" w:space="0" w:color="auto"/>
        <w:left w:val="none" w:sz="0" w:space="0" w:color="auto"/>
        <w:bottom w:val="none" w:sz="0" w:space="0" w:color="auto"/>
        <w:right w:val="none" w:sz="0" w:space="0" w:color="auto"/>
      </w:divBdr>
    </w:div>
    <w:div w:id="1271275333">
      <w:marLeft w:val="0"/>
      <w:marRight w:val="0"/>
      <w:marTop w:val="0"/>
      <w:marBottom w:val="0"/>
      <w:divBdr>
        <w:top w:val="none" w:sz="0" w:space="0" w:color="auto"/>
        <w:left w:val="none" w:sz="0" w:space="0" w:color="auto"/>
        <w:bottom w:val="none" w:sz="0" w:space="0" w:color="auto"/>
        <w:right w:val="none" w:sz="0" w:space="0" w:color="auto"/>
      </w:divBdr>
    </w:div>
    <w:div w:id="1271275334">
      <w:marLeft w:val="0"/>
      <w:marRight w:val="0"/>
      <w:marTop w:val="0"/>
      <w:marBottom w:val="0"/>
      <w:divBdr>
        <w:top w:val="none" w:sz="0" w:space="0" w:color="auto"/>
        <w:left w:val="none" w:sz="0" w:space="0" w:color="auto"/>
        <w:bottom w:val="none" w:sz="0" w:space="0" w:color="auto"/>
        <w:right w:val="none" w:sz="0" w:space="0" w:color="auto"/>
      </w:divBdr>
    </w:div>
    <w:div w:id="1271275335">
      <w:marLeft w:val="0"/>
      <w:marRight w:val="0"/>
      <w:marTop w:val="0"/>
      <w:marBottom w:val="0"/>
      <w:divBdr>
        <w:top w:val="none" w:sz="0" w:space="0" w:color="auto"/>
        <w:left w:val="none" w:sz="0" w:space="0" w:color="auto"/>
        <w:bottom w:val="none" w:sz="0" w:space="0" w:color="auto"/>
        <w:right w:val="none" w:sz="0" w:space="0" w:color="auto"/>
      </w:divBdr>
    </w:div>
    <w:div w:id="1271275336">
      <w:marLeft w:val="0"/>
      <w:marRight w:val="0"/>
      <w:marTop w:val="0"/>
      <w:marBottom w:val="0"/>
      <w:divBdr>
        <w:top w:val="none" w:sz="0" w:space="0" w:color="auto"/>
        <w:left w:val="none" w:sz="0" w:space="0" w:color="auto"/>
        <w:bottom w:val="none" w:sz="0" w:space="0" w:color="auto"/>
        <w:right w:val="none" w:sz="0" w:space="0" w:color="auto"/>
      </w:divBdr>
    </w:div>
    <w:div w:id="1271275337">
      <w:marLeft w:val="0"/>
      <w:marRight w:val="0"/>
      <w:marTop w:val="0"/>
      <w:marBottom w:val="0"/>
      <w:divBdr>
        <w:top w:val="none" w:sz="0" w:space="0" w:color="auto"/>
        <w:left w:val="none" w:sz="0" w:space="0" w:color="auto"/>
        <w:bottom w:val="none" w:sz="0" w:space="0" w:color="auto"/>
        <w:right w:val="none" w:sz="0" w:space="0" w:color="auto"/>
      </w:divBdr>
    </w:div>
    <w:div w:id="1271275338">
      <w:marLeft w:val="0"/>
      <w:marRight w:val="0"/>
      <w:marTop w:val="0"/>
      <w:marBottom w:val="0"/>
      <w:divBdr>
        <w:top w:val="none" w:sz="0" w:space="0" w:color="auto"/>
        <w:left w:val="none" w:sz="0" w:space="0" w:color="auto"/>
        <w:bottom w:val="none" w:sz="0" w:space="0" w:color="auto"/>
        <w:right w:val="none" w:sz="0" w:space="0" w:color="auto"/>
      </w:divBdr>
    </w:div>
    <w:div w:id="1271275339">
      <w:marLeft w:val="0"/>
      <w:marRight w:val="0"/>
      <w:marTop w:val="0"/>
      <w:marBottom w:val="0"/>
      <w:divBdr>
        <w:top w:val="none" w:sz="0" w:space="0" w:color="auto"/>
        <w:left w:val="none" w:sz="0" w:space="0" w:color="auto"/>
        <w:bottom w:val="none" w:sz="0" w:space="0" w:color="auto"/>
        <w:right w:val="none" w:sz="0" w:space="0" w:color="auto"/>
      </w:divBdr>
    </w:div>
    <w:div w:id="1271275340">
      <w:marLeft w:val="0"/>
      <w:marRight w:val="0"/>
      <w:marTop w:val="0"/>
      <w:marBottom w:val="0"/>
      <w:divBdr>
        <w:top w:val="none" w:sz="0" w:space="0" w:color="auto"/>
        <w:left w:val="none" w:sz="0" w:space="0" w:color="auto"/>
        <w:bottom w:val="none" w:sz="0" w:space="0" w:color="auto"/>
        <w:right w:val="none" w:sz="0" w:space="0" w:color="auto"/>
      </w:divBdr>
    </w:div>
    <w:div w:id="1271275341">
      <w:marLeft w:val="0"/>
      <w:marRight w:val="0"/>
      <w:marTop w:val="0"/>
      <w:marBottom w:val="0"/>
      <w:divBdr>
        <w:top w:val="none" w:sz="0" w:space="0" w:color="auto"/>
        <w:left w:val="none" w:sz="0" w:space="0" w:color="auto"/>
        <w:bottom w:val="none" w:sz="0" w:space="0" w:color="auto"/>
        <w:right w:val="none" w:sz="0" w:space="0" w:color="auto"/>
      </w:divBdr>
    </w:div>
    <w:div w:id="1271275342">
      <w:marLeft w:val="0"/>
      <w:marRight w:val="0"/>
      <w:marTop w:val="0"/>
      <w:marBottom w:val="0"/>
      <w:divBdr>
        <w:top w:val="none" w:sz="0" w:space="0" w:color="auto"/>
        <w:left w:val="none" w:sz="0" w:space="0" w:color="auto"/>
        <w:bottom w:val="none" w:sz="0" w:space="0" w:color="auto"/>
        <w:right w:val="none" w:sz="0" w:space="0" w:color="auto"/>
      </w:divBdr>
    </w:div>
    <w:div w:id="1271275343">
      <w:marLeft w:val="0"/>
      <w:marRight w:val="0"/>
      <w:marTop w:val="0"/>
      <w:marBottom w:val="0"/>
      <w:divBdr>
        <w:top w:val="none" w:sz="0" w:space="0" w:color="auto"/>
        <w:left w:val="none" w:sz="0" w:space="0" w:color="auto"/>
        <w:bottom w:val="none" w:sz="0" w:space="0" w:color="auto"/>
        <w:right w:val="none" w:sz="0" w:space="0" w:color="auto"/>
      </w:divBdr>
    </w:div>
    <w:div w:id="1271275344">
      <w:marLeft w:val="0"/>
      <w:marRight w:val="0"/>
      <w:marTop w:val="0"/>
      <w:marBottom w:val="0"/>
      <w:divBdr>
        <w:top w:val="none" w:sz="0" w:space="0" w:color="auto"/>
        <w:left w:val="none" w:sz="0" w:space="0" w:color="auto"/>
        <w:bottom w:val="none" w:sz="0" w:space="0" w:color="auto"/>
        <w:right w:val="none" w:sz="0" w:space="0" w:color="auto"/>
      </w:divBdr>
    </w:div>
    <w:div w:id="1271275345">
      <w:marLeft w:val="0"/>
      <w:marRight w:val="0"/>
      <w:marTop w:val="0"/>
      <w:marBottom w:val="0"/>
      <w:divBdr>
        <w:top w:val="none" w:sz="0" w:space="0" w:color="auto"/>
        <w:left w:val="none" w:sz="0" w:space="0" w:color="auto"/>
        <w:bottom w:val="none" w:sz="0" w:space="0" w:color="auto"/>
        <w:right w:val="none" w:sz="0" w:space="0" w:color="auto"/>
      </w:divBdr>
    </w:div>
    <w:div w:id="1271275346">
      <w:marLeft w:val="0"/>
      <w:marRight w:val="0"/>
      <w:marTop w:val="0"/>
      <w:marBottom w:val="0"/>
      <w:divBdr>
        <w:top w:val="none" w:sz="0" w:space="0" w:color="auto"/>
        <w:left w:val="none" w:sz="0" w:space="0" w:color="auto"/>
        <w:bottom w:val="none" w:sz="0" w:space="0" w:color="auto"/>
        <w:right w:val="none" w:sz="0" w:space="0" w:color="auto"/>
      </w:divBdr>
    </w:div>
    <w:div w:id="1271275347">
      <w:marLeft w:val="0"/>
      <w:marRight w:val="0"/>
      <w:marTop w:val="0"/>
      <w:marBottom w:val="0"/>
      <w:divBdr>
        <w:top w:val="none" w:sz="0" w:space="0" w:color="auto"/>
        <w:left w:val="none" w:sz="0" w:space="0" w:color="auto"/>
        <w:bottom w:val="none" w:sz="0" w:space="0" w:color="auto"/>
        <w:right w:val="none" w:sz="0" w:space="0" w:color="auto"/>
      </w:divBdr>
    </w:div>
    <w:div w:id="1271275348">
      <w:marLeft w:val="0"/>
      <w:marRight w:val="0"/>
      <w:marTop w:val="0"/>
      <w:marBottom w:val="0"/>
      <w:divBdr>
        <w:top w:val="none" w:sz="0" w:space="0" w:color="auto"/>
        <w:left w:val="none" w:sz="0" w:space="0" w:color="auto"/>
        <w:bottom w:val="none" w:sz="0" w:space="0" w:color="auto"/>
        <w:right w:val="none" w:sz="0" w:space="0" w:color="auto"/>
      </w:divBdr>
    </w:div>
    <w:div w:id="1271275349">
      <w:marLeft w:val="0"/>
      <w:marRight w:val="0"/>
      <w:marTop w:val="0"/>
      <w:marBottom w:val="0"/>
      <w:divBdr>
        <w:top w:val="none" w:sz="0" w:space="0" w:color="auto"/>
        <w:left w:val="none" w:sz="0" w:space="0" w:color="auto"/>
        <w:bottom w:val="none" w:sz="0" w:space="0" w:color="auto"/>
        <w:right w:val="none" w:sz="0" w:space="0" w:color="auto"/>
      </w:divBdr>
    </w:div>
    <w:div w:id="1271275350">
      <w:marLeft w:val="0"/>
      <w:marRight w:val="0"/>
      <w:marTop w:val="0"/>
      <w:marBottom w:val="0"/>
      <w:divBdr>
        <w:top w:val="none" w:sz="0" w:space="0" w:color="auto"/>
        <w:left w:val="none" w:sz="0" w:space="0" w:color="auto"/>
        <w:bottom w:val="none" w:sz="0" w:space="0" w:color="auto"/>
        <w:right w:val="none" w:sz="0" w:space="0" w:color="auto"/>
      </w:divBdr>
    </w:div>
    <w:div w:id="1271275351">
      <w:marLeft w:val="0"/>
      <w:marRight w:val="0"/>
      <w:marTop w:val="0"/>
      <w:marBottom w:val="0"/>
      <w:divBdr>
        <w:top w:val="none" w:sz="0" w:space="0" w:color="auto"/>
        <w:left w:val="none" w:sz="0" w:space="0" w:color="auto"/>
        <w:bottom w:val="none" w:sz="0" w:space="0" w:color="auto"/>
        <w:right w:val="none" w:sz="0" w:space="0" w:color="auto"/>
      </w:divBdr>
    </w:div>
    <w:div w:id="1271275352">
      <w:marLeft w:val="0"/>
      <w:marRight w:val="0"/>
      <w:marTop w:val="0"/>
      <w:marBottom w:val="0"/>
      <w:divBdr>
        <w:top w:val="none" w:sz="0" w:space="0" w:color="auto"/>
        <w:left w:val="none" w:sz="0" w:space="0" w:color="auto"/>
        <w:bottom w:val="none" w:sz="0" w:space="0" w:color="auto"/>
        <w:right w:val="none" w:sz="0" w:space="0" w:color="auto"/>
      </w:divBdr>
    </w:div>
    <w:div w:id="1271275353">
      <w:marLeft w:val="0"/>
      <w:marRight w:val="0"/>
      <w:marTop w:val="0"/>
      <w:marBottom w:val="0"/>
      <w:divBdr>
        <w:top w:val="none" w:sz="0" w:space="0" w:color="auto"/>
        <w:left w:val="none" w:sz="0" w:space="0" w:color="auto"/>
        <w:bottom w:val="none" w:sz="0" w:space="0" w:color="auto"/>
        <w:right w:val="none" w:sz="0" w:space="0" w:color="auto"/>
      </w:divBdr>
    </w:div>
    <w:div w:id="1271275354">
      <w:marLeft w:val="0"/>
      <w:marRight w:val="0"/>
      <w:marTop w:val="0"/>
      <w:marBottom w:val="0"/>
      <w:divBdr>
        <w:top w:val="none" w:sz="0" w:space="0" w:color="auto"/>
        <w:left w:val="none" w:sz="0" w:space="0" w:color="auto"/>
        <w:bottom w:val="none" w:sz="0" w:space="0" w:color="auto"/>
        <w:right w:val="none" w:sz="0" w:space="0" w:color="auto"/>
      </w:divBdr>
    </w:div>
    <w:div w:id="1271275355">
      <w:marLeft w:val="0"/>
      <w:marRight w:val="0"/>
      <w:marTop w:val="0"/>
      <w:marBottom w:val="0"/>
      <w:divBdr>
        <w:top w:val="none" w:sz="0" w:space="0" w:color="auto"/>
        <w:left w:val="none" w:sz="0" w:space="0" w:color="auto"/>
        <w:bottom w:val="none" w:sz="0" w:space="0" w:color="auto"/>
        <w:right w:val="none" w:sz="0" w:space="0" w:color="auto"/>
      </w:divBdr>
    </w:div>
    <w:div w:id="1271275356">
      <w:marLeft w:val="0"/>
      <w:marRight w:val="0"/>
      <w:marTop w:val="0"/>
      <w:marBottom w:val="0"/>
      <w:divBdr>
        <w:top w:val="none" w:sz="0" w:space="0" w:color="auto"/>
        <w:left w:val="none" w:sz="0" w:space="0" w:color="auto"/>
        <w:bottom w:val="none" w:sz="0" w:space="0" w:color="auto"/>
        <w:right w:val="none" w:sz="0" w:space="0" w:color="auto"/>
      </w:divBdr>
    </w:div>
    <w:div w:id="1271275357">
      <w:marLeft w:val="0"/>
      <w:marRight w:val="0"/>
      <w:marTop w:val="0"/>
      <w:marBottom w:val="0"/>
      <w:divBdr>
        <w:top w:val="none" w:sz="0" w:space="0" w:color="auto"/>
        <w:left w:val="none" w:sz="0" w:space="0" w:color="auto"/>
        <w:bottom w:val="none" w:sz="0" w:space="0" w:color="auto"/>
        <w:right w:val="none" w:sz="0" w:space="0" w:color="auto"/>
      </w:divBdr>
    </w:div>
    <w:div w:id="1271275358">
      <w:marLeft w:val="0"/>
      <w:marRight w:val="0"/>
      <w:marTop w:val="0"/>
      <w:marBottom w:val="0"/>
      <w:divBdr>
        <w:top w:val="none" w:sz="0" w:space="0" w:color="auto"/>
        <w:left w:val="none" w:sz="0" w:space="0" w:color="auto"/>
        <w:bottom w:val="none" w:sz="0" w:space="0" w:color="auto"/>
        <w:right w:val="none" w:sz="0" w:space="0" w:color="auto"/>
      </w:divBdr>
    </w:div>
    <w:div w:id="17787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vyatirimciiliskileri.com/tr-TR/pages/faaliyet_raporlar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a.gov/airports/airport_safety/airportdata_50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tuik.gov.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irport-consultants.com/images/download/pl-osp_rdo.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BETAM\3.havaalan&#305;\ATL-IST%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tuba.toru\Desktop\BETAM\BAU%20Basari\proje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19188472029231637"/>
          <c:y val="5.3090361148648374E-2"/>
          <c:w val="0.62288425711492013"/>
          <c:h val="0.63066538598969002"/>
        </c:manualLayout>
      </c:layout>
      <c:barChart>
        <c:barDir val="col"/>
        <c:grouping val="clustered"/>
        <c:ser>
          <c:idx val="2"/>
          <c:order val="2"/>
          <c:tx>
            <c:strRef>
              <c:f>IST!$N$2</c:f>
              <c:strCache>
                <c:ptCount val="1"/>
                <c:pt idx="0">
                  <c:v>Toplam Uçuş Sayısı</c:v>
                </c:pt>
              </c:strCache>
            </c:strRef>
          </c:tx>
          <c:cat>
            <c:numRef>
              <c:f>IST!$I$3:$I$13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IST!$N$3:$N$13</c:f>
              <c:numCache>
                <c:formatCode>General</c:formatCode>
                <c:ptCount val="11"/>
                <c:pt idx="0">
                  <c:v>376041</c:v>
                </c:pt>
                <c:pt idx="1">
                  <c:v>374987</c:v>
                </c:pt>
                <c:pt idx="2">
                  <c:v>449493</c:v>
                </c:pt>
                <c:pt idx="3">
                  <c:v>551980</c:v>
                </c:pt>
                <c:pt idx="4">
                  <c:v>627401</c:v>
                </c:pt>
                <c:pt idx="5">
                  <c:v>688468</c:v>
                </c:pt>
                <c:pt idx="6">
                  <c:v>741765</c:v>
                </c:pt>
                <c:pt idx="7">
                  <c:v>788469</c:v>
                </c:pt>
                <c:pt idx="8">
                  <c:v>919411</c:v>
                </c:pt>
                <c:pt idx="9">
                  <c:v>1042369</c:v>
                </c:pt>
                <c:pt idx="10">
                  <c:v>1093047</c:v>
                </c:pt>
              </c:numCache>
            </c:numRef>
          </c:val>
        </c:ser>
        <c:gapWidth val="75"/>
        <c:axId val="210093568"/>
        <c:axId val="210086912"/>
      </c:barChart>
      <c:lineChart>
        <c:grouping val="standard"/>
        <c:ser>
          <c:idx val="0"/>
          <c:order val="0"/>
          <c:tx>
            <c:strRef>
              <c:f>IST!$J$2</c:f>
              <c:strCache>
                <c:ptCount val="1"/>
                <c:pt idx="0">
                  <c:v>IST Yolcu Sayısı</c:v>
                </c:pt>
              </c:strCache>
            </c:strRef>
          </c:tx>
          <c:cat>
            <c:numRef>
              <c:f>IST!$I$3:$I$13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IST!$J$3:$J$13</c:f>
              <c:numCache>
                <c:formatCode>General</c:formatCode>
                <c:ptCount val="11"/>
                <c:pt idx="0">
                  <c:v>11357691</c:v>
                </c:pt>
                <c:pt idx="1">
                  <c:v>12104342</c:v>
                </c:pt>
                <c:pt idx="2">
                  <c:v>15600601</c:v>
                </c:pt>
                <c:pt idx="3">
                  <c:v>19293769</c:v>
                </c:pt>
                <c:pt idx="4">
                  <c:v>21265974</c:v>
                </c:pt>
                <c:pt idx="5">
                  <c:v>23196229</c:v>
                </c:pt>
                <c:pt idx="6">
                  <c:v>28553132</c:v>
                </c:pt>
                <c:pt idx="7">
                  <c:v>29812888</c:v>
                </c:pt>
                <c:pt idx="8">
                  <c:v>32143819</c:v>
                </c:pt>
                <c:pt idx="9">
                  <c:v>37394694</c:v>
                </c:pt>
                <c:pt idx="10">
                  <c:v>45091962</c:v>
                </c:pt>
              </c:numCache>
            </c:numRef>
          </c:val>
        </c:ser>
        <c:ser>
          <c:idx val="1"/>
          <c:order val="1"/>
          <c:tx>
            <c:strRef>
              <c:f>IST!$K$2</c:f>
              <c:strCache>
                <c:ptCount val="1"/>
                <c:pt idx="0">
                  <c:v>Toplam Yolcu Sayısı</c:v>
                </c:pt>
              </c:strCache>
            </c:strRef>
          </c:tx>
          <c:cat>
            <c:numRef>
              <c:f>IST!$I$3:$I$13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IST!$K$3:$K$13</c:f>
              <c:numCache>
                <c:formatCode>General</c:formatCode>
                <c:ptCount val="11"/>
                <c:pt idx="0">
                  <c:v>33783000</c:v>
                </c:pt>
                <c:pt idx="1">
                  <c:v>34443655</c:v>
                </c:pt>
                <c:pt idx="2">
                  <c:v>45057371</c:v>
                </c:pt>
                <c:pt idx="3">
                  <c:v>56119472</c:v>
                </c:pt>
                <c:pt idx="4">
                  <c:v>62271876</c:v>
                </c:pt>
                <c:pt idx="5">
                  <c:v>70715263</c:v>
                </c:pt>
                <c:pt idx="6">
                  <c:v>79887380</c:v>
                </c:pt>
                <c:pt idx="7">
                  <c:v>86001343</c:v>
                </c:pt>
                <c:pt idx="8">
                  <c:v>103536513</c:v>
                </c:pt>
                <c:pt idx="9">
                  <c:v>118292000</c:v>
                </c:pt>
                <c:pt idx="10">
                  <c:v>131029516</c:v>
                </c:pt>
              </c:numCache>
            </c:numRef>
          </c:val>
        </c:ser>
        <c:marker val="1"/>
        <c:axId val="210082816"/>
        <c:axId val="210084608"/>
      </c:lineChart>
      <c:catAx>
        <c:axId val="210082816"/>
        <c:scaling>
          <c:orientation val="minMax"/>
        </c:scaling>
        <c:axPos val="b"/>
        <c:numFmt formatCode="General" sourceLinked="1"/>
        <c:majorTickMark val="none"/>
        <c:tickLblPos val="nextTo"/>
        <c:crossAx val="210084608"/>
        <c:crosses val="autoZero"/>
        <c:auto val="1"/>
        <c:lblAlgn val="ctr"/>
        <c:lblOffset val="100"/>
      </c:catAx>
      <c:valAx>
        <c:axId val="210084608"/>
        <c:scaling>
          <c:orientation val="minMax"/>
        </c:scaling>
        <c:axPos val="l"/>
        <c:majorGridlines/>
        <c:title>
          <c:tx>
            <c:rich>
              <a:bodyPr rot="-5400000" vert="horz"/>
              <a:lstStyle/>
              <a:p>
                <a:pPr>
                  <a:defRPr/>
                </a:pPr>
                <a:r>
                  <a:rPr lang="en-US"/>
                  <a:t>Yolcu Sayısı</a:t>
                </a:r>
              </a:p>
            </c:rich>
          </c:tx>
        </c:title>
        <c:numFmt formatCode="General" sourceLinked="1"/>
        <c:majorTickMark val="none"/>
        <c:tickLblPos val="nextTo"/>
        <c:crossAx val="210082816"/>
        <c:crosses val="autoZero"/>
        <c:crossBetween val="between"/>
        <c:dispUnits>
          <c:builtInUnit val="millions"/>
        </c:dispUnits>
      </c:valAx>
      <c:valAx>
        <c:axId val="210086912"/>
        <c:scaling>
          <c:orientation val="minMax"/>
        </c:scaling>
        <c:axPos val="r"/>
        <c:title>
          <c:tx>
            <c:rich>
              <a:bodyPr rot="-5400000" vert="horz"/>
              <a:lstStyle/>
              <a:p>
                <a:pPr>
                  <a:defRPr/>
                </a:pPr>
                <a:r>
                  <a:rPr lang="en-US"/>
                  <a:t>Uçuş Sayısı</a:t>
                </a:r>
              </a:p>
            </c:rich>
          </c:tx>
        </c:title>
        <c:numFmt formatCode="General" sourceLinked="1"/>
        <c:tickLblPos val="nextTo"/>
        <c:crossAx val="210093568"/>
        <c:crosses val="max"/>
        <c:crossBetween val="between"/>
        <c:dispUnits>
          <c:builtInUnit val="millions"/>
        </c:dispUnits>
      </c:valAx>
      <c:catAx>
        <c:axId val="210093568"/>
        <c:scaling>
          <c:orientation val="minMax"/>
        </c:scaling>
        <c:delete val="1"/>
        <c:axPos val="b"/>
        <c:numFmt formatCode="General" sourceLinked="1"/>
        <c:tickLblPos val="none"/>
        <c:crossAx val="210086912"/>
        <c:crosses val="autoZero"/>
        <c:auto val="1"/>
        <c:lblAlgn val="ctr"/>
        <c:lblOffset val="100"/>
      </c:catAx>
    </c:plotArea>
    <c:legend>
      <c:legendPos val="b"/>
      <c:layout>
        <c:manualLayout>
          <c:xMode val="edge"/>
          <c:yMode val="edge"/>
          <c:x val="5.000004713850429E-2"/>
          <c:y val="0.85612321675909508"/>
          <c:w val="0.89999990572299149"/>
          <c:h val="8.6484689039540999E-2"/>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9.7901506387530965E-2"/>
          <c:y val="4.5409078466418687E-2"/>
          <c:w val="0.86341815269414923"/>
          <c:h val="0.60326232227106558"/>
        </c:manualLayout>
      </c:layout>
      <c:lineChart>
        <c:grouping val="standard"/>
        <c:ser>
          <c:idx val="0"/>
          <c:order val="0"/>
          <c:tx>
            <c:strRef>
              <c:f>Sheet1!$J$1</c:f>
              <c:strCache>
                <c:ptCount val="1"/>
                <c:pt idx="0">
                  <c:v>Bilet Fiyatı/TÜFE</c:v>
                </c:pt>
              </c:strCache>
            </c:strRef>
          </c:tx>
          <c:marker>
            <c:symbol val="none"/>
          </c:marker>
          <c:cat>
            <c:numRef>
              <c:f>Sheet1!$A$2:$A$16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Sheet1!$J$2:$J$16</c:f>
              <c:numCache>
                <c:formatCode>General</c:formatCode>
                <c:ptCount val="15"/>
                <c:pt idx="0">
                  <c:v>85.681816803485106</c:v>
                </c:pt>
                <c:pt idx="1">
                  <c:v>90.093295092357167</c:v>
                </c:pt>
                <c:pt idx="2">
                  <c:v>95.372541281808154</c:v>
                </c:pt>
                <c:pt idx="3">
                  <c:v>113.04721515208811</c:v>
                </c:pt>
                <c:pt idx="4">
                  <c:v>105.80185704273275</c:v>
                </c:pt>
                <c:pt idx="5">
                  <c:v>100</c:v>
                </c:pt>
                <c:pt idx="6">
                  <c:v>79.179777523301183</c:v>
                </c:pt>
                <c:pt idx="7">
                  <c:v>109.25835823342852</c:v>
                </c:pt>
                <c:pt idx="8">
                  <c:v>102.50242203011473</c:v>
                </c:pt>
                <c:pt idx="9">
                  <c:v>148.65458765092563</c:v>
                </c:pt>
                <c:pt idx="10">
                  <c:v>82.391142038891488</c:v>
                </c:pt>
                <c:pt idx="11">
                  <c:v>84.871490991720009</c:v>
                </c:pt>
                <c:pt idx="12">
                  <c:v>87.984540216802785</c:v>
                </c:pt>
                <c:pt idx="13">
                  <c:v>95.11824542459081</c:v>
                </c:pt>
                <c:pt idx="14">
                  <c:v>85.991272905093396</c:v>
                </c:pt>
              </c:numCache>
            </c:numRef>
          </c:val>
        </c:ser>
        <c:ser>
          <c:idx val="1"/>
          <c:order val="1"/>
          <c:tx>
            <c:strRef>
              <c:f>Sheet1!$K$1</c:f>
              <c:strCache>
                <c:ptCount val="1"/>
                <c:pt idx="0">
                  <c:v>Reel GSYH </c:v>
                </c:pt>
              </c:strCache>
            </c:strRef>
          </c:tx>
          <c:marker>
            <c:symbol val="none"/>
          </c:marker>
          <c:cat>
            <c:numRef>
              <c:f>Sheet1!$A$2:$A$16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Sheet1!$K$2:$K$16</c:f>
              <c:numCache>
                <c:formatCode>General</c:formatCode>
                <c:ptCount val="15"/>
                <c:pt idx="0">
                  <c:v>91.963335993076683</c:v>
                </c:pt>
                <c:pt idx="1">
                  <c:v>88.868452635084466</c:v>
                </c:pt>
                <c:pt idx="2">
                  <c:v>94.88880611686443</c:v>
                </c:pt>
                <c:pt idx="3">
                  <c:v>89.48253843895057</c:v>
                </c:pt>
                <c:pt idx="4">
                  <c:v>94.998098723637568</c:v>
                </c:pt>
                <c:pt idx="5">
                  <c:v>100</c:v>
                </c:pt>
                <c:pt idx="6">
                  <c:v>109.36280885457678</c:v>
                </c:pt>
                <c:pt idx="7">
                  <c:v>118.55105371109654</c:v>
                </c:pt>
                <c:pt idx="8">
                  <c:v>126.72335755607084</c:v>
                </c:pt>
                <c:pt idx="9">
                  <c:v>132.63953775588502</c:v>
                </c:pt>
                <c:pt idx="10">
                  <c:v>133.51341881400597</c:v>
                </c:pt>
                <c:pt idx="11">
                  <c:v>127.07022770463308</c:v>
                </c:pt>
                <c:pt idx="12">
                  <c:v>138.70599005017039</c:v>
                </c:pt>
                <c:pt idx="13">
                  <c:v>150.87431465497636</c:v>
                </c:pt>
                <c:pt idx="14">
                  <c:v>154.25266162971178</c:v>
                </c:pt>
              </c:numCache>
            </c:numRef>
          </c:val>
        </c:ser>
        <c:marker val="1"/>
        <c:axId val="210114048"/>
        <c:axId val="210115584"/>
      </c:lineChart>
      <c:catAx>
        <c:axId val="210114048"/>
        <c:scaling>
          <c:orientation val="minMax"/>
        </c:scaling>
        <c:axPos val="b"/>
        <c:numFmt formatCode="General" sourceLinked="1"/>
        <c:majorTickMark val="none"/>
        <c:tickLblPos val="nextTo"/>
        <c:crossAx val="210115584"/>
        <c:crosses val="autoZero"/>
        <c:auto val="1"/>
        <c:lblAlgn val="ctr"/>
        <c:lblOffset val="100"/>
      </c:catAx>
      <c:valAx>
        <c:axId val="210115584"/>
        <c:scaling>
          <c:orientation val="minMax"/>
        </c:scaling>
        <c:axPos val="l"/>
        <c:majorGridlines/>
        <c:numFmt formatCode="General" sourceLinked="1"/>
        <c:majorTickMark val="none"/>
        <c:tickLblPos val="nextTo"/>
        <c:spPr>
          <a:ln w="9525">
            <a:noFill/>
          </a:ln>
        </c:spPr>
        <c:crossAx val="210114048"/>
        <c:crosses val="autoZero"/>
        <c:crossBetween val="between"/>
      </c:valAx>
    </c:plotArea>
    <c:legend>
      <c:legendPos val="b"/>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68A2-594B-4259-BB3D-A222BD34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8113</Words>
  <Characters>46250</Characters>
  <Application>Microsoft Office Word</Application>
  <DocSecurity>0</DocSecurity>
  <Lines>385</Lines>
  <Paragraphs>108</Paragraphs>
  <ScaleCrop>false</ScaleCrop>
  <Company>unv</Company>
  <LinksUpToDate>false</LinksUpToDate>
  <CharactersWithSpaces>54255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13</cp:revision>
  <cp:lastPrinted>2013-04-22T06:40:00Z</cp:lastPrinted>
  <dcterms:created xsi:type="dcterms:W3CDTF">2013-06-28T06:12:00Z</dcterms:created>
  <dcterms:modified xsi:type="dcterms:W3CDTF">2013-06-28T07:22:00Z</dcterms:modified>
</cp:coreProperties>
</file>