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16D" w:rsidRPr="001541B3" w:rsidRDefault="00F11D48">
      <w:pPr>
        <w:rPr>
          <w:rFonts w:ascii="Arial" w:hAnsi="Arial" w:cs="Arial"/>
          <w:sz w:val="20"/>
          <w:szCs w:val="20"/>
        </w:rPr>
      </w:pPr>
      <w:r w:rsidRPr="00F11D48">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1;mso-wrap-distance-left:9.05pt;mso-wrap-distance-right:9.05pt" stroked="f">
            <v:fill opacity="0" color2="black"/>
            <v:textbox style="mso-next-textbox:#_x0000_s1026" inset="0,0,0,0">
              <w:txbxContent>
                <w:p w:rsidR="001D416D" w:rsidRDefault="001D416D">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1D416D" w:rsidRPr="00B71C14" w:rsidRDefault="001D416D">
                  <w:pPr>
                    <w:pStyle w:val="Heading1"/>
                    <w:rPr>
                      <w:rFonts w:ascii="Times New Roman" w:hAnsi="Times New Roman" w:cs="Times New Roman"/>
                      <w:sz w:val="40"/>
                      <w:szCs w:val="40"/>
                    </w:rPr>
                  </w:pPr>
                  <w:r>
                    <w:rPr>
                      <w:rFonts w:ascii="Times New Roman" w:hAnsi="Times New Roman" w:cs="Times New Roman"/>
                      <w:sz w:val="40"/>
                      <w:szCs w:val="40"/>
                    </w:rPr>
                    <w:t>Mayıs 2013</w:t>
                  </w:r>
                </w:p>
                <w:p w:rsidR="001D416D" w:rsidRPr="00526178" w:rsidRDefault="001D416D">
                  <w:pPr>
                    <w:pStyle w:val="Heading2"/>
                    <w:rPr>
                      <w:b w:val="0"/>
                      <w:bCs w:val="0"/>
                      <w:i w:val="0"/>
                      <w:iCs w:val="0"/>
                    </w:rPr>
                  </w:pPr>
                </w:p>
              </w:txbxContent>
            </v:textbox>
          </v:shape>
        </w:pict>
      </w:r>
      <w:r w:rsidRPr="00F11D48">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anner(TUR).jpg" style="position:absolute;margin-left:-33pt;margin-top:-58.1pt;width:8in;height:104.75pt;z-index:-1;visibility:visible">
            <v:imagedata r:id="rId8" o:title=""/>
          </v:shape>
        </w:pict>
      </w:r>
    </w:p>
    <w:p w:rsidR="001D416D" w:rsidRPr="001541B3" w:rsidRDefault="00F11D48">
      <w:pPr>
        <w:rPr>
          <w:rFonts w:ascii="Arial" w:hAnsi="Arial" w:cs="Arial"/>
          <w:sz w:val="20"/>
          <w:szCs w:val="20"/>
        </w:rPr>
      </w:pPr>
      <w:r w:rsidRPr="00F11D48">
        <w:rPr>
          <w:noProof/>
          <w:lang w:eastAsia="tr-TR"/>
        </w:rPr>
        <w:pict>
          <v:shape id="_x0000_s1028" type="#_x0000_t202" style="position:absolute;margin-left:444.75pt;margin-top:5pt;width:103.3pt;height:35.8pt;z-index:2;mso-wrap-distance-left:9.05pt;mso-wrap-distance-right:9.05pt" stroked="f">
            <v:fill opacity="0" color2="black"/>
            <v:textbox style="mso-next-textbox:#_x0000_s1028" inset="0,0,0,0">
              <w:txbxContent>
                <w:p w:rsidR="001D416D" w:rsidRDefault="001D416D" w:rsidP="00C24EA0">
                  <w:pPr>
                    <w:pStyle w:val="Heading3"/>
                    <w:tabs>
                      <w:tab w:val="clear" w:pos="720"/>
                    </w:tabs>
                    <w:ind w:left="0" w:firstLine="0"/>
                    <w:rPr>
                      <w:color w:val="FFFFFF"/>
                      <w:sz w:val="22"/>
                      <w:szCs w:val="22"/>
                      <w:lang w:val="tr-TR"/>
                    </w:rPr>
                  </w:pPr>
                  <w:r>
                    <w:rPr>
                      <w:color w:val="FFFFFF"/>
                      <w:sz w:val="22"/>
                      <w:szCs w:val="22"/>
                    </w:rPr>
                    <w:t xml:space="preserve"> 15 Mayıs</w:t>
                  </w:r>
                  <w:r>
                    <w:rPr>
                      <w:color w:val="FFFFFF"/>
                      <w:sz w:val="22"/>
                      <w:szCs w:val="22"/>
                      <w:lang w:val="tr-TR"/>
                    </w:rPr>
                    <w:t xml:space="preserve"> 2013</w:t>
                  </w:r>
                </w:p>
                <w:p w:rsidR="001D416D" w:rsidRDefault="001D416D"/>
              </w:txbxContent>
            </v:textbox>
          </v:shape>
        </w:pict>
      </w:r>
    </w:p>
    <w:p w:rsidR="001D416D" w:rsidRPr="001541B3" w:rsidRDefault="001D416D">
      <w:pPr>
        <w:rPr>
          <w:rFonts w:ascii="Arial" w:hAnsi="Arial" w:cs="Arial"/>
          <w:sz w:val="20"/>
          <w:szCs w:val="20"/>
        </w:rPr>
      </w:pPr>
    </w:p>
    <w:p w:rsidR="001D416D" w:rsidRPr="001541B3" w:rsidRDefault="001D416D">
      <w:pPr>
        <w:rPr>
          <w:rFonts w:ascii="Arial" w:hAnsi="Arial" w:cs="Arial"/>
          <w:sz w:val="20"/>
          <w:szCs w:val="20"/>
        </w:rPr>
      </w:pPr>
    </w:p>
    <w:p w:rsidR="001D416D" w:rsidRPr="001541B3" w:rsidRDefault="001D416D" w:rsidP="00B964E5">
      <w:pPr>
        <w:rPr>
          <w:rFonts w:ascii="Arial" w:hAnsi="Arial" w:cs="Arial"/>
          <w:b/>
          <w:bCs/>
          <w:sz w:val="28"/>
          <w:szCs w:val="28"/>
        </w:rPr>
      </w:pPr>
    </w:p>
    <w:p w:rsidR="001D416D" w:rsidRPr="00216D1F" w:rsidRDefault="001D416D" w:rsidP="009C4C0C">
      <w:pPr>
        <w:spacing w:before="120"/>
        <w:jc w:val="center"/>
        <w:rPr>
          <w:rFonts w:ascii="Arial" w:hAnsi="Arial" w:cs="Arial"/>
          <w:b/>
          <w:bCs/>
        </w:rPr>
      </w:pPr>
      <w:r>
        <w:rPr>
          <w:rFonts w:ascii="Arial" w:hAnsi="Arial" w:cs="Arial"/>
          <w:b/>
          <w:bCs/>
          <w:sz w:val="28"/>
          <w:szCs w:val="28"/>
        </w:rPr>
        <w:t>TARIM DIŞI İŞSİZLİK ÖNCEKİ AYA GÖRE DÜŞTÜ</w:t>
      </w:r>
    </w:p>
    <w:p w:rsidR="001D416D" w:rsidRPr="001541B3" w:rsidRDefault="001D416D"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4"/>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1D416D" w:rsidRPr="001541B3" w:rsidRDefault="001D416D" w:rsidP="00035FEC">
      <w:pPr>
        <w:rPr>
          <w:rFonts w:ascii="Arial" w:hAnsi="Arial" w:cs="Arial"/>
          <w:sz w:val="20"/>
          <w:szCs w:val="20"/>
        </w:rPr>
      </w:pPr>
    </w:p>
    <w:p w:rsidR="001D416D" w:rsidRPr="001541B3" w:rsidRDefault="001D416D"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1D416D" w:rsidRDefault="001D416D" w:rsidP="00A153B7">
      <w:pPr>
        <w:jc w:val="both"/>
        <w:rPr>
          <w:rFonts w:ascii="Arial" w:hAnsi="Arial" w:cs="Arial"/>
          <w:sz w:val="20"/>
          <w:szCs w:val="20"/>
        </w:rPr>
      </w:pPr>
    </w:p>
    <w:p w:rsidR="001D416D" w:rsidRDefault="001D416D" w:rsidP="00A153B7">
      <w:pPr>
        <w:jc w:val="both"/>
        <w:rPr>
          <w:rFonts w:ascii="Arial" w:hAnsi="Arial" w:cs="Arial"/>
          <w:sz w:val="20"/>
          <w:szCs w:val="20"/>
        </w:rPr>
      </w:pPr>
      <w:r>
        <w:rPr>
          <w:rFonts w:ascii="Arial" w:hAnsi="Arial" w:cs="Arial"/>
          <w:sz w:val="20"/>
          <w:szCs w:val="20"/>
        </w:rPr>
        <w:t xml:space="preserve">Mevsim etkilerinden arındırılmış </w:t>
      </w:r>
      <w:r w:rsidR="005624F0">
        <w:rPr>
          <w:rFonts w:ascii="Arial" w:hAnsi="Arial" w:cs="Arial"/>
          <w:sz w:val="20"/>
          <w:szCs w:val="20"/>
        </w:rPr>
        <w:t xml:space="preserve">işgücü </w:t>
      </w:r>
      <w:r>
        <w:rPr>
          <w:rFonts w:ascii="Arial" w:hAnsi="Arial" w:cs="Arial"/>
          <w:sz w:val="20"/>
          <w:szCs w:val="20"/>
        </w:rPr>
        <w:t>veriler</w:t>
      </w:r>
      <w:r w:rsidR="005624F0">
        <w:rPr>
          <w:rFonts w:ascii="Arial" w:hAnsi="Arial" w:cs="Arial"/>
          <w:sz w:val="20"/>
          <w:szCs w:val="20"/>
        </w:rPr>
        <w:t>i</w:t>
      </w:r>
      <w:r>
        <w:rPr>
          <w:rFonts w:ascii="Arial" w:hAnsi="Arial" w:cs="Arial"/>
          <w:sz w:val="20"/>
          <w:szCs w:val="20"/>
        </w:rPr>
        <w:t xml:space="preserve"> tarım dışı işsizliğin Ocak 2013’te yüzde 11,7’den Şubat 2013’te yüzde 11,6’ya gerilediğini gösteriyor. Sanayi istihdamındaki artış 2012 yılının son çeyreğinden beri hızlanmış görünüyor. Bu dönemde hizmetler istihdamında da 55 binlik bir artış gerçekleşmiş. Kariyer.net verileri tarım dışı işsizlikte yavaş da olsa istikrarlı bir şekilde devam eden düşüşün Mart 2013’te de devam edebileceğine işaret ediyor. </w:t>
      </w:r>
    </w:p>
    <w:p w:rsidR="001D416D" w:rsidRDefault="001D416D" w:rsidP="00A51B11">
      <w:pPr>
        <w:jc w:val="both"/>
        <w:rPr>
          <w:rFonts w:ascii="Arial" w:hAnsi="Arial" w:cs="Arial"/>
          <w:sz w:val="20"/>
          <w:szCs w:val="20"/>
        </w:rPr>
      </w:pPr>
    </w:p>
    <w:p w:rsidR="001D416D" w:rsidRDefault="001D416D" w:rsidP="00216D1F">
      <w:pPr>
        <w:pBdr>
          <w:top w:val="single" w:sz="12" w:space="1" w:color="auto"/>
          <w:left w:val="single" w:sz="12" w:space="4" w:color="auto"/>
          <w:bottom w:val="single" w:sz="12" w:space="1" w:color="auto"/>
          <w:right w:val="single" w:sz="12" w:space="4" w:color="auto"/>
        </w:pBdr>
        <w:shd w:val="clear" w:color="auto" w:fill="B8CCE4"/>
        <w:spacing w:after="120"/>
        <w:jc w:val="center"/>
        <w:rPr>
          <w:rFonts w:ascii="Arial" w:hAnsi="Arial" w:cs="Arial"/>
          <w:b/>
          <w:bCs/>
          <w:sz w:val="20"/>
          <w:szCs w:val="20"/>
        </w:rPr>
      </w:pPr>
      <w:r>
        <w:rPr>
          <w:rFonts w:ascii="Arial" w:hAnsi="Arial" w:cs="Arial"/>
          <w:b/>
          <w:bCs/>
          <w:sz w:val="20"/>
          <w:szCs w:val="20"/>
        </w:rPr>
        <w:t>İŞGÜCÜ PİYASASINDA ÖNE ÇIKAN GELİŞMELER</w:t>
      </w:r>
    </w:p>
    <w:p w:rsidR="001D416D" w:rsidRDefault="001D416D" w:rsidP="00216D1F">
      <w:pPr>
        <w:pBdr>
          <w:top w:val="single" w:sz="12" w:space="1" w:color="auto"/>
          <w:left w:val="single" w:sz="12" w:space="4" w:color="auto"/>
          <w:bottom w:val="single" w:sz="12" w:space="1" w:color="auto"/>
          <w:right w:val="single" w:sz="12" w:space="4" w:color="auto"/>
        </w:pBdr>
        <w:shd w:val="clear" w:color="auto" w:fill="B8CCE4"/>
        <w:spacing w:after="120"/>
        <w:jc w:val="center"/>
        <w:rPr>
          <w:rFonts w:ascii="Arial" w:hAnsi="Arial" w:cs="Arial"/>
          <w:b/>
          <w:bCs/>
          <w:sz w:val="20"/>
          <w:szCs w:val="20"/>
        </w:rPr>
      </w:pPr>
      <w:r>
        <w:rPr>
          <w:rFonts w:ascii="Arial" w:hAnsi="Arial" w:cs="Arial"/>
          <w:b/>
          <w:bCs/>
          <w:sz w:val="20"/>
          <w:szCs w:val="20"/>
        </w:rPr>
        <w:t>Türkiye işgücü piyasası ne kadar katı?</w:t>
      </w:r>
    </w:p>
    <w:p w:rsidR="001D416D" w:rsidRPr="00FA21D5" w:rsidRDefault="001D416D" w:rsidP="00FA21D5">
      <w:pPr>
        <w:pBdr>
          <w:top w:val="single" w:sz="12" w:space="1" w:color="auto"/>
          <w:left w:val="single" w:sz="12" w:space="4" w:color="auto"/>
          <w:bottom w:val="single" w:sz="12" w:space="1" w:color="auto"/>
          <w:right w:val="single" w:sz="12" w:space="4" w:color="auto"/>
        </w:pBdr>
        <w:shd w:val="clear" w:color="auto" w:fill="B8CCE4"/>
        <w:spacing w:after="120"/>
        <w:rPr>
          <w:rFonts w:ascii="Arial" w:hAnsi="Arial" w:cs="Arial"/>
          <w:sz w:val="20"/>
          <w:szCs w:val="20"/>
        </w:rPr>
      </w:pPr>
      <w:r>
        <w:rPr>
          <w:rFonts w:ascii="Arial" w:hAnsi="Arial" w:cs="Arial"/>
          <w:sz w:val="20"/>
          <w:szCs w:val="20"/>
        </w:rPr>
        <w:t xml:space="preserve">İşgücü piyasalarının katılığı çeşitli göstergelerle ölçülüyor. OECD asgari ücretin ortalama ya da medyan (ortadaki) ücretlere oranını katılığın bir ölçüsü olarak kullanıyor. Türkiye’de asgari ücretin medyan ücrete oranı 0,71 ile OECD ülkeleri arasında en yüksek seviyede. Bu ölçüye göre Türkiye’de asgari ücret Polonya, Romanya, Macaristan gibi ülkelere kıyasla bile ortalama ücrete daha yakın. Hali hazırda rekabet gücü sıkıntısı çeken Türkiye’nin hem işgücü üzerindeki vergi yüklerini düşürmesi hem de asgari ücreti bölgeler arasında farklılaştırması gerekiyor. </w:t>
      </w:r>
    </w:p>
    <w:p w:rsidR="001D416D" w:rsidRPr="00323218" w:rsidRDefault="001D416D" w:rsidP="00323218">
      <w:pPr>
        <w:rPr>
          <w:rFonts w:ascii="Arial" w:hAnsi="Arial" w:cs="Arial"/>
          <w:sz w:val="20"/>
          <w:szCs w:val="20"/>
        </w:rPr>
      </w:pPr>
    </w:p>
    <w:p w:rsidR="001D416D" w:rsidRPr="00441213" w:rsidRDefault="001D416D" w:rsidP="00930EEA">
      <w:pPr>
        <w:rPr>
          <w:rFonts w:ascii="Arial" w:hAnsi="Arial" w:cs="Arial"/>
          <w:b/>
          <w:bCs/>
          <w:sz w:val="22"/>
          <w:szCs w:val="22"/>
        </w:rPr>
      </w:pPr>
      <w:r>
        <w:rPr>
          <w:rFonts w:ascii="Arial" w:hAnsi="Arial" w:cs="Arial"/>
          <w:b/>
          <w:bCs/>
          <w:sz w:val="22"/>
          <w:szCs w:val="22"/>
        </w:rPr>
        <w:t>Düşük büyümeye karşın t</w:t>
      </w:r>
      <w:r w:rsidRPr="00790EC3">
        <w:rPr>
          <w:rFonts w:ascii="Arial" w:hAnsi="Arial" w:cs="Arial"/>
          <w:b/>
          <w:bCs/>
          <w:sz w:val="22"/>
          <w:szCs w:val="22"/>
        </w:rPr>
        <w:t xml:space="preserve">arım dışında hem istihdam hem işgücü </w:t>
      </w:r>
      <w:r>
        <w:rPr>
          <w:rFonts w:ascii="Arial" w:hAnsi="Arial" w:cs="Arial"/>
          <w:b/>
          <w:bCs/>
          <w:sz w:val="22"/>
          <w:szCs w:val="22"/>
        </w:rPr>
        <w:t>hızla</w:t>
      </w:r>
      <w:r w:rsidRPr="00790EC3">
        <w:rPr>
          <w:rFonts w:ascii="Arial" w:hAnsi="Arial" w:cs="Arial"/>
          <w:b/>
          <w:bCs/>
          <w:sz w:val="22"/>
          <w:szCs w:val="22"/>
        </w:rPr>
        <w:t xml:space="preserve"> artıyor</w:t>
      </w:r>
    </w:p>
    <w:p w:rsidR="001D416D" w:rsidRDefault="001D416D" w:rsidP="00E62C39">
      <w:pPr>
        <w:pStyle w:val="Caption"/>
        <w:keepNext/>
        <w:rPr>
          <w:rFonts w:ascii="Arial" w:hAnsi="Arial" w:cs="Arial"/>
        </w:rPr>
      </w:pPr>
    </w:p>
    <w:p w:rsidR="001D416D" w:rsidRDefault="001D416D" w:rsidP="00E62C39">
      <w:pPr>
        <w:pStyle w:val="Caption"/>
        <w:keepNext/>
        <w:rPr>
          <w:rFonts w:ascii="Arial" w:hAnsi="Arial" w:cs="Arial"/>
        </w:rPr>
      </w:pPr>
      <w:r w:rsidRPr="001541B3">
        <w:rPr>
          <w:rFonts w:ascii="Arial" w:hAnsi="Arial" w:cs="Arial"/>
        </w:rPr>
        <w:t xml:space="preserve">Şekil </w:t>
      </w:r>
      <w:r w:rsidR="00F11D48" w:rsidRPr="001541B3">
        <w:rPr>
          <w:rFonts w:ascii="Arial" w:hAnsi="Arial" w:cs="Arial"/>
        </w:rPr>
        <w:fldChar w:fldCharType="begin"/>
      </w:r>
      <w:r w:rsidRPr="001541B3">
        <w:rPr>
          <w:rFonts w:ascii="Arial" w:hAnsi="Arial" w:cs="Arial"/>
        </w:rPr>
        <w:instrText xml:space="preserve"> SEQ Figure \* ARABIC </w:instrText>
      </w:r>
      <w:r w:rsidR="00F11D48" w:rsidRPr="001541B3">
        <w:rPr>
          <w:rFonts w:ascii="Arial" w:hAnsi="Arial" w:cs="Arial"/>
        </w:rPr>
        <w:fldChar w:fldCharType="separate"/>
      </w:r>
      <w:r>
        <w:rPr>
          <w:rFonts w:ascii="Arial" w:hAnsi="Arial" w:cs="Arial"/>
          <w:noProof/>
        </w:rPr>
        <w:t>1</w:t>
      </w:r>
      <w:r w:rsidR="00F11D48" w:rsidRPr="001541B3">
        <w:rPr>
          <w:rFonts w:ascii="Arial" w:hAnsi="Arial" w:cs="Arial"/>
        </w:rPr>
        <w:fldChar w:fldCharType="end"/>
      </w:r>
      <w:r w:rsidRPr="001541B3">
        <w:rPr>
          <w:rFonts w:ascii="Arial" w:hAnsi="Arial" w:cs="Arial"/>
        </w:rPr>
        <w:t xml:space="preserve"> Tarım dışı işgücü ve tarım dışı istihdamın, tarım dışı issiz sayısı değişimine etkisi (yıllık)</w:t>
      </w:r>
    </w:p>
    <w:p w:rsidR="001D416D" w:rsidRPr="00C2293C" w:rsidRDefault="00F11D48" w:rsidP="00C2293C">
      <w:r>
        <w:rPr>
          <w:noProof/>
          <w:lang w:eastAsia="tr-TR"/>
        </w:rPr>
        <w:pict>
          <v:shape id="Picture 13" o:spid="_x0000_i1025" type="#_x0000_t75" alt="sekil1.jpg" style="width:441.75pt;height:270pt;visibility:visible">
            <v:imagedata r:id="rId9" o:title=""/>
          </v:shape>
        </w:pict>
      </w:r>
    </w:p>
    <w:p w:rsidR="001D416D" w:rsidRDefault="001D416D" w:rsidP="00D77F6C">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1D416D" w:rsidRDefault="001D416D" w:rsidP="00D77F6C">
      <w:pPr>
        <w:rPr>
          <w:rFonts w:ascii="Arial" w:hAnsi="Arial" w:cs="Arial"/>
          <w:b/>
          <w:bCs/>
          <w:sz w:val="16"/>
          <w:szCs w:val="16"/>
        </w:rPr>
      </w:pPr>
    </w:p>
    <w:p w:rsidR="001D416D" w:rsidRDefault="001D416D" w:rsidP="001102FC">
      <w:pPr>
        <w:rPr>
          <w:rFonts w:ascii="Arial" w:hAnsi="Arial" w:cs="Arial"/>
          <w:sz w:val="20"/>
          <w:szCs w:val="20"/>
        </w:rPr>
      </w:pPr>
      <w:r w:rsidRPr="00441213">
        <w:rPr>
          <w:rFonts w:ascii="Arial" w:hAnsi="Arial" w:cs="Arial"/>
          <w:sz w:val="20"/>
          <w:szCs w:val="20"/>
        </w:rPr>
        <w:t xml:space="preserve">TÜİK’in açıkladığı işgücü verilerine göre </w:t>
      </w:r>
      <w:r>
        <w:rPr>
          <w:rFonts w:ascii="Arial" w:hAnsi="Arial" w:cs="Arial"/>
          <w:sz w:val="20"/>
          <w:szCs w:val="20"/>
        </w:rPr>
        <w:t>Şubat 2013</w:t>
      </w:r>
      <w:r w:rsidRPr="00441213">
        <w:rPr>
          <w:rFonts w:ascii="Arial" w:hAnsi="Arial" w:cs="Arial"/>
          <w:sz w:val="20"/>
          <w:szCs w:val="20"/>
        </w:rPr>
        <w:t xml:space="preserve"> </w:t>
      </w:r>
      <w:r>
        <w:rPr>
          <w:rFonts w:ascii="Arial" w:hAnsi="Arial" w:cs="Arial"/>
          <w:sz w:val="20"/>
          <w:szCs w:val="20"/>
        </w:rPr>
        <w:t>döneminde,</w:t>
      </w:r>
      <w:r w:rsidRPr="00441213">
        <w:rPr>
          <w:rFonts w:ascii="Arial" w:hAnsi="Arial" w:cs="Arial"/>
          <w:sz w:val="20"/>
          <w:szCs w:val="20"/>
        </w:rPr>
        <w:t xml:space="preserve"> bir</w:t>
      </w:r>
      <w:r>
        <w:rPr>
          <w:rFonts w:ascii="Arial" w:hAnsi="Arial" w:cs="Arial"/>
          <w:sz w:val="20"/>
          <w:szCs w:val="20"/>
        </w:rPr>
        <w:t xml:space="preserve"> önceki yılın aynı dönemine göre</w:t>
      </w:r>
      <w:r w:rsidRPr="00441213">
        <w:rPr>
          <w:rFonts w:ascii="Arial" w:hAnsi="Arial" w:cs="Arial"/>
          <w:sz w:val="20"/>
          <w:szCs w:val="20"/>
        </w:rPr>
        <w:t xml:space="preserve"> tarım dışı işgücü </w:t>
      </w:r>
      <w:r>
        <w:rPr>
          <w:rFonts w:ascii="Arial" w:hAnsi="Arial" w:cs="Arial"/>
          <w:sz w:val="20"/>
          <w:szCs w:val="20"/>
        </w:rPr>
        <w:t xml:space="preserve">1 milyon 315 </w:t>
      </w:r>
      <w:r w:rsidRPr="00441213">
        <w:rPr>
          <w:rFonts w:ascii="Arial" w:hAnsi="Arial" w:cs="Arial"/>
          <w:sz w:val="20"/>
          <w:szCs w:val="20"/>
        </w:rPr>
        <w:t xml:space="preserve">bin (yüzde </w:t>
      </w:r>
      <w:r>
        <w:rPr>
          <w:rFonts w:ascii="Arial" w:hAnsi="Arial" w:cs="Arial"/>
          <w:sz w:val="20"/>
          <w:szCs w:val="20"/>
        </w:rPr>
        <w:t>6,4</w:t>
      </w:r>
      <w:r w:rsidRPr="00441213">
        <w:rPr>
          <w:rFonts w:ascii="Arial" w:hAnsi="Arial" w:cs="Arial"/>
          <w:sz w:val="20"/>
          <w:szCs w:val="20"/>
        </w:rPr>
        <w:t>), tarım dışı istihdam</w:t>
      </w:r>
      <w:r>
        <w:rPr>
          <w:rFonts w:ascii="Arial" w:hAnsi="Arial" w:cs="Arial"/>
          <w:sz w:val="20"/>
          <w:szCs w:val="20"/>
        </w:rPr>
        <w:t xml:space="preserve"> ise 1 milyon 104 </w:t>
      </w:r>
      <w:r w:rsidRPr="00441213">
        <w:rPr>
          <w:rFonts w:ascii="Arial" w:hAnsi="Arial" w:cs="Arial"/>
          <w:sz w:val="20"/>
          <w:szCs w:val="20"/>
        </w:rPr>
        <w:t>bin kişi (yüzde</w:t>
      </w:r>
      <w:r>
        <w:rPr>
          <w:rFonts w:ascii="Arial" w:hAnsi="Arial" w:cs="Arial"/>
          <w:sz w:val="20"/>
          <w:szCs w:val="20"/>
        </w:rPr>
        <w:t xml:space="preserve"> 6,2</w:t>
      </w:r>
      <w:r w:rsidRPr="00441213">
        <w:rPr>
          <w:rFonts w:ascii="Arial" w:hAnsi="Arial" w:cs="Arial"/>
          <w:sz w:val="20"/>
          <w:szCs w:val="20"/>
        </w:rPr>
        <w:t xml:space="preserve">) </w:t>
      </w:r>
      <w:r>
        <w:rPr>
          <w:rFonts w:ascii="Arial" w:hAnsi="Arial" w:cs="Arial"/>
          <w:sz w:val="20"/>
          <w:szCs w:val="20"/>
        </w:rPr>
        <w:t>artmıştır</w:t>
      </w:r>
      <w:r w:rsidR="005624F0">
        <w:rPr>
          <w:rFonts w:ascii="Arial" w:hAnsi="Arial" w:cs="Arial"/>
          <w:sz w:val="20"/>
          <w:szCs w:val="20"/>
        </w:rPr>
        <w:t xml:space="preserve"> </w:t>
      </w:r>
      <w:r w:rsidRPr="00441213">
        <w:rPr>
          <w:rFonts w:ascii="Arial" w:hAnsi="Arial" w:cs="Arial"/>
          <w:sz w:val="20"/>
          <w:szCs w:val="20"/>
        </w:rPr>
        <w:t>(Şekil 1</w:t>
      </w:r>
      <w:r>
        <w:rPr>
          <w:rFonts w:ascii="Arial" w:hAnsi="Arial" w:cs="Arial"/>
          <w:sz w:val="20"/>
          <w:szCs w:val="20"/>
        </w:rPr>
        <w:t>). Büyümenin yüzde 3’ün altında seyretmesine karşın istihdamda yüksek artış dikkat çekiyor</w:t>
      </w:r>
      <w:r w:rsidRPr="00441213">
        <w:rPr>
          <w:rFonts w:ascii="Arial" w:hAnsi="Arial" w:cs="Arial"/>
          <w:sz w:val="20"/>
          <w:szCs w:val="20"/>
        </w:rPr>
        <w:t>.</w:t>
      </w:r>
      <w:r>
        <w:rPr>
          <w:rFonts w:ascii="Arial" w:hAnsi="Arial" w:cs="Arial"/>
          <w:sz w:val="20"/>
          <w:szCs w:val="20"/>
        </w:rPr>
        <w:t xml:space="preserve"> Yıllık bazda tarım dışı </w:t>
      </w:r>
      <w:r>
        <w:rPr>
          <w:rFonts w:ascii="Arial" w:hAnsi="Arial" w:cs="Arial"/>
          <w:sz w:val="20"/>
          <w:szCs w:val="20"/>
        </w:rPr>
        <w:lastRenderedPageBreak/>
        <w:t xml:space="preserve">istihdam son bir yılın en kuvvetli artışını kaydetmiştir. Diğer taraftan tarım dışı işgücündeki artış yıllık olarak Ocak 2005’ten bu yana kaydedilmiş en büyük artıştır.   </w:t>
      </w:r>
    </w:p>
    <w:p w:rsidR="001D416D" w:rsidRDefault="001D416D" w:rsidP="00F772C9">
      <w:pPr>
        <w:rPr>
          <w:rFonts w:ascii="Arial" w:hAnsi="Arial" w:cs="Arial"/>
          <w:b/>
          <w:bCs/>
          <w:sz w:val="22"/>
          <w:szCs w:val="22"/>
        </w:rPr>
      </w:pPr>
    </w:p>
    <w:p w:rsidR="001D416D" w:rsidRPr="00CF7B9C" w:rsidRDefault="001D416D" w:rsidP="00F772C9">
      <w:pPr>
        <w:rPr>
          <w:rFonts w:ascii="Arial" w:hAnsi="Arial" w:cs="Arial"/>
          <w:sz w:val="16"/>
          <w:szCs w:val="16"/>
        </w:rPr>
      </w:pPr>
      <w:r w:rsidRPr="002A5BF6">
        <w:rPr>
          <w:rFonts w:ascii="Arial" w:hAnsi="Arial" w:cs="Arial"/>
          <w:b/>
          <w:bCs/>
          <w:sz w:val="22"/>
          <w:szCs w:val="22"/>
        </w:rPr>
        <w:t>Mevsim etkilerinden arındırılmış tarım dışı işsizlik düşmeye devam ediyor</w:t>
      </w:r>
      <w:r>
        <w:rPr>
          <w:rFonts w:ascii="Arial" w:hAnsi="Arial" w:cs="Arial"/>
          <w:b/>
          <w:bCs/>
          <w:sz w:val="22"/>
          <w:szCs w:val="22"/>
        </w:rPr>
        <w:t xml:space="preserve">  </w:t>
      </w:r>
    </w:p>
    <w:p w:rsidR="001D416D" w:rsidRPr="001541B3" w:rsidRDefault="001D416D" w:rsidP="00D77F6C">
      <w:pPr>
        <w:rPr>
          <w:rFonts w:ascii="Arial" w:hAnsi="Arial" w:cs="Arial"/>
          <w:sz w:val="20"/>
          <w:szCs w:val="20"/>
        </w:rPr>
      </w:pPr>
    </w:p>
    <w:p w:rsidR="001D416D" w:rsidRDefault="001D416D" w:rsidP="00A720A3">
      <w:pPr>
        <w:rPr>
          <w:rFonts w:ascii="Arial" w:hAnsi="Arial" w:cs="Arial"/>
          <w:sz w:val="20"/>
          <w:szCs w:val="20"/>
        </w:rPr>
      </w:pPr>
      <w:r w:rsidRPr="008B209F">
        <w:rPr>
          <w:rFonts w:ascii="Arial" w:hAnsi="Arial" w:cs="Arial"/>
          <w:sz w:val="20"/>
          <w:szCs w:val="20"/>
        </w:rPr>
        <w:t xml:space="preserve">Mevsim etkilerinden arındırılmış verilere göre </w:t>
      </w:r>
      <w:r>
        <w:rPr>
          <w:rFonts w:ascii="Arial" w:hAnsi="Arial" w:cs="Arial"/>
          <w:sz w:val="20"/>
          <w:szCs w:val="20"/>
        </w:rPr>
        <w:t xml:space="preserve">Şubat </w:t>
      </w:r>
      <w:r w:rsidRPr="008B209F">
        <w:rPr>
          <w:rFonts w:ascii="Arial" w:hAnsi="Arial" w:cs="Arial"/>
          <w:sz w:val="20"/>
          <w:szCs w:val="20"/>
        </w:rPr>
        <w:t xml:space="preserve">döneminde </w:t>
      </w:r>
      <w:r>
        <w:rPr>
          <w:rFonts w:ascii="Arial" w:hAnsi="Arial" w:cs="Arial"/>
          <w:sz w:val="20"/>
          <w:szCs w:val="20"/>
        </w:rPr>
        <w:t>Ocak</w:t>
      </w:r>
      <w:r w:rsidRPr="008B209F">
        <w:rPr>
          <w:rFonts w:ascii="Arial" w:hAnsi="Arial" w:cs="Arial"/>
          <w:sz w:val="20"/>
          <w:szCs w:val="20"/>
        </w:rPr>
        <w:t xml:space="preserve"> dönemiyle kıyaslandığında tarım dışı işgücü</w:t>
      </w:r>
      <w:r>
        <w:rPr>
          <w:rFonts w:ascii="Arial" w:hAnsi="Arial" w:cs="Arial"/>
          <w:sz w:val="20"/>
          <w:szCs w:val="20"/>
        </w:rPr>
        <w:t xml:space="preserve"> 67 bin artarak 21 milyon 964 </w:t>
      </w:r>
      <w:r w:rsidRPr="008B209F">
        <w:rPr>
          <w:rFonts w:ascii="Arial" w:hAnsi="Arial" w:cs="Arial"/>
          <w:sz w:val="20"/>
          <w:szCs w:val="20"/>
        </w:rPr>
        <w:t xml:space="preserve">bine </w:t>
      </w:r>
      <w:r>
        <w:rPr>
          <w:rFonts w:ascii="Arial" w:hAnsi="Arial" w:cs="Arial"/>
          <w:sz w:val="20"/>
          <w:szCs w:val="20"/>
        </w:rPr>
        <w:t>yükseldi</w:t>
      </w:r>
      <w:r w:rsidRPr="008B209F">
        <w:rPr>
          <w:rFonts w:ascii="Arial" w:hAnsi="Arial" w:cs="Arial"/>
          <w:sz w:val="20"/>
          <w:szCs w:val="20"/>
        </w:rPr>
        <w:t xml:space="preserve"> (Şekil 2,Tablo 1). Tarım dışı istihdam </w:t>
      </w:r>
      <w:r>
        <w:rPr>
          <w:rFonts w:ascii="Arial" w:hAnsi="Arial" w:cs="Arial"/>
          <w:sz w:val="20"/>
          <w:szCs w:val="20"/>
        </w:rPr>
        <w:t xml:space="preserve">ise 91 </w:t>
      </w:r>
      <w:r w:rsidRPr="008B209F">
        <w:rPr>
          <w:rFonts w:ascii="Arial" w:hAnsi="Arial" w:cs="Arial"/>
          <w:sz w:val="20"/>
          <w:szCs w:val="20"/>
        </w:rPr>
        <w:t xml:space="preserve">binlik bir </w:t>
      </w:r>
      <w:r>
        <w:rPr>
          <w:rFonts w:ascii="Arial" w:hAnsi="Arial" w:cs="Arial"/>
          <w:sz w:val="20"/>
          <w:szCs w:val="20"/>
        </w:rPr>
        <w:t xml:space="preserve">artışla 19 </w:t>
      </w:r>
      <w:r w:rsidRPr="008B209F">
        <w:rPr>
          <w:rFonts w:ascii="Arial" w:hAnsi="Arial" w:cs="Arial"/>
          <w:sz w:val="20"/>
          <w:szCs w:val="20"/>
        </w:rPr>
        <w:t xml:space="preserve">milyon </w:t>
      </w:r>
      <w:r>
        <w:rPr>
          <w:rFonts w:ascii="Arial" w:hAnsi="Arial" w:cs="Arial"/>
          <w:sz w:val="20"/>
          <w:szCs w:val="20"/>
        </w:rPr>
        <w:t xml:space="preserve">420 </w:t>
      </w:r>
      <w:r w:rsidRPr="008B209F">
        <w:rPr>
          <w:rFonts w:ascii="Arial" w:hAnsi="Arial" w:cs="Arial"/>
          <w:sz w:val="20"/>
          <w:szCs w:val="20"/>
        </w:rPr>
        <w:t xml:space="preserve">bine </w:t>
      </w:r>
      <w:r>
        <w:rPr>
          <w:rFonts w:ascii="Arial" w:hAnsi="Arial" w:cs="Arial"/>
          <w:sz w:val="20"/>
          <w:szCs w:val="20"/>
        </w:rPr>
        <w:t>ulaşmıştır</w:t>
      </w:r>
      <w:r w:rsidRPr="008B209F">
        <w:rPr>
          <w:rFonts w:ascii="Arial" w:hAnsi="Arial" w:cs="Arial"/>
          <w:sz w:val="20"/>
          <w:szCs w:val="20"/>
        </w:rPr>
        <w:t xml:space="preserve">. </w:t>
      </w:r>
      <w:r w:rsidRPr="001D07AB">
        <w:rPr>
          <w:rFonts w:ascii="Arial" w:hAnsi="Arial" w:cs="Arial"/>
          <w:sz w:val="20"/>
          <w:szCs w:val="20"/>
        </w:rPr>
        <w:t xml:space="preserve">Bu gelişmeler sonucunda </w:t>
      </w:r>
      <w:r>
        <w:rPr>
          <w:rFonts w:ascii="Arial" w:hAnsi="Arial" w:cs="Arial"/>
          <w:sz w:val="20"/>
          <w:szCs w:val="20"/>
        </w:rPr>
        <w:t xml:space="preserve">tarım dışı işsiz sayısı 23 bin azalmış, </w:t>
      </w:r>
      <w:r w:rsidRPr="001D07AB">
        <w:rPr>
          <w:rFonts w:ascii="Arial" w:hAnsi="Arial" w:cs="Arial"/>
          <w:sz w:val="20"/>
          <w:szCs w:val="20"/>
        </w:rPr>
        <w:t xml:space="preserve">tarım dışı işsizlik oranı </w:t>
      </w:r>
      <w:r>
        <w:rPr>
          <w:rFonts w:ascii="Arial" w:hAnsi="Arial" w:cs="Arial"/>
          <w:sz w:val="20"/>
          <w:szCs w:val="20"/>
        </w:rPr>
        <w:t>yüzde 11,6 seviyesine gerilemiştir.</w:t>
      </w:r>
    </w:p>
    <w:p w:rsidR="001D416D" w:rsidRPr="001541B3" w:rsidRDefault="001D416D" w:rsidP="00A720A3">
      <w:pPr>
        <w:rPr>
          <w:rFonts w:ascii="Arial" w:hAnsi="Arial" w:cs="Arial"/>
          <w:sz w:val="20"/>
          <w:szCs w:val="20"/>
        </w:rPr>
      </w:pPr>
    </w:p>
    <w:p w:rsidR="001D416D" w:rsidRPr="001541B3" w:rsidRDefault="001D416D" w:rsidP="00FD0559">
      <w:pPr>
        <w:pStyle w:val="Caption"/>
        <w:keepNext/>
        <w:rPr>
          <w:rFonts w:ascii="Arial" w:hAnsi="Arial" w:cs="Arial"/>
        </w:rPr>
      </w:pPr>
      <w:r w:rsidRPr="001541B3">
        <w:rPr>
          <w:rFonts w:ascii="Arial" w:hAnsi="Arial" w:cs="Arial"/>
        </w:rPr>
        <w:t xml:space="preserve">Şekil </w:t>
      </w:r>
      <w:r w:rsidR="00F11D48" w:rsidRPr="001541B3">
        <w:rPr>
          <w:rFonts w:ascii="Arial" w:hAnsi="Arial" w:cs="Arial"/>
        </w:rPr>
        <w:fldChar w:fldCharType="begin"/>
      </w:r>
      <w:r w:rsidRPr="001541B3">
        <w:rPr>
          <w:rFonts w:ascii="Arial" w:hAnsi="Arial" w:cs="Arial"/>
        </w:rPr>
        <w:instrText xml:space="preserve"> SEQ Figure \* ARABIC </w:instrText>
      </w:r>
      <w:r w:rsidR="00F11D48" w:rsidRPr="001541B3">
        <w:rPr>
          <w:rFonts w:ascii="Arial" w:hAnsi="Arial" w:cs="Arial"/>
        </w:rPr>
        <w:fldChar w:fldCharType="separate"/>
      </w:r>
      <w:r>
        <w:rPr>
          <w:rFonts w:ascii="Arial" w:hAnsi="Arial" w:cs="Arial"/>
          <w:noProof/>
        </w:rPr>
        <w:t>2</w:t>
      </w:r>
      <w:r w:rsidR="00F11D48" w:rsidRPr="001541B3">
        <w:rPr>
          <w:rFonts w:ascii="Arial" w:hAnsi="Arial" w:cs="Arial"/>
        </w:rPr>
        <w:fldChar w:fldCharType="end"/>
      </w:r>
      <w:r w:rsidRPr="001541B3">
        <w:rPr>
          <w:rFonts w:ascii="Arial" w:hAnsi="Arial" w:cs="Arial"/>
        </w:rPr>
        <w:t xml:space="preserve"> Mevsim etkilerinden arındırılmış tarım dışı işgücü, istihdam ve işsizlik oranı </w:t>
      </w:r>
    </w:p>
    <w:p w:rsidR="001D416D" w:rsidRPr="001541B3" w:rsidRDefault="005624F0">
      <w:r>
        <w:rPr>
          <w:noProof/>
          <w:lang w:eastAsia="tr-TR"/>
        </w:rPr>
        <w:pict>
          <v:shape id="Picture 7" o:spid="_x0000_i1026" type="#_x0000_t75" alt="sekil2.jpg" style="width:402pt;height:210pt;visibility:visible">
            <v:imagedata r:id="rId10" o:title=""/>
          </v:shape>
        </w:pict>
      </w:r>
    </w:p>
    <w:p w:rsidR="001D416D" w:rsidRPr="0004249C" w:rsidRDefault="001D416D">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r w:rsidRPr="0004249C">
        <w:rPr>
          <w:rFonts w:ascii="Arial" w:hAnsi="Arial" w:cs="Arial"/>
          <w:sz w:val="16"/>
          <w:szCs w:val="16"/>
        </w:rPr>
        <w:t xml:space="preserve"> </w:t>
      </w:r>
    </w:p>
    <w:p w:rsidR="001D416D" w:rsidRPr="0004249C" w:rsidRDefault="001D416D" w:rsidP="009B164C">
      <w:pPr>
        <w:rPr>
          <w:rFonts w:ascii="Arial" w:hAnsi="Arial" w:cs="Arial"/>
          <w:b/>
          <w:bCs/>
          <w:sz w:val="22"/>
          <w:szCs w:val="22"/>
        </w:rPr>
      </w:pPr>
    </w:p>
    <w:p w:rsidR="001D416D" w:rsidRDefault="001D416D" w:rsidP="008354E3">
      <w:pPr>
        <w:rPr>
          <w:rFonts w:ascii="Arial" w:hAnsi="Arial" w:cs="Arial"/>
          <w:b/>
          <w:bCs/>
          <w:sz w:val="22"/>
          <w:szCs w:val="22"/>
        </w:rPr>
      </w:pPr>
      <w:r w:rsidRPr="00AB29E7">
        <w:rPr>
          <w:rFonts w:ascii="Arial" w:hAnsi="Arial" w:cs="Arial"/>
          <w:b/>
          <w:bCs/>
          <w:sz w:val="22"/>
          <w:szCs w:val="22"/>
        </w:rPr>
        <w:t>Kariyer.net verilerine göre işsizlik Mart 2013’te düşmeye devam edebilir</w:t>
      </w:r>
    </w:p>
    <w:p w:rsidR="001D416D" w:rsidRDefault="001D416D" w:rsidP="008354E3">
      <w:pPr>
        <w:rPr>
          <w:rFonts w:ascii="Arial" w:hAnsi="Arial" w:cs="Arial"/>
          <w:sz w:val="20"/>
          <w:szCs w:val="20"/>
        </w:rPr>
      </w:pPr>
    </w:p>
    <w:p w:rsidR="001D416D" w:rsidRPr="003037C7" w:rsidRDefault="001D416D" w:rsidP="004808E7">
      <w:pPr>
        <w:rPr>
          <w:rFonts w:ascii="Arial" w:hAnsi="Arial" w:cs="Arial"/>
          <w:sz w:val="20"/>
          <w:szCs w:val="20"/>
        </w:rPr>
      </w:pPr>
      <w:r w:rsidRPr="00BD4064">
        <w:rPr>
          <w:rFonts w:ascii="Arial" w:hAnsi="Arial" w:cs="Arial"/>
          <w:sz w:val="20"/>
          <w:szCs w:val="20"/>
        </w:rPr>
        <w:t>Kariyer.net tarafından açıklanan</w:t>
      </w:r>
      <w:r>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5"/>
      </w:r>
      <w:r>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 xml:space="preserve">i Mart 2013 döneminde tarım dışı işsizliğin düşmeye devam edebileceğine işaret ediyor.   </w:t>
      </w:r>
    </w:p>
    <w:p w:rsidR="001D416D" w:rsidRPr="00B162C2" w:rsidRDefault="001D416D" w:rsidP="00B162C2">
      <w:pPr>
        <w:rPr>
          <w:rFonts w:ascii="Arial" w:hAnsi="Arial" w:cs="Arial"/>
          <w:sz w:val="20"/>
          <w:szCs w:val="20"/>
        </w:rPr>
      </w:pPr>
    </w:p>
    <w:p w:rsidR="001D416D" w:rsidRPr="001541B3" w:rsidRDefault="001D416D" w:rsidP="009B6842">
      <w:pPr>
        <w:pStyle w:val="Caption"/>
        <w:keepNext/>
        <w:rPr>
          <w:rFonts w:ascii="Arial" w:hAnsi="Arial" w:cs="Arial"/>
        </w:rPr>
      </w:pPr>
      <w:r w:rsidRPr="001541B3">
        <w:rPr>
          <w:rFonts w:ascii="Arial" w:hAnsi="Arial" w:cs="Arial"/>
        </w:rPr>
        <w:t xml:space="preserve">Şekil </w:t>
      </w:r>
      <w:r w:rsidR="00F11D48" w:rsidRPr="001541B3">
        <w:rPr>
          <w:rFonts w:ascii="Arial" w:hAnsi="Arial" w:cs="Arial"/>
        </w:rPr>
        <w:fldChar w:fldCharType="begin"/>
      </w:r>
      <w:r w:rsidRPr="001541B3">
        <w:rPr>
          <w:rFonts w:ascii="Arial" w:hAnsi="Arial" w:cs="Arial"/>
        </w:rPr>
        <w:instrText xml:space="preserve"> SEQ Figure \* ARABIC </w:instrText>
      </w:r>
      <w:r w:rsidR="00F11D48" w:rsidRPr="001541B3">
        <w:rPr>
          <w:rFonts w:ascii="Arial" w:hAnsi="Arial" w:cs="Arial"/>
        </w:rPr>
        <w:fldChar w:fldCharType="separate"/>
      </w:r>
      <w:r>
        <w:rPr>
          <w:rFonts w:ascii="Arial" w:hAnsi="Arial" w:cs="Arial"/>
          <w:noProof/>
        </w:rPr>
        <w:t>3</w:t>
      </w:r>
      <w:r w:rsidR="00F11D48" w:rsidRPr="001541B3">
        <w:rPr>
          <w:rFonts w:ascii="Arial" w:hAnsi="Arial" w:cs="Arial"/>
        </w:rPr>
        <w:fldChar w:fldCharType="end"/>
      </w:r>
      <w:r w:rsidRPr="001541B3">
        <w:rPr>
          <w:rFonts w:ascii="Arial" w:hAnsi="Arial" w:cs="Arial"/>
        </w:rPr>
        <w:t xml:space="preserve"> Mevsim etkilerinden arındırılmış tarım dışı işsizlik ora</w:t>
      </w:r>
      <w:r>
        <w:rPr>
          <w:rFonts w:ascii="Arial" w:hAnsi="Arial" w:cs="Arial"/>
        </w:rPr>
        <w:t>nı ve ilan başına başvuru sayısı</w:t>
      </w:r>
    </w:p>
    <w:p w:rsidR="001D416D" w:rsidRPr="001541B3" w:rsidRDefault="005624F0" w:rsidP="009B6842">
      <w:pPr>
        <w:rPr>
          <w:rFonts w:ascii="Arial" w:hAnsi="Arial" w:cs="Arial"/>
          <w:b/>
          <w:bCs/>
          <w:sz w:val="20"/>
          <w:szCs w:val="20"/>
          <w:highlight w:val="lightGray"/>
        </w:rPr>
      </w:pPr>
      <w:r w:rsidRPr="00F11D48">
        <w:rPr>
          <w:rFonts w:ascii="Arial" w:hAnsi="Arial" w:cs="Arial"/>
          <w:b/>
          <w:bCs/>
          <w:noProof/>
          <w:sz w:val="20"/>
          <w:szCs w:val="20"/>
          <w:lang w:eastAsia="tr-TR"/>
        </w:rPr>
        <w:pict>
          <v:shape id="Picture 8" o:spid="_x0000_i1027" type="#_x0000_t75" alt="ilan başına başvuru.jpg" style="width:422.25pt;height:231pt;visibility:visible">
            <v:imagedata r:id="rId11" o:title=""/>
          </v:shape>
        </w:pict>
      </w:r>
    </w:p>
    <w:p w:rsidR="001D416D" w:rsidRPr="0046669F" w:rsidRDefault="001D416D" w:rsidP="009B164C">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1D416D" w:rsidRDefault="001D416D" w:rsidP="00AC7A58">
      <w:pPr>
        <w:rPr>
          <w:rFonts w:ascii="Arial" w:hAnsi="Arial" w:cs="Arial"/>
          <w:sz w:val="20"/>
          <w:szCs w:val="20"/>
        </w:rPr>
        <w:sectPr w:rsidR="001D416D" w:rsidSect="0000377B">
          <w:footerReference w:type="default" r:id="rId12"/>
          <w:pgSz w:w="11905" w:h="16837"/>
          <w:pgMar w:top="1418" w:right="992" w:bottom="777" w:left="709" w:header="709" w:footer="709" w:gutter="0"/>
          <w:cols w:space="708"/>
          <w:rtlGutter/>
          <w:docGrid w:linePitch="360"/>
        </w:sectPr>
      </w:pPr>
    </w:p>
    <w:p w:rsidR="001D416D" w:rsidRDefault="001D416D" w:rsidP="00AC7A58">
      <w:pPr>
        <w:rPr>
          <w:rFonts w:ascii="Arial" w:hAnsi="Arial" w:cs="Arial"/>
          <w:b/>
          <w:bCs/>
          <w:sz w:val="20"/>
          <w:szCs w:val="20"/>
        </w:rPr>
      </w:pPr>
    </w:p>
    <w:p w:rsidR="001D416D" w:rsidRDefault="001D416D" w:rsidP="00323218">
      <w:pPr>
        <w:ind w:firstLine="709"/>
        <w:rPr>
          <w:rFonts w:ascii="Arial" w:hAnsi="Arial" w:cs="Arial"/>
          <w:b/>
          <w:bCs/>
          <w:sz w:val="20"/>
          <w:szCs w:val="20"/>
        </w:rPr>
      </w:pPr>
      <w:r w:rsidRPr="001541B3">
        <w:rPr>
          <w:rFonts w:ascii="Arial" w:hAnsi="Arial" w:cs="Arial"/>
          <w:b/>
          <w:bCs/>
          <w:sz w:val="20"/>
          <w:szCs w:val="20"/>
        </w:rPr>
        <w:t xml:space="preserve">Şekil </w:t>
      </w:r>
      <w:r w:rsidR="00F11D48" w:rsidRPr="001541B3">
        <w:rPr>
          <w:rFonts w:ascii="Arial" w:hAnsi="Arial" w:cs="Arial"/>
          <w:b/>
          <w:bCs/>
          <w:sz w:val="20"/>
          <w:szCs w:val="20"/>
        </w:rPr>
        <w:fldChar w:fldCharType="begin"/>
      </w:r>
      <w:r w:rsidRPr="001541B3">
        <w:rPr>
          <w:rFonts w:ascii="Arial" w:hAnsi="Arial" w:cs="Arial"/>
          <w:b/>
          <w:bCs/>
          <w:sz w:val="20"/>
          <w:szCs w:val="20"/>
        </w:rPr>
        <w:instrText xml:space="preserve"> SEQ Figure \* ARABIC </w:instrText>
      </w:r>
      <w:r w:rsidR="00F11D48" w:rsidRPr="001541B3">
        <w:rPr>
          <w:rFonts w:ascii="Arial" w:hAnsi="Arial" w:cs="Arial"/>
          <w:b/>
          <w:bCs/>
          <w:sz w:val="20"/>
          <w:szCs w:val="20"/>
        </w:rPr>
        <w:fldChar w:fldCharType="separate"/>
      </w:r>
      <w:r>
        <w:rPr>
          <w:rFonts w:ascii="Arial" w:hAnsi="Arial" w:cs="Arial"/>
          <w:b/>
          <w:bCs/>
          <w:noProof/>
          <w:sz w:val="20"/>
          <w:szCs w:val="20"/>
        </w:rPr>
        <w:t>4</w:t>
      </w:r>
      <w:r w:rsidR="00F11D48" w:rsidRPr="001541B3">
        <w:rPr>
          <w:rFonts w:ascii="Arial" w:hAnsi="Arial" w:cs="Arial"/>
          <w:b/>
          <w:bCs/>
          <w:sz w:val="20"/>
          <w:szCs w:val="20"/>
        </w:rPr>
        <w:fldChar w:fldCharType="end"/>
      </w:r>
      <w:r w:rsidRPr="001541B3">
        <w:rPr>
          <w:rFonts w:ascii="Arial" w:hAnsi="Arial" w:cs="Arial"/>
          <w:b/>
          <w:bCs/>
          <w:sz w:val="20"/>
          <w:szCs w:val="20"/>
        </w:rPr>
        <w:t xml:space="preserve"> Sektörlerin istihdam değişimi (bin kişi)</w:t>
      </w:r>
      <w:r w:rsidRPr="001541B3">
        <w:rPr>
          <w:rStyle w:val="FootnoteReference"/>
          <w:rFonts w:ascii="Arial" w:hAnsi="Arial" w:cs="Arial"/>
          <w:b/>
          <w:bCs/>
          <w:sz w:val="20"/>
          <w:szCs w:val="20"/>
        </w:rPr>
        <w:footnoteReference w:id="6"/>
      </w:r>
    </w:p>
    <w:p w:rsidR="001D416D" w:rsidRPr="001541B3" w:rsidRDefault="005624F0" w:rsidP="00323218">
      <w:r>
        <w:rPr>
          <w:noProof/>
          <w:lang w:eastAsia="tr-TR"/>
        </w:rPr>
        <w:pict>
          <v:shape id="Picture 12" o:spid="_x0000_i1028" type="#_x0000_t75" alt="ek1.jpg" style="width:727.5pt;height:404.25pt;visibility:visible">
            <v:imagedata r:id="rId13" o:title=""/>
          </v:shape>
        </w:pict>
      </w:r>
    </w:p>
    <w:p w:rsidR="001D416D" w:rsidRDefault="001D416D" w:rsidP="00323218">
      <w:pPr>
        <w:rPr>
          <w:rFonts w:ascii="Arial" w:hAnsi="Arial" w:cs="Arial"/>
          <w:b/>
          <w:bCs/>
          <w:sz w:val="20"/>
          <w:szCs w:val="20"/>
        </w:rPr>
        <w:sectPr w:rsidR="001D416D"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Betam</w:t>
      </w:r>
    </w:p>
    <w:p w:rsidR="001D416D" w:rsidRDefault="001D416D" w:rsidP="009A4DA4">
      <w:pPr>
        <w:rPr>
          <w:rFonts w:ascii="Arial" w:hAnsi="Arial" w:cs="Arial"/>
          <w:b/>
          <w:bCs/>
          <w:sz w:val="22"/>
          <w:szCs w:val="22"/>
        </w:rPr>
      </w:pPr>
      <w:r w:rsidRPr="00BE220D">
        <w:rPr>
          <w:rFonts w:ascii="Arial" w:hAnsi="Arial" w:cs="Arial"/>
          <w:b/>
          <w:bCs/>
          <w:sz w:val="22"/>
          <w:szCs w:val="22"/>
        </w:rPr>
        <w:lastRenderedPageBreak/>
        <w:t>Sanayi istihdamı artmaya devam ediyor</w:t>
      </w:r>
      <w:r>
        <w:rPr>
          <w:rFonts w:ascii="Arial" w:hAnsi="Arial" w:cs="Arial"/>
          <w:b/>
          <w:bCs/>
          <w:sz w:val="22"/>
          <w:szCs w:val="22"/>
        </w:rPr>
        <w:t xml:space="preserve"> </w:t>
      </w:r>
    </w:p>
    <w:p w:rsidR="001D416D" w:rsidRDefault="001D416D" w:rsidP="009A4DA4">
      <w:pPr>
        <w:rPr>
          <w:rFonts w:ascii="Arial" w:hAnsi="Arial" w:cs="Arial"/>
          <w:sz w:val="20"/>
          <w:szCs w:val="20"/>
        </w:rPr>
      </w:pPr>
    </w:p>
    <w:p w:rsidR="001D416D" w:rsidRDefault="005624F0" w:rsidP="00280E27">
      <w:pPr>
        <w:rPr>
          <w:rFonts w:ascii="Arial" w:hAnsi="Arial" w:cs="Arial"/>
          <w:sz w:val="20"/>
          <w:szCs w:val="20"/>
        </w:rPr>
      </w:pPr>
      <w:r>
        <w:rPr>
          <w:rFonts w:ascii="Arial" w:hAnsi="Arial" w:cs="Arial"/>
          <w:sz w:val="20"/>
          <w:szCs w:val="20"/>
        </w:rPr>
        <w:t xml:space="preserve">Ocak 2013 döneminden </w:t>
      </w:r>
      <w:r w:rsidR="001D416D">
        <w:rPr>
          <w:rFonts w:ascii="Arial" w:hAnsi="Arial" w:cs="Arial"/>
          <w:sz w:val="20"/>
          <w:szCs w:val="20"/>
        </w:rPr>
        <w:t>Şubat 2013 dönemine tüm sektörlerde istihdam artışları kaydedilmiştir (</w:t>
      </w:r>
      <w:r w:rsidR="001D416D" w:rsidRPr="00CB77DB">
        <w:rPr>
          <w:rFonts w:ascii="Arial" w:hAnsi="Arial" w:cs="Arial"/>
          <w:sz w:val="20"/>
          <w:szCs w:val="20"/>
        </w:rPr>
        <w:t>Şekil 4 ve Tablo 2)</w:t>
      </w:r>
      <w:r w:rsidR="001D416D">
        <w:rPr>
          <w:rFonts w:ascii="Arial" w:hAnsi="Arial" w:cs="Arial"/>
          <w:sz w:val="20"/>
          <w:szCs w:val="20"/>
        </w:rPr>
        <w:t>.</w:t>
      </w:r>
      <w:r w:rsidR="001D416D" w:rsidRPr="00CB77DB">
        <w:rPr>
          <w:rStyle w:val="FootnoteReference"/>
          <w:rFonts w:ascii="Arial" w:hAnsi="Arial" w:cs="Arial"/>
          <w:sz w:val="20"/>
          <w:szCs w:val="20"/>
        </w:rPr>
        <w:footnoteReference w:id="7"/>
      </w:r>
      <w:r w:rsidR="001D416D">
        <w:rPr>
          <w:rFonts w:ascii="Arial" w:hAnsi="Arial" w:cs="Arial"/>
          <w:sz w:val="20"/>
          <w:szCs w:val="20"/>
        </w:rPr>
        <w:t xml:space="preserve"> Hizmetlerde ise istihdam artışı yavaşlamış gibi görünmekle birlikte Şubat 2013 döneminde 55 bin bir artış kaydedilmiştir. İnşaat ve tarımda istihdam artışları sırasıyla 9 bin ve 33 bin olarak gerçekleşmiştir. İstihdam sanayide 23 bin artmıştır. 2012 yılının son çeyreğinden beri sanayi istihdamının artışında bir hızlanma olduğu görülmektedir. Ocak ve Şubat 2013’te sanayi üretim endeksinin istikrarlı bir şekilde artmış olmasının sanayi istihdamına yansıdığı düşünülebilir. </w:t>
      </w:r>
    </w:p>
    <w:p w:rsidR="001D416D" w:rsidRDefault="001D416D"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9C4C0C" w:rsidRDefault="009C4C0C" w:rsidP="00280E27">
      <w:pPr>
        <w:rPr>
          <w:rFonts w:ascii="Arial" w:hAnsi="Arial" w:cs="Arial"/>
          <w:sz w:val="20"/>
          <w:szCs w:val="20"/>
        </w:rPr>
      </w:pPr>
    </w:p>
    <w:p w:rsidR="001D416D" w:rsidRPr="009C4C0C"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jc w:val="center"/>
        <w:rPr>
          <w:rFonts w:ascii="Arial" w:hAnsi="Arial" w:cs="Arial"/>
          <w:sz w:val="28"/>
          <w:szCs w:val="28"/>
        </w:rPr>
      </w:pPr>
      <w:r w:rsidRPr="00991299">
        <w:rPr>
          <w:rFonts w:ascii="Arial" w:hAnsi="Arial" w:cs="Arial"/>
          <w:b/>
          <w:bCs/>
          <w:sz w:val="28"/>
          <w:szCs w:val="28"/>
        </w:rPr>
        <w:lastRenderedPageBreak/>
        <w:t>İŞGÜCÜ PİYASASINDA ÖNE ÇIKAN GELİŞMELER</w:t>
      </w: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before="120"/>
        <w:jc w:val="center"/>
        <w:rPr>
          <w:rFonts w:ascii="Arial" w:hAnsi="Arial" w:cs="Arial"/>
          <w:b/>
          <w:bCs/>
          <w:sz w:val="28"/>
          <w:szCs w:val="28"/>
        </w:rPr>
      </w:pPr>
      <w:r w:rsidRPr="00B90510">
        <w:rPr>
          <w:rFonts w:ascii="Arial" w:hAnsi="Arial" w:cs="Arial"/>
          <w:b/>
          <w:bCs/>
          <w:sz w:val="28"/>
          <w:szCs w:val="28"/>
        </w:rPr>
        <w:t>Türkiye işgücü piyasası ne kadar katı?</w:t>
      </w: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jc w:val="center"/>
        <w:rPr>
          <w:rFonts w:ascii="Arial" w:hAnsi="Arial" w:cs="Arial"/>
          <w:b/>
          <w:bCs/>
          <w:sz w:val="28"/>
          <w:szCs w:val="28"/>
        </w:rPr>
      </w:pP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sidRPr="00B90510">
        <w:rPr>
          <w:rFonts w:ascii="Arial" w:hAnsi="Arial" w:cs="Arial"/>
          <w:sz w:val="20"/>
          <w:szCs w:val="20"/>
        </w:rPr>
        <w:t>İşgücü piyasalarının katılığı her zaman tartışma konusudur. Basit bir nedenle: Katılığın ya da esnekliğin genel kabul gören bir ölçütü yoktur. Bununla birlikte OECD işe alma-işten çıkarma maliyetlerinin düzeyi, yarı zamanlı işlerin yaygınlığı, asgari ücretin ortalama ya da medyan ücrete</w:t>
      </w:r>
      <w:r w:rsidRPr="00B90510">
        <w:rPr>
          <w:rStyle w:val="FootnoteReference"/>
          <w:rFonts w:ascii="Arial" w:hAnsi="Arial" w:cs="Arial"/>
          <w:sz w:val="20"/>
          <w:szCs w:val="20"/>
        </w:rPr>
        <w:footnoteReference w:id="8"/>
      </w:r>
      <w:r w:rsidRPr="00B90510">
        <w:rPr>
          <w:rFonts w:ascii="Arial" w:hAnsi="Arial" w:cs="Arial"/>
          <w:sz w:val="20"/>
          <w:szCs w:val="20"/>
        </w:rPr>
        <w:t xml:space="preserve"> oranı gibi çeşitli göstergeleri işgücü piyasasında katılığın derecesini belirlemek için kullanmaktadır. Aşağıdaki şekilde OECD’nin üye ülkeler için hesapladığı 2011 yılı asgari ücretin ortalama ve medyan ücrete oranları yer alıyor. Uluslararası karşılaştırmayı kolaylaştırmak için OECD’nin medyan ücret yerine tüm çalışan gelirlerini kapsayan medyan kazan</w:t>
      </w:r>
      <w:r>
        <w:rPr>
          <w:rFonts w:ascii="Arial" w:hAnsi="Arial" w:cs="Arial"/>
          <w:sz w:val="20"/>
          <w:szCs w:val="20"/>
        </w:rPr>
        <w:t>cı</w:t>
      </w:r>
      <w:r w:rsidRPr="00B90510">
        <w:rPr>
          <w:rFonts w:ascii="Arial" w:hAnsi="Arial" w:cs="Arial"/>
          <w:sz w:val="20"/>
          <w:szCs w:val="20"/>
        </w:rPr>
        <w:t xml:space="preserve"> kullandığını belirtelim. </w:t>
      </w:r>
      <w:r>
        <w:rPr>
          <w:rFonts w:ascii="Arial" w:hAnsi="Arial" w:cs="Arial"/>
          <w:sz w:val="20"/>
          <w:szCs w:val="20"/>
        </w:rPr>
        <w:t xml:space="preserve">Kazançların sadece ücretlerden ibaret olmadığını, vergiler, fazla mesai ödemeleri, bonus gibi ek ödemeleri de kapsadığını hatırlatalım. Bu haliyle ücretler aslında emek faktörünün firmaya olan maliyetini yansıtır. OECD </w:t>
      </w:r>
      <w:r w:rsidRPr="00B90510">
        <w:rPr>
          <w:rFonts w:ascii="Arial" w:hAnsi="Arial" w:cs="Arial"/>
          <w:sz w:val="20"/>
          <w:szCs w:val="20"/>
        </w:rPr>
        <w:t>Türkiye’ye ilişkin rakamlar</w:t>
      </w:r>
      <w:r>
        <w:rPr>
          <w:rFonts w:ascii="Arial" w:hAnsi="Arial" w:cs="Arial"/>
          <w:sz w:val="20"/>
          <w:szCs w:val="20"/>
        </w:rPr>
        <w:t>ı</w:t>
      </w:r>
      <w:r w:rsidRPr="00B90510">
        <w:rPr>
          <w:rFonts w:ascii="Arial" w:hAnsi="Arial" w:cs="Arial"/>
          <w:sz w:val="20"/>
          <w:szCs w:val="20"/>
        </w:rPr>
        <w:t xml:space="preserve"> Kazanç</w:t>
      </w:r>
      <w:r>
        <w:rPr>
          <w:rFonts w:ascii="Arial" w:hAnsi="Arial" w:cs="Arial"/>
          <w:sz w:val="20"/>
          <w:szCs w:val="20"/>
        </w:rPr>
        <w:t xml:space="preserve"> Yapısı</w:t>
      </w:r>
      <w:r w:rsidRPr="00B90510">
        <w:rPr>
          <w:rFonts w:ascii="Arial" w:hAnsi="Arial" w:cs="Arial"/>
          <w:sz w:val="20"/>
          <w:szCs w:val="20"/>
        </w:rPr>
        <w:t xml:space="preserve"> Anketi</w:t>
      </w:r>
      <w:r>
        <w:rPr>
          <w:rFonts w:ascii="Arial" w:hAnsi="Arial" w:cs="Arial"/>
          <w:sz w:val="20"/>
          <w:szCs w:val="20"/>
        </w:rPr>
        <w:t xml:space="preserve"> verilerinden</w:t>
      </w:r>
      <w:r w:rsidRPr="00B90510">
        <w:rPr>
          <w:rFonts w:ascii="Arial" w:hAnsi="Arial" w:cs="Arial"/>
          <w:sz w:val="20"/>
          <w:szCs w:val="20"/>
        </w:rPr>
        <w:t xml:space="preserve"> hesaplandığından kayıt dışı ücretler hesaba dâhil değildir. Katılık-esneklik karşılaştırması kayıtlı işgücü piyasaları ile sınırlıdır.</w:t>
      </w:r>
      <w:r>
        <w:rPr>
          <w:rFonts w:ascii="Arial" w:hAnsi="Arial" w:cs="Arial"/>
          <w:sz w:val="20"/>
          <w:szCs w:val="20"/>
        </w:rPr>
        <w:t xml:space="preserve"> </w:t>
      </w:r>
    </w:p>
    <w:p w:rsidR="001D416D"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sidRPr="00B90510">
        <w:rPr>
          <w:rFonts w:ascii="Arial" w:hAnsi="Arial" w:cs="Arial"/>
          <w:sz w:val="20"/>
          <w:szCs w:val="20"/>
        </w:rPr>
        <w:t xml:space="preserve">Asgari ücret ortalama ya da medyan ücrete ne kadar yakınsa, diğer ifadeyle ortalama ya da medyan ücret ile asgari ücret arasındaki fark göreli olarak ne kadar düşükse söz konusu işgücü piyasasının o ölçüde katı olduğu kabul edilir. </w:t>
      </w:r>
      <w:r>
        <w:rPr>
          <w:rFonts w:ascii="Arial" w:hAnsi="Arial" w:cs="Arial"/>
          <w:sz w:val="20"/>
          <w:szCs w:val="20"/>
        </w:rPr>
        <w:t xml:space="preserve">Asgari ücret işgücü piyasasındaki ücretlerin tabanını belirler. Dolayısıyla işgücü piyasasında oluşan ücretlerin asgari ücretin altında olmaması gerekir. Eğer asgari ücret ortalama ya da medyan ücrete yakın belirlenirse verimliliği asgari ücretin altında kalan düşük vasıflı emeğe göreli olarak yüksek ücret ödendiği düşünülebilir. </w:t>
      </w: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0"/>
          <w:szCs w:val="20"/>
        </w:rPr>
      </w:pPr>
    </w:p>
    <w:p w:rsidR="001D416D" w:rsidRPr="00983695" w:rsidRDefault="001D416D" w:rsidP="009C4C0C">
      <w:pPr>
        <w:pStyle w:val="Caption"/>
        <w:keepNext/>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rPr>
      </w:pPr>
      <w:bookmarkStart w:id="0" w:name="_Ref356314882"/>
      <w:r w:rsidRPr="00991299">
        <w:rPr>
          <w:rFonts w:ascii="Arial" w:hAnsi="Arial" w:cs="Arial"/>
        </w:rPr>
        <w:t xml:space="preserve">Şekil </w:t>
      </w:r>
      <w:bookmarkEnd w:id="0"/>
      <w:r w:rsidRPr="00991299">
        <w:rPr>
          <w:rFonts w:ascii="Arial" w:hAnsi="Arial" w:cs="Arial"/>
        </w:rPr>
        <w:t>A Çeşitli</w:t>
      </w:r>
      <w:r w:rsidRPr="00983695">
        <w:rPr>
          <w:rFonts w:ascii="Arial" w:hAnsi="Arial" w:cs="Arial"/>
        </w:rPr>
        <w:t xml:space="preserve"> ülkelerde asgari ücretin ortalama ve medyan ücrete oranı (2011)</w:t>
      </w:r>
    </w:p>
    <w:p w:rsidR="001D416D" w:rsidRPr="00B90510" w:rsidRDefault="005624F0" w:rsidP="009C4C0C">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b/>
          <w:bCs/>
          <w:sz w:val="20"/>
          <w:szCs w:val="20"/>
        </w:rPr>
      </w:pPr>
      <w:r w:rsidRPr="00F11D48">
        <w:rPr>
          <w:rFonts w:ascii="Arial" w:hAnsi="Arial" w:cs="Arial"/>
          <w:b/>
          <w:bCs/>
          <w:noProof/>
          <w:sz w:val="20"/>
          <w:szCs w:val="20"/>
          <w:lang w:eastAsia="tr-TR"/>
        </w:rPr>
        <w:pict>
          <v:shape id="_x0000_i1029" type="#_x0000_t75" style="width:510pt;height:207pt;visibility:visible">
            <v:imagedata r:id="rId14" o:title=""/>
          </v:shape>
        </w:pict>
      </w:r>
    </w:p>
    <w:p w:rsidR="001D416D" w:rsidRPr="00991299"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16"/>
          <w:szCs w:val="16"/>
        </w:rPr>
      </w:pPr>
      <w:r w:rsidRPr="00991299">
        <w:rPr>
          <w:rFonts w:ascii="Arial" w:hAnsi="Arial" w:cs="Arial"/>
          <w:sz w:val="16"/>
          <w:szCs w:val="16"/>
        </w:rPr>
        <w:t xml:space="preserve">Kaynak: OECD: </w:t>
      </w:r>
      <w:hyperlink r:id="rId15" w:history="1">
        <w:r w:rsidRPr="00991299">
          <w:rPr>
            <w:rStyle w:val="Hyperlink"/>
            <w:rFonts w:ascii="Arial" w:hAnsi="Arial" w:cs="Arial"/>
            <w:sz w:val="16"/>
            <w:szCs w:val="16"/>
          </w:rPr>
          <w:t>http://stats.oecd.org/Index.aspx?DatasetCode=MIN2AVE</w:t>
        </w:r>
      </w:hyperlink>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w:hAnsi="Arial" w:cs="Arial"/>
          <w:sz w:val="20"/>
          <w:szCs w:val="20"/>
        </w:rPr>
      </w:pPr>
    </w:p>
    <w:p w:rsidR="001D416D"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Pr>
          <w:rFonts w:ascii="Arial" w:hAnsi="Arial" w:cs="Arial"/>
          <w:sz w:val="20"/>
          <w:szCs w:val="20"/>
        </w:rPr>
        <w:t>Şekil A’da OECD ülkelerinde</w:t>
      </w:r>
      <w:r w:rsidRPr="00B90510">
        <w:rPr>
          <w:rFonts w:ascii="Arial" w:hAnsi="Arial" w:cs="Arial"/>
          <w:sz w:val="20"/>
          <w:szCs w:val="20"/>
        </w:rPr>
        <w:t xml:space="preserve"> asgari ücret-medyan kazanç oranları </w:t>
      </w:r>
      <w:r>
        <w:rPr>
          <w:rFonts w:ascii="Arial" w:hAnsi="Arial" w:cs="Arial"/>
          <w:sz w:val="20"/>
          <w:szCs w:val="20"/>
        </w:rPr>
        <w:t xml:space="preserve">(asgari ücret / medyan ücret) </w:t>
      </w:r>
      <w:r w:rsidRPr="00B90510">
        <w:rPr>
          <w:rFonts w:ascii="Arial" w:hAnsi="Arial" w:cs="Arial"/>
          <w:sz w:val="20"/>
          <w:szCs w:val="20"/>
        </w:rPr>
        <w:t>küçükten büyüğe doğru sıralanmıştır. Asgari ücret-ortalama ücret oranları</w:t>
      </w:r>
      <w:r>
        <w:rPr>
          <w:rFonts w:ascii="Arial" w:hAnsi="Arial" w:cs="Arial"/>
          <w:sz w:val="20"/>
          <w:szCs w:val="20"/>
        </w:rPr>
        <w:t xml:space="preserve"> (asgari ücret / ortalama ücret)</w:t>
      </w:r>
      <w:r w:rsidRPr="00B90510">
        <w:rPr>
          <w:rFonts w:ascii="Arial" w:hAnsi="Arial" w:cs="Arial"/>
          <w:sz w:val="20"/>
          <w:szCs w:val="20"/>
        </w:rPr>
        <w:t xml:space="preserve"> da her ülke için ayrıca belirtilmiştir.  Ücret dağılımlarının genelde normal dağılım olmadığından yola çıkarak analizde medyan ücretlerin kullanılması daha doğrudur. Görünüm oldukça açıktır. 0,71 oranı ile Türkiye en yüksek asgari ücret-medyan kazanç oranına sahip OECD ülkesidir. </w:t>
      </w:r>
      <w:r>
        <w:rPr>
          <w:rFonts w:ascii="Arial" w:hAnsi="Arial" w:cs="Arial"/>
          <w:sz w:val="20"/>
          <w:szCs w:val="20"/>
        </w:rPr>
        <w:t xml:space="preserve">Eskiden Doğu Bloku’nda olan ve sosyal devletin daha cömert olduğu düşünülen Polonya, Romanya, Macaristan gibi ülkelerde bile asgari ücretin medyan ücrete oranının 0,50 civarında olması dikkat çekicidir. </w:t>
      </w:r>
    </w:p>
    <w:p w:rsidR="001D416D"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p>
    <w:p w:rsidR="001D416D"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Pr>
          <w:rFonts w:ascii="Arial" w:hAnsi="Arial" w:cs="Arial"/>
          <w:sz w:val="20"/>
          <w:szCs w:val="20"/>
        </w:rPr>
        <w:t>Türkiye a</w:t>
      </w:r>
      <w:r w:rsidRPr="00B90510">
        <w:rPr>
          <w:rFonts w:ascii="Arial" w:hAnsi="Arial" w:cs="Arial"/>
          <w:sz w:val="20"/>
          <w:szCs w:val="20"/>
        </w:rPr>
        <w:t xml:space="preserve">sgari ücret-ortalama ücret oranı </w:t>
      </w:r>
      <w:r>
        <w:rPr>
          <w:rFonts w:ascii="Arial" w:hAnsi="Arial" w:cs="Arial"/>
          <w:sz w:val="20"/>
          <w:szCs w:val="20"/>
        </w:rPr>
        <w:t xml:space="preserve">(asgari ücret / ortalama ücret = </w:t>
      </w:r>
      <w:r w:rsidRPr="00B90510">
        <w:rPr>
          <w:rFonts w:ascii="Arial" w:hAnsi="Arial" w:cs="Arial"/>
          <w:sz w:val="20"/>
          <w:szCs w:val="20"/>
        </w:rPr>
        <w:t xml:space="preserve">0,38) itibariyle de </w:t>
      </w:r>
      <w:r>
        <w:rPr>
          <w:rFonts w:ascii="Arial" w:hAnsi="Arial" w:cs="Arial"/>
          <w:sz w:val="20"/>
          <w:szCs w:val="20"/>
        </w:rPr>
        <w:t xml:space="preserve">24 ülke arasında 10. sıradadır. Diğer bir deyişle Türkiye’de ortalama ücretler medyan ücretlerden daha yüksektir. Ücret dağılımları sadece Türkiye’de değil diğer ülkelerde de benzer şekildedir; düşük ücret kazananların payının daha yüksek olması medyan ücretin ortalama ücretin altında kalmasına sebep olur. Ancak Türkiye’de aradaki farkın nispeten daha büyük olduğu göze çarpıyor. </w:t>
      </w:r>
    </w:p>
    <w:p w:rsidR="001D416D" w:rsidRDefault="001D416D" w:rsidP="009C4C0C">
      <w:pPr>
        <w:spacing w:line="240" w:lineRule="atLeast"/>
        <w:rPr>
          <w:rFonts w:ascii="Arial" w:hAnsi="Arial" w:cs="Arial"/>
          <w:sz w:val="20"/>
          <w:szCs w:val="20"/>
        </w:rPr>
      </w:pPr>
    </w:p>
    <w:p w:rsidR="001D416D"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Pr>
          <w:rFonts w:ascii="Arial" w:hAnsi="Arial" w:cs="Arial"/>
          <w:sz w:val="20"/>
          <w:szCs w:val="20"/>
        </w:rPr>
        <w:lastRenderedPageBreak/>
        <w:t xml:space="preserve">Bu noktada hesaplarda kayıt dışı çalışanların ücretlerinin olmadığının hatırlatılmasında fayda var. Kayıt dışı çalışanların ücretlerinin kayıtlı çalışanlara kıyasla daha düşük olduğu göz önünde bulundurulduğunda kayıt dışının eklenmesiyle asgari ücretin hem ortalama ücrete hem de medyan ücrete daha da yakınlaşacağı düşünülebilir. </w:t>
      </w: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p>
    <w:p w:rsidR="001D416D" w:rsidRPr="00B90510" w:rsidRDefault="001D416D" w:rsidP="009C4C0C">
      <w:pPr>
        <w:pBdr>
          <w:top w:val="single" w:sz="12" w:space="1" w:color="auto"/>
          <w:left w:val="single" w:sz="12" w:space="4" w:color="auto"/>
          <w:bottom w:val="single" w:sz="12" w:space="1" w:color="auto"/>
          <w:right w:val="single" w:sz="12" w:space="4" w:color="auto"/>
        </w:pBdr>
        <w:shd w:val="clear" w:color="auto" w:fill="B8CCE4" w:themeFill="accent1" w:themeFillTint="66"/>
        <w:spacing w:line="240" w:lineRule="atLeast"/>
        <w:rPr>
          <w:rFonts w:ascii="Arial" w:hAnsi="Arial" w:cs="Arial"/>
          <w:sz w:val="20"/>
          <w:szCs w:val="20"/>
        </w:rPr>
      </w:pPr>
      <w:r w:rsidRPr="00B90510">
        <w:rPr>
          <w:rFonts w:ascii="Arial" w:hAnsi="Arial" w:cs="Arial"/>
          <w:sz w:val="20"/>
          <w:szCs w:val="20"/>
        </w:rPr>
        <w:t xml:space="preserve">Sonuç olarak Türkiye, Fransa ile birlikte OECD üyeleri arasında </w:t>
      </w:r>
      <w:r>
        <w:rPr>
          <w:rFonts w:ascii="Arial" w:hAnsi="Arial" w:cs="Arial"/>
          <w:sz w:val="20"/>
          <w:szCs w:val="20"/>
        </w:rPr>
        <w:t xml:space="preserve">asgari ücretin medyan ücrete oranı açısından </w:t>
      </w:r>
      <w:r w:rsidRPr="00B90510">
        <w:rPr>
          <w:rFonts w:ascii="Arial" w:hAnsi="Arial" w:cs="Arial"/>
          <w:sz w:val="20"/>
          <w:szCs w:val="20"/>
        </w:rPr>
        <w:t xml:space="preserve">en katı kayıtlı işgücü piyasasına sahiptir. </w:t>
      </w:r>
      <w:r>
        <w:rPr>
          <w:rFonts w:ascii="Arial" w:hAnsi="Arial" w:cs="Arial"/>
          <w:sz w:val="20"/>
          <w:szCs w:val="20"/>
        </w:rPr>
        <w:t>Bu açıdan e</w:t>
      </w:r>
      <w:r w:rsidRPr="00B90510">
        <w:rPr>
          <w:rFonts w:ascii="Arial" w:hAnsi="Arial" w:cs="Arial"/>
          <w:sz w:val="20"/>
          <w:szCs w:val="20"/>
        </w:rPr>
        <w:t xml:space="preserve">n az katı işgücü piyasaları ise, Çek Cumhuriyeti ile ABD’de bulunmaktadır. </w:t>
      </w:r>
      <w:r>
        <w:rPr>
          <w:rFonts w:ascii="Arial" w:hAnsi="Arial" w:cs="Arial"/>
          <w:sz w:val="20"/>
          <w:szCs w:val="20"/>
        </w:rPr>
        <w:t>K</w:t>
      </w:r>
      <w:r w:rsidRPr="00B90510">
        <w:rPr>
          <w:rFonts w:ascii="Arial" w:hAnsi="Arial" w:cs="Arial"/>
          <w:sz w:val="20"/>
          <w:szCs w:val="20"/>
        </w:rPr>
        <w:t>ullandığımız asgari ücret-medyan kazanç oranı itibariyle Türk</w:t>
      </w:r>
      <w:r>
        <w:rPr>
          <w:rFonts w:ascii="Arial" w:hAnsi="Arial" w:cs="Arial"/>
          <w:sz w:val="20"/>
          <w:szCs w:val="20"/>
        </w:rPr>
        <w:t xml:space="preserve">iye’de kayıtlı işgücü piyasasının </w:t>
      </w:r>
      <w:r w:rsidRPr="00B90510">
        <w:rPr>
          <w:rFonts w:ascii="Arial" w:hAnsi="Arial" w:cs="Arial"/>
          <w:sz w:val="20"/>
          <w:szCs w:val="20"/>
        </w:rPr>
        <w:t>daha az katı hale getirilmesi için ne ya</w:t>
      </w:r>
      <w:r>
        <w:rPr>
          <w:rFonts w:ascii="Arial" w:hAnsi="Arial" w:cs="Arial"/>
          <w:sz w:val="20"/>
          <w:szCs w:val="20"/>
        </w:rPr>
        <w:t xml:space="preserve">pmak gerekir? Ya medyan kazanç artmalıdır </w:t>
      </w:r>
      <w:r w:rsidRPr="00B90510">
        <w:rPr>
          <w:rFonts w:ascii="Arial" w:hAnsi="Arial" w:cs="Arial"/>
          <w:sz w:val="20"/>
          <w:szCs w:val="20"/>
        </w:rPr>
        <w:t>ki bu ortalama ücretin de artması de</w:t>
      </w:r>
      <w:r>
        <w:rPr>
          <w:rFonts w:ascii="Arial" w:hAnsi="Arial" w:cs="Arial"/>
          <w:sz w:val="20"/>
          <w:szCs w:val="20"/>
        </w:rPr>
        <w:t>mektir, ya da brüt asgari ücret düşürülmelidir</w:t>
      </w:r>
      <w:r w:rsidRPr="00B90510">
        <w:rPr>
          <w:rFonts w:ascii="Arial" w:hAnsi="Arial" w:cs="Arial"/>
          <w:sz w:val="20"/>
          <w:szCs w:val="20"/>
        </w:rPr>
        <w:t>. Zaten rekabet gücü sıkıntısı çeken Türkiye ekonomisi için birinci seçenek söz konusu olamaz. Kaçınılmaz o</w:t>
      </w:r>
      <w:r>
        <w:rPr>
          <w:rFonts w:ascii="Arial" w:hAnsi="Arial" w:cs="Arial"/>
          <w:sz w:val="20"/>
          <w:szCs w:val="20"/>
        </w:rPr>
        <w:t>larak brüt asgari ücretin düşürülmesi gerekir. İki yol izlenebilir</w:t>
      </w:r>
      <w:r w:rsidRPr="00B90510">
        <w:rPr>
          <w:rFonts w:ascii="Arial" w:hAnsi="Arial" w:cs="Arial"/>
          <w:sz w:val="20"/>
          <w:szCs w:val="20"/>
        </w:rPr>
        <w:t xml:space="preserve">: Ya ücret üzerindeki vergi ve prim yükünü </w:t>
      </w:r>
      <w:r>
        <w:rPr>
          <w:rFonts w:ascii="Arial" w:hAnsi="Arial" w:cs="Arial"/>
          <w:sz w:val="20"/>
          <w:szCs w:val="20"/>
        </w:rPr>
        <w:t>azaltılır ya da asgari ücret</w:t>
      </w:r>
      <w:r w:rsidRPr="00B90510">
        <w:rPr>
          <w:rFonts w:ascii="Arial" w:hAnsi="Arial" w:cs="Arial"/>
          <w:sz w:val="20"/>
          <w:szCs w:val="20"/>
        </w:rPr>
        <w:t xml:space="preserve"> bölgelere göre </w:t>
      </w:r>
      <w:r>
        <w:rPr>
          <w:rFonts w:ascii="Arial" w:hAnsi="Arial" w:cs="Arial"/>
          <w:sz w:val="20"/>
          <w:szCs w:val="20"/>
        </w:rPr>
        <w:t xml:space="preserve">farklılaştırılır. Büyük ihtimalle her ikisinin birden yapılması gerekir. </w:t>
      </w:r>
      <w:r w:rsidRPr="00B90510">
        <w:rPr>
          <w:rFonts w:ascii="Arial" w:hAnsi="Arial" w:cs="Arial"/>
          <w:sz w:val="20"/>
          <w:szCs w:val="20"/>
        </w:rPr>
        <w:t>Gelecek ayın kutusunda Türkiye’de bölgesel işgücü piyasaları arasındaki katılık farklılıklarını inceleyeceğiz.</w:t>
      </w:r>
    </w:p>
    <w:p w:rsidR="001D416D" w:rsidRPr="00B90510" w:rsidRDefault="001D416D" w:rsidP="009C4C0C">
      <w:pPr>
        <w:spacing w:line="240" w:lineRule="atLeast"/>
        <w:rPr>
          <w:rFonts w:ascii="Arial" w:hAnsi="Arial" w:cs="Arial"/>
          <w:sz w:val="21"/>
          <w:szCs w:val="21"/>
        </w:rPr>
      </w:pPr>
    </w:p>
    <w:p w:rsidR="001D416D" w:rsidRPr="00B90510" w:rsidRDefault="001D416D" w:rsidP="005624F0">
      <w:pPr>
        <w:rPr>
          <w:rFonts w:ascii="Arial" w:hAnsi="Arial" w:cs="Arial"/>
        </w:rPr>
      </w:pPr>
    </w:p>
    <w:p w:rsidR="001D416D" w:rsidRPr="00B90510" w:rsidRDefault="001D416D" w:rsidP="00991299">
      <w:pPr>
        <w:rPr>
          <w:rFonts w:ascii="Arial" w:hAnsi="Arial" w:cs="Arial"/>
          <w:color w:val="000000"/>
        </w:rPr>
      </w:pPr>
    </w:p>
    <w:p w:rsidR="001D416D" w:rsidRDefault="001D416D" w:rsidP="00991299">
      <w:pPr>
        <w:rPr>
          <w:rFonts w:ascii="Arial" w:hAnsi="Arial" w:cs="Arial"/>
          <w:sz w:val="20"/>
          <w:szCs w:val="20"/>
        </w:rPr>
      </w:pPr>
    </w:p>
    <w:p w:rsidR="001D416D" w:rsidRDefault="001D416D" w:rsidP="004A70E9">
      <w:pPr>
        <w:rPr>
          <w:rFonts w:ascii="Arial" w:hAnsi="Arial" w:cs="Arial"/>
          <w:sz w:val="20"/>
          <w:szCs w:val="20"/>
        </w:rPr>
      </w:pPr>
      <w:r>
        <w:rPr>
          <w:rFonts w:ascii="Arial" w:hAnsi="Arial" w:cs="Arial"/>
          <w:sz w:val="20"/>
          <w:szCs w:val="20"/>
        </w:rPr>
        <w:br w:type="page"/>
      </w:r>
    </w:p>
    <w:p w:rsidR="001D416D" w:rsidRDefault="001D416D" w:rsidP="00640B66">
      <w:pPr>
        <w:rPr>
          <w:rFonts w:ascii="Arial" w:hAnsi="Arial" w:cs="Arial"/>
          <w:sz w:val="20"/>
          <w:szCs w:val="20"/>
        </w:rPr>
      </w:pPr>
    </w:p>
    <w:p w:rsidR="001D416D" w:rsidRPr="00474EEA" w:rsidRDefault="001D416D" w:rsidP="00474EEA">
      <w:pPr>
        <w:pStyle w:val="Caption"/>
        <w:keepNext/>
        <w:rPr>
          <w:rFonts w:ascii="Arial" w:hAnsi="Arial" w:cs="Arial"/>
        </w:rPr>
      </w:pPr>
      <w:r w:rsidRPr="00474EEA">
        <w:rPr>
          <w:rFonts w:ascii="Arial" w:hAnsi="Arial" w:cs="Arial"/>
        </w:rPr>
        <w:t xml:space="preserve">Tablo </w:t>
      </w:r>
      <w:r w:rsidR="00F11D48" w:rsidRPr="00474EEA">
        <w:rPr>
          <w:rFonts w:ascii="Arial" w:hAnsi="Arial" w:cs="Arial"/>
        </w:rPr>
        <w:fldChar w:fldCharType="begin"/>
      </w:r>
      <w:r w:rsidRPr="00474EEA">
        <w:rPr>
          <w:rFonts w:ascii="Arial" w:hAnsi="Arial" w:cs="Arial"/>
        </w:rPr>
        <w:instrText xml:space="preserve"> SEQ Tablo \* ARABIC </w:instrText>
      </w:r>
      <w:r w:rsidR="00F11D48" w:rsidRPr="00474EEA">
        <w:rPr>
          <w:rFonts w:ascii="Arial" w:hAnsi="Arial" w:cs="Arial"/>
        </w:rPr>
        <w:fldChar w:fldCharType="separate"/>
      </w:r>
      <w:r>
        <w:rPr>
          <w:rFonts w:ascii="Arial" w:hAnsi="Arial" w:cs="Arial"/>
          <w:noProof/>
        </w:rPr>
        <w:t>1</w:t>
      </w:r>
      <w:r w:rsidR="00F11D48"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tarım dışı işgücü göstergeleri (bin kişi)</w:t>
      </w:r>
    </w:p>
    <w:tbl>
      <w:tblPr>
        <w:tblW w:w="7400" w:type="dxa"/>
        <w:tblInd w:w="-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tblPr>
      <w:tblGrid>
        <w:gridCol w:w="1200"/>
        <w:gridCol w:w="840"/>
        <w:gridCol w:w="920"/>
        <w:gridCol w:w="740"/>
        <w:gridCol w:w="1320"/>
        <w:gridCol w:w="720"/>
        <w:gridCol w:w="920"/>
        <w:gridCol w:w="740"/>
      </w:tblGrid>
      <w:tr w:rsidR="001D416D" w:rsidRPr="002C22DB">
        <w:trPr>
          <w:trHeight w:val="240"/>
        </w:trPr>
        <w:tc>
          <w:tcPr>
            <w:tcW w:w="120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 </w:t>
            </w:r>
          </w:p>
        </w:tc>
        <w:tc>
          <w:tcPr>
            <w:tcW w:w="84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İşgücü</w:t>
            </w:r>
          </w:p>
        </w:tc>
        <w:tc>
          <w:tcPr>
            <w:tcW w:w="92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İstihdam</w:t>
            </w:r>
          </w:p>
        </w:tc>
        <w:tc>
          <w:tcPr>
            <w:tcW w:w="74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İşsizlik</w:t>
            </w:r>
          </w:p>
        </w:tc>
        <w:tc>
          <w:tcPr>
            <w:tcW w:w="132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İşsizlik Oranı</w:t>
            </w:r>
          </w:p>
        </w:tc>
        <w:tc>
          <w:tcPr>
            <w:tcW w:w="2380" w:type="dxa"/>
            <w:gridSpan w:val="3"/>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Aylık değişimler</w:t>
            </w:r>
          </w:p>
        </w:tc>
      </w:tr>
      <w:tr w:rsidR="001D416D" w:rsidRPr="002C22DB">
        <w:trPr>
          <w:trHeight w:val="240"/>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Ocak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19662</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16511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3151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16.0%</w:t>
            </w:r>
          </w:p>
        </w:tc>
        <w:tc>
          <w:tcPr>
            <w:tcW w:w="72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İşgücü</w:t>
            </w:r>
          </w:p>
        </w:tc>
        <w:tc>
          <w:tcPr>
            <w:tcW w:w="92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İstihdam</w:t>
            </w:r>
          </w:p>
        </w:tc>
        <w:tc>
          <w:tcPr>
            <w:tcW w:w="740" w:type="dxa"/>
            <w:vAlign w:val="bottom"/>
          </w:tcPr>
          <w:p w:rsidR="001D416D" w:rsidRPr="002C22DB" w:rsidRDefault="001D416D" w:rsidP="002C22DB">
            <w:pPr>
              <w:suppressAutoHyphens w:val="0"/>
              <w:jc w:val="center"/>
              <w:rPr>
                <w:rFonts w:ascii="Arial" w:hAnsi="Arial" w:cs="Arial"/>
                <w:b/>
                <w:bCs/>
                <w:sz w:val="16"/>
                <w:szCs w:val="16"/>
                <w:lang w:eastAsia="tr-TR"/>
              </w:rPr>
            </w:pPr>
            <w:r w:rsidRPr="002C22DB">
              <w:rPr>
                <w:rFonts w:ascii="Arial" w:hAnsi="Arial" w:cs="Arial"/>
                <w:b/>
                <w:bCs/>
                <w:sz w:val="16"/>
                <w:szCs w:val="16"/>
                <w:lang w:eastAsia="tr-TR"/>
              </w:rPr>
              <w:t>İşsizlik</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Şubat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19673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16564</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3109</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15.8%</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53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-42</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Mart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19814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16670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3144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15.9%</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106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35</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Nisan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19775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16766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3009</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15.2%</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-39</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Mayıs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19851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16876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2975</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15.0%</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Haziran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19824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16923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2901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Temmuz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19881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17001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2880</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14.5%</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57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Ağustos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19888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16941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2948</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14.8%</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68</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Eylül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19841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16940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2901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-47</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Ekim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19881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17027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2854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-48</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Kasım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19992</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17265</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2727</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112</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-126</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Aralık 10</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20073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17360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2713</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13.5%</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95</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Ocak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20130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17453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2677</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13.3%</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57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-36</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Şubat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20177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17591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2585</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12.8%</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-92</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Mart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20288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17714</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2573</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12.7%</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Nisan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20461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17869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2593</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12.7%</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154</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Mayıs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20551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17867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2684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13.1%</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91</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Haziran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20585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17912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2673</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13.0%</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44</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Temmuz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20598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17998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2601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-73</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Ağustos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20590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18079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2511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12.2%</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-90</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Eylül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20577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18187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2390</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108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-121</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Ekim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20525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18095</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2430</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11.8%</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-51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40</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Kasım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20587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18232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2355</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62</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-75</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Aralık 11</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20618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18260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2358</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Ocak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20747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18412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2335</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11.3%</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129</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Şubat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20630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18275</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2355</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Mart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20787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18409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2378</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134</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Nisan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20950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18586</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2364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11.3%</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163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177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Mayıs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21037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18667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2370</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11.3%</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Haziran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21062</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18718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2344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11.1%</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51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Temmuz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21129</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18721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2409</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65</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Ağustos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21243</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18790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2453</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11.5%</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45</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Eylül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21434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18887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2546</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11.9%</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93</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Ekim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21535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19008</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2527</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11.7%</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101</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-20</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Kasım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21690</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19129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2561</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11.8%</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155</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121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34</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Aralık 12</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21808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19222</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2586</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11.9%</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93</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26</w:t>
            </w:r>
          </w:p>
        </w:tc>
      </w:tr>
      <w:tr w:rsidR="001D416D" w:rsidRPr="002C22DB">
        <w:trPr>
          <w:trHeight w:val="225"/>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Ocak 13</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21896</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19329</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2567</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11.7%</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88</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107</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w:t>
            </w:r>
          </w:p>
        </w:tc>
      </w:tr>
      <w:tr w:rsidR="001D416D" w:rsidRPr="002C22DB">
        <w:trPr>
          <w:trHeight w:val="240"/>
        </w:trPr>
        <w:tc>
          <w:tcPr>
            <w:tcW w:w="1200" w:type="dxa"/>
            <w:noWrap/>
            <w:vAlign w:val="bottom"/>
          </w:tcPr>
          <w:p w:rsidR="001D416D" w:rsidRPr="002C22DB" w:rsidRDefault="001D416D" w:rsidP="002C22DB">
            <w:pPr>
              <w:suppressAutoHyphens w:val="0"/>
              <w:jc w:val="right"/>
              <w:rPr>
                <w:rFonts w:ascii="Arial" w:hAnsi="Arial" w:cs="Arial"/>
                <w:b/>
                <w:bCs/>
                <w:sz w:val="16"/>
                <w:szCs w:val="16"/>
                <w:lang w:eastAsia="tr-TR"/>
              </w:rPr>
            </w:pPr>
            <w:r w:rsidRPr="002C22DB">
              <w:rPr>
                <w:rFonts w:ascii="Arial" w:hAnsi="Arial" w:cs="Arial"/>
                <w:b/>
                <w:bCs/>
                <w:sz w:val="16"/>
                <w:szCs w:val="16"/>
                <w:lang w:eastAsia="tr-TR"/>
              </w:rPr>
              <w:t>Şubat 13</w:t>
            </w:r>
          </w:p>
        </w:tc>
        <w:tc>
          <w:tcPr>
            <w:tcW w:w="8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21964</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19420</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2544</w:t>
            </w:r>
          </w:p>
        </w:tc>
        <w:tc>
          <w:tcPr>
            <w:tcW w:w="13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11.6%</w:t>
            </w:r>
          </w:p>
        </w:tc>
        <w:tc>
          <w:tcPr>
            <w:tcW w:w="7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67</w:t>
            </w:r>
          </w:p>
        </w:tc>
        <w:tc>
          <w:tcPr>
            <w:tcW w:w="92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91</w:t>
            </w:r>
          </w:p>
        </w:tc>
        <w:tc>
          <w:tcPr>
            <w:tcW w:w="740" w:type="dxa"/>
            <w:noWrap/>
            <w:vAlign w:val="bottom"/>
          </w:tcPr>
          <w:p w:rsidR="001D416D" w:rsidRPr="002C22DB" w:rsidRDefault="001D416D" w:rsidP="002C22DB">
            <w:pPr>
              <w:suppressAutoHyphens w:val="0"/>
              <w:jc w:val="center"/>
              <w:rPr>
                <w:rFonts w:ascii="Arial" w:hAnsi="Arial" w:cs="Arial"/>
                <w:sz w:val="16"/>
                <w:szCs w:val="16"/>
                <w:lang w:eastAsia="tr-TR"/>
              </w:rPr>
            </w:pPr>
            <w:r w:rsidRPr="002C22DB">
              <w:rPr>
                <w:rFonts w:ascii="Arial" w:hAnsi="Arial" w:cs="Arial"/>
                <w:sz w:val="16"/>
                <w:szCs w:val="16"/>
                <w:lang w:eastAsia="tr-TR"/>
              </w:rPr>
              <w:t>-23</w:t>
            </w:r>
          </w:p>
        </w:tc>
      </w:tr>
    </w:tbl>
    <w:p w:rsidR="001D416D" w:rsidRDefault="001D416D" w:rsidP="00B6679F">
      <w:pPr>
        <w:pStyle w:val="Caption"/>
        <w:keepNext/>
        <w:rPr>
          <w:rFonts w:ascii="Arial" w:hAnsi="Arial" w:cs="Arial"/>
          <w:b w:val="0"/>
          <w:bCs w:val="0"/>
          <w:sz w:val="16"/>
          <w:szCs w:val="16"/>
        </w:rPr>
      </w:pPr>
      <w:r w:rsidRPr="001541B3">
        <w:rPr>
          <w:rFonts w:ascii="Arial" w:hAnsi="Arial" w:cs="Arial"/>
          <w:b w:val="0"/>
          <w:bCs w:val="0"/>
          <w:sz w:val="16"/>
          <w:szCs w:val="16"/>
        </w:rPr>
        <w:t>Kaynak: TÜİK, Betam</w:t>
      </w:r>
    </w:p>
    <w:p w:rsidR="001D416D" w:rsidRDefault="001D416D" w:rsidP="00764346"/>
    <w:p w:rsidR="001D416D" w:rsidRDefault="001D416D" w:rsidP="00764346"/>
    <w:p w:rsidR="001D416D" w:rsidRPr="00764346" w:rsidRDefault="001D416D" w:rsidP="00764346"/>
    <w:p w:rsidR="001D416D" w:rsidRDefault="001D416D" w:rsidP="00CE2910">
      <w:pPr>
        <w:pStyle w:val="Caption"/>
        <w:keepNext/>
        <w:rPr>
          <w:rFonts w:ascii="Arial" w:hAnsi="Arial" w:cs="Arial"/>
          <w:sz w:val="16"/>
          <w:szCs w:val="16"/>
        </w:rPr>
      </w:pPr>
    </w:p>
    <w:p w:rsidR="001D416D" w:rsidRDefault="001D416D" w:rsidP="00474EEA"/>
    <w:p w:rsidR="001D416D" w:rsidRDefault="001D416D" w:rsidP="00474EEA"/>
    <w:p w:rsidR="001D416D" w:rsidRDefault="001D416D" w:rsidP="00474EEA"/>
    <w:p w:rsidR="001D416D" w:rsidRDefault="001D416D" w:rsidP="00474EEA"/>
    <w:p w:rsidR="001D416D" w:rsidRPr="001541B3" w:rsidRDefault="001D416D" w:rsidP="00CE2910">
      <w:pPr>
        <w:pStyle w:val="Caption"/>
        <w:keepNext/>
        <w:rPr>
          <w:rFonts w:ascii="Arial" w:hAnsi="Arial" w:cs="Arial"/>
          <w:sz w:val="16"/>
          <w:szCs w:val="16"/>
        </w:rPr>
      </w:pPr>
      <w:r>
        <w:rPr>
          <w:rFonts w:ascii="Arial" w:hAnsi="Arial" w:cs="Arial"/>
          <w:sz w:val="16"/>
          <w:szCs w:val="16"/>
        </w:rPr>
        <w:br w:type="page"/>
      </w:r>
    </w:p>
    <w:p w:rsidR="001D416D" w:rsidRPr="00474EEA" w:rsidRDefault="001D416D" w:rsidP="00474EEA">
      <w:pPr>
        <w:pStyle w:val="Caption"/>
        <w:keepNext/>
        <w:rPr>
          <w:rFonts w:ascii="Arial" w:hAnsi="Arial" w:cs="Arial"/>
        </w:rPr>
      </w:pPr>
      <w:r w:rsidRPr="00474EEA">
        <w:rPr>
          <w:rFonts w:ascii="Arial" w:hAnsi="Arial" w:cs="Arial"/>
        </w:rPr>
        <w:t xml:space="preserve">Tablo </w:t>
      </w:r>
      <w:r w:rsidR="00F11D48" w:rsidRPr="00474EEA">
        <w:rPr>
          <w:rFonts w:ascii="Arial" w:hAnsi="Arial" w:cs="Arial"/>
        </w:rPr>
        <w:fldChar w:fldCharType="begin"/>
      </w:r>
      <w:r w:rsidRPr="00474EEA">
        <w:rPr>
          <w:rFonts w:ascii="Arial" w:hAnsi="Arial" w:cs="Arial"/>
        </w:rPr>
        <w:instrText xml:space="preserve"> SEQ Tablo \* ARABIC </w:instrText>
      </w:r>
      <w:r w:rsidR="00F11D48" w:rsidRPr="00474EEA">
        <w:rPr>
          <w:rFonts w:ascii="Arial" w:hAnsi="Arial" w:cs="Arial"/>
        </w:rPr>
        <w:fldChar w:fldCharType="separate"/>
      </w:r>
      <w:r>
        <w:rPr>
          <w:rFonts w:ascii="Arial" w:hAnsi="Arial" w:cs="Arial"/>
          <w:noProof/>
        </w:rPr>
        <w:t>2</w:t>
      </w:r>
      <w:r w:rsidR="00F11D48" w:rsidRPr="00474EEA">
        <w:rPr>
          <w:rFonts w:ascii="Arial" w:hAnsi="Arial" w:cs="Arial"/>
        </w:rPr>
        <w:fldChar w:fldCharType="end"/>
      </w:r>
      <w:r>
        <w:rPr>
          <w:rFonts w:ascii="Arial" w:hAnsi="Arial" w:cs="Arial"/>
        </w:rPr>
        <w:t xml:space="preserve"> </w:t>
      </w:r>
      <w:r w:rsidRPr="00474EEA">
        <w:rPr>
          <w:rFonts w:ascii="Arial" w:hAnsi="Arial" w:cs="Arial"/>
        </w:rPr>
        <w:t>Mevsim etkilerinden arındırılmış sektörel istihdam (bin kişi)</w:t>
      </w:r>
    </w:p>
    <w:tbl>
      <w:tblPr>
        <w:tblW w:w="9380" w:type="dxa"/>
        <w:tblInd w:w="-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A0"/>
      </w:tblPr>
      <w:tblGrid>
        <w:gridCol w:w="1220"/>
        <w:gridCol w:w="1020"/>
        <w:gridCol w:w="1020"/>
        <w:gridCol w:w="1020"/>
        <w:gridCol w:w="1020"/>
        <w:gridCol w:w="843"/>
        <w:gridCol w:w="987"/>
        <w:gridCol w:w="892"/>
        <w:gridCol w:w="1358"/>
      </w:tblGrid>
      <w:tr w:rsidR="001D416D" w:rsidRPr="00F859B5">
        <w:trPr>
          <w:trHeight w:val="240"/>
        </w:trPr>
        <w:tc>
          <w:tcPr>
            <w:tcW w:w="1220" w:type="dxa"/>
            <w:noWrap/>
            <w:vAlign w:val="bottom"/>
          </w:tcPr>
          <w:p w:rsidR="001D416D" w:rsidRPr="00F859B5" w:rsidRDefault="001D416D" w:rsidP="00F859B5">
            <w:pPr>
              <w:suppressAutoHyphens w:val="0"/>
              <w:rPr>
                <w:rFonts w:ascii="Arial" w:hAnsi="Arial" w:cs="Arial"/>
                <w:sz w:val="16"/>
                <w:szCs w:val="16"/>
                <w:lang w:eastAsia="tr-TR"/>
              </w:rPr>
            </w:pPr>
          </w:p>
        </w:tc>
        <w:tc>
          <w:tcPr>
            <w:tcW w:w="1020"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Tarım</w:t>
            </w:r>
          </w:p>
        </w:tc>
        <w:tc>
          <w:tcPr>
            <w:tcW w:w="1020"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Sanayi</w:t>
            </w:r>
          </w:p>
        </w:tc>
        <w:tc>
          <w:tcPr>
            <w:tcW w:w="1020"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İnşaat</w:t>
            </w:r>
          </w:p>
        </w:tc>
        <w:tc>
          <w:tcPr>
            <w:tcW w:w="1020"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Hizmetler</w:t>
            </w:r>
          </w:p>
        </w:tc>
        <w:tc>
          <w:tcPr>
            <w:tcW w:w="4080" w:type="dxa"/>
            <w:gridSpan w:val="4"/>
            <w:noWrap/>
            <w:vAlign w:val="bottom"/>
          </w:tcPr>
          <w:p w:rsidR="001D416D" w:rsidRPr="00F859B5" w:rsidRDefault="001D416D" w:rsidP="00F859B5">
            <w:pPr>
              <w:suppressAutoHyphens w:val="0"/>
              <w:jc w:val="center"/>
              <w:rPr>
                <w:rFonts w:ascii="Arial" w:hAnsi="Arial" w:cs="Arial"/>
                <w:b/>
                <w:bCs/>
                <w:sz w:val="16"/>
                <w:szCs w:val="16"/>
                <w:lang w:eastAsia="tr-TR"/>
              </w:rPr>
            </w:pPr>
            <w:r w:rsidRPr="00F859B5">
              <w:rPr>
                <w:rFonts w:ascii="Arial" w:hAnsi="Arial" w:cs="Arial"/>
                <w:b/>
                <w:bCs/>
                <w:sz w:val="16"/>
                <w:szCs w:val="16"/>
                <w:lang w:eastAsia="tr-TR"/>
              </w:rPr>
              <w:t>Aylık değişimler</w:t>
            </w:r>
          </w:p>
        </w:tc>
      </w:tr>
      <w:tr w:rsidR="001D416D" w:rsidRPr="00F859B5">
        <w:trPr>
          <w:trHeight w:val="240"/>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Ocak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5682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4299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1383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10794</w:t>
            </w:r>
          </w:p>
        </w:tc>
        <w:tc>
          <w:tcPr>
            <w:tcW w:w="843"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Tarım</w:t>
            </w:r>
          </w:p>
        </w:tc>
        <w:tc>
          <w:tcPr>
            <w:tcW w:w="987"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Sanayi</w:t>
            </w:r>
          </w:p>
        </w:tc>
        <w:tc>
          <w:tcPr>
            <w:tcW w:w="892"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İnşaat</w:t>
            </w:r>
          </w:p>
        </w:tc>
        <w:tc>
          <w:tcPr>
            <w:tcW w:w="1358" w:type="dxa"/>
            <w:noWrap/>
            <w:vAlign w:val="bottom"/>
          </w:tcPr>
          <w:p w:rsidR="001D416D" w:rsidRPr="00F859B5" w:rsidRDefault="001D416D" w:rsidP="00F859B5">
            <w:pPr>
              <w:suppressAutoHyphens w:val="0"/>
              <w:rPr>
                <w:rFonts w:ascii="Arial" w:hAnsi="Arial" w:cs="Arial"/>
                <w:b/>
                <w:bCs/>
                <w:sz w:val="16"/>
                <w:szCs w:val="16"/>
                <w:lang w:eastAsia="tr-TR"/>
              </w:rPr>
            </w:pPr>
            <w:r w:rsidRPr="00F859B5">
              <w:rPr>
                <w:rFonts w:ascii="Arial" w:hAnsi="Arial" w:cs="Arial"/>
                <w:b/>
                <w:bCs/>
                <w:sz w:val="16"/>
                <w:szCs w:val="16"/>
                <w:lang w:eastAsia="tr-TR"/>
              </w:rPr>
              <w:t>Hizmetler</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Şubat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5667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4347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1374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10897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49</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103</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Mart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5621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4356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1425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10993</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52</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96</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Nisan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5673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4399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1446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10997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21</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Mayıs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5576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4472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1423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11050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-97</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-23</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52</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Haziran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5711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4525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1423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11006</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54</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0</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Temmuz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5679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4538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1469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10968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-38</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Ağustos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5658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4509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1414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10997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-29</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-55</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29</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Eylül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5654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4477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1416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11010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-32</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Ekim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5793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4493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1437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11045</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139</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21</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35</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Kasım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5849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4649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1506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11004</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156</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69</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-41</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Aralık 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6033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4641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1552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11071</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184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67</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Ocak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6043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4673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1535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11194</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123</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Şubat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6193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4682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1579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11340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150</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8</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146</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Mart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6205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4823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1602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11282</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-57</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Nisan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6084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4810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1639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11402</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37</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Mayıs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6021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4763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1675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11446</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-63</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36</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Haziran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6082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4692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1706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11602</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31</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155</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Temmuz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6104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4685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1716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11652</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Ağustos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6184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4683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1780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11660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80</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Eylül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6127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1784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11730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-57</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28</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69</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Ekim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6171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4678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1688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11752</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-32</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-96</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22</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Kasım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6151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4692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1654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11900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-20</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148</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Aralık 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6051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4699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1622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11929</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-100</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-32</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28</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Ocak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6063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4698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1657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12031</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35</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103</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Şubat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6050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4706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1547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12017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8</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-110</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-14</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Mart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6035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4736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1562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12097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80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Nisan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6067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4754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1659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12118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97</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21</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Mayıs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6111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4739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1734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12158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75</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Haziran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6040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4753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1764</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12208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30</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Temmuz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6041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4755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1719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12210</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Ağustos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6046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4756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1763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12257</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Eylül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6151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4755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1792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12393</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105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28</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135</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Ekim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6195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4772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1799</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12548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44</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7</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155</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Kasım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6183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4813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1781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12629</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41</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-18</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80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Aralık 12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6138</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4851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1757</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12629</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-45</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38</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-24</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0</w:t>
            </w:r>
          </w:p>
        </w:tc>
      </w:tr>
      <w:tr w:rsidR="001D416D" w:rsidRPr="00F859B5">
        <w:trPr>
          <w:trHeight w:val="225"/>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Ocak 13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6123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4876</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1762</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12638</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-16</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25</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r>
      <w:tr w:rsidR="001D416D" w:rsidRPr="00F859B5">
        <w:trPr>
          <w:trHeight w:val="240"/>
        </w:trPr>
        <w:tc>
          <w:tcPr>
            <w:tcW w:w="1220" w:type="dxa"/>
            <w:noWrap/>
            <w:vAlign w:val="bottom"/>
          </w:tcPr>
          <w:p w:rsidR="001D416D" w:rsidRPr="00F859B5" w:rsidRDefault="001D416D" w:rsidP="00F859B5">
            <w:pPr>
              <w:suppressAutoHyphens w:val="0"/>
              <w:jc w:val="right"/>
              <w:rPr>
                <w:rFonts w:ascii="Arial" w:hAnsi="Arial" w:cs="Arial"/>
                <w:b/>
                <w:bCs/>
                <w:sz w:val="16"/>
                <w:szCs w:val="16"/>
                <w:lang w:eastAsia="tr-TR"/>
              </w:rPr>
            </w:pPr>
            <w:r w:rsidRPr="00F859B5">
              <w:rPr>
                <w:rFonts w:ascii="Arial" w:hAnsi="Arial" w:cs="Arial"/>
                <w:b/>
                <w:bCs/>
                <w:sz w:val="16"/>
                <w:szCs w:val="16"/>
                <w:lang w:eastAsia="tr-TR"/>
              </w:rPr>
              <w:t>Şubat 13</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6155</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4900</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1771</w:t>
            </w:r>
          </w:p>
        </w:tc>
        <w:tc>
          <w:tcPr>
            <w:tcW w:w="1020"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12693</w:t>
            </w:r>
          </w:p>
        </w:tc>
        <w:tc>
          <w:tcPr>
            <w:tcW w:w="843"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33</w:t>
            </w:r>
          </w:p>
        </w:tc>
        <w:tc>
          <w:tcPr>
            <w:tcW w:w="987"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23</w:t>
            </w:r>
          </w:p>
        </w:tc>
        <w:tc>
          <w:tcPr>
            <w:tcW w:w="892"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9</w:t>
            </w:r>
          </w:p>
        </w:tc>
        <w:tc>
          <w:tcPr>
            <w:tcW w:w="1358" w:type="dxa"/>
            <w:noWrap/>
            <w:vAlign w:val="bottom"/>
          </w:tcPr>
          <w:p w:rsidR="001D416D" w:rsidRPr="00F859B5" w:rsidRDefault="001D416D" w:rsidP="00F859B5">
            <w:pPr>
              <w:suppressAutoHyphens w:val="0"/>
              <w:jc w:val="right"/>
              <w:rPr>
                <w:rFonts w:ascii="Arial" w:hAnsi="Arial" w:cs="Arial"/>
                <w:sz w:val="16"/>
                <w:szCs w:val="16"/>
                <w:lang w:eastAsia="tr-TR"/>
              </w:rPr>
            </w:pPr>
            <w:r w:rsidRPr="00F859B5">
              <w:rPr>
                <w:rFonts w:ascii="Arial" w:hAnsi="Arial" w:cs="Arial"/>
                <w:sz w:val="16"/>
                <w:szCs w:val="16"/>
                <w:lang w:eastAsia="tr-TR"/>
              </w:rPr>
              <w:t>55</w:t>
            </w:r>
          </w:p>
        </w:tc>
      </w:tr>
    </w:tbl>
    <w:p w:rsidR="001D416D" w:rsidRDefault="001D416D" w:rsidP="00323218">
      <w:pPr>
        <w:rPr>
          <w:rFonts w:ascii="Arial" w:hAnsi="Arial" w:cs="Arial"/>
          <w:b/>
          <w:bCs/>
          <w:sz w:val="16"/>
          <w:szCs w:val="16"/>
        </w:rPr>
      </w:pPr>
      <w:r w:rsidRPr="001541B3">
        <w:rPr>
          <w:rFonts w:ascii="Arial" w:hAnsi="Arial" w:cs="Arial"/>
          <w:sz w:val="16"/>
          <w:szCs w:val="16"/>
        </w:rPr>
        <w:t xml:space="preserve">Kaynak: TÜİK, </w:t>
      </w:r>
      <w:r w:rsidRPr="001541B3">
        <w:rPr>
          <w:rFonts w:ascii="Arial" w:hAnsi="Arial" w:cs="Arial"/>
          <w:b/>
          <w:bCs/>
          <w:sz w:val="16"/>
          <w:szCs w:val="16"/>
        </w:rPr>
        <w:t>Bet</w:t>
      </w:r>
      <w:r>
        <w:rPr>
          <w:rFonts w:ascii="Arial" w:hAnsi="Arial" w:cs="Arial"/>
          <w:b/>
          <w:bCs/>
          <w:sz w:val="16"/>
          <w:szCs w:val="16"/>
        </w:rPr>
        <w:t>am</w:t>
      </w:r>
    </w:p>
    <w:p w:rsidR="001D416D" w:rsidRDefault="001D416D" w:rsidP="00323218">
      <w:pPr>
        <w:rPr>
          <w:rFonts w:ascii="Arial" w:hAnsi="Arial" w:cs="Arial"/>
          <w:b/>
          <w:bCs/>
          <w:sz w:val="16"/>
          <w:szCs w:val="16"/>
        </w:rPr>
      </w:pPr>
      <w:r>
        <w:rPr>
          <w:rFonts w:ascii="Arial" w:hAnsi="Arial" w:cs="Arial"/>
          <w:b/>
          <w:bCs/>
          <w:sz w:val="16"/>
          <w:szCs w:val="16"/>
        </w:rPr>
        <w:t xml:space="preserve">    </w:t>
      </w:r>
    </w:p>
    <w:p w:rsidR="001D416D" w:rsidRDefault="001D416D" w:rsidP="009F39E3">
      <w:pPr>
        <w:rPr>
          <w:rFonts w:ascii="Arial" w:hAnsi="Arial" w:cs="Arial"/>
          <w:b/>
          <w:bCs/>
          <w:sz w:val="20"/>
          <w:szCs w:val="20"/>
        </w:rPr>
      </w:pPr>
    </w:p>
    <w:sectPr w:rsidR="001D416D" w:rsidSect="009F39E3">
      <w:pgSz w:w="11905" w:h="16837"/>
      <w:pgMar w:top="1418" w:right="992" w:bottom="777" w:left="709"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8F" w:rsidRDefault="00F1678F">
      <w:r>
        <w:separator/>
      </w:r>
    </w:p>
  </w:endnote>
  <w:endnote w:type="continuationSeparator" w:id="1">
    <w:p w:rsidR="00F1678F" w:rsidRDefault="00F1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6D" w:rsidRPr="00282515" w:rsidRDefault="00F11D4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1D416D" w:rsidRPr="00282515">
      <w:rPr>
        <w:rStyle w:val="PageNumber"/>
        <w:rFonts w:ascii="Arial" w:hAnsi="Arial" w:cs="Arial"/>
      </w:rPr>
      <w:instrText xml:space="preserve">PAGE  </w:instrText>
    </w:r>
    <w:r w:rsidRPr="00282515">
      <w:rPr>
        <w:rStyle w:val="PageNumber"/>
        <w:rFonts w:ascii="Arial" w:hAnsi="Arial" w:cs="Arial"/>
      </w:rPr>
      <w:fldChar w:fldCharType="separate"/>
    </w:r>
    <w:r w:rsidR="009C4C0C">
      <w:rPr>
        <w:rStyle w:val="PageNumber"/>
        <w:rFonts w:ascii="Arial" w:hAnsi="Arial" w:cs="Arial"/>
        <w:noProof/>
      </w:rPr>
      <w:t>4</w:t>
    </w:r>
    <w:r w:rsidRPr="00282515">
      <w:rPr>
        <w:rStyle w:val="PageNumber"/>
        <w:rFonts w:ascii="Arial" w:hAnsi="Arial" w:cs="Arial"/>
      </w:rPr>
      <w:fldChar w:fldCharType="end"/>
    </w:r>
  </w:p>
  <w:p w:rsidR="001D416D" w:rsidRDefault="001D416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8F" w:rsidRDefault="00F1678F">
      <w:r>
        <w:separator/>
      </w:r>
    </w:p>
  </w:footnote>
  <w:footnote w:type="continuationSeparator" w:id="1">
    <w:p w:rsidR="00F1678F" w:rsidRDefault="00F1678F">
      <w:r>
        <w:continuationSeparator/>
      </w:r>
    </w:p>
  </w:footnote>
  <w:footnote w:id="2">
    <w:p w:rsidR="001D416D" w:rsidRDefault="001D416D" w:rsidP="004374E1">
      <w:pPr>
        <w:pStyle w:val="FootnoteText"/>
      </w:pPr>
      <w:r w:rsidRPr="004543D7">
        <w:rPr>
          <w:rStyle w:val="FootnoteReference"/>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1D416D" w:rsidRDefault="001D416D">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1D416D" w:rsidRDefault="001D416D">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Fonts w:ascii="Arial" w:hAnsi="Arial" w:cs="Arial"/>
          <w:sz w:val="16"/>
          <w:szCs w:val="16"/>
        </w:rPr>
        <w:t xml:space="preserve"> </w:t>
      </w:r>
      <w:r>
        <w:rPr>
          <w:rFonts w:ascii="Arial" w:hAnsi="Arial" w:cs="Arial"/>
          <w:sz w:val="16"/>
          <w:szCs w:val="16"/>
        </w:rPr>
        <w:t>Ayşenur Acar, Betam, Araştırma Görevlisi, aysenur.acar@bahcesehir.edu.tr</w:t>
      </w:r>
    </w:p>
  </w:footnote>
  <w:footnote w:id="5">
    <w:p w:rsidR="001D416D" w:rsidRDefault="001D416D" w:rsidP="00266ACE">
      <w:r w:rsidRPr="001330A0">
        <w:rPr>
          <w:rStyle w:val="FootnoteReference"/>
          <w:rFonts w:ascii="Arial" w:hAnsi="Arial" w:cs="Arial"/>
          <w:sz w:val="16"/>
          <w:szCs w:val="16"/>
        </w:rPr>
        <w:footnoteRef/>
      </w:r>
      <w:r w:rsidRPr="001330A0">
        <w:rPr>
          <w:sz w:val="16"/>
          <w:szCs w:val="16"/>
        </w:rPr>
        <w:t xml:space="preserve">  </w:t>
      </w:r>
      <w:r w:rsidRPr="001330A0">
        <w:rPr>
          <w:rFonts w:ascii="Arial" w:hAnsi="Arial" w:cs="Arial"/>
          <w:sz w:val="16"/>
          <w:szCs w:val="16"/>
        </w:rPr>
        <w:t>Betam</w:t>
      </w:r>
      <w:r>
        <w:rPr>
          <w:rFonts w:ascii="Arial" w:hAnsi="Arial" w:cs="Arial"/>
          <w:sz w:val="16"/>
          <w:szCs w:val="16"/>
        </w:rPr>
        <w:t xml:space="preserve"> son bir yıldır</w:t>
      </w:r>
      <w:r w:rsidRPr="00870CD8">
        <w:rPr>
          <w:rFonts w:ascii="Arial" w:hAnsi="Arial" w:cs="Arial"/>
          <w:sz w:val="16"/>
          <w:szCs w:val="16"/>
        </w:rPr>
        <w:t xml:space="preserve"> Kariyer.net 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1D416D" w:rsidRDefault="001D416D" w:rsidP="00323218">
      <w:pPr>
        <w:pStyle w:val="FootnoteText"/>
      </w:pPr>
      <w:r w:rsidRPr="00295CCD">
        <w:rPr>
          <w:rStyle w:val="FootnoteReference"/>
          <w:rFonts w:ascii="Arial" w:hAnsi="Arial" w:cs="Arial"/>
        </w:rPr>
        <w:footnoteRef/>
      </w:r>
      <w:r w:rsidRPr="00295CCD">
        <w:rPr>
          <w:rFonts w:ascii="Arial" w:hAnsi="Arial" w:cs="Arial"/>
        </w:rPr>
        <w:t xml:space="preserve"> </w:t>
      </w:r>
      <w:r>
        <w:rPr>
          <w:rFonts w:ascii="Arial" w:hAnsi="Arial" w:cs="Arial"/>
          <w:sz w:val="16"/>
          <w:szCs w:val="16"/>
        </w:rPr>
        <w:t>Gri</w:t>
      </w:r>
      <w:r w:rsidRPr="00295CCD">
        <w:rPr>
          <w:rFonts w:ascii="Arial" w:hAnsi="Arial" w:cs="Arial"/>
          <w:sz w:val="16"/>
          <w:szCs w:val="16"/>
        </w:rPr>
        <w:t xml:space="preserve"> </w:t>
      </w:r>
      <w:r>
        <w:rPr>
          <w:rFonts w:ascii="Arial" w:hAnsi="Arial" w:cs="Arial"/>
          <w:sz w:val="16"/>
          <w:szCs w:val="16"/>
        </w:rPr>
        <w:t>renkle gösterilen seriler ham istihdam rakamlarını, lacivert seriler ise mevsim etkilerinden arındırılmış serileri temsil etmektedir.</w:t>
      </w:r>
    </w:p>
  </w:footnote>
  <w:footnote w:id="7">
    <w:p w:rsidR="001D416D" w:rsidRDefault="001D416D" w:rsidP="00640B66">
      <w:pPr>
        <w:pStyle w:val="FootnoteText"/>
      </w:pPr>
      <w:r w:rsidRPr="00BB0998">
        <w:rPr>
          <w:rStyle w:val="FootnoteReference"/>
          <w:rFonts w:ascii="Arial" w:hAnsi="Arial" w:cs="Arial"/>
        </w:rPr>
        <w:footnoteRef/>
      </w:r>
      <w:r w:rsidRPr="00CE2843">
        <w:rPr>
          <w:rFonts w:ascii="Arial" w:hAnsi="Arial" w:cs="Arial"/>
          <w:sz w:val="16"/>
          <w:szCs w:val="16"/>
        </w:rPr>
        <w:t xml:space="preserve"> </w:t>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8">
    <w:p w:rsidR="001D416D" w:rsidRDefault="001D416D" w:rsidP="00991299">
      <w:pPr>
        <w:pStyle w:val="FootnoteText"/>
      </w:pPr>
      <w:r w:rsidRPr="00991299">
        <w:rPr>
          <w:rStyle w:val="FootnoteReference"/>
          <w:rFonts w:ascii="Arial" w:hAnsi="Arial" w:cs="Arial"/>
          <w:sz w:val="16"/>
          <w:szCs w:val="16"/>
        </w:rPr>
        <w:footnoteRef/>
      </w:r>
      <w:r w:rsidRPr="00991299">
        <w:rPr>
          <w:rFonts w:ascii="Arial" w:hAnsi="Arial" w:cs="Arial"/>
          <w:sz w:val="16"/>
          <w:szCs w:val="16"/>
        </w:rPr>
        <w:t xml:space="preserve"> Medyan ücret, ücretler yüksekten düşüğe dizildiğinde tam ortada kalan ücrettir. Dolayısıyla altta ve üstteki dışa düşen ücretlerden (olağanüstü ölçüde düşük ve yüksek ücretlerden) daha az etkilenir.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3041D"/>
    <w:rsid w:val="0003055D"/>
    <w:rsid w:val="000312D6"/>
    <w:rsid w:val="000313AF"/>
    <w:rsid w:val="0003174C"/>
    <w:rsid w:val="00031966"/>
    <w:rsid w:val="00032FCF"/>
    <w:rsid w:val="000358D4"/>
    <w:rsid w:val="00035FEC"/>
    <w:rsid w:val="000372FD"/>
    <w:rsid w:val="0004249C"/>
    <w:rsid w:val="000456BD"/>
    <w:rsid w:val="00045BEF"/>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8A2"/>
    <w:rsid w:val="000629AF"/>
    <w:rsid w:val="00063601"/>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46F4"/>
    <w:rsid w:val="000E50DE"/>
    <w:rsid w:val="000E5CF3"/>
    <w:rsid w:val="000E6183"/>
    <w:rsid w:val="000E764D"/>
    <w:rsid w:val="000F05DD"/>
    <w:rsid w:val="000F0D76"/>
    <w:rsid w:val="000F1924"/>
    <w:rsid w:val="000F1E73"/>
    <w:rsid w:val="000F3ADE"/>
    <w:rsid w:val="000F5492"/>
    <w:rsid w:val="000F5A37"/>
    <w:rsid w:val="000F670C"/>
    <w:rsid w:val="000F6F76"/>
    <w:rsid w:val="000F7454"/>
    <w:rsid w:val="00101DF7"/>
    <w:rsid w:val="00102021"/>
    <w:rsid w:val="00102160"/>
    <w:rsid w:val="00102359"/>
    <w:rsid w:val="00102D0F"/>
    <w:rsid w:val="00102FD7"/>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CF1"/>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4BBB"/>
    <w:rsid w:val="001951C2"/>
    <w:rsid w:val="001955C3"/>
    <w:rsid w:val="0019619A"/>
    <w:rsid w:val="00196ABD"/>
    <w:rsid w:val="001A1395"/>
    <w:rsid w:val="001A1BED"/>
    <w:rsid w:val="001A2260"/>
    <w:rsid w:val="001A4412"/>
    <w:rsid w:val="001A5038"/>
    <w:rsid w:val="001A5B5C"/>
    <w:rsid w:val="001A5E0D"/>
    <w:rsid w:val="001A624F"/>
    <w:rsid w:val="001A6319"/>
    <w:rsid w:val="001A6D62"/>
    <w:rsid w:val="001B0745"/>
    <w:rsid w:val="001B1A4B"/>
    <w:rsid w:val="001B2B8F"/>
    <w:rsid w:val="001B3FBF"/>
    <w:rsid w:val="001B40B8"/>
    <w:rsid w:val="001B5233"/>
    <w:rsid w:val="001B54B7"/>
    <w:rsid w:val="001B5695"/>
    <w:rsid w:val="001B5D5B"/>
    <w:rsid w:val="001B6FCC"/>
    <w:rsid w:val="001B7990"/>
    <w:rsid w:val="001C2ECE"/>
    <w:rsid w:val="001C4950"/>
    <w:rsid w:val="001C4B45"/>
    <w:rsid w:val="001C4DB7"/>
    <w:rsid w:val="001C4E29"/>
    <w:rsid w:val="001C4F73"/>
    <w:rsid w:val="001D07AB"/>
    <w:rsid w:val="001D2511"/>
    <w:rsid w:val="001D339B"/>
    <w:rsid w:val="001D416D"/>
    <w:rsid w:val="001D48D3"/>
    <w:rsid w:val="001D6039"/>
    <w:rsid w:val="001D6B1F"/>
    <w:rsid w:val="001D6BF6"/>
    <w:rsid w:val="001D6C4C"/>
    <w:rsid w:val="001D77AA"/>
    <w:rsid w:val="001D7EA6"/>
    <w:rsid w:val="001E3E44"/>
    <w:rsid w:val="001E41AF"/>
    <w:rsid w:val="001E5C49"/>
    <w:rsid w:val="001E6329"/>
    <w:rsid w:val="001F0777"/>
    <w:rsid w:val="001F08EF"/>
    <w:rsid w:val="001F0C92"/>
    <w:rsid w:val="001F2366"/>
    <w:rsid w:val="001F2844"/>
    <w:rsid w:val="001F3BD3"/>
    <w:rsid w:val="001F5017"/>
    <w:rsid w:val="001F6582"/>
    <w:rsid w:val="001F74C8"/>
    <w:rsid w:val="00200AC4"/>
    <w:rsid w:val="00200B66"/>
    <w:rsid w:val="00200EE1"/>
    <w:rsid w:val="0020193B"/>
    <w:rsid w:val="00203116"/>
    <w:rsid w:val="00205DFC"/>
    <w:rsid w:val="00205E88"/>
    <w:rsid w:val="002065EE"/>
    <w:rsid w:val="00206DCD"/>
    <w:rsid w:val="00207CF7"/>
    <w:rsid w:val="00210D99"/>
    <w:rsid w:val="00212969"/>
    <w:rsid w:val="002134E7"/>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40FA"/>
    <w:rsid w:val="002547C1"/>
    <w:rsid w:val="00255DE8"/>
    <w:rsid w:val="0025690C"/>
    <w:rsid w:val="00257842"/>
    <w:rsid w:val="002608EE"/>
    <w:rsid w:val="00260B29"/>
    <w:rsid w:val="00260EBB"/>
    <w:rsid w:val="00262AB6"/>
    <w:rsid w:val="0026312B"/>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3371"/>
    <w:rsid w:val="002A41D5"/>
    <w:rsid w:val="002A49D9"/>
    <w:rsid w:val="002A5BF6"/>
    <w:rsid w:val="002A613B"/>
    <w:rsid w:val="002A6697"/>
    <w:rsid w:val="002A7D5C"/>
    <w:rsid w:val="002A7E57"/>
    <w:rsid w:val="002B2A35"/>
    <w:rsid w:val="002B2EF7"/>
    <w:rsid w:val="002B42C1"/>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5D5"/>
    <w:rsid w:val="002D4D8E"/>
    <w:rsid w:val="002D5B43"/>
    <w:rsid w:val="002E3C31"/>
    <w:rsid w:val="002E44DA"/>
    <w:rsid w:val="002E5793"/>
    <w:rsid w:val="002E5B24"/>
    <w:rsid w:val="002F0F9A"/>
    <w:rsid w:val="002F1674"/>
    <w:rsid w:val="002F2FB3"/>
    <w:rsid w:val="002F3A43"/>
    <w:rsid w:val="00302531"/>
    <w:rsid w:val="00302B4A"/>
    <w:rsid w:val="003037C7"/>
    <w:rsid w:val="003042A3"/>
    <w:rsid w:val="003047F3"/>
    <w:rsid w:val="00305983"/>
    <w:rsid w:val="00307929"/>
    <w:rsid w:val="00310DAC"/>
    <w:rsid w:val="003122B1"/>
    <w:rsid w:val="003132CE"/>
    <w:rsid w:val="00314B3E"/>
    <w:rsid w:val="00316147"/>
    <w:rsid w:val="003169BE"/>
    <w:rsid w:val="00317F92"/>
    <w:rsid w:val="003202DD"/>
    <w:rsid w:val="0032183A"/>
    <w:rsid w:val="003218FF"/>
    <w:rsid w:val="00323218"/>
    <w:rsid w:val="003239B8"/>
    <w:rsid w:val="00325A8C"/>
    <w:rsid w:val="00326838"/>
    <w:rsid w:val="00326BDD"/>
    <w:rsid w:val="00330799"/>
    <w:rsid w:val="00331106"/>
    <w:rsid w:val="00331482"/>
    <w:rsid w:val="00332440"/>
    <w:rsid w:val="003326E0"/>
    <w:rsid w:val="00335962"/>
    <w:rsid w:val="0033614E"/>
    <w:rsid w:val="00340751"/>
    <w:rsid w:val="003440C6"/>
    <w:rsid w:val="00347740"/>
    <w:rsid w:val="00347C9B"/>
    <w:rsid w:val="00352C9D"/>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704F6"/>
    <w:rsid w:val="0037189B"/>
    <w:rsid w:val="003718AD"/>
    <w:rsid w:val="00371AE9"/>
    <w:rsid w:val="0037415C"/>
    <w:rsid w:val="0037634B"/>
    <w:rsid w:val="00377234"/>
    <w:rsid w:val="0037733C"/>
    <w:rsid w:val="00377687"/>
    <w:rsid w:val="00377E1D"/>
    <w:rsid w:val="00380002"/>
    <w:rsid w:val="0038020D"/>
    <w:rsid w:val="00381C58"/>
    <w:rsid w:val="00382C32"/>
    <w:rsid w:val="00384BC1"/>
    <w:rsid w:val="00385DA9"/>
    <w:rsid w:val="00386082"/>
    <w:rsid w:val="00387BC1"/>
    <w:rsid w:val="003903F4"/>
    <w:rsid w:val="0039089B"/>
    <w:rsid w:val="00390D59"/>
    <w:rsid w:val="00392505"/>
    <w:rsid w:val="0039408E"/>
    <w:rsid w:val="0039431B"/>
    <w:rsid w:val="00394A44"/>
    <w:rsid w:val="00394B91"/>
    <w:rsid w:val="00395D5E"/>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57BE"/>
    <w:rsid w:val="003C6507"/>
    <w:rsid w:val="003C66AF"/>
    <w:rsid w:val="003C7BA9"/>
    <w:rsid w:val="003D028B"/>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283"/>
    <w:rsid w:val="003E4D91"/>
    <w:rsid w:val="003E6CC2"/>
    <w:rsid w:val="003F07E4"/>
    <w:rsid w:val="003F1865"/>
    <w:rsid w:val="003F1A07"/>
    <w:rsid w:val="003F392D"/>
    <w:rsid w:val="003F3AB2"/>
    <w:rsid w:val="003F3CCA"/>
    <w:rsid w:val="003F443A"/>
    <w:rsid w:val="003F51FE"/>
    <w:rsid w:val="003F5B34"/>
    <w:rsid w:val="003F6086"/>
    <w:rsid w:val="004041CA"/>
    <w:rsid w:val="004060C8"/>
    <w:rsid w:val="004069A0"/>
    <w:rsid w:val="0040738B"/>
    <w:rsid w:val="00407FD8"/>
    <w:rsid w:val="00410134"/>
    <w:rsid w:val="0041252B"/>
    <w:rsid w:val="00412E50"/>
    <w:rsid w:val="004136DA"/>
    <w:rsid w:val="004145C8"/>
    <w:rsid w:val="004146F2"/>
    <w:rsid w:val="00414AB8"/>
    <w:rsid w:val="00417933"/>
    <w:rsid w:val="00421919"/>
    <w:rsid w:val="004237CE"/>
    <w:rsid w:val="004243FA"/>
    <w:rsid w:val="00424C32"/>
    <w:rsid w:val="00425A74"/>
    <w:rsid w:val="00425AE3"/>
    <w:rsid w:val="00425FB3"/>
    <w:rsid w:val="00427CC3"/>
    <w:rsid w:val="00430C7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601"/>
    <w:rsid w:val="004616FE"/>
    <w:rsid w:val="004625F7"/>
    <w:rsid w:val="00462F37"/>
    <w:rsid w:val="004631E2"/>
    <w:rsid w:val="004643A6"/>
    <w:rsid w:val="00465DB9"/>
    <w:rsid w:val="0046669F"/>
    <w:rsid w:val="00466924"/>
    <w:rsid w:val="0046771E"/>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574B"/>
    <w:rsid w:val="004965BE"/>
    <w:rsid w:val="00497551"/>
    <w:rsid w:val="004A0409"/>
    <w:rsid w:val="004A0A93"/>
    <w:rsid w:val="004A2232"/>
    <w:rsid w:val="004A22BE"/>
    <w:rsid w:val="004A2E2A"/>
    <w:rsid w:val="004A519F"/>
    <w:rsid w:val="004A56CB"/>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23BF"/>
    <w:rsid w:val="004D372F"/>
    <w:rsid w:val="004D3C8E"/>
    <w:rsid w:val="004D45C4"/>
    <w:rsid w:val="004D4DC7"/>
    <w:rsid w:val="004D5201"/>
    <w:rsid w:val="004D6533"/>
    <w:rsid w:val="004D661A"/>
    <w:rsid w:val="004E0036"/>
    <w:rsid w:val="004E0584"/>
    <w:rsid w:val="004E1CFE"/>
    <w:rsid w:val="004E2C25"/>
    <w:rsid w:val="004E31A6"/>
    <w:rsid w:val="004E3563"/>
    <w:rsid w:val="004E3A24"/>
    <w:rsid w:val="004E5540"/>
    <w:rsid w:val="004E62FB"/>
    <w:rsid w:val="004E7746"/>
    <w:rsid w:val="004F0313"/>
    <w:rsid w:val="004F0C9A"/>
    <w:rsid w:val="004F1ADD"/>
    <w:rsid w:val="004F1DD1"/>
    <w:rsid w:val="004F1F08"/>
    <w:rsid w:val="004F200A"/>
    <w:rsid w:val="004F24B0"/>
    <w:rsid w:val="004F3D50"/>
    <w:rsid w:val="004F3E6A"/>
    <w:rsid w:val="004F6093"/>
    <w:rsid w:val="004F71A5"/>
    <w:rsid w:val="004F73AA"/>
    <w:rsid w:val="00500FA2"/>
    <w:rsid w:val="00501487"/>
    <w:rsid w:val="00503565"/>
    <w:rsid w:val="00503E38"/>
    <w:rsid w:val="0050449E"/>
    <w:rsid w:val="00505A3A"/>
    <w:rsid w:val="0050621C"/>
    <w:rsid w:val="005067C8"/>
    <w:rsid w:val="00506D91"/>
    <w:rsid w:val="00506FA9"/>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6C9"/>
    <w:rsid w:val="0054296F"/>
    <w:rsid w:val="00543870"/>
    <w:rsid w:val="00543EC1"/>
    <w:rsid w:val="005444EB"/>
    <w:rsid w:val="005448A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D54"/>
    <w:rsid w:val="00597B35"/>
    <w:rsid w:val="005A14C4"/>
    <w:rsid w:val="005A289E"/>
    <w:rsid w:val="005A3063"/>
    <w:rsid w:val="005A3A39"/>
    <w:rsid w:val="005A3C61"/>
    <w:rsid w:val="005A635C"/>
    <w:rsid w:val="005A6BA5"/>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36B4"/>
    <w:rsid w:val="005D3A5F"/>
    <w:rsid w:val="005D51D9"/>
    <w:rsid w:val="005D5237"/>
    <w:rsid w:val="005D571C"/>
    <w:rsid w:val="005D75CA"/>
    <w:rsid w:val="005E013A"/>
    <w:rsid w:val="005E07F1"/>
    <w:rsid w:val="005E0839"/>
    <w:rsid w:val="005E09FF"/>
    <w:rsid w:val="005E0B74"/>
    <w:rsid w:val="005E2496"/>
    <w:rsid w:val="005E340E"/>
    <w:rsid w:val="005E52A8"/>
    <w:rsid w:val="005E5DFB"/>
    <w:rsid w:val="005E64A4"/>
    <w:rsid w:val="005E6CF2"/>
    <w:rsid w:val="005E6DB6"/>
    <w:rsid w:val="005E7C10"/>
    <w:rsid w:val="005F147B"/>
    <w:rsid w:val="005F1EAD"/>
    <w:rsid w:val="005F44C9"/>
    <w:rsid w:val="005F4847"/>
    <w:rsid w:val="005F4C97"/>
    <w:rsid w:val="005F62A8"/>
    <w:rsid w:val="005F6501"/>
    <w:rsid w:val="006012E1"/>
    <w:rsid w:val="00601461"/>
    <w:rsid w:val="006017C4"/>
    <w:rsid w:val="0060202A"/>
    <w:rsid w:val="00602819"/>
    <w:rsid w:val="0060453B"/>
    <w:rsid w:val="00604D98"/>
    <w:rsid w:val="0060508F"/>
    <w:rsid w:val="00605DE0"/>
    <w:rsid w:val="00606626"/>
    <w:rsid w:val="00606E24"/>
    <w:rsid w:val="006104AB"/>
    <w:rsid w:val="00611C01"/>
    <w:rsid w:val="00612C67"/>
    <w:rsid w:val="0061511B"/>
    <w:rsid w:val="00616D07"/>
    <w:rsid w:val="006209D0"/>
    <w:rsid w:val="00620CBE"/>
    <w:rsid w:val="00621774"/>
    <w:rsid w:val="00621B73"/>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68B"/>
    <w:rsid w:val="0064503D"/>
    <w:rsid w:val="00647A68"/>
    <w:rsid w:val="00647FAF"/>
    <w:rsid w:val="00650335"/>
    <w:rsid w:val="00650E30"/>
    <w:rsid w:val="0065206B"/>
    <w:rsid w:val="00653EA2"/>
    <w:rsid w:val="00657B42"/>
    <w:rsid w:val="00657FF3"/>
    <w:rsid w:val="00660BC2"/>
    <w:rsid w:val="00660E1B"/>
    <w:rsid w:val="00661475"/>
    <w:rsid w:val="00662196"/>
    <w:rsid w:val="00662BD2"/>
    <w:rsid w:val="00663AFC"/>
    <w:rsid w:val="00663F0E"/>
    <w:rsid w:val="00664C2A"/>
    <w:rsid w:val="006661E6"/>
    <w:rsid w:val="0066654C"/>
    <w:rsid w:val="00667B8F"/>
    <w:rsid w:val="006704B1"/>
    <w:rsid w:val="00670A5C"/>
    <w:rsid w:val="006716F7"/>
    <w:rsid w:val="00673DA1"/>
    <w:rsid w:val="0067523C"/>
    <w:rsid w:val="00677EF4"/>
    <w:rsid w:val="00682A9A"/>
    <w:rsid w:val="00683308"/>
    <w:rsid w:val="006846FE"/>
    <w:rsid w:val="006856F0"/>
    <w:rsid w:val="00685CE0"/>
    <w:rsid w:val="00686873"/>
    <w:rsid w:val="00687DE8"/>
    <w:rsid w:val="0069074B"/>
    <w:rsid w:val="00691072"/>
    <w:rsid w:val="006912A2"/>
    <w:rsid w:val="00692C9B"/>
    <w:rsid w:val="006936C2"/>
    <w:rsid w:val="00694C89"/>
    <w:rsid w:val="006955E5"/>
    <w:rsid w:val="006A0469"/>
    <w:rsid w:val="006A1613"/>
    <w:rsid w:val="006A17D5"/>
    <w:rsid w:val="006A1DA1"/>
    <w:rsid w:val="006A22F6"/>
    <w:rsid w:val="006A66E4"/>
    <w:rsid w:val="006A6A23"/>
    <w:rsid w:val="006A706B"/>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7728"/>
    <w:rsid w:val="006D071A"/>
    <w:rsid w:val="006D106B"/>
    <w:rsid w:val="006D15AD"/>
    <w:rsid w:val="006D41AD"/>
    <w:rsid w:val="006D59B0"/>
    <w:rsid w:val="006D6B52"/>
    <w:rsid w:val="006E0E4C"/>
    <w:rsid w:val="006E0EAE"/>
    <w:rsid w:val="006E1578"/>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1A6C"/>
    <w:rsid w:val="00702BC1"/>
    <w:rsid w:val="00704E91"/>
    <w:rsid w:val="007074F9"/>
    <w:rsid w:val="007101DC"/>
    <w:rsid w:val="00710D7A"/>
    <w:rsid w:val="00711002"/>
    <w:rsid w:val="0071145E"/>
    <w:rsid w:val="007124B2"/>
    <w:rsid w:val="00713873"/>
    <w:rsid w:val="007145AE"/>
    <w:rsid w:val="0071538B"/>
    <w:rsid w:val="00715EF9"/>
    <w:rsid w:val="00716058"/>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328D"/>
    <w:rsid w:val="00754CB3"/>
    <w:rsid w:val="007565FB"/>
    <w:rsid w:val="00756851"/>
    <w:rsid w:val="00756AEF"/>
    <w:rsid w:val="007579FC"/>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7FD0"/>
    <w:rsid w:val="007C23F1"/>
    <w:rsid w:val="007C3667"/>
    <w:rsid w:val="007C4F64"/>
    <w:rsid w:val="007C60D5"/>
    <w:rsid w:val="007C7AE4"/>
    <w:rsid w:val="007D0F5E"/>
    <w:rsid w:val="007D3E58"/>
    <w:rsid w:val="007D53BE"/>
    <w:rsid w:val="007D556E"/>
    <w:rsid w:val="007D5FA3"/>
    <w:rsid w:val="007D5FFB"/>
    <w:rsid w:val="007D660C"/>
    <w:rsid w:val="007D68A4"/>
    <w:rsid w:val="007D6D5E"/>
    <w:rsid w:val="007D7191"/>
    <w:rsid w:val="007D791A"/>
    <w:rsid w:val="007D79E3"/>
    <w:rsid w:val="007D7C81"/>
    <w:rsid w:val="007E0036"/>
    <w:rsid w:val="007E0829"/>
    <w:rsid w:val="007E0E51"/>
    <w:rsid w:val="007E0F92"/>
    <w:rsid w:val="007E106A"/>
    <w:rsid w:val="007E1128"/>
    <w:rsid w:val="007E1DCB"/>
    <w:rsid w:val="007E3157"/>
    <w:rsid w:val="007E3D8B"/>
    <w:rsid w:val="007E497C"/>
    <w:rsid w:val="007E62F8"/>
    <w:rsid w:val="007E6934"/>
    <w:rsid w:val="007E6B1A"/>
    <w:rsid w:val="007F2628"/>
    <w:rsid w:val="007F3083"/>
    <w:rsid w:val="007F3182"/>
    <w:rsid w:val="007F36E9"/>
    <w:rsid w:val="008000E0"/>
    <w:rsid w:val="00801EE7"/>
    <w:rsid w:val="00804558"/>
    <w:rsid w:val="00804743"/>
    <w:rsid w:val="00804A7E"/>
    <w:rsid w:val="00804FAB"/>
    <w:rsid w:val="00805510"/>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20581"/>
    <w:rsid w:val="00820D35"/>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511B5"/>
    <w:rsid w:val="00851E47"/>
    <w:rsid w:val="00853504"/>
    <w:rsid w:val="00853507"/>
    <w:rsid w:val="0085449A"/>
    <w:rsid w:val="00854D24"/>
    <w:rsid w:val="00854E23"/>
    <w:rsid w:val="00855C78"/>
    <w:rsid w:val="00855D16"/>
    <w:rsid w:val="00855E85"/>
    <w:rsid w:val="00857D4A"/>
    <w:rsid w:val="00863693"/>
    <w:rsid w:val="00865615"/>
    <w:rsid w:val="00865BF9"/>
    <w:rsid w:val="008667D3"/>
    <w:rsid w:val="00867E11"/>
    <w:rsid w:val="00867F4A"/>
    <w:rsid w:val="00867FAA"/>
    <w:rsid w:val="0087063A"/>
    <w:rsid w:val="008709B5"/>
    <w:rsid w:val="00870CD8"/>
    <w:rsid w:val="008711A7"/>
    <w:rsid w:val="00875F0E"/>
    <w:rsid w:val="0087606B"/>
    <w:rsid w:val="008764F1"/>
    <w:rsid w:val="008775D0"/>
    <w:rsid w:val="008779A0"/>
    <w:rsid w:val="00877EAA"/>
    <w:rsid w:val="008817A5"/>
    <w:rsid w:val="00881EB9"/>
    <w:rsid w:val="008821E1"/>
    <w:rsid w:val="008836D4"/>
    <w:rsid w:val="00883D98"/>
    <w:rsid w:val="0088691E"/>
    <w:rsid w:val="00886CA6"/>
    <w:rsid w:val="00887605"/>
    <w:rsid w:val="008977DF"/>
    <w:rsid w:val="00897B26"/>
    <w:rsid w:val="00897F01"/>
    <w:rsid w:val="008A0307"/>
    <w:rsid w:val="008A0DA4"/>
    <w:rsid w:val="008A209C"/>
    <w:rsid w:val="008A2676"/>
    <w:rsid w:val="008A7EA5"/>
    <w:rsid w:val="008B0791"/>
    <w:rsid w:val="008B0B72"/>
    <w:rsid w:val="008B1848"/>
    <w:rsid w:val="008B19DD"/>
    <w:rsid w:val="008B1AA9"/>
    <w:rsid w:val="008B209F"/>
    <w:rsid w:val="008B3C56"/>
    <w:rsid w:val="008C01D7"/>
    <w:rsid w:val="008C1A2B"/>
    <w:rsid w:val="008C25A6"/>
    <w:rsid w:val="008C5188"/>
    <w:rsid w:val="008C55A6"/>
    <w:rsid w:val="008C6619"/>
    <w:rsid w:val="008D05E6"/>
    <w:rsid w:val="008D06C7"/>
    <w:rsid w:val="008D41DE"/>
    <w:rsid w:val="008D56EA"/>
    <w:rsid w:val="008D7405"/>
    <w:rsid w:val="008E06FB"/>
    <w:rsid w:val="008E1248"/>
    <w:rsid w:val="008E20D0"/>
    <w:rsid w:val="008E26DE"/>
    <w:rsid w:val="008E3853"/>
    <w:rsid w:val="008E4686"/>
    <w:rsid w:val="008E53CF"/>
    <w:rsid w:val="008E6095"/>
    <w:rsid w:val="008F0A35"/>
    <w:rsid w:val="008F0ED3"/>
    <w:rsid w:val="008F10D1"/>
    <w:rsid w:val="008F1928"/>
    <w:rsid w:val="008F6719"/>
    <w:rsid w:val="008F766F"/>
    <w:rsid w:val="008F7967"/>
    <w:rsid w:val="0090139C"/>
    <w:rsid w:val="00901435"/>
    <w:rsid w:val="00902374"/>
    <w:rsid w:val="00903EE6"/>
    <w:rsid w:val="00904300"/>
    <w:rsid w:val="009044AD"/>
    <w:rsid w:val="00905BC3"/>
    <w:rsid w:val="00906DCC"/>
    <w:rsid w:val="00907F33"/>
    <w:rsid w:val="00910624"/>
    <w:rsid w:val="00911034"/>
    <w:rsid w:val="009110B4"/>
    <w:rsid w:val="00911113"/>
    <w:rsid w:val="00912231"/>
    <w:rsid w:val="0091297C"/>
    <w:rsid w:val="00913ACA"/>
    <w:rsid w:val="009140FF"/>
    <w:rsid w:val="00914401"/>
    <w:rsid w:val="00914FC2"/>
    <w:rsid w:val="009156F6"/>
    <w:rsid w:val="00917E25"/>
    <w:rsid w:val="0092118A"/>
    <w:rsid w:val="00922826"/>
    <w:rsid w:val="00923608"/>
    <w:rsid w:val="00924145"/>
    <w:rsid w:val="009253F2"/>
    <w:rsid w:val="0092649A"/>
    <w:rsid w:val="00926E4E"/>
    <w:rsid w:val="009305C0"/>
    <w:rsid w:val="00930672"/>
    <w:rsid w:val="00930B62"/>
    <w:rsid w:val="00930EEA"/>
    <w:rsid w:val="0093180C"/>
    <w:rsid w:val="00932155"/>
    <w:rsid w:val="009326D8"/>
    <w:rsid w:val="009331B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C0A"/>
    <w:rsid w:val="009510A4"/>
    <w:rsid w:val="00951CA2"/>
    <w:rsid w:val="00951E12"/>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DE9"/>
    <w:rsid w:val="00971817"/>
    <w:rsid w:val="0097219F"/>
    <w:rsid w:val="009731A6"/>
    <w:rsid w:val="00974D10"/>
    <w:rsid w:val="00975EF5"/>
    <w:rsid w:val="009767F1"/>
    <w:rsid w:val="00977D6E"/>
    <w:rsid w:val="009812BC"/>
    <w:rsid w:val="0098342A"/>
    <w:rsid w:val="00983695"/>
    <w:rsid w:val="00984AF9"/>
    <w:rsid w:val="00984CC2"/>
    <w:rsid w:val="009858DD"/>
    <w:rsid w:val="009872F5"/>
    <w:rsid w:val="00991299"/>
    <w:rsid w:val="00993874"/>
    <w:rsid w:val="00994B51"/>
    <w:rsid w:val="00996953"/>
    <w:rsid w:val="0099755F"/>
    <w:rsid w:val="009979A3"/>
    <w:rsid w:val="009979DF"/>
    <w:rsid w:val="00997CD8"/>
    <w:rsid w:val="009A20A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1525"/>
    <w:rsid w:val="009C21ED"/>
    <w:rsid w:val="009C279F"/>
    <w:rsid w:val="009C4C0C"/>
    <w:rsid w:val="009C5D0E"/>
    <w:rsid w:val="009C69A4"/>
    <w:rsid w:val="009D034A"/>
    <w:rsid w:val="009D07F3"/>
    <w:rsid w:val="009D17A5"/>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CC8"/>
    <w:rsid w:val="009F22D7"/>
    <w:rsid w:val="009F39E3"/>
    <w:rsid w:val="009F46F3"/>
    <w:rsid w:val="009F564B"/>
    <w:rsid w:val="009F7650"/>
    <w:rsid w:val="00A002B9"/>
    <w:rsid w:val="00A011B3"/>
    <w:rsid w:val="00A03327"/>
    <w:rsid w:val="00A038C6"/>
    <w:rsid w:val="00A03ABC"/>
    <w:rsid w:val="00A0441F"/>
    <w:rsid w:val="00A0449E"/>
    <w:rsid w:val="00A06376"/>
    <w:rsid w:val="00A1292C"/>
    <w:rsid w:val="00A1311B"/>
    <w:rsid w:val="00A1386A"/>
    <w:rsid w:val="00A13C06"/>
    <w:rsid w:val="00A14C54"/>
    <w:rsid w:val="00A153B7"/>
    <w:rsid w:val="00A1544D"/>
    <w:rsid w:val="00A16733"/>
    <w:rsid w:val="00A176D5"/>
    <w:rsid w:val="00A20FA8"/>
    <w:rsid w:val="00A22822"/>
    <w:rsid w:val="00A24046"/>
    <w:rsid w:val="00A2423B"/>
    <w:rsid w:val="00A245A8"/>
    <w:rsid w:val="00A26329"/>
    <w:rsid w:val="00A26BE3"/>
    <w:rsid w:val="00A30CC0"/>
    <w:rsid w:val="00A31EA2"/>
    <w:rsid w:val="00A3232D"/>
    <w:rsid w:val="00A328AE"/>
    <w:rsid w:val="00A33265"/>
    <w:rsid w:val="00A33E7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80076"/>
    <w:rsid w:val="00A81869"/>
    <w:rsid w:val="00A83221"/>
    <w:rsid w:val="00A8349F"/>
    <w:rsid w:val="00A8626F"/>
    <w:rsid w:val="00A86BC9"/>
    <w:rsid w:val="00A90892"/>
    <w:rsid w:val="00A92522"/>
    <w:rsid w:val="00A92B4E"/>
    <w:rsid w:val="00A96B14"/>
    <w:rsid w:val="00AA1159"/>
    <w:rsid w:val="00AB053C"/>
    <w:rsid w:val="00AB11F6"/>
    <w:rsid w:val="00AB178D"/>
    <w:rsid w:val="00AB21F9"/>
    <w:rsid w:val="00AB257D"/>
    <w:rsid w:val="00AB29E7"/>
    <w:rsid w:val="00AB317A"/>
    <w:rsid w:val="00AB4500"/>
    <w:rsid w:val="00AB61B5"/>
    <w:rsid w:val="00AB6B67"/>
    <w:rsid w:val="00AB76A7"/>
    <w:rsid w:val="00AB7F8A"/>
    <w:rsid w:val="00AC0207"/>
    <w:rsid w:val="00AC248E"/>
    <w:rsid w:val="00AC2694"/>
    <w:rsid w:val="00AC2B4C"/>
    <w:rsid w:val="00AC7A58"/>
    <w:rsid w:val="00AD0270"/>
    <w:rsid w:val="00AD125A"/>
    <w:rsid w:val="00AD2341"/>
    <w:rsid w:val="00AD366F"/>
    <w:rsid w:val="00AD4853"/>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DA2"/>
    <w:rsid w:val="00AF78A3"/>
    <w:rsid w:val="00AF795D"/>
    <w:rsid w:val="00B003E6"/>
    <w:rsid w:val="00B0061B"/>
    <w:rsid w:val="00B011FC"/>
    <w:rsid w:val="00B012FD"/>
    <w:rsid w:val="00B01FF1"/>
    <w:rsid w:val="00B0296C"/>
    <w:rsid w:val="00B032AB"/>
    <w:rsid w:val="00B039BA"/>
    <w:rsid w:val="00B073FF"/>
    <w:rsid w:val="00B076EC"/>
    <w:rsid w:val="00B079FB"/>
    <w:rsid w:val="00B07EC6"/>
    <w:rsid w:val="00B11263"/>
    <w:rsid w:val="00B1174D"/>
    <w:rsid w:val="00B12793"/>
    <w:rsid w:val="00B14642"/>
    <w:rsid w:val="00B1490F"/>
    <w:rsid w:val="00B14BAA"/>
    <w:rsid w:val="00B162C2"/>
    <w:rsid w:val="00B1633B"/>
    <w:rsid w:val="00B174A3"/>
    <w:rsid w:val="00B2191E"/>
    <w:rsid w:val="00B21A90"/>
    <w:rsid w:val="00B22CB5"/>
    <w:rsid w:val="00B2358B"/>
    <w:rsid w:val="00B244AA"/>
    <w:rsid w:val="00B24BC1"/>
    <w:rsid w:val="00B301D7"/>
    <w:rsid w:val="00B3222A"/>
    <w:rsid w:val="00B33BF1"/>
    <w:rsid w:val="00B34451"/>
    <w:rsid w:val="00B35947"/>
    <w:rsid w:val="00B40BDC"/>
    <w:rsid w:val="00B41483"/>
    <w:rsid w:val="00B4192C"/>
    <w:rsid w:val="00B422F2"/>
    <w:rsid w:val="00B42F80"/>
    <w:rsid w:val="00B433F3"/>
    <w:rsid w:val="00B4342C"/>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C81"/>
    <w:rsid w:val="00B6667D"/>
    <w:rsid w:val="00B6679F"/>
    <w:rsid w:val="00B7053B"/>
    <w:rsid w:val="00B706B7"/>
    <w:rsid w:val="00B71468"/>
    <w:rsid w:val="00B71C14"/>
    <w:rsid w:val="00B7318D"/>
    <w:rsid w:val="00B73A1D"/>
    <w:rsid w:val="00B76188"/>
    <w:rsid w:val="00B7697C"/>
    <w:rsid w:val="00B80191"/>
    <w:rsid w:val="00B80988"/>
    <w:rsid w:val="00B8153C"/>
    <w:rsid w:val="00B818CF"/>
    <w:rsid w:val="00B823C2"/>
    <w:rsid w:val="00B833BE"/>
    <w:rsid w:val="00B85340"/>
    <w:rsid w:val="00B86096"/>
    <w:rsid w:val="00B90510"/>
    <w:rsid w:val="00B90B7D"/>
    <w:rsid w:val="00B91197"/>
    <w:rsid w:val="00B93F5B"/>
    <w:rsid w:val="00B944BD"/>
    <w:rsid w:val="00B95EA3"/>
    <w:rsid w:val="00B964E5"/>
    <w:rsid w:val="00B969F4"/>
    <w:rsid w:val="00B96FA4"/>
    <w:rsid w:val="00B97FC5"/>
    <w:rsid w:val="00BA0EBA"/>
    <w:rsid w:val="00BA1AFD"/>
    <w:rsid w:val="00BA5390"/>
    <w:rsid w:val="00BA5A47"/>
    <w:rsid w:val="00BA65ED"/>
    <w:rsid w:val="00BA6760"/>
    <w:rsid w:val="00BB0321"/>
    <w:rsid w:val="00BB0998"/>
    <w:rsid w:val="00BB129B"/>
    <w:rsid w:val="00BB1C5F"/>
    <w:rsid w:val="00BB62A8"/>
    <w:rsid w:val="00BB65DE"/>
    <w:rsid w:val="00BB6FB5"/>
    <w:rsid w:val="00BC178D"/>
    <w:rsid w:val="00BC494E"/>
    <w:rsid w:val="00BC6394"/>
    <w:rsid w:val="00BC6B5C"/>
    <w:rsid w:val="00BC6E0C"/>
    <w:rsid w:val="00BC74A0"/>
    <w:rsid w:val="00BC758F"/>
    <w:rsid w:val="00BC7848"/>
    <w:rsid w:val="00BD09A0"/>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9AD"/>
    <w:rsid w:val="00BF6551"/>
    <w:rsid w:val="00BF6B53"/>
    <w:rsid w:val="00BF776A"/>
    <w:rsid w:val="00C0032A"/>
    <w:rsid w:val="00C0122B"/>
    <w:rsid w:val="00C03C19"/>
    <w:rsid w:val="00C05987"/>
    <w:rsid w:val="00C05EAA"/>
    <w:rsid w:val="00C078B0"/>
    <w:rsid w:val="00C07FD8"/>
    <w:rsid w:val="00C1001A"/>
    <w:rsid w:val="00C109D2"/>
    <w:rsid w:val="00C11821"/>
    <w:rsid w:val="00C1270E"/>
    <w:rsid w:val="00C14A7A"/>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4BF"/>
    <w:rsid w:val="00C417DE"/>
    <w:rsid w:val="00C41A01"/>
    <w:rsid w:val="00C42BF0"/>
    <w:rsid w:val="00C42D63"/>
    <w:rsid w:val="00C434C3"/>
    <w:rsid w:val="00C4495D"/>
    <w:rsid w:val="00C44D08"/>
    <w:rsid w:val="00C44EF8"/>
    <w:rsid w:val="00C4531D"/>
    <w:rsid w:val="00C510C4"/>
    <w:rsid w:val="00C533A7"/>
    <w:rsid w:val="00C54993"/>
    <w:rsid w:val="00C55482"/>
    <w:rsid w:val="00C55889"/>
    <w:rsid w:val="00C5764D"/>
    <w:rsid w:val="00C57A1E"/>
    <w:rsid w:val="00C603F1"/>
    <w:rsid w:val="00C61203"/>
    <w:rsid w:val="00C64405"/>
    <w:rsid w:val="00C6482E"/>
    <w:rsid w:val="00C64DFC"/>
    <w:rsid w:val="00C6548F"/>
    <w:rsid w:val="00C65CC5"/>
    <w:rsid w:val="00C71D1A"/>
    <w:rsid w:val="00C72358"/>
    <w:rsid w:val="00C7361B"/>
    <w:rsid w:val="00C73867"/>
    <w:rsid w:val="00C7388A"/>
    <w:rsid w:val="00C73B20"/>
    <w:rsid w:val="00C74204"/>
    <w:rsid w:val="00C745E5"/>
    <w:rsid w:val="00C763E9"/>
    <w:rsid w:val="00C76544"/>
    <w:rsid w:val="00C772BB"/>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EB7"/>
    <w:rsid w:val="00CC721A"/>
    <w:rsid w:val="00CC7B8D"/>
    <w:rsid w:val="00CD03D1"/>
    <w:rsid w:val="00CD0784"/>
    <w:rsid w:val="00CD33C2"/>
    <w:rsid w:val="00CD3597"/>
    <w:rsid w:val="00CD3CAE"/>
    <w:rsid w:val="00CD3D7C"/>
    <w:rsid w:val="00CD63F2"/>
    <w:rsid w:val="00CD6F52"/>
    <w:rsid w:val="00CE0558"/>
    <w:rsid w:val="00CE0ACF"/>
    <w:rsid w:val="00CE2107"/>
    <w:rsid w:val="00CE2843"/>
    <w:rsid w:val="00CE2910"/>
    <w:rsid w:val="00CE2C92"/>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3068"/>
    <w:rsid w:val="00D34C37"/>
    <w:rsid w:val="00D35E3B"/>
    <w:rsid w:val="00D37FD8"/>
    <w:rsid w:val="00D400E2"/>
    <w:rsid w:val="00D416B6"/>
    <w:rsid w:val="00D43002"/>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2F9E"/>
    <w:rsid w:val="00D83226"/>
    <w:rsid w:val="00D84EDE"/>
    <w:rsid w:val="00D8521C"/>
    <w:rsid w:val="00D853CD"/>
    <w:rsid w:val="00D86B29"/>
    <w:rsid w:val="00D87585"/>
    <w:rsid w:val="00D918E4"/>
    <w:rsid w:val="00D91E1A"/>
    <w:rsid w:val="00D9235A"/>
    <w:rsid w:val="00D95363"/>
    <w:rsid w:val="00D97269"/>
    <w:rsid w:val="00D979A4"/>
    <w:rsid w:val="00DA0B22"/>
    <w:rsid w:val="00DA32A7"/>
    <w:rsid w:val="00DA5B85"/>
    <w:rsid w:val="00DA5D52"/>
    <w:rsid w:val="00DA5E13"/>
    <w:rsid w:val="00DB06E9"/>
    <w:rsid w:val="00DB47E7"/>
    <w:rsid w:val="00DB4B55"/>
    <w:rsid w:val="00DB4BA2"/>
    <w:rsid w:val="00DB5E37"/>
    <w:rsid w:val="00DB67CC"/>
    <w:rsid w:val="00DB6D4E"/>
    <w:rsid w:val="00DB7118"/>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51DE"/>
    <w:rsid w:val="00E3065C"/>
    <w:rsid w:val="00E308C4"/>
    <w:rsid w:val="00E3185A"/>
    <w:rsid w:val="00E337A3"/>
    <w:rsid w:val="00E33F4F"/>
    <w:rsid w:val="00E342A6"/>
    <w:rsid w:val="00E36A43"/>
    <w:rsid w:val="00E401CE"/>
    <w:rsid w:val="00E406CB"/>
    <w:rsid w:val="00E43084"/>
    <w:rsid w:val="00E447B6"/>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7EF"/>
    <w:rsid w:val="00E62C39"/>
    <w:rsid w:val="00E62CFB"/>
    <w:rsid w:val="00E63EAE"/>
    <w:rsid w:val="00E64AC3"/>
    <w:rsid w:val="00E6563A"/>
    <w:rsid w:val="00E65758"/>
    <w:rsid w:val="00E661B0"/>
    <w:rsid w:val="00E67906"/>
    <w:rsid w:val="00E67CC8"/>
    <w:rsid w:val="00E7019A"/>
    <w:rsid w:val="00E70955"/>
    <w:rsid w:val="00E73781"/>
    <w:rsid w:val="00E75944"/>
    <w:rsid w:val="00E75AF5"/>
    <w:rsid w:val="00E7604A"/>
    <w:rsid w:val="00E768C7"/>
    <w:rsid w:val="00E76CA2"/>
    <w:rsid w:val="00E770B8"/>
    <w:rsid w:val="00E77816"/>
    <w:rsid w:val="00E805CB"/>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44D9"/>
    <w:rsid w:val="00EC4E34"/>
    <w:rsid w:val="00EC52C9"/>
    <w:rsid w:val="00EC6343"/>
    <w:rsid w:val="00EC73A4"/>
    <w:rsid w:val="00EC7AE1"/>
    <w:rsid w:val="00ED35D6"/>
    <w:rsid w:val="00ED5345"/>
    <w:rsid w:val="00ED5C57"/>
    <w:rsid w:val="00ED6296"/>
    <w:rsid w:val="00ED64C1"/>
    <w:rsid w:val="00ED7131"/>
    <w:rsid w:val="00ED75AE"/>
    <w:rsid w:val="00EE0F94"/>
    <w:rsid w:val="00EE1240"/>
    <w:rsid w:val="00EE2B07"/>
    <w:rsid w:val="00EE3BC2"/>
    <w:rsid w:val="00EE4254"/>
    <w:rsid w:val="00EE59FE"/>
    <w:rsid w:val="00EE6DA0"/>
    <w:rsid w:val="00EE7D43"/>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363"/>
    <w:rsid w:val="00F17CEC"/>
    <w:rsid w:val="00F205C4"/>
    <w:rsid w:val="00F20D92"/>
    <w:rsid w:val="00F21128"/>
    <w:rsid w:val="00F21BB6"/>
    <w:rsid w:val="00F22F39"/>
    <w:rsid w:val="00F25C62"/>
    <w:rsid w:val="00F27762"/>
    <w:rsid w:val="00F3040B"/>
    <w:rsid w:val="00F30B50"/>
    <w:rsid w:val="00F31B5A"/>
    <w:rsid w:val="00F322EE"/>
    <w:rsid w:val="00F323B8"/>
    <w:rsid w:val="00F341E9"/>
    <w:rsid w:val="00F34AA6"/>
    <w:rsid w:val="00F34FC2"/>
    <w:rsid w:val="00F3533B"/>
    <w:rsid w:val="00F36976"/>
    <w:rsid w:val="00F37155"/>
    <w:rsid w:val="00F419A4"/>
    <w:rsid w:val="00F438A9"/>
    <w:rsid w:val="00F43EEC"/>
    <w:rsid w:val="00F46BFD"/>
    <w:rsid w:val="00F478FE"/>
    <w:rsid w:val="00F5018C"/>
    <w:rsid w:val="00F5157D"/>
    <w:rsid w:val="00F5376C"/>
    <w:rsid w:val="00F54885"/>
    <w:rsid w:val="00F5507E"/>
    <w:rsid w:val="00F60A0B"/>
    <w:rsid w:val="00F610D5"/>
    <w:rsid w:val="00F613D7"/>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FF4"/>
    <w:rsid w:val="00FA21D5"/>
    <w:rsid w:val="00FA3ECC"/>
    <w:rsid w:val="00FA5183"/>
    <w:rsid w:val="00FA6B8B"/>
    <w:rsid w:val="00FB028C"/>
    <w:rsid w:val="00FB0DDC"/>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50D3"/>
    <w:rsid w:val="00FD51B8"/>
    <w:rsid w:val="00FD5315"/>
    <w:rsid w:val="00FD5FC7"/>
    <w:rsid w:val="00FD75B3"/>
    <w:rsid w:val="00FE169D"/>
    <w:rsid w:val="00FE1BB6"/>
    <w:rsid w:val="00FE1D47"/>
    <w:rsid w:val="00FE33AC"/>
    <w:rsid w:val="00FE424B"/>
    <w:rsid w:val="00FE5479"/>
    <w:rsid w:val="00FE5B2F"/>
    <w:rsid w:val="00FE733E"/>
    <w:rsid w:val="00FE7594"/>
    <w:rsid w:val="00FF0557"/>
    <w:rsid w:val="00FF09FC"/>
    <w:rsid w:val="00FF1133"/>
    <w:rsid w:val="00FF564D"/>
    <w:rsid w:val="00FF65BA"/>
    <w:rsid w:val="00FF685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72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
    <w:semiHidden/>
    <w:rsid w:val="0060372E"/>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60372E"/>
    <w:rPr>
      <w:rFonts w:ascii="Cambria" w:eastAsia="Times New Roman" w:hAnsi="Cambria" w:cs="Times New Roman"/>
      <w:b/>
      <w:bCs/>
      <w:sz w:val="26"/>
      <w:szCs w:val="26"/>
      <w:lang w:eastAsia="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rsid w:val="0060372E"/>
    <w:rPr>
      <w:sz w:val="24"/>
      <w:szCs w:val="24"/>
      <w:lang w:eastAsia="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rsid w:val="0060372E"/>
    <w:rPr>
      <w:sz w:val="24"/>
      <w:szCs w:val="24"/>
      <w:lang w:eastAsia="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rsid w:val="0060372E"/>
    <w:rPr>
      <w:sz w:val="24"/>
      <w:szCs w:val="24"/>
      <w:lang w:eastAsia="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rsid w:val="0060372E"/>
    <w:rPr>
      <w:sz w:val="0"/>
      <w:szCs w:val="0"/>
      <w:lang w:eastAsia="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rPr>
  </w:style>
</w:styles>
</file>

<file path=word/webSettings.xml><?xml version="1.0" encoding="utf-8"?>
<w:webSettings xmlns:r="http://schemas.openxmlformats.org/officeDocument/2006/relationships" xmlns:w="http://schemas.openxmlformats.org/wordprocessingml/2006/main">
  <w:divs>
    <w:div w:id="205876847">
      <w:marLeft w:val="0"/>
      <w:marRight w:val="0"/>
      <w:marTop w:val="0"/>
      <w:marBottom w:val="0"/>
      <w:divBdr>
        <w:top w:val="none" w:sz="0" w:space="0" w:color="auto"/>
        <w:left w:val="none" w:sz="0" w:space="0" w:color="auto"/>
        <w:bottom w:val="none" w:sz="0" w:space="0" w:color="auto"/>
        <w:right w:val="none" w:sz="0" w:space="0" w:color="auto"/>
      </w:divBdr>
    </w:div>
    <w:div w:id="205876848">
      <w:marLeft w:val="0"/>
      <w:marRight w:val="0"/>
      <w:marTop w:val="0"/>
      <w:marBottom w:val="0"/>
      <w:divBdr>
        <w:top w:val="none" w:sz="0" w:space="0" w:color="auto"/>
        <w:left w:val="none" w:sz="0" w:space="0" w:color="auto"/>
        <w:bottom w:val="none" w:sz="0" w:space="0" w:color="auto"/>
        <w:right w:val="none" w:sz="0" w:space="0" w:color="auto"/>
      </w:divBdr>
    </w:div>
    <w:div w:id="205876849">
      <w:marLeft w:val="0"/>
      <w:marRight w:val="0"/>
      <w:marTop w:val="0"/>
      <w:marBottom w:val="0"/>
      <w:divBdr>
        <w:top w:val="none" w:sz="0" w:space="0" w:color="auto"/>
        <w:left w:val="none" w:sz="0" w:space="0" w:color="auto"/>
        <w:bottom w:val="none" w:sz="0" w:space="0" w:color="auto"/>
        <w:right w:val="none" w:sz="0" w:space="0" w:color="auto"/>
      </w:divBdr>
    </w:div>
    <w:div w:id="205876850">
      <w:marLeft w:val="0"/>
      <w:marRight w:val="0"/>
      <w:marTop w:val="0"/>
      <w:marBottom w:val="0"/>
      <w:divBdr>
        <w:top w:val="none" w:sz="0" w:space="0" w:color="auto"/>
        <w:left w:val="none" w:sz="0" w:space="0" w:color="auto"/>
        <w:bottom w:val="none" w:sz="0" w:space="0" w:color="auto"/>
        <w:right w:val="none" w:sz="0" w:space="0" w:color="auto"/>
      </w:divBdr>
    </w:div>
    <w:div w:id="205876851">
      <w:marLeft w:val="0"/>
      <w:marRight w:val="0"/>
      <w:marTop w:val="0"/>
      <w:marBottom w:val="0"/>
      <w:divBdr>
        <w:top w:val="none" w:sz="0" w:space="0" w:color="auto"/>
        <w:left w:val="none" w:sz="0" w:space="0" w:color="auto"/>
        <w:bottom w:val="none" w:sz="0" w:space="0" w:color="auto"/>
        <w:right w:val="none" w:sz="0" w:space="0" w:color="auto"/>
      </w:divBdr>
    </w:div>
    <w:div w:id="205876852">
      <w:marLeft w:val="0"/>
      <w:marRight w:val="0"/>
      <w:marTop w:val="0"/>
      <w:marBottom w:val="0"/>
      <w:divBdr>
        <w:top w:val="none" w:sz="0" w:space="0" w:color="auto"/>
        <w:left w:val="none" w:sz="0" w:space="0" w:color="auto"/>
        <w:bottom w:val="none" w:sz="0" w:space="0" w:color="auto"/>
        <w:right w:val="none" w:sz="0" w:space="0" w:color="auto"/>
      </w:divBdr>
    </w:div>
    <w:div w:id="205876853">
      <w:marLeft w:val="0"/>
      <w:marRight w:val="0"/>
      <w:marTop w:val="0"/>
      <w:marBottom w:val="0"/>
      <w:divBdr>
        <w:top w:val="none" w:sz="0" w:space="0" w:color="auto"/>
        <w:left w:val="none" w:sz="0" w:space="0" w:color="auto"/>
        <w:bottom w:val="none" w:sz="0" w:space="0" w:color="auto"/>
        <w:right w:val="none" w:sz="0" w:space="0" w:color="auto"/>
      </w:divBdr>
    </w:div>
    <w:div w:id="205876854">
      <w:marLeft w:val="0"/>
      <w:marRight w:val="0"/>
      <w:marTop w:val="0"/>
      <w:marBottom w:val="0"/>
      <w:divBdr>
        <w:top w:val="none" w:sz="0" w:space="0" w:color="auto"/>
        <w:left w:val="none" w:sz="0" w:space="0" w:color="auto"/>
        <w:bottom w:val="none" w:sz="0" w:space="0" w:color="auto"/>
        <w:right w:val="none" w:sz="0" w:space="0" w:color="auto"/>
      </w:divBdr>
    </w:div>
    <w:div w:id="205876855">
      <w:marLeft w:val="0"/>
      <w:marRight w:val="0"/>
      <w:marTop w:val="0"/>
      <w:marBottom w:val="0"/>
      <w:divBdr>
        <w:top w:val="none" w:sz="0" w:space="0" w:color="auto"/>
        <w:left w:val="none" w:sz="0" w:space="0" w:color="auto"/>
        <w:bottom w:val="none" w:sz="0" w:space="0" w:color="auto"/>
        <w:right w:val="none" w:sz="0" w:space="0" w:color="auto"/>
      </w:divBdr>
    </w:div>
    <w:div w:id="205876856">
      <w:marLeft w:val="0"/>
      <w:marRight w:val="0"/>
      <w:marTop w:val="0"/>
      <w:marBottom w:val="0"/>
      <w:divBdr>
        <w:top w:val="none" w:sz="0" w:space="0" w:color="auto"/>
        <w:left w:val="none" w:sz="0" w:space="0" w:color="auto"/>
        <w:bottom w:val="none" w:sz="0" w:space="0" w:color="auto"/>
        <w:right w:val="none" w:sz="0" w:space="0" w:color="auto"/>
      </w:divBdr>
    </w:div>
    <w:div w:id="205876857">
      <w:marLeft w:val="0"/>
      <w:marRight w:val="0"/>
      <w:marTop w:val="0"/>
      <w:marBottom w:val="0"/>
      <w:divBdr>
        <w:top w:val="none" w:sz="0" w:space="0" w:color="auto"/>
        <w:left w:val="none" w:sz="0" w:space="0" w:color="auto"/>
        <w:bottom w:val="none" w:sz="0" w:space="0" w:color="auto"/>
        <w:right w:val="none" w:sz="0" w:space="0" w:color="auto"/>
      </w:divBdr>
    </w:div>
    <w:div w:id="205876858">
      <w:marLeft w:val="0"/>
      <w:marRight w:val="0"/>
      <w:marTop w:val="0"/>
      <w:marBottom w:val="0"/>
      <w:divBdr>
        <w:top w:val="none" w:sz="0" w:space="0" w:color="auto"/>
        <w:left w:val="none" w:sz="0" w:space="0" w:color="auto"/>
        <w:bottom w:val="none" w:sz="0" w:space="0" w:color="auto"/>
        <w:right w:val="none" w:sz="0" w:space="0" w:color="auto"/>
      </w:divBdr>
    </w:div>
    <w:div w:id="205876859">
      <w:marLeft w:val="0"/>
      <w:marRight w:val="0"/>
      <w:marTop w:val="0"/>
      <w:marBottom w:val="0"/>
      <w:divBdr>
        <w:top w:val="none" w:sz="0" w:space="0" w:color="auto"/>
        <w:left w:val="none" w:sz="0" w:space="0" w:color="auto"/>
        <w:bottom w:val="none" w:sz="0" w:space="0" w:color="auto"/>
        <w:right w:val="none" w:sz="0" w:space="0" w:color="auto"/>
      </w:divBdr>
    </w:div>
    <w:div w:id="205876860">
      <w:marLeft w:val="0"/>
      <w:marRight w:val="0"/>
      <w:marTop w:val="0"/>
      <w:marBottom w:val="0"/>
      <w:divBdr>
        <w:top w:val="none" w:sz="0" w:space="0" w:color="auto"/>
        <w:left w:val="none" w:sz="0" w:space="0" w:color="auto"/>
        <w:bottom w:val="none" w:sz="0" w:space="0" w:color="auto"/>
        <w:right w:val="none" w:sz="0" w:space="0" w:color="auto"/>
      </w:divBdr>
    </w:div>
    <w:div w:id="205876861">
      <w:marLeft w:val="0"/>
      <w:marRight w:val="0"/>
      <w:marTop w:val="0"/>
      <w:marBottom w:val="0"/>
      <w:divBdr>
        <w:top w:val="none" w:sz="0" w:space="0" w:color="auto"/>
        <w:left w:val="none" w:sz="0" w:space="0" w:color="auto"/>
        <w:bottom w:val="none" w:sz="0" w:space="0" w:color="auto"/>
        <w:right w:val="none" w:sz="0" w:space="0" w:color="auto"/>
      </w:divBdr>
    </w:div>
    <w:div w:id="205876862">
      <w:marLeft w:val="0"/>
      <w:marRight w:val="0"/>
      <w:marTop w:val="0"/>
      <w:marBottom w:val="0"/>
      <w:divBdr>
        <w:top w:val="none" w:sz="0" w:space="0" w:color="auto"/>
        <w:left w:val="none" w:sz="0" w:space="0" w:color="auto"/>
        <w:bottom w:val="none" w:sz="0" w:space="0" w:color="auto"/>
        <w:right w:val="none" w:sz="0" w:space="0" w:color="auto"/>
      </w:divBdr>
    </w:div>
    <w:div w:id="205876863">
      <w:marLeft w:val="0"/>
      <w:marRight w:val="0"/>
      <w:marTop w:val="0"/>
      <w:marBottom w:val="0"/>
      <w:divBdr>
        <w:top w:val="none" w:sz="0" w:space="0" w:color="auto"/>
        <w:left w:val="none" w:sz="0" w:space="0" w:color="auto"/>
        <w:bottom w:val="none" w:sz="0" w:space="0" w:color="auto"/>
        <w:right w:val="none" w:sz="0" w:space="0" w:color="auto"/>
      </w:divBdr>
    </w:div>
    <w:div w:id="205876864">
      <w:marLeft w:val="0"/>
      <w:marRight w:val="0"/>
      <w:marTop w:val="0"/>
      <w:marBottom w:val="0"/>
      <w:divBdr>
        <w:top w:val="none" w:sz="0" w:space="0" w:color="auto"/>
        <w:left w:val="none" w:sz="0" w:space="0" w:color="auto"/>
        <w:bottom w:val="none" w:sz="0" w:space="0" w:color="auto"/>
        <w:right w:val="none" w:sz="0" w:space="0" w:color="auto"/>
      </w:divBdr>
    </w:div>
    <w:div w:id="205876865">
      <w:marLeft w:val="0"/>
      <w:marRight w:val="0"/>
      <w:marTop w:val="0"/>
      <w:marBottom w:val="0"/>
      <w:divBdr>
        <w:top w:val="none" w:sz="0" w:space="0" w:color="auto"/>
        <w:left w:val="none" w:sz="0" w:space="0" w:color="auto"/>
        <w:bottom w:val="none" w:sz="0" w:space="0" w:color="auto"/>
        <w:right w:val="none" w:sz="0" w:space="0" w:color="auto"/>
      </w:divBdr>
    </w:div>
    <w:div w:id="205876866">
      <w:marLeft w:val="0"/>
      <w:marRight w:val="0"/>
      <w:marTop w:val="0"/>
      <w:marBottom w:val="0"/>
      <w:divBdr>
        <w:top w:val="none" w:sz="0" w:space="0" w:color="auto"/>
        <w:left w:val="none" w:sz="0" w:space="0" w:color="auto"/>
        <w:bottom w:val="none" w:sz="0" w:space="0" w:color="auto"/>
        <w:right w:val="none" w:sz="0" w:space="0" w:color="auto"/>
      </w:divBdr>
    </w:div>
    <w:div w:id="205876867">
      <w:marLeft w:val="0"/>
      <w:marRight w:val="0"/>
      <w:marTop w:val="0"/>
      <w:marBottom w:val="0"/>
      <w:divBdr>
        <w:top w:val="none" w:sz="0" w:space="0" w:color="auto"/>
        <w:left w:val="none" w:sz="0" w:space="0" w:color="auto"/>
        <w:bottom w:val="none" w:sz="0" w:space="0" w:color="auto"/>
        <w:right w:val="none" w:sz="0" w:space="0" w:color="auto"/>
      </w:divBdr>
    </w:div>
    <w:div w:id="205876868">
      <w:marLeft w:val="0"/>
      <w:marRight w:val="0"/>
      <w:marTop w:val="0"/>
      <w:marBottom w:val="0"/>
      <w:divBdr>
        <w:top w:val="none" w:sz="0" w:space="0" w:color="auto"/>
        <w:left w:val="none" w:sz="0" w:space="0" w:color="auto"/>
        <w:bottom w:val="none" w:sz="0" w:space="0" w:color="auto"/>
        <w:right w:val="none" w:sz="0" w:space="0" w:color="auto"/>
      </w:divBdr>
    </w:div>
    <w:div w:id="205876869">
      <w:marLeft w:val="0"/>
      <w:marRight w:val="0"/>
      <w:marTop w:val="0"/>
      <w:marBottom w:val="0"/>
      <w:divBdr>
        <w:top w:val="none" w:sz="0" w:space="0" w:color="auto"/>
        <w:left w:val="none" w:sz="0" w:space="0" w:color="auto"/>
        <w:bottom w:val="none" w:sz="0" w:space="0" w:color="auto"/>
        <w:right w:val="none" w:sz="0" w:space="0" w:color="auto"/>
      </w:divBdr>
    </w:div>
    <w:div w:id="205876870">
      <w:marLeft w:val="0"/>
      <w:marRight w:val="0"/>
      <w:marTop w:val="0"/>
      <w:marBottom w:val="0"/>
      <w:divBdr>
        <w:top w:val="none" w:sz="0" w:space="0" w:color="auto"/>
        <w:left w:val="none" w:sz="0" w:space="0" w:color="auto"/>
        <w:bottom w:val="none" w:sz="0" w:space="0" w:color="auto"/>
        <w:right w:val="none" w:sz="0" w:space="0" w:color="auto"/>
      </w:divBdr>
    </w:div>
    <w:div w:id="205876871">
      <w:marLeft w:val="0"/>
      <w:marRight w:val="0"/>
      <w:marTop w:val="0"/>
      <w:marBottom w:val="0"/>
      <w:divBdr>
        <w:top w:val="none" w:sz="0" w:space="0" w:color="auto"/>
        <w:left w:val="none" w:sz="0" w:space="0" w:color="auto"/>
        <w:bottom w:val="none" w:sz="0" w:space="0" w:color="auto"/>
        <w:right w:val="none" w:sz="0" w:space="0" w:color="auto"/>
      </w:divBdr>
    </w:div>
    <w:div w:id="205876872">
      <w:marLeft w:val="0"/>
      <w:marRight w:val="0"/>
      <w:marTop w:val="0"/>
      <w:marBottom w:val="0"/>
      <w:divBdr>
        <w:top w:val="none" w:sz="0" w:space="0" w:color="auto"/>
        <w:left w:val="none" w:sz="0" w:space="0" w:color="auto"/>
        <w:bottom w:val="none" w:sz="0" w:space="0" w:color="auto"/>
        <w:right w:val="none" w:sz="0" w:space="0" w:color="auto"/>
      </w:divBdr>
    </w:div>
    <w:div w:id="205876873">
      <w:marLeft w:val="0"/>
      <w:marRight w:val="0"/>
      <w:marTop w:val="0"/>
      <w:marBottom w:val="0"/>
      <w:divBdr>
        <w:top w:val="none" w:sz="0" w:space="0" w:color="auto"/>
        <w:left w:val="none" w:sz="0" w:space="0" w:color="auto"/>
        <w:bottom w:val="none" w:sz="0" w:space="0" w:color="auto"/>
        <w:right w:val="none" w:sz="0" w:space="0" w:color="auto"/>
      </w:divBdr>
    </w:div>
    <w:div w:id="205876874">
      <w:marLeft w:val="0"/>
      <w:marRight w:val="0"/>
      <w:marTop w:val="0"/>
      <w:marBottom w:val="0"/>
      <w:divBdr>
        <w:top w:val="none" w:sz="0" w:space="0" w:color="auto"/>
        <w:left w:val="none" w:sz="0" w:space="0" w:color="auto"/>
        <w:bottom w:val="none" w:sz="0" w:space="0" w:color="auto"/>
        <w:right w:val="none" w:sz="0" w:space="0" w:color="auto"/>
      </w:divBdr>
    </w:div>
    <w:div w:id="205876875">
      <w:marLeft w:val="0"/>
      <w:marRight w:val="0"/>
      <w:marTop w:val="0"/>
      <w:marBottom w:val="0"/>
      <w:divBdr>
        <w:top w:val="none" w:sz="0" w:space="0" w:color="auto"/>
        <w:left w:val="none" w:sz="0" w:space="0" w:color="auto"/>
        <w:bottom w:val="none" w:sz="0" w:space="0" w:color="auto"/>
        <w:right w:val="none" w:sz="0" w:space="0" w:color="auto"/>
      </w:divBdr>
    </w:div>
    <w:div w:id="205876876">
      <w:marLeft w:val="0"/>
      <w:marRight w:val="0"/>
      <w:marTop w:val="0"/>
      <w:marBottom w:val="0"/>
      <w:divBdr>
        <w:top w:val="none" w:sz="0" w:space="0" w:color="auto"/>
        <w:left w:val="none" w:sz="0" w:space="0" w:color="auto"/>
        <w:bottom w:val="none" w:sz="0" w:space="0" w:color="auto"/>
        <w:right w:val="none" w:sz="0" w:space="0" w:color="auto"/>
      </w:divBdr>
    </w:div>
    <w:div w:id="205876877">
      <w:marLeft w:val="0"/>
      <w:marRight w:val="0"/>
      <w:marTop w:val="0"/>
      <w:marBottom w:val="0"/>
      <w:divBdr>
        <w:top w:val="none" w:sz="0" w:space="0" w:color="auto"/>
        <w:left w:val="none" w:sz="0" w:space="0" w:color="auto"/>
        <w:bottom w:val="none" w:sz="0" w:space="0" w:color="auto"/>
        <w:right w:val="none" w:sz="0" w:space="0" w:color="auto"/>
      </w:divBdr>
    </w:div>
    <w:div w:id="205876878">
      <w:marLeft w:val="0"/>
      <w:marRight w:val="0"/>
      <w:marTop w:val="0"/>
      <w:marBottom w:val="0"/>
      <w:divBdr>
        <w:top w:val="none" w:sz="0" w:space="0" w:color="auto"/>
        <w:left w:val="none" w:sz="0" w:space="0" w:color="auto"/>
        <w:bottom w:val="none" w:sz="0" w:space="0" w:color="auto"/>
        <w:right w:val="none" w:sz="0" w:space="0" w:color="auto"/>
      </w:divBdr>
    </w:div>
    <w:div w:id="205876879">
      <w:marLeft w:val="0"/>
      <w:marRight w:val="0"/>
      <w:marTop w:val="0"/>
      <w:marBottom w:val="0"/>
      <w:divBdr>
        <w:top w:val="none" w:sz="0" w:space="0" w:color="auto"/>
        <w:left w:val="none" w:sz="0" w:space="0" w:color="auto"/>
        <w:bottom w:val="none" w:sz="0" w:space="0" w:color="auto"/>
        <w:right w:val="none" w:sz="0" w:space="0" w:color="auto"/>
      </w:divBdr>
    </w:div>
    <w:div w:id="205876880">
      <w:marLeft w:val="0"/>
      <w:marRight w:val="0"/>
      <w:marTop w:val="0"/>
      <w:marBottom w:val="0"/>
      <w:divBdr>
        <w:top w:val="none" w:sz="0" w:space="0" w:color="auto"/>
        <w:left w:val="none" w:sz="0" w:space="0" w:color="auto"/>
        <w:bottom w:val="none" w:sz="0" w:space="0" w:color="auto"/>
        <w:right w:val="none" w:sz="0" w:space="0" w:color="auto"/>
      </w:divBdr>
    </w:div>
    <w:div w:id="205876881">
      <w:marLeft w:val="0"/>
      <w:marRight w:val="0"/>
      <w:marTop w:val="0"/>
      <w:marBottom w:val="0"/>
      <w:divBdr>
        <w:top w:val="none" w:sz="0" w:space="0" w:color="auto"/>
        <w:left w:val="none" w:sz="0" w:space="0" w:color="auto"/>
        <w:bottom w:val="none" w:sz="0" w:space="0" w:color="auto"/>
        <w:right w:val="none" w:sz="0" w:space="0" w:color="auto"/>
      </w:divBdr>
    </w:div>
    <w:div w:id="205876882">
      <w:marLeft w:val="0"/>
      <w:marRight w:val="0"/>
      <w:marTop w:val="0"/>
      <w:marBottom w:val="0"/>
      <w:divBdr>
        <w:top w:val="none" w:sz="0" w:space="0" w:color="auto"/>
        <w:left w:val="none" w:sz="0" w:space="0" w:color="auto"/>
        <w:bottom w:val="none" w:sz="0" w:space="0" w:color="auto"/>
        <w:right w:val="none" w:sz="0" w:space="0" w:color="auto"/>
      </w:divBdr>
    </w:div>
    <w:div w:id="205876883">
      <w:marLeft w:val="0"/>
      <w:marRight w:val="0"/>
      <w:marTop w:val="0"/>
      <w:marBottom w:val="0"/>
      <w:divBdr>
        <w:top w:val="none" w:sz="0" w:space="0" w:color="auto"/>
        <w:left w:val="none" w:sz="0" w:space="0" w:color="auto"/>
        <w:bottom w:val="none" w:sz="0" w:space="0" w:color="auto"/>
        <w:right w:val="none" w:sz="0" w:space="0" w:color="auto"/>
      </w:divBdr>
    </w:div>
    <w:div w:id="205876884">
      <w:marLeft w:val="0"/>
      <w:marRight w:val="0"/>
      <w:marTop w:val="0"/>
      <w:marBottom w:val="0"/>
      <w:divBdr>
        <w:top w:val="none" w:sz="0" w:space="0" w:color="auto"/>
        <w:left w:val="none" w:sz="0" w:space="0" w:color="auto"/>
        <w:bottom w:val="none" w:sz="0" w:space="0" w:color="auto"/>
        <w:right w:val="none" w:sz="0" w:space="0" w:color="auto"/>
      </w:divBdr>
    </w:div>
    <w:div w:id="205876885">
      <w:marLeft w:val="0"/>
      <w:marRight w:val="0"/>
      <w:marTop w:val="0"/>
      <w:marBottom w:val="0"/>
      <w:divBdr>
        <w:top w:val="none" w:sz="0" w:space="0" w:color="auto"/>
        <w:left w:val="none" w:sz="0" w:space="0" w:color="auto"/>
        <w:bottom w:val="none" w:sz="0" w:space="0" w:color="auto"/>
        <w:right w:val="none" w:sz="0" w:space="0" w:color="auto"/>
      </w:divBdr>
    </w:div>
    <w:div w:id="205876886">
      <w:marLeft w:val="0"/>
      <w:marRight w:val="0"/>
      <w:marTop w:val="0"/>
      <w:marBottom w:val="0"/>
      <w:divBdr>
        <w:top w:val="none" w:sz="0" w:space="0" w:color="auto"/>
        <w:left w:val="none" w:sz="0" w:space="0" w:color="auto"/>
        <w:bottom w:val="none" w:sz="0" w:space="0" w:color="auto"/>
        <w:right w:val="none" w:sz="0" w:space="0" w:color="auto"/>
      </w:divBdr>
    </w:div>
    <w:div w:id="205876887">
      <w:marLeft w:val="0"/>
      <w:marRight w:val="0"/>
      <w:marTop w:val="0"/>
      <w:marBottom w:val="0"/>
      <w:divBdr>
        <w:top w:val="none" w:sz="0" w:space="0" w:color="auto"/>
        <w:left w:val="none" w:sz="0" w:space="0" w:color="auto"/>
        <w:bottom w:val="none" w:sz="0" w:space="0" w:color="auto"/>
        <w:right w:val="none" w:sz="0" w:space="0" w:color="auto"/>
      </w:divBdr>
    </w:div>
    <w:div w:id="205876888">
      <w:marLeft w:val="0"/>
      <w:marRight w:val="0"/>
      <w:marTop w:val="0"/>
      <w:marBottom w:val="0"/>
      <w:divBdr>
        <w:top w:val="none" w:sz="0" w:space="0" w:color="auto"/>
        <w:left w:val="none" w:sz="0" w:space="0" w:color="auto"/>
        <w:bottom w:val="none" w:sz="0" w:space="0" w:color="auto"/>
        <w:right w:val="none" w:sz="0" w:space="0" w:color="auto"/>
      </w:divBdr>
    </w:div>
    <w:div w:id="205876889">
      <w:marLeft w:val="0"/>
      <w:marRight w:val="0"/>
      <w:marTop w:val="0"/>
      <w:marBottom w:val="0"/>
      <w:divBdr>
        <w:top w:val="none" w:sz="0" w:space="0" w:color="auto"/>
        <w:left w:val="none" w:sz="0" w:space="0" w:color="auto"/>
        <w:bottom w:val="none" w:sz="0" w:space="0" w:color="auto"/>
        <w:right w:val="none" w:sz="0" w:space="0" w:color="auto"/>
      </w:divBdr>
    </w:div>
    <w:div w:id="205876890">
      <w:marLeft w:val="0"/>
      <w:marRight w:val="0"/>
      <w:marTop w:val="0"/>
      <w:marBottom w:val="0"/>
      <w:divBdr>
        <w:top w:val="none" w:sz="0" w:space="0" w:color="auto"/>
        <w:left w:val="none" w:sz="0" w:space="0" w:color="auto"/>
        <w:bottom w:val="none" w:sz="0" w:space="0" w:color="auto"/>
        <w:right w:val="none" w:sz="0" w:space="0" w:color="auto"/>
      </w:divBdr>
    </w:div>
    <w:div w:id="205876891">
      <w:marLeft w:val="0"/>
      <w:marRight w:val="0"/>
      <w:marTop w:val="0"/>
      <w:marBottom w:val="0"/>
      <w:divBdr>
        <w:top w:val="none" w:sz="0" w:space="0" w:color="auto"/>
        <w:left w:val="none" w:sz="0" w:space="0" w:color="auto"/>
        <w:bottom w:val="none" w:sz="0" w:space="0" w:color="auto"/>
        <w:right w:val="none" w:sz="0" w:space="0" w:color="auto"/>
      </w:divBdr>
    </w:div>
    <w:div w:id="205876892">
      <w:marLeft w:val="0"/>
      <w:marRight w:val="0"/>
      <w:marTop w:val="0"/>
      <w:marBottom w:val="0"/>
      <w:divBdr>
        <w:top w:val="none" w:sz="0" w:space="0" w:color="auto"/>
        <w:left w:val="none" w:sz="0" w:space="0" w:color="auto"/>
        <w:bottom w:val="none" w:sz="0" w:space="0" w:color="auto"/>
        <w:right w:val="none" w:sz="0" w:space="0" w:color="auto"/>
      </w:divBdr>
    </w:div>
    <w:div w:id="205876893">
      <w:marLeft w:val="0"/>
      <w:marRight w:val="0"/>
      <w:marTop w:val="0"/>
      <w:marBottom w:val="0"/>
      <w:divBdr>
        <w:top w:val="none" w:sz="0" w:space="0" w:color="auto"/>
        <w:left w:val="none" w:sz="0" w:space="0" w:color="auto"/>
        <w:bottom w:val="none" w:sz="0" w:space="0" w:color="auto"/>
        <w:right w:val="none" w:sz="0" w:space="0" w:color="auto"/>
      </w:divBdr>
    </w:div>
    <w:div w:id="205876894">
      <w:marLeft w:val="0"/>
      <w:marRight w:val="0"/>
      <w:marTop w:val="0"/>
      <w:marBottom w:val="0"/>
      <w:divBdr>
        <w:top w:val="none" w:sz="0" w:space="0" w:color="auto"/>
        <w:left w:val="none" w:sz="0" w:space="0" w:color="auto"/>
        <w:bottom w:val="none" w:sz="0" w:space="0" w:color="auto"/>
        <w:right w:val="none" w:sz="0" w:space="0" w:color="auto"/>
      </w:divBdr>
    </w:div>
    <w:div w:id="205876895">
      <w:marLeft w:val="0"/>
      <w:marRight w:val="0"/>
      <w:marTop w:val="0"/>
      <w:marBottom w:val="0"/>
      <w:divBdr>
        <w:top w:val="none" w:sz="0" w:space="0" w:color="auto"/>
        <w:left w:val="none" w:sz="0" w:space="0" w:color="auto"/>
        <w:bottom w:val="none" w:sz="0" w:space="0" w:color="auto"/>
        <w:right w:val="none" w:sz="0" w:space="0" w:color="auto"/>
      </w:divBdr>
    </w:div>
    <w:div w:id="205876896">
      <w:marLeft w:val="0"/>
      <w:marRight w:val="0"/>
      <w:marTop w:val="0"/>
      <w:marBottom w:val="0"/>
      <w:divBdr>
        <w:top w:val="none" w:sz="0" w:space="0" w:color="auto"/>
        <w:left w:val="none" w:sz="0" w:space="0" w:color="auto"/>
        <w:bottom w:val="none" w:sz="0" w:space="0" w:color="auto"/>
        <w:right w:val="none" w:sz="0" w:space="0" w:color="auto"/>
      </w:divBdr>
    </w:div>
    <w:div w:id="205876897">
      <w:marLeft w:val="0"/>
      <w:marRight w:val="0"/>
      <w:marTop w:val="0"/>
      <w:marBottom w:val="0"/>
      <w:divBdr>
        <w:top w:val="none" w:sz="0" w:space="0" w:color="auto"/>
        <w:left w:val="none" w:sz="0" w:space="0" w:color="auto"/>
        <w:bottom w:val="none" w:sz="0" w:space="0" w:color="auto"/>
        <w:right w:val="none" w:sz="0" w:space="0" w:color="auto"/>
      </w:divBdr>
    </w:div>
    <w:div w:id="205876898">
      <w:marLeft w:val="0"/>
      <w:marRight w:val="0"/>
      <w:marTop w:val="0"/>
      <w:marBottom w:val="0"/>
      <w:divBdr>
        <w:top w:val="none" w:sz="0" w:space="0" w:color="auto"/>
        <w:left w:val="none" w:sz="0" w:space="0" w:color="auto"/>
        <w:bottom w:val="none" w:sz="0" w:space="0" w:color="auto"/>
        <w:right w:val="none" w:sz="0" w:space="0" w:color="auto"/>
      </w:divBdr>
    </w:div>
    <w:div w:id="205876899">
      <w:marLeft w:val="0"/>
      <w:marRight w:val="0"/>
      <w:marTop w:val="0"/>
      <w:marBottom w:val="0"/>
      <w:divBdr>
        <w:top w:val="none" w:sz="0" w:space="0" w:color="auto"/>
        <w:left w:val="none" w:sz="0" w:space="0" w:color="auto"/>
        <w:bottom w:val="none" w:sz="0" w:space="0" w:color="auto"/>
        <w:right w:val="none" w:sz="0" w:space="0" w:color="auto"/>
      </w:divBdr>
    </w:div>
    <w:div w:id="205876900">
      <w:marLeft w:val="0"/>
      <w:marRight w:val="0"/>
      <w:marTop w:val="0"/>
      <w:marBottom w:val="0"/>
      <w:divBdr>
        <w:top w:val="none" w:sz="0" w:space="0" w:color="auto"/>
        <w:left w:val="none" w:sz="0" w:space="0" w:color="auto"/>
        <w:bottom w:val="none" w:sz="0" w:space="0" w:color="auto"/>
        <w:right w:val="none" w:sz="0" w:space="0" w:color="auto"/>
      </w:divBdr>
    </w:div>
    <w:div w:id="205876901">
      <w:marLeft w:val="0"/>
      <w:marRight w:val="0"/>
      <w:marTop w:val="0"/>
      <w:marBottom w:val="0"/>
      <w:divBdr>
        <w:top w:val="none" w:sz="0" w:space="0" w:color="auto"/>
        <w:left w:val="none" w:sz="0" w:space="0" w:color="auto"/>
        <w:bottom w:val="none" w:sz="0" w:space="0" w:color="auto"/>
        <w:right w:val="none" w:sz="0" w:space="0" w:color="auto"/>
      </w:divBdr>
    </w:div>
    <w:div w:id="205876902">
      <w:marLeft w:val="0"/>
      <w:marRight w:val="0"/>
      <w:marTop w:val="0"/>
      <w:marBottom w:val="0"/>
      <w:divBdr>
        <w:top w:val="none" w:sz="0" w:space="0" w:color="auto"/>
        <w:left w:val="none" w:sz="0" w:space="0" w:color="auto"/>
        <w:bottom w:val="none" w:sz="0" w:space="0" w:color="auto"/>
        <w:right w:val="none" w:sz="0" w:space="0" w:color="auto"/>
      </w:divBdr>
    </w:div>
    <w:div w:id="205876903">
      <w:marLeft w:val="0"/>
      <w:marRight w:val="0"/>
      <w:marTop w:val="0"/>
      <w:marBottom w:val="0"/>
      <w:divBdr>
        <w:top w:val="none" w:sz="0" w:space="0" w:color="auto"/>
        <w:left w:val="none" w:sz="0" w:space="0" w:color="auto"/>
        <w:bottom w:val="none" w:sz="0" w:space="0" w:color="auto"/>
        <w:right w:val="none" w:sz="0" w:space="0" w:color="auto"/>
      </w:divBdr>
    </w:div>
    <w:div w:id="205876904">
      <w:marLeft w:val="0"/>
      <w:marRight w:val="0"/>
      <w:marTop w:val="0"/>
      <w:marBottom w:val="0"/>
      <w:divBdr>
        <w:top w:val="none" w:sz="0" w:space="0" w:color="auto"/>
        <w:left w:val="none" w:sz="0" w:space="0" w:color="auto"/>
        <w:bottom w:val="none" w:sz="0" w:space="0" w:color="auto"/>
        <w:right w:val="none" w:sz="0" w:space="0" w:color="auto"/>
      </w:divBdr>
    </w:div>
    <w:div w:id="205876905">
      <w:marLeft w:val="0"/>
      <w:marRight w:val="0"/>
      <w:marTop w:val="0"/>
      <w:marBottom w:val="0"/>
      <w:divBdr>
        <w:top w:val="none" w:sz="0" w:space="0" w:color="auto"/>
        <w:left w:val="none" w:sz="0" w:space="0" w:color="auto"/>
        <w:bottom w:val="none" w:sz="0" w:space="0" w:color="auto"/>
        <w:right w:val="none" w:sz="0" w:space="0" w:color="auto"/>
      </w:divBdr>
    </w:div>
    <w:div w:id="205876906">
      <w:marLeft w:val="0"/>
      <w:marRight w:val="0"/>
      <w:marTop w:val="0"/>
      <w:marBottom w:val="0"/>
      <w:divBdr>
        <w:top w:val="none" w:sz="0" w:space="0" w:color="auto"/>
        <w:left w:val="none" w:sz="0" w:space="0" w:color="auto"/>
        <w:bottom w:val="none" w:sz="0" w:space="0" w:color="auto"/>
        <w:right w:val="none" w:sz="0" w:space="0" w:color="auto"/>
      </w:divBdr>
    </w:div>
    <w:div w:id="205876907">
      <w:marLeft w:val="0"/>
      <w:marRight w:val="0"/>
      <w:marTop w:val="0"/>
      <w:marBottom w:val="0"/>
      <w:divBdr>
        <w:top w:val="none" w:sz="0" w:space="0" w:color="auto"/>
        <w:left w:val="none" w:sz="0" w:space="0" w:color="auto"/>
        <w:bottom w:val="none" w:sz="0" w:space="0" w:color="auto"/>
        <w:right w:val="none" w:sz="0" w:space="0" w:color="auto"/>
      </w:divBdr>
    </w:div>
    <w:div w:id="205876908">
      <w:marLeft w:val="0"/>
      <w:marRight w:val="0"/>
      <w:marTop w:val="0"/>
      <w:marBottom w:val="0"/>
      <w:divBdr>
        <w:top w:val="none" w:sz="0" w:space="0" w:color="auto"/>
        <w:left w:val="none" w:sz="0" w:space="0" w:color="auto"/>
        <w:bottom w:val="none" w:sz="0" w:space="0" w:color="auto"/>
        <w:right w:val="none" w:sz="0" w:space="0" w:color="auto"/>
      </w:divBdr>
    </w:div>
    <w:div w:id="205876909">
      <w:marLeft w:val="0"/>
      <w:marRight w:val="0"/>
      <w:marTop w:val="0"/>
      <w:marBottom w:val="0"/>
      <w:divBdr>
        <w:top w:val="none" w:sz="0" w:space="0" w:color="auto"/>
        <w:left w:val="none" w:sz="0" w:space="0" w:color="auto"/>
        <w:bottom w:val="none" w:sz="0" w:space="0" w:color="auto"/>
        <w:right w:val="none" w:sz="0" w:space="0" w:color="auto"/>
      </w:divBdr>
    </w:div>
    <w:div w:id="205876910">
      <w:marLeft w:val="0"/>
      <w:marRight w:val="0"/>
      <w:marTop w:val="0"/>
      <w:marBottom w:val="0"/>
      <w:divBdr>
        <w:top w:val="none" w:sz="0" w:space="0" w:color="auto"/>
        <w:left w:val="none" w:sz="0" w:space="0" w:color="auto"/>
        <w:bottom w:val="none" w:sz="0" w:space="0" w:color="auto"/>
        <w:right w:val="none" w:sz="0" w:space="0" w:color="auto"/>
      </w:divBdr>
    </w:div>
    <w:div w:id="205876911">
      <w:marLeft w:val="0"/>
      <w:marRight w:val="0"/>
      <w:marTop w:val="0"/>
      <w:marBottom w:val="0"/>
      <w:divBdr>
        <w:top w:val="none" w:sz="0" w:space="0" w:color="auto"/>
        <w:left w:val="none" w:sz="0" w:space="0" w:color="auto"/>
        <w:bottom w:val="none" w:sz="0" w:space="0" w:color="auto"/>
        <w:right w:val="none" w:sz="0" w:space="0" w:color="auto"/>
      </w:divBdr>
    </w:div>
    <w:div w:id="205876912">
      <w:marLeft w:val="0"/>
      <w:marRight w:val="0"/>
      <w:marTop w:val="0"/>
      <w:marBottom w:val="0"/>
      <w:divBdr>
        <w:top w:val="none" w:sz="0" w:space="0" w:color="auto"/>
        <w:left w:val="none" w:sz="0" w:space="0" w:color="auto"/>
        <w:bottom w:val="none" w:sz="0" w:space="0" w:color="auto"/>
        <w:right w:val="none" w:sz="0" w:space="0" w:color="auto"/>
      </w:divBdr>
    </w:div>
    <w:div w:id="205876913">
      <w:marLeft w:val="0"/>
      <w:marRight w:val="0"/>
      <w:marTop w:val="0"/>
      <w:marBottom w:val="0"/>
      <w:divBdr>
        <w:top w:val="none" w:sz="0" w:space="0" w:color="auto"/>
        <w:left w:val="none" w:sz="0" w:space="0" w:color="auto"/>
        <w:bottom w:val="none" w:sz="0" w:space="0" w:color="auto"/>
        <w:right w:val="none" w:sz="0" w:space="0" w:color="auto"/>
      </w:divBdr>
    </w:div>
    <w:div w:id="205876914">
      <w:marLeft w:val="0"/>
      <w:marRight w:val="0"/>
      <w:marTop w:val="0"/>
      <w:marBottom w:val="0"/>
      <w:divBdr>
        <w:top w:val="none" w:sz="0" w:space="0" w:color="auto"/>
        <w:left w:val="none" w:sz="0" w:space="0" w:color="auto"/>
        <w:bottom w:val="none" w:sz="0" w:space="0" w:color="auto"/>
        <w:right w:val="none" w:sz="0" w:space="0" w:color="auto"/>
      </w:divBdr>
    </w:div>
    <w:div w:id="205876915">
      <w:marLeft w:val="0"/>
      <w:marRight w:val="0"/>
      <w:marTop w:val="0"/>
      <w:marBottom w:val="0"/>
      <w:divBdr>
        <w:top w:val="none" w:sz="0" w:space="0" w:color="auto"/>
        <w:left w:val="none" w:sz="0" w:space="0" w:color="auto"/>
        <w:bottom w:val="none" w:sz="0" w:space="0" w:color="auto"/>
        <w:right w:val="none" w:sz="0" w:space="0" w:color="auto"/>
      </w:divBdr>
    </w:div>
    <w:div w:id="205876916">
      <w:marLeft w:val="0"/>
      <w:marRight w:val="0"/>
      <w:marTop w:val="0"/>
      <w:marBottom w:val="0"/>
      <w:divBdr>
        <w:top w:val="none" w:sz="0" w:space="0" w:color="auto"/>
        <w:left w:val="none" w:sz="0" w:space="0" w:color="auto"/>
        <w:bottom w:val="none" w:sz="0" w:space="0" w:color="auto"/>
        <w:right w:val="none" w:sz="0" w:space="0" w:color="auto"/>
      </w:divBdr>
    </w:div>
    <w:div w:id="205876917">
      <w:marLeft w:val="0"/>
      <w:marRight w:val="0"/>
      <w:marTop w:val="0"/>
      <w:marBottom w:val="0"/>
      <w:divBdr>
        <w:top w:val="none" w:sz="0" w:space="0" w:color="auto"/>
        <w:left w:val="none" w:sz="0" w:space="0" w:color="auto"/>
        <w:bottom w:val="none" w:sz="0" w:space="0" w:color="auto"/>
        <w:right w:val="none" w:sz="0" w:space="0" w:color="auto"/>
      </w:divBdr>
    </w:div>
    <w:div w:id="205876918">
      <w:marLeft w:val="0"/>
      <w:marRight w:val="0"/>
      <w:marTop w:val="0"/>
      <w:marBottom w:val="0"/>
      <w:divBdr>
        <w:top w:val="none" w:sz="0" w:space="0" w:color="auto"/>
        <w:left w:val="none" w:sz="0" w:space="0" w:color="auto"/>
        <w:bottom w:val="none" w:sz="0" w:space="0" w:color="auto"/>
        <w:right w:val="none" w:sz="0" w:space="0" w:color="auto"/>
      </w:divBdr>
    </w:div>
    <w:div w:id="205876919">
      <w:marLeft w:val="0"/>
      <w:marRight w:val="0"/>
      <w:marTop w:val="0"/>
      <w:marBottom w:val="0"/>
      <w:divBdr>
        <w:top w:val="none" w:sz="0" w:space="0" w:color="auto"/>
        <w:left w:val="none" w:sz="0" w:space="0" w:color="auto"/>
        <w:bottom w:val="none" w:sz="0" w:space="0" w:color="auto"/>
        <w:right w:val="none" w:sz="0" w:space="0" w:color="auto"/>
      </w:divBdr>
    </w:div>
    <w:div w:id="205876920">
      <w:marLeft w:val="0"/>
      <w:marRight w:val="0"/>
      <w:marTop w:val="0"/>
      <w:marBottom w:val="0"/>
      <w:divBdr>
        <w:top w:val="none" w:sz="0" w:space="0" w:color="auto"/>
        <w:left w:val="none" w:sz="0" w:space="0" w:color="auto"/>
        <w:bottom w:val="none" w:sz="0" w:space="0" w:color="auto"/>
        <w:right w:val="none" w:sz="0" w:space="0" w:color="auto"/>
      </w:divBdr>
    </w:div>
    <w:div w:id="205876921">
      <w:marLeft w:val="0"/>
      <w:marRight w:val="0"/>
      <w:marTop w:val="0"/>
      <w:marBottom w:val="0"/>
      <w:divBdr>
        <w:top w:val="none" w:sz="0" w:space="0" w:color="auto"/>
        <w:left w:val="none" w:sz="0" w:space="0" w:color="auto"/>
        <w:bottom w:val="none" w:sz="0" w:space="0" w:color="auto"/>
        <w:right w:val="none" w:sz="0" w:space="0" w:color="auto"/>
      </w:divBdr>
    </w:div>
    <w:div w:id="205876922">
      <w:marLeft w:val="0"/>
      <w:marRight w:val="0"/>
      <w:marTop w:val="0"/>
      <w:marBottom w:val="0"/>
      <w:divBdr>
        <w:top w:val="none" w:sz="0" w:space="0" w:color="auto"/>
        <w:left w:val="none" w:sz="0" w:space="0" w:color="auto"/>
        <w:bottom w:val="none" w:sz="0" w:space="0" w:color="auto"/>
        <w:right w:val="none" w:sz="0" w:space="0" w:color="auto"/>
      </w:divBdr>
    </w:div>
    <w:div w:id="205876923">
      <w:marLeft w:val="0"/>
      <w:marRight w:val="0"/>
      <w:marTop w:val="0"/>
      <w:marBottom w:val="0"/>
      <w:divBdr>
        <w:top w:val="none" w:sz="0" w:space="0" w:color="auto"/>
        <w:left w:val="none" w:sz="0" w:space="0" w:color="auto"/>
        <w:bottom w:val="none" w:sz="0" w:space="0" w:color="auto"/>
        <w:right w:val="none" w:sz="0" w:space="0" w:color="auto"/>
      </w:divBdr>
    </w:div>
    <w:div w:id="205876924">
      <w:marLeft w:val="0"/>
      <w:marRight w:val="0"/>
      <w:marTop w:val="0"/>
      <w:marBottom w:val="0"/>
      <w:divBdr>
        <w:top w:val="none" w:sz="0" w:space="0" w:color="auto"/>
        <w:left w:val="none" w:sz="0" w:space="0" w:color="auto"/>
        <w:bottom w:val="none" w:sz="0" w:space="0" w:color="auto"/>
        <w:right w:val="none" w:sz="0" w:space="0" w:color="auto"/>
      </w:divBdr>
    </w:div>
    <w:div w:id="205876925">
      <w:marLeft w:val="0"/>
      <w:marRight w:val="0"/>
      <w:marTop w:val="0"/>
      <w:marBottom w:val="0"/>
      <w:divBdr>
        <w:top w:val="none" w:sz="0" w:space="0" w:color="auto"/>
        <w:left w:val="none" w:sz="0" w:space="0" w:color="auto"/>
        <w:bottom w:val="none" w:sz="0" w:space="0" w:color="auto"/>
        <w:right w:val="none" w:sz="0" w:space="0" w:color="auto"/>
      </w:divBdr>
    </w:div>
    <w:div w:id="205876926">
      <w:marLeft w:val="0"/>
      <w:marRight w:val="0"/>
      <w:marTop w:val="0"/>
      <w:marBottom w:val="0"/>
      <w:divBdr>
        <w:top w:val="none" w:sz="0" w:space="0" w:color="auto"/>
        <w:left w:val="none" w:sz="0" w:space="0" w:color="auto"/>
        <w:bottom w:val="none" w:sz="0" w:space="0" w:color="auto"/>
        <w:right w:val="none" w:sz="0" w:space="0" w:color="auto"/>
      </w:divBdr>
    </w:div>
    <w:div w:id="205876927">
      <w:marLeft w:val="0"/>
      <w:marRight w:val="0"/>
      <w:marTop w:val="0"/>
      <w:marBottom w:val="0"/>
      <w:divBdr>
        <w:top w:val="none" w:sz="0" w:space="0" w:color="auto"/>
        <w:left w:val="none" w:sz="0" w:space="0" w:color="auto"/>
        <w:bottom w:val="none" w:sz="0" w:space="0" w:color="auto"/>
        <w:right w:val="none" w:sz="0" w:space="0" w:color="auto"/>
      </w:divBdr>
    </w:div>
    <w:div w:id="205876928">
      <w:marLeft w:val="0"/>
      <w:marRight w:val="0"/>
      <w:marTop w:val="0"/>
      <w:marBottom w:val="0"/>
      <w:divBdr>
        <w:top w:val="none" w:sz="0" w:space="0" w:color="auto"/>
        <w:left w:val="none" w:sz="0" w:space="0" w:color="auto"/>
        <w:bottom w:val="none" w:sz="0" w:space="0" w:color="auto"/>
        <w:right w:val="none" w:sz="0" w:space="0" w:color="auto"/>
      </w:divBdr>
    </w:div>
    <w:div w:id="205876929">
      <w:marLeft w:val="0"/>
      <w:marRight w:val="0"/>
      <w:marTop w:val="0"/>
      <w:marBottom w:val="0"/>
      <w:divBdr>
        <w:top w:val="none" w:sz="0" w:space="0" w:color="auto"/>
        <w:left w:val="none" w:sz="0" w:space="0" w:color="auto"/>
        <w:bottom w:val="none" w:sz="0" w:space="0" w:color="auto"/>
        <w:right w:val="none" w:sz="0" w:space="0" w:color="auto"/>
      </w:divBdr>
    </w:div>
    <w:div w:id="205876930">
      <w:marLeft w:val="0"/>
      <w:marRight w:val="0"/>
      <w:marTop w:val="0"/>
      <w:marBottom w:val="0"/>
      <w:divBdr>
        <w:top w:val="none" w:sz="0" w:space="0" w:color="auto"/>
        <w:left w:val="none" w:sz="0" w:space="0" w:color="auto"/>
        <w:bottom w:val="none" w:sz="0" w:space="0" w:color="auto"/>
        <w:right w:val="none" w:sz="0" w:space="0" w:color="auto"/>
      </w:divBdr>
    </w:div>
    <w:div w:id="205876931">
      <w:marLeft w:val="0"/>
      <w:marRight w:val="0"/>
      <w:marTop w:val="0"/>
      <w:marBottom w:val="0"/>
      <w:divBdr>
        <w:top w:val="none" w:sz="0" w:space="0" w:color="auto"/>
        <w:left w:val="none" w:sz="0" w:space="0" w:color="auto"/>
        <w:bottom w:val="none" w:sz="0" w:space="0" w:color="auto"/>
        <w:right w:val="none" w:sz="0" w:space="0" w:color="auto"/>
      </w:divBdr>
    </w:div>
    <w:div w:id="205876932">
      <w:marLeft w:val="0"/>
      <w:marRight w:val="0"/>
      <w:marTop w:val="0"/>
      <w:marBottom w:val="0"/>
      <w:divBdr>
        <w:top w:val="none" w:sz="0" w:space="0" w:color="auto"/>
        <w:left w:val="none" w:sz="0" w:space="0" w:color="auto"/>
        <w:bottom w:val="none" w:sz="0" w:space="0" w:color="auto"/>
        <w:right w:val="none" w:sz="0" w:space="0" w:color="auto"/>
      </w:divBdr>
    </w:div>
    <w:div w:id="205876933">
      <w:marLeft w:val="0"/>
      <w:marRight w:val="0"/>
      <w:marTop w:val="0"/>
      <w:marBottom w:val="0"/>
      <w:divBdr>
        <w:top w:val="none" w:sz="0" w:space="0" w:color="auto"/>
        <w:left w:val="none" w:sz="0" w:space="0" w:color="auto"/>
        <w:bottom w:val="none" w:sz="0" w:space="0" w:color="auto"/>
        <w:right w:val="none" w:sz="0" w:space="0" w:color="auto"/>
      </w:divBdr>
    </w:div>
    <w:div w:id="205876934">
      <w:marLeft w:val="0"/>
      <w:marRight w:val="0"/>
      <w:marTop w:val="0"/>
      <w:marBottom w:val="0"/>
      <w:divBdr>
        <w:top w:val="none" w:sz="0" w:space="0" w:color="auto"/>
        <w:left w:val="none" w:sz="0" w:space="0" w:color="auto"/>
        <w:bottom w:val="none" w:sz="0" w:space="0" w:color="auto"/>
        <w:right w:val="none" w:sz="0" w:space="0" w:color="auto"/>
      </w:divBdr>
    </w:div>
    <w:div w:id="205876935">
      <w:marLeft w:val="0"/>
      <w:marRight w:val="0"/>
      <w:marTop w:val="0"/>
      <w:marBottom w:val="0"/>
      <w:divBdr>
        <w:top w:val="none" w:sz="0" w:space="0" w:color="auto"/>
        <w:left w:val="none" w:sz="0" w:space="0" w:color="auto"/>
        <w:bottom w:val="none" w:sz="0" w:space="0" w:color="auto"/>
        <w:right w:val="none" w:sz="0" w:space="0" w:color="auto"/>
      </w:divBdr>
    </w:div>
    <w:div w:id="205876936">
      <w:marLeft w:val="0"/>
      <w:marRight w:val="0"/>
      <w:marTop w:val="0"/>
      <w:marBottom w:val="0"/>
      <w:divBdr>
        <w:top w:val="none" w:sz="0" w:space="0" w:color="auto"/>
        <w:left w:val="none" w:sz="0" w:space="0" w:color="auto"/>
        <w:bottom w:val="none" w:sz="0" w:space="0" w:color="auto"/>
        <w:right w:val="none" w:sz="0" w:space="0" w:color="auto"/>
      </w:divBdr>
    </w:div>
    <w:div w:id="205876937">
      <w:marLeft w:val="0"/>
      <w:marRight w:val="0"/>
      <w:marTop w:val="0"/>
      <w:marBottom w:val="0"/>
      <w:divBdr>
        <w:top w:val="none" w:sz="0" w:space="0" w:color="auto"/>
        <w:left w:val="none" w:sz="0" w:space="0" w:color="auto"/>
        <w:bottom w:val="none" w:sz="0" w:space="0" w:color="auto"/>
        <w:right w:val="none" w:sz="0" w:space="0" w:color="auto"/>
      </w:divBdr>
    </w:div>
    <w:div w:id="205876938">
      <w:marLeft w:val="0"/>
      <w:marRight w:val="0"/>
      <w:marTop w:val="0"/>
      <w:marBottom w:val="0"/>
      <w:divBdr>
        <w:top w:val="none" w:sz="0" w:space="0" w:color="auto"/>
        <w:left w:val="none" w:sz="0" w:space="0" w:color="auto"/>
        <w:bottom w:val="none" w:sz="0" w:space="0" w:color="auto"/>
        <w:right w:val="none" w:sz="0" w:space="0" w:color="auto"/>
      </w:divBdr>
    </w:div>
    <w:div w:id="205876939">
      <w:marLeft w:val="0"/>
      <w:marRight w:val="0"/>
      <w:marTop w:val="0"/>
      <w:marBottom w:val="0"/>
      <w:divBdr>
        <w:top w:val="none" w:sz="0" w:space="0" w:color="auto"/>
        <w:left w:val="none" w:sz="0" w:space="0" w:color="auto"/>
        <w:bottom w:val="none" w:sz="0" w:space="0" w:color="auto"/>
        <w:right w:val="none" w:sz="0" w:space="0" w:color="auto"/>
      </w:divBdr>
    </w:div>
    <w:div w:id="205876940">
      <w:marLeft w:val="0"/>
      <w:marRight w:val="0"/>
      <w:marTop w:val="0"/>
      <w:marBottom w:val="0"/>
      <w:divBdr>
        <w:top w:val="none" w:sz="0" w:space="0" w:color="auto"/>
        <w:left w:val="none" w:sz="0" w:space="0" w:color="auto"/>
        <w:bottom w:val="none" w:sz="0" w:space="0" w:color="auto"/>
        <w:right w:val="none" w:sz="0" w:space="0" w:color="auto"/>
      </w:divBdr>
    </w:div>
    <w:div w:id="205876941">
      <w:marLeft w:val="0"/>
      <w:marRight w:val="0"/>
      <w:marTop w:val="0"/>
      <w:marBottom w:val="0"/>
      <w:divBdr>
        <w:top w:val="none" w:sz="0" w:space="0" w:color="auto"/>
        <w:left w:val="none" w:sz="0" w:space="0" w:color="auto"/>
        <w:bottom w:val="none" w:sz="0" w:space="0" w:color="auto"/>
        <w:right w:val="none" w:sz="0" w:space="0" w:color="auto"/>
      </w:divBdr>
    </w:div>
    <w:div w:id="20587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ats.oecd.org/Index.aspx?DatasetCode=MIN2AV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47D3-B8E3-4050-9D5E-03A40DF4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1772</Words>
  <Characters>10105</Characters>
  <Application>Microsoft Office Word</Application>
  <DocSecurity>0</DocSecurity>
  <Lines>84</Lines>
  <Paragraphs>23</Paragraphs>
  <ScaleCrop>false</ScaleCrop>
  <Company>unv</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aysenur acar</cp:lastModifiedBy>
  <cp:revision>36</cp:revision>
  <cp:lastPrinted>2013-04-15T08:48:00Z</cp:lastPrinted>
  <dcterms:created xsi:type="dcterms:W3CDTF">2013-04-15T06:43:00Z</dcterms:created>
  <dcterms:modified xsi:type="dcterms:W3CDTF">2013-05-15T09:10:00Z</dcterms:modified>
</cp:coreProperties>
</file>