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60" w:rsidRDefault="00271F72" w:rsidP="00AE0BBB">
      <w:pPr>
        <w:spacing w:line="288" w:lineRule="auto"/>
        <w:ind w:right="-319"/>
        <w:jc w:val="center"/>
        <w:rPr>
          <w:rFonts w:ascii="Arial" w:hAnsi="Arial" w:cs="Arial"/>
          <w:b/>
          <w:sz w:val="20"/>
          <w:szCs w:val="20"/>
        </w:rPr>
      </w:pPr>
      <w:r w:rsidRPr="00271F72">
        <w:rPr>
          <w:rFonts w:ascii="Arial" w:hAnsi="Arial" w:cs="Arial"/>
          <w:b/>
          <w:noProof/>
          <w:sz w:val="20"/>
          <w:szCs w:val="20"/>
        </w:rPr>
        <w:pict>
          <v:shapetype id="_x0000_t202" coordsize="21600,21600" o:spt="202" path="m,l,21600r21600,l21600,xe">
            <v:stroke joinstyle="miter"/>
            <v:path gradientshapeok="t" o:connecttype="rect"/>
          </v:shapetype>
          <v:shape id="_x0000_s1038" type="#_x0000_t202" style="position:absolute;left:0;text-align:left;margin-left:153pt;margin-top:-9pt;width:252pt;height:44.8pt;z-index:251657216;mso-wrap-distance-left:9.05pt;mso-wrap-distance-right:9.05pt" stroked="f">
            <v:fill opacity="0" color2="black"/>
            <v:textbox style="mso-next-textbox:#_x0000_s1038" inset="0,0,0,0">
              <w:txbxContent>
                <w:p w:rsidR="00F66727" w:rsidRPr="009060B6" w:rsidRDefault="009060B6" w:rsidP="007750EF">
                  <w:pPr>
                    <w:pStyle w:val="Heading1"/>
                    <w:rPr>
                      <w:rFonts w:ascii="Times New Roman" w:hAnsi="Times New Roman"/>
                      <w:sz w:val="40"/>
                      <w:szCs w:val="40"/>
                    </w:rPr>
                  </w:pPr>
                  <w:r w:rsidRPr="009060B6">
                    <w:rPr>
                      <w:rFonts w:ascii="Times New Roman" w:hAnsi="Times New Roman"/>
                      <w:sz w:val="40"/>
                      <w:szCs w:val="40"/>
                    </w:rPr>
                    <w:t>Büyüme Değerlendirmesi</w:t>
                  </w:r>
                  <w:r w:rsidR="007E62B1">
                    <w:rPr>
                      <w:rFonts w:ascii="Times New Roman" w:hAnsi="Times New Roman"/>
                      <w:sz w:val="40"/>
                      <w:szCs w:val="40"/>
                    </w:rPr>
                    <w:t>: 2012</w:t>
                  </w:r>
                  <w:r>
                    <w:rPr>
                      <w:rFonts w:ascii="Times New Roman" w:hAnsi="Times New Roman"/>
                      <w:sz w:val="40"/>
                      <w:szCs w:val="40"/>
                    </w:rPr>
                    <w:t xml:space="preserve"> 4. Çeyrek</w:t>
                  </w:r>
                </w:p>
                <w:p w:rsidR="00F66727" w:rsidRPr="00526178" w:rsidRDefault="00F66727" w:rsidP="007750EF">
                  <w:pPr>
                    <w:pStyle w:val="Heading2"/>
                    <w:rPr>
                      <w:b w:val="0"/>
                      <w:i w:val="0"/>
                    </w:rPr>
                  </w:pPr>
                </w:p>
              </w:txbxContent>
            </v:textbox>
          </v:shape>
        </w:pict>
      </w:r>
      <w:r w:rsidR="00E10719">
        <w:rPr>
          <w:rFonts w:ascii="Arial" w:hAnsi="Arial" w:cs="Arial"/>
          <w:b/>
          <w:noProof/>
          <w:sz w:val="20"/>
          <w:szCs w:val="20"/>
          <w:lang w:val="en-US" w:eastAsia="en-US"/>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1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Pr="0015266B" w:rsidRDefault="00271F72" w:rsidP="00AE0BBB">
      <w:pPr>
        <w:spacing w:line="288" w:lineRule="auto"/>
        <w:ind w:right="-319"/>
        <w:jc w:val="center"/>
        <w:rPr>
          <w:rFonts w:ascii="Arial" w:hAnsi="Arial" w:cs="Arial"/>
          <w:b/>
          <w:sz w:val="20"/>
          <w:szCs w:val="20"/>
        </w:rPr>
      </w:pPr>
      <w:r w:rsidRPr="00271F72">
        <w:rPr>
          <w:rFonts w:ascii="Arial" w:hAnsi="Arial" w:cs="Arial"/>
          <w:b/>
          <w:noProof/>
          <w:sz w:val="20"/>
          <w:szCs w:val="20"/>
        </w:rPr>
        <w:pict>
          <v:shape id="_x0000_s1040" type="#_x0000_t202" style="position:absolute;left:0;text-align:left;margin-left:410.45pt;margin-top:1.1pt;width:134.8pt;height:35.8pt;z-index:251658240;mso-wrap-distance-left:9.05pt;mso-wrap-distance-right:9.05pt" stroked="f">
            <v:fill opacity="0" color2="black"/>
            <v:textbox style="mso-next-textbox:#_x0000_s1040" inset="0,0,0,0">
              <w:txbxContent>
                <w:p w:rsidR="00F66727" w:rsidRDefault="00F66727" w:rsidP="007750EF">
                  <w:pPr>
                    <w:pStyle w:val="Heading3"/>
                    <w:rPr>
                      <w:color w:val="FFFFFF"/>
                      <w:sz w:val="22"/>
                      <w:szCs w:val="22"/>
                      <w:lang w:val="tr-TR"/>
                    </w:rPr>
                  </w:pPr>
                  <w:r>
                    <w:rPr>
                      <w:color w:val="FFFFFF"/>
                      <w:sz w:val="22"/>
                      <w:szCs w:val="22"/>
                    </w:rPr>
                    <w:t xml:space="preserve">           </w:t>
                  </w:r>
                  <w:r w:rsidR="007E62B1">
                    <w:rPr>
                      <w:color w:val="FFFFFF"/>
                      <w:sz w:val="22"/>
                      <w:szCs w:val="22"/>
                    </w:rPr>
                    <w:t>01</w:t>
                  </w:r>
                  <w:r>
                    <w:rPr>
                      <w:color w:val="FFFFFF"/>
                      <w:sz w:val="22"/>
                      <w:szCs w:val="22"/>
                    </w:rPr>
                    <w:t>.</w:t>
                  </w:r>
                  <w:r w:rsidR="008C35D8">
                    <w:rPr>
                      <w:color w:val="FFFFFF"/>
                      <w:sz w:val="22"/>
                      <w:szCs w:val="22"/>
                    </w:rPr>
                    <w:t>04</w:t>
                  </w:r>
                  <w:r>
                    <w:rPr>
                      <w:color w:val="FFFFFF"/>
                      <w:sz w:val="22"/>
                      <w:szCs w:val="22"/>
                    </w:rPr>
                    <w:t>.</w:t>
                  </w:r>
                  <w:r w:rsidR="008C35D8">
                    <w:rPr>
                      <w:color w:val="FFFFFF"/>
                      <w:sz w:val="22"/>
                      <w:szCs w:val="22"/>
                      <w:lang w:val="tr-TR"/>
                    </w:rPr>
                    <w:t>201</w:t>
                  </w:r>
                  <w:r w:rsidR="007E62B1">
                    <w:rPr>
                      <w:color w:val="FFFFFF"/>
                      <w:sz w:val="22"/>
                      <w:szCs w:val="22"/>
                      <w:lang w:val="tr-TR"/>
                    </w:rPr>
                    <w:t>3</w:t>
                  </w:r>
                </w:p>
                <w:p w:rsidR="00F66727" w:rsidRDefault="00F66727" w:rsidP="007750EF"/>
              </w:txbxContent>
            </v:textbox>
          </v:shape>
        </w:pict>
      </w:r>
    </w:p>
    <w:p w:rsidR="007750EF" w:rsidRDefault="007750EF" w:rsidP="00C805B9">
      <w:pPr>
        <w:spacing w:line="288" w:lineRule="auto"/>
        <w:ind w:right="-319"/>
        <w:jc w:val="center"/>
        <w:outlineLvl w:val="0"/>
        <w:rPr>
          <w:rFonts w:ascii="Arial" w:hAnsi="Arial" w:cs="Arial"/>
          <w:b/>
          <w:sz w:val="28"/>
          <w:szCs w:val="28"/>
        </w:rPr>
      </w:pPr>
    </w:p>
    <w:p w:rsidR="007750EF" w:rsidRPr="005171AD" w:rsidRDefault="007750EF" w:rsidP="007750EF">
      <w:pPr>
        <w:spacing w:line="288" w:lineRule="auto"/>
        <w:ind w:right="-319"/>
        <w:outlineLvl w:val="0"/>
        <w:rPr>
          <w:rFonts w:ascii="Arial" w:hAnsi="Arial" w:cs="Arial"/>
          <w:b/>
          <w:sz w:val="28"/>
          <w:szCs w:val="28"/>
        </w:rPr>
      </w:pPr>
    </w:p>
    <w:p w:rsidR="00AE0BBB" w:rsidRDefault="00AD49B2" w:rsidP="00B00EBD">
      <w:pPr>
        <w:spacing w:line="288" w:lineRule="auto"/>
        <w:ind w:right="-319"/>
        <w:jc w:val="center"/>
        <w:outlineLvl w:val="0"/>
        <w:rPr>
          <w:rFonts w:ascii="Arial" w:hAnsi="Arial" w:cs="Arial"/>
          <w:b/>
          <w:color w:val="000000"/>
          <w:sz w:val="28"/>
          <w:szCs w:val="28"/>
        </w:rPr>
      </w:pPr>
      <w:r w:rsidRPr="00704A5C">
        <w:rPr>
          <w:rFonts w:ascii="Arial" w:hAnsi="Arial" w:cs="Arial"/>
          <w:b/>
          <w:color w:val="000000"/>
          <w:sz w:val="28"/>
          <w:szCs w:val="28"/>
        </w:rPr>
        <w:t>İNİŞ BEKLENENDEN SERT OLDU</w:t>
      </w:r>
    </w:p>
    <w:p w:rsidR="00B00EBD" w:rsidRDefault="00B00EBD" w:rsidP="00C805B9">
      <w:pPr>
        <w:spacing w:line="288" w:lineRule="auto"/>
        <w:ind w:right="-319"/>
        <w:jc w:val="center"/>
        <w:outlineLvl w:val="0"/>
        <w:rPr>
          <w:rFonts w:ascii="Arial" w:hAnsi="Arial" w:cs="Arial"/>
          <w:b/>
          <w:sz w:val="22"/>
          <w:szCs w:val="22"/>
        </w:rPr>
      </w:pPr>
    </w:p>
    <w:p w:rsidR="00AD49B2" w:rsidRDefault="00AD49B2" w:rsidP="00C805B9">
      <w:pPr>
        <w:spacing w:line="288" w:lineRule="auto"/>
        <w:ind w:right="-319"/>
        <w:jc w:val="center"/>
        <w:outlineLvl w:val="0"/>
        <w:rPr>
          <w:rFonts w:ascii="Arial" w:hAnsi="Arial" w:cs="Arial"/>
          <w:b/>
          <w:sz w:val="22"/>
          <w:szCs w:val="22"/>
        </w:rPr>
      </w:pPr>
    </w:p>
    <w:p w:rsidR="00AE0BBB" w:rsidRPr="007750EF" w:rsidRDefault="000C5C8B" w:rsidP="00C805B9">
      <w:pPr>
        <w:spacing w:line="288" w:lineRule="auto"/>
        <w:ind w:right="-319"/>
        <w:jc w:val="center"/>
        <w:outlineLvl w:val="0"/>
        <w:rPr>
          <w:rFonts w:ascii="Arial" w:hAnsi="Arial" w:cs="Arial"/>
          <w:b/>
          <w:sz w:val="22"/>
          <w:szCs w:val="22"/>
        </w:rPr>
      </w:pPr>
      <w:r>
        <w:rPr>
          <w:rFonts w:ascii="Arial" w:hAnsi="Arial" w:cs="Arial"/>
          <w:b/>
          <w:sz w:val="22"/>
          <w:szCs w:val="22"/>
        </w:rPr>
        <w:t xml:space="preserve">Seyfettin Gürsel*, </w:t>
      </w:r>
      <w:r w:rsidR="00AE0BBB" w:rsidRPr="007750EF">
        <w:rPr>
          <w:rFonts w:ascii="Arial" w:hAnsi="Arial" w:cs="Arial"/>
          <w:b/>
          <w:sz w:val="22"/>
          <w:szCs w:val="22"/>
        </w:rPr>
        <w:t>Zümrüt İmamoğlu</w:t>
      </w:r>
      <w:r w:rsidR="00AE0BBB" w:rsidRPr="007750EF">
        <w:rPr>
          <w:rFonts w:ascii="Arial" w:hAnsi="Arial" w:cs="Arial"/>
          <w:b/>
          <w:sz w:val="22"/>
          <w:szCs w:val="22"/>
          <w:vertAlign w:val="superscript"/>
        </w:rPr>
        <w:t>†</w:t>
      </w:r>
      <w:r>
        <w:rPr>
          <w:rFonts w:ascii="Arial" w:hAnsi="Arial" w:cs="Arial"/>
          <w:b/>
          <w:sz w:val="22"/>
          <w:szCs w:val="22"/>
        </w:rPr>
        <w:t xml:space="preserve">, </w:t>
      </w:r>
      <w:r w:rsidR="00AE0BBB" w:rsidRPr="007750EF">
        <w:rPr>
          <w:rFonts w:ascii="Arial" w:hAnsi="Arial" w:cs="Arial"/>
          <w:b/>
          <w:sz w:val="22"/>
          <w:szCs w:val="22"/>
        </w:rPr>
        <w:t xml:space="preserve">ve </w:t>
      </w:r>
      <w:r w:rsidR="00A75D44">
        <w:rPr>
          <w:rFonts w:ascii="Arial" w:hAnsi="Arial" w:cs="Arial"/>
          <w:b/>
          <w:sz w:val="22"/>
          <w:szCs w:val="22"/>
        </w:rPr>
        <w:t>Barış Soybilgen</w:t>
      </w:r>
      <w:r w:rsidR="00CA5BA6" w:rsidRPr="007750EF">
        <w:rPr>
          <w:rFonts w:ascii="Arial" w:hAnsi="Arial" w:cs="Arial"/>
          <w:b/>
          <w:sz w:val="22"/>
          <w:szCs w:val="22"/>
          <w:vertAlign w:val="superscript"/>
        </w:rPr>
        <w:t>‡</w:t>
      </w:r>
    </w:p>
    <w:p w:rsidR="001F0A81" w:rsidRDefault="001F0A81" w:rsidP="00AE0BBB">
      <w:pPr>
        <w:spacing w:line="288" w:lineRule="auto"/>
        <w:ind w:right="-318"/>
        <w:jc w:val="both"/>
        <w:rPr>
          <w:rFonts w:ascii="Arial" w:hAnsi="Arial" w:cs="Arial"/>
          <w:b/>
          <w:sz w:val="20"/>
          <w:szCs w:val="20"/>
        </w:rPr>
      </w:pPr>
    </w:p>
    <w:p w:rsidR="00B00EBD" w:rsidRDefault="00B00EBD" w:rsidP="00AE0BBB">
      <w:pPr>
        <w:spacing w:line="288" w:lineRule="auto"/>
        <w:ind w:right="-318"/>
        <w:jc w:val="both"/>
        <w:rPr>
          <w:rFonts w:ascii="Arial" w:hAnsi="Arial" w:cs="Arial"/>
          <w:b/>
          <w:sz w:val="20"/>
          <w:szCs w:val="20"/>
        </w:rPr>
      </w:pPr>
    </w:p>
    <w:p w:rsidR="00AD49B2" w:rsidRDefault="00AD49B2" w:rsidP="00AE0BBB">
      <w:pPr>
        <w:spacing w:line="288" w:lineRule="auto"/>
        <w:ind w:right="-318"/>
        <w:jc w:val="both"/>
        <w:rPr>
          <w:rFonts w:ascii="Arial" w:hAnsi="Arial" w:cs="Arial"/>
          <w:b/>
          <w:sz w:val="20"/>
          <w:szCs w:val="20"/>
        </w:rPr>
      </w:pPr>
    </w:p>
    <w:p w:rsidR="00AD49B2" w:rsidRPr="0015266B" w:rsidRDefault="00AD49B2" w:rsidP="00AE0BBB">
      <w:pPr>
        <w:spacing w:line="288" w:lineRule="auto"/>
        <w:ind w:right="-318"/>
        <w:jc w:val="both"/>
        <w:rPr>
          <w:rFonts w:ascii="Arial" w:hAnsi="Arial" w:cs="Arial"/>
          <w:b/>
          <w:sz w:val="20"/>
          <w:szCs w:val="20"/>
        </w:rPr>
        <w:sectPr w:rsidR="00AD49B2" w:rsidRPr="0015266B" w:rsidSect="007750EF">
          <w:footerReference w:type="even" r:id="rId8"/>
          <w:footerReference w:type="default" r:id="rId9"/>
          <w:footnotePr>
            <w:numFmt w:val="chicago"/>
          </w:footnotePr>
          <w:pgSz w:w="11906" w:h="16838"/>
          <w:pgMar w:top="719" w:right="1417" w:bottom="1417" w:left="1417" w:header="708" w:footer="708" w:gutter="0"/>
          <w:cols w:space="709"/>
          <w:docGrid w:linePitch="360"/>
        </w:sectPr>
      </w:pPr>
    </w:p>
    <w:p w:rsidR="00B213B6" w:rsidRPr="00F428BE" w:rsidRDefault="00B213B6" w:rsidP="00B213B6">
      <w:pPr>
        <w:pStyle w:val="NormalWeb"/>
        <w:spacing w:before="0" w:beforeAutospacing="0" w:after="0" w:afterAutospacing="0"/>
        <w:rPr>
          <w:rFonts w:ascii="Arial" w:hAnsi="Arial" w:cs="Arial"/>
          <w:b/>
          <w:sz w:val="22"/>
          <w:szCs w:val="22"/>
        </w:rPr>
      </w:pPr>
      <w:r w:rsidRPr="00F428BE">
        <w:rPr>
          <w:rFonts w:ascii="Arial" w:hAnsi="Arial" w:cs="Arial"/>
          <w:b/>
          <w:sz w:val="22"/>
          <w:szCs w:val="22"/>
        </w:rPr>
        <w:lastRenderedPageBreak/>
        <w:t>Yönetici Özeti</w:t>
      </w:r>
    </w:p>
    <w:p w:rsidR="00F428BE" w:rsidRDefault="00F428BE" w:rsidP="00110EBA">
      <w:pPr>
        <w:pStyle w:val="NormalWeb"/>
        <w:spacing w:before="0" w:beforeAutospacing="0" w:after="0" w:afterAutospacing="0"/>
        <w:jc w:val="both"/>
        <w:rPr>
          <w:sz w:val="22"/>
          <w:szCs w:val="22"/>
        </w:rPr>
      </w:pPr>
    </w:p>
    <w:p w:rsidR="0074601C" w:rsidRDefault="00B213B6" w:rsidP="00110EBA">
      <w:pPr>
        <w:pStyle w:val="NormalWeb"/>
        <w:spacing w:before="0" w:beforeAutospacing="0" w:after="0" w:afterAutospacing="0"/>
        <w:jc w:val="both"/>
        <w:rPr>
          <w:sz w:val="22"/>
          <w:szCs w:val="22"/>
        </w:rPr>
      </w:pPr>
      <w:r w:rsidRPr="00C335E9">
        <w:rPr>
          <w:sz w:val="22"/>
          <w:szCs w:val="22"/>
        </w:rPr>
        <w:t>TÜİK'in açıkladığı rakamlara göre Gayri Safi Yurtiçi Hasıla 201</w:t>
      </w:r>
      <w:r w:rsidR="007E62B1">
        <w:rPr>
          <w:sz w:val="22"/>
          <w:szCs w:val="22"/>
        </w:rPr>
        <w:t>2</w:t>
      </w:r>
      <w:r w:rsidRPr="00C335E9">
        <w:rPr>
          <w:sz w:val="22"/>
          <w:szCs w:val="22"/>
        </w:rPr>
        <w:t xml:space="preserve"> yılın</w:t>
      </w:r>
      <w:r w:rsidR="001E5D74">
        <w:rPr>
          <w:sz w:val="22"/>
          <w:szCs w:val="22"/>
        </w:rPr>
        <w:t>ın</w:t>
      </w:r>
      <w:r w:rsidRPr="00C335E9">
        <w:rPr>
          <w:sz w:val="22"/>
          <w:szCs w:val="22"/>
        </w:rPr>
        <w:t xml:space="preserve"> </w:t>
      </w:r>
      <w:r w:rsidR="00C8511A">
        <w:rPr>
          <w:sz w:val="22"/>
          <w:szCs w:val="22"/>
        </w:rPr>
        <w:t>dördüncü</w:t>
      </w:r>
      <w:r w:rsidRPr="00C335E9">
        <w:rPr>
          <w:sz w:val="22"/>
          <w:szCs w:val="22"/>
        </w:rPr>
        <w:t xml:space="preserve"> çeyreğinde bir önceki </w:t>
      </w:r>
      <w:r w:rsidR="00C8511A">
        <w:rPr>
          <w:sz w:val="22"/>
          <w:szCs w:val="22"/>
        </w:rPr>
        <w:t>çeyreğe</w:t>
      </w:r>
      <w:r w:rsidRPr="00C335E9">
        <w:rPr>
          <w:sz w:val="22"/>
          <w:szCs w:val="22"/>
        </w:rPr>
        <w:t xml:space="preserve"> göre </w:t>
      </w:r>
      <w:r w:rsidR="00C8511A">
        <w:rPr>
          <w:sz w:val="22"/>
          <w:szCs w:val="22"/>
        </w:rPr>
        <w:t>m</w:t>
      </w:r>
      <w:r w:rsidR="00C8511A" w:rsidRPr="00C335E9">
        <w:rPr>
          <w:sz w:val="22"/>
          <w:szCs w:val="22"/>
        </w:rPr>
        <w:t>evsimsellikten arındırılm</w:t>
      </w:r>
      <w:r w:rsidR="007E62B1">
        <w:rPr>
          <w:sz w:val="22"/>
          <w:szCs w:val="22"/>
        </w:rPr>
        <w:t>ış rakamlar</w:t>
      </w:r>
      <w:r w:rsidR="00C8511A" w:rsidRPr="00C335E9">
        <w:rPr>
          <w:sz w:val="22"/>
          <w:szCs w:val="22"/>
        </w:rPr>
        <w:t>a</w:t>
      </w:r>
      <w:r w:rsidR="007E62B1">
        <w:rPr>
          <w:sz w:val="22"/>
          <w:szCs w:val="22"/>
        </w:rPr>
        <w:t xml:space="preserve"> göre yatay seyretti</w:t>
      </w:r>
      <w:r w:rsidRPr="00C335E9">
        <w:rPr>
          <w:sz w:val="22"/>
          <w:szCs w:val="22"/>
        </w:rPr>
        <w:t xml:space="preserve">. </w:t>
      </w:r>
      <w:r w:rsidR="00C8511A">
        <w:rPr>
          <w:sz w:val="22"/>
          <w:szCs w:val="22"/>
        </w:rPr>
        <w:t>Yıllık büyüme ise</w:t>
      </w:r>
      <w:r w:rsidRPr="00C335E9">
        <w:rPr>
          <w:sz w:val="22"/>
          <w:szCs w:val="22"/>
        </w:rPr>
        <w:t xml:space="preserve"> </w:t>
      </w:r>
      <w:r w:rsidR="001E5D74">
        <w:rPr>
          <w:sz w:val="22"/>
          <w:szCs w:val="22"/>
        </w:rPr>
        <w:t>201</w:t>
      </w:r>
      <w:r w:rsidR="007E62B1">
        <w:rPr>
          <w:sz w:val="22"/>
          <w:szCs w:val="22"/>
        </w:rPr>
        <w:t>2</w:t>
      </w:r>
      <w:r w:rsidR="001E5D74">
        <w:rPr>
          <w:sz w:val="22"/>
          <w:szCs w:val="22"/>
        </w:rPr>
        <w:t xml:space="preserve"> yılında </w:t>
      </w:r>
      <w:r w:rsidRPr="00C335E9">
        <w:rPr>
          <w:sz w:val="22"/>
          <w:szCs w:val="22"/>
        </w:rPr>
        <w:t xml:space="preserve">yüzde </w:t>
      </w:r>
      <w:r w:rsidR="007E62B1">
        <w:rPr>
          <w:sz w:val="22"/>
          <w:szCs w:val="22"/>
        </w:rPr>
        <w:t>2</w:t>
      </w:r>
      <w:r w:rsidR="007972B3">
        <w:rPr>
          <w:sz w:val="22"/>
          <w:szCs w:val="22"/>
        </w:rPr>
        <w:t>,</w:t>
      </w:r>
      <w:r w:rsidR="007E62B1">
        <w:rPr>
          <w:sz w:val="22"/>
          <w:szCs w:val="22"/>
        </w:rPr>
        <w:t>2</w:t>
      </w:r>
      <w:r w:rsidRPr="00C335E9">
        <w:rPr>
          <w:sz w:val="22"/>
          <w:szCs w:val="22"/>
        </w:rPr>
        <w:t xml:space="preserve"> olarak gerçekleşti. </w:t>
      </w:r>
      <w:r w:rsidR="007E62B1">
        <w:rPr>
          <w:sz w:val="22"/>
          <w:szCs w:val="22"/>
        </w:rPr>
        <w:t>Türkiye Ekonomisi son iki yıldır düzenli olarak yavaşlıyor. 2011’in ilk çeyreğinde yüzde 12,4 olan büyüme hızı, 2012’nin son çeyreğinde yüzde 1,4’e kadar indi.</w:t>
      </w:r>
    </w:p>
    <w:p w:rsidR="0074601C" w:rsidRDefault="0074601C" w:rsidP="00110EBA">
      <w:pPr>
        <w:pStyle w:val="NormalWeb"/>
        <w:spacing w:before="0" w:beforeAutospacing="0" w:after="0" w:afterAutospacing="0"/>
        <w:jc w:val="both"/>
        <w:rPr>
          <w:sz w:val="22"/>
          <w:szCs w:val="22"/>
        </w:rPr>
      </w:pPr>
    </w:p>
    <w:p w:rsidR="00517CBA" w:rsidRDefault="00517CBA" w:rsidP="00517CBA">
      <w:pPr>
        <w:pStyle w:val="NormalWeb"/>
        <w:spacing w:before="0" w:beforeAutospacing="0" w:after="0" w:afterAutospacing="0"/>
        <w:jc w:val="both"/>
        <w:rPr>
          <w:sz w:val="22"/>
          <w:szCs w:val="22"/>
        </w:rPr>
      </w:pPr>
      <w:r>
        <w:rPr>
          <w:sz w:val="22"/>
          <w:szCs w:val="22"/>
        </w:rPr>
        <w:t>201</w:t>
      </w:r>
      <w:r w:rsidR="0029115A">
        <w:rPr>
          <w:sz w:val="22"/>
          <w:szCs w:val="22"/>
        </w:rPr>
        <w:t>2</w:t>
      </w:r>
      <w:r>
        <w:rPr>
          <w:sz w:val="22"/>
          <w:szCs w:val="22"/>
        </w:rPr>
        <w:t xml:space="preserve"> yılında büyüme geçtiğimiz sene</w:t>
      </w:r>
      <w:r w:rsidR="0029115A">
        <w:rPr>
          <w:sz w:val="22"/>
          <w:szCs w:val="22"/>
        </w:rPr>
        <w:t>den farklı olarak</w:t>
      </w:r>
      <w:r>
        <w:rPr>
          <w:sz w:val="22"/>
          <w:szCs w:val="22"/>
        </w:rPr>
        <w:t xml:space="preserve">  </w:t>
      </w:r>
      <w:r w:rsidR="0029115A">
        <w:rPr>
          <w:sz w:val="22"/>
          <w:szCs w:val="22"/>
        </w:rPr>
        <w:t>net ihracattaki artıştan</w:t>
      </w:r>
      <w:r>
        <w:rPr>
          <w:sz w:val="22"/>
          <w:szCs w:val="22"/>
        </w:rPr>
        <w:t xml:space="preserve"> kaynaklandı. </w:t>
      </w:r>
      <w:r w:rsidR="0029115A">
        <w:rPr>
          <w:sz w:val="22"/>
          <w:szCs w:val="22"/>
        </w:rPr>
        <w:t>İ</w:t>
      </w:r>
      <w:r>
        <w:rPr>
          <w:sz w:val="22"/>
          <w:szCs w:val="22"/>
        </w:rPr>
        <w:t xml:space="preserve">ç talep </w:t>
      </w:r>
      <w:r w:rsidR="0029115A">
        <w:rPr>
          <w:sz w:val="22"/>
          <w:szCs w:val="22"/>
        </w:rPr>
        <w:t xml:space="preserve">2012 yılında </w:t>
      </w:r>
      <w:r w:rsidR="004409F6">
        <w:rPr>
          <w:sz w:val="22"/>
          <w:szCs w:val="22"/>
        </w:rPr>
        <w:t>azalarak büyümeye negatif katkı yaptı.</w:t>
      </w:r>
      <w:r>
        <w:rPr>
          <w:sz w:val="22"/>
          <w:szCs w:val="22"/>
        </w:rPr>
        <w:t xml:space="preserve"> İç ve dış talep arasındaki bu ayrışma </w:t>
      </w:r>
      <w:r w:rsidR="004409F6">
        <w:rPr>
          <w:sz w:val="22"/>
          <w:szCs w:val="22"/>
        </w:rPr>
        <w:t>cari açığı yüzde 6’ya düşürürken</w:t>
      </w:r>
      <w:r>
        <w:rPr>
          <w:sz w:val="22"/>
          <w:szCs w:val="22"/>
        </w:rPr>
        <w:t xml:space="preserve"> </w:t>
      </w:r>
      <w:r w:rsidR="004409F6">
        <w:rPr>
          <w:sz w:val="22"/>
          <w:szCs w:val="22"/>
        </w:rPr>
        <w:t>yıllık büyüme bek</w:t>
      </w:r>
      <w:r w:rsidR="00AD49B2">
        <w:rPr>
          <w:sz w:val="22"/>
          <w:szCs w:val="22"/>
        </w:rPr>
        <w:t>lentilerin çok aşağısında kaldı.</w:t>
      </w:r>
      <w:r w:rsidR="004409F6">
        <w:rPr>
          <w:sz w:val="22"/>
          <w:szCs w:val="22"/>
        </w:rPr>
        <w:t xml:space="preserve"> </w:t>
      </w:r>
      <w:r w:rsidR="00AD49B2">
        <w:rPr>
          <w:sz w:val="22"/>
          <w:szCs w:val="22"/>
        </w:rPr>
        <w:t>E</w:t>
      </w:r>
      <w:r w:rsidR="004409F6">
        <w:rPr>
          <w:sz w:val="22"/>
          <w:szCs w:val="22"/>
        </w:rPr>
        <w:t>konomide iniş beklendiği gibi yumuşak değil sert oldu.</w:t>
      </w:r>
    </w:p>
    <w:p w:rsidR="00517CBA" w:rsidRDefault="00517CBA" w:rsidP="00110EBA">
      <w:pPr>
        <w:pStyle w:val="NormalWeb"/>
        <w:spacing w:before="0" w:beforeAutospacing="0" w:after="0" w:afterAutospacing="0"/>
        <w:jc w:val="both"/>
        <w:rPr>
          <w:sz w:val="22"/>
          <w:szCs w:val="22"/>
        </w:rPr>
      </w:pPr>
    </w:p>
    <w:p w:rsidR="00E20174" w:rsidRDefault="00A75D44" w:rsidP="00E20174">
      <w:pPr>
        <w:pStyle w:val="NormalWeb"/>
        <w:spacing w:before="0" w:beforeAutospacing="0" w:after="0" w:afterAutospacing="0"/>
        <w:jc w:val="both"/>
        <w:rPr>
          <w:sz w:val="22"/>
          <w:szCs w:val="22"/>
        </w:rPr>
      </w:pPr>
      <w:r w:rsidRPr="00C335E9">
        <w:rPr>
          <w:sz w:val="22"/>
          <w:szCs w:val="22"/>
        </w:rPr>
        <w:t>Betam’ın GSYH’ı</w:t>
      </w:r>
      <w:r>
        <w:rPr>
          <w:sz w:val="22"/>
          <w:szCs w:val="22"/>
        </w:rPr>
        <w:t>n</w:t>
      </w:r>
      <w:r w:rsidRPr="00C335E9">
        <w:rPr>
          <w:sz w:val="22"/>
          <w:szCs w:val="22"/>
        </w:rPr>
        <w:t xml:space="preserve"> alt kalemlerini mevsim ve takvim etkisinden arındırarak yaptığı analiz</w:t>
      </w:r>
      <w:r>
        <w:rPr>
          <w:sz w:val="22"/>
          <w:szCs w:val="22"/>
        </w:rPr>
        <w:t xml:space="preserve"> yıllık rakamlarda benz</w:t>
      </w:r>
      <w:r w:rsidRPr="00C335E9">
        <w:rPr>
          <w:sz w:val="22"/>
          <w:szCs w:val="22"/>
        </w:rPr>
        <w:t>e</w:t>
      </w:r>
      <w:r>
        <w:rPr>
          <w:sz w:val="22"/>
          <w:szCs w:val="22"/>
        </w:rPr>
        <w:t xml:space="preserve">r sonuçlar içerse de çeyrekten çeyreğe değişimlerde TÜİK rakamlarından </w:t>
      </w:r>
      <w:r w:rsidR="00E20174">
        <w:rPr>
          <w:sz w:val="22"/>
          <w:szCs w:val="22"/>
        </w:rPr>
        <w:t xml:space="preserve">farklılıklar gösterebiliyor. Betam’ın analizine göre Türkiye ekonomisi dördüncü çeyrekte yüzde 0,9 oranında büyüdü. </w:t>
      </w:r>
      <w:r w:rsidR="00E20174" w:rsidRPr="00C335E9">
        <w:rPr>
          <w:sz w:val="22"/>
          <w:szCs w:val="22"/>
        </w:rPr>
        <w:t xml:space="preserve"> </w:t>
      </w:r>
      <w:r w:rsidR="00E20174">
        <w:rPr>
          <w:sz w:val="22"/>
          <w:szCs w:val="22"/>
        </w:rPr>
        <w:t>Büyümenin ana kaynağı net ihracat ve kamu harcamalarındaki  artış oldu. Tüketim ve özel yatırım ise azaldı.</w:t>
      </w:r>
    </w:p>
    <w:p w:rsidR="00C23A83" w:rsidRDefault="00C23A83" w:rsidP="00110EBA">
      <w:pPr>
        <w:pStyle w:val="NormalWeb"/>
        <w:spacing w:before="0" w:beforeAutospacing="0" w:after="0" w:afterAutospacing="0"/>
        <w:jc w:val="both"/>
        <w:rPr>
          <w:sz w:val="22"/>
          <w:szCs w:val="22"/>
        </w:rPr>
      </w:pPr>
    </w:p>
    <w:p w:rsidR="0024217A" w:rsidRDefault="0024217A" w:rsidP="00110EBA">
      <w:pPr>
        <w:pStyle w:val="NormalWeb"/>
        <w:spacing w:before="0" w:beforeAutospacing="0" w:after="0" w:afterAutospacing="0"/>
        <w:jc w:val="both"/>
        <w:rPr>
          <w:sz w:val="22"/>
          <w:szCs w:val="22"/>
        </w:rPr>
      </w:pPr>
    </w:p>
    <w:p w:rsidR="0024217A" w:rsidRDefault="0024217A" w:rsidP="00110EBA">
      <w:pPr>
        <w:pStyle w:val="NormalWeb"/>
        <w:spacing w:before="0" w:beforeAutospacing="0" w:after="0" w:afterAutospacing="0"/>
        <w:jc w:val="both"/>
        <w:rPr>
          <w:sz w:val="22"/>
          <w:szCs w:val="22"/>
        </w:rPr>
      </w:pPr>
    </w:p>
    <w:p w:rsidR="0024217A" w:rsidRDefault="0024217A" w:rsidP="00110EBA">
      <w:pPr>
        <w:pStyle w:val="NormalWeb"/>
        <w:spacing w:before="0" w:beforeAutospacing="0" w:after="0" w:afterAutospacing="0"/>
        <w:jc w:val="both"/>
        <w:rPr>
          <w:sz w:val="22"/>
          <w:szCs w:val="22"/>
        </w:rPr>
      </w:pPr>
    </w:p>
    <w:p w:rsidR="0024217A" w:rsidRDefault="0024217A" w:rsidP="00110EBA">
      <w:pPr>
        <w:pStyle w:val="NormalWeb"/>
        <w:spacing w:before="0" w:beforeAutospacing="0" w:after="0" w:afterAutospacing="0"/>
        <w:jc w:val="both"/>
        <w:rPr>
          <w:sz w:val="22"/>
          <w:szCs w:val="22"/>
        </w:rPr>
      </w:pPr>
    </w:p>
    <w:p w:rsidR="0024217A" w:rsidRDefault="0024217A" w:rsidP="00110EBA">
      <w:pPr>
        <w:pStyle w:val="NormalWeb"/>
        <w:spacing w:before="0" w:beforeAutospacing="0" w:after="0" w:afterAutospacing="0"/>
        <w:jc w:val="both"/>
        <w:rPr>
          <w:sz w:val="22"/>
          <w:szCs w:val="22"/>
        </w:rPr>
      </w:pPr>
    </w:p>
    <w:p w:rsidR="00A75D44" w:rsidRDefault="00A75D44" w:rsidP="00110EBA">
      <w:pPr>
        <w:pStyle w:val="NormalWeb"/>
        <w:spacing w:before="0" w:beforeAutospacing="0" w:after="0" w:afterAutospacing="0"/>
        <w:jc w:val="both"/>
        <w:rPr>
          <w:sz w:val="22"/>
          <w:szCs w:val="22"/>
        </w:rPr>
      </w:pPr>
    </w:p>
    <w:p w:rsidR="009575C3" w:rsidRPr="00C335E9" w:rsidRDefault="00271F72" w:rsidP="009575C3">
      <w:pPr>
        <w:pStyle w:val="NormalWeb"/>
        <w:spacing w:before="0" w:beforeAutospacing="0" w:after="0" w:afterAutospacing="0"/>
        <w:jc w:val="both"/>
        <w:rPr>
          <w:sz w:val="22"/>
          <w:szCs w:val="22"/>
        </w:rPr>
      </w:pPr>
      <w:r w:rsidRPr="00271F72">
        <w:rPr>
          <w:noProof/>
          <w:sz w:val="22"/>
          <w:szCs w:val="22"/>
        </w:rPr>
        <w:pict>
          <v:line id="_x0000_s1064" style="position:absolute;left:0;text-align:left;z-index:251659264" from="-3.85pt,3.65pt" to="230.15pt,3.65pt"/>
        </w:pict>
      </w:r>
    </w:p>
    <w:p w:rsidR="009575C3" w:rsidRPr="007041DF" w:rsidRDefault="009575C3" w:rsidP="009575C3">
      <w:pPr>
        <w:pStyle w:val="NormalWeb"/>
        <w:spacing w:before="0" w:beforeAutospacing="0" w:after="0" w:afterAutospacing="0"/>
        <w:jc w:val="both"/>
        <w:rPr>
          <w:sz w:val="16"/>
          <w:szCs w:val="16"/>
        </w:rPr>
      </w:pPr>
      <w:r w:rsidRPr="009377F5">
        <w:rPr>
          <w:sz w:val="20"/>
          <w:szCs w:val="20"/>
        </w:rPr>
        <w:t xml:space="preserve">* </w:t>
      </w:r>
      <w:r w:rsidRPr="007041DF">
        <w:rPr>
          <w:rFonts w:ascii="Arial" w:hAnsi="Arial" w:cs="Arial"/>
          <w:sz w:val="16"/>
          <w:szCs w:val="16"/>
        </w:rPr>
        <w:t>Prof. Dr. Seyfettin Gürsel, Betam, Direktör</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rPr>
        <w:t xml:space="preserve">  Seyfettin.gursel@bahcesehir.edu.tr</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 xml:space="preserve">† </w:t>
      </w:r>
      <w:r w:rsidRPr="007041DF">
        <w:rPr>
          <w:rFonts w:ascii="Arial" w:hAnsi="Arial" w:cs="Arial"/>
          <w:sz w:val="16"/>
          <w:szCs w:val="16"/>
        </w:rPr>
        <w:t>Dr. Zümrüt İmamoğlu, Betam, Uzman Araştırmacı.</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rPr>
        <w:t xml:space="preserve">  </w:t>
      </w:r>
      <w:smartTag w:uri="urn:schemas-microsoft-com:office:smarttags" w:element="PersonName">
        <w:r w:rsidRPr="007041DF">
          <w:rPr>
            <w:rFonts w:ascii="Arial" w:hAnsi="Arial" w:cs="Arial"/>
            <w:sz w:val="16"/>
            <w:szCs w:val="16"/>
          </w:rPr>
          <w:t>zumrut.imamoglu@bahcesehir.edu.tr</w:t>
        </w:r>
      </w:smartTag>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 xml:space="preserve">‡ </w:t>
      </w:r>
      <w:r w:rsidR="00A75D44">
        <w:rPr>
          <w:rFonts w:ascii="Arial" w:hAnsi="Arial" w:cs="Arial"/>
          <w:sz w:val="16"/>
          <w:szCs w:val="16"/>
        </w:rPr>
        <w:t>Barış Soybilgen</w:t>
      </w:r>
      <w:r w:rsidRPr="007041DF">
        <w:rPr>
          <w:rFonts w:ascii="Arial" w:hAnsi="Arial" w:cs="Arial"/>
          <w:sz w:val="16"/>
          <w:szCs w:val="16"/>
        </w:rPr>
        <w:t xml:space="preserve"> , Betam, Araştırma Görevlisi</w:t>
      </w:r>
    </w:p>
    <w:p w:rsidR="009575C3" w:rsidRPr="007041DF" w:rsidRDefault="00A75D44" w:rsidP="009575C3">
      <w:pPr>
        <w:spacing w:line="288" w:lineRule="auto"/>
        <w:ind w:right="-318"/>
        <w:jc w:val="both"/>
        <w:rPr>
          <w:rFonts w:ascii="Arial" w:hAnsi="Arial" w:cs="Arial"/>
          <w:b/>
          <w:sz w:val="16"/>
          <w:szCs w:val="16"/>
        </w:rPr>
      </w:pPr>
      <w:r>
        <w:rPr>
          <w:rFonts w:ascii="Arial" w:hAnsi="Arial" w:cs="Arial"/>
          <w:sz w:val="16"/>
          <w:szCs w:val="16"/>
        </w:rPr>
        <w:t xml:space="preserve">  baris.soybilgen</w:t>
      </w:r>
      <w:r w:rsidR="009575C3" w:rsidRPr="007041DF">
        <w:rPr>
          <w:rFonts w:ascii="Arial" w:hAnsi="Arial" w:cs="Arial"/>
          <w:sz w:val="16"/>
          <w:szCs w:val="16"/>
        </w:rPr>
        <w:t>@bahcesehir.edu.tr</w:t>
      </w:r>
    </w:p>
    <w:p w:rsidR="00A75D44" w:rsidRDefault="00A75D44" w:rsidP="00C335E9">
      <w:pPr>
        <w:spacing w:line="288" w:lineRule="auto"/>
        <w:ind w:right="77"/>
        <w:jc w:val="both"/>
        <w:rPr>
          <w:rFonts w:ascii="Arial" w:hAnsi="Arial" w:cs="Arial"/>
          <w:b/>
          <w:sz w:val="20"/>
          <w:szCs w:val="20"/>
        </w:rPr>
      </w:pPr>
    </w:p>
    <w:p w:rsidR="00A75D44" w:rsidRDefault="00A75D44" w:rsidP="00C335E9">
      <w:pPr>
        <w:spacing w:line="288" w:lineRule="auto"/>
        <w:ind w:right="77"/>
        <w:jc w:val="both"/>
        <w:rPr>
          <w:rFonts w:ascii="Arial" w:hAnsi="Arial" w:cs="Arial"/>
          <w:b/>
          <w:sz w:val="20"/>
          <w:szCs w:val="20"/>
        </w:rPr>
      </w:pPr>
    </w:p>
    <w:p w:rsidR="00C335E9" w:rsidRPr="00F428BE" w:rsidRDefault="00C335E9" w:rsidP="00C335E9">
      <w:pPr>
        <w:spacing w:line="288" w:lineRule="auto"/>
        <w:ind w:right="77"/>
        <w:jc w:val="both"/>
        <w:rPr>
          <w:rFonts w:ascii="Arial" w:hAnsi="Arial" w:cs="Arial"/>
          <w:b/>
          <w:sz w:val="20"/>
          <w:szCs w:val="20"/>
        </w:rPr>
      </w:pPr>
      <w:r w:rsidRPr="00F428BE">
        <w:rPr>
          <w:rFonts w:ascii="Arial" w:hAnsi="Arial" w:cs="Arial"/>
          <w:b/>
          <w:sz w:val="20"/>
          <w:szCs w:val="20"/>
        </w:rPr>
        <w:t xml:space="preserve">Şekil 1: GSYH alt kalemlerinin </w:t>
      </w:r>
      <w:r w:rsidR="00A75D44">
        <w:rPr>
          <w:rFonts w:ascii="Arial" w:hAnsi="Arial" w:cs="Arial"/>
          <w:b/>
          <w:sz w:val="20"/>
          <w:szCs w:val="20"/>
        </w:rPr>
        <w:t>yıllık (201</w:t>
      </w:r>
      <w:r w:rsidR="0035437A">
        <w:rPr>
          <w:rFonts w:ascii="Arial" w:hAnsi="Arial" w:cs="Arial"/>
          <w:b/>
          <w:sz w:val="20"/>
          <w:szCs w:val="20"/>
        </w:rPr>
        <w:t>1</w:t>
      </w:r>
      <w:r w:rsidR="00A75D44">
        <w:rPr>
          <w:rFonts w:ascii="Arial" w:hAnsi="Arial" w:cs="Arial"/>
          <w:b/>
          <w:sz w:val="20"/>
          <w:szCs w:val="20"/>
        </w:rPr>
        <w:t xml:space="preserve"> yılından 201</w:t>
      </w:r>
      <w:r w:rsidR="0035437A">
        <w:rPr>
          <w:rFonts w:ascii="Arial" w:hAnsi="Arial" w:cs="Arial"/>
          <w:b/>
          <w:sz w:val="20"/>
          <w:szCs w:val="20"/>
        </w:rPr>
        <w:t>2</w:t>
      </w:r>
      <w:r w:rsidR="00A75D44">
        <w:rPr>
          <w:rFonts w:ascii="Arial" w:hAnsi="Arial" w:cs="Arial"/>
          <w:b/>
          <w:sz w:val="20"/>
          <w:szCs w:val="20"/>
        </w:rPr>
        <w:t xml:space="preserve"> yılına)</w:t>
      </w:r>
      <w:r w:rsidR="007868A5">
        <w:rPr>
          <w:rFonts w:ascii="Arial" w:hAnsi="Arial" w:cs="Arial"/>
          <w:b/>
          <w:sz w:val="20"/>
          <w:szCs w:val="20"/>
        </w:rPr>
        <w:t xml:space="preserve"> </w:t>
      </w:r>
      <w:r w:rsidRPr="00F428BE">
        <w:rPr>
          <w:rFonts w:ascii="Arial" w:hAnsi="Arial" w:cs="Arial"/>
          <w:b/>
          <w:sz w:val="20"/>
          <w:szCs w:val="20"/>
        </w:rPr>
        <w:t>değişim</w:t>
      </w:r>
      <w:r w:rsidR="007868A5">
        <w:rPr>
          <w:rFonts w:ascii="Arial" w:hAnsi="Arial" w:cs="Arial"/>
          <w:b/>
          <w:sz w:val="20"/>
          <w:szCs w:val="20"/>
        </w:rPr>
        <w:t>ler</w:t>
      </w:r>
      <w:r w:rsidRPr="00F428BE">
        <w:rPr>
          <w:rFonts w:ascii="Arial" w:hAnsi="Arial" w:cs="Arial"/>
          <w:b/>
          <w:sz w:val="20"/>
          <w:szCs w:val="20"/>
        </w:rPr>
        <w:t>i</w:t>
      </w:r>
    </w:p>
    <w:p w:rsidR="00C335E9" w:rsidRPr="00A75D44" w:rsidRDefault="00E10719" w:rsidP="00C335E9">
      <w:pPr>
        <w:spacing w:line="288" w:lineRule="auto"/>
        <w:ind w:right="77"/>
        <w:jc w:val="both"/>
        <w:rPr>
          <w:rFonts w:ascii="Arial" w:hAnsi="Arial" w:cs="Arial"/>
          <w:sz w:val="20"/>
          <w:szCs w:val="20"/>
        </w:rPr>
      </w:pPr>
      <w:r>
        <w:rPr>
          <w:noProof/>
          <w:szCs w:val="20"/>
          <w:lang w:val="en-US" w:eastAsia="en-US"/>
        </w:rPr>
        <w:drawing>
          <wp:inline distT="0" distB="0" distL="0" distR="0">
            <wp:extent cx="3019425" cy="1905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19425" cy="1905000"/>
                    </a:xfrm>
                    <a:prstGeom prst="rect">
                      <a:avLst/>
                    </a:prstGeom>
                    <a:noFill/>
                    <a:ln w="9525">
                      <a:noFill/>
                      <a:miter lim="800000"/>
                      <a:headEnd/>
                      <a:tailEnd/>
                    </a:ln>
                  </pic:spPr>
                </pic:pic>
              </a:graphicData>
            </a:graphic>
          </wp:inline>
        </w:drawing>
      </w:r>
    </w:p>
    <w:p w:rsidR="00C335E9" w:rsidRPr="005B3336" w:rsidRDefault="0024217A" w:rsidP="00C335E9">
      <w:pPr>
        <w:spacing w:line="288" w:lineRule="auto"/>
        <w:ind w:right="77"/>
        <w:jc w:val="both"/>
        <w:rPr>
          <w:rFonts w:ascii="Arial" w:hAnsi="Arial" w:cs="Arial"/>
          <w:sz w:val="16"/>
          <w:szCs w:val="16"/>
        </w:rPr>
      </w:pPr>
      <w:r>
        <w:rPr>
          <w:rFonts w:ascii="Arial" w:hAnsi="Arial" w:cs="Arial"/>
          <w:sz w:val="16"/>
          <w:szCs w:val="16"/>
        </w:rPr>
        <w:t>Kaynak : TÜİK.</w:t>
      </w:r>
    </w:p>
    <w:p w:rsidR="00726749" w:rsidRDefault="00726749" w:rsidP="00726749">
      <w:pPr>
        <w:spacing w:line="288" w:lineRule="auto"/>
        <w:ind w:right="77"/>
        <w:jc w:val="both"/>
        <w:rPr>
          <w:rFonts w:ascii="Arial" w:hAnsi="Arial" w:cs="Arial"/>
          <w:b/>
          <w:sz w:val="20"/>
          <w:szCs w:val="20"/>
        </w:rPr>
      </w:pPr>
    </w:p>
    <w:p w:rsidR="00726749" w:rsidRPr="00700658" w:rsidRDefault="00726749" w:rsidP="00726749">
      <w:pPr>
        <w:spacing w:line="288" w:lineRule="auto"/>
        <w:ind w:right="77"/>
        <w:jc w:val="both"/>
        <w:rPr>
          <w:rFonts w:ascii="Arial" w:hAnsi="Arial" w:cs="Arial"/>
          <w:b/>
          <w:sz w:val="20"/>
          <w:szCs w:val="20"/>
        </w:rPr>
      </w:pPr>
      <w:r>
        <w:rPr>
          <w:rFonts w:ascii="Arial" w:hAnsi="Arial" w:cs="Arial"/>
          <w:b/>
          <w:sz w:val="20"/>
          <w:szCs w:val="20"/>
        </w:rPr>
        <w:t>Şekil 2</w:t>
      </w:r>
      <w:r w:rsidRPr="00700658">
        <w:rPr>
          <w:rFonts w:ascii="Arial" w:hAnsi="Arial" w:cs="Arial"/>
          <w:b/>
          <w:sz w:val="20"/>
          <w:szCs w:val="20"/>
        </w:rPr>
        <w:t xml:space="preserve">: </w:t>
      </w:r>
      <w:r>
        <w:rPr>
          <w:rFonts w:ascii="Arial" w:hAnsi="Arial" w:cs="Arial"/>
          <w:b/>
          <w:sz w:val="20"/>
          <w:szCs w:val="20"/>
        </w:rPr>
        <w:t>Alt k</w:t>
      </w:r>
      <w:r w:rsidRPr="00700658">
        <w:rPr>
          <w:rFonts w:ascii="Arial" w:hAnsi="Arial" w:cs="Arial"/>
          <w:b/>
          <w:sz w:val="20"/>
          <w:szCs w:val="20"/>
        </w:rPr>
        <w:t>alemlerine</w:t>
      </w:r>
      <w:r>
        <w:rPr>
          <w:rFonts w:ascii="Arial" w:hAnsi="Arial" w:cs="Arial"/>
          <w:b/>
          <w:sz w:val="20"/>
          <w:szCs w:val="20"/>
        </w:rPr>
        <w:t xml:space="preserve"> göre </w:t>
      </w:r>
      <w:r w:rsidR="00A75D44">
        <w:rPr>
          <w:rFonts w:ascii="Arial" w:hAnsi="Arial" w:cs="Arial"/>
          <w:b/>
          <w:sz w:val="20"/>
          <w:szCs w:val="20"/>
        </w:rPr>
        <w:t>201</w:t>
      </w:r>
      <w:r w:rsidR="0035437A">
        <w:rPr>
          <w:rFonts w:ascii="Arial" w:hAnsi="Arial" w:cs="Arial"/>
          <w:b/>
          <w:sz w:val="20"/>
          <w:szCs w:val="20"/>
        </w:rPr>
        <w:t>2</w:t>
      </w:r>
      <w:r w:rsidR="007868A5">
        <w:rPr>
          <w:rFonts w:ascii="Arial" w:hAnsi="Arial" w:cs="Arial"/>
          <w:b/>
          <w:sz w:val="20"/>
          <w:szCs w:val="20"/>
        </w:rPr>
        <w:t xml:space="preserve"> yılı büyümesine katkılar</w:t>
      </w:r>
    </w:p>
    <w:p w:rsidR="00726749" w:rsidRPr="00A75D44" w:rsidRDefault="00E10719" w:rsidP="00726749">
      <w:pPr>
        <w:spacing w:line="288" w:lineRule="auto"/>
        <w:ind w:right="77"/>
        <w:jc w:val="both"/>
        <w:rPr>
          <w:rFonts w:ascii="Arial" w:hAnsi="Arial" w:cs="Arial"/>
          <w:sz w:val="20"/>
          <w:szCs w:val="20"/>
        </w:rPr>
      </w:pPr>
      <w:r>
        <w:rPr>
          <w:noProof/>
          <w:szCs w:val="20"/>
          <w:lang w:val="en-US" w:eastAsia="en-US"/>
        </w:rPr>
        <w:drawing>
          <wp:inline distT="0" distB="0" distL="0" distR="0">
            <wp:extent cx="3019425" cy="2105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19425" cy="2105025"/>
                    </a:xfrm>
                    <a:prstGeom prst="rect">
                      <a:avLst/>
                    </a:prstGeom>
                    <a:noFill/>
                    <a:ln w="9525">
                      <a:noFill/>
                      <a:miter lim="800000"/>
                      <a:headEnd/>
                      <a:tailEnd/>
                    </a:ln>
                  </pic:spPr>
                </pic:pic>
              </a:graphicData>
            </a:graphic>
          </wp:inline>
        </w:drawing>
      </w:r>
    </w:p>
    <w:p w:rsidR="00C402A3" w:rsidRPr="005B3336" w:rsidRDefault="0024217A" w:rsidP="00633C51">
      <w:pPr>
        <w:spacing w:line="288" w:lineRule="auto"/>
        <w:ind w:right="77"/>
        <w:jc w:val="both"/>
        <w:rPr>
          <w:rFonts w:ascii="Arial" w:hAnsi="Arial" w:cs="Arial"/>
          <w:sz w:val="16"/>
          <w:szCs w:val="16"/>
        </w:rPr>
      </w:pPr>
      <w:r>
        <w:rPr>
          <w:rFonts w:ascii="Arial" w:hAnsi="Arial" w:cs="Arial"/>
          <w:sz w:val="16"/>
          <w:szCs w:val="16"/>
        </w:rPr>
        <w:t>Kaynak : TÜİK.</w:t>
      </w:r>
    </w:p>
    <w:p w:rsidR="00E333BE" w:rsidRDefault="00E333BE"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BB00EA" w:rsidRDefault="00BB00EA" w:rsidP="009575C3">
      <w:pPr>
        <w:pStyle w:val="NormalWeb"/>
        <w:spacing w:before="0" w:beforeAutospacing="0" w:after="0" w:afterAutospacing="0"/>
        <w:jc w:val="both"/>
        <w:rPr>
          <w:b/>
          <w:sz w:val="22"/>
          <w:szCs w:val="22"/>
        </w:rPr>
      </w:pPr>
    </w:p>
    <w:p w:rsidR="009575C3" w:rsidRPr="00C335E9" w:rsidRDefault="00BB00EA" w:rsidP="009575C3">
      <w:pPr>
        <w:pStyle w:val="NormalWeb"/>
        <w:spacing w:before="0" w:beforeAutospacing="0" w:after="0" w:afterAutospacing="0"/>
        <w:jc w:val="both"/>
        <w:rPr>
          <w:b/>
          <w:sz w:val="22"/>
          <w:szCs w:val="22"/>
        </w:rPr>
      </w:pPr>
      <w:r>
        <w:rPr>
          <w:b/>
          <w:sz w:val="22"/>
          <w:szCs w:val="22"/>
        </w:rPr>
        <w:lastRenderedPageBreak/>
        <w:t>Yavaşlamanın şifreleri</w:t>
      </w:r>
    </w:p>
    <w:p w:rsidR="009575C3" w:rsidRDefault="009575C3" w:rsidP="009575C3">
      <w:pPr>
        <w:pStyle w:val="NormalWeb"/>
        <w:spacing w:before="0" w:beforeAutospacing="0" w:after="0" w:afterAutospacing="0"/>
        <w:rPr>
          <w:sz w:val="22"/>
          <w:szCs w:val="22"/>
        </w:rPr>
      </w:pPr>
    </w:p>
    <w:p w:rsidR="00DA6EB1" w:rsidRDefault="00BB00EA" w:rsidP="00BC704B">
      <w:pPr>
        <w:pStyle w:val="NormalWeb"/>
        <w:spacing w:before="0" w:beforeAutospacing="0" w:after="0" w:afterAutospacing="0"/>
        <w:jc w:val="both"/>
        <w:rPr>
          <w:sz w:val="22"/>
          <w:szCs w:val="22"/>
        </w:rPr>
      </w:pPr>
      <w:r>
        <w:rPr>
          <w:sz w:val="22"/>
          <w:szCs w:val="22"/>
        </w:rPr>
        <w:t>2012 yılında ekonomi 4 çeyrek boyunca</w:t>
      </w:r>
      <w:r w:rsidR="00EF6749">
        <w:rPr>
          <w:sz w:val="22"/>
          <w:szCs w:val="22"/>
        </w:rPr>
        <w:t xml:space="preserve"> yavaşlamaya devam etti. Tablo 1</w:t>
      </w:r>
      <w:r>
        <w:rPr>
          <w:sz w:val="22"/>
          <w:szCs w:val="22"/>
        </w:rPr>
        <w:t xml:space="preserve">’te çeyrekler itibariyla altkalemlerin katkıları ve toplam yıllık büyümeler gösterilmekte. Yıllık bazda tüketim harcamalarının </w:t>
      </w:r>
      <w:r w:rsidR="009D6D8E">
        <w:rPr>
          <w:sz w:val="22"/>
          <w:szCs w:val="22"/>
        </w:rPr>
        <w:t xml:space="preserve">stoklarla beraber </w:t>
      </w:r>
      <w:r>
        <w:rPr>
          <w:sz w:val="22"/>
          <w:szCs w:val="22"/>
        </w:rPr>
        <w:t xml:space="preserve">son dört çeyrektir azaldığı görülüyor. Özel yatırımlar ise büyümeye son üç çeyrektir negatif katkı yapıyor. Öte yandan kamu harcamaları 2012 yılı boyunca büyümeyi destekliyor. </w:t>
      </w:r>
      <w:r w:rsidR="0067731E">
        <w:rPr>
          <w:sz w:val="22"/>
          <w:szCs w:val="22"/>
        </w:rPr>
        <w:t>Kamu harcamalarının katkısı ilk üç çeyrekte yaklaşık yarım yüzde puanken 4. çeyrekte</w:t>
      </w:r>
      <w:r w:rsidR="009D6D8E">
        <w:rPr>
          <w:sz w:val="22"/>
          <w:szCs w:val="22"/>
        </w:rPr>
        <w:t xml:space="preserve"> baz etkisinin de yardımıyla</w:t>
      </w:r>
      <w:r w:rsidR="0067731E">
        <w:rPr>
          <w:sz w:val="22"/>
          <w:szCs w:val="22"/>
        </w:rPr>
        <w:t xml:space="preserve"> 2 puana kadar çıkıyor.</w:t>
      </w:r>
      <w:r w:rsidR="009D6D8E">
        <w:rPr>
          <w:sz w:val="22"/>
          <w:szCs w:val="22"/>
        </w:rPr>
        <w:t xml:space="preserve"> Net ihracat yıl boyunca büyümeye pozitif katkı yapıyor ancak bu katkı yılın ilk iki çeyreğinde yüzde 5-5,5 civarından son iki çeyreğinde yüzde 3 civarına iniyor. Diğer bir deyişle net ihracatın katkısı giderek zayıflıyor.</w:t>
      </w:r>
    </w:p>
    <w:p w:rsidR="00DA6EB1" w:rsidRDefault="00DA6EB1" w:rsidP="00BC704B">
      <w:pPr>
        <w:pStyle w:val="NormalWeb"/>
        <w:spacing w:before="0" w:beforeAutospacing="0" w:after="0" w:afterAutospacing="0"/>
        <w:jc w:val="both"/>
        <w:rPr>
          <w:sz w:val="22"/>
          <w:szCs w:val="22"/>
        </w:rPr>
      </w:pPr>
    </w:p>
    <w:p w:rsidR="00DA6EB1" w:rsidRDefault="009D6D8E" w:rsidP="00BC704B">
      <w:pPr>
        <w:pStyle w:val="NormalWeb"/>
        <w:spacing w:before="0" w:beforeAutospacing="0" w:after="0" w:afterAutospacing="0"/>
        <w:jc w:val="both"/>
        <w:rPr>
          <w:sz w:val="22"/>
          <w:szCs w:val="22"/>
        </w:rPr>
      </w:pPr>
      <w:r>
        <w:rPr>
          <w:sz w:val="22"/>
          <w:szCs w:val="22"/>
        </w:rPr>
        <w:t xml:space="preserve">Betam’ın çeyrekten çeyreğe GSYH’ın altkalemlerini mevsimsellikten ayrıştırarak </w:t>
      </w:r>
      <w:r w:rsidR="0035437A">
        <w:rPr>
          <w:sz w:val="22"/>
          <w:szCs w:val="22"/>
        </w:rPr>
        <w:t>y</w:t>
      </w:r>
      <w:r>
        <w:rPr>
          <w:sz w:val="22"/>
          <w:szCs w:val="22"/>
        </w:rPr>
        <w:t>aptığı analiz</w:t>
      </w:r>
      <w:r w:rsidR="0035437A">
        <w:rPr>
          <w:sz w:val="22"/>
          <w:szCs w:val="22"/>
        </w:rPr>
        <w:t xml:space="preserve">in </w:t>
      </w:r>
      <w:r>
        <w:rPr>
          <w:sz w:val="22"/>
          <w:szCs w:val="22"/>
        </w:rPr>
        <w:t>de ana hatlar</w:t>
      </w:r>
      <w:r w:rsidR="0035437A">
        <w:rPr>
          <w:sz w:val="22"/>
          <w:szCs w:val="22"/>
        </w:rPr>
        <w:t>ı</w:t>
      </w:r>
      <w:r>
        <w:rPr>
          <w:sz w:val="22"/>
          <w:szCs w:val="22"/>
        </w:rPr>
        <w:t xml:space="preserve"> çok farklı değil ancak </w:t>
      </w:r>
      <w:r w:rsidR="009876C6">
        <w:rPr>
          <w:sz w:val="22"/>
          <w:szCs w:val="22"/>
        </w:rPr>
        <w:t>büyüme daha dalgalı bir seyir izliyor</w:t>
      </w:r>
      <w:r w:rsidR="00BC704B">
        <w:rPr>
          <w:sz w:val="22"/>
          <w:szCs w:val="22"/>
        </w:rPr>
        <w:t>.</w:t>
      </w:r>
      <w:r w:rsidR="009876C6">
        <w:rPr>
          <w:sz w:val="22"/>
          <w:szCs w:val="22"/>
        </w:rPr>
        <w:t xml:space="preserve"> Betam’ın analizine göre</w:t>
      </w:r>
      <w:r w:rsidR="00EF6749">
        <w:rPr>
          <w:sz w:val="22"/>
          <w:szCs w:val="22"/>
        </w:rPr>
        <w:t xml:space="preserve"> (Tablo 2</w:t>
      </w:r>
      <w:r w:rsidR="00280275">
        <w:rPr>
          <w:sz w:val="22"/>
          <w:szCs w:val="22"/>
        </w:rPr>
        <w:t>)</w:t>
      </w:r>
      <w:r w:rsidR="009876C6">
        <w:rPr>
          <w:sz w:val="22"/>
          <w:szCs w:val="22"/>
        </w:rPr>
        <w:t xml:space="preserve"> 2012’nin 1. ve 3. çeyreklerinde ekonomide daralma, 2. ve 4. çeyreklerinde ise canlanma var.</w:t>
      </w:r>
      <w:r w:rsidR="00BC704B">
        <w:rPr>
          <w:sz w:val="22"/>
          <w:szCs w:val="22"/>
        </w:rPr>
        <w:t xml:space="preserve"> </w:t>
      </w:r>
      <w:r w:rsidR="009876C6">
        <w:rPr>
          <w:sz w:val="22"/>
          <w:szCs w:val="22"/>
        </w:rPr>
        <w:t xml:space="preserve">Bu dalgalanma ağırlıklı olarak net ihracat katkısındaki değişimlerden kaynaklanıyor. </w:t>
      </w:r>
      <w:r w:rsidR="001E1BE7">
        <w:rPr>
          <w:sz w:val="22"/>
          <w:szCs w:val="22"/>
        </w:rPr>
        <w:t xml:space="preserve">İhracat sürekli pozitif katkı yaparken ithalat ilk iki </w:t>
      </w:r>
      <w:r w:rsidR="0035437A">
        <w:rPr>
          <w:sz w:val="22"/>
          <w:szCs w:val="22"/>
        </w:rPr>
        <w:t>ç</w:t>
      </w:r>
      <w:r w:rsidR="001E1BE7">
        <w:rPr>
          <w:sz w:val="22"/>
          <w:szCs w:val="22"/>
        </w:rPr>
        <w:t xml:space="preserve">eyrekte artarak büyümeye negatif, son iki çeyrekte ise azalarak büyümeye poizitif katkı yapıyor. </w:t>
      </w:r>
      <w:r w:rsidR="009876C6">
        <w:rPr>
          <w:sz w:val="22"/>
          <w:szCs w:val="22"/>
        </w:rPr>
        <w:t xml:space="preserve">Tüketimde 3. çeyrekte görülen canlanma maalesef 4. çeyrekte devam etmiyor ve negatife dönüyor. </w:t>
      </w:r>
      <w:r w:rsidR="00695EB7">
        <w:rPr>
          <w:sz w:val="22"/>
          <w:szCs w:val="22"/>
        </w:rPr>
        <w:t>Özel yatırımların katkısı da yine son üç çeyrektir negatif. Kamu harcamaları ise düzenli olarak yıl boyunca büyümeye</w:t>
      </w:r>
      <w:r w:rsidR="00651F13">
        <w:rPr>
          <w:sz w:val="22"/>
          <w:szCs w:val="22"/>
        </w:rPr>
        <w:t xml:space="preserve"> </w:t>
      </w:r>
      <w:r w:rsidR="00695EB7">
        <w:rPr>
          <w:sz w:val="22"/>
          <w:szCs w:val="22"/>
        </w:rPr>
        <w:t>katkı sağlıyor.</w:t>
      </w:r>
    </w:p>
    <w:p w:rsidR="005632F3" w:rsidRDefault="005632F3" w:rsidP="00BC704B">
      <w:pPr>
        <w:pStyle w:val="NormalWeb"/>
        <w:spacing w:before="0" w:beforeAutospacing="0" w:after="0" w:afterAutospacing="0"/>
        <w:jc w:val="both"/>
        <w:rPr>
          <w:sz w:val="22"/>
          <w:szCs w:val="22"/>
        </w:rPr>
      </w:pPr>
    </w:p>
    <w:p w:rsidR="005632F3" w:rsidRDefault="00EF6749" w:rsidP="00BC704B">
      <w:pPr>
        <w:pStyle w:val="NormalWeb"/>
        <w:spacing w:before="0" w:beforeAutospacing="0" w:after="0" w:afterAutospacing="0"/>
        <w:jc w:val="both"/>
        <w:rPr>
          <w:sz w:val="22"/>
          <w:szCs w:val="22"/>
        </w:rPr>
      </w:pPr>
      <w:r>
        <w:rPr>
          <w:sz w:val="22"/>
          <w:szCs w:val="22"/>
        </w:rPr>
        <w:t>Toplamda bakıldığında (Tablo 3</w:t>
      </w:r>
      <w:r w:rsidR="00280275">
        <w:rPr>
          <w:sz w:val="22"/>
          <w:szCs w:val="22"/>
        </w:rPr>
        <w:t>) 2012 yılında kamu harcamaları yüzde 2,7 artarak büyümeye 0,4 yüzde puan, ihracat yüzde 17,2 artarak büyümeye yüzde 4,1 puan pozitif katkı yaptı. Tüketim harcamaları yüzde 0,7 oranında azalarak 0,5 yüzde puan, özel yatırımlar ise yüzde 4,5 azalarak büyümeye 1,0 yüzde puan negatif katkı yaptı</w:t>
      </w:r>
      <w:r w:rsidR="007B75C5">
        <w:rPr>
          <w:sz w:val="22"/>
          <w:szCs w:val="22"/>
        </w:rPr>
        <w:t xml:space="preserve">. Tüketim ve yatırımların yanında stoklar da azaldı ve büyümeye 1,3 yüzde puan negatif katkı yaptı. İthalat kalemindeyse 2011 yılına göre </w:t>
      </w:r>
      <w:r w:rsidR="00743F70">
        <w:rPr>
          <w:sz w:val="22"/>
          <w:szCs w:val="22"/>
        </w:rPr>
        <w:t xml:space="preserve">toplamda </w:t>
      </w:r>
      <w:r w:rsidR="007B75C5">
        <w:rPr>
          <w:sz w:val="22"/>
          <w:szCs w:val="22"/>
        </w:rPr>
        <w:t>değişim olmadı.</w:t>
      </w:r>
      <w:r w:rsidR="00280275">
        <w:rPr>
          <w:sz w:val="22"/>
          <w:szCs w:val="22"/>
        </w:rPr>
        <w:t xml:space="preserve"> </w:t>
      </w:r>
      <w:r w:rsidR="00743F70">
        <w:rPr>
          <w:sz w:val="22"/>
          <w:szCs w:val="22"/>
        </w:rPr>
        <w:t xml:space="preserve">Böylece </w:t>
      </w:r>
      <w:r w:rsidR="00280275">
        <w:rPr>
          <w:sz w:val="22"/>
          <w:szCs w:val="22"/>
        </w:rPr>
        <w:t>2012 yılında büyüme yüzde 2,2 olarak gerçekleşti.</w:t>
      </w:r>
    </w:p>
    <w:p w:rsidR="00DA6EB1" w:rsidRDefault="00DA6EB1" w:rsidP="00BC704B">
      <w:pPr>
        <w:pStyle w:val="NormalWeb"/>
        <w:spacing w:before="0" w:beforeAutospacing="0" w:after="0" w:afterAutospacing="0"/>
        <w:jc w:val="both"/>
        <w:rPr>
          <w:sz w:val="22"/>
          <w:szCs w:val="22"/>
        </w:rPr>
      </w:pPr>
    </w:p>
    <w:p w:rsidR="005632F3" w:rsidRDefault="00280275" w:rsidP="005632F3">
      <w:pPr>
        <w:pStyle w:val="NormalWeb"/>
        <w:spacing w:before="0" w:beforeAutospacing="0" w:after="0" w:afterAutospacing="0"/>
        <w:jc w:val="both"/>
        <w:rPr>
          <w:sz w:val="22"/>
          <w:szCs w:val="22"/>
        </w:rPr>
      </w:pPr>
      <w:r>
        <w:rPr>
          <w:sz w:val="22"/>
          <w:szCs w:val="22"/>
        </w:rPr>
        <w:t xml:space="preserve">Büyümede yavaşlamanın </w:t>
      </w:r>
      <w:r w:rsidR="007B75C5">
        <w:rPr>
          <w:sz w:val="22"/>
          <w:szCs w:val="22"/>
        </w:rPr>
        <w:t xml:space="preserve">ithalatı düşürmesi </w:t>
      </w:r>
      <w:r>
        <w:rPr>
          <w:sz w:val="22"/>
          <w:szCs w:val="22"/>
        </w:rPr>
        <w:t xml:space="preserve">ve Tüik’in turizm gelirlerinde yaptığı revizyonun etkisiyle cari açık 2012 yılında önemli ölçüde azaldı. </w:t>
      </w:r>
      <w:r w:rsidR="00131052" w:rsidRPr="001B2067">
        <w:rPr>
          <w:sz w:val="22"/>
          <w:szCs w:val="22"/>
        </w:rPr>
        <w:t>201</w:t>
      </w:r>
      <w:r>
        <w:rPr>
          <w:sz w:val="22"/>
          <w:szCs w:val="22"/>
        </w:rPr>
        <w:t>1</w:t>
      </w:r>
      <w:r w:rsidR="00131052" w:rsidRPr="001B2067">
        <w:rPr>
          <w:sz w:val="22"/>
          <w:szCs w:val="22"/>
        </w:rPr>
        <w:t xml:space="preserve"> yılında yüzde </w:t>
      </w:r>
      <w:r>
        <w:rPr>
          <w:sz w:val="22"/>
          <w:szCs w:val="22"/>
        </w:rPr>
        <w:t>10</w:t>
      </w:r>
      <w:r w:rsidR="00131052" w:rsidRPr="001B2067">
        <w:rPr>
          <w:sz w:val="22"/>
          <w:szCs w:val="22"/>
        </w:rPr>
        <w:t xml:space="preserve"> olan cari açığın GSYH’a oranı 201</w:t>
      </w:r>
      <w:r>
        <w:rPr>
          <w:sz w:val="22"/>
          <w:szCs w:val="22"/>
        </w:rPr>
        <w:t>2</w:t>
      </w:r>
      <w:r w:rsidR="00131052" w:rsidRPr="001B2067">
        <w:rPr>
          <w:sz w:val="22"/>
          <w:szCs w:val="22"/>
        </w:rPr>
        <w:t xml:space="preserve"> yılında </w:t>
      </w:r>
      <w:r w:rsidR="005632F3" w:rsidRPr="001B2067">
        <w:rPr>
          <w:sz w:val="22"/>
          <w:szCs w:val="22"/>
        </w:rPr>
        <w:t xml:space="preserve">yüzde </w:t>
      </w:r>
      <w:r>
        <w:rPr>
          <w:sz w:val="22"/>
          <w:szCs w:val="22"/>
        </w:rPr>
        <w:t>6’ya düştü</w:t>
      </w:r>
      <w:r w:rsidR="005632F3" w:rsidRPr="001B2067">
        <w:rPr>
          <w:sz w:val="22"/>
          <w:szCs w:val="22"/>
        </w:rPr>
        <w:t>.</w:t>
      </w:r>
      <w:r w:rsidR="00A96520">
        <w:rPr>
          <w:sz w:val="22"/>
          <w:szCs w:val="22"/>
        </w:rPr>
        <w:t xml:space="preserve"> </w:t>
      </w:r>
    </w:p>
    <w:p w:rsidR="00BC704B" w:rsidRDefault="00BC704B" w:rsidP="009575C3">
      <w:pPr>
        <w:pStyle w:val="NormalWeb"/>
        <w:spacing w:before="0" w:beforeAutospacing="0" w:after="0" w:afterAutospacing="0"/>
        <w:rPr>
          <w:sz w:val="22"/>
          <w:szCs w:val="22"/>
        </w:rPr>
      </w:pPr>
    </w:p>
    <w:p w:rsidR="00855C13" w:rsidRDefault="00855C13" w:rsidP="009575C3">
      <w:pPr>
        <w:pStyle w:val="NormalWeb"/>
        <w:spacing w:before="0" w:beforeAutospacing="0" w:after="0" w:afterAutospacing="0"/>
        <w:rPr>
          <w:b/>
          <w:sz w:val="22"/>
          <w:szCs w:val="22"/>
        </w:rPr>
      </w:pPr>
    </w:p>
    <w:p w:rsidR="00E333BE" w:rsidRDefault="00E333BE" w:rsidP="009575C3">
      <w:pPr>
        <w:pStyle w:val="NormalWeb"/>
        <w:spacing w:before="0" w:beforeAutospacing="0" w:after="0" w:afterAutospacing="0"/>
        <w:jc w:val="both"/>
        <w:rPr>
          <w:sz w:val="22"/>
          <w:szCs w:val="22"/>
        </w:rPr>
      </w:pPr>
    </w:p>
    <w:p w:rsidR="00E333BE" w:rsidRPr="00E333BE" w:rsidRDefault="00E333BE" w:rsidP="009575C3">
      <w:pPr>
        <w:pStyle w:val="NormalWeb"/>
        <w:spacing w:before="0" w:beforeAutospacing="0" w:after="0" w:afterAutospacing="0"/>
        <w:jc w:val="both"/>
        <w:rPr>
          <w:rFonts w:ascii="Arial" w:hAnsi="Arial" w:cs="Arial"/>
          <w:b/>
          <w:sz w:val="20"/>
          <w:szCs w:val="20"/>
        </w:rPr>
      </w:pPr>
      <w:r w:rsidRPr="00E333BE">
        <w:rPr>
          <w:rFonts w:ascii="Arial" w:hAnsi="Arial" w:cs="Arial"/>
          <w:b/>
          <w:sz w:val="20"/>
          <w:szCs w:val="20"/>
        </w:rPr>
        <w:lastRenderedPageBreak/>
        <w:t>Şekil 3: GSYH</w:t>
      </w:r>
      <w:r w:rsidR="00512FC3">
        <w:rPr>
          <w:rFonts w:ascii="Arial" w:hAnsi="Arial" w:cs="Arial"/>
          <w:b/>
          <w:sz w:val="20"/>
          <w:szCs w:val="20"/>
        </w:rPr>
        <w:t>’nin</w:t>
      </w:r>
      <w:r w:rsidRPr="00E333BE">
        <w:rPr>
          <w:rFonts w:ascii="Arial" w:hAnsi="Arial" w:cs="Arial"/>
          <w:b/>
          <w:sz w:val="20"/>
          <w:szCs w:val="20"/>
        </w:rPr>
        <w:t xml:space="preserve"> çeyrekten çeyreğe yıllık büyüme</w:t>
      </w:r>
      <w:r w:rsidR="00512FC3">
        <w:rPr>
          <w:rFonts w:ascii="Arial" w:hAnsi="Arial" w:cs="Arial"/>
          <w:b/>
          <w:sz w:val="20"/>
          <w:szCs w:val="20"/>
        </w:rPr>
        <w:t>si</w:t>
      </w:r>
      <w:r w:rsidRPr="00E333BE">
        <w:rPr>
          <w:rFonts w:ascii="Arial" w:hAnsi="Arial" w:cs="Arial"/>
          <w:b/>
          <w:sz w:val="20"/>
          <w:szCs w:val="20"/>
        </w:rPr>
        <w:t xml:space="preserve"> ve GSYH alt kalemlerinin </w:t>
      </w:r>
      <w:r w:rsidR="00512FC3">
        <w:rPr>
          <w:rFonts w:ascii="Arial" w:hAnsi="Arial" w:cs="Arial"/>
          <w:b/>
          <w:sz w:val="20"/>
          <w:szCs w:val="20"/>
        </w:rPr>
        <w:t>çeyrekten çeyreğe yıllık</w:t>
      </w:r>
      <w:r w:rsidRPr="00E333BE">
        <w:rPr>
          <w:rFonts w:ascii="Arial" w:hAnsi="Arial" w:cs="Arial"/>
          <w:b/>
          <w:sz w:val="20"/>
          <w:szCs w:val="20"/>
        </w:rPr>
        <w:t xml:space="preserve"> büyümeye yaptığı katkılar </w:t>
      </w:r>
    </w:p>
    <w:p w:rsidR="00E333BE" w:rsidRDefault="00E10719" w:rsidP="009575C3">
      <w:pPr>
        <w:pStyle w:val="NormalWeb"/>
        <w:spacing w:before="0" w:beforeAutospacing="0" w:after="0" w:afterAutospacing="0"/>
        <w:jc w:val="both"/>
      </w:pPr>
      <w:r>
        <w:rPr>
          <w:noProof/>
          <w:lang w:val="en-US" w:eastAsia="en-US"/>
        </w:rPr>
        <w:drawing>
          <wp:inline distT="0" distB="0" distL="0" distR="0">
            <wp:extent cx="3019425" cy="2943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19425" cy="2943225"/>
                    </a:xfrm>
                    <a:prstGeom prst="rect">
                      <a:avLst/>
                    </a:prstGeom>
                    <a:noFill/>
                    <a:ln w="9525">
                      <a:noFill/>
                      <a:miter lim="800000"/>
                      <a:headEnd/>
                      <a:tailEnd/>
                    </a:ln>
                  </pic:spPr>
                </pic:pic>
              </a:graphicData>
            </a:graphic>
          </wp:inline>
        </w:drawing>
      </w:r>
    </w:p>
    <w:p w:rsidR="0024217A" w:rsidRDefault="0024217A" w:rsidP="009575C3">
      <w:pPr>
        <w:pStyle w:val="NormalWeb"/>
        <w:spacing w:before="0" w:beforeAutospacing="0" w:after="0" w:afterAutospacing="0"/>
        <w:jc w:val="both"/>
      </w:pPr>
      <w:r>
        <w:rPr>
          <w:rFonts w:ascii="Arial" w:hAnsi="Arial" w:cs="Arial"/>
          <w:sz w:val="16"/>
          <w:szCs w:val="16"/>
        </w:rPr>
        <w:t>Kaynak: TÜİK.</w:t>
      </w:r>
    </w:p>
    <w:p w:rsidR="00E333BE" w:rsidRPr="0024217A" w:rsidRDefault="00E333BE" w:rsidP="009575C3">
      <w:pPr>
        <w:pStyle w:val="NormalWeb"/>
        <w:spacing w:before="0" w:beforeAutospacing="0" w:after="0" w:afterAutospacing="0"/>
        <w:jc w:val="both"/>
        <w:rPr>
          <w:sz w:val="16"/>
          <w:szCs w:val="16"/>
        </w:rPr>
      </w:pPr>
    </w:p>
    <w:p w:rsidR="00E333BE" w:rsidRPr="00E333BE" w:rsidRDefault="00E333BE" w:rsidP="009575C3">
      <w:pPr>
        <w:pStyle w:val="NormalWeb"/>
        <w:spacing w:before="0" w:beforeAutospacing="0" w:after="0" w:afterAutospacing="0"/>
        <w:jc w:val="both"/>
        <w:rPr>
          <w:rFonts w:ascii="Arial" w:hAnsi="Arial" w:cs="Arial"/>
          <w:b/>
          <w:sz w:val="20"/>
          <w:szCs w:val="20"/>
        </w:rPr>
      </w:pPr>
      <w:r w:rsidRPr="00E333BE">
        <w:rPr>
          <w:rFonts w:ascii="Arial" w:hAnsi="Arial" w:cs="Arial"/>
          <w:b/>
          <w:sz w:val="20"/>
          <w:szCs w:val="20"/>
        </w:rPr>
        <w:t>Şekil 4: GSYH alt kalemlerinin bir önceki çeyreğe göre değişimleri</w:t>
      </w:r>
    </w:p>
    <w:p w:rsidR="00E333BE" w:rsidRDefault="00E10719" w:rsidP="009575C3">
      <w:pPr>
        <w:pStyle w:val="NormalWeb"/>
        <w:spacing w:before="0" w:beforeAutospacing="0" w:after="0" w:afterAutospacing="0"/>
        <w:jc w:val="both"/>
      </w:pPr>
      <w:r>
        <w:rPr>
          <w:noProof/>
          <w:lang w:val="en-US" w:eastAsia="en-US"/>
        </w:rPr>
        <w:drawing>
          <wp:inline distT="0" distB="0" distL="0" distR="0">
            <wp:extent cx="3019425" cy="1905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19425" cy="1905000"/>
                    </a:xfrm>
                    <a:prstGeom prst="rect">
                      <a:avLst/>
                    </a:prstGeom>
                    <a:noFill/>
                    <a:ln w="9525">
                      <a:noFill/>
                      <a:miter lim="800000"/>
                      <a:headEnd/>
                      <a:tailEnd/>
                    </a:ln>
                  </pic:spPr>
                </pic:pic>
              </a:graphicData>
            </a:graphic>
          </wp:inline>
        </w:drawing>
      </w:r>
    </w:p>
    <w:p w:rsidR="00E333BE" w:rsidRDefault="0024217A" w:rsidP="009575C3">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Kaynak: TÜİK, </w:t>
      </w:r>
      <w:r w:rsidRPr="005B3336">
        <w:rPr>
          <w:rFonts w:ascii="Arial" w:hAnsi="Arial" w:cs="Arial"/>
          <w:sz w:val="16"/>
          <w:szCs w:val="16"/>
        </w:rPr>
        <w:t>Betam</w:t>
      </w:r>
      <w:r>
        <w:rPr>
          <w:rFonts w:ascii="Arial" w:hAnsi="Arial" w:cs="Arial"/>
          <w:sz w:val="16"/>
          <w:szCs w:val="16"/>
        </w:rPr>
        <w:t>. Çeyreklik göstergeler mevsim ve takvim etkisinden arındırılmıştır.</w:t>
      </w:r>
    </w:p>
    <w:p w:rsidR="0024217A" w:rsidRDefault="0024217A" w:rsidP="009575C3">
      <w:pPr>
        <w:pStyle w:val="NormalWeb"/>
        <w:spacing w:before="0" w:beforeAutospacing="0" w:after="0" w:afterAutospacing="0"/>
        <w:jc w:val="both"/>
      </w:pPr>
    </w:p>
    <w:p w:rsidR="00E333BE" w:rsidRPr="008C35D8" w:rsidRDefault="00E333BE" w:rsidP="009575C3">
      <w:pPr>
        <w:pStyle w:val="NormalWeb"/>
        <w:spacing w:before="0" w:beforeAutospacing="0" w:after="0" w:afterAutospacing="0"/>
        <w:jc w:val="both"/>
        <w:rPr>
          <w:rFonts w:ascii="Arial" w:hAnsi="Arial" w:cs="Arial"/>
          <w:b/>
          <w:sz w:val="20"/>
          <w:szCs w:val="20"/>
        </w:rPr>
      </w:pPr>
      <w:r>
        <w:rPr>
          <w:rFonts w:ascii="Arial" w:hAnsi="Arial" w:cs="Arial"/>
          <w:b/>
          <w:sz w:val="20"/>
          <w:szCs w:val="20"/>
        </w:rPr>
        <w:t>Şekil 5</w:t>
      </w:r>
      <w:r w:rsidRPr="00E333BE">
        <w:rPr>
          <w:rFonts w:ascii="Arial" w:hAnsi="Arial" w:cs="Arial"/>
          <w:b/>
          <w:sz w:val="20"/>
          <w:szCs w:val="20"/>
        </w:rPr>
        <w:t>: GSYH alt kaleml</w:t>
      </w:r>
      <w:r w:rsidR="00D92377">
        <w:rPr>
          <w:rFonts w:ascii="Arial" w:hAnsi="Arial" w:cs="Arial"/>
          <w:b/>
          <w:sz w:val="20"/>
          <w:szCs w:val="20"/>
        </w:rPr>
        <w:t>erinin bir önceki çeyreğe göre büyümeye katkıları</w:t>
      </w:r>
    </w:p>
    <w:p w:rsidR="00E333BE" w:rsidRDefault="00E10719" w:rsidP="009575C3">
      <w:pPr>
        <w:pStyle w:val="NormalWeb"/>
        <w:spacing w:before="0" w:beforeAutospacing="0" w:after="0" w:afterAutospacing="0"/>
        <w:jc w:val="both"/>
      </w:pPr>
      <w:r>
        <w:rPr>
          <w:noProof/>
          <w:lang w:val="en-US" w:eastAsia="en-US"/>
        </w:rPr>
        <w:drawing>
          <wp:inline distT="0" distB="0" distL="0" distR="0">
            <wp:extent cx="3019425" cy="2105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019425" cy="2105025"/>
                    </a:xfrm>
                    <a:prstGeom prst="rect">
                      <a:avLst/>
                    </a:prstGeom>
                    <a:noFill/>
                    <a:ln w="9525">
                      <a:noFill/>
                      <a:miter lim="800000"/>
                      <a:headEnd/>
                      <a:tailEnd/>
                    </a:ln>
                  </pic:spPr>
                </pic:pic>
              </a:graphicData>
            </a:graphic>
          </wp:inline>
        </w:drawing>
      </w:r>
    </w:p>
    <w:p w:rsidR="00EF6749" w:rsidRPr="0024217A" w:rsidRDefault="0024217A" w:rsidP="0024217A">
      <w:pPr>
        <w:pStyle w:val="NormalWeb"/>
        <w:spacing w:before="0" w:beforeAutospacing="0" w:after="0" w:afterAutospacing="0"/>
        <w:jc w:val="both"/>
        <w:rPr>
          <w:sz w:val="22"/>
          <w:szCs w:val="22"/>
        </w:rPr>
      </w:pPr>
      <w:r>
        <w:rPr>
          <w:rFonts w:ascii="Arial" w:hAnsi="Arial" w:cs="Arial"/>
          <w:sz w:val="16"/>
          <w:szCs w:val="16"/>
        </w:rPr>
        <w:t xml:space="preserve">Kaynak: TÜİK, </w:t>
      </w:r>
      <w:r w:rsidRPr="005B3336">
        <w:rPr>
          <w:rFonts w:ascii="Arial" w:hAnsi="Arial" w:cs="Arial"/>
          <w:sz w:val="16"/>
          <w:szCs w:val="16"/>
        </w:rPr>
        <w:t>Betam</w:t>
      </w:r>
      <w:r>
        <w:rPr>
          <w:rFonts w:ascii="Arial" w:hAnsi="Arial" w:cs="Arial"/>
          <w:sz w:val="16"/>
          <w:szCs w:val="16"/>
        </w:rPr>
        <w:t>. Çeyreklik göstergeler mevsim ve takvim etkisinden arındırılmıştır.</w:t>
      </w:r>
    </w:p>
    <w:p w:rsidR="00855C13" w:rsidRDefault="00855C13" w:rsidP="00855C13">
      <w:pPr>
        <w:pStyle w:val="NormalWeb"/>
        <w:spacing w:before="0" w:beforeAutospacing="0" w:after="0" w:afterAutospacing="0"/>
        <w:rPr>
          <w:sz w:val="22"/>
          <w:szCs w:val="22"/>
        </w:rPr>
      </w:pPr>
      <w:r>
        <w:rPr>
          <w:b/>
          <w:sz w:val="22"/>
          <w:szCs w:val="22"/>
        </w:rPr>
        <w:lastRenderedPageBreak/>
        <w:t xml:space="preserve">4. </w:t>
      </w:r>
      <w:r w:rsidRPr="00A96520">
        <w:rPr>
          <w:b/>
          <w:sz w:val="22"/>
          <w:szCs w:val="22"/>
        </w:rPr>
        <w:t>Çeyrekte</w:t>
      </w:r>
      <w:r>
        <w:rPr>
          <w:b/>
          <w:sz w:val="22"/>
          <w:szCs w:val="22"/>
        </w:rPr>
        <w:t xml:space="preserve"> iç talepte sert fren</w:t>
      </w:r>
    </w:p>
    <w:p w:rsidR="00855C13" w:rsidRDefault="00855C13" w:rsidP="00855C13">
      <w:pPr>
        <w:pStyle w:val="NormalWeb"/>
        <w:spacing w:before="0" w:beforeAutospacing="0" w:after="0" w:afterAutospacing="0"/>
        <w:rPr>
          <w:sz w:val="22"/>
          <w:szCs w:val="22"/>
        </w:rPr>
      </w:pPr>
    </w:p>
    <w:p w:rsidR="009575C3" w:rsidRPr="008C35D8" w:rsidRDefault="00855C13" w:rsidP="009575C3">
      <w:pPr>
        <w:pStyle w:val="NormalWeb"/>
        <w:spacing w:before="0" w:beforeAutospacing="0" w:after="0" w:afterAutospacing="0"/>
        <w:jc w:val="both"/>
      </w:pPr>
      <w:r w:rsidRPr="00C402A3">
        <w:rPr>
          <w:sz w:val="22"/>
          <w:szCs w:val="22"/>
        </w:rPr>
        <w:t>Betam, GSYH’ın alt kalemlerinin büyümeye katkılarını çeyrekten çeyreğe hesaplayabilmek için GSYH’ın alt kalemlerini ayrı ayrı mevsim ve takvim etkisinden arındırıyor. Buna göre her bir kalemin dördüncü çeyrekte bir önceki çeyreğe göre deği</w:t>
      </w:r>
      <w:r>
        <w:rPr>
          <w:sz w:val="22"/>
          <w:szCs w:val="22"/>
        </w:rPr>
        <w:t>şimi ve büyümeye katkısı Şekil 4 ve Şekil 5</w:t>
      </w:r>
      <w:r w:rsidRPr="00C402A3">
        <w:rPr>
          <w:sz w:val="22"/>
          <w:szCs w:val="22"/>
        </w:rPr>
        <w:t xml:space="preserve">’de </w:t>
      </w:r>
      <w:r w:rsidR="008C35D8" w:rsidRPr="00C402A3">
        <w:rPr>
          <w:sz w:val="22"/>
          <w:szCs w:val="22"/>
        </w:rPr>
        <w:t>gösterilmekte</w:t>
      </w:r>
      <w:r w:rsidR="006640A7">
        <w:rPr>
          <w:sz w:val="22"/>
          <w:szCs w:val="22"/>
        </w:rPr>
        <w:t xml:space="preserve"> (Tablo 4</w:t>
      </w:r>
      <w:r w:rsidR="001B2067">
        <w:rPr>
          <w:sz w:val="22"/>
          <w:szCs w:val="22"/>
        </w:rPr>
        <w:t>)</w:t>
      </w:r>
      <w:r w:rsidR="008C35D8" w:rsidRPr="00C402A3">
        <w:rPr>
          <w:sz w:val="22"/>
          <w:szCs w:val="22"/>
        </w:rPr>
        <w:t>. Yine Şekil 1 ve</w:t>
      </w:r>
      <w:r w:rsidR="008C35D8" w:rsidRPr="00C402A3">
        <w:t xml:space="preserve"> Şekil</w:t>
      </w:r>
      <w:r w:rsidR="008C35D8" w:rsidRPr="00C335E9">
        <w:rPr>
          <w:sz w:val="22"/>
          <w:szCs w:val="22"/>
        </w:rPr>
        <w:t xml:space="preserve"> 2’de</w:t>
      </w:r>
      <w:r w:rsidR="008C35D8">
        <w:rPr>
          <w:sz w:val="22"/>
          <w:szCs w:val="22"/>
        </w:rPr>
        <w:t xml:space="preserve"> karşı</w:t>
      </w:r>
      <w:r w:rsidR="00176C3C">
        <w:rPr>
          <w:sz w:val="22"/>
          <w:szCs w:val="22"/>
        </w:rPr>
        <w:t>laştırmalı olması açısından 2012</w:t>
      </w:r>
      <w:r w:rsidR="008C35D8">
        <w:rPr>
          <w:sz w:val="22"/>
          <w:szCs w:val="22"/>
        </w:rPr>
        <w:t xml:space="preserve"> yılı için yıllık</w:t>
      </w:r>
      <w:r w:rsidR="008C35D8">
        <w:t xml:space="preserve"> </w:t>
      </w:r>
      <w:r w:rsidR="009575C3">
        <w:rPr>
          <w:sz w:val="22"/>
          <w:szCs w:val="22"/>
        </w:rPr>
        <w:t xml:space="preserve">değişimler ve büyümeye katkılar da gösterilmekte.  </w:t>
      </w:r>
      <w:r w:rsidR="009575C3" w:rsidRPr="00C335E9">
        <w:rPr>
          <w:sz w:val="22"/>
          <w:szCs w:val="22"/>
        </w:rPr>
        <w:t xml:space="preserve"> Betam’ın GSYH’ın alt kalemlerini mevsimsellikten arındırarak oluşturduğu seriye göre, </w:t>
      </w:r>
      <w:r w:rsidR="009575C3">
        <w:rPr>
          <w:sz w:val="22"/>
          <w:szCs w:val="22"/>
        </w:rPr>
        <w:t>dördün</w:t>
      </w:r>
      <w:r w:rsidR="009575C3" w:rsidRPr="00C335E9">
        <w:rPr>
          <w:sz w:val="22"/>
          <w:szCs w:val="22"/>
        </w:rPr>
        <w:t>cü çeyrekteki büyüme bir önceki</w:t>
      </w:r>
      <w:r w:rsidR="009575C3">
        <w:rPr>
          <w:sz w:val="22"/>
          <w:szCs w:val="22"/>
        </w:rPr>
        <w:t xml:space="preserve"> </w:t>
      </w:r>
      <w:r w:rsidR="009575C3" w:rsidRPr="00C335E9">
        <w:rPr>
          <w:sz w:val="22"/>
          <w:szCs w:val="22"/>
        </w:rPr>
        <w:t xml:space="preserve">çeyreğe göre toplamda yüzde </w:t>
      </w:r>
      <w:r w:rsidR="00A96520">
        <w:rPr>
          <w:sz w:val="22"/>
          <w:szCs w:val="22"/>
        </w:rPr>
        <w:t>0</w:t>
      </w:r>
      <w:r w:rsidR="009575C3" w:rsidRPr="00C335E9">
        <w:rPr>
          <w:sz w:val="22"/>
          <w:szCs w:val="22"/>
        </w:rPr>
        <w:t>,</w:t>
      </w:r>
      <w:r w:rsidR="00176C3C">
        <w:rPr>
          <w:sz w:val="22"/>
          <w:szCs w:val="22"/>
        </w:rPr>
        <w:t>9</w:t>
      </w:r>
      <w:r w:rsidR="009575C3" w:rsidRPr="00C335E9">
        <w:rPr>
          <w:sz w:val="22"/>
          <w:szCs w:val="22"/>
        </w:rPr>
        <w:t xml:space="preserve"> oldu.</w:t>
      </w:r>
      <w:r w:rsidR="009575C3" w:rsidRPr="00C335E9">
        <w:rPr>
          <w:rStyle w:val="FootnoteReference"/>
          <w:sz w:val="22"/>
          <w:szCs w:val="22"/>
        </w:rPr>
        <w:footnoteReference w:id="2"/>
      </w:r>
      <w:r w:rsidR="009575C3" w:rsidRPr="00C335E9">
        <w:rPr>
          <w:sz w:val="22"/>
          <w:szCs w:val="22"/>
        </w:rPr>
        <w:t xml:space="preserve"> </w:t>
      </w:r>
    </w:p>
    <w:p w:rsidR="00A96520" w:rsidRDefault="00A96520" w:rsidP="00C335E9">
      <w:pPr>
        <w:pStyle w:val="NormalWeb"/>
        <w:spacing w:before="0" w:beforeAutospacing="0" w:after="0" w:afterAutospacing="0"/>
        <w:ind w:right="77"/>
        <w:jc w:val="both"/>
        <w:rPr>
          <w:sz w:val="22"/>
          <w:szCs w:val="22"/>
        </w:rPr>
      </w:pPr>
    </w:p>
    <w:p w:rsidR="00663B4C" w:rsidRDefault="00880504" w:rsidP="00C335E9">
      <w:pPr>
        <w:pStyle w:val="NormalWeb"/>
        <w:spacing w:before="0" w:beforeAutospacing="0" w:after="0" w:afterAutospacing="0"/>
        <w:ind w:right="77"/>
        <w:jc w:val="both"/>
        <w:rPr>
          <w:sz w:val="22"/>
          <w:szCs w:val="22"/>
        </w:rPr>
      </w:pPr>
      <w:r>
        <w:rPr>
          <w:sz w:val="22"/>
          <w:szCs w:val="22"/>
        </w:rPr>
        <w:t xml:space="preserve">Betam’ın hesaplarına göre dördüncü çeyrekte tüketim ve </w:t>
      </w:r>
      <w:r w:rsidR="0035437A">
        <w:rPr>
          <w:sz w:val="22"/>
          <w:szCs w:val="22"/>
        </w:rPr>
        <w:t>yatırımlarda</w:t>
      </w:r>
      <w:r>
        <w:rPr>
          <w:sz w:val="22"/>
          <w:szCs w:val="22"/>
        </w:rPr>
        <w:t xml:space="preserve"> üçüncü çeyreğe göre azalma meydana geldi. </w:t>
      </w:r>
      <w:r w:rsidR="0041456D">
        <w:rPr>
          <w:sz w:val="22"/>
          <w:szCs w:val="22"/>
        </w:rPr>
        <w:t xml:space="preserve">Dördüncü çeyrekte tüketim bir önceki çeyreğe göre yüzde </w:t>
      </w:r>
      <w:r w:rsidR="00663B4C">
        <w:rPr>
          <w:sz w:val="22"/>
          <w:szCs w:val="22"/>
        </w:rPr>
        <w:t>0</w:t>
      </w:r>
      <w:r>
        <w:rPr>
          <w:sz w:val="22"/>
          <w:szCs w:val="22"/>
        </w:rPr>
        <w:t>,</w:t>
      </w:r>
      <w:r w:rsidR="00663B4C">
        <w:rPr>
          <w:sz w:val="22"/>
          <w:szCs w:val="22"/>
        </w:rPr>
        <w:t>8</w:t>
      </w:r>
      <w:r w:rsidR="0041456D">
        <w:rPr>
          <w:sz w:val="22"/>
          <w:szCs w:val="22"/>
        </w:rPr>
        <w:t xml:space="preserve"> a</w:t>
      </w:r>
      <w:r>
        <w:rPr>
          <w:sz w:val="22"/>
          <w:szCs w:val="22"/>
        </w:rPr>
        <w:t>zalarak</w:t>
      </w:r>
      <w:r w:rsidR="0041456D">
        <w:rPr>
          <w:sz w:val="22"/>
          <w:szCs w:val="22"/>
        </w:rPr>
        <w:t xml:space="preserve"> büyümey</w:t>
      </w:r>
      <w:r>
        <w:rPr>
          <w:sz w:val="22"/>
          <w:szCs w:val="22"/>
        </w:rPr>
        <w:t>i</w:t>
      </w:r>
      <w:r w:rsidR="0041456D">
        <w:rPr>
          <w:sz w:val="22"/>
          <w:szCs w:val="22"/>
        </w:rPr>
        <w:t xml:space="preserve"> </w:t>
      </w:r>
      <w:r>
        <w:rPr>
          <w:sz w:val="22"/>
          <w:szCs w:val="22"/>
        </w:rPr>
        <w:t>0</w:t>
      </w:r>
      <w:r w:rsidR="0041456D">
        <w:rPr>
          <w:sz w:val="22"/>
          <w:szCs w:val="22"/>
        </w:rPr>
        <w:t>,</w:t>
      </w:r>
      <w:r w:rsidR="00663B4C">
        <w:rPr>
          <w:sz w:val="22"/>
          <w:szCs w:val="22"/>
        </w:rPr>
        <w:t>5</w:t>
      </w:r>
      <w:r w:rsidR="0041456D">
        <w:rPr>
          <w:sz w:val="22"/>
          <w:szCs w:val="22"/>
        </w:rPr>
        <w:t xml:space="preserve"> yüzde puan </w:t>
      </w:r>
      <w:r>
        <w:rPr>
          <w:sz w:val="22"/>
          <w:szCs w:val="22"/>
        </w:rPr>
        <w:t>azalttı</w:t>
      </w:r>
      <w:r w:rsidR="0041456D">
        <w:rPr>
          <w:sz w:val="22"/>
          <w:szCs w:val="22"/>
        </w:rPr>
        <w:t>.</w:t>
      </w:r>
      <w:r w:rsidR="00663B4C">
        <w:rPr>
          <w:sz w:val="22"/>
          <w:szCs w:val="22"/>
        </w:rPr>
        <w:t xml:space="preserve"> Özel yatırımlar da yüzde 2 oranında azalarak büyümeye 0,4 yüzde puan negatif katkı yaptı. Stoklar da azalarak büyümeyi yüzde 0,1 yüzde puan aşağıya çekti.</w:t>
      </w:r>
      <w:r w:rsidR="0041456D">
        <w:rPr>
          <w:sz w:val="22"/>
          <w:szCs w:val="22"/>
        </w:rPr>
        <w:t xml:space="preserve"> </w:t>
      </w:r>
    </w:p>
    <w:p w:rsidR="00663B4C" w:rsidRDefault="00663B4C" w:rsidP="00C335E9">
      <w:pPr>
        <w:pStyle w:val="NormalWeb"/>
        <w:spacing w:before="0" w:beforeAutospacing="0" w:after="0" w:afterAutospacing="0"/>
        <w:ind w:right="77"/>
        <w:jc w:val="both"/>
        <w:rPr>
          <w:sz w:val="22"/>
          <w:szCs w:val="22"/>
        </w:rPr>
      </w:pPr>
    </w:p>
    <w:p w:rsidR="00240B3E" w:rsidRDefault="00CE6B6D" w:rsidP="00C335E9">
      <w:pPr>
        <w:pStyle w:val="NormalWeb"/>
        <w:spacing w:before="0" w:beforeAutospacing="0" w:after="0" w:afterAutospacing="0"/>
        <w:ind w:right="77"/>
        <w:jc w:val="both"/>
        <w:rPr>
          <w:sz w:val="22"/>
          <w:szCs w:val="22"/>
        </w:rPr>
      </w:pPr>
      <w:r>
        <w:rPr>
          <w:sz w:val="22"/>
          <w:szCs w:val="22"/>
        </w:rPr>
        <w:t xml:space="preserve">Dördüncü çeyrekte büyümeyi arttırıcı en önemli etki </w:t>
      </w:r>
      <w:r w:rsidR="00663B4C">
        <w:rPr>
          <w:sz w:val="22"/>
          <w:szCs w:val="22"/>
        </w:rPr>
        <w:t>ithalattaki azalış oldu. Yüzde 4</w:t>
      </w:r>
      <w:r>
        <w:rPr>
          <w:sz w:val="22"/>
          <w:szCs w:val="22"/>
        </w:rPr>
        <w:t>,</w:t>
      </w:r>
      <w:r w:rsidR="00663B4C">
        <w:rPr>
          <w:sz w:val="22"/>
          <w:szCs w:val="22"/>
        </w:rPr>
        <w:t>1</w:t>
      </w:r>
      <w:r>
        <w:rPr>
          <w:sz w:val="22"/>
          <w:szCs w:val="22"/>
        </w:rPr>
        <w:t xml:space="preserve"> azalan ithalat, büyümeyi </w:t>
      </w:r>
      <w:r w:rsidR="00663B4C">
        <w:rPr>
          <w:sz w:val="22"/>
          <w:szCs w:val="22"/>
        </w:rPr>
        <w:t>1</w:t>
      </w:r>
      <w:r>
        <w:rPr>
          <w:sz w:val="22"/>
          <w:szCs w:val="22"/>
        </w:rPr>
        <w:t>,</w:t>
      </w:r>
      <w:r w:rsidR="00663B4C">
        <w:rPr>
          <w:sz w:val="22"/>
          <w:szCs w:val="22"/>
        </w:rPr>
        <w:t>1</w:t>
      </w:r>
      <w:r>
        <w:rPr>
          <w:sz w:val="22"/>
          <w:szCs w:val="22"/>
        </w:rPr>
        <w:t xml:space="preserve"> yüzde puan arttırdı. </w:t>
      </w:r>
      <w:r w:rsidR="00663B4C">
        <w:rPr>
          <w:sz w:val="22"/>
          <w:szCs w:val="22"/>
        </w:rPr>
        <w:t>İhracat da bu dönemde sürpriz yaparak büyümeye pozitif katkı yaptı</w:t>
      </w:r>
      <w:r>
        <w:rPr>
          <w:sz w:val="22"/>
          <w:szCs w:val="22"/>
        </w:rPr>
        <w:t>.</w:t>
      </w:r>
      <w:r w:rsidR="00663B4C">
        <w:rPr>
          <w:sz w:val="22"/>
          <w:szCs w:val="22"/>
        </w:rPr>
        <w:t xml:space="preserve"> Dördüncü çeyrekte reel ihracattaki düşüş Betam’ın negatif katkı beklemesine neden olmuştu. Kamu harcamalarıysa yüzde 3 oranında artarak  büyümeye 0,4 yüzde puan katkı yaptı. </w:t>
      </w:r>
    </w:p>
    <w:p w:rsidR="00CE6B6D" w:rsidRDefault="00CE6B6D" w:rsidP="00C335E9">
      <w:pPr>
        <w:pStyle w:val="NormalWeb"/>
        <w:spacing w:before="0" w:beforeAutospacing="0" w:after="0" w:afterAutospacing="0"/>
        <w:ind w:right="77"/>
        <w:jc w:val="both"/>
        <w:rPr>
          <w:sz w:val="22"/>
          <w:szCs w:val="22"/>
        </w:rPr>
      </w:pPr>
    </w:p>
    <w:p w:rsidR="00EA32A9" w:rsidRPr="00EA32A9" w:rsidRDefault="00C9454F" w:rsidP="00EA32A9">
      <w:pPr>
        <w:pStyle w:val="NormalWeb"/>
        <w:spacing w:before="0" w:beforeAutospacing="0" w:after="0" w:afterAutospacing="0"/>
        <w:rPr>
          <w:b/>
          <w:sz w:val="22"/>
          <w:szCs w:val="22"/>
        </w:rPr>
      </w:pPr>
      <w:r>
        <w:rPr>
          <w:b/>
          <w:sz w:val="22"/>
          <w:szCs w:val="22"/>
        </w:rPr>
        <w:t>201</w:t>
      </w:r>
      <w:r w:rsidR="00176C3C">
        <w:rPr>
          <w:b/>
          <w:sz w:val="22"/>
          <w:szCs w:val="22"/>
        </w:rPr>
        <w:t>2</w:t>
      </w:r>
      <w:r>
        <w:rPr>
          <w:b/>
          <w:sz w:val="22"/>
          <w:szCs w:val="22"/>
        </w:rPr>
        <w:t xml:space="preserve"> tahminleri ve </w:t>
      </w:r>
      <w:r w:rsidR="0058720D">
        <w:rPr>
          <w:b/>
          <w:sz w:val="22"/>
          <w:szCs w:val="22"/>
        </w:rPr>
        <w:t>201</w:t>
      </w:r>
      <w:r w:rsidR="00176C3C">
        <w:rPr>
          <w:b/>
          <w:sz w:val="22"/>
          <w:szCs w:val="22"/>
        </w:rPr>
        <w:t>3</w:t>
      </w:r>
      <w:r w:rsidR="0058720D">
        <w:rPr>
          <w:b/>
          <w:sz w:val="22"/>
          <w:szCs w:val="22"/>
        </w:rPr>
        <w:t xml:space="preserve"> beklentileri</w:t>
      </w:r>
    </w:p>
    <w:p w:rsidR="00EA32A9" w:rsidRPr="00EA32A9" w:rsidRDefault="00EA32A9" w:rsidP="00EA32A9">
      <w:pPr>
        <w:pStyle w:val="NormalWeb"/>
        <w:spacing w:before="0" w:beforeAutospacing="0" w:after="0" w:afterAutospacing="0"/>
        <w:rPr>
          <w:sz w:val="22"/>
          <w:szCs w:val="22"/>
        </w:rPr>
      </w:pPr>
    </w:p>
    <w:p w:rsidR="00EC2603" w:rsidRDefault="00C9454F" w:rsidP="00EA32A9">
      <w:pPr>
        <w:pStyle w:val="NormalWeb"/>
        <w:spacing w:before="0" w:beforeAutospacing="0" w:after="0" w:afterAutospacing="0"/>
        <w:jc w:val="both"/>
        <w:rPr>
          <w:sz w:val="22"/>
          <w:szCs w:val="22"/>
        </w:rPr>
      </w:pPr>
      <w:r>
        <w:rPr>
          <w:sz w:val="22"/>
          <w:szCs w:val="22"/>
        </w:rPr>
        <w:t xml:space="preserve">Betam'ın Ekonomik Görünüm </w:t>
      </w:r>
      <w:r w:rsidR="00C928E2">
        <w:rPr>
          <w:sz w:val="22"/>
          <w:szCs w:val="22"/>
        </w:rPr>
        <w:t>ve Tahminler (Ocak ve Şubat 2013</w:t>
      </w:r>
      <w:r>
        <w:rPr>
          <w:sz w:val="22"/>
          <w:szCs w:val="22"/>
        </w:rPr>
        <w:t>) not</w:t>
      </w:r>
      <w:r w:rsidR="005F1597">
        <w:rPr>
          <w:sz w:val="22"/>
          <w:szCs w:val="22"/>
        </w:rPr>
        <w:t>larında</w:t>
      </w:r>
      <w:r>
        <w:rPr>
          <w:sz w:val="22"/>
          <w:szCs w:val="22"/>
        </w:rPr>
        <w:t xml:space="preserve"> </w:t>
      </w:r>
      <w:r w:rsidR="00C928E2">
        <w:rPr>
          <w:sz w:val="22"/>
          <w:szCs w:val="22"/>
        </w:rPr>
        <w:t>2012</w:t>
      </w:r>
      <w:r w:rsidR="005F1597">
        <w:rPr>
          <w:sz w:val="22"/>
          <w:szCs w:val="22"/>
        </w:rPr>
        <w:t xml:space="preserve"> yıllık büyüme tahmini</w:t>
      </w:r>
      <w:r w:rsidR="00C928E2">
        <w:rPr>
          <w:sz w:val="22"/>
          <w:szCs w:val="22"/>
        </w:rPr>
        <w:t xml:space="preserve"> yüzde 2</w:t>
      </w:r>
      <w:r>
        <w:rPr>
          <w:sz w:val="22"/>
          <w:szCs w:val="22"/>
        </w:rPr>
        <w:t>,</w:t>
      </w:r>
      <w:r w:rsidR="00C928E2">
        <w:rPr>
          <w:sz w:val="22"/>
          <w:szCs w:val="22"/>
        </w:rPr>
        <w:t>6</w:t>
      </w:r>
      <w:r w:rsidR="005F1597">
        <w:rPr>
          <w:sz w:val="22"/>
          <w:szCs w:val="22"/>
        </w:rPr>
        <w:t>’</w:t>
      </w:r>
      <w:r w:rsidR="00C928E2">
        <w:rPr>
          <w:sz w:val="22"/>
          <w:szCs w:val="22"/>
        </w:rPr>
        <w:t>ydı</w:t>
      </w:r>
      <w:r w:rsidR="005F1597">
        <w:rPr>
          <w:sz w:val="22"/>
          <w:szCs w:val="22"/>
        </w:rPr>
        <w:t xml:space="preserve">. Bu oran </w:t>
      </w:r>
      <w:r w:rsidR="00C928E2">
        <w:rPr>
          <w:sz w:val="22"/>
          <w:szCs w:val="22"/>
        </w:rPr>
        <w:t>yüzde 2</w:t>
      </w:r>
      <w:r w:rsidR="005F1597">
        <w:rPr>
          <w:sz w:val="22"/>
          <w:szCs w:val="22"/>
        </w:rPr>
        <w:t>,</w:t>
      </w:r>
      <w:r w:rsidR="00C928E2">
        <w:rPr>
          <w:sz w:val="22"/>
          <w:szCs w:val="22"/>
        </w:rPr>
        <w:t>2</w:t>
      </w:r>
      <w:r w:rsidR="005F1597">
        <w:rPr>
          <w:sz w:val="22"/>
          <w:szCs w:val="22"/>
        </w:rPr>
        <w:t xml:space="preserve"> olarak gerçekleşti. </w:t>
      </w:r>
      <w:r>
        <w:rPr>
          <w:sz w:val="22"/>
          <w:szCs w:val="22"/>
        </w:rPr>
        <w:t>Dördüncü çeyrek büyüme hızı</w:t>
      </w:r>
      <w:r w:rsidR="005F1597">
        <w:rPr>
          <w:sz w:val="22"/>
          <w:szCs w:val="22"/>
        </w:rPr>
        <w:t>nı ise gerçekleşenden (</w:t>
      </w:r>
      <w:r w:rsidR="00C928E2">
        <w:rPr>
          <w:sz w:val="22"/>
          <w:szCs w:val="22"/>
        </w:rPr>
        <w:t>1,4</w:t>
      </w:r>
      <w:r w:rsidR="005F1597">
        <w:rPr>
          <w:sz w:val="22"/>
          <w:szCs w:val="22"/>
        </w:rPr>
        <w:t xml:space="preserve">) </w:t>
      </w:r>
      <w:r w:rsidR="00C928E2">
        <w:rPr>
          <w:sz w:val="22"/>
          <w:szCs w:val="22"/>
        </w:rPr>
        <w:t xml:space="preserve">çok </w:t>
      </w:r>
      <w:r w:rsidR="005F1597">
        <w:rPr>
          <w:sz w:val="22"/>
          <w:szCs w:val="22"/>
        </w:rPr>
        <w:t xml:space="preserve">daha yüksek, yüzde </w:t>
      </w:r>
      <w:r w:rsidR="00C928E2">
        <w:rPr>
          <w:sz w:val="22"/>
          <w:szCs w:val="22"/>
        </w:rPr>
        <w:t>2</w:t>
      </w:r>
      <w:r w:rsidR="005F1597">
        <w:rPr>
          <w:sz w:val="22"/>
          <w:szCs w:val="22"/>
        </w:rPr>
        <w:t>,</w:t>
      </w:r>
      <w:r w:rsidR="00C928E2">
        <w:rPr>
          <w:sz w:val="22"/>
          <w:szCs w:val="22"/>
        </w:rPr>
        <w:t>4</w:t>
      </w:r>
      <w:r w:rsidR="005F1597">
        <w:rPr>
          <w:sz w:val="22"/>
          <w:szCs w:val="22"/>
        </w:rPr>
        <w:t xml:space="preserve"> olarak tahmin etmiştik. </w:t>
      </w:r>
      <w:r>
        <w:rPr>
          <w:sz w:val="22"/>
          <w:szCs w:val="22"/>
        </w:rPr>
        <w:t>B</w:t>
      </w:r>
      <w:r w:rsidR="005F1597">
        <w:rPr>
          <w:sz w:val="22"/>
          <w:szCs w:val="22"/>
        </w:rPr>
        <w:t xml:space="preserve">etam çeyrekten çeyreğe büyümenin </w:t>
      </w:r>
      <w:r w:rsidR="004E36FD">
        <w:rPr>
          <w:sz w:val="22"/>
          <w:szCs w:val="22"/>
        </w:rPr>
        <w:t>de</w:t>
      </w:r>
      <w:r w:rsidR="005F1597">
        <w:rPr>
          <w:sz w:val="22"/>
          <w:szCs w:val="22"/>
        </w:rPr>
        <w:t xml:space="preserve"> </w:t>
      </w:r>
      <w:r w:rsidR="004E36FD">
        <w:rPr>
          <w:sz w:val="22"/>
          <w:szCs w:val="22"/>
        </w:rPr>
        <w:t xml:space="preserve">gerçekleşen yüzde sıfır oranından </w:t>
      </w:r>
      <w:r w:rsidR="005F1597">
        <w:rPr>
          <w:sz w:val="22"/>
          <w:szCs w:val="22"/>
        </w:rPr>
        <w:t xml:space="preserve">daha yüksek yüzde </w:t>
      </w:r>
      <w:r w:rsidR="004E36FD">
        <w:rPr>
          <w:sz w:val="22"/>
          <w:szCs w:val="22"/>
        </w:rPr>
        <w:t>0</w:t>
      </w:r>
      <w:r w:rsidR="005F1597">
        <w:rPr>
          <w:sz w:val="22"/>
          <w:szCs w:val="22"/>
        </w:rPr>
        <w:t>,</w:t>
      </w:r>
      <w:r w:rsidR="004E36FD">
        <w:rPr>
          <w:sz w:val="22"/>
          <w:szCs w:val="22"/>
        </w:rPr>
        <w:t>6</w:t>
      </w:r>
      <w:r w:rsidR="005F1597">
        <w:rPr>
          <w:sz w:val="22"/>
          <w:szCs w:val="22"/>
        </w:rPr>
        <w:t xml:space="preserve"> düzyinde olacağını bekliyordu</w:t>
      </w:r>
      <w:r>
        <w:rPr>
          <w:sz w:val="22"/>
          <w:szCs w:val="22"/>
        </w:rPr>
        <w:t>.</w:t>
      </w:r>
      <w:r w:rsidR="00710DCF">
        <w:rPr>
          <w:sz w:val="22"/>
          <w:szCs w:val="22"/>
        </w:rPr>
        <w:t xml:space="preserve"> B</w:t>
      </w:r>
      <w:r w:rsidR="00D76E36">
        <w:rPr>
          <w:sz w:val="22"/>
          <w:szCs w:val="22"/>
        </w:rPr>
        <w:t>u farklı</w:t>
      </w:r>
      <w:r w:rsidR="00710DCF">
        <w:rPr>
          <w:sz w:val="22"/>
          <w:szCs w:val="22"/>
        </w:rPr>
        <w:t>lıktaki en ö</w:t>
      </w:r>
      <w:r w:rsidR="00D76E36">
        <w:rPr>
          <w:sz w:val="22"/>
          <w:szCs w:val="22"/>
        </w:rPr>
        <w:t xml:space="preserve">nemli neden Betam’ın tüketim ve yatırım göstergelerindeki olumlu </w:t>
      </w:r>
      <w:r w:rsidR="00710DCF">
        <w:rPr>
          <w:sz w:val="22"/>
          <w:szCs w:val="22"/>
        </w:rPr>
        <w:t>sinyalleri bu kalemlerde canlanma olacağı yönünde değerlendirmesi oldu.</w:t>
      </w:r>
      <w:r>
        <w:rPr>
          <w:sz w:val="22"/>
          <w:szCs w:val="22"/>
        </w:rPr>
        <w:t xml:space="preserve"> </w:t>
      </w:r>
      <w:r w:rsidR="005F1597">
        <w:rPr>
          <w:sz w:val="22"/>
          <w:szCs w:val="22"/>
        </w:rPr>
        <w:t xml:space="preserve">Tüketim </w:t>
      </w:r>
      <w:r w:rsidR="00710DCF">
        <w:rPr>
          <w:sz w:val="22"/>
          <w:szCs w:val="22"/>
        </w:rPr>
        <w:t xml:space="preserve">ve yatırım </w:t>
      </w:r>
      <w:r w:rsidR="005F1597">
        <w:rPr>
          <w:sz w:val="22"/>
          <w:szCs w:val="22"/>
        </w:rPr>
        <w:t>göstergelerimiz artış</w:t>
      </w:r>
      <w:r w:rsidR="006F3223">
        <w:rPr>
          <w:sz w:val="22"/>
          <w:szCs w:val="22"/>
        </w:rPr>
        <w:t xml:space="preserve">a işaret ederken dördüncü çeyrekte </w:t>
      </w:r>
      <w:r w:rsidR="00710DCF">
        <w:rPr>
          <w:sz w:val="22"/>
          <w:szCs w:val="22"/>
        </w:rPr>
        <w:t>her ikisinin de</w:t>
      </w:r>
      <w:r w:rsidR="006F3223">
        <w:rPr>
          <w:sz w:val="22"/>
          <w:szCs w:val="22"/>
        </w:rPr>
        <w:t xml:space="preserve"> azalması tahminlerimizde yanılmamıza neden oldu. </w:t>
      </w:r>
    </w:p>
    <w:p w:rsidR="00EC2603" w:rsidRDefault="00EC2603" w:rsidP="00EA32A9">
      <w:pPr>
        <w:pStyle w:val="NormalWeb"/>
        <w:spacing w:before="0" w:beforeAutospacing="0" w:after="0" w:afterAutospacing="0"/>
        <w:jc w:val="both"/>
        <w:rPr>
          <w:sz w:val="22"/>
          <w:szCs w:val="22"/>
        </w:rPr>
      </w:pPr>
    </w:p>
    <w:p w:rsidR="00C9454F" w:rsidRDefault="00EC2603" w:rsidP="00EA32A9">
      <w:pPr>
        <w:pStyle w:val="NormalWeb"/>
        <w:spacing w:before="0" w:beforeAutospacing="0" w:after="0" w:afterAutospacing="0"/>
        <w:jc w:val="both"/>
        <w:rPr>
          <w:sz w:val="22"/>
          <w:szCs w:val="22"/>
        </w:rPr>
      </w:pPr>
      <w:r>
        <w:rPr>
          <w:sz w:val="22"/>
          <w:szCs w:val="22"/>
        </w:rPr>
        <w:t xml:space="preserve">Dördüncü çeyrekte reel olarak azalan ihracatın büyümeye pozitif katkı yapması da bizim açımızdan sürpriz oldu. Burada turizm gelirlerindeki revizyonun da etkili olmuş olabileceğin, düşünüyoruz. </w:t>
      </w:r>
    </w:p>
    <w:p w:rsidR="00C9454F" w:rsidRDefault="00C9454F" w:rsidP="00EA32A9">
      <w:pPr>
        <w:pStyle w:val="NormalWeb"/>
        <w:spacing w:before="0" w:beforeAutospacing="0" w:after="0" w:afterAutospacing="0"/>
        <w:jc w:val="both"/>
        <w:rPr>
          <w:sz w:val="22"/>
          <w:szCs w:val="22"/>
        </w:rPr>
      </w:pPr>
    </w:p>
    <w:p w:rsidR="00C9454F" w:rsidRDefault="00E172A0" w:rsidP="00EA32A9">
      <w:pPr>
        <w:pStyle w:val="NormalWeb"/>
        <w:spacing w:before="0" w:beforeAutospacing="0" w:after="0" w:afterAutospacing="0"/>
        <w:jc w:val="both"/>
        <w:rPr>
          <w:sz w:val="22"/>
          <w:szCs w:val="22"/>
        </w:rPr>
      </w:pPr>
      <w:r>
        <w:rPr>
          <w:sz w:val="22"/>
          <w:szCs w:val="22"/>
        </w:rPr>
        <w:t>2012’nin son çeyreğinde tüketim ve yatırımlarda beklenen canlanmanın gelmeyişi 2013 için de moralleri bir miktar bozdu. Özellikle son dönemlerde oldukça gevşetilen para politikası neticesinde faizlerdeki düşüş ve kredilerdeki canlanmanın dödüncü çeyreğe bir miktar yansıması bekleniyordu.</w:t>
      </w:r>
      <w:r w:rsidR="00544885">
        <w:rPr>
          <w:sz w:val="22"/>
          <w:szCs w:val="22"/>
        </w:rPr>
        <w:t xml:space="preserve"> Dördüncü çeyrekte gerçekleşmeyen beklentiler dikkatleri 2013’ün ilk çeyreğine </w:t>
      </w:r>
      <w:r w:rsidR="002B63ED">
        <w:rPr>
          <w:sz w:val="22"/>
          <w:szCs w:val="22"/>
        </w:rPr>
        <w:t>yöneltiyor</w:t>
      </w:r>
      <w:r w:rsidR="00544885">
        <w:rPr>
          <w:sz w:val="22"/>
          <w:szCs w:val="22"/>
        </w:rPr>
        <w:t>. Ancak Betam’ın Ocak verilerine göre yaptığı ilk tahmin henüz ilk çeyrekte de büyük bir canlanma olmadığı yönünde. Şubat ay</w:t>
      </w:r>
      <w:r w:rsidR="002B63ED">
        <w:rPr>
          <w:sz w:val="22"/>
          <w:szCs w:val="22"/>
        </w:rPr>
        <w:t>ında reel kesim güven endeksi ile otomobil talebindeki artış</w:t>
      </w:r>
      <w:r w:rsidR="00544885">
        <w:rPr>
          <w:sz w:val="22"/>
          <w:szCs w:val="22"/>
        </w:rPr>
        <w:t xml:space="preserve"> ilk çeyrekte canlanma için hala ümit olduğuna işaret ediyor.</w:t>
      </w:r>
    </w:p>
    <w:p w:rsidR="00716BBE" w:rsidRPr="00450ACD" w:rsidRDefault="00716BBE" w:rsidP="00C335E9">
      <w:pPr>
        <w:spacing w:line="288" w:lineRule="auto"/>
        <w:ind w:right="77"/>
        <w:jc w:val="both"/>
        <w:rPr>
          <w:rFonts w:ascii="Arial" w:hAnsi="Arial" w:cs="Arial"/>
          <w:sz w:val="22"/>
          <w:szCs w:val="22"/>
        </w:rPr>
      </w:pPr>
    </w:p>
    <w:p w:rsidR="0016522D" w:rsidRPr="00712EDE" w:rsidRDefault="00D97362" w:rsidP="00C335E9">
      <w:pPr>
        <w:spacing w:line="288" w:lineRule="auto"/>
        <w:ind w:right="77"/>
        <w:jc w:val="both"/>
        <w:rPr>
          <w:rFonts w:ascii="Arial" w:hAnsi="Arial" w:cs="Arial"/>
          <w:b/>
          <w:sz w:val="20"/>
          <w:szCs w:val="20"/>
        </w:rPr>
      </w:pPr>
      <w:r w:rsidRPr="00712EDE">
        <w:rPr>
          <w:rFonts w:ascii="Arial" w:hAnsi="Arial" w:cs="Arial"/>
          <w:b/>
          <w:sz w:val="20"/>
          <w:szCs w:val="20"/>
        </w:rPr>
        <w:t>Ş</w:t>
      </w:r>
      <w:r w:rsidR="00712EDE">
        <w:rPr>
          <w:rFonts w:ascii="Arial" w:hAnsi="Arial" w:cs="Arial"/>
          <w:b/>
          <w:sz w:val="20"/>
          <w:szCs w:val="20"/>
        </w:rPr>
        <w:t xml:space="preserve">ekil </w:t>
      </w:r>
      <w:r w:rsidR="00E82AB6">
        <w:rPr>
          <w:rFonts w:ascii="Arial" w:hAnsi="Arial" w:cs="Arial"/>
          <w:b/>
          <w:sz w:val="20"/>
          <w:szCs w:val="20"/>
        </w:rPr>
        <w:t>6</w:t>
      </w:r>
      <w:r w:rsidRPr="00712EDE">
        <w:rPr>
          <w:rFonts w:ascii="Arial" w:hAnsi="Arial" w:cs="Arial"/>
          <w:b/>
          <w:sz w:val="20"/>
          <w:szCs w:val="20"/>
        </w:rPr>
        <w:t>:</w:t>
      </w:r>
      <w:r w:rsidR="00712EDE">
        <w:rPr>
          <w:rFonts w:ascii="Arial" w:hAnsi="Arial" w:cs="Arial"/>
          <w:b/>
          <w:sz w:val="20"/>
          <w:szCs w:val="20"/>
        </w:rPr>
        <w:t xml:space="preserve"> </w:t>
      </w:r>
      <w:r w:rsidRPr="00712EDE">
        <w:rPr>
          <w:rFonts w:ascii="Arial" w:hAnsi="Arial" w:cs="Arial"/>
          <w:b/>
          <w:sz w:val="20"/>
          <w:szCs w:val="20"/>
        </w:rPr>
        <w:t>Önceki çeyreğe göre</w:t>
      </w:r>
      <w:r w:rsidR="002B7DE6">
        <w:rPr>
          <w:rFonts w:ascii="Arial" w:hAnsi="Arial" w:cs="Arial"/>
          <w:b/>
          <w:sz w:val="20"/>
          <w:szCs w:val="20"/>
        </w:rPr>
        <w:t xml:space="preserve"> GSYH</w:t>
      </w:r>
      <w:r w:rsidRPr="00712EDE">
        <w:rPr>
          <w:rFonts w:ascii="Arial" w:hAnsi="Arial" w:cs="Arial"/>
          <w:b/>
          <w:sz w:val="20"/>
          <w:szCs w:val="20"/>
        </w:rPr>
        <w:t xml:space="preserve"> büyüme</w:t>
      </w:r>
      <w:r w:rsidR="002B7DE6">
        <w:rPr>
          <w:rFonts w:ascii="Arial" w:hAnsi="Arial" w:cs="Arial"/>
          <w:b/>
          <w:sz w:val="20"/>
          <w:szCs w:val="20"/>
        </w:rPr>
        <w:t>si</w:t>
      </w:r>
      <w:r w:rsidR="00712EDE">
        <w:rPr>
          <w:rFonts w:ascii="Arial" w:hAnsi="Arial" w:cs="Arial"/>
          <w:b/>
          <w:sz w:val="20"/>
          <w:szCs w:val="20"/>
        </w:rPr>
        <w:t xml:space="preserve"> </w:t>
      </w:r>
      <w:r w:rsidRPr="00712EDE">
        <w:rPr>
          <w:rFonts w:ascii="Arial" w:hAnsi="Arial" w:cs="Arial"/>
          <w:b/>
          <w:sz w:val="20"/>
          <w:szCs w:val="20"/>
        </w:rPr>
        <w:t>(TÜİK)</w:t>
      </w:r>
    </w:p>
    <w:p w:rsidR="00D97362" w:rsidRPr="00A610C8" w:rsidRDefault="00E10719" w:rsidP="00C335E9">
      <w:pPr>
        <w:pStyle w:val="NormalWeb"/>
        <w:spacing w:before="0" w:beforeAutospacing="0" w:after="0" w:afterAutospacing="0"/>
        <w:ind w:right="77"/>
        <w:rPr>
          <w:b/>
          <w:sz w:val="22"/>
          <w:szCs w:val="22"/>
        </w:rPr>
      </w:pPr>
      <w:r>
        <w:rPr>
          <w:noProof/>
          <w:szCs w:val="22"/>
          <w:lang w:val="en-US" w:eastAsia="en-US"/>
        </w:rPr>
        <w:drawing>
          <wp:inline distT="0" distB="0" distL="0" distR="0">
            <wp:extent cx="3019425" cy="18383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019425" cy="1838325"/>
                    </a:xfrm>
                    <a:prstGeom prst="rect">
                      <a:avLst/>
                    </a:prstGeom>
                    <a:noFill/>
                    <a:ln w="9525">
                      <a:noFill/>
                      <a:miter lim="800000"/>
                      <a:headEnd/>
                      <a:tailEnd/>
                    </a:ln>
                  </pic:spPr>
                </pic:pic>
              </a:graphicData>
            </a:graphic>
          </wp:inline>
        </w:drawing>
      </w:r>
    </w:p>
    <w:p w:rsidR="00C5094B" w:rsidRPr="005B3336" w:rsidRDefault="002B7DE6" w:rsidP="00C335E9">
      <w:pPr>
        <w:spacing w:line="288" w:lineRule="auto"/>
        <w:ind w:right="77"/>
        <w:jc w:val="both"/>
        <w:rPr>
          <w:rFonts w:ascii="Arial" w:hAnsi="Arial" w:cs="Arial"/>
          <w:sz w:val="16"/>
          <w:szCs w:val="16"/>
        </w:rPr>
      </w:pPr>
      <w:r>
        <w:rPr>
          <w:rFonts w:ascii="Arial" w:hAnsi="Arial" w:cs="Arial"/>
          <w:sz w:val="16"/>
          <w:szCs w:val="16"/>
        </w:rPr>
        <w:t>Kaynak : TÜİK.</w:t>
      </w:r>
    </w:p>
    <w:p w:rsidR="00C5094B" w:rsidRDefault="00C5094B"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sectPr w:rsidR="00EF6749" w:rsidSect="00C335E9">
          <w:type w:val="continuous"/>
          <w:pgSz w:w="11906" w:h="16838"/>
          <w:pgMar w:top="1417" w:right="1106" w:bottom="1417" w:left="900" w:header="708" w:footer="708" w:gutter="0"/>
          <w:cols w:num="2" w:space="386"/>
          <w:docGrid w:linePitch="360"/>
        </w:sectPr>
      </w:pPr>
    </w:p>
    <w:p w:rsidR="00EF6749" w:rsidRPr="00603DB9" w:rsidRDefault="00603DB9" w:rsidP="00C335E9">
      <w:pPr>
        <w:pStyle w:val="NormalWeb"/>
        <w:spacing w:before="0" w:beforeAutospacing="0" w:after="0" w:afterAutospacing="0"/>
        <w:ind w:right="77"/>
        <w:rPr>
          <w:b/>
          <w:sz w:val="22"/>
          <w:szCs w:val="22"/>
        </w:rPr>
      </w:pPr>
      <w:r>
        <w:rPr>
          <w:b/>
          <w:sz w:val="22"/>
          <w:szCs w:val="22"/>
        </w:rPr>
        <w:lastRenderedPageBreak/>
        <w:t>Tablo 1.</w:t>
      </w:r>
      <w:r w:rsidR="00AE40FB">
        <w:rPr>
          <w:b/>
          <w:sz w:val="22"/>
          <w:szCs w:val="22"/>
        </w:rPr>
        <w:t xml:space="preserve"> 2012’de</w:t>
      </w:r>
      <w:r>
        <w:rPr>
          <w:b/>
          <w:sz w:val="22"/>
          <w:szCs w:val="22"/>
        </w:rPr>
        <w:t xml:space="preserve"> </w:t>
      </w:r>
      <w:r w:rsidR="00AE40FB">
        <w:rPr>
          <w:b/>
          <w:sz w:val="22"/>
          <w:szCs w:val="22"/>
        </w:rPr>
        <w:t>ç</w:t>
      </w:r>
      <w:r>
        <w:rPr>
          <w:b/>
          <w:sz w:val="22"/>
          <w:szCs w:val="22"/>
        </w:rPr>
        <w:t xml:space="preserve">eyrekler itibariyle </w:t>
      </w:r>
      <w:r w:rsidRPr="002B7DE6">
        <w:rPr>
          <w:b/>
          <w:sz w:val="22"/>
          <w:szCs w:val="22"/>
          <w:u w:val="single"/>
        </w:rPr>
        <w:t>bir önceki yılın aynı çeyreğine</w:t>
      </w:r>
      <w:r>
        <w:rPr>
          <w:b/>
          <w:sz w:val="22"/>
          <w:szCs w:val="22"/>
        </w:rPr>
        <w:t xml:space="preserve"> göre</w:t>
      </w:r>
      <w:r w:rsidRPr="00603DB9">
        <w:rPr>
          <w:b/>
          <w:sz w:val="22"/>
          <w:szCs w:val="22"/>
        </w:rPr>
        <w:t xml:space="preserve"> altkalemlerin katkı</w:t>
      </w:r>
      <w:r>
        <w:rPr>
          <w:b/>
          <w:sz w:val="22"/>
          <w:szCs w:val="22"/>
        </w:rPr>
        <w:t>ları ve toplam büyümeler.</w:t>
      </w:r>
    </w:p>
    <w:tbl>
      <w:tblPr>
        <w:tblW w:w="7140" w:type="dxa"/>
        <w:tblInd w:w="103" w:type="dxa"/>
        <w:tblLook w:val="04A0"/>
      </w:tblPr>
      <w:tblGrid>
        <w:gridCol w:w="2980"/>
        <w:gridCol w:w="1180"/>
        <w:gridCol w:w="940"/>
        <w:gridCol w:w="960"/>
        <w:gridCol w:w="1080"/>
      </w:tblGrid>
      <w:tr w:rsidR="00603DB9" w:rsidRPr="00603DB9">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jc w:val="center"/>
              <w:rPr>
                <w:rFonts w:ascii="Arial TUR" w:hAnsi="Arial TUR" w:cs="Arial TUR"/>
                <w:b/>
                <w:bCs/>
                <w:sz w:val="20"/>
                <w:szCs w:val="20"/>
                <w:lang w:eastAsia="en-US"/>
              </w:rPr>
            </w:pPr>
            <w:r w:rsidRPr="00603DB9">
              <w:rPr>
                <w:rFonts w:ascii="Arial TUR" w:hAnsi="Arial TUR" w:cs="Arial TUR"/>
                <w:b/>
                <w:bCs/>
                <w:sz w:val="20"/>
                <w:szCs w:val="20"/>
                <w:lang w:eastAsia="en-US"/>
              </w:rPr>
              <w:t>2012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5267B9">
            <w:pPr>
              <w:jc w:val="center"/>
              <w:rPr>
                <w:rFonts w:ascii="Arial TUR" w:hAnsi="Arial TUR" w:cs="Arial TUR"/>
                <w:b/>
                <w:bCs/>
                <w:sz w:val="20"/>
                <w:szCs w:val="20"/>
                <w:lang w:eastAsia="en-US"/>
              </w:rPr>
            </w:pPr>
            <w:r w:rsidRPr="00603DB9">
              <w:rPr>
                <w:rFonts w:ascii="Arial TUR" w:hAnsi="Arial TUR" w:cs="Arial TUR"/>
                <w:b/>
                <w:bCs/>
                <w:sz w:val="20"/>
                <w:szCs w:val="20"/>
                <w:lang w:eastAsia="en-US"/>
              </w:rPr>
              <w:t>1.Ç.</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5267B9">
            <w:pPr>
              <w:jc w:val="center"/>
              <w:rPr>
                <w:rFonts w:ascii="Arial TUR" w:hAnsi="Arial TUR" w:cs="Arial TUR"/>
                <w:b/>
                <w:bCs/>
                <w:sz w:val="20"/>
                <w:szCs w:val="20"/>
                <w:lang w:eastAsia="en-US"/>
              </w:rPr>
            </w:pPr>
            <w:r w:rsidRPr="00603DB9">
              <w:rPr>
                <w:rFonts w:ascii="Arial TUR" w:hAnsi="Arial TUR" w:cs="Arial TUR"/>
                <w:b/>
                <w:bCs/>
                <w:sz w:val="20"/>
                <w:szCs w:val="20"/>
                <w:lang w:eastAsia="en-US"/>
              </w:rPr>
              <w:t xml:space="preserve">2.Ç.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5267B9">
            <w:pPr>
              <w:jc w:val="center"/>
              <w:rPr>
                <w:rFonts w:ascii="Arial" w:hAnsi="Arial" w:cs="Arial"/>
                <w:b/>
                <w:bCs/>
                <w:sz w:val="20"/>
                <w:szCs w:val="20"/>
                <w:lang w:eastAsia="en-US"/>
              </w:rPr>
            </w:pPr>
            <w:r w:rsidRPr="00603DB9">
              <w:rPr>
                <w:rFonts w:ascii="Arial" w:hAnsi="Arial" w:cs="Arial"/>
                <w:b/>
                <w:bCs/>
                <w:sz w:val="20"/>
                <w:szCs w:val="20"/>
                <w:lang w:eastAsia="en-US"/>
              </w:rPr>
              <w:t>3.Ç.</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5267B9">
            <w:pPr>
              <w:jc w:val="center"/>
              <w:rPr>
                <w:rFonts w:ascii="Arial" w:hAnsi="Arial" w:cs="Arial"/>
                <w:b/>
                <w:bCs/>
                <w:sz w:val="20"/>
                <w:szCs w:val="20"/>
                <w:lang w:eastAsia="en-US"/>
              </w:rPr>
            </w:pPr>
            <w:r w:rsidRPr="00603DB9">
              <w:rPr>
                <w:rFonts w:ascii="Arial" w:hAnsi="Arial" w:cs="Arial"/>
                <w:b/>
                <w:bCs/>
                <w:sz w:val="20"/>
                <w:szCs w:val="20"/>
                <w:lang w:eastAsia="en-US"/>
              </w:rPr>
              <w:t>4.Ç.</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eastAsia="en-US"/>
              </w:rPr>
            </w:pPr>
            <w:r w:rsidRPr="00603DB9">
              <w:rPr>
                <w:rFonts w:ascii="Arial TUR" w:hAnsi="Arial TUR" w:cs="Arial TUR"/>
                <w:b/>
                <w:bCs/>
                <w:sz w:val="20"/>
                <w:szCs w:val="20"/>
                <w:lang w:eastAsia="en-US"/>
              </w:rPr>
              <w:t>Tüketim</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-0,3</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-0,9</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-0,3</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-0,6</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eastAsia="en-US"/>
              </w:rPr>
            </w:pPr>
            <w:r w:rsidRPr="00603DB9">
              <w:rPr>
                <w:rFonts w:ascii="Arial TUR" w:hAnsi="Arial TUR" w:cs="Arial TUR"/>
                <w:b/>
                <w:bCs/>
                <w:sz w:val="20"/>
                <w:szCs w:val="20"/>
                <w:lang w:eastAsia="en-US"/>
              </w:rPr>
              <w:t>Özel Yatırım</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0,3</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-0,9</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-1,2</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-1,9</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eastAsia="en-US"/>
              </w:rPr>
            </w:pPr>
            <w:r w:rsidRPr="00603DB9">
              <w:rPr>
                <w:rFonts w:ascii="Arial TUR" w:hAnsi="Arial TUR" w:cs="Arial TUR"/>
                <w:b/>
                <w:bCs/>
                <w:sz w:val="20"/>
                <w:szCs w:val="20"/>
                <w:lang w:eastAsia="en-US"/>
              </w:rPr>
              <w:t>Kamu Harcamaları</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0,5</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0,6</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eastAsia="en-US"/>
              </w:rPr>
            </w:pPr>
            <w:r w:rsidRPr="00603DB9">
              <w:rPr>
                <w:rFonts w:ascii="Arial" w:hAnsi="Arial" w:cs="Arial"/>
                <w:sz w:val="20"/>
                <w:szCs w:val="20"/>
                <w:lang w:eastAsia="en-US"/>
              </w:rPr>
              <w:t>0,7</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eastAsia="en-US"/>
              </w:rPr>
              <w:t>1</w:t>
            </w:r>
            <w:r>
              <w:rPr>
                <w:rFonts w:ascii="Arial" w:hAnsi="Arial" w:cs="Arial"/>
                <w:sz w:val="20"/>
                <w:szCs w:val="20"/>
                <w:lang w:val="en-US" w:eastAsia="en-US"/>
              </w:rPr>
              <w:t>,</w:t>
            </w:r>
            <w:r w:rsidRPr="00603DB9">
              <w:rPr>
                <w:rFonts w:ascii="Arial" w:hAnsi="Arial" w:cs="Arial"/>
                <w:sz w:val="20"/>
                <w:szCs w:val="20"/>
                <w:lang w:val="en-US" w:eastAsia="en-US"/>
              </w:rPr>
              <w:t>8</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val="en-US" w:eastAsia="en-US"/>
              </w:rPr>
            </w:pPr>
            <w:r w:rsidRPr="00603DB9">
              <w:rPr>
                <w:rFonts w:ascii="Arial TUR" w:hAnsi="Arial TUR" w:cs="Arial TUR"/>
                <w:b/>
                <w:bCs/>
                <w:sz w:val="20"/>
                <w:szCs w:val="20"/>
                <w:lang w:val="en-US" w:eastAsia="en-US"/>
              </w:rPr>
              <w:t>Stok Değişimi</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-2</w:t>
            </w:r>
            <w:r>
              <w:rPr>
                <w:rFonts w:ascii="Arial" w:hAnsi="Arial" w:cs="Arial"/>
                <w:sz w:val="20"/>
                <w:szCs w:val="20"/>
                <w:lang w:val="en-US" w:eastAsia="en-US"/>
              </w:rPr>
              <w:t>,</w:t>
            </w:r>
            <w:r w:rsidRPr="00603DB9">
              <w:rPr>
                <w:rFonts w:ascii="Arial" w:hAnsi="Arial" w:cs="Arial"/>
                <w:sz w:val="20"/>
                <w:szCs w:val="20"/>
                <w:lang w:val="en-US" w:eastAsia="en-US"/>
              </w:rPr>
              <w:t>2</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-1</w:t>
            </w:r>
            <w:r>
              <w:rPr>
                <w:rFonts w:ascii="Arial" w:hAnsi="Arial" w:cs="Arial"/>
                <w:sz w:val="20"/>
                <w:szCs w:val="20"/>
                <w:lang w:val="en-US" w:eastAsia="en-US"/>
              </w:rPr>
              <w:t>,</w:t>
            </w:r>
            <w:r w:rsidRPr="00603DB9">
              <w:rPr>
                <w:rFonts w:ascii="Arial" w:hAnsi="Arial" w:cs="Arial"/>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-0</w:t>
            </w:r>
            <w:r>
              <w:rPr>
                <w:rFonts w:ascii="Arial" w:hAnsi="Arial" w:cs="Arial"/>
                <w:sz w:val="20"/>
                <w:szCs w:val="20"/>
                <w:lang w:val="en-US" w:eastAsia="en-US"/>
              </w:rPr>
              <w:t>,</w:t>
            </w:r>
            <w:r w:rsidRPr="00603DB9">
              <w:rPr>
                <w:rFonts w:ascii="Arial" w:hAnsi="Arial" w:cs="Arial"/>
                <w:sz w:val="20"/>
                <w:szCs w:val="20"/>
                <w:lang w:val="en-US" w:eastAsia="en-US"/>
              </w:rPr>
              <w:t>8</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-0</w:t>
            </w:r>
            <w:r>
              <w:rPr>
                <w:rFonts w:ascii="Arial" w:hAnsi="Arial" w:cs="Arial"/>
                <w:sz w:val="20"/>
                <w:szCs w:val="20"/>
                <w:lang w:val="en-US" w:eastAsia="en-US"/>
              </w:rPr>
              <w:t>,</w:t>
            </w:r>
            <w:r w:rsidRPr="00603DB9">
              <w:rPr>
                <w:rFonts w:ascii="Arial" w:hAnsi="Arial" w:cs="Arial"/>
                <w:sz w:val="20"/>
                <w:szCs w:val="20"/>
                <w:lang w:val="en-US" w:eastAsia="en-US"/>
              </w:rPr>
              <w:t>9</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val="en-US" w:eastAsia="en-US"/>
              </w:rPr>
            </w:pPr>
            <w:r w:rsidRPr="00603DB9">
              <w:rPr>
                <w:rFonts w:ascii="Arial TUR" w:hAnsi="Arial TUR" w:cs="Arial TUR"/>
                <w:b/>
                <w:bCs/>
                <w:sz w:val="20"/>
                <w:szCs w:val="20"/>
                <w:lang w:val="en-US" w:eastAsia="en-US"/>
              </w:rPr>
              <w:t>Net İhracat</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5</w:t>
            </w:r>
            <w:r>
              <w:rPr>
                <w:rFonts w:ascii="Arial" w:hAnsi="Arial" w:cs="Arial"/>
                <w:sz w:val="20"/>
                <w:szCs w:val="20"/>
                <w:lang w:val="en-US" w:eastAsia="en-US"/>
              </w:rPr>
              <w:t>,</w:t>
            </w:r>
            <w:r w:rsidRPr="00603DB9">
              <w:rPr>
                <w:rFonts w:ascii="Arial" w:hAnsi="Arial" w:cs="Arial"/>
                <w:sz w:val="20"/>
                <w:szCs w:val="20"/>
                <w:lang w:val="en-US" w:eastAsia="en-US"/>
              </w:rPr>
              <w:t>1</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5</w:t>
            </w:r>
            <w:r>
              <w:rPr>
                <w:rFonts w:ascii="Arial" w:hAnsi="Arial" w:cs="Arial"/>
                <w:sz w:val="20"/>
                <w:szCs w:val="20"/>
                <w:lang w:val="en-US" w:eastAsia="en-US"/>
              </w:rPr>
              <w:t>,</w:t>
            </w:r>
            <w:r w:rsidRPr="00603DB9">
              <w:rPr>
                <w:rFonts w:ascii="Arial" w:hAnsi="Arial" w:cs="Arial"/>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3</w:t>
            </w:r>
            <w:r>
              <w:rPr>
                <w:rFonts w:ascii="Arial" w:hAnsi="Arial" w:cs="Arial"/>
                <w:sz w:val="20"/>
                <w:szCs w:val="20"/>
                <w:lang w:val="en-US" w:eastAsia="en-US"/>
              </w:rPr>
              <w:t>,</w:t>
            </w:r>
            <w:r w:rsidRPr="00603DB9">
              <w:rPr>
                <w:rFonts w:ascii="Arial" w:hAnsi="Arial" w:cs="Arial"/>
                <w:sz w:val="20"/>
                <w:szCs w:val="20"/>
                <w:lang w:val="en-US" w:eastAsia="en-US"/>
              </w:rPr>
              <w:t>1</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2</w:t>
            </w:r>
            <w:r>
              <w:rPr>
                <w:rFonts w:ascii="Arial" w:hAnsi="Arial" w:cs="Arial"/>
                <w:sz w:val="20"/>
                <w:szCs w:val="20"/>
                <w:lang w:val="en-US" w:eastAsia="en-US"/>
              </w:rPr>
              <w:t>,</w:t>
            </w:r>
            <w:r w:rsidRPr="00603DB9">
              <w:rPr>
                <w:rFonts w:ascii="Arial" w:hAnsi="Arial" w:cs="Arial"/>
                <w:sz w:val="20"/>
                <w:szCs w:val="20"/>
                <w:lang w:val="en-US" w:eastAsia="en-US"/>
              </w:rPr>
              <w:t>9</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val="en-US" w:eastAsia="en-US"/>
              </w:rPr>
            </w:pPr>
            <w:r w:rsidRPr="00603DB9">
              <w:rPr>
                <w:rFonts w:ascii="Arial TUR" w:hAnsi="Arial TUR" w:cs="Arial TUR"/>
                <w:b/>
                <w:bCs/>
                <w:sz w:val="20"/>
                <w:szCs w:val="20"/>
                <w:lang w:val="en-US" w:eastAsia="en-US"/>
              </w:rPr>
              <w:t xml:space="preserve">    İhracat</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3</w:t>
            </w:r>
            <w:r>
              <w:rPr>
                <w:rFonts w:ascii="Arial" w:hAnsi="Arial" w:cs="Arial"/>
                <w:sz w:val="20"/>
                <w:szCs w:val="20"/>
                <w:lang w:val="en-US" w:eastAsia="en-US"/>
              </w:rPr>
              <w:t>,</w:t>
            </w:r>
            <w:r w:rsidRPr="00603DB9">
              <w:rPr>
                <w:rFonts w:ascii="Arial" w:hAnsi="Arial" w:cs="Arial"/>
                <w:sz w:val="20"/>
                <w:szCs w:val="20"/>
                <w:lang w:val="en-US" w:eastAsia="en-US"/>
              </w:rPr>
              <w:t>5</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5</w:t>
            </w:r>
            <w:r>
              <w:rPr>
                <w:rFonts w:ascii="Arial" w:hAnsi="Arial" w:cs="Arial"/>
                <w:sz w:val="20"/>
                <w:szCs w:val="20"/>
                <w:lang w:val="en-US" w:eastAsia="en-US"/>
              </w:rPr>
              <w:t>,</w:t>
            </w:r>
            <w:r w:rsidRPr="00603DB9">
              <w:rPr>
                <w:rFonts w:ascii="Arial" w:hAnsi="Arial" w:cs="Arial"/>
                <w:sz w:val="20"/>
                <w:szCs w:val="20"/>
                <w:lang w:val="en-US" w:eastAsia="en-US"/>
              </w:rPr>
              <w:t>7</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3</w:t>
            </w:r>
            <w:r>
              <w:rPr>
                <w:rFonts w:ascii="Arial" w:hAnsi="Arial" w:cs="Arial"/>
                <w:sz w:val="20"/>
                <w:szCs w:val="20"/>
                <w:lang w:val="en-US" w:eastAsia="en-US"/>
              </w:rPr>
              <w:t>,</w:t>
            </w:r>
            <w:r w:rsidRPr="00603DB9">
              <w:rPr>
                <w:rFonts w:ascii="Arial" w:hAnsi="Arial" w:cs="Arial"/>
                <w:sz w:val="20"/>
                <w:szCs w:val="20"/>
                <w:lang w:val="en-US" w:eastAsia="en-US"/>
              </w:rPr>
              <w:t>6</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3</w:t>
            </w:r>
            <w:r>
              <w:rPr>
                <w:rFonts w:ascii="Arial" w:hAnsi="Arial" w:cs="Arial"/>
                <w:sz w:val="20"/>
                <w:szCs w:val="20"/>
                <w:lang w:val="en-US" w:eastAsia="en-US"/>
              </w:rPr>
              <w:t>,</w:t>
            </w:r>
            <w:r w:rsidRPr="00603DB9">
              <w:rPr>
                <w:rFonts w:ascii="Arial" w:hAnsi="Arial" w:cs="Arial"/>
                <w:sz w:val="20"/>
                <w:szCs w:val="20"/>
                <w:lang w:val="en-US" w:eastAsia="en-US"/>
              </w:rPr>
              <w:t>7</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val="en-US" w:eastAsia="en-US"/>
              </w:rPr>
            </w:pPr>
            <w:r w:rsidRPr="00603DB9">
              <w:rPr>
                <w:rFonts w:ascii="Arial TUR" w:hAnsi="Arial TUR" w:cs="Arial TUR"/>
                <w:b/>
                <w:bCs/>
                <w:sz w:val="20"/>
                <w:szCs w:val="20"/>
                <w:lang w:val="en-US" w:eastAsia="en-US"/>
              </w:rPr>
              <w:t xml:space="preserve">    İthalat</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1</w:t>
            </w:r>
            <w:r>
              <w:rPr>
                <w:rFonts w:ascii="Arial" w:hAnsi="Arial" w:cs="Arial"/>
                <w:sz w:val="20"/>
                <w:szCs w:val="20"/>
                <w:lang w:val="en-US" w:eastAsia="en-US"/>
              </w:rPr>
              <w:t>,</w:t>
            </w:r>
            <w:r w:rsidRPr="00603DB9">
              <w:rPr>
                <w:rFonts w:ascii="Arial" w:hAnsi="Arial" w:cs="Arial"/>
                <w:sz w:val="20"/>
                <w:szCs w:val="20"/>
                <w:lang w:val="en-US" w:eastAsia="en-US"/>
              </w:rPr>
              <w:t>6</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-0</w:t>
            </w:r>
            <w:r>
              <w:rPr>
                <w:rFonts w:ascii="Arial" w:hAnsi="Arial" w:cs="Arial"/>
                <w:sz w:val="20"/>
                <w:szCs w:val="20"/>
                <w:lang w:val="en-US" w:eastAsia="en-US"/>
              </w:rPr>
              <w:t>,</w:t>
            </w:r>
            <w:r w:rsidRPr="00603DB9">
              <w:rPr>
                <w:rFonts w:ascii="Arial" w:hAnsi="Arial" w:cs="Arial"/>
                <w:sz w:val="20"/>
                <w:szCs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-0</w:t>
            </w:r>
            <w:r>
              <w:rPr>
                <w:rFonts w:ascii="Arial" w:hAnsi="Arial" w:cs="Arial"/>
                <w:sz w:val="20"/>
                <w:szCs w:val="20"/>
                <w:lang w:val="en-US" w:eastAsia="en-US"/>
              </w:rPr>
              <w:t>,</w:t>
            </w:r>
            <w:r w:rsidRPr="00603DB9">
              <w:rPr>
                <w:rFonts w:ascii="Arial" w:hAnsi="Arial" w:cs="Arial"/>
                <w:sz w:val="20"/>
                <w:szCs w:val="20"/>
                <w:lang w:val="en-US" w:eastAsia="en-US"/>
              </w:rPr>
              <w:t>5</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-0</w:t>
            </w:r>
            <w:r>
              <w:rPr>
                <w:rFonts w:ascii="Arial" w:hAnsi="Arial" w:cs="Arial"/>
                <w:sz w:val="20"/>
                <w:szCs w:val="20"/>
                <w:lang w:val="en-US" w:eastAsia="en-US"/>
              </w:rPr>
              <w:t>,</w:t>
            </w:r>
            <w:r w:rsidRPr="00603DB9">
              <w:rPr>
                <w:rFonts w:ascii="Arial" w:hAnsi="Arial" w:cs="Arial"/>
                <w:sz w:val="20"/>
                <w:szCs w:val="20"/>
                <w:lang w:val="en-US" w:eastAsia="en-US"/>
              </w:rPr>
              <w:t>8</w:t>
            </w:r>
          </w:p>
        </w:tc>
      </w:tr>
      <w:tr w:rsidR="00603DB9"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603DB9" w:rsidRDefault="00603DB9" w:rsidP="005267B9">
            <w:pPr>
              <w:rPr>
                <w:rFonts w:ascii="Arial TUR" w:hAnsi="Arial TUR" w:cs="Arial TUR"/>
                <w:b/>
                <w:bCs/>
                <w:sz w:val="20"/>
                <w:szCs w:val="20"/>
                <w:lang w:val="en-US" w:eastAsia="en-US"/>
              </w:rPr>
            </w:pPr>
            <w:r w:rsidRPr="00603DB9">
              <w:rPr>
                <w:rFonts w:ascii="Arial TUR" w:hAnsi="Arial TUR" w:cs="Arial TUR"/>
                <w:b/>
                <w:bCs/>
                <w:sz w:val="20"/>
                <w:szCs w:val="20"/>
                <w:lang w:val="en-US" w:eastAsia="en-US"/>
              </w:rPr>
              <w:t>Toplam</w:t>
            </w:r>
          </w:p>
        </w:tc>
        <w:tc>
          <w:tcPr>
            <w:tcW w:w="11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3</w:t>
            </w:r>
            <w:r>
              <w:rPr>
                <w:rFonts w:ascii="Arial" w:hAnsi="Arial" w:cs="Arial"/>
                <w:sz w:val="20"/>
                <w:szCs w:val="20"/>
                <w:lang w:val="en-US" w:eastAsia="en-US"/>
              </w:rPr>
              <w:t>,</w:t>
            </w:r>
            <w:r w:rsidRPr="00603DB9">
              <w:rPr>
                <w:rFonts w:ascii="Arial" w:hAnsi="Arial" w:cs="Arial"/>
                <w:sz w:val="20"/>
                <w:szCs w:val="20"/>
                <w:lang w:val="en-US" w:eastAsia="en-US"/>
              </w:rPr>
              <w:t>3</w:t>
            </w:r>
          </w:p>
        </w:tc>
        <w:tc>
          <w:tcPr>
            <w:tcW w:w="94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2</w:t>
            </w:r>
            <w:r>
              <w:rPr>
                <w:rFonts w:ascii="Arial" w:hAnsi="Arial" w:cs="Arial"/>
                <w:sz w:val="20"/>
                <w:szCs w:val="20"/>
                <w:lang w:val="en-US" w:eastAsia="en-US"/>
              </w:rPr>
              <w:t>,</w:t>
            </w:r>
            <w:r w:rsidRPr="00603DB9">
              <w:rPr>
                <w:rFonts w:ascii="Arial" w:hAnsi="Arial" w:cs="Arial"/>
                <w:sz w:val="20"/>
                <w:szCs w:val="20"/>
                <w:lang w:val="en-US" w:eastAsia="en-US"/>
              </w:rPr>
              <w:t>9</w:t>
            </w:r>
          </w:p>
        </w:tc>
        <w:tc>
          <w:tcPr>
            <w:tcW w:w="96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1</w:t>
            </w:r>
            <w:r>
              <w:rPr>
                <w:rFonts w:ascii="Arial" w:hAnsi="Arial" w:cs="Arial"/>
                <w:sz w:val="20"/>
                <w:szCs w:val="20"/>
                <w:lang w:val="en-US" w:eastAsia="en-US"/>
              </w:rPr>
              <w:t>,</w:t>
            </w:r>
            <w:r w:rsidRPr="00603DB9">
              <w:rPr>
                <w:rFonts w:ascii="Arial" w:hAnsi="Arial" w:cs="Arial"/>
                <w:sz w:val="20"/>
                <w:szCs w:val="20"/>
                <w:lang w:val="en-US" w:eastAsia="en-US"/>
              </w:rPr>
              <w:t>6</w:t>
            </w:r>
          </w:p>
        </w:tc>
        <w:tc>
          <w:tcPr>
            <w:tcW w:w="1080" w:type="dxa"/>
            <w:tcBorders>
              <w:top w:val="nil"/>
              <w:left w:val="nil"/>
              <w:bottom w:val="single" w:sz="4" w:space="0" w:color="auto"/>
              <w:right w:val="single" w:sz="4" w:space="0" w:color="auto"/>
            </w:tcBorders>
            <w:shd w:val="clear" w:color="auto" w:fill="auto"/>
            <w:noWrap/>
            <w:vAlign w:val="bottom"/>
          </w:tcPr>
          <w:p w:rsidR="00603DB9" w:rsidRPr="00603DB9" w:rsidRDefault="00603DB9" w:rsidP="005267B9">
            <w:pPr>
              <w:jc w:val="right"/>
              <w:rPr>
                <w:rFonts w:ascii="Arial" w:hAnsi="Arial" w:cs="Arial"/>
                <w:sz w:val="20"/>
                <w:szCs w:val="20"/>
                <w:lang w:val="en-US" w:eastAsia="en-US"/>
              </w:rPr>
            </w:pPr>
            <w:r w:rsidRPr="00603DB9">
              <w:rPr>
                <w:rFonts w:ascii="Arial" w:hAnsi="Arial" w:cs="Arial"/>
                <w:sz w:val="20"/>
                <w:szCs w:val="20"/>
                <w:lang w:val="en-US" w:eastAsia="en-US"/>
              </w:rPr>
              <w:t>1</w:t>
            </w:r>
            <w:r>
              <w:rPr>
                <w:rFonts w:ascii="Arial" w:hAnsi="Arial" w:cs="Arial"/>
                <w:sz w:val="20"/>
                <w:szCs w:val="20"/>
                <w:lang w:val="en-US" w:eastAsia="en-US"/>
              </w:rPr>
              <w:t>,</w:t>
            </w:r>
            <w:r w:rsidRPr="00603DB9">
              <w:rPr>
                <w:rFonts w:ascii="Arial" w:hAnsi="Arial" w:cs="Arial"/>
                <w:sz w:val="20"/>
                <w:szCs w:val="20"/>
                <w:lang w:val="en-US" w:eastAsia="en-US"/>
              </w:rPr>
              <w:t>4</w:t>
            </w:r>
          </w:p>
        </w:tc>
      </w:tr>
    </w:tbl>
    <w:p w:rsidR="00EF6749" w:rsidRDefault="002B7DE6" w:rsidP="00C335E9">
      <w:pPr>
        <w:pStyle w:val="NormalWeb"/>
        <w:spacing w:before="0" w:beforeAutospacing="0" w:after="0" w:afterAutospacing="0"/>
        <w:ind w:right="77"/>
        <w:rPr>
          <w:sz w:val="18"/>
          <w:szCs w:val="18"/>
        </w:rPr>
      </w:pPr>
      <w:r w:rsidRPr="002B7DE6">
        <w:rPr>
          <w:sz w:val="18"/>
          <w:szCs w:val="18"/>
        </w:rPr>
        <w:t>Kaynak: TÜİK.</w:t>
      </w:r>
    </w:p>
    <w:p w:rsidR="002B7DE6" w:rsidRPr="002B7DE6" w:rsidRDefault="002B7DE6" w:rsidP="00C335E9">
      <w:pPr>
        <w:pStyle w:val="NormalWeb"/>
        <w:spacing w:before="0" w:beforeAutospacing="0" w:after="0" w:afterAutospacing="0"/>
        <w:ind w:right="77"/>
        <w:rPr>
          <w:sz w:val="18"/>
          <w:szCs w:val="18"/>
        </w:rPr>
      </w:pPr>
    </w:p>
    <w:p w:rsidR="00EF6749" w:rsidRDefault="00603DB9" w:rsidP="002B7DE6">
      <w:pPr>
        <w:pStyle w:val="NormalWeb"/>
        <w:spacing w:before="0" w:beforeAutospacing="0" w:after="0" w:afterAutospacing="0" w:line="276" w:lineRule="auto"/>
        <w:ind w:right="77"/>
        <w:rPr>
          <w:b/>
          <w:sz w:val="22"/>
          <w:szCs w:val="22"/>
        </w:rPr>
      </w:pPr>
      <w:r>
        <w:rPr>
          <w:b/>
          <w:sz w:val="22"/>
          <w:szCs w:val="22"/>
        </w:rPr>
        <w:t>Tablo 2.</w:t>
      </w:r>
      <w:r w:rsidR="00AE40FB">
        <w:rPr>
          <w:b/>
          <w:sz w:val="22"/>
          <w:szCs w:val="22"/>
        </w:rPr>
        <w:t xml:space="preserve"> 2012’de</w:t>
      </w:r>
      <w:r>
        <w:rPr>
          <w:b/>
          <w:sz w:val="22"/>
          <w:szCs w:val="22"/>
        </w:rPr>
        <w:t xml:space="preserve"> </w:t>
      </w:r>
      <w:r w:rsidR="00AE40FB">
        <w:rPr>
          <w:b/>
          <w:sz w:val="22"/>
          <w:szCs w:val="22"/>
        </w:rPr>
        <w:t>ç</w:t>
      </w:r>
      <w:r>
        <w:rPr>
          <w:b/>
          <w:sz w:val="22"/>
          <w:szCs w:val="22"/>
        </w:rPr>
        <w:t xml:space="preserve">eyrekler itibariyle </w:t>
      </w:r>
      <w:r w:rsidRPr="002B7DE6">
        <w:rPr>
          <w:b/>
          <w:sz w:val="22"/>
          <w:szCs w:val="22"/>
          <w:u w:val="single"/>
        </w:rPr>
        <w:t>bir önceki çeyreğe</w:t>
      </w:r>
      <w:r>
        <w:rPr>
          <w:b/>
          <w:sz w:val="22"/>
          <w:szCs w:val="22"/>
        </w:rPr>
        <w:t xml:space="preserve"> göre</w:t>
      </w:r>
      <w:r w:rsidRPr="00603DB9">
        <w:rPr>
          <w:b/>
          <w:sz w:val="22"/>
          <w:szCs w:val="22"/>
        </w:rPr>
        <w:t xml:space="preserve"> altkalemlerin katkı</w:t>
      </w:r>
      <w:r>
        <w:rPr>
          <w:b/>
          <w:sz w:val="22"/>
          <w:szCs w:val="22"/>
        </w:rPr>
        <w:t>ları ve toplam büyümeler.</w:t>
      </w:r>
    </w:p>
    <w:tbl>
      <w:tblPr>
        <w:tblW w:w="7140" w:type="dxa"/>
        <w:tblInd w:w="103" w:type="dxa"/>
        <w:tblLook w:val="04A0"/>
      </w:tblPr>
      <w:tblGrid>
        <w:gridCol w:w="2980"/>
        <w:gridCol w:w="1180"/>
        <w:gridCol w:w="940"/>
        <w:gridCol w:w="960"/>
        <w:gridCol w:w="1080"/>
      </w:tblGrid>
      <w:tr w:rsidR="00603DB9" w:rsidRPr="00EF6749">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jc w:val="center"/>
              <w:rPr>
                <w:rFonts w:ascii="Arial TUR" w:hAnsi="Arial TUR" w:cs="Arial TUR"/>
                <w:b/>
                <w:bCs/>
                <w:sz w:val="20"/>
                <w:szCs w:val="20"/>
                <w:lang w:val="en-US" w:eastAsia="en-US"/>
              </w:rPr>
            </w:pPr>
            <w:r w:rsidRPr="00EF6749">
              <w:rPr>
                <w:rFonts w:ascii="Arial TUR" w:hAnsi="Arial TUR" w:cs="Arial TUR"/>
                <w:b/>
                <w:bCs/>
                <w:sz w:val="20"/>
                <w:szCs w:val="20"/>
                <w:lang w:val="en-US" w:eastAsia="en-US"/>
              </w:rPr>
              <w:t>2012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5267B9">
            <w:pPr>
              <w:jc w:val="center"/>
              <w:rPr>
                <w:rFonts w:ascii="Arial TUR" w:hAnsi="Arial TUR" w:cs="Arial TUR"/>
                <w:b/>
                <w:bCs/>
                <w:sz w:val="20"/>
                <w:szCs w:val="20"/>
                <w:lang w:val="en-US" w:eastAsia="en-US"/>
              </w:rPr>
            </w:pPr>
            <w:r w:rsidRPr="00EF6749">
              <w:rPr>
                <w:rFonts w:ascii="Arial TUR" w:hAnsi="Arial TUR" w:cs="Arial TUR"/>
                <w:b/>
                <w:bCs/>
                <w:sz w:val="20"/>
                <w:szCs w:val="20"/>
                <w:lang w:val="en-US" w:eastAsia="en-US"/>
              </w:rPr>
              <w:t>1.Ç.</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5267B9">
            <w:pPr>
              <w:jc w:val="center"/>
              <w:rPr>
                <w:rFonts w:ascii="Arial TUR" w:hAnsi="Arial TUR" w:cs="Arial TUR"/>
                <w:b/>
                <w:bCs/>
                <w:sz w:val="20"/>
                <w:szCs w:val="20"/>
                <w:lang w:val="en-US" w:eastAsia="en-US"/>
              </w:rPr>
            </w:pPr>
            <w:r w:rsidRPr="00EF6749">
              <w:rPr>
                <w:rFonts w:ascii="Arial TUR" w:hAnsi="Arial TUR" w:cs="Arial TUR"/>
                <w:b/>
                <w:bCs/>
                <w:sz w:val="20"/>
                <w:szCs w:val="20"/>
                <w:lang w:val="en-US" w:eastAsia="en-US"/>
              </w:rPr>
              <w:t xml:space="preserve">2.Ç.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5267B9">
            <w:pPr>
              <w:jc w:val="center"/>
              <w:rPr>
                <w:rFonts w:ascii="Arial" w:hAnsi="Arial" w:cs="Arial"/>
                <w:b/>
                <w:bCs/>
                <w:sz w:val="20"/>
                <w:szCs w:val="20"/>
                <w:lang w:val="en-US" w:eastAsia="en-US"/>
              </w:rPr>
            </w:pPr>
            <w:r w:rsidRPr="00EF6749">
              <w:rPr>
                <w:rFonts w:ascii="Arial" w:hAnsi="Arial" w:cs="Arial"/>
                <w:b/>
                <w:bCs/>
                <w:sz w:val="20"/>
                <w:szCs w:val="20"/>
                <w:lang w:val="en-US" w:eastAsia="en-US"/>
              </w:rPr>
              <w:t>3.Ç.</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5267B9">
            <w:pPr>
              <w:jc w:val="center"/>
              <w:rPr>
                <w:rFonts w:ascii="Arial" w:hAnsi="Arial" w:cs="Arial"/>
                <w:b/>
                <w:bCs/>
                <w:sz w:val="20"/>
                <w:szCs w:val="20"/>
                <w:lang w:val="en-US" w:eastAsia="en-US"/>
              </w:rPr>
            </w:pPr>
            <w:r w:rsidRPr="00EF6749">
              <w:rPr>
                <w:rFonts w:ascii="Arial" w:hAnsi="Arial" w:cs="Arial"/>
                <w:b/>
                <w:bCs/>
                <w:sz w:val="20"/>
                <w:szCs w:val="20"/>
                <w:lang w:val="en-US" w:eastAsia="en-US"/>
              </w:rPr>
              <w:t>4.Ç.</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Tüketim</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7</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2</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5</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Özel Yatırım</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4</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4</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4</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Kamu Harcamaları</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4</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4</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4</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Stok Değişimi</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1</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7</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1</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Net İhracat</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5</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5</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5</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 xml:space="preserve">    İhracat</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5</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2</w:t>
            </w:r>
            <w:r>
              <w:rPr>
                <w:rFonts w:ascii="Arial" w:hAnsi="Arial" w:cs="Arial"/>
                <w:sz w:val="20"/>
                <w:szCs w:val="20"/>
                <w:lang w:val="en-US" w:eastAsia="en-US"/>
              </w:rPr>
              <w:t>,</w:t>
            </w:r>
            <w:r w:rsidRPr="00EF6749">
              <w:rPr>
                <w:rFonts w:ascii="Arial" w:hAnsi="Arial" w:cs="Arial"/>
                <w:sz w:val="20"/>
                <w:szCs w:val="20"/>
                <w:lang w:val="en-US" w:eastAsia="en-US"/>
              </w:rPr>
              <w:t>2</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2</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4</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 xml:space="preserve">    İthalat</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-2</w:t>
            </w:r>
            <w:r>
              <w:rPr>
                <w:rFonts w:ascii="Arial" w:hAnsi="Arial" w:cs="Arial"/>
                <w:sz w:val="20"/>
                <w:szCs w:val="20"/>
                <w:lang w:val="en-US" w:eastAsia="en-US"/>
              </w:rPr>
              <w:t>,</w:t>
            </w:r>
            <w:r w:rsidRPr="00EF6749">
              <w:rPr>
                <w:rFonts w:ascii="Arial" w:hAnsi="Arial" w:cs="Arial"/>
                <w:sz w:val="20"/>
                <w:szCs w:val="20"/>
                <w:lang w:val="en-US" w:eastAsia="en-US"/>
              </w:rPr>
              <w:t>0</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7</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7</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1</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Toplam</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6</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2</w:t>
            </w:r>
            <w:r>
              <w:rPr>
                <w:rFonts w:ascii="Arial" w:hAnsi="Arial" w:cs="Arial"/>
                <w:sz w:val="20"/>
                <w:szCs w:val="20"/>
                <w:lang w:val="en-US" w:eastAsia="en-US"/>
              </w:rPr>
              <w:t>,</w:t>
            </w:r>
            <w:r w:rsidRPr="00EF6749">
              <w:rPr>
                <w:rFonts w:ascii="Arial" w:hAnsi="Arial" w:cs="Arial"/>
                <w:sz w:val="20"/>
                <w:szCs w:val="20"/>
                <w:lang w:val="en-US" w:eastAsia="en-US"/>
              </w:rPr>
              <w:t>2</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0</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9</w:t>
            </w:r>
          </w:p>
        </w:tc>
      </w:tr>
      <w:tr w:rsidR="00603DB9"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603DB9" w:rsidRPr="00EF6749" w:rsidRDefault="00603DB9" w:rsidP="005267B9">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TUIK Toplam</w:t>
            </w:r>
          </w:p>
        </w:tc>
        <w:tc>
          <w:tcPr>
            <w:tcW w:w="11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2</w:t>
            </w:r>
          </w:p>
        </w:tc>
        <w:tc>
          <w:tcPr>
            <w:tcW w:w="94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1</w:t>
            </w:r>
            <w:r>
              <w:rPr>
                <w:rFonts w:ascii="Arial" w:hAnsi="Arial" w:cs="Arial"/>
                <w:sz w:val="20"/>
                <w:szCs w:val="20"/>
                <w:lang w:val="en-US" w:eastAsia="en-US"/>
              </w:rPr>
              <w:t>,</w:t>
            </w:r>
            <w:r w:rsidRPr="00EF6749">
              <w:rPr>
                <w:rFonts w:ascii="Arial" w:hAnsi="Arial" w:cs="Arial"/>
                <w:sz w:val="20"/>
                <w:szCs w:val="2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1</w:t>
            </w:r>
          </w:p>
        </w:tc>
        <w:tc>
          <w:tcPr>
            <w:tcW w:w="1080" w:type="dxa"/>
            <w:tcBorders>
              <w:top w:val="nil"/>
              <w:left w:val="nil"/>
              <w:bottom w:val="single" w:sz="4" w:space="0" w:color="auto"/>
              <w:right w:val="single" w:sz="4" w:space="0" w:color="auto"/>
            </w:tcBorders>
            <w:shd w:val="clear" w:color="auto" w:fill="auto"/>
            <w:noWrap/>
            <w:vAlign w:val="bottom"/>
          </w:tcPr>
          <w:p w:rsidR="00603DB9" w:rsidRPr="00EF6749" w:rsidRDefault="00603DB9" w:rsidP="005267B9">
            <w:pPr>
              <w:jc w:val="right"/>
              <w:rPr>
                <w:rFonts w:ascii="Arial" w:hAnsi="Arial" w:cs="Arial"/>
                <w:sz w:val="20"/>
                <w:szCs w:val="20"/>
                <w:lang w:val="en-US" w:eastAsia="en-US"/>
              </w:rPr>
            </w:pPr>
            <w:r w:rsidRPr="00EF6749">
              <w:rPr>
                <w:rFonts w:ascii="Arial" w:hAnsi="Arial" w:cs="Arial"/>
                <w:sz w:val="20"/>
                <w:szCs w:val="20"/>
                <w:lang w:val="en-US" w:eastAsia="en-US"/>
              </w:rPr>
              <w:t>0</w:t>
            </w:r>
            <w:r>
              <w:rPr>
                <w:rFonts w:ascii="Arial" w:hAnsi="Arial" w:cs="Arial"/>
                <w:sz w:val="20"/>
                <w:szCs w:val="20"/>
                <w:lang w:val="en-US" w:eastAsia="en-US"/>
              </w:rPr>
              <w:t>,</w:t>
            </w:r>
            <w:r w:rsidRPr="00EF6749">
              <w:rPr>
                <w:rFonts w:ascii="Arial" w:hAnsi="Arial" w:cs="Arial"/>
                <w:sz w:val="20"/>
                <w:szCs w:val="20"/>
                <w:lang w:val="en-US" w:eastAsia="en-US"/>
              </w:rPr>
              <w:t>0</w:t>
            </w:r>
          </w:p>
        </w:tc>
      </w:tr>
    </w:tbl>
    <w:p w:rsidR="002B7DE6" w:rsidRDefault="002B7DE6" w:rsidP="002B7DE6">
      <w:pPr>
        <w:pStyle w:val="NormalWeb"/>
        <w:spacing w:before="0" w:beforeAutospacing="0" w:after="0" w:afterAutospacing="0"/>
        <w:ind w:right="77"/>
        <w:rPr>
          <w:sz w:val="18"/>
          <w:szCs w:val="18"/>
        </w:rPr>
      </w:pPr>
      <w:r>
        <w:rPr>
          <w:sz w:val="18"/>
          <w:szCs w:val="18"/>
        </w:rPr>
        <w:t xml:space="preserve">Kaynak: TÜİK, Betam. </w:t>
      </w:r>
      <w:r w:rsidRPr="002B7DE6">
        <w:rPr>
          <w:sz w:val="18"/>
          <w:szCs w:val="18"/>
        </w:rPr>
        <w:t>Çeyreklik göstergeler mevsim ve takvim etkisinden arındırılmıştır.</w:t>
      </w:r>
    </w:p>
    <w:p w:rsidR="00603DB9" w:rsidRDefault="00603DB9" w:rsidP="00C335E9">
      <w:pPr>
        <w:pStyle w:val="NormalWeb"/>
        <w:spacing w:before="0" w:beforeAutospacing="0" w:after="0" w:afterAutospacing="0"/>
        <w:ind w:right="77"/>
        <w:rPr>
          <w:b/>
          <w:sz w:val="22"/>
          <w:szCs w:val="22"/>
        </w:rPr>
      </w:pPr>
    </w:p>
    <w:p w:rsidR="002B7DE6" w:rsidRDefault="002B7DE6" w:rsidP="00C335E9">
      <w:pPr>
        <w:pStyle w:val="NormalWeb"/>
        <w:spacing w:before="0" w:beforeAutospacing="0" w:after="0" w:afterAutospacing="0"/>
        <w:ind w:right="77"/>
        <w:rPr>
          <w:b/>
          <w:sz w:val="22"/>
          <w:szCs w:val="22"/>
        </w:rPr>
        <w:sectPr w:rsidR="002B7DE6" w:rsidSect="00EF6749">
          <w:type w:val="continuous"/>
          <w:pgSz w:w="11906" w:h="16838"/>
          <w:pgMar w:top="1417" w:right="1106" w:bottom="1417" w:left="900" w:header="708" w:footer="708" w:gutter="0"/>
          <w:cols w:space="386"/>
          <w:docGrid w:linePitch="360"/>
        </w:sectPr>
      </w:pPr>
    </w:p>
    <w:p w:rsidR="002B7DE6" w:rsidRDefault="002B7DE6" w:rsidP="00C335E9">
      <w:pPr>
        <w:pStyle w:val="NormalWeb"/>
        <w:spacing w:before="0" w:beforeAutospacing="0" w:after="0" w:afterAutospacing="0"/>
        <w:ind w:right="77"/>
        <w:rPr>
          <w:b/>
          <w:sz w:val="22"/>
          <w:szCs w:val="22"/>
        </w:rPr>
      </w:pPr>
    </w:p>
    <w:p w:rsidR="00603DB9" w:rsidRDefault="00603DB9" w:rsidP="002B7DE6">
      <w:pPr>
        <w:pStyle w:val="NormalWeb"/>
        <w:spacing w:before="0" w:beforeAutospacing="0" w:after="0" w:afterAutospacing="0" w:line="276" w:lineRule="auto"/>
        <w:ind w:right="77"/>
        <w:rPr>
          <w:b/>
          <w:sz w:val="22"/>
          <w:szCs w:val="22"/>
        </w:rPr>
      </w:pPr>
      <w:r>
        <w:rPr>
          <w:b/>
          <w:sz w:val="22"/>
          <w:szCs w:val="22"/>
        </w:rPr>
        <w:t>Tablo 3</w:t>
      </w:r>
      <w:r w:rsidR="00E333BE">
        <w:rPr>
          <w:b/>
          <w:sz w:val="22"/>
          <w:szCs w:val="22"/>
        </w:rPr>
        <w:t xml:space="preserve">. </w:t>
      </w:r>
      <w:r>
        <w:rPr>
          <w:b/>
          <w:sz w:val="22"/>
          <w:szCs w:val="22"/>
        </w:rPr>
        <w:t xml:space="preserve">2012 ve 2011’de GSYH altkalemlerinin </w:t>
      </w:r>
      <w:r w:rsidRPr="00002CEE">
        <w:rPr>
          <w:b/>
          <w:sz w:val="22"/>
          <w:szCs w:val="22"/>
          <w:u w:val="single"/>
        </w:rPr>
        <w:t xml:space="preserve">yıllık </w:t>
      </w:r>
      <w:r>
        <w:rPr>
          <w:b/>
          <w:sz w:val="22"/>
          <w:szCs w:val="22"/>
        </w:rPr>
        <w:t>değişimleri ve büyümeye katkıları</w:t>
      </w:r>
    </w:p>
    <w:tbl>
      <w:tblPr>
        <w:tblW w:w="4500" w:type="dxa"/>
        <w:tblInd w:w="70" w:type="dxa"/>
        <w:tblLayout w:type="fixed"/>
        <w:tblCellMar>
          <w:left w:w="70" w:type="dxa"/>
          <w:right w:w="70" w:type="dxa"/>
        </w:tblCellMar>
        <w:tblLook w:val="0000"/>
      </w:tblPr>
      <w:tblGrid>
        <w:gridCol w:w="1980"/>
        <w:gridCol w:w="1260"/>
        <w:gridCol w:w="1260"/>
      </w:tblGrid>
      <w:tr w:rsidR="00A75D44">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D44" w:rsidRDefault="00603DB9" w:rsidP="00603DB9">
            <w:pPr>
              <w:rPr>
                <w:rFonts w:ascii="Arial TUR" w:hAnsi="Arial TUR" w:cs="Arial TUR"/>
                <w:b/>
                <w:bCs/>
                <w:sz w:val="20"/>
                <w:szCs w:val="20"/>
              </w:rPr>
            </w:pPr>
            <w:r>
              <w:rPr>
                <w:rFonts w:ascii="Arial TUR" w:hAnsi="Arial TUR" w:cs="Arial TUR"/>
                <w:b/>
                <w:bCs/>
                <w:sz w:val="20"/>
                <w:szCs w:val="20"/>
              </w:rPr>
              <w:t>2012</w:t>
            </w:r>
            <w:r w:rsidR="00DB1158">
              <w:rPr>
                <w:rFonts w:ascii="Arial TUR" w:hAnsi="Arial TUR" w:cs="Arial TUR"/>
                <w:b/>
                <w:bCs/>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75D44" w:rsidRDefault="00A75D44" w:rsidP="00DE1039">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75D44" w:rsidRDefault="00A75D44" w:rsidP="00DE1039">
            <w:pPr>
              <w:jc w:val="center"/>
              <w:rPr>
                <w:rFonts w:ascii="Arial TUR" w:hAnsi="Arial TUR" w:cs="Arial TUR"/>
                <w:b/>
                <w:bCs/>
                <w:sz w:val="20"/>
                <w:szCs w:val="20"/>
              </w:rPr>
            </w:pPr>
            <w:r>
              <w:rPr>
                <w:rFonts w:ascii="Arial TUR" w:hAnsi="Arial TUR" w:cs="Arial TUR"/>
                <w:b/>
                <w:bCs/>
                <w:sz w:val="20"/>
                <w:szCs w:val="20"/>
              </w:rPr>
              <w:t>Katkılar</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-0,7</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-0,5</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-4,5</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-1,0</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6,6</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0,9</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-1,3</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17,2</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4,1</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0,0</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0,0</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DE1039">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DE1039">
            <w:pPr>
              <w:rPr>
                <w:rFonts w:ascii="Arial" w:hAnsi="Arial" w:cs="Arial"/>
                <w:sz w:val="20"/>
                <w:szCs w:val="20"/>
              </w:rPr>
            </w:pPr>
            <w:r>
              <w:rPr>
                <w:rFonts w:ascii="Arial" w:hAnsi="Arial" w:cs="Arial"/>
                <w:sz w:val="20"/>
                <w:szCs w:val="20"/>
              </w:rPr>
              <w:t> </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603DB9">
            <w:pPr>
              <w:rPr>
                <w:rFonts w:ascii="Arial TUR" w:hAnsi="Arial TUR" w:cs="Arial TUR"/>
                <w:b/>
                <w:bCs/>
                <w:sz w:val="20"/>
                <w:szCs w:val="20"/>
              </w:rPr>
            </w:pPr>
            <w:r>
              <w:rPr>
                <w:rFonts w:ascii="Arial TUR" w:hAnsi="Arial TUR" w:cs="Arial TUR"/>
                <w:b/>
                <w:bCs/>
                <w:sz w:val="20"/>
                <w:szCs w:val="20"/>
              </w:rPr>
              <w:t xml:space="preserve">2011 </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DE1039">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DE1039">
            <w:pPr>
              <w:jc w:val="center"/>
              <w:rPr>
                <w:rFonts w:ascii="Arial TUR" w:hAnsi="Arial TUR" w:cs="Arial TUR"/>
                <w:b/>
                <w:bCs/>
                <w:sz w:val="20"/>
                <w:szCs w:val="20"/>
              </w:rPr>
            </w:pPr>
            <w:r>
              <w:rPr>
                <w:rFonts w:ascii="Arial TUR" w:hAnsi="Arial TUR" w:cs="Arial TUR"/>
                <w:b/>
                <w:bCs/>
                <w:sz w:val="20"/>
                <w:szCs w:val="20"/>
              </w:rPr>
              <w:t>Katkılar</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7,7</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5,3</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22,3</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4,4</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2,7</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0,4</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-0,2</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7,9</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1,9</w:t>
            </w:r>
          </w:p>
        </w:tc>
      </w:tr>
      <w:tr w:rsidR="002040C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040C5" w:rsidRDefault="002040C5" w:rsidP="00DE1039">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10,7</w:t>
            </w:r>
          </w:p>
        </w:tc>
        <w:tc>
          <w:tcPr>
            <w:tcW w:w="1260" w:type="dxa"/>
            <w:tcBorders>
              <w:top w:val="nil"/>
              <w:left w:val="nil"/>
              <w:bottom w:val="single" w:sz="4" w:space="0" w:color="auto"/>
              <w:right w:val="single" w:sz="4" w:space="0" w:color="auto"/>
            </w:tcBorders>
            <w:shd w:val="clear" w:color="auto" w:fill="auto"/>
            <w:noWrap/>
            <w:vAlign w:val="bottom"/>
          </w:tcPr>
          <w:p w:rsidR="002040C5" w:rsidRDefault="002040C5" w:rsidP="004A7B45">
            <w:pPr>
              <w:jc w:val="right"/>
              <w:rPr>
                <w:rFonts w:ascii="Arial" w:hAnsi="Arial" w:cs="Arial"/>
                <w:sz w:val="20"/>
                <w:szCs w:val="20"/>
              </w:rPr>
            </w:pPr>
            <w:r>
              <w:rPr>
                <w:rFonts w:ascii="Arial" w:hAnsi="Arial" w:cs="Arial"/>
                <w:sz w:val="20"/>
                <w:szCs w:val="20"/>
              </w:rPr>
              <w:t>-3,0</w:t>
            </w:r>
          </w:p>
        </w:tc>
      </w:tr>
    </w:tbl>
    <w:p w:rsidR="00C6738C" w:rsidRDefault="002B7DE6" w:rsidP="00C335E9">
      <w:pPr>
        <w:pStyle w:val="NormalWeb"/>
        <w:spacing w:before="0" w:beforeAutospacing="0" w:after="0" w:afterAutospacing="0"/>
        <w:ind w:right="77"/>
        <w:rPr>
          <w:b/>
          <w:sz w:val="22"/>
          <w:szCs w:val="22"/>
        </w:rPr>
      </w:pPr>
      <w:r>
        <w:rPr>
          <w:sz w:val="18"/>
          <w:szCs w:val="18"/>
        </w:rPr>
        <w:t>Kaynak: TÜİK.</w:t>
      </w:r>
    </w:p>
    <w:p w:rsidR="002B7DE6" w:rsidRDefault="002B7DE6" w:rsidP="00C335E9">
      <w:pPr>
        <w:pStyle w:val="NormalWeb"/>
        <w:spacing w:before="0" w:beforeAutospacing="0" w:after="0" w:afterAutospacing="0"/>
        <w:ind w:right="77"/>
        <w:rPr>
          <w:b/>
          <w:sz w:val="22"/>
          <w:szCs w:val="22"/>
        </w:rPr>
      </w:pPr>
    </w:p>
    <w:p w:rsidR="002B7DE6" w:rsidRDefault="002B7DE6" w:rsidP="002B7DE6">
      <w:pPr>
        <w:pStyle w:val="NormalWeb"/>
        <w:spacing w:before="0" w:beforeAutospacing="0" w:after="0" w:afterAutospacing="0" w:line="276" w:lineRule="auto"/>
        <w:ind w:right="77"/>
        <w:rPr>
          <w:b/>
          <w:sz w:val="22"/>
          <w:szCs w:val="22"/>
        </w:rPr>
      </w:pPr>
    </w:p>
    <w:p w:rsidR="002B7DE6" w:rsidRDefault="002B7DE6" w:rsidP="002B7DE6">
      <w:pPr>
        <w:pStyle w:val="NormalWeb"/>
        <w:spacing w:before="0" w:beforeAutospacing="0" w:after="0" w:afterAutospacing="0" w:line="276" w:lineRule="auto"/>
        <w:ind w:right="77"/>
        <w:rPr>
          <w:b/>
          <w:sz w:val="22"/>
          <w:szCs w:val="22"/>
        </w:rPr>
      </w:pPr>
    </w:p>
    <w:p w:rsidR="002B7DE6" w:rsidRDefault="002B7DE6" w:rsidP="002B7DE6">
      <w:pPr>
        <w:pStyle w:val="NormalWeb"/>
        <w:spacing w:before="0" w:beforeAutospacing="0" w:after="0" w:afterAutospacing="0" w:line="276" w:lineRule="auto"/>
        <w:ind w:right="77"/>
        <w:rPr>
          <w:b/>
          <w:sz w:val="22"/>
          <w:szCs w:val="22"/>
        </w:rPr>
      </w:pPr>
    </w:p>
    <w:p w:rsidR="00603DB9" w:rsidRDefault="00603DB9" w:rsidP="002B7DE6">
      <w:pPr>
        <w:pStyle w:val="NormalWeb"/>
        <w:spacing w:before="0" w:beforeAutospacing="0" w:after="0" w:afterAutospacing="0" w:line="276" w:lineRule="auto"/>
        <w:ind w:right="77"/>
        <w:rPr>
          <w:b/>
          <w:sz w:val="22"/>
          <w:szCs w:val="22"/>
        </w:rPr>
      </w:pPr>
      <w:r>
        <w:rPr>
          <w:b/>
          <w:sz w:val="22"/>
          <w:szCs w:val="22"/>
        </w:rPr>
        <w:t>Tablo 4</w:t>
      </w:r>
      <w:r w:rsidR="00C258F7">
        <w:rPr>
          <w:b/>
          <w:sz w:val="22"/>
          <w:szCs w:val="22"/>
        </w:rPr>
        <w:t xml:space="preserve">. </w:t>
      </w:r>
      <w:r>
        <w:rPr>
          <w:b/>
          <w:sz w:val="22"/>
          <w:szCs w:val="22"/>
        </w:rPr>
        <w:t xml:space="preserve">2012 4. çeyrekte ve 3. çeyrekte GSYH altkalemlerinin, </w:t>
      </w:r>
      <w:r w:rsidRPr="00002CEE">
        <w:rPr>
          <w:b/>
          <w:sz w:val="22"/>
          <w:szCs w:val="22"/>
          <w:u w:val="single"/>
        </w:rPr>
        <w:t>bir önceki çeyreğe</w:t>
      </w:r>
      <w:r>
        <w:rPr>
          <w:b/>
          <w:sz w:val="22"/>
          <w:szCs w:val="22"/>
        </w:rPr>
        <w:t xml:space="preserve"> göre değişimleri ve büyümeye katkıları</w:t>
      </w:r>
    </w:p>
    <w:tbl>
      <w:tblPr>
        <w:tblW w:w="4500" w:type="dxa"/>
        <w:tblInd w:w="70" w:type="dxa"/>
        <w:tblLayout w:type="fixed"/>
        <w:tblCellMar>
          <w:left w:w="70" w:type="dxa"/>
          <w:right w:w="70" w:type="dxa"/>
        </w:tblCellMar>
        <w:tblLook w:val="0000"/>
      </w:tblPr>
      <w:tblGrid>
        <w:gridCol w:w="1980"/>
        <w:gridCol w:w="1260"/>
        <w:gridCol w:w="1260"/>
      </w:tblGrid>
      <w:tr w:rsidR="00C258F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201</w:t>
            </w:r>
            <w:r w:rsidR="002040C5">
              <w:rPr>
                <w:rFonts w:ascii="Arial TUR" w:hAnsi="Arial TUR" w:cs="Arial TUR"/>
                <w:b/>
                <w:bCs/>
                <w:sz w:val="20"/>
                <w:szCs w:val="20"/>
              </w:rPr>
              <w:t>2-Q4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258F7" w:rsidRDefault="00C258F7" w:rsidP="00DE1039">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258F7" w:rsidRDefault="00C258F7" w:rsidP="00DE1039">
            <w:pPr>
              <w:jc w:val="center"/>
              <w:rPr>
                <w:rFonts w:ascii="Arial TUR" w:hAnsi="Arial TUR" w:cs="Arial TUR"/>
                <w:b/>
                <w:bCs/>
                <w:sz w:val="20"/>
                <w:szCs w:val="20"/>
              </w:rPr>
            </w:pPr>
            <w:r>
              <w:rPr>
                <w:rFonts w:ascii="Arial TUR" w:hAnsi="Arial TUR" w:cs="Arial TUR"/>
                <w:b/>
                <w:bCs/>
                <w:sz w:val="20"/>
                <w:szCs w:val="20"/>
              </w:rPr>
              <w:t>Katkılar</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-0,8</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-0,5</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-2,0</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-0,4</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3,0</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0,4</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-0,1</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1,3</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0,4</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-4,1</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1,1</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DE1039">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DE1039">
            <w:pPr>
              <w:rPr>
                <w:rFonts w:ascii="Arial" w:hAnsi="Arial" w:cs="Arial"/>
                <w:sz w:val="20"/>
                <w:szCs w:val="20"/>
              </w:rPr>
            </w:pPr>
            <w:r>
              <w:rPr>
                <w:rFonts w:ascii="Arial" w:hAnsi="Arial" w:cs="Arial"/>
                <w:sz w:val="20"/>
                <w:szCs w:val="20"/>
              </w:rPr>
              <w:t> </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201</w:t>
            </w:r>
            <w:r w:rsidR="002040C5">
              <w:rPr>
                <w:rFonts w:ascii="Arial TUR" w:hAnsi="Arial TUR" w:cs="Arial TUR"/>
                <w:b/>
                <w:bCs/>
                <w:sz w:val="20"/>
                <w:szCs w:val="20"/>
              </w:rPr>
              <w:t>2-Q3</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DE1039">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DE1039">
            <w:pPr>
              <w:jc w:val="center"/>
              <w:rPr>
                <w:rFonts w:ascii="Arial TUR" w:hAnsi="Arial TUR" w:cs="Arial TUR"/>
                <w:b/>
                <w:bCs/>
                <w:sz w:val="20"/>
                <w:szCs w:val="20"/>
              </w:rPr>
            </w:pPr>
            <w:r>
              <w:rPr>
                <w:rFonts w:ascii="Arial TUR" w:hAnsi="Arial TUR" w:cs="Arial TUR"/>
                <w:b/>
                <w:bCs/>
                <w:sz w:val="20"/>
                <w:szCs w:val="20"/>
              </w:rPr>
              <w:t>Katkılar</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1,8</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1,2</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-6,8</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-1,4</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2,8</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0,4</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-1,7</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-0,8</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-0,2</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-2,6</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603DB9" w:rsidP="00DE1039">
            <w:pPr>
              <w:jc w:val="right"/>
              <w:rPr>
                <w:rFonts w:ascii="Arial" w:hAnsi="Arial" w:cs="Arial"/>
                <w:sz w:val="20"/>
                <w:szCs w:val="20"/>
              </w:rPr>
            </w:pPr>
            <w:r>
              <w:rPr>
                <w:rFonts w:ascii="Arial" w:hAnsi="Arial" w:cs="Arial"/>
                <w:sz w:val="20"/>
                <w:szCs w:val="20"/>
              </w:rPr>
              <w:t>0,7</w:t>
            </w:r>
          </w:p>
        </w:tc>
      </w:tr>
    </w:tbl>
    <w:p w:rsidR="002B7DE6" w:rsidRDefault="002B7DE6" w:rsidP="002B7DE6">
      <w:pPr>
        <w:pStyle w:val="NormalWeb"/>
        <w:spacing w:before="0" w:beforeAutospacing="0" w:after="0" w:afterAutospacing="0"/>
        <w:ind w:right="77"/>
        <w:rPr>
          <w:sz w:val="18"/>
          <w:szCs w:val="18"/>
        </w:rPr>
      </w:pPr>
      <w:r>
        <w:rPr>
          <w:sz w:val="18"/>
          <w:szCs w:val="18"/>
        </w:rPr>
        <w:t xml:space="preserve">Kaynak: TÜİK, Betam. </w:t>
      </w:r>
      <w:r w:rsidRPr="002B7DE6">
        <w:rPr>
          <w:sz w:val="18"/>
          <w:szCs w:val="18"/>
        </w:rPr>
        <w:t>Çeyreklik göstergeler mevsim ve takvim etkisinden arındırılmıştır.</w:t>
      </w:r>
    </w:p>
    <w:p w:rsidR="00603DB9" w:rsidRDefault="002B7DE6" w:rsidP="00C335E9">
      <w:pPr>
        <w:pStyle w:val="NormalWeb"/>
        <w:spacing w:before="0" w:beforeAutospacing="0" w:after="0" w:afterAutospacing="0"/>
        <w:ind w:right="77"/>
        <w:rPr>
          <w:b/>
          <w:sz w:val="22"/>
          <w:szCs w:val="22"/>
        </w:rPr>
        <w:sectPr w:rsidR="00603DB9" w:rsidSect="00603DB9">
          <w:type w:val="continuous"/>
          <w:pgSz w:w="11906" w:h="16838"/>
          <w:pgMar w:top="1417" w:right="1106" w:bottom="1417" w:left="900" w:header="708" w:footer="708" w:gutter="0"/>
          <w:cols w:num="2" w:space="386"/>
          <w:docGrid w:linePitch="360"/>
        </w:sectPr>
      </w:pPr>
      <w:r>
        <w:rPr>
          <w:b/>
          <w:sz w:val="22"/>
          <w:szCs w:val="22"/>
        </w:rPr>
        <w:br/>
      </w:r>
    </w:p>
    <w:p w:rsidR="00C258F7" w:rsidRDefault="00C258F7" w:rsidP="00C335E9">
      <w:pPr>
        <w:pStyle w:val="NormalWeb"/>
        <w:spacing w:before="0" w:beforeAutospacing="0" w:after="0" w:afterAutospacing="0"/>
        <w:ind w:right="77"/>
        <w:rPr>
          <w:b/>
          <w:sz w:val="22"/>
          <w:szCs w:val="22"/>
        </w:rPr>
      </w:pPr>
    </w:p>
    <w:p w:rsidR="009F5135" w:rsidRDefault="009F5135" w:rsidP="00C335E9">
      <w:pPr>
        <w:pStyle w:val="NormalWeb"/>
        <w:spacing w:before="0" w:beforeAutospacing="0" w:after="0" w:afterAutospacing="0"/>
        <w:ind w:right="77"/>
        <w:rPr>
          <w:b/>
          <w:sz w:val="22"/>
          <w:szCs w:val="22"/>
        </w:rPr>
      </w:pPr>
    </w:p>
    <w:p w:rsidR="009F5135" w:rsidRDefault="009F5135" w:rsidP="00C335E9">
      <w:pPr>
        <w:pStyle w:val="NormalWeb"/>
        <w:spacing w:before="0" w:beforeAutospacing="0" w:after="0" w:afterAutospacing="0"/>
        <w:ind w:right="77"/>
        <w:rPr>
          <w:b/>
          <w:sz w:val="22"/>
          <w:szCs w:val="22"/>
        </w:rPr>
      </w:pPr>
    </w:p>
    <w:p w:rsidR="00603DB9" w:rsidRDefault="00603DB9" w:rsidP="00C335E9">
      <w:pPr>
        <w:pStyle w:val="NormalWeb"/>
        <w:spacing w:before="0" w:beforeAutospacing="0" w:after="0" w:afterAutospacing="0"/>
        <w:ind w:right="77"/>
        <w:rPr>
          <w:b/>
          <w:sz w:val="22"/>
          <w:szCs w:val="22"/>
        </w:rPr>
        <w:sectPr w:rsidR="00603DB9" w:rsidSect="00EF6749">
          <w:type w:val="continuous"/>
          <w:pgSz w:w="11906" w:h="16838"/>
          <w:pgMar w:top="1417" w:right="1106" w:bottom="1417" w:left="900" w:header="708" w:footer="708" w:gutter="0"/>
          <w:cols w:space="386"/>
          <w:docGrid w:linePitch="360"/>
        </w:sectPr>
      </w:pPr>
    </w:p>
    <w:p w:rsidR="00603DB9" w:rsidRDefault="00603DB9" w:rsidP="00C335E9">
      <w:pPr>
        <w:pStyle w:val="NormalWeb"/>
        <w:spacing w:before="0" w:beforeAutospacing="0" w:after="0" w:afterAutospacing="0"/>
        <w:ind w:right="77"/>
        <w:rPr>
          <w:b/>
          <w:sz w:val="22"/>
          <w:szCs w:val="22"/>
        </w:rPr>
      </w:pPr>
    </w:p>
    <w:p w:rsidR="002040C5" w:rsidRDefault="002040C5" w:rsidP="002B7DE6">
      <w:pPr>
        <w:pStyle w:val="NormalWeb"/>
        <w:spacing w:before="0" w:beforeAutospacing="0" w:after="0" w:afterAutospacing="0"/>
        <w:ind w:right="77"/>
        <w:rPr>
          <w:b/>
          <w:bCs/>
          <w:sz w:val="22"/>
          <w:szCs w:val="22"/>
        </w:rPr>
      </w:pPr>
    </w:p>
    <w:p w:rsidR="002040C5" w:rsidRDefault="002040C5" w:rsidP="002B7DE6">
      <w:pPr>
        <w:pStyle w:val="NormalWeb"/>
        <w:spacing w:before="0" w:beforeAutospacing="0" w:after="0" w:afterAutospacing="0"/>
        <w:ind w:right="77"/>
        <w:rPr>
          <w:b/>
          <w:bCs/>
          <w:sz w:val="22"/>
          <w:szCs w:val="22"/>
        </w:rPr>
      </w:pPr>
    </w:p>
    <w:p w:rsidR="002040C5" w:rsidRDefault="002040C5" w:rsidP="002B7DE6">
      <w:pPr>
        <w:pStyle w:val="NormalWeb"/>
        <w:spacing w:before="0" w:beforeAutospacing="0" w:after="0" w:afterAutospacing="0"/>
        <w:ind w:right="77"/>
        <w:rPr>
          <w:b/>
          <w:bCs/>
          <w:sz w:val="22"/>
          <w:szCs w:val="22"/>
        </w:rPr>
      </w:pPr>
    </w:p>
    <w:p w:rsidR="002B7DE6" w:rsidRPr="00F13CED" w:rsidRDefault="002B7DE6" w:rsidP="002B7DE6">
      <w:pPr>
        <w:pStyle w:val="NormalWeb"/>
        <w:spacing w:before="0" w:beforeAutospacing="0" w:after="0" w:afterAutospacing="0"/>
        <w:ind w:right="77"/>
        <w:rPr>
          <w:sz w:val="22"/>
          <w:szCs w:val="22"/>
        </w:rPr>
      </w:pPr>
      <w:r>
        <w:rPr>
          <w:b/>
          <w:bCs/>
          <w:sz w:val="22"/>
          <w:szCs w:val="22"/>
        </w:rPr>
        <w:t>Ek 1</w:t>
      </w:r>
      <w:r w:rsidRPr="00E06534">
        <w:rPr>
          <w:b/>
          <w:bCs/>
          <w:sz w:val="22"/>
          <w:szCs w:val="22"/>
        </w:rPr>
        <w:t>:</w:t>
      </w:r>
      <w:r w:rsidRPr="00F13CED">
        <w:rPr>
          <w:sz w:val="22"/>
          <w:szCs w:val="22"/>
        </w:rPr>
        <w:t xml:space="preserve">  </w:t>
      </w:r>
      <w:r w:rsidRPr="00E06534">
        <w:rPr>
          <w:b/>
          <w:bCs/>
          <w:sz w:val="22"/>
          <w:szCs w:val="22"/>
        </w:rPr>
        <w:t>GSYH değişimi ve alt kalemlerin büyümeye katkılarının hesaplanması:</w:t>
      </w:r>
    </w:p>
    <w:p w:rsidR="002B7DE6" w:rsidRDefault="002B7DE6" w:rsidP="002B7DE6">
      <w:pPr>
        <w:pStyle w:val="NormalWeb"/>
        <w:spacing w:before="0" w:beforeAutospacing="0" w:after="0" w:afterAutospacing="0"/>
        <w:ind w:right="77"/>
        <w:jc w:val="both"/>
        <w:rPr>
          <w:sz w:val="22"/>
          <w:szCs w:val="22"/>
        </w:rPr>
      </w:pPr>
      <w:r>
        <w:rPr>
          <w:sz w:val="22"/>
          <w:szCs w:val="22"/>
        </w:rPr>
        <w:t>Alt kalemler 3 grup altında toplanmıştı</w:t>
      </w:r>
      <w:r w:rsidRPr="00F13CED">
        <w:rPr>
          <w:sz w:val="22"/>
          <w:szCs w:val="22"/>
        </w:rPr>
        <w:t>r :</w:t>
      </w:r>
    </w:p>
    <w:p w:rsidR="002B7DE6" w:rsidRPr="008D711C" w:rsidRDefault="002B7DE6" w:rsidP="002B7DE6">
      <w:pPr>
        <w:pStyle w:val="NormalWeb"/>
        <w:spacing w:before="0" w:beforeAutospacing="0" w:after="0" w:afterAutospacing="0"/>
        <w:ind w:right="77"/>
        <w:jc w:val="both"/>
        <w:rPr>
          <w:sz w:val="10"/>
          <w:szCs w:val="10"/>
        </w:rPr>
      </w:pPr>
    </w:p>
    <w:p w:rsidR="002B7DE6" w:rsidRDefault="002B7DE6" w:rsidP="002B7DE6">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Nihai iç talep, yerleşik hanehalklarını</w:t>
      </w:r>
      <w:r w:rsidRPr="00F13CED">
        <w:rPr>
          <w:sz w:val="22"/>
          <w:szCs w:val="22"/>
        </w:rPr>
        <w:t>n tüketimi (tüketim), de</w:t>
      </w:r>
      <w:r>
        <w:rPr>
          <w:sz w:val="22"/>
          <w:szCs w:val="22"/>
        </w:rPr>
        <w:t>vletin nihai tüketim harcamaları ve yatırım harcamaları toplamı (kamu harcamaları), özel sektörün yatırı</w:t>
      </w:r>
      <w:r w:rsidRPr="00F13CED">
        <w:rPr>
          <w:sz w:val="22"/>
          <w:szCs w:val="22"/>
        </w:rPr>
        <w:t>m harcamalar (yat</w:t>
      </w:r>
      <w:r>
        <w:rPr>
          <w:sz w:val="22"/>
          <w:szCs w:val="22"/>
        </w:rPr>
        <w:t>ırım) oluşmaktadı</w:t>
      </w:r>
      <w:r w:rsidRPr="00F13CED">
        <w:rPr>
          <w:sz w:val="22"/>
          <w:szCs w:val="22"/>
        </w:rPr>
        <w:t>r.</w:t>
      </w:r>
    </w:p>
    <w:p w:rsidR="002B7DE6" w:rsidRPr="008D711C" w:rsidRDefault="002B7DE6" w:rsidP="002B7DE6">
      <w:pPr>
        <w:pStyle w:val="NormalWeb"/>
        <w:spacing w:before="0" w:beforeAutospacing="0" w:after="0" w:afterAutospacing="0"/>
        <w:ind w:left="180" w:right="77"/>
        <w:jc w:val="both"/>
        <w:rPr>
          <w:sz w:val="10"/>
          <w:szCs w:val="10"/>
        </w:rPr>
      </w:pPr>
    </w:p>
    <w:p w:rsidR="002B7DE6" w:rsidRDefault="002B7DE6" w:rsidP="002B7DE6">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Net dış talepteki değiş</w:t>
      </w:r>
      <w:r w:rsidRPr="00F13CED">
        <w:rPr>
          <w:sz w:val="22"/>
          <w:szCs w:val="22"/>
        </w:rPr>
        <w:t>im, ihrac</w:t>
      </w:r>
      <w:r>
        <w:rPr>
          <w:sz w:val="22"/>
          <w:szCs w:val="22"/>
        </w:rPr>
        <w:t>at ve ithalat kalemleri arasındaki farkı</w:t>
      </w:r>
      <w:r w:rsidRPr="00F13CED">
        <w:rPr>
          <w:sz w:val="22"/>
          <w:szCs w:val="22"/>
        </w:rPr>
        <w:t xml:space="preserve"> göstermektedir.</w:t>
      </w:r>
    </w:p>
    <w:p w:rsidR="002B7DE6" w:rsidRPr="008D711C" w:rsidRDefault="002B7DE6" w:rsidP="002B7DE6">
      <w:pPr>
        <w:pStyle w:val="NormalWeb"/>
        <w:spacing w:before="0" w:beforeAutospacing="0" w:after="0" w:afterAutospacing="0"/>
        <w:ind w:right="77"/>
        <w:jc w:val="both"/>
        <w:rPr>
          <w:sz w:val="10"/>
          <w:szCs w:val="10"/>
        </w:rPr>
      </w:pPr>
    </w:p>
    <w:p w:rsidR="002B7DE6" w:rsidRPr="00F13CED" w:rsidRDefault="002B7DE6" w:rsidP="002B7DE6">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Stok değişimi kalemi ise, stokların bir önceki döneme göre nasıl değiştiğini göstermektedir (Ayrıntı</w:t>
      </w:r>
      <w:r w:rsidRPr="00F13CED">
        <w:rPr>
          <w:sz w:val="22"/>
          <w:szCs w:val="22"/>
        </w:rPr>
        <w:t>lar için bkz Ek-2.)</w:t>
      </w:r>
    </w:p>
    <w:p w:rsidR="002B7DE6" w:rsidRPr="00F13CED" w:rsidRDefault="002B7DE6" w:rsidP="002B7DE6">
      <w:pPr>
        <w:pStyle w:val="NormalWeb"/>
        <w:spacing w:before="0" w:beforeAutospacing="0" w:after="0" w:afterAutospacing="0"/>
        <w:ind w:right="77"/>
        <w:rPr>
          <w:sz w:val="22"/>
          <w:szCs w:val="22"/>
        </w:rPr>
      </w:pPr>
    </w:p>
    <w:p w:rsidR="002B7DE6" w:rsidRPr="00F13CED" w:rsidRDefault="002B7DE6" w:rsidP="002B7DE6">
      <w:pPr>
        <w:pStyle w:val="NormalWeb"/>
        <w:spacing w:before="0" w:beforeAutospacing="0" w:after="0" w:afterAutospacing="0"/>
        <w:ind w:right="77"/>
        <w:jc w:val="both"/>
        <w:rPr>
          <w:sz w:val="22"/>
          <w:szCs w:val="22"/>
        </w:rPr>
      </w:pPr>
      <w:r>
        <w:rPr>
          <w:sz w:val="22"/>
          <w:szCs w:val="22"/>
        </w:rPr>
        <w:t>GSYH'daki yüzde değişimi bulmak iç</w:t>
      </w:r>
      <w:r w:rsidRPr="00F13CED">
        <w:rPr>
          <w:sz w:val="22"/>
          <w:szCs w:val="22"/>
        </w:rPr>
        <w:t>in, her bir alt bi</w:t>
      </w:r>
      <w:r>
        <w:rPr>
          <w:sz w:val="22"/>
          <w:szCs w:val="22"/>
        </w:rPr>
        <w:t>leşenin önceki döneme göre değiş</w:t>
      </w:r>
      <w:r w:rsidRPr="00F13CED">
        <w:rPr>
          <w:sz w:val="22"/>
          <w:szCs w:val="22"/>
        </w:rPr>
        <w:t xml:space="preserve">imi, bir önceki </w:t>
      </w:r>
      <w:r>
        <w:rPr>
          <w:sz w:val="22"/>
          <w:szCs w:val="22"/>
        </w:rPr>
        <w:t>döneme ait GSYH rakamı</w:t>
      </w:r>
      <w:r w:rsidRPr="00F13CED">
        <w:rPr>
          <w:sz w:val="22"/>
          <w:szCs w:val="22"/>
        </w:rPr>
        <w:t xml:space="preserve">na (GSYH </w:t>
      </w:r>
      <w:r w:rsidRPr="00F13CED">
        <w:rPr>
          <w:i/>
          <w:iCs/>
          <w:sz w:val="22"/>
          <w:szCs w:val="22"/>
          <w:vertAlign w:val="subscript"/>
        </w:rPr>
        <w:t xml:space="preserve">t </w:t>
      </w:r>
      <w:r w:rsidRPr="00F13CED">
        <w:rPr>
          <w:sz w:val="22"/>
          <w:szCs w:val="22"/>
          <w:vertAlign w:val="subscript"/>
        </w:rPr>
        <w:t>-1</w:t>
      </w:r>
      <w:r>
        <w:rPr>
          <w:sz w:val="22"/>
          <w:szCs w:val="22"/>
        </w:rPr>
        <w:t>) oranlanmış ve böylece her bir bileş</w:t>
      </w:r>
      <w:r w:rsidRPr="00F13CED">
        <w:rPr>
          <w:sz w:val="22"/>
          <w:szCs w:val="22"/>
        </w:rPr>
        <w:t>enin o GSYH büyüme</w:t>
      </w:r>
      <w:r>
        <w:rPr>
          <w:sz w:val="22"/>
          <w:szCs w:val="22"/>
        </w:rPr>
        <w:t>sine olan katkısı bulunmuş</w:t>
      </w:r>
      <w:r w:rsidRPr="00F13CED">
        <w:rPr>
          <w:sz w:val="22"/>
          <w:szCs w:val="22"/>
        </w:rPr>
        <w:t>tur.</w:t>
      </w:r>
    </w:p>
    <w:p w:rsidR="002B7DE6" w:rsidRDefault="002B7DE6" w:rsidP="002B7DE6">
      <w:pPr>
        <w:pStyle w:val="NormalWeb"/>
        <w:spacing w:before="0" w:beforeAutospacing="0" w:after="0" w:afterAutospacing="0"/>
        <w:ind w:right="77"/>
        <w:rPr>
          <w:sz w:val="22"/>
          <w:szCs w:val="22"/>
        </w:rPr>
      </w:pPr>
    </w:p>
    <w:p w:rsidR="002B7DE6" w:rsidRPr="00F13CED" w:rsidRDefault="002B7DE6" w:rsidP="002B7DE6">
      <w:pPr>
        <w:pStyle w:val="NormalWeb"/>
        <w:spacing w:before="0" w:beforeAutospacing="0" w:after="0" w:afterAutospacing="0"/>
        <w:ind w:right="77"/>
        <w:rPr>
          <w:sz w:val="22"/>
          <w:szCs w:val="22"/>
        </w:rPr>
      </w:pPr>
      <w:r>
        <w:rPr>
          <w:sz w:val="22"/>
          <w:szCs w:val="22"/>
        </w:rPr>
        <w:t>Baş</w:t>
      </w:r>
      <w:r w:rsidRPr="00F13CED">
        <w:rPr>
          <w:sz w:val="22"/>
          <w:szCs w:val="22"/>
        </w:rPr>
        <w:t>ka bir ifadeyle,</w:t>
      </w:r>
    </w:p>
    <w:p w:rsidR="002B7DE6" w:rsidRPr="00F13CED" w:rsidRDefault="002B7DE6" w:rsidP="002B7DE6">
      <w:pPr>
        <w:pStyle w:val="NormalWeb"/>
        <w:spacing w:before="0" w:beforeAutospacing="0" w:after="0" w:afterAutospacing="0"/>
        <w:ind w:right="77"/>
        <w:rPr>
          <w:sz w:val="22"/>
          <w:szCs w:val="22"/>
        </w:rPr>
      </w:pPr>
      <w:r w:rsidRPr="00F13CED">
        <w:rPr>
          <w:sz w:val="22"/>
          <w:szCs w:val="22"/>
        </w:rPr>
        <w:t>X</w:t>
      </w:r>
      <w:r>
        <w:rPr>
          <w:sz w:val="22"/>
          <w:szCs w:val="22"/>
        </w:rPr>
        <w:t xml:space="preserve"> </w:t>
      </w:r>
      <w:r w:rsidRPr="00F13CED">
        <w:rPr>
          <w:sz w:val="22"/>
          <w:szCs w:val="22"/>
        </w:rPr>
        <w:t>: GSYH alt kalemi</w:t>
      </w:r>
    </w:p>
    <w:p w:rsidR="002B7DE6" w:rsidRPr="00F13CED" w:rsidRDefault="002B7DE6" w:rsidP="002B7DE6">
      <w:pPr>
        <w:pStyle w:val="NormalWeb"/>
        <w:spacing w:before="0" w:beforeAutospacing="0" w:after="0" w:afterAutospacing="0"/>
        <w:ind w:right="77"/>
        <w:rPr>
          <w:sz w:val="22"/>
          <w:szCs w:val="22"/>
        </w:rPr>
      </w:pPr>
      <w:r>
        <w:rPr>
          <w:sz w:val="22"/>
          <w:szCs w:val="22"/>
        </w:rPr>
        <w:t>X'in değ</w:t>
      </w:r>
      <w:r w:rsidRPr="00F13CED">
        <w:rPr>
          <w:sz w:val="22"/>
          <w:szCs w:val="22"/>
        </w:rPr>
        <w:t>i</w:t>
      </w:r>
      <w:r>
        <w:rPr>
          <w:sz w:val="22"/>
          <w:szCs w:val="22"/>
        </w:rPr>
        <w:t>şimin t zamandaki büyümeye katkısı</w:t>
      </w:r>
      <w:r w:rsidRPr="00F13CED">
        <w:rPr>
          <w:sz w:val="22"/>
          <w:szCs w:val="22"/>
        </w:rPr>
        <w:t xml:space="preserve"> </w:t>
      </w:r>
      <w:r>
        <w:rPr>
          <w:sz w:val="22"/>
          <w:szCs w:val="22"/>
        </w:rPr>
        <w:t>:</w:t>
      </w:r>
    </w:p>
    <w:p w:rsidR="002B7DE6" w:rsidRPr="00F13CED" w:rsidRDefault="002B7DE6" w:rsidP="002B7DE6">
      <w:pPr>
        <w:pStyle w:val="NormalWeb"/>
        <w:spacing w:before="0" w:beforeAutospacing="0" w:after="0" w:afterAutospacing="0"/>
        <w:ind w:right="77"/>
        <w:rPr>
          <w:sz w:val="22"/>
          <w:szCs w:val="22"/>
        </w:rPr>
      </w:pPr>
      <w:r>
        <w:rPr>
          <w:sz w:val="22"/>
          <w:szCs w:val="22"/>
        </w:rPr>
        <w:t xml:space="preserve">     = (X</w:t>
      </w:r>
      <w:r w:rsidRPr="00A76BDF">
        <w:rPr>
          <w:i/>
          <w:iCs/>
          <w:sz w:val="22"/>
          <w:szCs w:val="22"/>
          <w:vertAlign w:val="subscript"/>
        </w:rPr>
        <w:t>t</w:t>
      </w:r>
      <w:r w:rsidRPr="00A76BDF">
        <w:rPr>
          <w:sz w:val="22"/>
          <w:szCs w:val="22"/>
          <w:vertAlign w:val="subscript"/>
        </w:rPr>
        <w:t xml:space="preserve"> </w:t>
      </w:r>
      <w:r w:rsidRPr="00F13CED">
        <w:rPr>
          <w:sz w:val="22"/>
          <w:szCs w:val="22"/>
        </w:rPr>
        <w:t>– X</w:t>
      </w:r>
      <w:r w:rsidRPr="00A76BDF">
        <w:rPr>
          <w:i/>
          <w:iCs/>
          <w:sz w:val="22"/>
          <w:szCs w:val="22"/>
          <w:vertAlign w:val="subscript"/>
        </w:rPr>
        <w:t>t</w:t>
      </w:r>
      <w:r w:rsidRPr="00A76BDF">
        <w:rPr>
          <w:sz w:val="22"/>
          <w:szCs w:val="22"/>
          <w:vertAlign w:val="subscript"/>
        </w:rPr>
        <w:t>-1</w:t>
      </w:r>
      <w:r w:rsidRPr="00F13CED">
        <w:rPr>
          <w:sz w:val="22"/>
          <w:szCs w:val="22"/>
        </w:rPr>
        <w:t>) / GSYH</w:t>
      </w:r>
      <w:r w:rsidRPr="00A76BDF">
        <w:rPr>
          <w:i/>
          <w:iCs/>
          <w:sz w:val="22"/>
          <w:szCs w:val="22"/>
          <w:vertAlign w:val="subscript"/>
        </w:rPr>
        <w:t>t</w:t>
      </w:r>
      <w:r w:rsidRPr="00A76BDF">
        <w:rPr>
          <w:sz w:val="22"/>
          <w:szCs w:val="22"/>
          <w:vertAlign w:val="subscript"/>
        </w:rPr>
        <w:t>-1</w:t>
      </w:r>
    </w:p>
    <w:p w:rsidR="002B7DE6" w:rsidRPr="00F13CED" w:rsidRDefault="002B7DE6" w:rsidP="002B7DE6">
      <w:pPr>
        <w:pStyle w:val="NormalWeb"/>
        <w:spacing w:before="0" w:beforeAutospacing="0" w:after="0" w:afterAutospacing="0"/>
        <w:ind w:right="77"/>
        <w:rPr>
          <w:sz w:val="22"/>
          <w:szCs w:val="22"/>
        </w:rPr>
      </w:pPr>
      <w:r w:rsidRPr="00F13CED">
        <w:rPr>
          <w:sz w:val="22"/>
          <w:szCs w:val="22"/>
        </w:rPr>
        <w:t>formülünü kullanarak hesaplanabilir.</w:t>
      </w:r>
    </w:p>
    <w:p w:rsidR="002B7DE6" w:rsidRDefault="002B7DE6" w:rsidP="002B7DE6">
      <w:pPr>
        <w:ind w:right="77"/>
        <w:jc w:val="both"/>
      </w:pPr>
    </w:p>
    <w:p w:rsidR="002B7DE6" w:rsidRPr="00E172B6" w:rsidRDefault="002B7DE6" w:rsidP="002B7DE6">
      <w:pPr>
        <w:ind w:right="77"/>
        <w:jc w:val="both"/>
        <w:rPr>
          <w:b/>
          <w:bCs/>
          <w:sz w:val="22"/>
          <w:szCs w:val="22"/>
        </w:rPr>
      </w:pPr>
      <w:r w:rsidRPr="00E172B6">
        <w:rPr>
          <w:b/>
          <w:bCs/>
          <w:sz w:val="22"/>
          <w:szCs w:val="22"/>
        </w:rPr>
        <w:t>TÜİK</w:t>
      </w:r>
      <w:r>
        <w:rPr>
          <w:b/>
          <w:bCs/>
          <w:sz w:val="22"/>
          <w:szCs w:val="22"/>
        </w:rPr>
        <w:t xml:space="preserve"> </w:t>
      </w:r>
      <w:r w:rsidRPr="00E172B6">
        <w:rPr>
          <w:b/>
          <w:bCs/>
          <w:sz w:val="22"/>
          <w:szCs w:val="22"/>
        </w:rPr>
        <w:t>ve BETAM’ın yöntemleri arasındaki fark</w:t>
      </w:r>
    </w:p>
    <w:p w:rsidR="002B7DE6" w:rsidRDefault="002B7DE6" w:rsidP="002B7DE6">
      <w:pPr>
        <w:ind w:right="77"/>
        <w:jc w:val="both"/>
      </w:pPr>
      <w:r>
        <w:t>TÜİK, GSYH serisini mevsim ve takvim etkisinden arındırmak için alt kalemleri tek tek almak yerine, bunların toplamını kullanmaktadır. Ancak GSYH’yı oluşturan her bir alt kalemin farklı mevsimsel döngüleri olabileceği göz önüne alındığında, her bir alt kalemi ayrı ayrı ele alıp, mevsim ve takvim etkilerinden arındırmak ve bunların toplamını mevsim ve takvim etkisinden arındırılmış GSYH serisi olarak almak daha sağlıklıdır. Bu iki yöntem farklı sonuçlar verse de, ilgili literatürde her iki yöntem de kabul görmekte ve yaygın olarak kullanılmaktadır.</w:t>
      </w:r>
    </w:p>
    <w:p w:rsidR="002B7DE6" w:rsidRDefault="002B7DE6" w:rsidP="002B7DE6">
      <w:pPr>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ind w:right="77"/>
        <w:jc w:val="both"/>
        <w:rPr>
          <w:b/>
          <w:bCs/>
          <w:sz w:val="22"/>
          <w:szCs w:val="22"/>
        </w:rPr>
      </w:pPr>
    </w:p>
    <w:p w:rsidR="002B7DE6" w:rsidRPr="00B75A4B" w:rsidRDefault="002B7DE6" w:rsidP="002B7DE6">
      <w:pPr>
        <w:ind w:right="77"/>
        <w:jc w:val="both"/>
        <w:rPr>
          <w:rFonts w:ascii="Arial" w:hAnsi="Arial" w:cs="Arial"/>
          <w:b/>
          <w:bCs/>
          <w:sz w:val="22"/>
          <w:szCs w:val="22"/>
        </w:rPr>
      </w:pPr>
      <w:r w:rsidRPr="00B75A4B">
        <w:rPr>
          <w:b/>
          <w:bCs/>
          <w:sz w:val="22"/>
          <w:szCs w:val="22"/>
        </w:rPr>
        <w:t>Ek</w:t>
      </w:r>
      <w:r>
        <w:rPr>
          <w:b/>
          <w:bCs/>
          <w:sz w:val="22"/>
          <w:szCs w:val="22"/>
        </w:rPr>
        <w:t xml:space="preserve"> 2</w:t>
      </w:r>
      <w:r w:rsidRPr="00B75A4B">
        <w:rPr>
          <w:b/>
          <w:bCs/>
          <w:sz w:val="22"/>
          <w:szCs w:val="22"/>
        </w:rPr>
        <w:t>: Stok değişimi kaleminin ve büyümeye katkısının hesaplanması</w:t>
      </w:r>
    </w:p>
    <w:p w:rsidR="002B7DE6" w:rsidRPr="00B75A4B" w:rsidRDefault="002B7DE6" w:rsidP="002B7DE6">
      <w:pPr>
        <w:ind w:right="77"/>
        <w:jc w:val="both"/>
        <w:rPr>
          <w:rFonts w:ascii="Arial" w:hAnsi="Arial" w:cs="Arial"/>
          <w:sz w:val="22"/>
          <w:szCs w:val="22"/>
        </w:rPr>
      </w:pPr>
      <w:r w:rsidRPr="00B75A4B">
        <w:rPr>
          <w:sz w:val="22"/>
          <w:szCs w:val="22"/>
        </w:rPr>
        <w:t>'Stok değişimi' kalemi, GSYH'nin harcamalar yöntemiyle hesaplanan bölümünde yer alır ve stokların bir önceki döneme göre nasıl değiştiğini gösterir.</w:t>
      </w:r>
    </w:p>
    <w:p w:rsidR="002B7DE6" w:rsidRPr="00E416B0" w:rsidRDefault="002B7DE6" w:rsidP="002B7DE6">
      <w:pPr>
        <w:ind w:left="-360" w:right="77"/>
        <w:jc w:val="both"/>
        <w:rPr>
          <w:sz w:val="10"/>
          <w:szCs w:val="10"/>
        </w:rPr>
      </w:pPr>
    </w:p>
    <w:p w:rsidR="002B7DE6" w:rsidRPr="00B75A4B" w:rsidRDefault="002B7DE6" w:rsidP="002B7DE6">
      <w:pPr>
        <w:ind w:right="77"/>
        <w:jc w:val="both"/>
        <w:rPr>
          <w:sz w:val="22"/>
          <w:szCs w:val="22"/>
          <w:vertAlign w:val="subscript"/>
        </w:rPr>
      </w:pPr>
      <w:r w:rsidRPr="00B75A4B">
        <w:rPr>
          <w:sz w:val="22"/>
          <w:szCs w:val="22"/>
        </w:rPr>
        <w:t xml:space="preserve">Stok değişimi </w:t>
      </w:r>
      <w:r w:rsidRPr="00B75A4B">
        <w:rPr>
          <w:i/>
          <w:iCs/>
          <w:sz w:val="22"/>
          <w:szCs w:val="22"/>
          <w:vertAlign w:val="subscript"/>
        </w:rPr>
        <w:t>t</w:t>
      </w:r>
      <w:r w:rsidRPr="00B75A4B">
        <w:rPr>
          <w:sz w:val="22"/>
          <w:szCs w:val="22"/>
        </w:rPr>
        <w:t xml:space="preserve"> = 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p>
    <w:p w:rsidR="002B7DE6" w:rsidRPr="008517F6" w:rsidRDefault="002B7DE6" w:rsidP="002B7DE6">
      <w:pPr>
        <w:ind w:right="77"/>
        <w:jc w:val="both"/>
        <w:rPr>
          <w:rFonts w:ascii="Arial" w:hAnsi="Arial" w:cs="Arial"/>
          <w:sz w:val="10"/>
          <w:szCs w:val="10"/>
        </w:rPr>
      </w:pPr>
    </w:p>
    <w:p w:rsidR="002B7DE6" w:rsidRPr="00B75A4B" w:rsidRDefault="002B7DE6" w:rsidP="002B7DE6">
      <w:pPr>
        <w:pStyle w:val="NormalWeb"/>
        <w:spacing w:before="0" w:beforeAutospacing="0" w:after="0" w:afterAutospacing="0"/>
        <w:ind w:right="77"/>
        <w:jc w:val="both"/>
        <w:rPr>
          <w:sz w:val="22"/>
          <w:szCs w:val="22"/>
        </w:rPr>
      </w:pPr>
      <w:r w:rsidRPr="00B75A4B">
        <w:rPr>
          <w:sz w:val="22"/>
          <w:szCs w:val="22"/>
        </w:rPr>
        <w:t>Dolayısıyla stok değişimi kalemindeki</w:t>
      </w:r>
      <w:r>
        <w:rPr>
          <w:sz w:val="22"/>
          <w:szCs w:val="22"/>
        </w:rPr>
        <w:t xml:space="preserve"> </w:t>
      </w:r>
      <w:r w:rsidRPr="00B75A4B">
        <w:rPr>
          <w:sz w:val="22"/>
          <w:szCs w:val="22"/>
        </w:rPr>
        <w:t>artış</w:t>
      </w:r>
      <w:r>
        <w:rPr>
          <w:sz w:val="22"/>
          <w:szCs w:val="22"/>
        </w:rPr>
        <w:t xml:space="preserve"> </w:t>
      </w:r>
      <w:r w:rsidRPr="00B75A4B">
        <w:rPr>
          <w:sz w:val="22"/>
          <w:szCs w:val="22"/>
        </w:rPr>
        <w:t>(azalış), stoklardaki artıştan (azalıştan)</w:t>
      </w:r>
      <w:r>
        <w:rPr>
          <w:sz w:val="22"/>
          <w:szCs w:val="22"/>
        </w:rPr>
        <w:t xml:space="preserve"> </w:t>
      </w:r>
      <w:r w:rsidRPr="00B75A4B">
        <w:rPr>
          <w:sz w:val="22"/>
          <w:szCs w:val="22"/>
        </w:rPr>
        <w:t>ziyade iki dönem stokları arasındaki farkı</w:t>
      </w:r>
      <w:r>
        <w:rPr>
          <w:sz w:val="22"/>
          <w:szCs w:val="22"/>
        </w:rPr>
        <w:t>n artısından (azalış</w:t>
      </w:r>
      <w:r w:rsidRPr="00B75A4B">
        <w:rPr>
          <w:sz w:val="22"/>
          <w:szCs w:val="22"/>
        </w:rPr>
        <w:t>ından) kaynaklanmaktadır.</w:t>
      </w:r>
    </w:p>
    <w:p w:rsidR="002B7DE6" w:rsidRPr="00B75A4B" w:rsidRDefault="002B7DE6" w:rsidP="002B7DE6">
      <w:pPr>
        <w:ind w:right="77"/>
        <w:jc w:val="both"/>
        <w:rPr>
          <w:sz w:val="22"/>
          <w:szCs w:val="22"/>
        </w:rPr>
      </w:pPr>
    </w:p>
    <w:p w:rsidR="002B7DE6" w:rsidRDefault="002B7DE6" w:rsidP="002B7DE6">
      <w:pPr>
        <w:ind w:right="77"/>
        <w:jc w:val="both"/>
        <w:rPr>
          <w:sz w:val="22"/>
          <w:szCs w:val="22"/>
        </w:rPr>
      </w:pPr>
      <w:r w:rsidRPr="00B75A4B">
        <w:rPr>
          <w:sz w:val="22"/>
          <w:szCs w:val="22"/>
        </w:rPr>
        <w:t>Ancak TÜİK, üretim ve tüketim yöntemine göre hesaplanan GSYH rakamları arasında fark olması durumunda, bu farkı da stok değişimi kaleminin içinde göstermektedir.</w:t>
      </w:r>
    </w:p>
    <w:p w:rsidR="002B7DE6" w:rsidRDefault="002B7DE6" w:rsidP="002B7DE6">
      <w:pPr>
        <w:ind w:right="77"/>
        <w:jc w:val="both"/>
        <w:rPr>
          <w:sz w:val="22"/>
          <w:szCs w:val="22"/>
        </w:rPr>
      </w:pPr>
    </w:p>
    <w:p w:rsidR="002B7DE6" w:rsidRDefault="002B7DE6" w:rsidP="002B7DE6">
      <w:pPr>
        <w:ind w:right="77"/>
        <w:jc w:val="both"/>
        <w:rPr>
          <w:sz w:val="22"/>
          <w:szCs w:val="22"/>
        </w:rPr>
      </w:pPr>
      <w:r>
        <w:rPr>
          <w:sz w:val="22"/>
          <w:szCs w:val="22"/>
        </w:rPr>
        <w:t>İki farklı</w:t>
      </w:r>
      <w:r w:rsidRPr="002F27AE">
        <w:rPr>
          <w:sz w:val="22"/>
          <w:szCs w:val="22"/>
        </w:rPr>
        <w:t xml:space="preserve"> yöntem</w:t>
      </w:r>
      <w:r>
        <w:rPr>
          <w:sz w:val="22"/>
          <w:szCs w:val="22"/>
        </w:rPr>
        <w:t>e göre hesaplanan GSYH rakamları arası</w:t>
      </w:r>
      <w:r w:rsidRPr="002F27AE">
        <w:rPr>
          <w:sz w:val="22"/>
          <w:szCs w:val="22"/>
        </w:rPr>
        <w:t>nd</w:t>
      </w:r>
      <w:r>
        <w:rPr>
          <w:sz w:val="22"/>
          <w:szCs w:val="22"/>
        </w:rPr>
        <w:t xml:space="preserve">a farkı </w:t>
      </w:r>
      <w:r>
        <w:rPr>
          <w:sz w:val="22"/>
          <w:szCs w:val="22"/>
        </w:rPr>
        <w:sym w:font="Symbol" w:char="F065"/>
      </w:r>
      <w:r w:rsidRPr="002F27AE">
        <w:rPr>
          <w:i/>
          <w:iCs/>
          <w:sz w:val="22"/>
          <w:szCs w:val="22"/>
          <w:vertAlign w:val="subscript"/>
        </w:rPr>
        <w:t>t</w:t>
      </w:r>
      <w:r w:rsidRPr="002F27AE">
        <w:rPr>
          <w:sz w:val="22"/>
          <w:szCs w:val="22"/>
          <w:vertAlign w:val="subscript"/>
        </w:rPr>
        <w:t>-1</w:t>
      </w:r>
      <w:r w:rsidRPr="002F27AE">
        <w:rPr>
          <w:sz w:val="22"/>
          <w:szCs w:val="22"/>
        </w:rPr>
        <w:t xml:space="preserve"> ile gösterecek olursak, </w:t>
      </w:r>
      <w:r w:rsidRPr="002F27AE">
        <w:rPr>
          <w:i/>
          <w:iCs/>
          <w:sz w:val="22"/>
          <w:szCs w:val="22"/>
        </w:rPr>
        <w:t>t</w:t>
      </w:r>
      <w:r>
        <w:rPr>
          <w:sz w:val="22"/>
          <w:szCs w:val="22"/>
        </w:rPr>
        <w:t xml:space="preserve"> zamanındaki 'stok değişimi' kalemini su ş</w:t>
      </w:r>
      <w:r w:rsidRPr="002F27AE">
        <w:rPr>
          <w:sz w:val="22"/>
          <w:szCs w:val="22"/>
        </w:rPr>
        <w:t>ekilde ifade edebiliriz:</w:t>
      </w:r>
    </w:p>
    <w:p w:rsidR="002B7DE6" w:rsidRPr="00E416B0" w:rsidRDefault="002B7DE6" w:rsidP="002B7DE6">
      <w:pPr>
        <w:ind w:right="77"/>
        <w:jc w:val="both"/>
        <w:rPr>
          <w:sz w:val="10"/>
          <w:szCs w:val="10"/>
        </w:rPr>
      </w:pPr>
    </w:p>
    <w:p w:rsidR="002B7DE6" w:rsidRPr="006878CD" w:rsidRDefault="002B7DE6" w:rsidP="002B7DE6">
      <w:pPr>
        <w:ind w:right="77"/>
        <w:jc w:val="both"/>
        <w:rPr>
          <w:sz w:val="22"/>
          <w:szCs w:val="22"/>
        </w:rPr>
      </w:pPr>
      <w:r w:rsidRPr="00B75A4B">
        <w:rPr>
          <w:sz w:val="22"/>
          <w:szCs w:val="22"/>
        </w:rPr>
        <w:t xml:space="preserve">Stok değişimi </w:t>
      </w:r>
      <w:r w:rsidRPr="00B75A4B">
        <w:rPr>
          <w:i/>
          <w:iCs/>
          <w:sz w:val="22"/>
          <w:szCs w:val="22"/>
          <w:vertAlign w:val="subscript"/>
        </w:rPr>
        <w:t>t</w:t>
      </w:r>
      <w:r w:rsidRPr="00B75A4B">
        <w:rPr>
          <w:sz w:val="22"/>
          <w:szCs w:val="22"/>
        </w:rPr>
        <w:t xml:space="preserve"> = </w:t>
      </w:r>
      <w:bookmarkStart w:id="0" w:name="OLE_LINK1"/>
      <w:bookmarkStart w:id="1" w:name="OLE_LINK2"/>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vertAlign w:val="subscript"/>
        </w:rPr>
        <w:t xml:space="preserve"> </w:t>
      </w:r>
      <w:bookmarkEnd w:id="0"/>
      <w:bookmarkEnd w:id="1"/>
      <w:r>
        <w:rPr>
          <w:sz w:val="22"/>
          <w:szCs w:val="22"/>
        </w:rPr>
        <w:t xml:space="preserve">+ </w:t>
      </w:r>
      <w:r>
        <w:rPr>
          <w:sz w:val="22"/>
          <w:szCs w:val="22"/>
        </w:rPr>
        <w:sym w:font="Symbol" w:char="F065"/>
      </w:r>
      <w:r w:rsidRPr="002F27AE">
        <w:rPr>
          <w:i/>
          <w:iCs/>
          <w:sz w:val="22"/>
          <w:szCs w:val="22"/>
          <w:vertAlign w:val="subscript"/>
        </w:rPr>
        <w:t>t</w:t>
      </w:r>
      <w:r w:rsidRPr="002F27AE">
        <w:rPr>
          <w:sz w:val="22"/>
          <w:szCs w:val="22"/>
          <w:vertAlign w:val="subscript"/>
        </w:rPr>
        <w:t>-1</w:t>
      </w:r>
    </w:p>
    <w:p w:rsidR="002B7DE6" w:rsidRPr="00E416B0" w:rsidRDefault="002B7DE6" w:rsidP="002B7DE6">
      <w:pPr>
        <w:ind w:right="77"/>
        <w:jc w:val="both"/>
        <w:rPr>
          <w:sz w:val="22"/>
          <w:szCs w:val="22"/>
        </w:rPr>
      </w:pPr>
    </w:p>
    <w:p w:rsidR="002B7DE6" w:rsidRDefault="002B7DE6" w:rsidP="002B7DE6">
      <w:pPr>
        <w:spacing w:line="288" w:lineRule="auto"/>
        <w:ind w:right="77"/>
        <w:jc w:val="both"/>
        <w:rPr>
          <w:sz w:val="22"/>
          <w:szCs w:val="22"/>
        </w:rPr>
      </w:pPr>
      <w:r>
        <w:rPr>
          <w:sz w:val="22"/>
          <w:szCs w:val="22"/>
        </w:rPr>
        <w:t>Stok değişimi kalemindeki değişimin büyümeye katkısını ise şu şekilde bulabiliriz :</w:t>
      </w:r>
    </w:p>
    <w:p w:rsidR="002B7DE6" w:rsidRDefault="002B7DE6" w:rsidP="002B7DE6">
      <w:pPr>
        <w:spacing w:line="288" w:lineRule="auto"/>
        <w:ind w:right="77"/>
        <w:jc w:val="both"/>
        <w:rPr>
          <w:sz w:val="22"/>
          <w:szCs w:val="22"/>
        </w:rPr>
      </w:pPr>
      <w:r>
        <w:rPr>
          <w:sz w:val="22"/>
          <w:szCs w:val="22"/>
        </w:rPr>
        <w:t>‘Stok değişiminin’ büyümeye katkısı t</w:t>
      </w:r>
    </w:p>
    <w:p w:rsidR="002B7DE6" w:rsidRDefault="002B7DE6" w:rsidP="002B7DE6">
      <w:pPr>
        <w:spacing w:line="288" w:lineRule="auto"/>
        <w:ind w:right="77"/>
        <w:jc w:val="both"/>
        <w:rPr>
          <w:sz w:val="22"/>
          <w:szCs w:val="22"/>
        </w:rPr>
      </w:pPr>
      <w:r>
        <w:rPr>
          <w:sz w:val="22"/>
          <w:szCs w:val="22"/>
        </w:rPr>
        <w:t>= (</w:t>
      </w:r>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rPr>
        <w:t xml:space="preserve">) / GSYH </w:t>
      </w:r>
      <w:r w:rsidRPr="009F61FA">
        <w:rPr>
          <w:i/>
          <w:iCs/>
          <w:sz w:val="22"/>
          <w:szCs w:val="22"/>
          <w:vertAlign w:val="subscript"/>
        </w:rPr>
        <w:t>t</w:t>
      </w:r>
      <w:r w:rsidRPr="009F61FA">
        <w:rPr>
          <w:sz w:val="22"/>
          <w:szCs w:val="22"/>
          <w:vertAlign w:val="subscript"/>
        </w:rPr>
        <w:t>-1</w:t>
      </w:r>
    </w:p>
    <w:p w:rsidR="002B7DE6" w:rsidRPr="00E416B0" w:rsidRDefault="002B7DE6" w:rsidP="002B7DE6">
      <w:pPr>
        <w:spacing w:line="288" w:lineRule="auto"/>
        <w:ind w:right="77"/>
        <w:jc w:val="both"/>
        <w:rPr>
          <w:sz w:val="10"/>
          <w:szCs w:val="10"/>
        </w:rPr>
      </w:pPr>
    </w:p>
    <w:p w:rsidR="002B7DE6" w:rsidRDefault="002B7DE6" w:rsidP="002B7DE6">
      <w:pPr>
        <w:spacing w:line="288" w:lineRule="auto"/>
        <w:ind w:right="77"/>
        <w:jc w:val="both"/>
        <w:rPr>
          <w:sz w:val="22"/>
          <w:szCs w:val="22"/>
        </w:rPr>
      </w:pPr>
      <w:r>
        <w:rPr>
          <w:sz w:val="22"/>
          <w:szCs w:val="22"/>
        </w:rPr>
        <w:t>Veya</w:t>
      </w:r>
    </w:p>
    <w:p w:rsidR="002B7DE6" w:rsidRPr="00E416B0" w:rsidRDefault="002B7DE6" w:rsidP="002B7DE6">
      <w:pPr>
        <w:spacing w:line="288" w:lineRule="auto"/>
        <w:ind w:right="77"/>
        <w:jc w:val="both"/>
        <w:rPr>
          <w:sz w:val="10"/>
          <w:szCs w:val="10"/>
        </w:rPr>
      </w:pPr>
    </w:p>
    <w:p w:rsidR="002B7DE6" w:rsidRDefault="002B7DE6" w:rsidP="002B7DE6">
      <w:pPr>
        <w:spacing w:line="288" w:lineRule="auto"/>
        <w:ind w:right="77"/>
        <w:jc w:val="both"/>
        <w:rPr>
          <w:sz w:val="22"/>
          <w:szCs w:val="22"/>
        </w:rPr>
      </w:pPr>
      <w:r>
        <w:rPr>
          <w:sz w:val="22"/>
          <w:szCs w:val="22"/>
        </w:rPr>
        <w:t>‘Stok değişiminin’ büyümeye katkısı t</w:t>
      </w:r>
    </w:p>
    <w:p w:rsidR="002B7DE6" w:rsidRDefault="002B7DE6" w:rsidP="002B7DE6">
      <w:pPr>
        <w:spacing w:line="288" w:lineRule="auto"/>
        <w:ind w:right="77"/>
        <w:jc w:val="both"/>
        <w:rPr>
          <w:sz w:val="22"/>
          <w:szCs w:val="22"/>
        </w:rPr>
      </w:pPr>
      <w:r>
        <w:rPr>
          <w:sz w:val="22"/>
          <w:szCs w:val="22"/>
        </w:rPr>
        <w:t>= ((</w:t>
      </w:r>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vertAlign w:val="subscript"/>
        </w:rPr>
        <w:t xml:space="preserve"> </w:t>
      </w:r>
      <w:r>
        <w:rPr>
          <w:sz w:val="22"/>
          <w:szCs w:val="22"/>
        </w:rPr>
        <w:t xml:space="preserve">+ </w:t>
      </w:r>
      <w:r>
        <w:rPr>
          <w:sz w:val="22"/>
          <w:szCs w:val="22"/>
        </w:rPr>
        <w:sym w:font="Symbol" w:char="F065"/>
      </w:r>
      <w:r w:rsidRPr="002F27AE">
        <w:rPr>
          <w:i/>
          <w:iCs/>
          <w:sz w:val="22"/>
          <w:szCs w:val="22"/>
          <w:vertAlign w:val="subscript"/>
        </w:rPr>
        <w:t>t</w:t>
      </w:r>
      <w:r>
        <w:rPr>
          <w:sz w:val="22"/>
          <w:szCs w:val="22"/>
          <w:vertAlign w:val="subscript"/>
        </w:rPr>
        <w:t xml:space="preserve"> </w:t>
      </w:r>
      <w:r>
        <w:rPr>
          <w:sz w:val="22"/>
          <w:szCs w:val="22"/>
        </w:rPr>
        <w:t>) – (</w:t>
      </w:r>
      <w:r w:rsidRPr="00B75A4B">
        <w:rPr>
          <w:sz w:val="22"/>
          <w:szCs w:val="22"/>
        </w:rPr>
        <w:t xml:space="preserve">Stok </w:t>
      </w:r>
      <w:r w:rsidRPr="00B75A4B">
        <w:rPr>
          <w:i/>
          <w:iCs/>
          <w:sz w:val="22"/>
          <w:szCs w:val="22"/>
          <w:vertAlign w:val="subscript"/>
        </w:rPr>
        <w:t>t</w:t>
      </w:r>
      <w:r>
        <w:rPr>
          <w:sz w:val="22"/>
          <w:szCs w:val="22"/>
          <w:vertAlign w:val="subscript"/>
        </w:rPr>
        <w:t>-1</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w:t>
      </w:r>
      <w:r>
        <w:rPr>
          <w:sz w:val="22"/>
          <w:szCs w:val="22"/>
          <w:vertAlign w:val="subscript"/>
        </w:rPr>
        <w:t xml:space="preserve">2 </w:t>
      </w:r>
      <w:r>
        <w:rPr>
          <w:sz w:val="22"/>
          <w:szCs w:val="22"/>
        </w:rPr>
        <w:t xml:space="preserve">+ </w:t>
      </w:r>
      <w:r>
        <w:rPr>
          <w:sz w:val="22"/>
          <w:szCs w:val="22"/>
        </w:rPr>
        <w:sym w:font="Symbol" w:char="F065"/>
      </w:r>
      <w:r w:rsidRPr="002F27AE">
        <w:rPr>
          <w:i/>
          <w:iCs/>
          <w:sz w:val="22"/>
          <w:szCs w:val="22"/>
          <w:vertAlign w:val="subscript"/>
        </w:rPr>
        <w:t>t</w:t>
      </w:r>
      <w:r w:rsidRPr="002F27AE">
        <w:rPr>
          <w:sz w:val="22"/>
          <w:szCs w:val="22"/>
          <w:vertAlign w:val="subscript"/>
        </w:rPr>
        <w:t>-1</w:t>
      </w:r>
      <w:r>
        <w:rPr>
          <w:sz w:val="22"/>
          <w:szCs w:val="22"/>
        </w:rPr>
        <w:t>))</w:t>
      </w:r>
    </w:p>
    <w:p w:rsidR="002B7DE6" w:rsidRDefault="002B7DE6" w:rsidP="002B7DE6">
      <w:pPr>
        <w:spacing w:line="288" w:lineRule="auto"/>
        <w:ind w:right="77"/>
        <w:jc w:val="both"/>
        <w:rPr>
          <w:sz w:val="22"/>
          <w:szCs w:val="22"/>
        </w:rPr>
      </w:pPr>
      <w:r>
        <w:rPr>
          <w:sz w:val="22"/>
          <w:szCs w:val="22"/>
        </w:rPr>
        <w:t xml:space="preserve">    / GSYH </w:t>
      </w:r>
      <w:r w:rsidRPr="002D2C9F">
        <w:rPr>
          <w:i/>
          <w:iCs/>
          <w:sz w:val="22"/>
          <w:szCs w:val="22"/>
          <w:vertAlign w:val="subscript"/>
        </w:rPr>
        <w:t>t</w:t>
      </w:r>
      <w:r w:rsidRPr="002D2C9F">
        <w:rPr>
          <w:sz w:val="22"/>
          <w:szCs w:val="22"/>
          <w:vertAlign w:val="subscript"/>
        </w:rPr>
        <w:t>-1</w:t>
      </w:r>
    </w:p>
    <w:p w:rsidR="00952683" w:rsidRDefault="00952683" w:rsidP="00AE0BBB">
      <w:pPr>
        <w:spacing w:line="288" w:lineRule="auto"/>
        <w:ind w:right="-318"/>
        <w:jc w:val="both"/>
        <w:rPr>
          <w:rFonts w:ascii="Arial" w:hAnsi="Arial" w:cs="Arial"/>
          <w:sz w:val="20"/>
          <w:szCs w:val="20"/>
        </w:rPr>
      </w:pPr>
    </w:p>
    <w:p w:rsidR="00952683" w:rsidRDefault="00952683" w:rsidP="00AE0BBB">
      <w:pPr>
        <w:spacing w:line="288" w:lineRule="auto"/>
        <w:ind w:right="-318"/>
        <w:jc w:val="both"/>
        <w:rPr>
          <w:rFonts w:ascii="Arial" w:hAnsi="Arial" w:cs="Arial"/>
          <w:sz w:val="20"/>
          <w:szCs w:val="20"/>
        </w:rPr>
      </w:pPr>
    </w:p>
    <w:p w:rsidR="00952683" w:rsidRDefault="00952683" w:rsidP="00AE0BBB">
      <w:pPr>
        <w:spacing w:line="288" w:lineRule="auto"/>
        <w:ind w:right="-318"/>
        <w:jc w:val="both"/>
        <w:rPr>
          <w:rFonts w:ascii="Arial" w:hAnsi="Arial" w:cs="Arial"/>
          <w:sz w:val="20"/>
          <w:szCs w:val="20"/>
        </w:rPr>
      </w:pPr>
    </w:p>
    <w:p w:rsidR="00952683" w:rsidRDefault="00952683" w:rsidP="00AE0BBB">
      <w:pPr>
        <w:spacing w:line="288" w:lineRule="auto"/>
        <w:ind w:right="-318"/>
        <w:jc w:val="both"/>
        <w:rPr>
          <w:rFonts w:ascii="Arial" w:hAnsi="Arial" w:cs="Arial"/>
          <w:sz w:val="20"/>
          <w:szCs w:val="20"/>
        </w:rPr>
      </w:pPr>
    </w:p>
    <w:p w:rsidR="00952683" w:rsidRDefault="00952683" w:rsidP="00952683">
      <w:pPr>
        <w:autoSpaceDE w:val="0"/>
        <w:autoSpaceDN w:val="0"/>
        <w:adjustRightInd w:val="0"/>
        <w:rPr>
          <w:rFonts w:ascii="CMBX10" w:hAnsi="CMBX10" w:cs="CMBX10"/>
          <w:sz w:val="22"/>
          <w:szCs w:val="22"/>
        </w:rPr>
      </w:pPr>
    </w:p>
    <w:p w:rsidR="00952683" w:rsidRDefault="00952683" w:rsidP="00952683">
      <w:pPr>
        <w:autoSpaceDE w:val="0"/>
        <w:autoSpaceDN w:val="0"/>
        <w:adjustRightInd w:val="0"/>
        <w:rPr>
          <w:rFonts w:ascii="CMBX10" w:hAnsi="CMBX10" w:cs="CMBX10"/>
          <w:sz w:val="22"/>
          <w:szCs w:val="22"/>
        </w:rPr>
      </w:pPr>
    </w:p>
    <w:p w:rsidR="00952683" w:rsidRDefault="00952683" w:rsidP="00952683">
      <w:pPr>
        <w:autoSpaceDE w:val="0"/>
        <w:autoSpaceDN w:val="0"/>
        <w:adjustRightInd w:val="0"/>
        <w:rPr>
          <w:rFonts w:ascii="CMBX10" w:hAnsi="CMBX10" w:cs="CMBX10"/>
          <w:sz w:val="22"/>
          <w:szCs w:val="22"/>
        </w:rPr>
      </w:pPr>
    </w:p>
    <w:p w:rsidR="00717B60" w:rsidRPr="0015266B" w:rsidRDefault="00717B60" w:rsidP="00CA5BA6">
      <w:pPr>
        <w:spacing w:line="288" w:lineRule="auto"/>
        <w:ind w:right="-318"/>
        <w:jc w:val="both"/>
        <w:rPr>
          <w:rFonts w:ascii="Arial" w:hAnsi="Arial" w:cs="Arial"/>
          <w:sz w:val="20"/>
          <w:szCs w:val="20"/>
        </w:rPr>
      </w:pPr>
    </w:p>
    <w:sectPr w:rsidR="00717B60" w:rsidRPr="0015266B" w:rsidSect="00C335E9">
      <w:type w:val="continuous"/>
      <w:pgSz w:w="11906" w:h="16838"/>
      <w:pgMar w:top="1417" w:right="1106" w:bottom="1417" w:left="900" w:header="708" w:footer="708"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A4" w:rsidRDefault="007619A4">
      <w:r>
        <w:separator/>
      </w:r>
    </w:p>
  </w:endnote>
  <w:endnote w:type="continuationSeparator" w:id="1">
    <w:p w:rsidR="007619A4" w:rsidRDefault="00761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TUR">
    <w:altName w:val="Arial"/>
    <w:panose1 w:val="020B0604020202020204"/>
    <w:charset w:val="00"/>
    <w:family w:val="swiss"/>
    <w:pitch w:val="variable"/>
    <w:sig w:usb0="00000000" w:usb1="80000000" w:usb2="00000008" w:usb3="00000000" w:csb0="000001FF" w:csb1="00000000"/>
  </w:font>
  <w:font w:name="CMBX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7" w:rsidRDefault="00271F72"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end"/>
    </w:r>
  </w:p>
  <w:p w:rsidR="00F66727" w:rsidRDefault="00F66727" w:rsidP="00B723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7" w:rsidRDefault="00271F72"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separate"/>
    </w:r>
    <w:r w:rsidR="002040C5">
      <w:rPr>
        <w:rStyle w:val="PageNumber"/>
        <w:noProof/>
      </w:rPr>
      <w:t>1</w:t>
    </w:r>
    <w:r>
      <w:rPr>
        <w:rStyle w:val="PageNumber"/>
      </w:rPr>
      <w:fldChar w:fldCharType="end"/>
    </w:r>
  </w:p>
  <w:p w:rsidR="00F66727" w:rsidRPr="007750EF" w:rsidRDefault="00F66727" w:rsidP="00017426">
    <w:pPr>
      <w:pStyle w:val="Footer"/>
      <w:ind w:right="360"/>
      <w:jc w:val="center"/>
      <w:rPr>
        <w:rFonts w:ascii="Arial" w:hAnsi="Arial" w:cs="Arial"/>
        <w:b/>
        <w:i/>
        <w:sz w:val="20"/>
        <w:szCs w:val="20"/>
      </w:rPr>
    </w:pPr>
    <w:r w:rsidRPr="007750EF">
      <w:rPr>
        <w:rFonts w:ascii="Arial" w:hAnsi="Arial" w:cs="Arial"/>
        <w:b/>
        <w:i/>
        <w:sz w:val="20"/>
        <w:szCs w:val="20"/>
      </w:rPr>
      <w:t>www.betam.bahcesehir.edu.tr</w:t>
    </w:r>
  </w:p>
  <w:p w:rsidR="00F66727" w:rsidRDefault="00F66727" w:rsidP="00B723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A4" w:rsidRDefault="007619A4">
      <w:r>
        <w:separator/>
      </w:r>
    </w:p>
  </w:footnote>
  <w:footnote w:type="continuationSeparator" w:id="1">
    <w:p w:rsidR="007619A4" w:rsidRDefault="007619A4">
      <w:r>
        <w:continuationSeparator/>
      </w:r>
    </w:p>
  </w:footnote>
  <w:footnote w:id="2">
    <w:p w:rsidR="009575C3" w:rsidRPr="00C335E9" w:rsidRDefault="009575C3" w:rsidP="009575C3">
      <w:pPr>
        <w:pStyle w:val="NormalWeb"/>
        <w:spacing w:before="0" w:beforeAutospacing="0" w:after="0" w:afterAutospacing="0"/>
        <w:jc w:val="both"/>
        <w:rPr>
          <w:sz w:val="20"/>
          <w:szCs w:val="20"/>
        </w:rPr>
      </w:pPr>
      <w:r>
        <w:rPr>
          <w:rStyle w:val="FootnoteReference"/>
        </w:rPr>
        <w:footnoteRef/>
      </w:r>
      <w:r>
        <w:t xml:space="preserve"> </w:t>
      </w:r>
      <w:r w:rsidRPr="00C335E9">
        <w:rPr>
          <w:sz w:val="20"/>
          <w:szCs w:val="20"/>
        </w:rPr>
        <w:t>Betam’ın ana</w:t>
      </w:r>
      <w:r>
        <w:rPr>
          <w:sz w:val="20"/>
          <w:szCs w:val="20"/>
        </w:rPr>
        <w:t>lizinin TÜİK’ten farkı GSYH alt</w:t>
      </w:r>
      <w:r w:rsidR="004947B8">
        <w:rPr>
          <w:sz w:val="20"/>
          <w:szCs w:val="20"/>
        </w:rPr>
        <w:t xml:space="preserve"> </w:t>
      </w:r>
      <w:r w:rsidRPr="00C335E9">
        <w:rPr>
          <w:sz w:val="20"/>
          <w:szCs w:val="20"/>
        </w:rPr>
        <w:t>kalemleri</w:t>
      </w:r>
      <w:r>
        <w:rPr>
          <w:sz w:val="20"/>
          <w:szCs w:val="20"/>
        </w:rPr>
        <w:t>-</w:t>
      </w:r>
      <w:r w:rsidRPr="00C335E9">
        <w:rPr>
          <w:sz w:val="20"/>
          <w:szCs w:val="20"/>
        </w:rPr>
        <w:t xml:space="preserve">ni mevsim ve takvim etkisinden ayrı ayrı arındırmasıdır. Bu farkın </w:t>
      </w:r>
      <w:r w:rsidR="00F36524">
        <w:rPr>
          <w:sz w:val="20"/>
          <w:szCs w:val="20"/>
        </w:rPr>
        <w:t>ayrıntıları</w:t>
      </w:r>
      <w:r>
        <w:rPr>
          <w:sz w:val="20"/>
          <w:szCs w:val="20"/>
        </w:rPr>
        <w:t xml:space="preserve"> ekte açıklanmaktadır.</w:t>
      </w:r>
      <w:r w:rsidRPr="00C335E9">
        <w:rPr>
          <w:sz w:val="20"/>
          <w:szCs w:val="20"/>
        </w:rPr>
        <w:t xml:space="preserve"> </w:t>
      </w:r>
    </w:p>
    <w:p w:rsidR="009575C3" w:rsidRDefault="009575C3" w:rsidP="009575C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numFmt w:val="chicago"/>
    <w:footnote w:id="0"/>
    <w:footnote w:id="1"/>
  </w:footnotePr>
  <w:endnotePr>
    <w:endnote w:id="0"/>
    <w:endnote w:id="1"/>
  </w:endnotePr>
  <w:compat/>
  <w:rsids>
    <w:rsidRoot w:val="00AE0BBB"/>
    <w:rsid w:val="00002CEE"/>
    <w:rsid w:val="0000598D"/>
    <w:rsid w:val="00017426"/>
    <w:rsid w:val="000301E5"/>
    <w:rsid w:val="00034ECF"/>
    <w:rsid w:val="00054DF2"/>
    <w:rsid w:val="00086F83"/>
    <w:rsid w:val="000A3710"/>
    <w:rsid w:val="000A4010"/>
    <w:rsid w:val="000A4BD1"/>
    <w:rsid w:val="000A701D"/>
    <w:rsid w:val="000B2FDA"/>
    <w:rsid w:val="000C5B7E"/>
    <w:rsid w:val="000C5C8B"/>
    <w:rsid w:val="000D4F14"/>
    <w:rsid w:val="000E10A3"/>
    <w:rsid w:val="000F4941"/>
    <w:rsid w:val="00107363"/>
    <w:rsid w:val="0010795F"/>
    <w:rsid w:val="001105B2"/>
    <w:rsid w:val="00110EBA"/>
    <w:rsid w:val="00111AD6"/>
    <w:rsid w:val="00131052"/>
    <w:rsid w:val="00141A2F"/>
    <w:rsid w:val="00150C5D"/>
    <w:rsid w:val="0015266B"/>
    <w:rsid w:val="0016522D"/>
    <w:rsid w:val="001660A6"/>
    <w:rsid w:val="00176C3C"/>
    <w:rsid w:val="00177D70"/>
    <w:rsid w:val="00177FE3"/>
    <w:rsid w:val="00196F0F"/>
    <w:rsid w:val="001A0A58"/>
    <w:rsid w:val="001B0683"/>
    <w:rsid w:val="001B2067"/>
    <w:rsid w:val="001E1BE7"/>
    <w:rsid w:val="001E5D74"/>
    <w:rsid w:val="001F0A81"/>
    <w:rsid w:val="002040C5"/>
    <w:rsid w:val="00206831"/>
    <w:rsid w:val="002111EE"/>
    <w:rsid w:val="002304FE"/>
    <w:rsid w:val="00240B3E"/>
    <w:rsid w:val="0024217A"/>
    <w:rsid w:val="00256199"/>
    <w:rsid w:val="00263147"/>
    <w:rsid w:val="00271F72"/>
    <w:rsid w:val="00280275"/>
    <w:rsid w:val="002829AF"/>
    <w:rsid w:val="0029115A"/>
    <w:rsid w:val="0029571B"/>
    <w:rsid w:val="002A66ED"/>
    <w:rsid w:val="002A6FA1"/>
    <w:rsid w:val="002B63ED"/>
    <w:rsid w:val="002B7DE6"/>
    <w:rsid w:val="002D2C9F"/>
    <w:rsid w:val="002E4EBB"/>
    <w:rsid w:val="002F27AE"/>
    <w:rsid w:val="002F5134"/>
    <w:rsid w:val="00303668"/>
    <w:rsid w:val="00305165"/>
    <w:rsid w:val="0031043B"/>
    <w:rsid w:val="003119E8"/>
    <w:rsid w:val="003142BA"/>
    <w:rsid w:val="00325CF1"/>
    <w:rsid w:val="0034543C"/>
    <w:rsid w:val="0035437A"/>
    <w:rsid w:val="00397F47"/>
    <w:rsid w:val="003A0ECD"/>
    <w:rsid w:val="003C0C43"/>
    <w:rsid w:val="003D7E7F"/>
    <w:rsid w:val="003E3634"/>
    <w:rsid w:val="00405EC6"/>
    <w:rsid w:val="0041456D"/>
    <w:rsid w:val="004254C3"/>
    <w:rsid w:val="004409F6"/>
    <w:rsid w:val="004458F8"/>
    <w:rsid w:val="00450ACD"/>
    <w:rsid w:val="004947B8"/>
    <w:rsid w:val="004A3A86"/>
    <w:rsid w:val="004A4704"/>
    <w:rsid w:val="004D3CAD"/>
    <w:rsid w:val="004E272F"/>
    <w:rsid w:val="004E36FD"/>
    <w:rsid w:val="00512FC3"/>
    <w:rsid w:val="00514BF6"/>
    <w:rsid w:val="0051655D"/>
    <w:rsid w:val="005171AD"/>
    <w:rsid w:val="00517CBA"/>
    <w:rsid w:val="00522EDB"/>
    <w:rsid w:val="005267B9"/>
    <w:rsid w:val="00542058"/>
    <w:rsid w:val="00544885"/>
    <w:rsid w:val="00553F87"/>
    <w:rsid w:val="005632F3"/>
    <w:rsid w:val="0058720D"/>
    <w:rsid w:val="005B3336"/>
    <w:rsid w:val="005D2927"/>
    <w:rsid w:val="005D47AA"/>
    <w:rsid w:val="005E13DC"/>
    <w:rsid w:val="005E4EF0"/>
    <w:rsid w:val="005E763B"/>
    <w:rsid w:val="005F1597"/>
    <w:rsid w:val="005F31BE"/>
    <w:rsid w:val="005F51ED"/>
    <w:rsid w:val="00603DB9"/>
    <w:rsid w:val="00633C51"/>
    <w:rsid w:val="00651F13"/>
    <w:rsid w:val="00663B4C"/>
    <w:rsid w:val="006640A7"/>
    <w:rsid w:val="0067731E"/>
    <w:rsid w:val="006878CD"/>
    <w:rsid w:val="00695EB7"/>
    <w:rsid w:val="006C64A0"/>
    <w:rsid w:val="006C7D7F"/>
    <w:rsid w:val="006C7FF7"/>
    <w:rsid w:val="006D3857"/>
    <w:rsid w:val="006E0CBB"/>
    <w:rsid w:val="006F3223"/>
    <w:rsid w:val="006F4A63"/>
    <w:rsid w:val="00700658"/>
    <w:rsid w:val="007041DF"/>
    <w:rsid w:val="00704A5C"/>
    <w:rsid w:val="007065C1"/>
    <w:rsid w:val="00710DCF"/>
    <w:rsid w:val="00712EDE"/>
    <w:rsid w:val="00716BBE"/>
    <w:rsid w:val="00717B60"/>
    <w:rsid w:val="00720EA3"/>
    <w:rsid w:val="00726749"/>
    <w:rsid w:val="007344A9"/>
    <w:rsid w:val="00743F70"/>
    <w:rsid w:val="0074601C"/>
    <w:rsid w:val="0075696F"/>
    <w:rsid w:val="007619A4"/>
    <w:rsid w:val="0076354F"/>
    <w:rsid w:val="007750EF"/>
    <w:rsid w:val="007777F0"/>
    <w:rsid w:val="0078038A"/>
    <w:rsid w:val="007818BA"/>
    <w:rsid w:val="007868A5"/>
    <w:rsid w:val="00787484"/>
    <w:rsid w:val="007972B3"/>
    <w:rsid w:val="007A35F3"/>
    <w:rsid w:val="007A4941"/>
    <w:rsid w:val="007B5709"/>
    <w:rsid w:val="007B71AC"/>
    <w:rsid w:val="007B75C5"/>
    <w:rsid w:val="007C2C17"/>
    <w:rsid w:val="007D27BC"/>
    <w:rsid w:val="007E62B1"/>
    <w:rsid w:val="007E773F"/>
    <w:rsid w:val="007F4650"/>
    <w:rsid w:val="007F50E5"/>
    <w:rsid w:val="008178BE"/>
    <w:rsid w:val="00817902"/>
    <w:rsid w:val="008231D3"/>
    <w:rsid w:val="008372E2"/>
    <w:rsid w:val="008517F6"/>
    <w:rsid w:val="00855C13"/>
    <w:rsid w:val="008664F4"/>
    <w:rsid w:val="0086687F"/>
    <w:rsid w:val="0087093F"/>
    <w:rsid w:val="00872BDE"/>
    <w:rsid w:val="00880504"/>
    <w:rsid w:val="008870E7"/>
    <w:rsid w:val="008A2487"/>
    <w:rsid w:val="008B2AB7"/>
    <w:rsid w:val="008C2E84"/>
    <w:rsid w:val="008C35D8"/>
    <w:rsid w:val="008C5984"/>
    <w:rsid w:val="008D5294"/>
    <w:rsid w:val="008D711C"/>
    <w:rsid w:val="009060B6"/>
    <w:rsid w:val="0091445B"/>
    <w:rsid w:val="00923AE7"/>
    <w:rsid w:val="00925014"/>
    <w:rsid w:val="00930D19"/>
    <w:rsid w:val="009344D3"/>
    <w:rsid w:val="009377F5"/>
    <w:rsid w:val="00937D5B"/>
    <w:rsid w:val="009443ED"/>
    <w:rsid w:val="00952683"/>
    <w:rsid w:val="009575C3"/>
    <w:rsid w:val="00970251"/>
    <w:rsid w:val="00983059"/>
    <w:rsid w:val="009876C6"/>
    <w:rsid w:val="00995F40"/>
    <w:rsid w:val="009A3A23"/>
    <w:rsid w:val="009A5CBE"/>
    <w:rsid w:val="009D6D8E"/>
    <w:rsid w:val="009E0021"/>
    <w:rsid w:val="009E0068"/>
    <w:rsid w:val="009F1285"/>
    <w:rsid w:val="009F5135"/>
    <w:rsid w:val="009F61FA"/>
    <w:rsid w:val="00A06590"/>
    <w:rsid w:val="00A13AC7"/>
    <w:rsid w:val="00A208D0"/>
    <w:rsid w:val="00A27158"/>
    <w:rsid w:val="00A3171E"/>
    <w:rsid w:val="00A54173"/>
    <w:rsid w:val="00A57199"/>
    <w:rsid w:val="00A610C8"/>
    <w:rsid w:val="00A70CB2"/>
    <w:rsid w:val="00A75D44"/>
    <w:rsid w:val="00A76BDF"/>
    <w:rsid w:val="00A94AA1"/>
    <w:rsid w:val="00A96520"/>
    <w:rsid w:val="00AB4A1C"/>
    <w:rsid w:val="00AD49B2"/>
    <w:rsid w:val="00AE0BBB"/>
    <w:rsid w:val="00AE2554"/>
    <w:rsid w:val="00AE40FB"/>
    <w:rsid w:val="00AF26BD"/>
    <w:rsid w:val="00AF2D7A"/>
    <w:rsid w:val="00B00EBD"/>
    <w:rsid w:val="00B10A46"/>
    <w:rsid w:val="00B14F53"/>
    <w:rsid w:val="00B213B6"/>
    <w:rsid w:val="00B23C9A"/>
    <w:rsid w:val="00B276E9"/>
    <w:rsid w:val="00B30B41"/>
    <w:rsid w:val="00B3427A"/>
    <w:rsid w:val="00B34AC5"/>
    <w:rsid w:val="00B7120C"/>
    <w:rsid w:val="00B72337"/>
    <w:rsid w:val="00B7456E"/>
    <w:rsid w:val="00B75A4B"/>
    <w:rsid w:val="00B818B6"/>
    <w:rsid w:val="00BB00EA"/>
    <w:rsid w:val="00BC2E4D"/>
    <w:rsid w:val="00BC704B"/>
    <w:rsid w:val="00BD3858"/>
    <w:rsid w:val="00C23A83"/>
    <w:rsid w:val="00C258F7"/>
    <w:rsid w:val="00C2731D"/>
    <w:rsid w:val="00C32546"/>
    <w:rsid w:val="00C335E9"/>
    <w:rsid w:val="00C33984"/>
    <w:rsid w:val="00C402A3"/>
    <w:rsid w:val="00C5094B"/>
    <w:rsid w:val="00C6121C"/>
    <w:rsid w:val="00C61305"/>
    <w:rsid w:val="00C6738C"/>
    <w:rsid w:val="00C7235A"/>
    <w:rsid w:val="00C76F10"/>
    <w:rsid w:val="00C805B9"/>
    <w:rsid w:val="00C8511A"/>
    <w:rsid w:val="00C91E59"/>
    <w:rsid w:val="00C928E2"/>
    <w:rsid w:val="00C9454F"/>
    <w:rsid w:val="00CA5BA6"/>
    <w:rsid w:val="00CE6B6D"/>
    <w:rsid w:val="00CF1794"/>
    <w:rsid w:val="00D04A88"/>
    <w:rsid w:val="00D06FDE"/>
    <w:rsid w:val="00D139DF"/>
    <w:rsid w:val="00D46FA0"/>
    <w:rsid w:val="00D705E1"/>
    <w:rsid w:val="00D74F52"/>
    <w:rsid w:val="00D76E36"/>
    <w:rsid w:val="00D771C3"/>
    <w:rsid w:val="00D77718"/>
    <w:rsid w:val="00D87EC4"/>
    <w:rsid w:val="00D92377"/>
    <w:rsid w:val="00D97362"/>
    <w:rsid w:val="00DA4A6D"/>
    <w:rsid w:val="00DA6EB1"/>
    <w:rsid w:val="00DB1158"/>
    <w:rsid w:val="00DE1039"/>
    <w:rsid w:val="00DE3FDF"/>
    <w:rsid w:val="00DF6453"/>
    <w:rsid w:val="00E04A42"/>
    <w:rsid w:val="00E06534"/>
    <w:rsid w:val="00E10719"/>
    <w:rsid w:val="00E159A6"/>
    <w:rsid w:val="00E172A0"/>
    <w:rsid w:val="00E172B6"/>
    <w:rsid w:val="00E20174"/>
    <w:rsid w:val="00E2274D"/>
    <w:rsid w:val="00E333BE"/>
    <w:rsid w:val="00E416B0"/>
    <w:rsid w:val="00E663A9"/>
    <w:rsid w:val="00E74CCB"/>
    <w:rsid w:val="00E82AB6"/>
    <w:rsid w:val="00E96583"/>
    <w:rsid w:val="00EA32A9"/>
    <w:rsid w:val="00EA55F1"/>
    <w:rsid w:val="00EB2FE3"/>
    <w:rsid w:val="00EB5E9B"/>
    <w:rsid w:val="00EC2603"/>
    <w:rsid w:val="00ED17CA"/>
    <w:rsid w:val="00ED3519"/>
    <w:rsid w:val="00ED759D"/>
    <w:rsid w:val="00EF6749"/>
    <w:rsid w:val="00F04250"/>
    <w:rsid w:val="00F13CED"/>
    <w:rsid w:val="00F26121"/>
    <w:rsid w:val="00F27DE2"/>
    <w:rsid w:val="00F36524"/>
    <w:rsid w:val="00F428BE"/>
    <w:rsid w:val="00F50073"/>
    <w:rsid w:val="00F66727"/>
    <w:rsid w:val="00F70C3E"/>
    <w:rsid w:val="00F86020"/>
    <w:rsid w:val="00FA01C6"/>
    <w:rsid w:val="00FA0645"/>
    <w:rsid w:val="00FB3BC1"/>
    <w:rsid w:val="00FC532D"/>
    <w:rsid w:val="00FD70DC"/>
    <w:rsid w:val="00FF0FE7"/>
    <w:rsid w:val="00FF1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1">
    <w:name w:val="EmailStyle20"/>
    <w:aliases w:val="EmailStyle20"/>
    <w:basedOn w:val="DefaultParagraphFont"/>
    <w:semiHidden/>
    <w:personal/>
    <w:personalCompose/>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11152778">
      <w:bodyDiv w:val="1"/>
      <w:marLeft w:val="0"/>
      <w:marRight w:val="0"/>
      <w:marTop w:val="0"/>
      <w:marBottom w:val="0"/>
      <w:divBdr>
        <w:top w:val="none" w:sz="0" w:space="0" w:color="auto"/>
        <w:left w:val="none" w:sz="0" w:space="0" w:color="auto"/>
        <w:bottom w:val="none" w:sz="0" w:space="0" w:color="auto"/>
        <w:right w:val="none" w:sz="0" w:space="0" w:color="auto"/>
      </w:divBdr>
    </w:div>
    <w:div w:id="27684325">
      <w:bodyDiv w:val="1"/>
      <w:marLeft w:val="0"/>
      <w:marRight w:val="0"/>
      <w:marTop w:val="0"/>
      <w:marBottom w:val="0"/>
      <w:divBdr>
        <w:top w:val="none" w:sz="0" w:space="0" w:color="auto"/>
        <w:left w:val="none" w:sz="0" w:space="0" w:color="auto"/>
        <w:bottom w:val="none" w:sz="0" w:space="0" w:color="auto"/>
        <w:right w:val="none" w:sz="0" w:space="0" w:color="auto"/>
      </w:divBdr>
    </w:div>
    <w:div w:id="39013648">
      <w:bodyDiv w:val="1"/>
      <w:marLeft w:val="0"/>
      <w:marRight w:val="0"/>
      <w:marTop w:val="0"/>
      <w:marBottom w:val="0"/>
      <w:divBdr>
        <w:top w:val="none" w:sz="0" w:space="0" w:color="auto"/>
        <w:left w:val="none" w:sz="0" w:space="0" w:color="auto"/>
        <w:bottom w:val="none" w:sz="0" w:space="0" w:color="auto"/>
        <w:right w:val="none" w:sz="0" w:space="0" w:color="auto"/>
      </w:divBdr>
    </w:div>
    <w:div w:id="178545549">
      <w:bodyDiv w:val="1"/>
      <w:marLeft w:val="0"/>
      <w:marRight w:val="0"/>
      <w:marTop w:val="0"/>
      <w:marBottom w:val="0"/>
      <w:divBdr>
        <w:top w:val="none" w:sz="0" w:space="0" w:color="auto"/>
        <w:left w:val="none" w:sz="0" w:space="0" w:color="auto"/>
        <w:bottom w:val="none" w:sz="0" w:space="0" w:color="auto"/>
        <w:right w:val="none" w:sz="0" w:space="0" w:color="auto"/>
      </w:divBdr>
    </w:div>
    <w:div w:id="1002779988">
      <w:bodyDiv w:val="1"/>
      <w:marLeft w:val="0"/>
      <w:marRight w:val="0"/>
      <w:marTop w:val="0"/>
      <w:marBottom w:val="0"/>
      <w:divBdr>
        <w:top w:val="none" w:sz="0" w:space="0" w:color="auto"/>
        <w:left w:val="none" w:sz="0" w:space="0" w:color="auto"/>
        <w:bottom w:val="none" w:sz="0" w:space="0" w:color="auto"/>
        <w:right w:val="none" w:sz="0" w:space="0" w:color="auto"/>
      </w:divBdr>
    </w:div>
    <w:div w:id="1067342627">
      <w:bodyDiv w:val="1"/>
      <w:marLeft w:val="0"/>
      <w:marRight w:val="0"/>
      <w:marTop w:val="0"/>
      <w:marBottom w:val="0"/>
      <w:divBdr>
        <w:top w:val="none" w:sz="0" w:space="0" w:color="auto"/>
        <w:left w:val="none" w:sz="0" w:space="0" w:color="auto"/>
        <w:bottom w:val="none" w:sz="0" w:space="0" w:color="auto"/>
        <w:right w:val="none" w:sz="0" w:space="0" w:color="auto"/>
      </w:divBdr>
    </w:div>
    <w:div w:id="17270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unv</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baris.soybilgen</dc:creator>
  <cp:keywords/>
  <cp:lastModifiedBy>baris.soybilgen</cp:lastModifiedBy>
  <cp:revision>3</cp:revision>
  <cp:lastPrinted>2013-04-01T10:54:00Z</cp:lastPrinted>
  <dcterms:created xsi:type="dcterms:W3CDTF">2013-04-05T08:59:00Z</dcterms:created>
  <dcterms:modified xsi:type="dcterms:W3CDTF">2013-04-05T09:02:00Z</dcterms:modified>
</cp:coreProperties>
</file>