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E01" w:rsidRDefault="00945B67" w:rsidP="00F30B8B">
      <w:pPr>
        <w:tabs>
          <w:tab w:val="left" w:pos="1065"/>
        </w:tabs>
        <w:jc w:val="both"/>
        <w:rPr>
          <w:b/>
          <w:bCs/>
          <w:sz w:val="28"/>
          <w:szCs w:val="28"/>
        </w:rPr>
      </w:pPr>
      <w:r w:rsidRPr="00945B67">
        <w:rPr>
          <w:noProof/>
        </w:rPr>
        <w:pict>
          <v:shapetype id="_x0000_t202" coordsize="21600,21600" o:spt="202" path="m,l,21600r21600,l21600,xe">
            <v:stroke joinstyle="miter"/>
            <v:path gradientshapeok="t" o:connecttype="rect"/>
          </v:shapetype>
          <v:shape id="_x0000_s1026" type="#_x0000_t202" style="position:absolute;left:0;text-align:left;margin-left:414pt;margin-top:18pt;width:99pt;height:27pt;z-index:251655680;mso-wrap-edited:f" filled="f" stroked="f">
            <v:fill o:detectmouseclick="t"/>
            <v:textbox style="mso-next-textbox:#_x0000_s1026" inset=",7.2pt,,7.2pt">
              <w:txbxContent>
                <w:p w:rsidR="00DC7E01" w:rsidRPr="00135C1E" w:rsidRDefault="00DC7E01" w:rsidP="00ED79AA">
                  <w:pPr>
                    <w:jc w:val="right"/>
                    <w:rPr>
                      <w:rFonts w:ascii="Cambria" w:hAnsi="Cambria" w:cs="Cambria"/>
                      <w:b/>
                      <w:bCs/>
                      <w:color w:val="FFFFFF"/>
                    </w:rPr>
                  </w:pPr>
                  <w:r>
                    <w:rPr>
                      <w:rFonts w:ascii="Cambria" w:hAnsi="Cambria" w:cs="Cambria"/>
                      <w:b/>
                      <w:bCs/>
                      <w:color w:val="FFFFFF"/>
                    </w:rPr>
                    <w:t xml:space="preserve">  29</w:t>
                  </w:r>
                  <w:r w:rsidRPr="00135C1E">
                    <w:rPr>
                      <w:rFonts w:ascii="Cambria" w:hAnsi="Cambria" w:cs="Cambria"/>
                      <w:b/>
                      <w:bCs/>
                      <w:color w:val="FFFFFF"/>
                    </w:rPr>
                    <w:t>.</w:t>
                  </w:r>
                  <w:r>
                    <w:rPr>
                      <w:rFonts w:ascii="Cambria" w:hAnsi="Cambria" w:cs="Cambria"/>
                      <w:b/>
                      <w:bCs/>
                      <w:color w:val="FFFFFF"/>
                    </w:rPr>
                    <w:t>04.2013</w:t>
                  </w:r>
                </w:p>
              </w:txbxContent>
            </v:textbox>
          </v:shape>
        </w:pict>
      </w:r>
      <w:r w:rsidRPr="00945B67">
        <w:rPr>
          <w:noProof/>
        </w:rPr>
        <w:pict>
          <v:shape id="_x0000_s1027" type="#_x0000_t202" style="position:absolute;left:0;text-align:left;margin-left:162pt;margin-top:-36pt;width:270pt;height:36pt;z-index:251654656;mso-wrap-edited:f" filled="f" stroked="f">
            <v:fill o:detectmouseclick="t"/>
            <v:textbox style="mso-next-textbox:#_x0000_s1027" inset=",7.2pt,,7.2pt">
              <w:txbxContent>
                <w:p w:rsidR="00DC7E01" w:rsidRPr="00196536" w:rsidRDefault="00DC7E01" w:rsidP="00ED79AA">
                  <w:pPr>
                    <w:rPr>
                      <w:rFonts w:ascii="Cambria" w:hAnsi="Cambria" w:cs="Cambria"/>
                      <w:b/>
                      <w:bCs/>
                      <w:sz w:val="44"/>
                      <w:szCs w:val="44"/>
                    </w:rPr>
                  </w:pPr>
                  <w:r w:rsidRPr="00196536">
                    <w:rPr>
                      <w:sz w:val="38"/>
                      <w:szCs w:val="38"/>
                    </w:rPr>
                    <w:t xml:space="preserve"> </w:t>
                  </w:r>
                  <w:r>
                    <w:rPr>
                      <w:rFonts w:ascii="Cambria" w:hAnsi="Cambria" w:cs="Cambria"/>
                      <w:b/>
                      <w:bCs/>
                      <w:sz w:val="44"/>
                      <w:szCs w:val="44"/>
                    </w:rPr>
                    <w:t>Araş</w:t>
                  </w:r>
                  <w:r w:rsidRPr="00196536">
                    <w:rPr>
                      <w:rFonts w:ascii="Cambria" w:hAnsi="Cambria" w:cs="Cambria"/>
                      <w:b/>
                      <w:bCs/>
                      <w:sz w:val="44"/>
                      <w:szCs w:val="44"/>
                    </w:rPr>
                    <w:t>tırma Notu</w:t>
                  </w:r>
                  <w:r>
                    <w:rPr>
                      <w:rFonts w:ascii="Cambria" w:hAnsi="Cambria" w:cs="Cambria"/>
                      <w:b/>
                      <w:bCs/>
                      <w:sz w:val="44"/>
                      <w:szCs w:val="44"/>
                    </w:rPr>
                    <w:t xml:space="preserve">  13/148</w:t>
                  </w:r>
                </w:p>
              </w:txbxContent>
            </v:textbox>
          </v:shape>
        </w:pict>
      </w:r>
      <w:r w:rsidR="00F33347">
        <w:rPr>
          <w:noProof/>
          <w:lang w:val="en-US" w:eastAsia="en-US"/>
        </w:rPr>
        <w:drawing>
          <wp:anchor distT="0" distB="0" distL="114300" distR="114300" simplePos="0" relativeHeight="251653632" behindDoc="0" locked="0" layoutInCell="1" allowOverlap="1">
            <wp:simplePos x="0" y="0"/>
            <wp:positionH relativeFrom="column">
              <wp:posOffset>-800100</wp:posOffset>
            </wp:positionH>
            <wp:positionV relativeFrom="paragraph">
              <wp:posOffset>-800100</wp:posOffset>
            </wp:positionV>
            <wp:extent cx="7315200" cy="1435735"/>
            <wp:effectExtent l="19050" t="0" r="0" b="0"/>
            <wp:wrapSquare wrapText="bothSides"/>
            <wp:docPr id="4"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7"/>
                    <a:srcRect/>
                    <a:stretch>
                      <a:fillRect/>
                    </a:stretch>
                  </pic:blipFill>
                  <pic:spPr bwMode="auto">
                    <a:xfrm>
                      <a:off x="0" y="0"/>
                      <a:ext cx="7315200" cy="1435735"/>
                    </a:xfrm>
                    <a:prstGeom prst="rect">
                      <a:avLst/>
                    </a:prstGeom>
                    <a:noFill/>
                  </pic:spPr>
                </pic:pic>
              </a:graphicData>
            </a:graphic>
          </wp:anchor>
        </w:drawing>
      </w:r>
    </w:p>
    <w:p w:rsidR="00DC7E01" w:rsidRPr="000A404B" w:rsidRDefault="00DC7E01" w:rsidP="00F30B8B">
      <w:pPr>
        <w:jc w:val="center"/>
        <w:rPr>
          <w:rFonts w:ascii="Arial" w:hAnsi="Arial" w:cs="Arial"/>
          <w:b/>
          <w:bCs/>
          <w:sz w:val="28"/>
          <w:szCs w:val="28"/>
        </w:rPr>
      </w:pPr>
      <w:r w:rsidRPr="000A404B">
        <w:rPr>
          <w:rFonts w:ascii="Arial" w:hAnsi="Arial" w:cs="Arial"/>
          <w:b/>
          <w:bCs/>
          <w:sz w:val="28"/>
          <w:szCs w:val="28"/>
        </w:rPr>
        <w:t>DENGELİ BÜYÜME ZOR GÖRÜNÜYOR</w:t>
      </w:r>
    </w:p>
    <w:p w:rsidR="00DC7E01" w:rsidRPr="00EB09C5" w:rsidRDefault="00DC7E01" w:rsidP="00F30B8B">
      <w:pPr>
        <w:jc w:val="center"/>
        <w:rPr>
          <w:rFonts w:ascii="Arial" w:hAnsi="Arial" w:cs="Arial"/>
          <w:b/>
          <w:bCs/>
          <w:sz w:val="20"/>
          <w:szCs w:val="20"/>
        </w:rPr>
      </w:pPr>
    </w:p>
    <w:p w:rsidR="00DC7E01" w:rsidRPr="00016575" w:rsidRDefault="00DC7E01" w:rsidP="00016575">
      <w:pPr>
        <w:ind w:right="-317"/>
        <w:jc w:val="center"/>
        <w:outlineLvl w:val="0"/>
        <w:rPr>
          <w:rFonts w:ascii="Arial" w:hAnsi="Arial" w:cs="Arial"/>
          <w:b/>
          <w:bCs/>
          <w:sz w:val="20"/>
          <w:szCs w:val="20"/>
          <w:vertAlign w:val="superscript"/>
        </w:rPr>
      </w:pPr>
      <w:r w:rsidRPr="00016575">
        <w:rPr>
          <w:rFonts w:ascii="Arial" w:hAnsi="Arial" w:cs="Arial"/>
          <w:b/>
          <w:bCs/>
          <w:sz w:val="20"/>
          <w:szCs w:val="20"/>
        </w:rPr>
        <w:t>Seyfettin Gürsel</w:t>
      </w:r>
      <w:r w:rsidRPr="00016575">
        <w:rPr>
          <w:rFonts w:ascii="Arial" w:hAnsi="Arial" w:cs="Arial"/>
          <w:b/>
          <w:bCs/>
          <w:sz w:val="20"/>
          <w:szCs w:val="20"/>
          <w:vertAlign w:val="superscript"/>
        </w:rPr>
        <w:footnoteReference w:customMarkFollows="1" w:id="2"/>
        <w:t>*</w:t>
      </w:r>
      <w:r w:rsidRPr="00016575">
        <w:rPr>
          <w:rFonts w:ascii="Arial" w:hAnsi="Arial" w:cs="Arial"/>
          <w:b/>
          <w:bCs/>
          <w:sz w:val="20"/>
          <w:szCs w:val="20"/>
        </w:rPr>
        <w:t>, Zümrüt İmamoğlu* ve Barış Soybilgen</w:t>
      </w:r>
      <w:r w:rsidRPr="00016575">
        <w:rPr>
          <w:rFonts w:ascii="Arial" w:hAnsi="Arial" w:cs="Arial"/>
          <w:b/>
          <w:bCs/>
          <w:sz w:val="20"/>
          <w:szCs w:val="20"/>
          <w:vertAlign w:val="superscript"/>
        </w:rPr>
        <w:t>†</w:t>
      </w:r>
    </w:p>
    <w:p w:rsidR="00DC7E01" w:rsidRPr="00EB09C5" w:rsidRDefault="00DC7E01" w:rsidP="00134560">
      <w:pPr>
        <w:jc w:val="center"/>
        <w:rPr>
          <w:rFonts w:ascii="Arial" w:hAnsi="Arial" w:cs="Arial"/>
          <w:b/>
          <w:bCs/>
          <w:sz w:val="20"/>
          <w:szCs w:val="20"/>
        </w:rPr>
      </w:pPr>
    </w:p>
    <w:p w:rsidR="00DC7E01" w:rsidRPr="00EB09C5" w:rsidRDefault="00DC7E01" w:rsidP="00134560">
      <w:pPr>
        <w:jc w:val="center"/>
        <w:rPr>
          <w:rFonts w:ascii="Arial" w:hAnsi="Arial" w:cs="Arial"/>
          <w:b/>
          <w:bCs/>
          <w:sz w:val="20"/>
          <w:szCs w:val="20"/>
        </w:rPr>
      </w:pPr>
    </w:p>
    <w:p w:rsidR="00DC7E01" w:rsidRPr="000A404B" w:rsidRDefault="00DC7E01" w:rsidP="00134560">
      <w:pPr>
        <w:jc w:val="center"/>
        <w:rPr>
          <w:rFonts w:ascii="Arial" w:hAnsi="Arial" w:cs="Arial"/>
          <w:b/>
          <w:bCs/>
          <w:sz w:val="22"/>
          <w:szCs w:val="22"/>
        </w:rPr>
      </w:pPr>
      <w:r w:rsidRPr="000A404B">
        <w:rPr>
          <w:rFonts w:ascii="Arial" w:hAnsi="Arial" w:cs="Arial"/>
          <w:b/>
          <w:bCs/>
          <w:sz w:val="22"/>
          <w:szCs w:val="22"/>
        </w:rPr>
        <w:t>Yönetici Özeti</w:t>
      </w:r>
    </w:p>
    <w:p w:rsidR="00DC7E01" w:rsidRDefault="00DC7E01" w:rsidP="00134560">
      <w:pPr>
        <w:jc w:val="center"/>
        <w:rPr>
          <w:rFonts w:ascii="Arial" w:hAnsi="Arial" w:cs="Arial"/>
          <w:b/>
          <w:bCs/>
          <w:sz w:val="20"/>
          <w:szCs w:val="20"/>
        </w:rPr>
      </w:pPr>
    </w:p>
    <w:p w:rsidR="00DC7E01" w:rsidRDefault="00DC7E01" w:rsidP="001359AE">
      <w:pPr>
        <w:jc w:val="both"/>
        <w:rPr>
          <w:rFonts w:ascii="Arial" w:hAnsi="Arial" w:cs="Arial"/>
          <w:sz w:val="20"/>
          <w:szCs w:val="20"/>
        </w:rPr>
      </w:pPr>
      <w:r>
        <w:rPr>
          <w:rFonts w:ascii="Arial" w:hAnsi="Arial" w:cs="Arial"/>
          <w:sz w:val="20"/>
          <w:szCs w:val="20"/>
        </w:rPr>
        <w:t>Küresel krizin ertesinde Türkiye ekonomisinde yaşanan iç talebe ve dış finansmana dayalı yüksek büyüme cari açığı rekor düzeylere ulaştırınca, ekonomi yönetimi ilk kez ön</w:t>
      </w:r>
      <w:r w:rsidR="00424519">
        <w:rPr>
          <w:rFonts w:ascii="Arial" w:hAnsi="Arial" w:cs="Arial"/>
          <w:sz w:val="20"/>
          <w:szCs w:val="20"/>
        </w:rPr>
        <w:t>lem</w:t>
      </w:r>
      <w:r>
        <w:rPr>
          <w:rFonts w:ascii="Arial" w:hAnsi="Arial" w:cs="Arial"/>
          <w:sz w:val="20"/>
          <w:szCs w:val="20"/>
        </w:rPr>
        <w:t xml:space="preserve"> alarak ekonomiyi soğutma ve büyümeyi daha dengeli bir patikaya oturtma kararı aldı. Dengeli büyüme, gerek iç talebin gerekse dış talebin (net ihracatın) büyümeye birlikte katkı yaptıkları bir süreç olarak tanımlanıyor. 2012 yılında ekonomi bilinçli olarak soğutuldu ancak büyüme dengeli olmadı; iç talep daralırken, büyümeyi ihracatın ithalattan daha hızlı artması sayesinde dış talep (net ihracat) sırtladı. 2013’te ekonomi yönetimi net ihracatın pozitif katkısı devam ederken, iç talebin de canlanarak büyümeye kontrollü destek vermesini planlamış durumda. Kısacası, dengeli büyüme hedefinin 2013 yılında gerçekleşmesini bekliyor.</w:t>
      </w:r>
    </w:p>
    <w:p w:rsidR="00DC7E01" w:rsidRDefault="00DC7E01" w:rsidP="001359AE">
      <w:pPr>
        <w:jc w:val="both"/>
        <w:rPr>
          <w:rFonts w:ascii="Arial" w:hAnsi="Arial" w:cs="Arial"/>
          <w:sz w:val="20"/>
          <w:szCs w:val="20"/>
        </w:rPr>
      </w:pPr>
    </w:p>
    <w:p w:rsidR="00DC7E01" w:rsidRDefault="00DC7E01" w:rsidP="001359AE">
      <w:pPr>
        <w:jc w:val="both"/>
        <w:rPr>
          <w:rFonts w:ascii="Arial" w:hAnsi="Arial" w:cs="Arial"/>
          <w:sz w:val="20"/>
          <w:szCs w:val="20"/>
        </w:rPr>
      </w:pPr>
      <w:r>
        <w:rPr>
          <w:rFonts w:ascii="Arial" w:hAnsi="Arial" w:cs="Arial"/>
          <w:sz w:val="20"/>
          <w:szCs w:val="20"/>
        </w:rPr>
        <w:t>Bu mümkün olabilecek mi? Betam bu araştırma notunda, sorunun oldukça karmaşık olan yanıtına Türkiye ekonomisinin yakın geçmişteki büyümesinin niteliğini gözlemleyerek ve bu gözlemleri Almanya ve Güney Kore ekonomileri ile karşılaştırarak katkıda bulunmayı amaçlıyor. 1998-2012 döneminde yukarıdaki tanıma uygun olarak dengeli büyümenin kaç çeyrek gerçekleştiği araştırıldığında 55 çeyrekten sadece 12 sinde dengeli büyümenin (çeyrekten çeyreğe) mevcut olduğu görülüyor. Dahası dengeli büyüme bir çeyrekten fazla sürmüyor. Buna karşılık Alman ve Güney Kore ekonomilerinde dengeli büyümenin hem daha fazla sayıda çeyrekte gerçekleştiği hem de iki, üç hatta dört çeyrek ardı ardına dengeli büyüme dönemlerinin olabildiği görülüyor. Bu gözlemler</w:t>
      </w:r>
      <w:r w:rsidR="00424519">
        <w:rPr>
          <w:rFonts w:ascii="Arial" w:hAnsi="Arial" w:cs="Arial"/>
          <w:sz w:val="20"/>
          <w:szCs w:val="20"/>
        </w:rPr>
        <w:t>e dayanarak araştırma notunda</w:t>
      </w:r>
      <w:r>
        <w:rPr>
          <w:rFonts w:ascii="Arial" w:hAnsi="Arial" w:cs="Arial"/>
          <w:sz w:val="20"/>
          <w:szCs w:val="20"/>
        </w:rPr>
        <w:t xml:space="preserve"> Türkiye ekonomisinde dengeli büyümenin yapısal nedenlerle oldukça zor olduğu, bu yıl büyümenin yine tek yönlü olacağı ama bu kez iç talebe dayalı olarak gerçekleşeceği sonucuna varılıyor.</w:t>
      </w:r>
    </w:p>
    <w:p w:rsidR="00DC7E01" w:rsidRDefault="00DC7E01" w:rsidP="003B74F5">
      <w:pPr>
        <w:rPr>
          <w:rFonts w:ascii="Arial" w:hAnsi="Arial" w:cs="Arial"/>
          <w:sz w:val="20"/>
          <w:szCs w:val="20"/>
        </w:rPr>
      </w:pPr>
    </w:p>
    <w:p w:rsidR="00DC7E01" w:rsidRPr="003B74F5" w:rsidRDefault="00DC7E01" w:rsidP="003B74F5">
      <w:pPr>
        <w:rPr>
          <w:rFonts w:ascii="Arial" w:hAnsi="Arial" w:cs="Arial"/>
          <w:sz w:val="20"/>
          <w:szCs w:val="20"/>
        </w:rPr>
      </w:pPr>
    </w:p>
    <w:p w:rsidR="00DC7E01" w:rsidRPr="000A404B" w:rsidRDefault="00DC7E01" w:rsidP="00252D43">
      <w:pPr>
        <w:spacing w:line="276" w:lineRule="auto"/>
        <w:jc w:val="both"/>
        <w:rPr>
          <w:rFonts w:ascii="Arial" w:hAnsi="Arial" w:cs="Arial"/>
          <w:b/>
          <w:bCs/>
          <w:sz w:val="22"/>
          <w:szCs w:val="22"/>
        </w:rPr>
      </w:pPr>
      <w:r w:rsidRPr="000A404B">
        <w:rPr>
          <w:rFonts w:ascii="Arial" w:hAnsi="Arial" w:cs="Arial"/>
          <w:b/>
          <w:bCs/>
          <w:sz w:val="22"/>
          <w:szCs w:val="22"/>
        </w:rPr>
        <w:t>Dengeli büyüme</w:t>
      </w:r>
    </w:p>
    <w:p w:rsidR="00DC7E01" w:rsidRPr="00EB09C5" w:rsidRDefault="00DC7E01" w:rsidP="00252D43">
      <w:pPr>
        <w:spacing w:line="276" w:lineRule="auto"/>
        <w:jc w:val="both"/>
        <w:rPr>
          <w:rFonts w:ascii="Arial" w:hAnsi="Arial" w:cs="Arial"/>
          <w:b/>
          <w:bCs/>
          <w:sz w:val="20"/>
          <w:szCs w:val="20"/>
        </w:rPr>
      </w:pPr>
    </w:p>
    <w:p w:rsidR="00DC7E01" w:rsidRPr="00EB09C5" w:rsidRDefault="00DC7E01" w:rsidP="00252D43">
      <w:pPr>
        <w:spacing w:line="276" w:lineRule="auto"/>
        <w:jc w:val="both"/>
        <w:rPr>
          <w:rFonts w:ascii="Arial" w:hAnsi="Arial" w:cs="Arial"/>
          <w:sz w:val="20"/>
          <w:szCs w:val="20"/>
        </w:rPr>
      </w:pPr>
      <w:r w:rsidRPr="00EB09C5">
        <w:rPr>
          <w:rFonts w:ascii="Arial" w:hAnsi="Arial" w:cs="Arial"/>
          <w:sz w:val="20"/>
          <w:szCs w:val="20"/>
        </w:rPr>
        <w:t>Büyük Durgunluğu (</w:t>
      </w:r>
      <w:r w:rsidRPr="00EB09C5">
        <w:rPr>
          <w:rFonts w:ascii="Arial" w:hAnsi="Arial" w:cs="Arial"/>
          <w:i/>
          <w:iCs/>
          <w:sz w:val="20"/>
          <w:szCs w:val="20"/>
        </w:rPr>
        <w:t xml:space="preserve">Great Recession) </w:t>
      </w:r>
      <w:r w:rsidRPr="00EB09C5">
        <w:rPr>
          <w:rFonts w:ascii="Arial" w:hAnsi="Arial" w:cs="Arial"/>
          <w:sz w:val="20"/>
          <w:szCs w:val="20"/>
        </w:rPr>
        <w:t>takip eden dönemde Türkiye ekonomisi göz kamaştıran bir büyüme performansı gerçekleştirdi. GSYH 2010’da yüzde 9,2, 2011’de yüzde 8,8 arttı. Türkiye Çin’in ardından en yüksek büyüme hızını yakalayan ülke oldu. Ancak bu yüksek büyüme salt iç talepten kaynaklandığından, kriz öncesinde (2008)  40,4 milyar dolar olan cari açık 75 milyara, cari açığın GSYH’ya oranı da (cari açık oranı) yüzde 5,5’den yüzde 9,7’ye yükseldi. Türkiye ekonomisi büyüme rekoru yanı sıra cari açık rekoru da kırmıştı. Geçmiş deneyimler büyük ölçüde borçla finanse edilen cari açığın</w:t>
      </w:r>
      <w:r w:rsidRPr="00EB09C5">
        <w:rPr>
          <w:rStyle w:val="FootnoteReference"/>
          <w:rFonts w:ascii="Arial" w:hAnsi="Arial" w:cs="Arial"/>
          <w:sz w:val="20"/>
          <w:szCs w:val="20"/>
        </w:rPr>
        <w:footnoteReference w:id="3"/>
      </w:r>
      <w:r w:rsidRPr="00EB09C5">
        <w:rPr>
          <w:rFonts w:ascii="Arial" w:hAnsi="Arial" w:cs="Arial"/>
          <w:sz w:val="20"/>
          <w:szCs w:val="20"/>
        </w:rPr>
        <w:t xml:space="preserve"> sürdürülemez olduğunu gösteriyordu. Bu nitelikteki dönemleri sert kur düzeltmelerinin ve bu düzeltmelere bağlı olarak sert küçülmelerin takip etmesi Türkiye için sıradan olgulardı.</w:t>
      </w:r>
    </w:p>
    <w:p w:rsidR="00DC7E01" w:rsidRPr="00EB09C5" w:rsidRDefault="00DC7E01" w:rsidP="00252D43">
      <w:pPr>
        <w:spacing w:line="276" w:lineRule="auto"/>
        <w:jc w:val="both"/>
        <w:rPr>
          <w:rFonts w:ascii="Arial" w:hAnsi="Arial" w:cs="Arial"/>
          <w:sz w:val="20"/>
          <w:szCs w:val="20"/>
        </w:rPr>
      </w:pPr>
    </w:p>
    <w:p w:rsidR="00DC7E01" w:rsidRPr="00EB09C5" w:rsidRDefault="00DC7E01" w:rsidP="00252D43">
      <w:pPr>
        <w:spacing w:line="276" w:lineRule="auto"/>
        <w:jc w:val="both"/>
        <w:rPr>
          <w:rFonts w:ascii="Arial" w:hAnsi="Arial" w:cs="Arial"/>
          <w:sz w:val="20"/>
          <w:szCs w:val="20"/>
        </w:rPr>
      </w:pPr>
      <w:r w:rsidRPr="00EB09C5">
        <w:rPr>
          <w:rFonts w:ascii="Arial" w:hAnsi="Arial" w:cs="Arial"/>
          <w:sz w:val="20"/>
          <w:szCs w:val="20"/>
        </w:rPr>
        <w:t xml:space="preserve">Açık piyasa ekonomisi döneminde (1980 sonrası) ekonomi yönetimi (Hükümet ve Merkez Bankası) kaçınılmaz düzeltmeyi piyasanın hoyrat ellerine bırakmak yerine ilk kez proaktif davranarak, 2010 son çeyreğinden itibaren ekonomiyi kontrollü bir şekilde soğutarak büyüme için yumuşak bir iniş planladı. Ekim 2011’de açıklanan Orta Vadeli Program 2012 büyümesini yüzde 4 olarak öngörüyor, aynı </w:t>
      </w:r>
      <w:r w:rsidRPr="00EB09C5">
        <w:rPr>
          <w:rFonts w:ascii="Arial" w:hAnsi="Arial" w:cs="Arial"/>
          <w:sz w:val="20"/>
          <w:szCs w:val="20"/>
        </w:rPr>
        <w:lastRenderedPageBreak/>
        <w:t xml:space="preserve">zamanda da toplam yurtiçi talebin yüzde 3,9 oranında artacağını, net ihracatın da 0,1 puanlık katkısıyla, cari açığın 72 milyardan 65 milyara, cari açık oranının da yüzde 8’e gerilemesi planlıyordu. Bu amaçla Merkez Bankası tarafından “yeni para politikası” olarak anılan farklı araçlar devreye sokuldu. Esas olarak, yıllık artış temposu yüzde 40’lara yükselen kredi artışı frenlenirken, faizler aracılığı ile Türk Lirası’na kontrollü bir şekilde değer kaybettirildi. </w:t>
      </w:r>
    </w:p>
    <w:p w:rsidR="00DC7E01" w:rsidRPr="00EB09C5" w:rsidRDefault="00DC7E01" w:rsidP="00252D43">
      <w:pPr>
        <w:spacing w:line="276" w:lineRule="auto"/>
        <w:jc w:val="both"/>
        <w:rPr>
          <w:rFonts w:ascii="Arial" w:hAnsi="Arial" w:cs="Arial"/>
          <w:sz w:val="20"/>
          <w:szCs w:val="20"/>
        </w:rPr>
      </w:pPr>
    </w:p>
    <w:p w:rsidR="00DC7E01" w:rsidRPr="00EB09C5" w:rsidRDefault="00DC7E01" w:rsidP="00252D43">
      <w:pPr>
        <w:spacing w:line="276" w:lineRule="auto"/>
        <w:jc w:val="both"/>
        <w:rPr>
          <w:rFonts w:ascii="Arial" w:hAnsi="Arial" w:cs="Arial"/>
          <w:sz w:val="20"/>
          <w:szCs w:val="20"/>
        </w:rPr>
      </w:pPr>
      <w:r w:rsidRPr="00EB09C5">
        <w:rPr>
          <w:rFonts w:ascii="Arial" w:hAnsi="Arial" w:cs="Arial"/>
          <w:sz w:val="20"/>
          <w:szCs w:val="20"/>
        </w:rPr>
        <w:t xml:space="preserve">Sonucun beklendiği gibi olmadığını biliyoruz. 2012 yılında iç talep geriledi. Özel tüketim yüzde 0,7, özel yatırımlar ise yüzde 4,5 oranında azaldı. Kısmen Türk Lirası’nın rekabet gücü kazanması, </w:t>
      </w:r>
      <w:r>
        <w:rPr>
          <w:rFonts w:ascii="Arial" w:hAnsi="Arial" w:cs="Arial"/>
          <w:sz w:val="20"/>
          <w:szCs w:val="20"/>
        </w:rPr>
        <w:t>daha çok da</w:t>
      </w:r>
      <w:r w:rsidRPr="00EB09C5">
        <w:rPr>
          <w:rFonts w:ascii="Arial" w:hAnsi="Arial" w:cs="Arial"/>
          <w:sz w:val="20"/>
          <w:szCs w:val="20"/>
        </w:rPr>
        <w:t xml:space="preserve"> iç talebin gerilemesiyle cari açıkta düzeltme beklenenden çok daha sert oldu. Cari açık 47,4 milyar dolara gerilerken, cari açık oranı yüzde 6’ya düştü. GSYH büyüme oranı ise yüzde 4 yerine yüzde 2,2’de kaldı. Dengeli büyüme gerçekleşemedi. </w:t>
      </w:r>
    </w:p>
    <w:p w:rsidR="00DC7E01" w:rsidRPr="00EB09C5" w:rsidRDefault="00DC7E01" w:rsidP="00252D43">
      <w:pPr>
        <w:spacing w:line="276" w:lineRule="auto"/>
        <w:jc w:val="both"/>
        <w:rPr>
          <w:rFonts w:ascii="Arial" w:hAnsi="Arial" w:cs="Arial"/>
          <w:sz w:val="20"/>
          <w:szCs w:val="20"/>
        </w:rPr>
      </w:pPr>
    </w:p>
    <w:p w:rsidR="00DC7E01" w:rsidRPr="00EB09C5" w:rsidRDefault="00DC7E01" w:rsidP="00252D43">
      <w:pPr>
        <w:spacing w:line="276" w:lineRule="auto"/>
        <w:jc w:val="both"/>
        <w:rPr>
          <w:rFonts w:ascii="Arial" w:hAnsi="Arial" w:cs="Arial"/>
          <w:sz w:val="20"/>
          <w:szCs w:val="20"/>
        </w:rPr>
      </w:pPr>
      <w:r w:rsidRPr="00EB09C5">
        <w:rPr>
          <w:rFonts w:ascii="Arial" w:hAnsi="Arial" w:cs="Arial"/>
          <w:sz w:val="20"/>
          <w:szCs w:val="20"/>
        </w:rPr>
        <w:t>Bununla birlikte ekonomi yönetimi pes etmiş değil. Ekim 2012 Orta Vadeli Programında yine dengeli bir büyüme öngörüldü. Büyüme oranı öngörüsü yüzde 4, yurtiçi nihai talep artışı öngörüsü de yüzde 4 olarak belirlendi. Mal ihracat ve ithalatının hemen hemen eşit oranda artacağı (sırasıyla yüzde 5,7 ve 5,6), turizm gelirlerinde yüzde 8 artış olacağı, cari açıkta çok sınırlı bir artış gerçekleşeceği (58,7 milyar dolardan 60,7 milyara), cari açık oranının da yüzde 7,3’den 7,1’e gerileyeceği tahmin edildi.</w:t>
      </w:r>
      <w:r w:rsidRPr="00EB09C5">
        <w:rPr>
          <w:rStyle w:val="FootnoteReference"/>
          <w:rFonts w:ascii="Arial" w:hAnsi="Arial" w:cs="Arial"/>
          <w:sz w:val="20"/>
          <w:szCs w:val="20"/>
        </w:rPr>
        <w:footnoteReference w:id="4"/>
      </w:r>
      <w:r w:rsidRPr="00EB09C5">
        <w:rPr>
          <w:rFonts w:ascii="Arial" w:hAnsi="Arial" w:cs="Arial"/>
          <w:sz w:val="20"/>
          <w:szCs w:val="20"/>
        </w:rPr>
        <w:t xml:space="preserve"> 2012 yılı gerçekleşmeleri yukarıda belirtildiği gibi bir miktar farklı olmuş olsa da, önemli olan ekonomi yönetiminin 2013’te iç talepte ölçülü bir canlanma ama aynı zamanda net ihracatın da büyümeye az da olsa pozitif katkı yapmaya devam edeceği ve cari açık oranının gerilemeye devam edeceği bir büyüme rejimi arzu ediyor olmasıdır. Merkez Bankası Başkanı Erdem Başçı’nın “dış talepteki artış ölçüsünde iç talep artışına izin verecekleri” şeklindeki beyanı oldukça iddialı görünmekle beraber, resmi büyüme stratejisinin esasını iyi ifade ettiğini söyleyebiliriz. </w:t>
      </w:r>
    </w:p>
    <w:p w:rsidR="00DC7E01" w:rsidRPr="00EB09C5" w:rsidRDefault="00DC7E01" w:rsidP="00252D43">
      <w:pPr>
        <w:spacing w:line="276" w:lineRule="auto"/>
        <w:jc w:val="both"/>
        <w:rPr>
          <w:rFonts w:ascii="Arial" w:hAnsi="Arial" w:cs="Arial"/>
          <w:sz w:val="20"/>
          <w:szCs w:val="20"/>
        </w:rPr>
      </w:pPr>
    </w:p>
    <w:p w:rsidR="00DC7E01" w:rsidRPr="00EB09C5" w:rsidRDefault="00DC7E01" w:rsidP="00252D43">
      <w:pPr>
        <w:spacing w:line="276" w:lineRule="auto"/>
        <w:jc w:val="both"/>
        <w:rPr>
          <w:rFonts w:ascii="Arial" w:hAnsi="Arial" w:cs="Arial"/>
          <w:sz w:val="20"/>
          <w:szCs w:val="20"/>
        </w:rPr>
      </w:pPr>
      <w:r w:rsidRPr="00EB09C5">
        <w:rPr>
          <w:rFonts w:ascii="Arial" w:hAnsi="Arial" w:cs="Arial"/>
          <w:sz w:val="20"/>
          <w:szCs w:val="20"/>
        </w:rPr>
        <w:t>Erdem Başçı’nın beyanını biraz farklı bir şekilde ifade edecek olursak, büyümeyi ‘bir tutam iç talep, bir tutam da dış talep’ desteğiyle sürdürebilir miyiz? Daha teknik ifadeyle, Türkiye ekonomisini iç talep ile net ihracatın büyümeye birlikte katkı yaptıkları bir patikaya oturtabilir miyiz? Bu sorunun nihai yanıtını 2013 yılı içersinde almış olacağız. Bununla birlikte muhtemel yanıta ışık tutmak amacıyla Türkiye ekonomisinin yakın geçmişinde (1998-2012) çeyrekten çeyreğe GSYH değişimleri dikkate alındığında dengeli büyüme tanımına uyan süreçler olup olmadığını, diğer ifadeyle iç talep ve net ihracatın birlikte büyümeye pozitif katkı yaptıkları dönemleri araştırdık. İhracata dayalı büyüme konusunda iddialı bir gelişme sürecini önceden tamamlamış bir ülke ile, bir de yeni gelişmiş bir ülkeyi, Almanya ve Güney Kore’yi Türkiye ile karışlaştırma amacıyla inceledik.</w:t>
      </w:r>
    </w:p>
    <w:p w:rsidR="00DC7E01" w:rsidRPr="00EB09C5" w:rsidRDefault="00DC7E01" w:rsidP="00252D43">
      <w:pPr>
        <w:spacing w:line="276" w:lineRule="auto"/>
        <w:jc w:val="both"/>
        <w:rPr>
          <w:rFonts w:ascii="Arial" w:hAnsi="Arial" w:cs="Arial"/>
          <w:sz w:val="20"/>
          <w:szCs w:val="20"/>
        </w:rPr>
      </w:pPr>
    </w:p>
    <w:p w:rsidR="00DC7E01" w:rsidRPr="00CD0E0A" w:rsidRDefault="00DC7E01" w:rsidP="00252D43">
      <w:pPr>
        <w:spacing w:line="276" w:lineRule="auto"/>
        <w:jc w:val="both"/>
        <w:rPr>
          <w:rFonts w:ascii="Arial" w:hAnsi="Arial" w:cs="Arial"/>
          <w:b/>
          <w:bCs/>
          <w:sz w:val="22"/>
          <w:szCs w:val="22"/>
        </w:rPr>
      </w:pPr>
      <w:r w:rsidRPr="00CD0E0A">
        <w:rPr>
          <w:rFonts w:ascii="Arial" w:hAnsi="Arial" w:cs="Arial"/>
          <w:b/>
          <w:bCs/>
          <w:sz w:val="22"/>
          <w:szCs w:val="22"/>
        </w:rPr>
        <w:t>Türkiye ekonomisinde dengeli büyüme istisna</w:t>
      </w:r>
    </w:p>
    <w:p w:rsidR="00DC7E01" w:rsidRPr="00EB09C5" w:rsidRDefault="00DC7E01" w:rsidP="00252D43">
      <w:pPr>
        <w:spacing w:line="276" w:lineRule="auto"/>
        <w:jc w:val="both"/>
        <w:rPr>
          <w:rFonts w:ascii="Arial" w:hAnsi="Arial" w:cs="Arial"/>
          <w:b/>
          <w:bCs/>
          <w:sz w:val="20"/>
          <w:szCs w:val="20"/>
        </w:rPr>
      </w:pPr>
    </w:p>
    <w:p w:rsidR="00DC7E01" w:rsidRPr="00EB09C5" w:rsidRDefault="00DC7E01" w:rsidP="00252D43">
      <w:pPr>
        <w:spacing w:line="276" w:lineRule="auto"/>
        <w:jc w:val="both"/>
        <w:rPr>
          <w:rFonts w:ascii="Arial" w:hAnsi="Arial" w:cs="Arial"/>
          <w:sz w:val="20"/>
          <w:szCs w:val="20"/>
        </w:rPr>
      </w:pPr>
      <w:r w:rsidRPr="00EB09C5">
        <w:rPr>
          <w:rFonts w:ascii="Arial" w:hAnsi="Arial" w:cs="Arial"/>
          <w:sz w:val="20"/>
          <w:szCs w:val="20"/>
        </w:rPr>
        <w:t>Şekil 1a’da Türkiye ekonomisinde 1998’den 2012’ye çeyrekten çeyreğe mevsim ve takvim etkilerinden arındırılmış büyüme oranları yer alıyor. İç talep ile net ihracatın büyümeye pozitif katkı yaptığı çeyrekler açık mavi bant ile işaretli. Şekil 1b’de ise iç talep ile net ihracatın çeyreklik büyüme oranlarına katkıları gösteriliyor.</w:t>
      </w:r>
      <w:r w:rsidRPr="00EB09C5">
        <w:rPr>
          <w:rFonts w:ascii="Arial" w:hAnsi="Arial" w:cs="Arial"/>
          <w:color w:val="FF0000"/>
          <w:sz w:val="20"/>
          <w:szCs w:val="20"/>
        </w:rPr>
        <w:t xml:space="preserve"> </w:t>
      </w:r>
      <w:r w:rsidRPr="00EB09C5">
        <w:rPr>
          <w:rFonts w:ascii="Arial" w:hAnsi="Arial" w:cs="Arial"/>
          <w:sz w:val="20"/>
          <w:szCs w:val="20"/>
        </w:rPr>
        <w:t xml:space="preserve">Bu şekiller iki özelliği gözler önüne seriyor. Birincisi, dengeli büyümenin yaşandığı çeyreklerin azlığı. Toplam 56 çeyrekten sadece 12 tanesinde iç talep ile net ihracat büyümeye birlikte pozitif katkı yapmışlar; yüzde 21 ediyor. İkinci özellik, dengeli büyüme bir çeyrekten öteye geçmemiş. Son 14 yılda iki çeyrek üst üste dengeli büyüme örneği yok. </w:t>
      </w:r>
    </w:p>
    <w:p w:rsidR="00F30B8B" w:rsidRDefault="00F30B8B" w:rsidP="001873F2">
      <w:pPr>
        <w:spacing w:line="276" w:lineRule="auto"/>
        <w:rPr>
          <w:rFonts w:ascii="Arial" w:hAnsi="Arial" w:cs="Arial"/>
          <w:b/>
          <w:bCs/>
          <w:sz w:val="20"/>
          <w:szCs w:val="20"/>
        </w:rPr>
      </w:pPr>
    </w:p>
    <w:p w:rsidR="00F30B8B" w:rsidRDefault="00F30B8B" w:rsidP="00F30B8B">
      <w:pPr>
        <w:spacing w:line="276" w:lineRule="auto"/>
        <w:jc w:val="both"/>
        <w:rPr>
          <w:rFonts w:ascii="Arial" w:hAnsi="Arial" w:cs="Arial"/>
          <w:sz w:val="20"/>
          <w:szCs w:val="20"/>
        </w:rPr>
      </w:pPr>
      <w:r w:rsidRPr="00EB09C5">
        <w:rPr>
          <w:rFonts w:ascii="Arial" w:hAnsi="Arial" w:cs="Arial"/>
          <w:sz w:val="20"/>
          <w:szCs w:val="20"/>
        </w:rPr>
        <w:t xml:space="preserve">Bu başlıca iki özelliğe nispeten tali bir üçüncü özelliği de ekleyebiliriz: Bir çeyrek hariç (1999 Ç4) dengeli büyümenin gerçekleştiği çeyrekler büyümenin ivme kaybettiği çeyreklerden oluşuyor. </w:t>
      </w:r>
      <w:r w:rsidRPr="00890376">
        <w:rPr>
          <w:rFonts w:ascii="Arial" w:hAnsi="Arial" w:cs="Arial"/>
          <w:sz w:val="20"/>
          <w:szCs w:val="20"/>
        </w:rPr>
        <w:t xml:space="preserve">Bunlar ağırlıklı olarak ekonomide büyümeden </w:t>
      </w:r>
      <w:r>
        <w:rPr>
          <w:rFonts w:ascii="Arial" w:hAnsi="Arial" w:cs="Arial"/>
          <w:sz w:val="20"/>
          <w:szCs w:val="20"/>
        </w:rPr>
        <w:t>düşük büyüme</w:t>
      </w:r>
      <w:r w:rsidRPr="00890376">
        <w:rPr>
          <w:rFonts w:ascii="Arial" w:hAnsi="Arial" w:cs="Arial"/>
          <w:sz w:val="20"/>
          <w:szCs w:val="20"/>
        </w:rPr>
        <w:t xml:space="preserve"> dönemlerine</w:t>
      </w:r>
      <w:r>
        <w:rPr>
          <w:rFonts w:ascii="Arial" w:hAnsi="Arial" w:cs="Arial"/>
          <w:sz w:val="20"/>
          <w:szCs w:val="20"/>
        </w:rPr>
        <w:t xml:space="preserve"> geçişlere</w:t>
      </w:r>
      <w:r w:rsidRPr="00890376">
        <w:rPr>
          <w:rFonts w:ascii="Arial" w:hAnsi="Arial" w:cs="Arial"/>
          <w:sz w:val="20"/>
          <w:szCs w:val="20"/>
        </w:rPr>
        <w:t xml:space="preserve"> tekabül ediyor. Diğer bir deyişle, büyüme hızında düşüş olduğu dönemlerde iç talep daralırken ithalat talebi de buna paralel olarak azalıyor ve pozitif olan iç talep katkısı azalırken negatif olan dış talep katkısı artmaya başlıyor. Bunların her ikisinin de pozitif katkı yaptığı çeyrekler tam da dış talep katkısının henüz yeni pozitife </w:t>
      </w:r>
      <w:r w:rsidRPr="00890376">
        <w:rPr>
          <w:rFonts w:ascii="Arial" w:hAnsi="Arial" w:cs="Arial"/>
          <w:sz w:val="20"/>
          <w:szCs w:val="20"/>
        </w:rPr>
        <w:lastRenderedPageBreak/>
        <w:t>döndüğü, iç talep katkısının ise iç talepteki daralma yüzünden negatif olmak üzere olduğu (fakat küçük ve pozitif kaldığı) dönemlerde karşımıza çıkıyor ve uzun soluklu olmuyor.</w:t>
      </w:r>
    </w:p>
    <w:p w:rsidR="00F30B8B" w:rsidRDefault="00F30B8B" w:rsidP="001873F2">
      <w:pPr>
        <w:spacing w:line="276" w:lineRule="auto"/>
        <w:rPr>
          <w:rFonts w:ascii="Arial" w:hAnsi="Arial" w:cs="Arial"/>
          <w:b/>
          <w:bCs/>
          <w:sz w:val="20"/>
          <w:szCs w:val="20"/>
        </w:rPr>
      </w:pPr>
    </w:p>
    <w:p w:rsidR="00DC7E01" w:rsidRPr="00EB09C5" w:rsidRDefault="00F33347" w:rsidP="001873F2">
      <w:pPr>
        <w:spacing w:line="276" w:lineRule="auto"/>
        <w:rPr>
          <w:rFonts w:ascii="Arial" w:hAnsi="Arial" w:cs="Arial"/>
          <w:b/>
          <w:bCs/>
          <w:sz w:val="20"/>
          <w:szCs w:val="20"/>
        </w:rPr>
      </w:pPr>
      <w:r>
        <w:rPr>
          <w:noProof/>
          <w:lang w:val="en-US" w:eastAsia="en-US"/>
        </w:rPr>
        <w:drawing>
          <wp:anchor distT="0" distB="0" distL="114300" distR="114300" simplePos="0" relativeHeight="251658752" behindDoc="0" locked="0" layoutInCell="1" allowOverlap="1">
            <wp:simplePos x="0" y="0"/>
            <wp:positionH relativeFrom="column">
              <wp:posOffset>-581025</wp:posOffset>
            </wp:positionH>
            <wp:positionV relativeFrom="paragraph">
              <wp:posOffset>352425</wp:posOffset>
            </wp:positionV>
            <wp:extent cx="6791325" cy="3095625"/>
            <wp:effectExtent l="19050" t="0" r="9525" b="0"/>
            <wp:wrapSquare wrapText="bothSides"/>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6791325" cy="3095625"/>
                    </a:xfrm>
                    <a:prstGeom prst="rect">
                      <a:avLst/>
                    </a:prstGeom>
                    <a:noFill/>
                  </pic:spPr>
                </pic:pic>
              </a:graphicData>
            </a:graphic>
          </wp:anchor>
        </w:drawing>
      </w:r>
      <w:r w:rsidR="00DC7E01" w:rsidRPr="00EB09C5">
        <w:rPr>
          <w:rFonts w:ascii="Arial" w:hAnsi="Arial" w:cs="Arial"/>
          <w:b/>
          <w:bCs/>
          <w:sz w:val="20"/>
          <w:szCs w:val="20"/>
        </w:rPr>
        <w:t>Şekil 1a. Çeyrekten çeyreğe Türkiye’nin reel GSYH büyümesi ve iç talep ile net ihracatın pozitif katkı yaptığı çeyrekler (mevsim ve takvim etkilerinden arındırılmış)</w:t>
      </w:r>
    </w:p>
    <w:p w:rsidR="00DC7E01" w:rsidRDefault="00DC7E01" w:rsidP="00CD0E0A">
      <w:pPr>
        <w:spacing w:line="276" w:lineRule="auto"/>
        <w:rPr>
          <w:rFonts w:ascii="Arial" w:hAnsi="Arial" w:cs="Arial"/>
          <w:sz w:val="16"/>
          <w:szCs w:val="16"/>
        </w:rPr>
      </w:pPr>
      <w:r w:rsidRPr="00252D43">
        <w:rPr>
          <w:rFonts w:ascii="Arial" w:hAnsi="Arial" w:cs="Arial"/>
          <w:sz w:val="16"/>
          <w:szCs w:val="16"/>
        </w:rPr>
        <w:t>Kaynak: TUIK, Betam.</w:t>
      </w:r>
    </w:p>
    <w:p w:rsidR="00F30B8B" w:rsidRDefault="00F30B8B" w:rsidP="00252D43">
      <w:pPr>
        <w:spacing w:line="276" w:lineRule="auto"/>
        <w:jc w:val="both"/>
        <w:rPr>
          <w:rFonts w:ascii="Arial" w:hAnsi="Arial" w:cs="Arial"/>
          <w:b/>
          <w:bCs/>
          <w:sz w:val="22"/>
          <w:szCs w:val="22"/>
        </w:rPr>
      </w:pPr>
    </w:p>
    <w:p w:rsidR="00DC7E01" w:rsidRPr="00CD0E0A" w:rsidRDefault="00DC7E01" w:rsidP="00252D43">
      <w:pPr>
        <w:spacing w:line="276" w:lineRule="auto"/>
        <w:jc w:val="both"/>
        <w:rPr>
          <w:rFonts w:ascii="Arial" w:hAnsi="Arial" w:cs="Arial"/>
          <w:b/>
          <w:bCs/>
          <w:sz w:val="22"/>
          <w:szCs w:val="22"/>
        </w:rPr>
      </w:pPr>
      <w:r w:rsidRPr="00CD0E0A">
        <w:rPr>
          <w:rFonts w:ascii="Arial" w:hAnsi="Arial" w:cs="Arial"/>
          <w:b/>
          <w:bCs/>
          <w:sz w:val="22"/>
          <w:szCs w:val="22"/>
        </w:rPr>
        <w:t>Almanya ve Güney Kore örnekleri</w:t>
      </w:r>
    </w:p>
    <w:p w:rsidR="00DC7E01" w:rsidRPr="00EB09C5" w:rsidRDefault="00DC7E01" w:rsidP="00252D43">
      <w:pPr>
        <w:spacing w:line="276" w:lineRule="auto"/>
        <w:jc w:val="both"/>
        <w:rPr>
          <w:rFonts w:ascii="Arial" w:hAnsi="Arial" w:cs="Arial"/>
          <w:b/>
          <w:bCs/>
          <w:sz w:val="20"/>
          <w:szCs w:val="20"/>
        </w:rPr>
      </w:pPr>
    </w:p>
    <w:p w:rsidR="00DC7E01" w:rsidRPr="00EB09C5" w:rsidRDefault="00DC7E01" w:rsidP="00252D43">
      <w:pPr>
        <w:spacing w:line="276" w:lineRule="auto"/>
        <w:jc w:val="both"/>
        <w:rPr>
          <w:rFonts w:ascii="Arial" w:hAnsi="Arial" w:cs="Arial"/>
          <w:sz w:val="20"/>
          <w:szCs w:val="20"/>
        </w:rPr>
      </w:pPr>
      <w:r w:rsidRPr="00EB09C5">
        <w:rPr>
          <w:rFonts w:ascii="Arial" w:hAnsi="Arial" w:cs="Arial"/>
          <w:sz w:val="20"/>
          <w:szCs w:val="20"/>
        </w:rPr>
        <w:t>Şekil 2a ve Şekil 3a’da Almanya ile Güney Kore ekonomilerinde mevsim ve takvim etkilerinden arındırılmış çeyrekte çeyreğe büyüme oranları yer alıyor (İç talep ile net ihracatın büyümeye katkıları Şekil 2b ve 3b’de gösteriliyor). Dengeli büyümenin gerçekleştiği çeyrekleri yine açık mavi bant ile işaretliyor</w:t>
      </w:r>
      <w:r>
        <w:rPr>
          <w:rFonts w:ascii="Arial" w:hAnsi="Arial" w:cs="Arial"/>
          <w:sz w:val="20"/>
          <w:szCs w:val="20"/>
        </w:rPr>
        <w:t>uz. Almanya’da 1991’den 2012 2.ç</w:t>
      </w:r>
      <w:r w:rsidRPr="00EB09C5">
        <w:rPr>
          <w:rFonts w:ascii="Arial" w:hAnsi="Arial" w:cs="Arial"/>
          <w:sz w:val="20"/>
          <w:szCs w:val="20"/>
        </w:rPr>
        <w:t>eyreğe toplam 82 çeyrekten 24’ünde (yüzde 29) dengeli büyüme gerçekleşmiş. Türkiye’ye kıyasla dengeli büyüme dönemi daha fazla ama fark büyük değil. Buna karşılık tek çeyreklik büyümeler azınlıkta. Dengeli büyümeler iki, üç hatta dört çeyrek devam edebiliyor. Bu bakımdan Almanya büyümesi Türkiye büyümesinden farklılaşıyor. Diğer bir farklılıkta dengeli büyümenin ivme kaybettiği kadar ivme kazandığı dönemlerde de gerçekleşebilmesi.</w:t>
      </w:r>
    </w:p>
    <w:p w:rsidR="00DC7E01" w:rsidRPr="00EB09C5" w:rsidRDefault="00DC7E01" w:rsidP="00252D43">
      <w:pPr>
        <w:spacing w:line="276" w:lineRule="auto"/>
        <w:jc w:val="both"/>
        <w:rPr>
          <w:rFonts w:ascii="Arial" w:hAnsi="Arial" w:cs="Arial"/>
          <w:sz w:val="20"/>
          <w:szCs w:val="20"/>
        </w:rPr>
      </w:pPr>
    </w:p>
    <w:p w:rsidR="00DC7E01" w:rsidRDefault="00DC7E01" w:rsidP="00252D43">
      <w:pPr>
        <w:spacing w:line="276" w:lineRule="auto"/>
        <w:jc w:val="both"/>
        <w:rPr>
          <w:rFonts w:ascii="Arial" w:hAnsi="Arial" w:cs="Arial"/>
          <w:sz w:val="20"/>
          <w:szCs w:val="20"/>
        </w:rPr>
      </w:pPr>
      <w:r w:rsidRPr="00EB09C5">
        <w:rPr>
          <w:rFonts w:ascii="Arial" w:hAnsi="Arial" w:cs="Arial"/>
          <w:sz w:val="20"/>
          <w:szCs w:val="20"/>
        </w:rPr>
        <w:t>Güney Kore örneğinde dengeli büyüme özelliği çok daha belirgin. 1991’den 2012 2.Çeyreğe toplam 82 çeyrekten 30’unda (yüzde 37) dengeli büyüme gerçekleşmiş. Almanya örneğinden biraz farklı olarak Güney Kore’de sadece bir çeyrek devam eden dengeli büyüme dönemleri fazla sayıda anacak Türkiye’den farklı olarak Güney Kore’de de peşe peşe iki, üç, hatta dört çeyrek devam eden dengeli büyüme dönemleri gözlemliyoruz. Ayrıca Almanya örneğinde olduğu gibi Güney Kore’de de büyümenin ivme kaybettiği ve ivme kazandığı dönemler dengeli büyüme dönemleri olabiliyor.</w:t>
      </w:r>
    </w:p>
    <w:p w:rsidR="00DC7E01" w:rsidRDefault="00DC7E01" w:rsidP="00252D43">
      <w:pPr>
        <w:spacing w:line="276" w:lineRule="auto"/>
        <w:jc w:val="both"/>
        <w:rPr>
          <w:rFonts w:ascii="Arial" w:hAnsi="Arial" w:cs="Arial"/>
          <w:sz w:val="20"/>
          <w:szCs w:val="20"/>
        </w:rPr>
      </w:pPr>
    </w:p>
    <w:p w:rsidR="00DC7E01" w:rsidRDefault="00DC7E01" w:rsidP="00D65F77">
      <w:pPr>
        <w:spacing w:line="276" w:lineRule="auto"/>
        <w:jc w:val="both"/>
        <w:rPr>
          <w:rFonts w:ascii="Arial" w:hAnsi="Arial" w:cs="Arial"/>
          <w:sz w:val="20"/>
          <w:szCs w:val="20"/>
        </w:rPr>
      </w:pPr>
      <w:r w:rsidRPr="00890376">
        <w:rPr>
          <w:rFonts w:ascii="Arial" w:hAnsi="Arial" w:cs="Arial"/>
          <w:sz w:val="20"/>
          <w:szCs w:val="20"/>
        </w:rPr>
        <w:t>Büyüme ile net ihracat arasında ilişkinin genel olarak çoğu ülke için negatif olduğunu belirtmekte fayda var. Ancak bu büyümenin dengeli olmasının önünde bir engel olarak görülmemeli. Büyüme ve net ihracat arasındaki korelasyon Türkiye için olduğu kadar Güney Kore için de güçlü ve negatif. Analizin yapıldığı dönem için Türkiye için korelasyon katsayısını -0,64, Güney Kore için -0,74 buluyoruz.</w:t>
      </w:r>
      <w:r w:rsidRPr="00890376">
        <w:rPr>
          <w:rStyle w:val="FootnoteReference"/>
          <w:rFonts w:ascii="Arial" w:hAnsi="Arial" w:cs="Arial"/>
          <w:sz w:val="20"/>
          <w:szCs w:val="20"/>
        </w:rPr>
        <w:footnoteReference w:id="5"/>
      </w:r>
      <w:r w:rsidRPr="00890376">
        <w:rPr>
          <w:rFonts w:ascii="Arial" w:hAnsi="Arial" w:cs="Arial"/>
          <w:sz w:val="20"/>
          <w:szCs w:val="20"/>
        </w:rPr>
        <w:t xml:space="preserve"> Aguiar ve Gopinath (2007) gelişmekte olan ve gelişmiş küçük açık ülkeler için bu katsayıları karşılaştırıyor ve gelişmiş ülkeler için büyüme ve net ihracat arasındaki ilişkinin gelişmekte ülkelere </w:t>
      </w:r>
      <w:r w:rsidRPr="00890376">
        <w:rPr>
          <w:rFonts w:ascii="Arial" w:hAnsi="Arial" w:cs="Arial"/>
          <w:sz w:val="20"/>
          <w:szCs w:val="20"/>
        </w:rPr>
        <w:lastRenderedPageBreak/>
        <w:t>kıyasla çok daha zayıf ve bazıları için pozitif olduğunu gösteriyor.</w:t>
      </w:r>
      <w:r w:rsidRPr="00890376">
        <w:rPr>
          <w:rStyle w:val="FootnoteReference"/>
          <w:rFonts w:ascii="Arial" w:hAnsi="Arial" w:cs="Arial"/>
          <w:sz w:val="20"/>
          <w:szCs w:val="20"/>
        </w:rPr>
        <w:footnoteReference w:id="6"/>
      </w:r>
      <w:r w:rsidRPr="00890376">
        <w:rPr>
          <w:rFonts w:ascii="Arial" w:hAnsi="Arial" w:cs="Arial"/>
          <w:sz w:val="20"/>
          <w:szCs w:val="20"/>
        </w:rPr>
        <w:t xml:space="preserve"> Gelişmekte olan ülkelerde korelasyon katsayısı ortalama -0,51 iken gelişmiş ülkeler için -0,17 olarak hesaplanıyor. Benzer şekilde Almanya için bu katsayıyı hesapladığımızda Türkiye ve Güney Kore’nin aksine pozitif bir ilişki buluyoruz. Almanya’nin özellikle son dönemlerde verdiği cari fazlanın Avrupa’da büyük dengesizliklere yol açacak ölçüde yüksek olduğunu ve bu açıdan çok da sağlıklı görünmediğini ekleyelim.</w:t>
      </w:r>
    </w:p>
    <w:p w:rsidR="00DC7E01" w:rsidRDefault="00DC7E01" w:rsidP="00CD0E0A">
      <w:pPr>
        <w:spacing w:line="276" w:lineRule="auto"/>
        <w:rPr>
          <w:rFonts w:ascii="Arial" w:hAnsi="Arial" w:cs="Arial"/>
          <w:sz w:val="20"/>
          <w:szCs w:val="20"/>
        </w:rPr>
      </w:pPr>
    </w:p>
    <w:p w:rsidR="00DC7E01" w:rsidRDefault="00F33347" w:rsidP="001873F2">
      <w:pPr>
        <w:spacing w:line="276" w:lineRule="auto"/>
        <w:rPr>
          <w:rFonts w:ascii="Arial" w:hAnsi="Arial" w:cs="Arial"/>
          <w:b/>
          <w:bCs/>
          <w:sz w:val="20"/>
          <w:szCs w:val="20"/>
        </w:rPr>
      </w:pPr>
      <w:r>
        <w:rPr>
          <w:noProof/>
          <w:lang w:val="en-US" w:eastAsia="en-US"/>
        </w:rPr>
        <w:drawing>
          <wp:anchor distT="0" distB="0" distL="114300" distR="114300" simplePos="0" relativeHeight="251663872" behindDoc="0" locked="0" layoutInCell="1" allowOverlap="1">
            <wp:simplePos x="0" y="0"/>
            <wp:positionH relativeFrom="column">
              <wp:posOffset>-563880</wp:posOffset>
            </wp:positionH>
            <wp:positionV relativeFrom="paragraph">
              <wp:posOffset>336550</wp:posOffset>
            </wp:positionV>
            <wp:extent cx="6788785" cy="3103245"/>
            <wp:effectExtent l="19050" t="0" r="0" b="0"/>
            <wp:wrapSquare wrapText="bothSides"/>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rrowheads="1"/>
                    </pic:cNvPicPr>
                  </pic:nvPicPr>
                  <pic:blipFill>
                    <a:blip r:embed="rId9"/>
                    <a:srcRect/>
                    <a:stretch>
                      <a:fillRect/>
                    </a:stretch>
                  </pic:blipFill>
                  <pic:spPr bwMode="auto">
                    <a:xfrm>
                      <a:off x="0" y="0"/>
                      <a:ext cx="6788785" cy="3103245"/>
                    </a:xfrm>
                    <a:prstGeom prst="rect">
                      <a:avLst/>
                    </a:prstGeom>
                    <a:noFill/>
                    <a:ln w="9525">
                      <a:noFill/>
                      <a:miter lim="800000"/>
                      <a:headEnd/>
                      <a:tailEnd/>
                    </a:ln>
                  </pic:spPr>
                </pic:pic>
              </a:graphicData>
            </a:graphic>
          </wp:anchor>
        </w:drawing>
      </w:r>
      <w:r w:rsidR="00DC7E01">
        <w:rPr>
          <w:rFonts w:ascii="Arial" w:hAnsi="Arial" w:cs="Arial"/>
          <w:sz w:val="20"/>
          <w:szCs w:val="20"/>
        </w:rPr>
        <w:t xml:space="preserve"> </w:t>
      </w:r>
      <w:r w:rsidR="00DC7E01" w:rsidRPr="00EB09C5">
        <w:rPr>
          <w:rFonts w:ascii="Arial" w:hAnsi="Arial" w:cs="Arial"/>
          <w:b/>
          <w:bCs/>
          <w:sz w:val="20"/>
          <w:szCs w:val="20"/>
        </w:rPr>
        <w:t>Şekil 2a. Çeyrekten çeyreğe Almanya’nın reel GSYH büyümesi ve iç talep ile net ihracatın pozitif katkı yaptığı çeyrekler (mevsim ve ta</w:t>
      </w:r>
      <w:r w:rsidR="00DC7E01">
        <w:rPr>
          <w:rFonts w:ascii="Arial" w:hAnsi="Arial" w:cs="Arial"/>
          <w:b/>
          <w:bCs/>
          <w:sz w:val="20"/>
          <w:szCs w:val="20"/>
        </w:rPr>
        <w:t>kvim etkilerinden arındırılmış)</w:t>
      </w:r>
    </w:p>
    <w:p w:rsidR="00DC7E01" w:rsidRPr="00252D43" w:rsidRDefault="00DC7E01" w:rsidP="00CD0E0A">
      <w:pPr>
        <w:spacing w:line="276" w:lineRule="auto"/>
        <w:rPr>
          <w:rFonts w:ascii="Arial" w:hAnsi="Arial" w:cs="Arial"/>
          <w:sz w:val="16"/>
          <w:szCs w:val="16"/>
        </w:rPr>
      </w:pPr>
      <w:r w:rsidRPr="00252D43">
        <w:rPr>
          <w:rFonts w:ascii="Arial" w:hAnsi="Arial" w:cs="Arial"/>
          <w:sz w:val="16"/>
          <w:szCs w:val="16"/>
        </w:rPr>
        <w:t>Kaynak: OECD, Betam.</w:t>
      </w:r>
    </w:p>
    <w:p w:rsidR="00DC7E01" w:rsidRPr="00EB09C5" w:rsidRDefault="00DC7E01" w:rsidP="00CD0E0A">
      <w:pPr>
        <w:spacing w:line="276" w:lineRule="auto"/>
        <w:jc w:val="center"/>
        <w:rPr>
          <w:rFonts w:ascii="Arial" w:hAnsi="Arial" w:cs="Arial"/>
          <w:b/>
          <w:bCs/>
          <w:sz w:val="20"/>
          <w:szCs w:val="20"/>
        </w:rPr>
      </w:pPr>
    </w:p>
    <w:p w:rsidR="00DC7E01" w:rsidRPr="00EB09C5" w:rsidRDefault="00F33347" w:rsidP="001873F2">
      <w:pPr>
        <w:spacing w:line="276" w:lineRule="auto"/>
        <w:rPr>
          <w:rFonts w:ascii="Arial" w:hAnsi="Arial" w:cs="Arial"/>
          <w:b/>
          <w:bCs/>
          <w:sz w:val="20"/>
          <w:szCs w:val="20"/>
        </w:rPr>
      </w:pPr>
      <w:r>
        <w:rPr>
          <w:noProof/>
          <w:lang w:val="en-US" w:eastAsia="en-US"/>
        </w:rPr>
        <w:drawing>
          <wp:anchor distT="0" distB="0" distL="114300" distR="114300" simplePos="0" relativeHeight="251657728" behindDoc="0" locked="0" layoutInCell="1" allowOverlap="1">
            <wp:simplePos x="0" y="0"/>
            <wp:positionH relativeFrom="column">
              <wp:posOffset>-563880</wp:posOffset>
            </wp:positionH>
            <wp:positionV relativeFrom="paragraph">
              <wp:posOffset>394970</wp:posOffset>
            </wp:positionV>
            <wp:extent cx="6793865" cy="3095625"/>
            <wp:effectExtent l="19050" t="0" r="6985" b="0"/>
            <wp:wrapSquare wrapText="bothSides"/>
            <wp:docPr id="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6793865" cy="3095625"/>
                    </a:xfrm>
                    <a:prstGeom prst="rect">
                      <a:avLst/>
                    </a:prstGeom>
                    <a:noFill/>
                  </pic:spPr>
                </pic:pic>
              </a:graphicData>
            </a:graphic>
          </wp:anchor>
        </w:drawing>
      </w:r>
      <w:r w:rsidR="00DC7E01" w:rsidRPr="00EB09C5">
        <w:rPr>
          <w:rFonts w:ascii="Arial" w:hAnsi="Arial" w:cs="Arial"/>
          <w:b/>
          <w:bCs/>
          <w:sz w:val="20"/>
          <w:szCs w:val="20"/>
        </w:rPr>
        <w:t>Şekil 3a. Çeyrekten çeyreğe Güney Kore’nin reel GSYH büyümesi ve iç talep ile net ihracatın pozitif katkı yaptığı çeyrekler (mevsim ve takvim etkilerinden arındırılmış)</w:t>
      </w:r>
    </w:p>
    <w:p w:rsidR="00DC7E01" w:rsidRPr="00252D43" w:rsidRDefault="00DC7E01" w:rsidP="00CD0E0A">
      <w:pPr>
        <w:spacing w:line="276" w:lineRule="auto"/>
        <w:rPr>
          <w:rFonts w:ascii="Arial" w:hAnsi="Arial" w:cs="Arial"/>
          <w:sz w:val="16"/>
          <w:szCs w:val="16"/>
        </w:rPr>
      </w:pPr>
      <w:r w:rsidRPr="00252D43">
        <w:rPr>
          <w:rFonts w:ascii="Arial" w:hAnsi="Arial" w:cs="Arial"/>
          <w:sz w:val="16"/>
          <w:szCs w:val="16"/>
        </w:rPr>
        <w:t>Kaynak: OECD, Betam.</w:t>
      </w:r>
    </w:p>
    <w:p w:rsidR="00DC7E01" w:rsidRPr="00CD0E0A" w:rsidRDefault="00DC7E01" w:rsidP="00252D43">
      <w:pPr>
        <w:spacing w:line="276" w:lineRule="auto"/>
        <w:jc w:val="both"/>
        <w:rPr>
          <w:rFonts w:ascii="Arial" w:hAnsi="Arial" w:cs="Arial"/>
          <w:b/>
          <w:bCs/>
          <w:sz w:val="22"/>
          <w:szCs w:val="22"/>
        </w:rPr>
      </w:pPr>
      <w:r w:rsidRPr="00CD0E0A">
        <w:rPr>
          <w:rFonts w:ascii="Arial" w:hAnsi="Arial" w:cs="Arial"/>
          <w:b/>
          <w:bCs/>
          <w:sz w:val="22"/>
          <w:szCs w:val="22"/>
        </w:rPr>
        <w:lastRenderedPageBreak/>
        <w:t>Dengeli büyüme için yapı değişikliği şart</w:t>
      </w:r>
    </w:p>
    <w:p w:rsidR="00DC7E01" w:rsidRPr="00EB09C5" w:rsidRDefault="00DC7E01" w:rsidP="00252D43">
      <w:pPr>
        <w:spacing w:line="276" w:lineRule="auto"/>
        <w:jc w:val="both"/>
        <w:rPr>
          <w:rFonts w:ascii="Arial" w:hAnsi="Arial" w:cs="Arial"/>
          <w:b/>
          <w:bCs/>
          <w:sz w:val="20"/>
          <w:szCs w:val="20"/>
        </w:rPr>
      </w:pPr>
    </w:p>
    <w:p w:rsidR="00176986" w:rsidRDefault="00DC7E01" w:rsidP="00252D43">
      <w:pPr>
        <w:spacing w:line="276" w:lineRule="auto"/>
        <w:jc w:val="both"/>
        <w:rPr>
          <w:rFonts w:ascii="Arial" w:hAnsi="Arial" w:cs="Arial"/>
          <w:sz w:val="20"/>
          <w:szCs w:val="20"/>
        </w:rPr>
      </w:pPr>
      <w:r w:rsidRPr="00EB09C5">
        <w:rPr>
          <w:rFonts w:ascii="Arial" w:hAnsi="Arial" w:cs="Arial"/>
          <w:sz w:val="20"/>
          <w:szCs w:val="20"/>
        </w:rPr>
        <w:t xml:space="preserve">Türkiye, Almanya ve Güney Kore ekonomilerinde büyümeyle ilgili gözlemlerden dengeli büyüme açısından hangi sonuçları çıkarabiliriz? Sanırız ilk sonuç dengeli büyümenin her çeyrekte gerçekleşmesinin gerekmediğidir. </w:t>
      </w:r>
      <w:r w:rsidRPr="00890376">
        <w:rPr>
          <w:rFonts w:ascii="Arial" w:hAnsi="Arial" w:cs="Arial"/>
          <w:sz w:val="20"/>
          <w:szCs w:val="20"/>
        </w:rPr>
        <w:t>Bununla birlikte, Almanya ve Güney Kore’nin bizden farklı olarak genelde analizin yapıldığı dönemde ağırlıklı olarak ticaret fazlası verdiğini belirtelim. Almanya 2001 yılına kadar yılda ortalama 22 milyar dolar açık verirken (GSYH’a oran olarak ortalama yüzde -1,1), 2001 sonrasında yılda ortalama 170 milyar dolar fazla vermeye başladı (GSYH’a ora</w:t>
      </w:r>
      <w:r w:rsidR="00176986">
        <w:rPr>
          <w:rFonts w:ascii="Arial" w:hAnsi="Arial" w:cs="Arial"/>
          <w:sz w:val="20"/>
          <w:szCs w:val="20"/>
        </w:rPr>
        <w:t>n olarak ortalama yüzde 5,4). Güney</w:t>
      </w:r>
      <w:r w:rsidRPr="00890376">
        <w:rPr>
          <w:rFonts w:ascii="Arial" w:hAnsi="Arial" w:cs="Arial"/>
          <w:sz w:val="20"/>
          <w:szCs w:val="20"/>
        </w:rPr>
        <w:t xml:space="preserve"> Kore 1997 yılına kadar küçük ölçekli açıklar vermiş olsa da 1997’den sonra yılda ortalama 20 milyar dolar cari fazla vermeye başlamıştır (GSYH’a oran yüzde 2,6</w:t>
      </w:r>
      <w:r>
        <w:rPr>
          <w:rFonts w:ascii="Arial" w:hAnsi="Arial" w:cs="Arial"/>
          <w:sz w:val="20"/>
          <w:szCs w:val="20"/>
        </w:rPr>
        <w:t>. Bkz</w:t>
      </w:r>
      <w:r w:rsidR="00375BC9">
        <w:rPr>
          <w:rFonts w:ascii="Arial" w:hAnsi="Arial" w:cs="Arial"/>
          <w:sz w:val="20"/>
          <w:szCs w:val="20"/>
        </w:rPr>
        <w:t>.</w:t>
      </w:r>
      <w:r>
        <w:rPr>
          <w:rFonts w:ascii="Arial" w:hAnsi="Arial" w:cs="Arial"/>
          <w:sz w:val="20"/>
          <w:szCs w:val="20"/>
        </w:rPr>
        <w:t xml:space="preserve"> Tablo</w:t>
      </w:r>
      <w:r w:rsidR="0083403B">
        <w:rPr>
          <w:rFonts w:ascii="Arial" w:hAnsi="Arial" w:cs="Arial"/>
          <w:sz w:val="20"/>
          <w:szCs w:val="20"/>
        </w:rPr>
        <w:t xml:space="preserve"> 1</w:t>
      </w:r>
      <w:r w:rsidRPr="00890376">
        <w:rPr>
          <w:rFonts w:ascii="Arial" w:hAnsi="Arial" w:cs="Arial"/>
          <w:sz w:val="20"/>
          <w:szCs w:val="20"/>
        </w:rPr>
        <w:t>).</w:t>
      </w:r>
      <w:r w:rsidR="00176986">
        <w:rPr>
          <w:rFonts w:ascii="Arial" w:hAnsi="Arial" w:cs="Arial"/>
          <w:sz w:val="20"/>
          <w:szCs w:val="20"/>
        </w:rPr>
        <w:t xml:space="preserve"> </w:t>
      </w:r>
    </w:p>
    <w:p w:rsidR="00176986" w:rsidRDefault="00176986" w:rsidP="00252D43">
      <w:pPr>
        <w:spacing w:line="276" w:lineRule="auto"/>
        <w:jc w:val="both"/>
        <w:rPr>
          <w:rFonts w:ascii="Arial" w:hAnsi="Arial" w:cs="Arial"/>
          <w:sz w:val="20"/>
          <w:szCs w:val="20"/>
        </w:rPr>
      </w:pPr>
    </w:p>
    <w:p w:rsidR="00DC7E01" w:rsidRPr="00EB09C5" w:rsidRDefault="00DC7E01" w:rsidP="00252D43">
      <w:pPr>
        <w:spacing w:line="276" w:lineRule="auto"/>
        <w:jc w:val="both"/>
        <w:rPr>
          <w:rFonts w:ascii="Arial" w:hAnsi="Arial" w:cs="Arial"/>
          <w:sz w:val="20"/>
          <w:szCs w:val="20"/>
        </w:rPr>
      </w:pPr>
      <w:r w:rsidRPr="00EB09C5">
        <w:rPr>
          <w:rFonts w:ascii="Arial" w:hAnsi="Arial" w:cs="Arial"/>
          <w:sz w:val="20"/>
          <w:szCs w:val="20"/>
        </w:rPr>
        <w:t>Buna karşılık bundan böyle dengeli büyümeye geçmek isteyen Türkiye’nin çıkış noktasını 2013 olarak kabul edersek, cari açık oranının yüzde 6 gibi oldukça yüksek düzeyde olduğu noktadan yola çıkıldığının not edilmesi gerekiyor. Türkiye ekonomisinde büyümenin dengeli, dolayısıyla cari açık oranını da sürdürülebilir bir düzeye çeken</w:t>
      </w:r>
      <w:r w:rsidRPr="00EB09C5">
        <w:rPr>
          <w:rStyle w:val="FootnoteReference"/>
          <w:rFonts w:ascii="Arial" w:hAnsi="Arial" w:cs="Arial"/>
          <w:sz w:val="20"/>
          <w:szCs w:val="20"/>
        </w:rPr>
        <w:footnoteReference w:id="7"/>
      </w:r>
      <w:r w:rsidRPr="00EB09C5">
        <w:rPr>
          <w:rFonts w:ascii="Arial" w:hAnsi="Arial" w:cs="Arial"/>
          <w:sz w:val="20"/>
          <w:szCs w:val="20"/>
        </w:rPr>
        <w:t>, aynı zamanda da potansiyel büyüme oranına yakın bir düzeyde (genel kabul yüzde 5 civarı) olabilmesi için, iç talep ile net ihracatın büyümeye birlikte pozitif katkı yaptıkları çeyreklerin sayısının Güney Kore’ye kıyasla hem daha fazla, hem de daha kalıcı olması gerektiğini düşünüyoruz.</w:t>
      </w:r>
    </w:p>
    <w:p w:rsidR="00DC7E01" w:rsidRPr="00EB09C5" w:rsidRDefault="00DC7E01" w:rsidP="00252D43">
      <w:pPr>
        <w:spacing w:line="276" w:lineRule="auto"/>
        <w:jc w:val="both"/>
        <w:rPr>
          <w:rFonts w:ascii="Arial" w:hAnsi="Arial" w:cs="Arial"/>
          <w:sz w:val="20"/>
          <w:szCs w:val="20"/>
        </w:rPr>
      </w:pPr>
    </w:p>
    <w:p w:rsidR="00DC7E01" w:rsidRDefault="00DC7E01" w:rsidP="00252D43">
      <w:pPr>
        <w:spacing w:line="276" w:lineRule="auto"/>
        <w:jc w:val="both"/>
        <w:rPr>
          <w:rFonts w:ascii="Arial" w:hAnsi="Arial" w:cs="Arial"/>
          <w:sz w:val="20"/>
          <w:szCs w:val="20"/>
        </w:rPr>
      </w:pPr>
      <w:r w:rsidRPr="00EB09C5">
        <w:rPr>
          <w:rFonts w:ascii="Arial" w:hAnsi="Arial" w:cs="Arial"/>
          <w:sz w:val="20"/>
          <w:szCs w:val="20"/>
        </w:rPr>
        <w:t>Bu mümkün mü? Geçmiş performansa baktığımızda mümkün gözükmüyor. Bunun nedenini büyük ölçüde biliyoruz: Düşük iç tasarruf ve zayıf rekabet gücü. Türkiye ekonomisinde geçmişte olduğu gibi bazı çeyreklerde istisnai olarak dengeli büyüme gerç</w:t>
      </w:r>
      <w:r>
        <w:rPr>
          <w:rFonts w:ascii="Arial" w:hAnsi="Arial" w:cs="Arial"/>
          <w:sz w:val="20"/>
          <w:szCs w:val="20"/>
        </w:rPr>
        <w:t>ekleşebilir. Ancak, Türkiye’nin</w:t>
      </w:r>
      <w:r w:rsidRPr="00EB09C5">
        <w:rPr>
          <w:rFonts w:ascii="Arial" w:hAnsi="Arial" w:cs="Arial"/>
          <w:sz w:val="20"/>
          <w:szCs w:val="20"/>
        </w:rPr>
        <w:t xml:space="preserve"> dengeli büyümeyi başarabilmesi için büyüme rejiminin değişmesi, bunun için de iç tasarruf oranı ile sanayinin rekabet gücünü artırması gerekir. Ama nasıl? Kimi iktisatçılar daha rekabetçi döviz kuruna ihtiyaç olduğunu savunuyorlar. Zaman zaman piyasa eliyle ya da iradi olarak kur düzeltmeleri oluyor ancak bu düzeltmeler ticaret ortaklarımızın enflasyonuna kıyasla yüksek enflasyona sahip olduğumuzdan kur avantajı belirli bir süre içinde eriyor. Rekabetçi bir kur düzeyi kalıcı olarak ve enflasyonla mücadeleyi göz ardı etmeden nasıl sağlanabilir? Bu soruya henüz yanıt bulunabilmiş değil. Kimi iktisatçılar ise başta işgücü piyasası reformları olmak üzere yapısal reformları çare olarak görüyor. Kısacası, Türkiye’nin dengeli büyümesi için büyüme rejimini değiştirmeye, bunun içinde köklü yapısal değişimlere ihtiyaç var. </w:t>
      </w:r>
    </w:p>
    <w:p w:rsidR="00DC7E01" w:rsidRDefault="00DC7E01" w:rsidP="00CD0E0A">
      <w:pPr>
        <w:spacing w:line="276" w:lineRule="auto"/>
        <w:rPr>
          <w:rFonts w:ascii="Arial" w:hAnsi="Arial" w:cs="Arial"/>
          <w:sz w:val="20"/>
          <w:szCs w:val="20"/>
        </w:rPr>
      </w:pPr>
    </w:p>
    <w:p w:rsidR="00E00D21" w:rsidRDefault="00E00D21" w:rsidP="001873F2">
      <w:pPr>
        <w:rPr>
          <w:rFonts w:ascii="Arial" w:hAnsi="Arial" w:cs="Arial"/>
          <w:b/>
          <w:bCs/>
          <w:sz w:val="20"/>
          <w:szCs w:val="20"/>
        </w:rPr>
      </w:pPr>
    </w:p>
    <w:p w:rsidR="00E00D21" w:rsidRDefault="00E00D21" w:rsidP="001873F2">
      <w:pPr>
        <w:rPr>
          <w:rFonts w:ascii="Arial" w:hAnsi="Arial" w:cs="Arial"/>
          <w:b/>
          <w:bCs/>
          <w:sz w:val="20"/>
          <w:szCs w:val="20"/>
        </w:rPr>
      </w:pPr>
    </w:p>
    <w:p w:rsidR="00E00D21" w:rsidRDefault="00E00D21" w:rsidP="001873F2">
      <w:pPr>
        <w:rPr>
          <w:rFonts w:ascii="Arial" w:hAnsi="Arial" w:cs="Arial"/>
          <w:b/>
          <w:bCs/>
          <w:sz w:val="20"/>
          <w:szCs w:val="20"/>
        </w:rPr>
      </w:pPr>
    </w:p>
    <w:p w:rsidR="00E00D21" w:rsidRDefault="00E00D21" w:rsidP="001873F2">
      <w:pPr>
        <w:rPr>
          <w:rFonts w:ascii="Arial" w:hAnsi="Arial" w:cs="Arial"/>
          <w:b/>
          <w:bCs/>
          <w:sz w:val="20"/>
          <w:szCs w:val="20"/>
        </w:rPr>
      </w:pPr>
    </w:p>
    <w:p w:rsidR="00E00D21" w:rsidRDefault="00E00D21" w:rsidP="001873F2">
      <w:pPr>
        <w:rPr>
          <w:rFonts w:ascii="Arial" w:hAnsi="Arial" w:cs="Arial"/>
          <w:b/>
          <w:bCs/>
          <w:sz w:val="20"/>
          <w:szCs w:val="20"/>
        </w:rPr>
      </w:pPr>
    </w:p>
    <w:p w:rsidR="00E00D21" w:rsidRDefault="00E00D21" w:rsidP="001873F2">
      <w:pPr>
        <w:rPr>
          <w:rFonts w:ascii="Arial" w:hAnsi="Arial" w:cs="Arial"/>
          <w:b/>
          <w:bCs/>
          <w:sz w:val="20"/>
          <w:szCs w:val="20"/>
        </w:rPr>
      </w:pPr>
    </w:p>
    <w:p w:rsidR="00E00D21" w:rsidRDefault="00E00D21" w:rsidP="001873F2">
      <w:pPr>
        <w:rPr>
          <w:rFonts w:ascii="Arial" w:hAnsi="Arial" w:cs="Arial"/>
          <w:b/>
          <w:bCs/>
          <w:sz w:val="20"/>
          <w:szCs w:val="20"/>
        </w:rPr>
      </w:pPr>
    </w:p>
    <w:p w:rsidR="00E00D21" w:rsidRDefault="00E00D21" w:rsidP="001873F2">
      <w:pPr>
        <w:rPr>
          <w:rFonts w:ascii="Arial" w:hAnsi="Arial" w:cs="Arial"/>
          <w:b/>
          <w:bCs/>
          <w:sz w:val="20"/>
          <w:szCs w:val="20"/>
        </w:rPr>
      </w:pPr>
    </w:p>
    <w:p w:rsidR="00E00D21" w:rsidRDefault="00E00D21" w:rsidP="001873F2">
      <w:pPr>
        <w:rPr>
          <w:rFonts w:ascii="Arial" w:hAnsi="Arial" w:cs="Arial"/>
          <w:b/>
          <w:bCs/>
          <w:sz w:val="20"/>
          <w:szCs w:val="20"/>
        </w:rPr>
      </w:pPr>
    </w:p>
    <w:p w:rsidR="00E00D21" w:rsidRDefault="00E00D21" w:rsidP="001873F2">
      <w:pPr>
        <w:rPr>
          <w:rFonts w:ascii="Arial" w:hAnsi="Arial" w:cs="Arial"/>
          <w:b/>
          <w:bCs/>
          <w:sz w:val="20"/>
          <w:szCs w:val="20"/>
        </w:rPr>
      </w:pPr>
    </w:p>
    <w:p w:rsidR="00DC7E01" w:rsidRPr="00252D43" w:rsidRDefault="00F33347" w:rsidP="001873F2">
      <w:pPr>
        <w:rPr>
          <w:rFonts w:ascii="Arial" w:hAnsi="Arial" w:cs="Arial"/>
          <w:b/>
          <w:bCs/>
          <w:sz w:val="20"/>
          <w:szCs w:val="20"/>
        </w:rPr>
      </w:pPr>
      <w:r>
        <w:rPr>
          <w:noProof/>
          <w:lang w:val="en-US" w:eastAsia="en-US"/>
        </w:rPr>
        <w:lastRenderedPageBreak/>
        <w:drawing>
          <wp:anchor distT="0" distB="0" distL="114300" distR="114300" simplePos="0" relativeHeight="251659776" behindDoc="0" locked="0" layoutInCell="1" allowOverlap="1">
            <wp:simplePos x="0" y="0"/>
            <wp:positionH relativeFrom="column">
              <wp:posOffset>-576580</wp:posOffset>
            </wp:positionH>
            <wp:positionV relativeFrom="paragraph">
              <wp:posOffset>352425</wp:posOffset>
            </wp:positionV>
            <wp:extent cx="6793865" cy="3095625"/>
            <wp:effectExtent l="19050" t="0" r="698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srcRect/>
                    <a:stretch>
                      <a:fillRect/>
                    </a:stretch>
                  </pic:blipFill>
                  <pic:spPr bwMode="auto">
                    <a:xfrm>
                      <a:off x="0" y="0"/>
                      <a:ext cx="6793865" cy="3095625"/>
                    </a:xfrm>
                    <a:prstGeom prst="rect">
                      <a:avLst/>
                    </a:prstGeom>
                    <a:noFill/>
                  </pic:spPr>
                </pic:pic>
              </a:graphicData>
            </a:graphic>
          </wp:anchor>
        </w:drawing>
      </w:r>
      <w:r w:rsidR="00DC7E01" w:rsidRPr="00252D43">
        <w:rPr>
          <w:rFonts w:ascii="Arial" w:hAnsi="Arial" w:cs="Arial"/>
          <w:b/>
          <w:bCs/>
          <w:sz w:val="20"/>
          <w:szCs w:val="20"/>
        </w:rPr>
        <w:t>Şekil 1b. Çeyrekten çeyreğe Türkiye’nin reel GSYH büyümesi ve iç talep ile net ihracatın reel GSYH’a katkısı (mevsim ve ta</w:t>
      </w:r>
      <w:r w:rsidR="00DC7E01">
        <w:rPr>
          <w:rFonts w:ascii="Arial" w:hAnsi="Arial" w:cs="Arial"/>
          <w:b/>
          <w:bCs/>
          <w:sz w:val="20"/>
          <w:szCs w:val="20"/>
        </w:rPr>
        <w:t>kvim etkilerinden arındırılmış)</w:t>
      </w:r>
    </w:p>
    <w:p w:rsidR="00DC7E01" w:rsidRPr="00252D43" w:rsidRDefault="00DC7E01" w:rsidP="00252D43">
      <w:pPr>
        <w:rPr>
          <w:rFonts w:ascii="Arial" w:hAnsi="Arial" w:cs="Arial"/>
          <w:sz w:val="16"/>
          <w:szCs w:val="16"/>
        </w:rPr>
      </w:pPr>
      <w:r w:rsidRPr="00252D43">
        <w:rPr>
          <w:rFonts w:ascii="Arial" w:hAnsi="Arial" w:cs="Arial"/>
          <w:sz w:val="16"/>
          <w:szCs w:val="16"/>
        </w:rPr>
        <w:t xml:space="preserve"> Kaynak: TUIK, Betam.</w:t>
      </w:r>
    </w:p>
    <w:p w:rsidR="00DC7E01" w:rsidRPr="00252D43" w:rsidRDefault="00DC7E01" w:rsidP="00CD0E0A">
      <w:pPr>
        <w:spacing w:line="276" w:lineRule="auto"/>
        <w:rPr>
          <w:rFonts w:ascii="Arial" w:hAnsi="Arial" w:cs="Arial"/>
          <w:sz w:val="20"/>
          <w:szCs w:val="20"/>
        </w:rPr>
      </w:pPr>
    </w:p>
    <w:p w:rsidR="00DC7E01" w:rsidRPr="00252D43" w:rsidRDefault="00F33347" w:rsidP="001873F2">
      <w:pPr>
        <w:rPr>
          <w:rFonts w:ascii="Arial" w:hAnsi="Arial" w:cs="Arial"/>
          <w:b/>
          <w:bCs/>
          <w:sz w:val="20"/>
          <w:szCs w:val="20"/>
        </w:rPr>
      </w:pPr>
      <w:r>
        <w:rPr>
          <w:noProof/>
          <w:lang w:val="en-US" w:eastAsia="en-US"/>
        </w:rPr>
        <w:drawing>
          <wp:anchor distT="0" distB="0" distL="114300" distR="114300" simplePos="0" relativeHeight="251660800" behindDoc="0" locked="0" layoutInCell="1" allowOverlap="1">
            <wp:simplePos x="0" y="0"/>
            <wp:positionH relativeFrom="column">
              <wp:posOffset>-576580</wp:posOffset>
            </wp:positionH>
            <wp:positionV relativeFrom="paragraph">
              <wp:posOffset>360045</wp:posOffset>
            </wp:positionV>
            <wp:extent cx="6793865" cy="3095625"/>
            <wp:effectExtent l="19050" t="0" r="698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srcRect/>
                    <a:stretch>
                      <a:fillRect/>
                    </a:stretch>
                  </pic:blipFill>
                  <pic:spPr bwMode="auto">
                    <a:xfrm>
                      <a:off x="0" y="0"/>
                      <a:ext cx="6793865" cy="3095625"/>
                    </a:xfrm>
                    <a:prstGeom prst="rect">
                      <a:avLst/>
                    </a:prstGeom>
                    <a:noFill/>
                  </pic:spPr>
                </pic:pic>
              </a:graphicData>
            </a:graphic>
          </wp:anchor>
        </w:drawing>
      </w:r>
      <w:r w:rsidR="00DC7E01" w:rsidRPr="00252D43">
        <w:rPr>
          <w:rFonts w:ascii="Arial" w:hAnsi="Arial" w:cs="Arial"/>
          <w:b/>
          <w:bCs/>
          <w:sz w:val="20"/>
          <w:szCs w:val="20"/>
        </w:rPr>
        <w:t>Şekil 2b. Çeyrekten çeyreğe Almanya’nın reel GSYH büyümesi ve iç talep ile net ihracatın reel GSYH’a katkısı (mevsim ve ta</w:t>
      </w:r>
      <w:r w:rsidR="00DC7E01">
        <w:rPr>
          <w:rFonts w:ascii="Arial" w:hAnsi="Arial" w:cs="Arial"/>
          <w:b/>
          <w:bCs/>
          <w:sz w:val="20"/>
          <w:szCs w:val="20"/>
        </w:rPr>
        <w:t>kvim etkilerinden arındırılmış)</w:t>
      </w:r>
    </w:p>
    <w:p w:rsidR="00DC7E01" w:rsidRPr="00252D43" w:rsidRDefault="00DC7E01" w:rsidP="00252D43">
      <w:pPr>
        <w:rPr>
          <w:rFonts w:ascii="Arial" w:hAnsi="Arial" w:cs="Arial"/>
          <w:sz w:val="16"/>
          <w:szCs w:val="16"/>
        </w:rPr>
      </w:pPr>
      <w:r w:rsidRPr="00252D43">
        <w:rPr>
          <w:rFonts w:ascii="Arial" w:hAnsi="Arial" w:cs="Arial"/>
          <w:sz w:val="16"/>
          <w:szCs w:val="16"/>
        </w:rPr>
        <w:t>Kaynak: OECD, Betam.</w:t>
      </w:r>
    </w:p>
    <w:p w:rsidR="00DC7E01" w:rsidRPr="00252D43" w:rsidRDefault="00DC7E01" w:rsidP="00CD0E0A">
      <w:pPr>
        <w:spacing w:line="276" w:lineRule="auto"/>
        <w:rPr>
          <w:rFonts w:ascii="Arial" w:hAnsi="Arial" w:cs="Arial"/>
          <w:sz w:val="20"/>
          <w:szCs w:val="20"/>
        </w:rPr>
      </w:pPr>
    </w:p>
    <w:p w:rsidR="00DC7E01" w:rsidRPr="00252D43" w:rsidRDefault="00F33347" w:rsidP="001873F2">
      <w:pPr>
        <w:rPr>
          <w:rFonts w:ascii="Arial" w:hAnsi="Arial" w:cs="Arial"/>
          <w:b/>
          <w:bCs/>
          <w:sz w:val="20"/>
          <w:szCs w:val="20"/>
        </w:rPr>
      </w:pPr>
      <w:r>
        <w:rPr>
          <w:noProof/>
          <w:lang w:val="en-US" w:eastAsia="en-US"/>
        </w:rPr>
        <w:lastRenderedPageBreak/>
        <w:drawing>
          <wp:anchor distT="0" distB="0" distL="114300" distR="114300" simplePos="0" relativeHeight="251661824" behindDoc="0" locked="0" layoutInCell="1" allowOverlap="1">
            <wp:simplePos x="0" y="0"/>
            <wp:positionH relativeFrom="column">
              <wp:posOffset>-576580</wp:posOffset>
            </wp:positionH>
            <wp:positionV relativeFrom="paragraph">
              <wp:posOffset>381000</wp:posOffset>
            </wp:positionV>
            <wp:extent cx="6793865" cy="3095625"/>
            <wp:effectExtent l="19050" t="0" r="6985" b="0"/>
            <wp:wrapSquare wrapText="bothSides"/>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6793865" cy="3095625"/>
                    </a:xfrm>
                    <a:prstGeom prst="rect">
                      <a:avLst/>
                    </a:prstGeom>
                    <a:noFill/>
                  </pic:spPr>
                </pic:pic>
              </a:graphicData>
            </a:graphic>
          </wp:anchor>
        </w:drawing>
      </w:r>
      <w:r w:rsidR="00DC7E01" w:rsidRPr="00252D43">
        <w:rPr>
          <w:rFonts w:ascii="Arial" w:hAnsi="Arial" w:cs="Arial"/>
          <w:b/>
          <w:bCs/>
          <w:sz w:val="20"/>
          <w:szCs w:val="20"/>
        </w:rPr>
        <w:t>Şekil 3b. Çeyrekten çeyreğe Güney Kore’nin reel GSYH büyümesi ve iç talep ile net ihracatın reel GSYH’a katkısı (mevsim ve takvim etkilerinden arındı</w:t>
      </w:r>
      <w:r w:rsidR="00DC7E01">
        <w:rPr>
          <w:rFonts w:ascii="Arial" w:hAnsi="Arial" w:cs="Arial"/>
          <w:b/>
          <w:bCs/>
          <w:sz w:val="20"/>
          <w:szCs w:val="20"/>
        </w:rPr>
        <w:t>rılmış)</w:t>
      </w:r>
    </w:p>
    <w:p w:rsidR="00DC7E01" w:rsidRPr="00252D43" w:rsidRDefault="00DC7E01" w:rsidP="00252D43">
      <w:pPr>
        <w:rPr>
          <w:rFonts w:ascii="Arial" w:hAnsi="Arial" w:cs="Arial"/>
          <w:sz w:val="16"/>
          <w:szCs w:val="16"/>
        </w:rPr>
      </w:pPr>
      <w:r w:rsidRPr="00252D43">
        <w:rPr>
          <w:rFonts w:ascii="Arial" w:hAnsi="Arial" w:cs="Arial"/>
          <w:sz w:val="16"/>
          <w:szCs w:val="16"/>
        </w:rPr>
        <w:t>Kaynak: OECD, Betam.</w:t>
      </w:r>
    </w:p>
    <w:p w:rsidR="00DC7E01" w:rsidRPr="00F33347" w:rsidRDefault="00DC7E01" w:rsidP="00CD0E0A">
      <w:pPr>
        <w:spacing w:line="276" w:lineRule="auto"/>
        <w:rPr>
          <w:rFonts w:ascii="Arial" w:hAnsi="Arial" w:cs="Arial"/>
          <w:sz w:val="12"/>
          <w:szCs w:val="12"/>
        </w:rPr>
      </w:pPr>
    </w:p>
    <w:p w:rsidR="006A7EB4" w:rsidRDefault="006A7EB4" w:rsidP="00CD0E0A">
      <w:pPr>
        <w:spacing w:line="276" w:lineRule="auto"/>
        <w:rPr>
          <w:rFonts w:ascii="Arial" w:hAnsi="Arial" w:cs="Arial"/>
          <w:b/>
          <w:sz w:val="20"/>
          <w:szCs w:val="20"/>
        </w:rPr>
      </w:pPr>
      <w:r w:rsidRPr="006A7EB4">
        <w:rPr>
          <w:rFonts w:ascii="Arial" w:hAnsi="Arial" w:cs="Arial"/>
          <w:b/>
          <w:sz w:val="20"/>
          <w:szCs w:val="20"/>
        </w:rPr>
        <w:t xml:space="preserve">Tablo 1. Almanya ve Güney Kore’de cari </w:t>
      </w:r>
      <w:r w:rsidR="008D5660">
        <w:rPr>
          <w:rFonts w:ascii="Arial" w:hAnsi="Arial" w:cs="Arial"/>
          <w:b/>
          <w:sz w:val="20"/>
          <w:szCs w:val="20"/>
        </w:rPr>
        <w:t>denge</w:t>
      </w:r>
      <w:r w:rsidRPr="006A7EB4">
        <w:rPr>
          <w:rFonts w:ascii="Arial" w:hAnsi="Arial" w:cs="Arial"/>
          <w:b/>
          <w:sz w:val="20"/>
          <w:szCs w:val="20"/>
        </w:rPr>
        <w:t xml:space="preserve"> (milyar dolar ve % GSYH’a oran) </w:t>
      </w:r>
    </w:p>
    <w:tbl>
      <w:tblPr>
        <w:tblW w:w="9095" w:type="dxa"/>
        <w:tblInd w:w="103" w:type="dxa"/>
        <w:tblLook w:val="04A0"/>
      </w:tblPr>
      <w:tblGrid>
        <w:gridCol w:w="815"/>
        <w:gridCol w:w="2340"/>
        <w:gridCol w:w="1710"/>
        <w:gridCol w:w="2430"/>
        <w:gridCol w:w="1800"/>
      </w:tblGrid>
      <w:tr w:rsidR="00FC391E" w:rsidRPr="006A7EB4" w:rsidTr="0032753B">
        <w:trPr>
          <w:trHeight w:val="282"/>
        </w:trPr>
        <w:tc>
          <w:tcPr>
            <w:tcW w:w="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391E" w:rsidRPr="006A7EB4" w:rsidRDefault="00FC391E" w:rsidP="006A7EB4">
            <w:pPr>
              <w:rPr>
                <w:rFonts w:ascii="Arial" w:hAnsi="Arial" w:cs="Arial"/>
                <w:color w:val="000000"/>
                <w:sz w:val="18"/>
                <w:szCs w:val="18"/>
                <w:lang w:val="en-US" w:eastAsia="en-US"/>
              </w:rPr>
            </w:pPr>
            <w:r w:rsidRPr="006A7EB4">
              <w:rPr>
                <w:rFonts w:ascii="Arial" w:hAnsi="Arial" w:cs="Arial"/>
                <w:color w:val="000000"/>
                <w:sz w:val="18"/>
                <w:szCs w:val="18"/>
                <w:lang w:val="en-US" w:eastAsia="en-US"/>
              </w:rPr>
              <w:t> </w:t>
            </w:r>
          </w:p>
        </w:tc>
        <w:tc>
          <w:tcPr>
            <w:tcW w:w="4050" w:type="dxa"/>
            <w:gridSpan w:val="2"/>
            <w:tcBorders>
              <w:top w:val="single" w:sz="4" w:space="0" w:color="auto"/>
              <w:left w:val="nil"/>
              <w:bottom w:val="single" w:sz="4" w:space="0" w:color="auto"/>
              <w:right w:val="single" w:sz="4" w:space="0" w:color="auto"/>
            </w:tcBorders>
            <w:shd w:val="clear" w:color="auto" w:fill="auto"/>
            <w:noWrap/>
            <w:vAlign w:val="bottom"/>
            <w:hideMark/>
          </w:tcPr>
          <w:p w:rsidR="00FC391E" w:rsidRPr="006A7EB4" w:rsidRDefault="00FC391E" w:rsidP="00FC391E">
            <w:pPr>
              <w:jc w:val="center"/>
              <w:rPr>
                <w:rFonts w:ascii="Arial" w:hAnsi="Arial" w:cs="Arial"/>
                <w:b/>
                <w:color w:val="000000"/>
                <w:sz w:val="18"/>
                <w:szCs w:val="18"/>
                <w:lang w:val="en-US" w:eastAsia="en-US"/>
              </w:rPr>
            </w:pPr>
            <w:r w:rsidRPr="006A7EB4">
              <w:rPr>
                <w:rFonts w:ascii="Arial" w:hAnsi="Arial" w:cs="Arial"/>
                <w:b/>
                <w:color w:val="000000"/>
                <w:sz w:val="18"/>
                <w:szCs w:val="18"/>
                <w:lang w:val="en-US" w:eastAsia="en-US"/>
              </w:rPr>
              <w:t>Almanya</w:t>
            </w:r>
          </w:p>
        </w:tc>
        <w:tc>
          <w:tcPr>
            <w:tcW w:w="4230" w:type="dxa"/>
            <w:gridSpan w:val="2"/>
            <w:tcBorders>
              <w:top w:val="single" w:sz="4" w:space="0" w:color="auto"/>
              <w:left w:val="nil"/>
              <w:bottom w:val="single" w:sz="4" w:space="0" w:color="auto"/>
              <w:right w:val="single" w:sz="4" w:space="0" w:color="auto"/>
            </w:tcBorders>
            <w:shd w:val="clear" w:color="auto" w:fill="auto"/>
            <w:noWrap/>
            <w:vAlign w:val="bottom"/>
            <w:hideMark/>
          </w:tcPr>
          <w:p w:rsidR="00FC391E" w:rsidRPr="006A7EB4" w:rsidRDefault="00FC391E" w:rsidP="00FC391E">
            <w:pPr>
              <w:jc w:val="center"/>
              <w:rPr>
                <w:rFonts w:ascii="Arial" w:hAnsi="Arial" w:cs="Arial"/>
                <w:b/>
                <w:color w:val="000000"/>
                <w:sz w:val="18"/>
                <w:szCs w:val="18"/>
                <w:lang w:val="en-US" w:eastAsia="en-US"/>
              </w:rPr>
            </w:pPr>
            <w:r w:rsidRPr="006A7EB4">
              <w:rPr>
                <w:rFonts w:ascii="Arial" w:hAnsi="Arial" w:cs="Arial"/>
                <w:b/>
                <w:color w:val="000000"/>
                <w:sz w:val="18"/>
                <w:szCs w:val="18"/>
                <w:lang w:val="en-US" w:eastAsia="en-US"/>
              </w:rPr>
              <w:t>Güney Kore</w:t>
            </w:r>
          </w:p>
        </w:tc>
      </w:tr>
      <w:tr w:rsidR="0032753B" w:rsidRPr="006A7EB4" w:rsidTr="0032753B">
        <w:trPr>
          <w:trHeight w:val="300"/>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6A7EB4" w:rsidRPr="006A7EB4" w:rsidRDefault="006A7EB4" w:rsidP="006A7EB4">
            <w:pPr>
              <w:rPr>
                <w:rFonts w:ascii="Arial" w:hAnsi="Arial" w:cs="Arial"/>
                <w:color w:val="000000"/>
                <w:sz w:val="18"/>
                <w:szCs w:val="18"/>
                <w:lang w:val="en-US" w:eastAsia="en-US"/>
              </w:rPr>
            </w:pPr>
            <w:r w:rsidRPr="006A7EB4">
              <w:rPr>
                <w:rFonts w:ascii="Arial" w:hAnsi="Arial" w:cs="Arial"/>
                <w:color w:val="000000"/>
                <w:sz w:val="18"/>
                <w:szCs w:val="18"/>
                <w:lang w:val="en-US" w:eastAsia="en-US"/>
              </w:rPr>
              <w:t> </w:t>
            </w:r>
          </w:p>
        </w:tc>
        <w:tc>
          <w:tcPr>
            <w:tcW w:w="2340" w:type="dxa"/>
            <w:tcBorders>
              <w:top w:val="nil"/>
              <w:left w:val="nil"/>
              <w:bottom w:val="single" w:sz="4" w:space="0" w:color="auto"/>
              <w:right w:val="single" w:sz="4" w:space="0" w:color="auto"/>
            </w:tcBorders>
            <w:shd w:val="clear" w:color="auto" w:fill="auto"/>
            <w:noWrap/>
            <w:vAlign w:val="bottom"/>
            <w:hideMark/>
          </w:tcPr>
          <w:p w:rsidR="006A7EB4" w:rsidRPr="006A7EB4" w:rsidRDefault="006A7EB4" w:rsidP="002933C2">
            <w:pPr>
              <w:jc w:val="center"/>
              <w:rPr>
                <w:rFonts w:ascii="Arial" w:hAnsi="Arial" w:cs="Arial"/>
                <w:b/>
                <w:color w:val="000000"/>
                <w:sz w:val="18"/>
                <w:szCs w:val="18"/>
                <w:lang w:val="en-US" w:eastAsia="en-US"/>
              </w:rPr>
            </w:pPr>
            <w:r w:rsidRPr="006A7EB4">
              <w:rPr>
                <w:rFonts w:ascii="Arial" w:hAnsi="Arial" w:cs="Arial"/>
                <w:b/>
                <w:color w:val="000000"/>
                <w:sz w:val="18"/>
                <w:szCs w:val="18"/>
                <w:lang w:val="en-US" w:eastAsia="en-US"/>
              </w:rPr>
              <w:t>Cari denge</w:t>
            </w:r>
            <w:r w:rsidR="0032753B">
              <w:rPr>
                <w:rFonts w:ascii="Arial" w:hAnsi="Arial" w:cs="Arial"/>
                <w:b/>
                <w:color w:val="000000"/>
                <w:sz w:val="18"/>
                <w:szCs w:val="18"/>
                <w:lang w:val="en-US" w:eastAsia="en-US"/>
              </w:rPr>
              <w:t xml:space="preserve"> </w:t>
            </w:r>
            <w:r w:rsidRPr="006A7EB4">
              <w:rPr>
                <w:rFonts w:ascii="Arial" w:hAnsi="Arial" w:cs="Arial"/>
                <w:b/>
                <w:color w:val="000000"/>
                <w:sz w:val="18"/>
                <w:szCs w:val="18"/>
                <w:lang w:val="en-US" w:eastAsia="en-US"/>
              </w:rPr>
              <w:t>(milyar dolar)</w:t>
            </w:r>
          </w:p>
        </w:tc>
        <w:tc>
          <w:tcPr>
            <w:tcW w:w="1710" w:type="dxa"/>
            <w:tcBorders>
              <w:top w:val="nil"/>
              <w:left w:val="nil"/>
              <w:bottom w:val="single" w:sz="4" w:space="0" w:color="auto"/>
              <w:right w:val="single" w:sz="4" w:space="0" w:color="auto"/>
            </w:tcBorders>
            <w:shd w:val="clear" w:color="auto" w:fill="auto"/>
            <w:noWrap/>
            <w:vAlign w:val="bottom"/>
            <w:hideMark/>
          </w:tcPr>
          <w:p w:rsidR="006A7EB4" w:rsidRPr="006A7EB4" w:rsidRDefault="006A7EB4" w:rsidP="002933C2">
            <w:pPr>
              <w:jc w:val="center"/>
              <w:rPr>
                <w:rFonts w:ascii="Arial" w:hAnsi="Arial" w:cs="Arial"/>
                <w:b/>
                <w:color w:val="000000"/>
                <w:sz w:val="18"/>
                <w:szCs w:val="18"/>
                <w:lang w:val="en-US" w:eastAsia="en-US"/>
              </w:rPr>
            </w:pPr>
            <w:r w:rsidRPr="006A7EB4">
              <w:rPr>
                <w:rFonts w:ascii="Arial" w:hAnsi="Arial" w:cs="Arial"/>
                <w:b/>
                <w:color w:val="000000"/>
                <w:sz w:val="18"/>
                <w:szCs w:val="18"/>
                <w:lang w:val="en-US" w:eastAsia="en-US"/>
              </w:rPr>
              <w:t>GSYH'a oran</w:t>
            </w:r>
            <w:r w:rsidR="002933C2" w:rsidRPr="0032753B">
              <w:rPr>
                <w:rFonts w:ascii="Arial" w:hAnsi="Arial" w:cs="Arial"/>
                <w:b/>
                <w:color w:val="000000"/>
                <w:sz w:val="18"/>
                <w:szCs w:val="18"/>
                <w:lang w:val="en-US" w:eastAsia="en-US"/>
              </w:rPr>
              <w:t xml:space="preserve"> </w:t>
            </w:r>
            <w:r w:rsidRPr="006A7EB4">
              <w:rPr>
                <w:rFonts w:ascii="Arial" w:hAnsi="Arial" w:cs="Arial"/>
                <w:b/>
                <w:color w:val="000000"/>
                <w:sz w:val="18"/>
                <w:szCs w:val="18"/>
                <w:lang w:val="en-US" w:eastAsia="en-US"/>
              </w:rPr>
              <w:t>(%)</w:t>
            </w:r>
          </w:p>
        </w:tc>
        <w:tc>
          <w:tcPr>
            <w:tcW w:w="2430" w:type="dxa"/>
            <w:tcBorders>
              <w:top w:val="nil"/>
              <w:left w:val="nil"/>
              <w:bottom w:val="single" w:sz="4" w:space="0" w:color="auto"/>
              <w:right w:val="single" w:sz="4" w:space="0" w:color="auto"/>
            </w:tcBorders>
            <w:shd w:val="clear" w:color="auto" w:fill="auto"/>
            <w:noWrap/>
            <w:vAlign w:val="bottom"/>
            <w:hideMark/>
          </w:tcPr>
          <w:p w:rsidR="006A7EB4" w:rsidRPr="006A7EB4" w:rsidRDefault="006A7EB4" w:rsidP="002933C2">
            <w:pPr>
              <w:jc w:val="center"/>
              <w:rPr>
                <w:rFonts w:ascii="Arial" w:hAnsi="Arial" w:cs="Arial"/>
                <w:b/>
                <w:color w:val="000000"/>
                <w:sz w:val="18"/>
                <w:szCs w:val="18"/>
                <w:lang w:val="en-US" w:eastAsia="en-US"/>
              </w:rPr>
            </w:pPr>
            <w:r w:rsidRPr="006A7EB4">
              <w:rPr>
                <w:rFonts w:ascii="Arial" w:hAnsi="Arial" w:cs="Arial"/>
                <w:b/>
                <w:color w:val="000000"/>
                <w:sz w:val="18"/>
                <w:szCs w:val="18"/>
                <w:lang w:val="en-US" w:eastAsia="en-US"/>
              </w:rPr>
              <w:t>Cari denge (milyar dolar)</w:t>
            </w:r>
          </w:p>
        </w:tc>
        <w:tc>
          <w:tcPr>
            <w:tcW w:w="1800" w:type="dxa"/>
            <w:tcBorders>
              <w:top w:val="nil"/>
              <w:left w:val="nil"/>
              <w:bottom w:val="single" w:sz="4" w:space="0" w:color="auto"/>
              <w:right w:val="single" w:sz="4" w:space="0" w:color="auto"/>
            </w:tcBorders>
            <w:shd w:val="clear" w:color="auto" w:fill="auto"/>
            <w:noWrap/>
            <w:vAlign w:val="bottom"/>
            <w:hideMark/>
          </w:tcPr>
          <w:p w:rsidR="006A7EB4" w:rsidRPr="006A7EB4" w:rsidRDefault="006A7EB4" w:rsidP="00FC391E">
            <w:pPr>
              <w:jc w:val="center"/>
              <w:rPr>
                <w:rFonts w:ascii="Arial" w:hAnsi="Arial" w:cs="Arial"/>
                <w:b/>
                <w:color w:val="000000"/>
                <w:sz w:val="18"/>
                <w:szCs w:val="18"/>
                <w:lang w:val="en-US" w:eastAsia="en-US"/>
              </w:rPr>
            </w:pPr>
            <w:r w:rsidRPr="006A7EB4">
              <w:rPr>
                <w:rFonts w:ascii="Arial" w:hAnsi="Arial" w:cs="Arial"/>
                <w:b/>
                <w:color w:val="000000"/>
                <w:sz w:val="18"/>
                <w:szCs w:val="18"/>
                <w:lang w:val="en-US" w:eastAsia="en-US"/>
              </w:rPr>
              <w:t>GSYH'a oran (%)</w:t>
            </w:r>
          </w:p>
        </w:tc>
      </w:tr>
      <w:tr w:rsidR="0032753B" w:rsidRPr="006A7EB4" w:rsidTr="0032753B">
        <w:trPr>
          <w:trHeight w:val="300"/>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32753B" w:rsidRPr="006A7EB4" w:rsidRDefault="0032753B" w:rsidP="006A7EB4">
            <w:pPr>
              <w:jc w:val="right"/>
              <w:rPr>
                <w:rFonts w:ascii="Arial" w:hAnsi="Arial" w:cs="Arial"/>
                <w:color w:val="000000"/>
                <w:sz w:val="18"/>
                <w:szCs w:val="18"/>
                <w:lang w:val="en-US" w:eastAsia="en-US"/>
              </w:rPr>
            </w:pPr>
            <w:r w:rsidRPr="006A7EB4">
              <w:rPr>
                <w:rFonts w:ascii="Arial" w:hAnsi="Arial" w:cs="Arial"/>
                <w:color w:val="000000"/>
                <w:sz w:val="18"/>
                <w:szCs w:val="18"/>
                <w:lang w:val="en-US" w:eastAsia="en-US"/>
              </w:rPr>
              <w:t>1991</w:t>
            </w:r>
          </w:p>
        </w:tc>
        <w:tc>
          <w:tcPr>
            <w:tcW w:w="2340" w:type="dxa"/>
            <w:tcBorders>
              <w:top w:val="nil"/>
              <w:left w:val="nil"/>
              <w:bottom w:val="single" w:sz="4" w:space="0" w:color="auto"/>
              <w:right w:val="single" w:sz="4" w:space="0" w:color="auto"/>
            </w:tcBorders>
            <w:shd w:val="clear" w:color="auto" w:fill="auto"/>
            <w:noWrap/>
            <w:vAlign w:val="bottom"/>
            <w:hideMark/>
          </w:tcPr>
          <w:p w:rsidR="0032753B" w:rsidRDefault="0032753B">
            <w:pPr>
              <w:jc w:val="right"/>
              <w:rPr>
                <w:rFonts w:ascii="Calibri" w:hAnsi="Calibri"/>
                <w:color w:val="000000"/>
                <w:sz w:val="22"/>
                <w:szCs w:val="22"/>
              </w:rPr>
            </w:pPr>
            <w:r>
              <w:rPr>
                <w:rFonts w:ascii="Calibri" w:hAnsi="Calibri"/>
                <w:color w:val="000000"/>
                <w:sz w:val="22"/>
                <w:szCs w:val="22"/>
              </w:rPr>
              <w:t>-24</w:t>
            </w:r>
          </w:p>
        </w:tc>
        <w:tc>
          <w:tcPr>
            <w:tcW w:w="1710" w:type="dxa"/>
            <w:tcBorders>
              <w:top w:val="nil"/>
              <w:left w:val="nil"/>
              <w:bottom w:val="single" w:sz="4" w:space="0" w:color="auto"/>
              <w:right w:val="single" w:sz="4" w:space="0" w:color="auto"/>
            </w:tcBorders>
            <w:shd w:val="clear" w:color="auto" w:fill="auto"/>
            <w:noWrap/>
            <w:vAlign w:val="bottom"/>
            <w:hideMark/>
          </w:tcPr>
          <w:p w:rsidR="0032753B" w:rsidRPr="006A7EB4" w:rsidRDefault="0032753B" w:rsidP="006A7EB4">
            <w:pPr>
              <w:jc w:val="right"/>
              <w:rPr>
                <w:rFonts w:ascii="Arial" w:hAnsi="Arial" w:cs="Arial"/>
                <w:color w:val="000000"/>
                <w:sz w:val="18"/>
                <w:szCs w:val="18"/>
                <w:lang w:val="en-US" w:eastAsia="en-US"/>
              </w:rPr>
            </w:pPr>
            <w:r w:rsidRPr="006A7EB4">
              <w:rPr>
                <w:rFonts w:ascii="Arial" w:hAnsi="Arial" w:cs="Arial"/>
                <w:color w:val="000000"/>
                <w:sz w:val="18"/>
                <w:szCs w:val="18"/>
                <w:lang w:val="en-US" w:eastAsia="en-US"/>
              </w:rPr>
              <w:t>-1.3</w:t>
            </w:r>
          </w:p>
        </w:tc>
        <w:tc>
          <w:tcPr>
            <w:tcW w:w="2430" w:type="dxa"/>
            <w:tcBorders>
              <w:top w:val="nil"/>
              <w:left w:val="nil"/>
              <w:bottom w:val="single" w:sz="4" w:space="0" w:color="auto"/>
              <w:right w:val="single" w:sz="4" w:space="0" w:color="auto"/>
            </w:tcBorders>
            <w:shd w:val="clear" w:color="auto" w:fill="auto"/>
            <w:noWrap/>
            <w:vAlign w:val="bottom"/>
            <w:hideMark/>
          </w:tcPr>
          <w:p w:rsidR="0032753B" w:rsidRDefault="0032753B">
            <w:pPr>
              <w:jc w:val="right"/>
              <w:rPr>
                <w:rFonts w:ascii="Calibri" w:hAnsi="Calibri"/>
                <w:color w:val="000000"/>
                <w:sz w:val="22"/>
                <w:szCs w:val="22"/>
              </w:rPr>
            </w:pPr>
            <w:r>
              <w:rPr>
                <w:rFonts w:ascii="Calibri" w:hAnsi="Calibri"/>
                <w:color w:val="000000"/>
                <w:sz w:val="22"/>
                <w:szCs w:val="22"/>
              </w:rPr>
              <w:t>-8</w:t>
            </w:r>
          </w:p>
        </w:tc>
        <w:tc>
          <w:tcPr>
            <w:tcW w:w="1800" w:type="dxa"/>
            <w:tcBorders>
              <w:top w:val="nil"/>
              <w:left w:val="nil"/>
              <w:bottom w:val="single" w:sz="4" w:space="0" w:color="auto"/>
              <w:right w:val="single" w:sz="4" w:space="0" w:color="auto"/>
            </w:tcBorders>
            <w:shd w:val="clear" w:color="auto" w:fill="auto"/>
            <w:noWrap/>
            <w:vAlign w:val="bottom"/>
            <w:hideMark/>
          </w:tcPr>
          <w:p w:rsidR="0032753B" w:rsidRPr="006A7EB4" w:rsidRDefault="0032753B" w:rsidP="006A7EB4">
            <w:pPr>
              <w:jc w:val="right"/>
              <w:rPr>
                <w:rFonts w:ascii="Arial" w:hAnsi="Arial" w:cs="Arial"/>
                <w:color w:val="000000"/>
                <w:sz w:val="18"/>
                <w:szCs w:val="18"/>
                <w:lang w:val="en-US" w:eastAsia="en-US"/>
              </w:rPr>
            </w:pPr>
            <w:r w:rsidRPr="006A7EB4">
              <w:rPr>
                <w:rFonts w:ascii="Arial" w:hAnsi="Arial" w:cs="Arial"/>
                <w:color w:val="000000"/>
                <w:sz w:val="18"/>
                <w:szCs w:val="18"/>
                <w:lang w:val="en-US" w:eastAsia="en-US"/>
              </w:rPr>
              <w:t>-2.4</w:t>
            </w:r>
          </w:p>
        </w:tc>
      </w:tr>
      <w:tr w:rsidR="0032753B" w:rsidRPr="006A7EB4" w:rsidTr="0032753B">
        <w:trPr>
          <w:trHeight w:val="300"/>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32753B" w:rsidRPr="006A7EB4" w:rsidRDefault="0032753B" w:rsidP="006A7EB4">
            <w:pPr>
              <w:jc w:val="right"/>
              <w:rPr>
                <w:rFonts w:ascii="Arial" w:hAnsi="Arial" w:cs="Arial"/>
                <w:color w:val="000000"/>
                <w:sz w:val="18"/>
                <w:szCs w:val="18"/>
                <w:lang w:val="en-US" w:eastAsia="en-US"/>
              </w:rPr>
            </w:pPr>
            <w:r w:rsidRPr="006A7EB4">
              <w:rPr>
                <w:rFonts w:ascii="Arial" w:hAnsi="Arial" w:cs="Arial"/>
                <w:color w:val="000000"/>
                <w:sz w:val="18"/>
                <w:szCs w:val="18"/>
                <w:lang w:val="en-US" w:eastAsia="en-US"/>
              </w:rPr>
              <w:t>1992</w:t>
            </w:r>
          </w:p>
        </w:tc>
        <w:tc>
          <w:tcPr>
            <w:tcW w:w="2340" w:type="dxa"/>
            <w:tcBorders>
              <w:top w:val="nil"/>
              <w:left w:val="nil"/>
              <w:bottom w:val="single" w:sz="4" w:space="0" w:color="auto"/>
              <w:right w:val="single" w:sz="4" w:space="0" w:color="auto"/>
            </w:tcBorders>
            <w:shd w:val="clear" w:color="auto" w:fill="auto"/>
            <w:noWrap/>
            <w:vAlign w:val="bottom"/>
            <w:hideMark/>
          </w:tcPr>
          <w:p w:rsidR="0032753B" w:rsidRDefault="0032753B">
            <w:pPr>
              <w:jc w:val="right"/>
              <w:rPr>
                <w:rFonts w:ascii="Calibri" w:hAnsi="Calibri"/>
                <w:color w:val="000000"/>
                <w:sz w:val="22"/>
                <w:szCs w:val="22"/>
              </w:rPr>
            </w:pPr>
            <w:r>
              <w:rPr>
                <w:rFonts w:ascii="Calibri" w:hAnsi="Calibri"/>
                <w:color w:val="000000"/>
                <w:sz w:val="22"/>
                <w:szCs w:val="22"/>
              </w:rPr>
              <w:t>-23</w:t>
            </w:r>
          </w:p>
        </w:tc>
        <w:tc>
          <w:tcPr>
            <w:tcW w:w="1710" w:type="dxa"/>
            <w:tcBorders>
              <w:top w:val="nil"/>
              <w:left w:val="nil"/>
              <w:bottom w:val="single" w:sz="4" w:space="0" w:color="auto"/>
              <w:right w:val="single" w:sz="4" w:space="0" w:color="auto"/>
            </w:tcBorders>
            <w:shd w:val="clear" w:color="auto" w:fill="auto"/>
            <w:noWrap/>
            <w:vAlign w:val="bottom"/>
            <w:hideMark/>
          </w:tcPr>
          <w:p w:rsidR="0032753B" w:rsidRPr="006A7EB4" w:rsidRDefault="0032753B" w:rsidP="006A7EB4">
            <w:pPr>
              <w:jc w:val="right"/>
              <w:rPr>
                <w:rFonts w:ascii="Arial" w:hAnsi="Arial" w:cs="Arial"/>
                <w:color w:val="000000"/>
                <w:sz w:val="18"/>
                <w:szCs w:val="18"/>
                <w:lang w:val="en-US" w:eastAsia="en-US"/>
              </w:rPr>
            </w:pPr>
            <w:r w:rsidRPr="006A7EB4">
              <w:rPr>
                <w:rFonts w:ascii="Arial" w:hAnsi="Arial" w:cs="Arial"/>
                <w:color w:val="000000"/>
                <w:sz w:val="18"/>
                <w:szCs w:val="18"/>
                <w:lang w:val="en-US" w:eastAsia="en-US"/>
              </w:rPr>
              <w:t>-1.1</w:t>
            </w:r>
          </w:p>
        </w:tc>
        <w:tc>
          <w:tcPr>
            <w:tcW w:w="2430" w:type="dxa"/>
            <w:tcBorders>
              <w:top w:val="nil"/>
              <w:left w:val="nil"/>
              <w:bottom w:val="single" w:sz="4" w:space="0" w:color="auto"/>
              <w:right w:val="single" w:sz="4" w:space="0" w:color="auto"/>
            </w:tcBorders>
            <w:shd w:val="clear" w:color="auto" w:fill="auto"/>
            <w:noWrap/>
            <w:vAlign w:val="bottom"/>
            <w:hideMark/>
          </w:tcPr>
          <w:p w:rsidR="0032753B" w:rsidRDefault="0032753B">
            <w:pPr>
              <w:jc w:val="right"/>
              <w:rPr>
                <w:rFonts w:ascii="Calibri" w:hAnsi="Calibri"/>
                <w:color w:val="000000"/>
                <w:sz w:val="22"/>
                <w:szCs w:val="22"/>
              </w:rPr>
            </w:pPr>
            <w:r>
              <w:rPr>
                <w:rFonts w:ascii="Calibri" w:hAnsi="Calibri"/>
                <w:color w:val="000000"/>
                <w:sz w:val="22"/>
                <w:szCs w:val="22"/>
              </w:rPr>
              <w:t>-2</w:t>
            </w:r>
          </w:p>
        </w:tc>
        <w:tc>
          <w:tcPr>
            <w:tcW w:w="1800" w:type="dxa"/>
            <w:tcBorders>
              <w:top w:val="nil"/>
              <w:left w:val="nil"/>
              <w:bottom w:val="single" w:sz="4" w:space="0" w:color="auto"/>
              <w:right w:val="single" w:sz="4" w:space="0" w:color="auto"/>
            </w:tcBorders>
            <w:shd w:val="clear" w:color="auto" w:fill="auto"/>
            <w:noWrap/>
            <w:vAlign w:val="bottom"/>
            <w:hideMark/>
          </w:tcPr>
          <w:p w:rsidR="0032753B" w:rsidRPr="006A7EB4" w:rsidRDefault="0032753B" w:rsidP="006A7EB4">
            <w:pPr>
              <w:jc w:val="right"/>
              <w:rPr>
                <w:rFonts w:ascii="Arial" w:hAnsi="Arial" w:cs="Arial"/>
                <w:color w:val="000000"/>
                <w:sz w:val="18"/>
                <w:szCs w:val="18"/>
                <w:lang w:val="en-US" w:eastAsia="en-US"/>
              </w:rPr>
            </w:pPr>
            <w:r w:rsidRPr="006A7EB4">
              <w:rPr>
                <w:rFonts w:ascii="Arial" w:hAnsi="Arial" w:cs="Arial"/>
                <w:color w:val="000000"/>
                <w:sz w:val="18"/>
                <w:szCs w:val="18"/>
                <w:lang w:val="en-US" w:eastAsia="en-US"/>
              </w:rPr>
              <w:t>-0.7</w:t>
            </w:r>
          </w:p>
        </w:tc>
      </w:tr>
      <w:tr w:rsidR="0032753B" w:rsidRPr="006A7EB4" w:rsidTr="0032753B">
        <w:trPr>
          <w:trHeight w:val="300"/>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32753B" w:rsidRPr="006A7EB4" w:rsidRDefault="0032753B" w:rsidP="006A7EB4">
            <w:pPr>
              <w:jc w:val="right"/>
              <w:rPr>
                <w:rFonts w:ascii="Arial" w:hAnsi="Arial" w:cs="Arial"/>
                <w:color w:val="000000"/>
                <w:sz w:val="18"/>
                <w:szCs w:val="18"/>
                <w:lang w:val="en-US" w:eastAsia="en-US"/>
              </w:rPr>
            </w:pPr>
            <w:r w:rsidRPr="006A7EB4">
              <w:rPr>
                <w:rFonts w:ascii="Arial" w:hAnsi="Arial" w:cs="Arial"/>
                <w:color w:val="000000"/>
                <w:sz w:val="18"/>
                <w:szCs w:val="18"/>
                <w:lang w:val="en-US" w:eastAsia="en-US"/>
              </w:rPr>
              <w:t>1993</w:t>
            </w:r>
          </w:p>
        </w:tc>
        <w:tc>
          <w:tcPr>
            <w:tcW w:w="2340" w:type="dxa"/>
            <w:tcBorders>
              <w:top w:val="nil"/>
              <w:left w:val="nil"/>
              <w:bottom w:val="single" w:sz="4" w:space="0" w:color="auto"/>
              <w:right w:val="single" w:sz="4" w:space="0" w:color="auto"/>
            </w:tcBorders>
            <w:shd w:val="clear" w:color="auto" w:fill="auto"/>
            <w:noWrap/>
            <w:vAlign w:val="bottom"/>
            <w:hideMark/>
          </w:tcPr>
          <w:p w:rsidR="0032753B" w:rsidRDefault="0032753B">
            <w:pPr>
              <w:jc w:val="right"/>
              <w:rPr>
                <w:rFonts w:ascii="Calibri" w:hAnsi="Calibri"/>
                <w:color w:val="000000"/>
                <w:sz w:val="22"/>
                <w:szCs w:val="22"/>
              </w:rPr>
            </w:pPr>
            <w:r>
              <w:rPr>
                <w:rFonts w:ascii="Calibri" w:hAnsi="Calibri"/>
                <w:color w:val="000000"/>
                <w:sz w:val="22"/>
                <w:szCs w:val="22"/>
              </w:rPr>
              <w:t>-19</w:t>
            </w:r>
          </w:p>
        </w:tc>
        <w:tc>
          <w:tcPr>
            <w:tcW w:w="1710" w:type="dxa"/>
            <w:tcBorders>
              <w:top w:val="nil"/>
              <w:left w:val="nil"/>
              <w:bottom w:val="single" w:sz="4" w:space="0" w:color="auto"/>
              <w:right w:val="single" w:sz="4" w:space="0" w:color="auto"/>
            </w:tcBorders>
            <w:shd w:val="clear" w:color="auto" w:fill="auto"/>
            <w:noWrap/>
            <w:vAlign w:val="bottom"/>
            <w:hideMark/>
          </w:tcPr>
          <w:p w:rsidR="0032753B" w:rsidRPr="006A7EB4" w:rsidRDefault="0032753B" w:rsidP="006A7EB4">
            <w:pPr>
              <w:jc w:val="right"/>
              <w:rPr>
                <w:rFonts w:ascii="Arial" w:hAnsi="Arial" w:cs="Arial"/>
                <w:color w:val="000000"/>
                <w:sz w:val="18"/>
                <w:szCs w:val="18"/>
                <w:lang w:val="en-US" w:eastAsia="en-US"/>
              </w:rPr>
            </w:pPr>
            <w:r w:rsidRPr="006A7EB4">
              <w:rPr>
                <w:rFonts w:ascii="Arial" w:hAnsi="Arial" w:cs="Arial"/>
                <w:color w:val="000000"/>
                <w:sz w:val="18"/>
                <w:szCs w:val="18"/>
                <w:lang w:val="en-US" w:eastAsia="en-US"/>
              </w:rPr>
              <w:t>-0.9</w:t>
            </w:r>
          </w:p>
        </w:tc>
        <w:tc>
          <w:tcPr>
            <w:tcW w:w="2430" w:type="dxa"/>
            <w:tcBorders>
              <w:top w:val="nil"/>
              <w:left w:val="nil"/>
              <w:bottom w:val="single" w:sz="4" w:space="0" w:color="auto"/>
              <w:right w:val="single" w:sz="4" w:space="0" w:color="auto"/>
            </w:tcBorders>
            <w:shd w:val="clear" w:color="auto" w:fill="auto"/>
            <w:noWrap/>
            <w:vAlign w:val="bottom"/>
            <w:hideMark/>
          </w:tcPr>
          <w:p w:rsidR="0032753B" w:rsidRDefault="0032753B">
            <w:pPr>
              <w:jc w:val="right"/>
              <w:rPr>
                <w:rFonts w:ascii="Calibri" w:hAnsi="Calibri"/>
                <w:color w:val="000000"/>
                <w:sz w:val="22"/>
                <w:szCs w:val="22"/>
              </w:rPr>
            </w:pPr>
            <w:r>
              <w:rPr>
                <w:rFonts w:ascii="Calibri" w:hAnsi="Calibri"/>
                <w:color w:val="000000"/>
                <w:sz w:val="22"/>
                <w:szCs w:val="22"/>
              </w:rPr>
              <w:t>3</w:t>
            </w:r>
          </w:p>
        </w:tc>
        <w:tc>
          <w:tcPr>
            <w:tcW w:w="1800" w:type="dxa"/>
            <w:tcBorders>
              <w:top w:val="nil"/>
              <w:left w:val="nil"/>
              <w:bottom w:val="single" w:sz="4" w:space="0" w:color="auto"/>
              <w:right w:val="single" w:sz="4" w:space="0" w:color="auto"/>
            </w:tcBorders>
            <w:shd w:val="clear" w:color="auto" w:fill="auto"/>
            <w:noWrap/>
            <w:vAlign w:val="bottom"/>
            <w:hideMark/>
          </w:tcPr>
          <w:p w:rsidR="0032753B" w:rsidRPr="006A7EB4" w:rsidRDefault="0032753B" w:rsidP="006A7EB4">
            <w:pPr>
              <w:jc w:val="right"/>
              <w:rPr>
                <w:rFonts w:ascii="Arial" w:hAnsi="Arial" w:cs="Arial"/>
                <w:color w:val="000000"/>
                <w:sz w:val="18"/>
                <w:szCs w:val="18"/>
                <w:lang w:val="en-US" w:eastAsia="en-US"/>
              </w:rPr>
            </w:pPr>
            <w:r w:rsidRPr="006A7EB4">
              <w:rPr>
                <w:rFonts w:ascii="Arial" w:hAnsi="Arial" w:cs="Arial"/>
                <w:color w:val="000000"/>
                <w:sz w:val="18"/>
                <w:szCs w:val="18"/>
                <w:lang w:val="en-US" w:eastAsia="en-US"/>
              </w:rPr>
              <w:t>0.8</w:t>
            </w:r>
          </w:p>
        </w:tc>
      </w:tr>
      <w:tr w:rsidR="0032753B" w:rsidRPr="006A7EB4" w:rsidTr="0032753B">
        <w:trPr>
          <w:trHeight w:val="300"/>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32753B" w:rsidRPr="006A7EB4" w:rsidRDefault="0032753B" w:rsidP="006A7EB4">
            <w:pPr>
              <w:jc w:val="right"/>
              <w:rPr>
                <w:rFonts w:ascii="Arial" w:hAnsi="Arial" w:cs="Arial"/>
                <w:color w:val="000000"/>
                <w:sz w:val="18"/>
                <w:szCs w:val="18"/>
                <w:lang w:val="en-US" w:eastAsia="en-US"/>
              </w:rPr>
            </w:pPr>
            <w:r w:rsidRPr="006A7EB4">
              <w:rPr>
                <w:rFonts w:ascii="Arial" w:hAnsi="Arial" w:cs="Arial"/>
                <w:color w:val="000000"/>
                <w:sz w:val="18"/>
                <w:szCs w:val="18"/>
                <w:lang w:val="en-US" w:eastAsia="en-US"/>
              </w:rPr>
              <w:t>1994</w:t>
            </w:r>
          </w:p>
        </w:tc>
        <w:tc>
          <w:tcPr>
            <w:tcW w:w="2340" w:type="dxa"/>
            <w:tcBorders>
              <w:top w:val="nil"/>
              <w:left w:val="nil"/>
              <w:bottom w:val="single" w:sz="4" w:space="0" w:color="auto"/>
              <w:right w:val="single" w:sz="4" w:space="0" w:color="auto"/>
            </w:tcBorders>
            <w:shd w:val="clear" w:color="auto" w:fill="auto"/>
            <w:noWrap/>
            <w:vAlign w:val="bottom"/>
            <w:hideMark/>
          </w:tcPr>
          <w:p w:rsidR="0032753B" w:rsidRDefault="0032753B">
            <w:pPr>
              <w:jc w:val="right"/>
              <w:rPr>
                <w:rFonts w:ascii="Calibri" w:hAnsi="Calibri"/>
                <w:color w:val="000000"/>
                <w:sz w:val="22"/>
                <w:szCs w:val="22"/>
              </w:rPr>
            </w:pPr>
            <w:r>
              <w:rPr>
                <w:rFonts w:ascii="Calibri" w:hAnsi="Calibri"/>
                <w:color w:val="000000"/>
                <w:sz w:val="22"/>
                <w:szCs w:val="22"/>
              </w:rPr>
              <w:t>-31</w:t>
            </w:r>
          </w:p>
        </w:tc>
        <w:tc>
          <w:tcPr>
            <w:tcW w:w="1710" w:type="dxa"/>
            <w:tcBorders>
              <w:top w:val="nil"/>
              <w:left w:val="nil"/>
              <w:bottom w:val="single" w:sz="4" w:space="0" w:color="auto"/>
              <w:right w:val="single" w:sz="4" w:space="0" w:color="auto"/>
            </w:tcBorders>
            <w:shd w:val="clear" w:color="auto" w:fill="auto"/>
            <w:noWrap/>
            <w:vAlign w:val="bottom"/>
            <w:hideMark/>
          </w:tcPr>
          <w:p w:rsidR="0032753B" w:rsidRPr="006A7EB4" w:rsidRDefault="0032753B" w:rsidP="006A7EB4">
            <w:pPr>
              <w:jc w:val="right"/>
              <w:rPr>
                <w:rFonts w:ascii="Arial" w:hAnsi="Arial" w:cs="Arial"/>
                <w:color w:val="000000"/>
                <w:sz w:val="18"/>
                <w:szCs w:val="18"/>
                <w:lang w:val="en-US" w:eastAsia="en-US"/>
              </w:rPr>
            </w:pPr>
            <w:r w:rsidRPr="006A7EB4">
              <w:rPr>
                <w:rFonts w:ascii="Arial" w:hAnsi="Arial" w:cs="Arial"/>
                <w:color w:val="000000"/>
                <w:sz w:val="18"/>
                <w:szCs w:val="18"/>
                <w:lang w:val="en-US" w:eastAsia="en-US"/>
              </w:rPr>
              <w:t>-1.4</w:t>
            </w:r>
          </w:p>
        </w:tc>
        <w:tc>
          <w:tcPr>
            <w:tcW w:w="2430" w:type="dxa"/>
            <w:tcBorders>
              <w:top w:val="nil"/>
              <w:left w:val="nil"/>
              <w:bottom w:val="single" w:sz="4" w:space="0" w:color="auto"/>
              <w:right w:val="single" w:sz="4" w:space="0" w:color="auto"/>
            </w:tcBorders>
            <w:shd w:val="clear" w:color="auto" w:fill="auto"/>
            <w:noWrap/>
            <w:vAlign w:val="bottom"/>
            <w:hideMark/>
          </w:tcPr>
          <w:p w:rsidR="0032753B" w:rsidRDefault="0032753B">
            <w:pPr>
              <w:jc w:val="right"/>
              <w:rPr>
                <w:rFonts w:ascii="Calibri" w:hAnsi="Calibri"/>
                <w:color w:val="000000"/>
                <w:sz w:val="22"/>
                <w:szCs w:val="22"/>
              </w:rPr>
            </w:pPr>
            <w:r>
              <w:rPr>
                <w:rFonts w:ascii="Calibri" w:hAnsi="Calibri"/>
                <w:color w:val="000000"/>
                <w:sz w:val="22"/>
                <w:szCs w:val="22"/>
              </w:rPr>
              <w:t>-4</w:t>
            </w:r>
          </w:p>
        </w:tc>
        <w:tc>
          <w:tcPr>
            <w:tcW w:w="1800" w:type="dxa"/>
            <w:tcBorders>
              <w:top w:val="nil"/>
              <w:left w:val="nil"/>
              <w:bottom w:val="single" w:sz="4" w:space="0" w:color="auto"/>
              <w:right w:val="single" w:sz="4" w:space="0" w:color="auto"/>
            </w:tcBorders>
            <w:shd w:val="clear" w:color="auto" w:fill="auto"/>
            <w:noWrap/>
            <w:vAlign w:val="bottom"/>
            <w:hideMark/>
          </w:tcPr>
          <w:p w:rsidR="0032753B" w:rsidRPr="006A7EB4" w:rsidRDefault="0032753B" w:rsidP="006A7EB4">
            <w:pPr>
              <w:jc w:val="right"/>
              <w:rPr>
                <w:rFonts w:ascii="Arial" w:hAnsi="Arial" w:cs="Arial"/>
                <w:color w:val="000000"/>
                <w:sz w:val="18"/>
                <w:szCs w:val="18"/>
                <w:lang w:val="en-US" w:eastAsia="en-US"/>
              </w:rPr>
            </w:pPr>
            <w:r w:rsidRPr="006A7EB4">
              <w:rPr>
                <w:rFonts w:ascii="Arial" w:hAnsi="Arial" w:cs="Arial"/>
                <w:color w:val="000000"/>
                <w:sz w:val="18"/>
                <w:szCs w:val="18"/>
                <w:lang w:val="en-US" w:eastAsia="en-US"/>
              </w:rPr>
              <w:t>-0.8</w:t>
            </w:r>
          </w:p>
        </w:tc>
      </w:tr>
      <w:tr w:rsidR="0032753B" w:rsidRPr="006A7EB4" w:rsidTr="0032753B">
        <w:trPr>
          <w:trHeight w:val="300"/>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32753B" w:rsidRPr="006A7EB4" w:rsidRDefault="0032753B" w:rsidP="006A7EB4">
            <w:pPr>
              <w:jc w:val="right"/>
              <w:rPr>
                <w:rFonts w:ascii="Arial" w:hAnsi="Arial" w:cs="Arial"/>
                <w:color w:val="000000"/>
                <w:sz w:val="18"/>
                <w:szCs w:val="18"/>
                <w:lang w:val="en-US" w:eastAsia="en-US"/>
              </w:rPr>
            </w:pPr>
            <w:r w:rsidRPr="006A7EB4">
              <w:rPr>
                <w:rFonts w:ascii="Arial" w:hAnsi="Arial" w:cs="Arial"/>
                <w:color w:val="000000"/>
                <w:sz w:val="18"/>
                <w:szCs w:val="18"/>
                <w:lang w:val="en-US" w:eastAsia="en-US"/>
              </w:rPr>
              <w:t>1995</w:t>
            </w:r>
          </w:p>
        </w:tc>
        <w:tc>
          <w:tcPr>
            <w:tcW w:w="2340" w:type="dxa"/>
            <w:tcBorders>
              <w:top w:val="nil"/>
              <w:left w:val="nil"/>
              <w:bottom w:val="single" w:sz="4" w:space="0" w:color="auto"/>
              <w:right w:val="single" w:sz="4" w:space="0" w:color="auto"/>
            </w:tcBorders>
            <w:shd w:val="clear" w:color="auto" w:fill="auto"/>
            <w:noWrap/>
            <w:vAlign w:val="bottom"/>
            <w:hideMark/>
          </w:tcPr>
          <w:p w:rsidR="0032753B" w:rsidRDefault="0032753B">
            <w:pPr>
              <w:jc w:val="right"/>
              <w:rPr>
                <w:rFonts w:ascii="Calibri" w:hAnsi="Calibri"/>
                <w:color w:val="000000"/>
                <w:sz w:val="22"/>
                <w:szCs w:val="22"/>
              </w:rPr>
            </w:pPr>
            <w:r>
              <w:rPr>
                <w:rFonts w:ascii="Calibri" w:hAnsi="Calibri"/>
                <w:color w:val="000000"/>
                <w:sz w:val="22"/>
                <w:szCs w:val="22"/>
              </w:rPr>
              <w:t>-30</w:t>
            </w:r>
          </w:p>
        </w:tc>
        <w:tc>
          <w:tcPr>
            <w:tcW w:w="1710" w:type="dxa"/>
            <w:tcBorders>
              <w:top w:val="nil"/>
              <w:left w:val="nil"/>
              <w:bottom w:val="single" w:sz="4" w:space="0" w:color="auto"/>
              <w:right w:val="single" w:sz="4" w:space="0" w:color="auto"/>
            </w:tcBorders>
            <w:shd w:val="clear" w:color="auto" w:fill="auto"/>
            <w:noWrap/>
            <w:vAlign w:val="bottom"/>
            <w:hideMark/>
          </w:tcPr>
          <w:p w:rsidR="0032753B" w:rsidRPr="006A7EB4" w:rsidRDefault="0032753B" w:rsidP="006A7EB4">
            <w:pPr>
              <w:jc w:val="right"/>
              <w:rPr>
                <w:rFonts w:ascii="Arial" w:hAnsi="Arial" w:cs="Arial"/>
                <w:color w:val="000000"/>
                <w:sz w:val="18"/>
                <w:szCs w:val="18"/>
                <w:lang w:val="en-US" w:eastAsia="en-US"/>
              </w:rPr>
            </w:pPr>
            <w:r w:rsidRPr="006A7EB4">
              <w:rPr>
                <w:rFonts w:ascii="Arial" w:hAnsi="Arial" w:cs="Arial"/>
                <w:color w:val="000000"/>
                <w:sz w:val="18"/>
                <w:szCs w:val="18"/>
                <w:lang w:val="en-US" w:eastAsia="en-US"/>
              </w:rPr>
              <w:t>-1.2</w:t>
            </w:r>
          </w:p>
        </w:tc>
        <w:tc>
          <w:tcPr>
            <w:tcW w:w="2430" w:type="dxa"/>
            <w:tcBorders>
              <w:top w:val="nil"/>
              <w:left w:val="nil"/>
              <w:bottom w:val="single" w:sz="4" w:space="0" w:color="auto"/>
              <w:right w:val="single" w:sz="4" w:space="0" w:color="auto"/>
            </w:tcBorders>
            <w:shd w:val="clear" w:color="auto" w:fill="auto"/>
            <w:noWrap/>
            <w:vAlign w:val="bottom"/>
            <w:hideMark/>
          </w:tcPr>
          <w:p w:rsidR="0032753B" w:rsidRDefault="0032753B">
            <w:pPr>
              <w:jc w:val="right"/>
              <w:rPr>
                <w:rFonts w:ascii="Calibri" w:hAnsi="Calibri"/>
                <w:color w:val="000000"/>
                <w:sz w:val="22"/>
                <w:szCs w:val="22"/>
              </w:rPr>
            </w:pPr>
            <w:r>
              <w:rPr>
                <w:rFonts w:ascii="Calibri" w:hAnsi="Calibri"/>
                <w:color w:val="000000"/>
                <w:sz w:val="22"/>
                <w:szCs w:val="22"/>
              </w:rPr>
              <w:t>-8</w:t>
            </w:r>
          </w:p>
        </w:tc>
        <w:tc>
          <w:tcPr>
            <w:tcW w:w="1800" w:type="dxa"/>
            <w:tcBorders>
              <w:top w:val="nil"/>
              <w:left w:val="nil"/>
              <w:bottom w:val="single" w:sz="4" w:space="0" w:color="auto"/>
              <w:right w:val="single" w:sz="4" w:space="0" w:color="auto"/>
            </w:tcBorders>
            <w:shd w:val="clear" w:color="auto" w:fill="auto"/>
            <w:noWrap/>
            <w:vAlign w:val="bottom"/>
            <w:hideMark/>
          </w:tcPr>
          <w:p w:rsidR="0032753B" w:rsidRPr="006A7EB4" w:rsidRDefault="0032753B" w:rsidP="006A7EB4">
            <w:pPr>
              <w:jc w:val="right"/>
              <w:rPr>
                <w:rFonts w:ascii="Arial" w:hAnsi="Arial" w:cs="Arial"/>
                <w:color w:val="000000"/>
                <w:sz w:val="18"/>
                <w:szCs w:val="18"/>
                <w:lang w:val="en-US" w:eastAsia="en-US"/>
              </w:rPr>
            </w:pPr>
            <w:r w:rsidRPr="006A7EB4">
              <w:rPr>
                <w:rFonts w:ascii="Arial" w:hAnsi="Arial" w:cs="Arial"/>
                <w:color w:val="000000"/>
                <w:sz w:val="18"/>
                <w:szCs w:val="18"/>
                <w:lang w:val="en-US" w:eastAsia="en-US"/>
              </w:rPr>
              <w:t>-1.5</w:t>
            </w:r>
          </w:p>
        </w:tc>
      </w:tr>
      <w:tr w:rsidR="0032753B" w:rsidRPr="006A7EB4" w:rsidTr="0032753B">
        <w:trPr>
          <w:trHeight w:val="300"/>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32753B" w:rsidRPr="006A7EB4" w:rsidRDefault="0032753B" w:rsidP="006A7EB4">
            <w:pPr>
              <w:jc w:val="right"/>
              <w:rPr>
                <w:rFonts w:ascii="Arial" w:hAnsi="Arial" w:cs="Arial"/>
                <w:color w:val="000000"/>
                <w:sz w:val="18"/>
                <w:szCs w:val="18"/>
                <w:lang w:val="en-US" w:eastAsia="en-US"/>
              </w:rPr>
            </w:pPr>
            <w:r w:rsidRPr="006A7EB4">
              <w:rPr>
                <w:rFonts w:ascii="Arial" w:hAnsi="Arial" w:cs="Arial"/>
                <w:color w:val="000000"/>
                <w:sz w:val="18"/>
                <w:szCs w:val="18"/>
                <w:lang w:val="en-US" w:eastAsia="en-US"/>
              </w:rPr>
              <w:t>1996</w:t>
            </w:r>
          </w:p>
        </w:tc>
        <w:tc>
          <w:tcPr>
            <w:tcW w:w="2340" w:type="dxa"/>
            <w:tcBorders>
              <w:top w:val="nil"/>
              <w:left w:val="nil"/>
              <w:bottom w:val="single" w:sz="4" w:space="0" w:color="auto"/>
              <w:right w:val="single" w:sz="4" w:space="0" w:color="auto"/>
            </w:tcBorders>
            <w:shd w:val="clear" w:color="auto" w:fill="auto"/>
            <w:noWrap/>
            <w:vAlign w:val="bottom"/>
            <w:hideMark/>
          </w:tcPr>
          <w:p w:rsidR="0032753B" w:rsidRDefault="0032753B">
            <w:pPr>
              <w:jc w:val="right"/>
              <w:rPr>
                <w:rFonts w:ascii="Calibri" w:hAnsi="Calibri"/>
                <w:color w:val="000000"/>
                <w:sz w:val="22"/>
                <w:szCs w:val="22"/>
              </w:rPr>
            </w:pPr>
            <w:r>
              <w:rPr>
                <w:rFonts w:ascii="Calibri" w:hAnsi="Calibri"/>
                <w:color w:val="000000"/>
                <w:sz w:val="22"/>
                <w:szCs w:val="22"/>
              </w:rPr>
              <w:t>-14</w:t>
            </w:r>
          </w:p>
        </w:tc>
        <w:tc>
          <w:tcPr>
            <w:tcW w:w="1710" w:type="dxa"/>
            <w:tcBorders>
              <w:top w:val="nil"/>
              <w:left w:val="nil"/>
              <w:bottom w:val="single" w:sz="4" w:space="0" w:color="auto"/>
              <w:right w:val="single" w:sz="4" w:space="0" w:color="auto"/>
            </w:tcBorders>
            <w:shd w:val="clear" w:color="auto" w:fill="auto"/>
            <w:noWrap/>
            <w:vAlign w:val="bottom"/>
            <w:hideMark/>
          </w:tcPr>
          <w:p w:rsidR="0032753B" w:rsidRPr="006A7EB4" w:rsidRDefault="0032753B" w:rsidP="006A7EB4">
            <w:pPr>
              <w:jc w:val="right"/>
              <w:rPr>
                <w:rFonts w:ascii="Arial" w:hAnsi="Arial" w:cs="Arial"/>
                <w:color w:val="000000"/>
                <w:sz w:val="18"/>
                <w:szCs w:val="18"/>
                <w:lang w:val="en-US" w:eastAsia="en-US"/>
              </w:rPr>
            </w:pPr>
            <w:r w:rsidRPr="006A7EB4">
              <w:rPr>
                <w:rFonts w:ascii="Arial" w:hAnsi="Arial" w:cs="Arial"/>
                <w:color w:val="000000"/>
                <w:sz w:val="18"/>
                <w:szCs w:val="18"/>
                <w:lang w:val="en-US" w:eastAsia="en-US"/>
              </w:rPr>
              <w:t>-0.6</w:t>
            </w:r>
          </w:p>
        </w:tc>
        <w:tc>
          <w:tcPr>
            <w:tcW w:w="2430" w:type="dxa"/>
            <w:tcBorders>
              <w:top w:val="nil"/>
              <w:left w:val="nil"/>
              <w:bottom w:val="single" w:sz="4" w:space="0" w:color="auto"/>
              <w:right w:val="single" w:sz="4" w:space="0" w:color="auto"/>
            </w:tcBorders>
            <w:shd w:val="clear" w:color="auto" w:fill="auto"/>
            <w:noWrap/>
            <w:vAlign w:val="bottom"/>
            <w:hideMark/>
          </w:tcPr>
          <w:p w:rsidR="0032753B" w:rsidRDefault="0032753B">
            <w:pPr>
              <w:jc w:val="right"/>
              <w:rPr>
                <w:rFonts w:ascii="Calibri" w:hAnsi="Calibri"/>
                <w:color w:val="000000"/>
                <w:sz w:val="22"/>
                <w:szCs w:val="22"/>
              </w:rPr>
            </w:pPr>
            <w:r>
              <w:rPr>
                <w:rFonts w:ascii="Calibri" w:hAnsi="Calibri"/>
                <w:color w:val="000000"/>
                <w:sz w:val="22"/>
                <w:szCs w:val="22"/>
              </w:rPr>
              <w:t>-23</w:t>
            </w:r>
          </w:p>
        </w:tc>
        <w:tc>
          <w:tcPr>
            <w:tcW w:w="1800" w:type="dxa"/>
            <w:tcBorders>
              <w:top w:val="nil"/>
              <w:left w:val="nil"/>
              <w:bottom w:val="single" w:sz="4" w:space="0" w:color="auto"/>
              <w:right w:val="single" w:sz="4" w:space="0" w:color="auto"/>
            </w:tcBorders>
            <w:shd w:val="clear" w:color="auto" w:fill="auto"/>
            <w:noWrap/>
            <w:vAlign w:val="bottom"/>
            <w:hideMark/>
          </w:tcPr>
          <w:p w:rsidR="0032753B" w:rsidRPr="006A7EB4" w:rsidRDefault="0032753B" w:rsidP="006A7EB4">
            <w:pPr>
              <w:jc w:val="right"/>
              <w:rPr>
                <w:rFonts w:ascii="Arial" w:hAnsi="Arial" w:cs="Arial"/>
                <w:color w:val="000000"/>
                <w:sz w:val="18"/>
                <w:szCs w:val="18"/>
                <w:lang w:val="en-US" w:eastAsia="en-US"/>
              </w:rPr>
            </w:pPr>
            <w:r w:rsidRPr="006A7EB4">
              <w:rPr>
                <w:rFonts w:ascii="Arial" w:hAnsi="Arial" w:cs="Arial"/>
                <w:color w:val="000000"/>
                <w:sz w:val="18"/>
                <w:szCs w:val="18"/>
                <w:lang w:val="en-US" w:eastAsia="en-US"/>
              </w:rPr>
              <w:t>-4.0</w:t>
            </w:r>
          </w:p>
        </w:tc>
      </w:tr>
      <w:tr w:rsidR="0032753B" w:rsidRPr="006A7EB4" w:rsidTr="0032753B">
        <w:trPr>
          <w:trHeight w:val="300"/>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32753B" w:rsidRPr="006A7EB4" w:rsidRDefault="0032753B" w:rsidP="006A7EB4">
            <w:pPr>
              <w:jc w:val="right"/>
              <w:rPr>
                <w:rFonts w:ascii="Arial" w:hAnsi="Arial" w:cs="Arial"/>
                <w:color w:val="000000"/>
                <w:sz w:val="18"/>
                <w:szCs w:val="18"/>
                <w:lang w:val="en-US" w:eastAsia="en-US"/>
              </w:rPr>
            </w:pPr>
            <w:r w:rsidRPr="006A7EB4">
              <w:rPr>
                <w:rFonts w:ascii="Arial" w:hAnsi="Arial" w:cs="Arial"/>
                <w:color w:val="000000"/>
                <w:sz w:val="18"/>
                <w:szCs w:val="18"/>
                <w:lang w:val="en-US" w:eastAsia="en-US"/>
              </w:rPr>
              <w:t>1997</w:t>
            </w:r>
          </w:p>
        </w:tc>
        <w:tc>
          <w:tcPr>
            <w:tcW w:w="2340" w:type="dxa"/>
            <w:tcBorders>
              <w:top w:val="nil"/>
              <w:left w:val="nil"/>
              <w:bottom w:val="single" w:sz="4" w:space="0" w:color="auto"/>
              <w:right w:val="single" w:sz="4" w:space="0" w:color="auto"/>
            </w:tcBorders>
            <w:shd w:val="clear" w:color="auto" w:fill="auto"/>
            <w:noWrap/>
            <w:vAlign w:val="bottom"/>
            <w:hideMark/>
          </w:tcPr>
          <w:p w:rsidR="0032753B" w:rsidRDefault="0032753B">
            <w:pPr>
              <w:jc w:val="right"/>
              <w:rPr>
                <w:rFonts w:ascii="Calibri" w:hAnsi="Calibri"/>
                <w:color w:val="000000"/>
                <w:sz w:val="22"/>
                <w:szCs w:val="22"/>
              </w:rPr>
            </w:pPr>
            <w:r>
              <w:rPr>
                <w:rFonts w:ascii="Calibri" w:hAnsi="Calibri"/>
                <w:color w:val="000000"/>
                <w:sz w:val="22"/>
                <w:szCs w:val="22"/>
              </w:rPr>
              <w:t>-10</w:t>
            </w:r>
          </w:p>
        </w:tc>
        <w:tc>
          <w:tcPr>
            <w:tcW w:w="1710" w:type="dxa"/>
            <w:tcBorders>
              <w:top w:val="nil"/>
              <w:left w:val="nil"/>
              <w:bottom w:val="single" w:sz="4" w:space="0" w:color="auto"/>
              <w:right w:val="single" w:sz="4" w:space="0" w:color="auto"/>
            </w:tcBorders>
            <w:shd w:val="clear" w:color="auto" w:fill="auto"/>
            <w:noWrap/>
            <w:vAlign w:val="bottom"/>
            <w:hideMark/>
          </w:tcPr>
          <w:p w:rsidR="0032753B" w:rsidRPr="006A7EB4" w:rsidRDefault="0032753B" w:rsidP="006A7EB4">
            <w:pPr>
              <w:jc w:val="right"/>
              <w:rPr>
                <w:rFonts w:ascii="Arial" w:hAnsi="Arial" w:cs="Arial"/>
                <w:color w:val="000000"/>
                <w:sz w:val="18"/>
                <w:szCs w:val="18"/>
                <w:lang w:val="en-US" w:eastAsia="en-US"/>
              </w:rPr>
            </w:pPr>
            <w:r w:rsidRPr="006A7EB4">
              <w:rPr>
                <w:rFonts w:ascii="Arial" w:hAnsi="Arial" w:cs="Arial"/>
                <w:color w:val="000000"/>
                <w:sz w:val="18"/>
                <w:szCs w:val="18"/>
                <w:lang w:val="en-US" w:eastAsia="en-US"/>
              </w:rPr>
              <w:t>-0.5</w:t>
            </w:r>
          </w:p>
        </w:tc>
        <w:tc>
          <w:tcPr>
            <w:tcW w:w="2430" w:type="dxa"/>
            <w:tcBorders>
              <w:top w:val="nil"/>
              <w:left w:val="nil"/>
              <w:bottom w:val="single" w:sz="4" w:space="0" w:color="auto"/>
              <w:right w:val="single" w:sz="4" w:space="0" w:color="auto"/>
            </w:tcBorders>
            <w:shd w:val="clear" w:color="auto" w:fill="auto"/>
            <w:noWrap/>
            <w:vAlign w:val="bottom"/>
            <w:hideMark/>
          </w:tcPr>
          <w:p w:rsidR="0032753B" w:rsidRDefault="0032753B">
            <w:pPr>
              <w:jc w:val="right"/>
              <w:rPr>
                <w:rFonts w:ascii="Calibri" w:hAnsi="Calibri"/>
                <w:color w:val="000000"/>
                <w:sz w:val="22"/>
                <w:szCs w:val="22"/>
              </w:rPr>
            </w:pPr>
            <w:r>
              <w:rPr>
                <w:rFonts w:ascii="Calibri" w:hAnsi="Calibri"/>
                <w:color w:val="000000"/>
                <w:sz w:val="22"/>
                <w:szCs w:val="22"/>
              </w:rPr>
              <w:t>-8</w:t>
            </w:r>
          </w:p>
        </w:tc>
        <w:tc>
          <w:tcPr>
            <w:tcW w:w="1800" w:type="dxa"/>
            <w:tcBorders>
              <w:top w:val="nil"/>
              <w:left w:val="nil"/>
              <w:bottom w:val="single" w:sz="4" w:space="0" w:color="auto"/>
              <w:right w:val="single" w:sz="4" w:space="0" w:color="auto"/>
            </w:tcBorders>
            <w:shd w:val="clear" w:color="auto" w:fill="auto"/>
            <w:noWrap/>
            <w:vAlign w:val="bottom"/>
            <w:hideMark/>
          </w:tcPr>
          <w:p w:rsidR="0032753B" w:rsidRPr="006A7EB4" w:rsidRDefault="0032753B" w:rsidP="006A7EB4">
            <w:pPr>
              <w:jc w:val="right"/>
              <w:rPr>
                <w:rFonts w:ascii="Arial" w:hAnsi="Arial" w:cs="Arial"/>
                <w:color w:val="000000"/>
                <w:sz w:val="18"/>
                <w:szCs w:val="18"/>
                <w:lang w:val="en-US" w:eastAsia="en-US"/>
              </w:rPr>
            </w:pPr>
            <w:r w:rsidRPr="006A7EB4">
              <w:rPr>
                <w:rFonts w:ascii="Arial" w:hAnsi="Arial" w:cs="Arial"/>
                <w:color w:val="000000"/>
                <w:sz w:val="18"/>
                <w:szCs w:val="18"/>
                <w:lang w:val="en-US" w:eastAsia="en-US"/>
              </w:rPr>
              <w:t>-1.5</w:t>
            </w:r>
          </w:p>
        </w:tc>
      </w:tr>
      <w:tr w:rsidR="0032753B" w:rsidRPr="006A7EB4" w:rsidTr="0032753B">
        <w:trPr>
          <w:trHeight w:val="300"/>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32753B" w:rsidRPr="006A7EB4" w:rsidRDefault="0032753B" w:rsidP="006A7EB4">
            <w:pPr>
              <w:jc w:val="right"/>
              <w:rPr>
                <w:rFonts w:ascii="Arial" w:hAnsi="Arial" w:cs="Arial"/>
                <w:color w:val="000000"/>
                <w:sz w:val="18"/>
                <w:szCs w:val="18"/>
                <w:lang w:val="en-US" w:eastAsia="en-US"/>
              </w:rPr>
            </w:pPr>
            <w:r w:rsidRPr="006A7EB4">
              <w:rPr>
                <w:rFonts w:ascii="Arial" w:hAnsi="Arial" w:cs="Arial"/>
                <w:color w:val="000000"/>
                <w:sz w:val="18"/>
                <w:szCs w:val="18"/>
                <w:lang w:val="en-US" w:eastAsia="en-US"/>
              </w:rPr>
              <w:t>1998</w:t>
            </w:r>
          </w:p>
        </w:tc>
        <w:tc>
          <w:tcPr>
            <w:tcW w:w="2340" w:type="dxa"/>
            <w:tcBorders>
              <w:top w:val="nil"/>
              <w:left w:val="nil"/>
              <w:bottom w:val="single" w:sz="4" w:space="0" w:color="auto"/>
              <w:right w:val="single" w:sz="4" w:space="0" w:color="auto"/>
            </w:tcBorders>
            <w:shd w:val="clear" w:color="auto" w:fill="auto"/>
            <w:noWrap/>
            <w:vAlign w:val="bottom"/>
            <w:hideMark/>
          </w:tcPr>
          <w:p w:rsidR="0032753B" w:rsidRDefault="0032753B">
            <w:pPr>
              <w:jc w:val="right"/>
              <w:rPr>
                <w:rFonts w:ascii="Calibri" w:hAnsi="Calibri"/>
                <w:color w:val="000000"/>
                <w:sz w:val="22"/>
                <w:szCs w:val="22"/>
              </w:rPr>
            </w:pPr>
            <w:r>
              <w:rPr>
                <w:rFonts w:ascii="Calibri" w:hAnsi="Calibri"/>
                <w:color w:val="000000"/>
                <w:sz w:val="22"/>
                <w:szCs w:val="22"/>
              </w:rPr>
              <w:t>-16</w:t>
            </w:r>
          </w:p>
        </w:tc>
        <w:tc>
          <w:tcPr>
            <w:tcW w:w="1710" w:type="dxa"/>
            <w:tcBorders>
              <w:top w:val="nil"/>
              <w:left w:val="nil"/>
              <w:bottom w:val="single" w:sz="4" w:space="0" w:color="auto"/>
              <w:right w:val="single" w:sz="4" w:space="0" w:color="auto"/>
            </w:tcBorders>
            <w:shd w:val="clear" w:color="auto" w:fill="auto"/>
            <w:noWrap/>
            <w:vAlign w:val="bottom"/>
            <w:hideMark/>
          </w:tcPr>
          <w:p w:rsidR="0032753B" w:rsidRPr="006A7EB4" w:rsidRDefault="0032753B" w:rsidP="006A7EB4">
            <w:pPr>
              <w:jc w:val="right"/>
              <w:rPr>
                <w:rFonts w:ascii="Arial" w:hAnsi="Arial" w:cs="Arial"/>
                <w:color w:val="000000"/>
                <w:sz w:val="18"/>
                <w:szCs w:val="18"/>
                <w:lang w:val="en-US" w:eastAsia="en-US"/>
              </w:rPr>
            </w:pPr>
            <w:r w:rsidRPr="006A7EB4">
              <w:rPr>
                <w:rFonts w:ascii="Arial" w:hAnsi="Arial" w:cs="Arial"/>
                <w:color w:val="000000"/>
                <w:sz w:val="18"/>
                <w:szCs w:val="18"/>
                <w:lang w:val="en-US" w:eastAsia="en-US"/>
              </w:rPr>
              <w:t>-0.7</w:t>
            </w:r>
          </w:p>
        </w:tc>
        <w:tc>
          <w:tcPr>
            <w:tcW w:w="2430" w:type="dxa"/>
            <w:tcBorders>
              <w:top w:val="nil"/>
              <w:left w:val="nil"/>
              <w:bottom w:val="single" w:sz="4" w:space="0" w:color="auto"/>
              <w:right w:val="single" w:sz="4" w:space="0" w:color="auto"/>
            </w:tcBorders>
            <w:shd w:val="clear" w:color="auto" w:fill="auto"/>
            <w:noWrap/>
            <w:vAlign w:val="bottom"/>
            <w:hideMark/>
          </w:tcPr>
          <w:p w:rsidR="0032753B" w:rsidRDefault="0032753B">
            <w:pPr>
              <w:jc w:val="right"/>
              <w:rPr>
                <w:rFonts w:ascii="Calibri" w:hAnsi="Calibri"/>
                <w:color w:val="000000"/>
                <w:sz w:val="22"/>
                <w:szCs w:val="22"/>
              </w:rPr>
            </w:pPr>
            <w:r>
              <w:rPr>
                <w:rFonts w:ascii="Calibri" w:hAnsi="Calibri"/>
                <w:color w:val="000000"/>
                <w:sz w:val="22"/>
                <w:szCs w:val="22"/>
              </w:rPr>
              <w:t>43</w:t>
            </w:r>
          </w:p>
        </w:tc>
        <w:tc>
          <w:tcPr>
            <w:tcW w:w="1800" w:type="dxa"/>
            <w:tcBorders>
              <w:top w:val="nil"/>
              <w:left w:val="nil"/>
              <w:bottom w:val="single" w:sz="4" w:space="0" w:color="auto"/>
              <w:right w:val="single" w:sz="4" w:space="0" w:color="auto"/>
            </w:tcBorders>
            <w:shd w:val="clear" w:color="auto" w:fill="auto"/>
            <w:noWrap/>
            <w:vAlign w:val="bottom"/>
            <w:hideMark/>
          </w:tcPr>
          <w:p w:rsidR="0032753B" w:rsidRPr="006A7EB4" w:rsidRDefault="0032753B" w:rsidP="006A7EB4">
            <w:pPr>
              <w:jc w:val="right"/>
              <w:rPr>
                <w:rFonts w:ascii="Arial" w:hAnsi="Arial" w:cs="Arial"/>
                <w:color w:val="000000"/>
                <w:sz w:val="18"/>
                <w:szCs w:val="18"/>
                <w:lang w:val="en-US" w:eastAsia="en-US"/>
              </w:rPr>
            </w:pPr>
            <w:r w:rsidRPr="006A7EB4">
              <w:rPr>
                <w:rFonts w:ascii="Arial" w:hAnsi="Arial" w:cs="Arial"/>
                <w:color w:val="000000"/>
                <w:sz w:val="18"/>
                <w:szCs w:val="18"/>
                <w:lang w:val="en-US" w:eastAsia="en-US"/>
              </w:rPr>
              <w:t>11.9</w:t>
            </w:r>
          </w:p>
        </w:tc>
      </w:tr>
      <w:tr w:rsidR="0032753B" w:rsidRPr="006A7EB4" w:rsidTr="0032753B">
        <w:trPr>
          <w:trHeight w:val="300"/>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32753B" w:rsidRPr="006A7EB4" w:rsidRDefault="0032753B" w:rsidP="006A7EB4">
            <w:pPr>
              <w:jc w:val="right"/>
              <w:rPr>
                <w:rFonts w:ascii="Arial" w:hAnsi="Arial" w:cs="Arial"/>
                <w:color w:val="000000"/>
                <w:sz w:val="18"/>
                <w:szCs w:val="18"/>
                <w:lang w:val="en-US" w:eastAsia="en-US"/>
              </w:rPr>
            </w:pPr>
            <w:r w:rsidRPr="006A7EB4">
              <w:rPr>
                <w:rFonts w:ascii="Arial" w:hAnsi="Arial" w:cs="Arial"/>
                <w:color w:val="000000"/>
                <w:sz w:val="18"/>
                <w:szCs w:val="18"/>
                <w:lang w:val="en-US" w:eastAsia="en-US"/>
              </w:rPr>
              <w:t>1999</w:t>
            </w:r>
          </w:p>
        </w:tc>
        <w:tc>
          <w:tcPr>
            <w:tcW w:w="2340" w:type="dxa"/>
            <w:tcBorders>
              <w:top w:val="nil"/>
              <w:left w:val="nil"/>
              <w:bottom w:val="single" w:sz="4" w:space="0" w:color="auto"/>
              <w:right w:val="single" w:sz="4" w:space="0" w:color="auto"/>
            </w:tcBorders>
            <w:shd w:val="clear" w:color="auto" w:fill="auto"/>
            <w:noWrap/>
            <w:vAlign w:val="bottom"/>
            <w:hideMark/>
          </w:tcPr>
          <w:p w:rsidR="0032753B" w:rsidRDefault="0032753B">
            <w:pPr>
              <w:jc w:val="right"/>
              <w:rPr>
                <w:rFonts w:ascii="Calibri" w:hAnsi="Calibri"/>
                <w:color w:val="000000"/>
                <w:sz w:val="22"/>
                <w:szCs w:val="22"/>
              </w:rPr>
            </w:pPr>
            <w:r>
              <w:rPr>
                <w:rFonts w:ascii="Calibri" w:hAnsi="Calibri"/>
                <w:color w:val="000000"/>
                <w:sz w:val="22"/>
                <w:szCs w:val="22"/>
              </w:rPr>
              <w:t>-28</w:t>
            </w:r>
          </w:p>
        </w:tc>
        <w:tc>
          <w:tcPr>
            <w:tcW w:w="1710" w:type="dxa"/>
            <w:tcBorders>
              <w:top w:val="nil"/>
              <w:left w:val="nil"/>
              <w:bottom w:val="single" w:sz="4" w:space="0" w:color="auto"/>
              <w:right w:val="single" w:sz="4" w:space="0" w:color="auto"/>
            </w:tcBorders>
            <w:shd w:val="clear" w:color="auto" w:fill="auto"/>
            <w:noWrap/>
            <w:vAlign w:val="bottom"/>
            <w:hideMark/>
          </w:tcPr>
          <w:p w:rsidR="0032753B" w:rsidRPr="006A7EB4" w:rsidRDefault="0032753B" w:rsidP="006A7EB4">
            <w:pPr>
              <w:jc w:val="right"/>
              <w:rPr>
                <w:rFonts w:ascii="Arial" w:hAnsi="Arial" w:cs="Arial"/>
                <w:color w:val="000000"/>
                <w:sz w:val="18"/>
                <w:szCs w:val="18"/>
                <w:lang w:val="en-US" w:eastAsia="en-US"/>
              </w:rPr>
            </w:pPr>
            <w:r w:rsidRPr="006A7EB4">
              <w:rPr>
                <w:rFonts w:ascii="Arial" w:hAnsi="Arial" w:cs="Arial"/>
                <w:color w:val="000000"/>
                <w:sz w:val="18"/>
                <w:szCs w:val="18"/>
                <w:lang w:val="en-US" w:eastAsia="en-US"/>
              </w:rPr>
              <w:t>-1.3</w:t>
            </w:r>
          </w:p>
        </w:tc>
        <w:tc>
          <w:tcPr>
            <w:tcW w:w="2430" w:type="dxa"/>
            <w:tcBorders>
              <w:top w:val="nil"/>
              <w:left w:val="nil"/>
              <w:bottom w:val="single" w:sz="4" w:space="0" w:color="auto"/>
              <w:right w:val="single" w:sz="4" w:space="0" w:color="auto"/>
            </w:tcBorders>
            <w:shd w:val="clear" w:color="auto" w:fill="auto"/>
            <w:noWrap/>
            <w:vAlign w:val="bottom"/>
            <w:hideMark/>
          </w:tcPr>
          <w:p w:rsidR="0032753B" w:rsidRDefault="0032753B">
            <w:pPr>
              <w:jc w:val="right"/>
              <w:rPr>
                <w:rFonts w:ascii="Calibri" w:hAnsi="Calibri"/>
                <w:color w:val="000000"/>
                <w:sz w:val="22"/>
                <w:szCs w:val="22"/>
              </w:rPr>
            </w:pPr>
            <w:r>
              <w:rPr>
                <w:rFonts w:ascii="Calibri" w:hAnsi="Calibri"/>
                <w:color w:val="000000"/>
                <w:sz w:val="22"/>
                <w:szCs w:val="22"/>
              </w:rPr>
              <w:t>24</w:t>
            </w:r>
          </w:p>
        </w:tc>
        <w:tc>
          <w:tcPr>
            <w:tcW w:w="1800" w:type="dxa"/>
            <w:tcBorders>
              <w:top w:val="nil"/>
              <w:left w:val="nil"/>
              <w:bottom w:val="single" w:sz="4" w:space="0" w:color="auto"/>
              <w:right w:val="single" w:sz="4" w:space="0" w:color="auto"/>
            </w:tcBorders>
            <w:shd w:val="clear" w:color="auto" w:fill="auto"/>
            <w:noWrap/>
            <w:vAlign w:val="bottom"/>
            <w:hideMark/>
          </w:tcPr>
          <w:p w:rsidR="0032753B" w:rsidRPr="006A7EB4" w:rsidRDefault="0032753B" w:rsidP="006A7EB4">
            <w:pPr>
              <w:jc w:val="right"/>
              <w:rPr>
                <w:rFonts w:ascii="Arial" w:hAnsi="Arial" w:cs="Arial"/>
                <w:color w:val="000000"/>
                <w:sz w:val="18"/>
                <w:szCs w:val="18"/>
                <w:lang w:val="en-US" w:eastAsia="en-US"/>
              </w:rPr>
            </w:pPr>
            <w:r w:rsidRPr="006A7EB4">
              <w:rPr>
                <w:rFonts w:ascii="Arial" w:hAnsi="Arial" w:cs="Arial"/>
                <w:color w:val="000000"/>
                <w:sz w:val="18"/>
                <w:szCs w:val="18"/>
                <w:lang w:val="en-US" w:eastAsia="en-US"/>
              </w:rPr>
              <w:t>5.3</w:t>
            </w:r>
          </w:p>
        </w:tc>
      </w:tr>
      <w:tr w:rsidR="0032753B" w:rsidRPr="006A7EB4" w:rsidTr="0032753B">
        <w:trPr>
          <w:trHeight w:val="300"/>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32753B" w:rsidRPr="006A7EB4" w:rsidRDefault="0032753B" w:rsidP="006A7EB4">
            <w:pPr>
              <w:jc w:val="right"/>
              <w:rPr>
                <w:rFonts w:ascii="Arial" w:hAnsi="Arial" w:cs="Arial"/>
                <w:color w:val="000000"/>
                <w:sz w:val="18"/>
                <w:szCs w:val="18"/>
                <w:lang w:val="en-US" w:eastAsia="en-US"/>
              </w:rPr>
            </w:pPr>
            <w:r w:rsidRPr="006A7EB4">
              <w:rPr>
                <w:rFonts w:ascii="Arial" w:hAnsi="Arial" w:cs="Arial"/>
                <w:color w:val="000000"/>
                <w:sz w:val="18"/>
                <w:szCs w:val="18"/>
                <w:lang w:val="en-US" w:eastAsia="en-US"/>
              </w:rPr>
              <w:t>2000</w:t>
            </w:r>
          </w:p>
        </w:tc>
        <w:tc>
          <w:tcPr>
            <w:tcW w:w="2340" w:type="dxa"/>
            <w:tcBorders>
              <w:top w:val="nil"/>
              <w:left w:val="nil"/>
              <w:bottom w:val="single" w:sz="4" w:space="0" w:color="auto"/>
              <w:right w:val="single" w:sz="4" w:space="0" w:color="auto"/>
            </w:tcBorders>
            <w:shd w:val="clear" w:color="auto" w:fill="auto"/>
            <w:noWrap/>
            <w:vAlign w:val="bottom"/>
            <w:hideMark/>
          </w:tcPr>
          <w:p w:rsidR="0032753B" w:rsidRDefault="0032753B">
            <w:pPr>
              <w:jc w:val="right"/>
              <w:rPr>
                <w:rFonts w:ascii="Calibri" w:hAnsi="Calibri"/>
                <w:color w:val="000000"/>
                <w:sz w:val="22"/>
                <w:szCs w:val="22"/>
              </w:rPr>
            </w:pPr>
            <w:r>
              <w:rPr>
                <w:rFonts w:ascii="Calibri" w:hAnsi="Calibri"/>
                <w:color w:val="000000"/>
                <w:sz w:val="22"/>
                <w:szCs w:val="22"/>
              </w:rPr>
              <w:t>-33</w:t>
            </w:r>
          </w:p>
        </w:tc>
        <w:tc>
          <w:tcPr>
            <w:tcW w:w="1710" w:type="dxa"/>
            <w:tcBorders>
              <w:top w:val="nil"/>
              <w:left w:val="nil"/>
              <w:bottom w:val="single" w:sz="4" w:space="0" w:color="auto"/>
              <w:right w:val="single" w:sz="4" w:space="0" w:color="auto"/>
            </w:tcBorders>
            <w:shd w:val="clear" w:color="auto" w:fill="auto"/>
            <w:noWrap/>
            <w:vAlign w:val="bottom"/>
            <w:hideMark/>
          </w:tcPr>
          <w:p w:rsidR="0032753B" w:rsidRPr="006A7EB4" w:rsidRDefault="0032753B" w:rsidP="006A7EB4">
            <w:pPr>
              <w:jc w:val="right"/>
              <w:rPr>
                <w:rFonts w:ascii="Arial" w:hAnsi="Arial" w:cs="Arial"/>
                <w:color w:val="000000"/>
                <w:sz w:val="18"/>
                <w:szCs w:val="18"/>
                <w:lang w:val="en-US" w:eastAsia="en-US"/>
              </w:rPr>
            </w:pPr>
            <w:r w:rsidRPr="006A7EB4">
              <w:rPr>
                <w:rFonts w:ascii="Arial" w:hAnsi="Arial" w:cs="Arial"/>
                <w:color w:val="000000"/>
                <w:sz w:val="18"/>
                <w:szCs w:val="18"/>
                <w:lang w:val="en-US" w:eastAsia="en-US"/>
              </w:rPr>
              <w:t>-1.7</w:t>
            </w:r>
          </w:p>
        </w:tc>
        <w:tc>
          <w:tcPr>
            <w:tcW w:w="2430" w:type="dxa"/>
            <w:tcBorders>
              <w:top w:val="nil"/>
              <w:left w:val="nil"/>
              <w:bottom w:val="single" w:sz="4" w:space="0" w:color="auto"/>
              <w:right w:val="single" w:sz="4" w:space="0" w:color="auto"/>
            </w:tcBorders>
            <w:shd w:val="clear" w:color="auto" w:fill="auto"/>
            <w:noWrap/>
            <w:vAlign w:val="bottom"/>
            <w:hideMark/>
          </w:tcPr>
          <w:p w:rsidR="0032753B" w:rsidRDefault="0032753B">
            <w:pPr>
              <w:jc w:val="right"/>
              <w:rPr>
                <w:rFonts w:ascii="Calibri" w:hAnsi="Calibri"/>
                <w:color w:val="000000"/>
                <w:sz w:val="22"/>
                <w:szCs w:val="22"/>
              </w:rPr>
            </w:pPr>
            <w:r>
              <w:rPr>
                <w:rFonts w:ascii="Calibri" w:hAnsi="Calibri"/>
                <w:color w:val="000000"/>
                <w:sz w:val="22"/>
                <w:szCs w:val="22"/>
              </w:rPr>
              <w:t>15</w:t>
            </w:r>
          </w:p>
        </w:tc>
        <w:tc>
          <w:tcPr>
            <w:tcW w:w="1800" w:type="dxa"/>
            <w:tcBorders>
              <w:top w:val="nil"/>
              <w:left w:val="nil"/>
              <w:bottom w:val="single" w:sz="4" w:space="0" w:color="auto"/>
              <w:right w:val="single" w:sz="4" w:space="0" w:color="auto"/>
            </w:tcBorders>
            <w:shd w:val="clear" w:color="auto" w:fill="auto"/>
            <w:noWrap/>
            <w:vAlign w:val="bottom"/>
            <w:hideMark/>
          </w:tcPr>
          <w:p w:rsidR="0032753B" w:rsidRPr="006A7EB4" w:rsidRDefault="0032753B" w:rsidP="006A7EB4">
            <w:pPr>
              <w:jc w:val="right"/>
              <w:rPr>
                <w:rFonts w:ascii="Arial" w:hAnsi="Arial" w:cs="Arial"/>
                <w:color w:val="000000"/>
                <w:sz w:val="18"/>
                <w:szCs w:val="18"/>
                <w:lang w:val="en-US" w:eastAsia="en-US"/>
              </w:rPr>
            </w:pPr>
            <w:r w:rsidRPr="006A7EB4">
              <w:rPr>
                <w:rFonts w:ascii="Arial" w:hAnsi="Arial" w:cs="Arial"/>
                <w:color w:val="000000"/>
                <w:sz w:val="18"/>
                <w:szCs w:val="18"/>
                <w:lang w:val="en-US" w:eastAsia="en-US"/>
              </w:rPr>
              <w:t>2.8</w:t>
            </w:r>
          </w:p>
        </w:tc>
      </w:tr>
      <w:tr w:rsidR="0032753B" w:rsidRPr="006A7EB4" w:rsidTr="0032753B">
        <w:trPr>
          <w:trHeight w:val="300"/>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32753B" w:rsidRPr="006A7EB4" w:rsidRDefault="0032753B" w:rsidP="006A7EB4">
            <w:pPr>
              <w:jc w:val="right"/>
              <w:rPr>
                <w:rFonts w:ascii="Arial" w:hAnsi="Arial" w:cs="Arial"/>
                <w:color w:val="000000"/>
                <w:sz w:val="18"/>
                <w:szCs w:val="18"/>
                <w:lang w:val="en-US" w:eastAsia="en-US"/>
              </w:rPr>
            </w:pPr>
            <w:r w:rsidRPr="006A7EB4">
              <w:rPr>
                <w:rFonts w:ascii="Arial" w:hAnsi="Arial" w:cs="Arial"/>
                <w:color w:val="000000"/>
                <w:sz w:val="18"/>
                <w:szCs w:val="18"/>
                <w:lang w:val="en-US" w:eastAsia="en-US"/>
              </w:rPr>
              <w:t>2001</w:t>
            </w:r>
          </w:p>
        </w:tc>
        <w:tc>
          <w:tcPr>
            <w:tcW w:w="2340" w:type="dxa"/>
            <w:tcBorders>
              <w:top w:val="nil"/>
              <w:left w:val="nil"/>
              <w:bottom w:val="single" w:sz="4" w:space="0" w:color="auto"/>
              <w:right w:val="single" w:sz="4" w:space="0" w:color="auto"/>
            </w:tcBorders>
            <w:shd w:val="clear" w:color="auto" w:fill="auto"/>
            <w:noWrap/>
            <w:vAlign w:val="bottom"/>
            <w:hideMark/>
          </w:tcPr>
          <w:p w:rsidR="0032753B" w:rsidRDefault="0032753B">
            <w:pPr>
              <w:jc w:val="right"/>
              <w:rPr>
                <w:rFonts w:ascii="Calibri" w:hAnsi="Calibri"/>
                <w:color w:val="000000"/>
                <w:sz w:val="22"/>
                <w:szCs w:val="22"/>
              </w:rPr>
            </w:pPr>
            <w:r>
              <w:rPr>
                <w:rFonts w:ascii="Calibri" w:hAnsi="Calibri"/>
                <w:color w:val="000000"/>
                <w:sz w:val="22"/>
                <w:szCs w:val="22"/>
              </w:rPr>
              <w:t>0</w:t>
            </w:r>
          </w:p>
        </w:tc>
        <w:tc>
          <w:tcPr>
            <w:tcW w:w="1710" w:type="dxa"/>
            <w:tcBorders>
              <w:top w:val="nil"/>
              <w:left w:val="nil"/>
              <w:bottom w:val="single" w:sz="4" w:space="0" w:color="auto"/>
              <w:right w:val="single" w:sz="4" w:space="0" w:color="auto"/>
            </w:tcBorders>
            <w:shd w:val="clear" w:color="auto" w:fill="auto"/>
            <w:noWrap/>
            <w:vAlign w:val="bottom"/>
            <w:hideMark/>
          </w:tcPr>
          <w:p w:rsidR="0032753B" w:rsidRPr="006A7EB4" w:rsidRDefault="0032753B" w:rsidP="006A7EB4">
            <w:pPr>
              <w:jc w:val="right"/>
              <w:rPr>
                <w:rFonts w:ascii="Arial" w:hAnsi="Arial" w:cs="Arial"/>
                <w:color w:val="000000"/>
                <w:sz w:val="18"/>
                <w:szCs w:val="18"/>
                <w:lang w:val="en-US" w:eastAsia="en-US"/>
              </w:rPr>
            </w:pPr>
            <w:r w:rsidRPr="006A7EB4">
              <w:rPr>
                <w:rFonts w:ascii="Arial" w:hAnsi="Arial" w:cs="Arial"/>
                <w:color w:val="000000"/>
                <w:sz w:val="18"/>
                <w:szCs w:val="18"/>
                <w:lang w:val="en-US" w:eastAsia="en-US"/>
              </w:rPr>
              <w:t>0.0</w:t>
            </w:r>
          </w:p>
        </w:tc>
        <w:tc>
          <w:tcPr>
            <w:tcW w:w="2430" w:type="dxa"/>
            <w:tcBorders>
              <w:top w:val="nil"/>
              <w:left w:val="nil"/>
              <w:bottom w:val="single" w:sz="4" w:space="0" w:color="auto"/>
              <w:right w:val="single" w:sz="4" w:space="0" w:color="auto"/>
            </w:tcBorders>
            <w:shd w:val="clear" w:color="auto" w:fill="auto"/>
            <w:noWrap/>
            <w:vAlign w:val="bottom"/>
            <w:hideMark/>
          </w:tcPr>
          <w:p w:rsidR="0032753B" w:rsidRDefault="0032753B">
            <w:pPr>
              <w:jc w:val="right"/>
              <w:rPr>
                <w:rFonts w:ascii="Calibri" w:hAnsi="Calibri"/>
                <w:color w:val="000000"/>
                <w:sz w:val="22"/>
                <w:szCs w:val="22"/>
              </w:rPr>
            </w:pPr>
            <w:r>
              <w:rPr>
                <w:rFonts w:ascii="Calibri" w:hAnsi="Calibri"/>
                <w:color w:val="000000"/>
                <w:sz w:val="22"/>
                <w:szCs w:val="22"/>
              </w:rPr>
              <w:t>8</w:t>
            </w:r>
          </w:p>
        </w:tc>
        <w:tc>
          <w:tcPr>
            <w:tcW w:w="1800" w:type="dxa"/>
            <w:tcBorders>
              <w:top w:val="nil"/>
              <w:left w:val="nil"/>
              <w:bottom w:val="single" w:sz="4" w:space="0" w:color="auto"/>
              <w:right w:val="single" w:sz="4" w:space="0" w:color="auto"/>
            </w:tcBorders>
            <w:shd w:val="clear" w:color="auto" w:fill="auto"/>
            <w:noWrap/>
            <w:vAlign w:val="bottom"/>
            <w:hideMark/>
          </w:tcPr>
          <w:p w:rsidR="0032753B" w:rsidRPr="006A7EB4" w:rsidRDefault="0032753B" w:rsidP="006A7EB4">
            <w:pPr>
              <w:jc w:val="right"/>
              <w:rPr>
                <w:rFonts w:ascii="Arial" w:hAnsi="Arial" w:cs="Arial"/>
                <w:color w:val="000000"/>
                <w:sz w:val="18"/>
                <w:szCs w:val="18"/>
                <w:lang w:val="en-US" w:eastAsia="en-US"/>
              </w:rPr>
            </w:pPr>
            <w:r w:rsidRPr="006A7EB4">
              <w:rPr>
                <w:rFonts w:ascii="Arial" w:hAnsi="Arial" w:cs="Arial"/>
                <w:color w:val="000000"/>
                <w:sz w:val="18"/>
                <w:szCs w:val="18"/>
                <w:lang w:val="en-US" w:eastAsia="en-US"/>
              </w:rPr>
              <w:t>1.7</w:t>
            </w:r>
          </w:p>
        </w:tc>
      </w:tr>
      <w:tr w:rsidR="0032753B" w:rsidRPr="006A7EB4" w:rsidTr="0032753B">
        <w:trPr>
          <w:trHeight w:val="300"/>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32753B" w:rsidRPr="006A7EB4" w:rsidRDefault="0032753B" w:rsidP="006A7EB4">
            <w:pPr>
              <w:jc w:val="right"/>
              <w:rPr>
                <w:rFonts w:ascii="Arial" w:hAnsi="Arial" w:cs="Arial"/>
                <w:color w:val="000000"/>
                <w:sz w:val="18"/>
                <w:szCs w:val="18"/>
                <w:lang w:val="en-US" w:eastAsia="en-US"/>
              </w:rPr>
            </w:pPr>
            <w:r w:rsidRPr="006A7EB4">
              <w:rPr>
                <w:rFonts w:ascii="Arial" w:hAnsi="Arial" w:cs="Arial"/>
                <w:color w:val="000000"/>
                <w:sz w:val="18"/>
                <w:szCs w:val="18"/>
                <w:lang w:val="en-US" w:eastAsia="en-US"/>
              </w:rPr>
              <w:t>2002</w:t>
            </w:r>
          </w:p>
        </w:tc>
        <w:tc>
          <w:tcPr>
            <w:tcW w:w="2340" w:type="dxa"/>
            <w:tcBorders>
              <w:top w:val="nil"/>
              <w:left w:val="nil"/>
              <w:bottom w:val="single" w:sz="4" w:space="0" w:color="auto"/>
              <w:right w:val="single" w:sz="4" w:space="0" w:color="auto"/>
            </w:tcBorders>
            <w:shd w:val="clear" w:color="auto" w:fill="auto"/>
            <w:noWrap/>
            <w:vAlign w:val="bottom"/>
            <w:hideMark/>
          </w:tcPr>
          <w:p w:rsidR="0032753B" w:rsidRDefault="0032753B">
            <w:pPr>
              <w:jc w:val="right"/>
              <w:rPr>
                <w:rFonts w:ascii="Calibri" w:hAnsi="Calibri"/>
                <w:color w:val="000000"/>
                <w:sz w:val="22"/>
                <w:szCs w:val="22"/>
              </w:rPr>
            </w:pPr>
            <w:r>
              <w:rPr>
                <w:rFonts w:ascii="Calibri" w:hAnsi="Calibri"/>
                <w:color w:val="000000"/>
                <w:sz w:val="22"/>
                <w:szCs w:val="22"/>
              </w:rPr>
              <w:t>40</w:t>
            </w:r>
          </w:p>
        </w:tc>
        <w:tc>
          <w:tcPr>
            <w:tcW w:w="1710" w:type="dxa"/>
            <w:tcBorders>
              <w:top w:val="nil"/>
              <w:left w:val="nil"/>
              <w:bottom w:val="single" w:sz="4" w:space="0" w:color="auto"/>
              <w:right w:val="single" w:sz="4" w:space="0" w:color="auto"/>
            </w:tcBorders>
            <w:shd w:val="clear" w:color="auto" w:fill="auto"/>
            <w:noWrap/>
            <w:vAlign w:val="bottom"/>
            <w:hideMark/>
          </w:tcPr>
          <w:p w:rsidR="0032753B" w:rsidRPr="006A7EB4" w:rsidRDefault="0032753B" w:rsidP="006A7EB4">
            <w:pPr>
              <w:jc w:val="right"/>
              <w:rPr>
                <w:rFonts w:ascii="Arial" w:hAnsi="Arial" w:cs="Arial"/>
                <w:color w:val="000000"/>
                <w:sz w:val="18"/>
                <w:szCs w:val="18"/>
                <w:lang w:val="en-US" w:eastAsia="en-US"/>
              </w:rPr>
            </w:pPr>
            <w:r w:rsidRPr="006A7EB4">
              <w:rPr>
                <w:rFonts w:ascii="Arial" w:hAnsi="Arial" w:cs="Arial"/>
                <w:color w:val="000000"/>
                <w:sz w:val="18"/>
                <w:szCs w:val="18"/>
                <w:lang w:val="en-US" w:eastAsia="en-US"/>
              </w:rPr>
              <w:t>2.0</w:t>
            </w:r>
          </w:p>
        </w:tc>
        <w:tc>
          <w:tcPr>
            <w:tcW w:w="2430" w:type="dxa"/>
            <w:tcBorders>
              <w:top w:val="nil"/>
              <w:left w:val="nil"/>
              <w:bottom w:val="single" w:sz="4" w:space="0" w:color="auto"/>
              <w:right w:val="single" w:sz="4" w:space="0" w:color="auto"/>
            </w:tcBorders>
            <w:shd w:val="clear" w:color="auto" w:fill="auto"/>
            <w:noWrap/>
            <w:vAlign w:val="bottom"/>
            <w:hideMark/>
          </w:tcPr>
          <w:p w:rsidR="0032753B" w:rsidRDefault="0032753B">
            <w:pPr>
              <w:jc w:val="right"/>
              <w:rPr>
                <w:rFonts w:ascii="Calibri" w:hAnsi="Calibri"/>
                <w:color w:val="000000"/>
                <w:sz w:val="22"/>
                <w:szCs w:val="22"/>
              </w:rPr>
            </w:pPr>
            <w:r>
              <w:rPr>
                <w:rFonts w:ascii="Calibri" w:hAnsi="Calibri"/>
                <w:color w:val="000000"/>
                <w:sz w:val="22"/>
                <w:szCs w:val="22"/>
              </w:rPr>
              <w:t>8</w:t>
            </w:r>
          </w:p>
        </w:tc>
        <w:tc>
          <w:tcPr>
            <w:tcW w:w="1800" w:type="dxa"/>
            <w:tcBorders>
              <w:top w:val="nil"/>
              <w:left w:val="nil"/>
              <w:bottom w:val="single" w:sz="4" w:space="0" w:color="auto"/>
              <w:right w:val="single" w:sz="4" w:space="0" w:color="auto"/>
            </w:tcBorders>
            <w:shd w:val="clear" w:color="auto" w:fill="auto"/>
            <w:noWrap/>
            <w:vAlign w:val="bottom"/>
            <w:hideMark/>
          </w:tcPr>
          <w:p w:rsidR="0032753B" w:rsidRPr="006A7EB4" w:rsidRDefault="0032753B" w:rsidP="006A7EB4">
            <w:pPr>
              <w:jc w:val="right"/>
              <w:rPr>
                <w:rFonts w:ascii="Arial" w:hAnsi="Arial" w:cs="Arial"/>
                <w:color w:val="000000"/>
                <w:sz w:val="18"/>
                <w:szCs w:val="18"/>
                <w:lang w:val="en-US" w:eastAsia="en-US"/>
              </w:rPr>
            </w:pPr>
            <w:r w:rsidRPr="006A7EB4">
              <w:rPr>
                <w:rFonts w:ascii="Arial" w:hAnsi="Arial" w:cs="Arial"/>
                <w:color w:val="000000"/>
                <w:sz w:val="18"/>
                <w:szCs w:val="18"/>
                <w:lang w:val="en-US" w:eastAsia="en-US"/>
              </w:rPr>
              <w:t>1.3</w:t>
            </w:r>
          </w:p>
        </w:tc>
      </w:tr>
      <w:tr w:rsidR="0032753B" w:rsidRPr="006A7EB4" w:rsidTr="0032753B">
        <w:trPr>
          <w:trHeight w:val="300"/>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32753B" w:rsidRPr="006A7EB4" w:rsidRDefault="0032753B" w:rsidP="006A7EB4">
            <w:pPr>
              <w:jc w:val="right"/>
              <w:rPr>
                <w:rFonts w:ascii="Arial" w:hAnsi="Arial" w:cs="Arial"/>
                <w:color w:val="000000"/>
                <w:sz w:val="18"/>
                <w:szCs w:val="18"/>
                <w:lang w:val="en-US" w:eastAsia="en-US"/>
              </w:rPr>
            </w:pPr>
            <w:r w:rsidRPr="006A7EB4">
              <w:rPr>
                <w:rFonts w:ascii="Arial" w:hAnsi="Arial" w:cs="Arial"/>
                <w:color w:val="000000"/>
                <w:sz w:val="18"/>
                <w:szCs w:val="18"/>
                <w:lang w:val="en-US" w:eastAsia="en-US"/>
              </w:rPr>
              <w:t>2003</w:t>
            </w:r>
          </w:p>
        </w:tc>
        <w:tc>
          <w:tcPr>
            <w:tcW w:w="2340" w:type="dxa"/>
            <w:tcBorders>
              <w:top w:val="nil"/>
              <w:left w:val="nil"/>
              <w:bottom w:val="single" w:sz="4" w:space="0" w:color="auto"/>
              <w:right w:val="single" w:sz="4" w:space="0" w:color="auto"/>
            </w:tcBorders>
            <w:shd w:val="clear" w:color="auto" w:fill="auto"/>
            <w:noWrap/>
            <w:vAlign w:val="bottom"/>
            <w:hideMark/>
          </w:tcPr>
          <w:p w:rsidR="0032753B" w:rsidRDefault="0032753B">
            <w:pPr>
              <w:jc w:val="right"/>
              <w:rPr>
                <w:rFonts w:ascii="Calibri" w:hAnsi="Calibri"/>
                <w:color w:val="000000"/>
                <w:sz w:val="22"/>
                <w:szCs w:val="22"/>
              </w:rPr>
            </w:pPr>
            <w:r>
              <w:rPr>
                <w:rFonts w:ascii="Calibri" w:hAnsi="Calibri"/>
                <w:color w:val="000000"/>
                <w:sz w:val="22"/>
                <w:szCs w:val="22"/>
              </w:rPr>
              <w:t>46</w:t>
            </w:r>
          </w:p>
        </w:tc>
        <w:tc>
          <w:tcPr>
            <w:tcW w:w="1710" w:type="dxa"/>
            <w:tcBorders>
              <w:top w:val="nil"/>
              <w:left w:val="nil"/>
              <w:bottom w:val="single" w:sz="4" w:space="0" w:color="auto"/>
              <w:right w:val="single" w:sz="4" w:space="0" w:color="auto"/>
            </w:tcBorders>
            <w:shd w:val="clear" w:color="auto" w:fill="auto"/>
            <w:noWrap/>
            <w:vAlign w:val="bottom"/>
            <w:hideMark/>
          </w:tcPr>
          <w:p w:rsidR="0032753B" w:rsidRPr="006A7EB4" w:rsidRDefault="0032753B" w:rsidP="006A7EB4">
            <w:pPr>
              <w:jc w:val="right"/>
              <w:rPr>
                <w:rFonts w:ascii="Arial" w:hAnsi="Arial" w:cs="Arial"/>
                <w:color w:val="000000"/>
                <w:sz w:val="18"/>
                <w:szCs w:val="18"/>
                <w:lang w:val="en-US" w:eastAsia="en-US"/>
              </w:rPr>
            </w:pPr>
            <w:r w:rsidRPr="006A7EB4">
              <w:rPr>
                <w:rFonts w:ascii="Arial" w:hAnsi="Arial" w:cs="Arial"/>
                <w:color w:val="000000"/>
                <w:sz w:val="18"/>
                <w:szCs w:val="18"/>
                <w:lang w:val="en-US" w:eastAsia="en-US"/>
              </w:rPr>
              <w:t>1.9</w:t>
            </w:r>
          </w:p>
        </w:tc>
        <w:tc>
          <w:tcPr>
            <w:tcW w:w="2430" w:type="dxa"/>
            <w:tcBorders>
              <w:top w:val="nil"/>
              <w:left w:val="nil"/>
              <w:bottom w:val="single" w:sz="4" w:space="0" w:color="auto"/>
              <w:right w:val="single" w:sz="4" w:space="0" w:color="auto"/>
            </w:tcBorders>
            <w:shd w:val="clear" w:color="auto" w:fill="auto"/>
            <w:noWrap/>
            <w:vAlign w:val="bottom"/>
            <w:hideMark/>
          </w:tcPr>
          <w:p w:rsidR="0032753B" w:rsidRDefault="0032753B">
            <w:pPr>
              <w:jc w:val="right"/>
              <w:rPr>
                <w:rFonts w:ascii="Calibri" w:hAnsi="Calibri"/>
                <w:color w:val="000000"/>
                <w:sz w:val="22"/>
                <w:szCs w:val="22"/>
              </w:rPr>
            </w:pPr>
            <w:r>
              <w:rPr>
                <w:rFonts w:ascii="Calibri" w:hAnsi="Calibri"/>
                <w:color w:val="000000"/>
                <w:sz w:val="22"/>
                <w:szCs w:val="22"/>
              </w:rPr>
              <w:t>16</w:t>
            </w:r>
          </w:p>
        </w:tc>
        <w:tc>
          <w:tcPr>
            <w:tcW w:w="1800" w:type="dxa"/>
            <w:tcBorders>
              <w:top w:val="nil"/>
              <w:left w:val="nil"/>
              <w:bottom w:val="single" w:sz="4" w:space="0" w:color="auto"/>
              <w:right w:val="single" w:sz="4" w:space="0" w:color="auto"/>
            </w:tcBorders>
            <w:shd w:val="clear" w:color="auto" w:fill="auto"/>
            <w:noWrap/>
            <w:vAlign w:val="bottom"/>
            <w:hideMark/>
          </w:tcPr>
          <w:p w:rsidR="0032753B" w:rsidRPr="006A7EB4" w:rsidRDefault="0032753B" w:rsidP="006A7EB4">
            <w:pPr>
              <w:jc w:val="right"/>
              <w:rPr>
                <w:rFonts w:ascii="Arial" w:hAnsi="Arial" w:cs="Arial"/>
                <w:color w:val="000000"/>
                <w:sz w:val="18"/>
                <w:szCs w:val="18"/>
                <w:lang w:val="en-US" w:eastAsia="en-US"/>
              </w:rPr>
            </w:pPr>
            <w:r w:rsidRPr="006A7EB4">
              <w:rPr>
                <w:rFonts w:ascii="Arial" w:hAnsi="Arial" w:cs="Arial"/>
                <w:color w:val="000000"/>
                <w:sz w:val="18"/>
                <w:szCs w:val="18"/>
                <w:lang w:val="en-US" w:eastAsia="en-US"/>
              </w:rPr>
              <w:t>2.4</w:t>
            </w:r>
          </w:p>
        </w:tc>
      </w:tr>
      <w:tr w:rsidR="0032753B" w:rsidRPr="006A7EB4" w:rsidTr="0032753B">
        <w:trPr>
          <w:trHeight w:val="300"/>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32753B" w:rsidRPr="006A7EB4" w:rsidRDefault="0032753B" w:rsidP="006A7EB4">
            <w:pPr>
              <w:jc w:val="right"/>
              <w:rPr>
                <w:rFonts w:ascii="Arial" w:hAnsi="Arial" w:cs="Arial"/>
                <w:color w:val="000000"/>
                <w:sz w:val="18"/>
                <w:szCs w:val="18"/>
                <w:lang w:val="en-US" w:eastAsia="en-US"/>
              </w:rPr>
            </w:pPr>
            <w:r w:rsidRPr="006A7EB4">
              <w:rPr>
                <w:rFonts w:ascii="Arial" w:hAnsi="Arial" w:cs="Arial"/>
                <w:color w:val="000000"/>
                <w:sz w:val="18"/>
                <w:szCs w:val="18"/>
                <w:lang w:val="en-US" w:eastAsia="en-US"/>
              </w:rPr>
              <w:t>2004</w:t>
            </w:r>
          </w:p>
        </w:tc>
        <w:tc>
          <w:tcPr>
            <w:tcW w:w="2340" w:type="dxa"/>
            <w:tcBorders>
              <w:top w:val="nil"/>
              <w:left w:val="nil"/>
              <w:bottom w:val="single" w:sz="4" w:space="0" w:color="auto"/>
              <w:right w:val="single" w:sz="4" w:space="0" w:color="auto"/>
            </w:tcBorders>
            <w:shd w:val="clear" w:color="auto" w:fill="auto"/>
            <w:noWrap/>
            <w:vAlign w:val="bottom"/>
            <w:hideMark/>
          </w:tcPr>
          <w:p w:rsidR="0032753B" w:rsidRDefault="0032753B">
            <w:pPr>
              <w:jc w:val="right"/>
              <w:rPr>
                <w:rFonts w:ascii="Calibri" w:hAnsi="Calibri"/>
                <w:color w:val="000000"/>
                <w:sz w:val="22"/>
                <w:szCs w:val="22"/>
              </w:rPr>
            </w:pPr>
            <w:r>
              <w:rPr>
                <w:rFonts w:ascii="Calibri" w:hAnsi="Calibri"/>
                <w:color w:val="000000"/>
                <w:sz w:val="22"/>
                <w:szCs w:val="22"/>
              </w:rPr>
              <w:t>127</w:t>
            </w:r>
          </w:p>
        </w:tc>
        <w:tc>
          <w:tcPr>
            <w:tcW w:w="1710" w:type="dxa"/>
            <w:tcBorders>
              <w:top w:val="nil"/>
              <w:left w:val="nil"/>
              <w:bottom w:val="single" w:sz="4" w:space="0" w:color="auto"/>
              <w:right w:val="single" w:sz="4" w:space="0" w:color="auto"/>
            </w:tcBorders>
            <w:shd w:val="clear" w:color="auto" w:fill="auto"/>
            <w:noWrap/>
            <w:vAlign w:val="bottom"/>
            <w:hideMark/>
          </w:tcPr>
          <w:p w:rsidR="0032753B" w:rsidRPr="006A7EB4" w:rsidRDefault="0032753B" w:rsidP="006A7EB4">
            <w:pPr>
              <w:jc w:val="right"/>
              <w:rPr>
                <w:rFonts w:ascii="Arial" w:hAnsi="Arial" w:cs="Arial"/>
                <w:color w:val="000000"/>
                <w:sz w:val="18"/>
                <w:szCs w:val="18"/>
                <w:lang w:val="en-US" w:eastAsia="en-US"/>
              </w:rPr>
            </w:pPr>
            <w:r w:rsidRPr="006A7EB4">
              <w:rPr>
                <w:rFonts w:ascii="Arial" w:hAnsi="Arial" w:cs="Arial"/>
                <w:color w:val="000000"/>
                <w:sz w:val="18"/>
                <w:szCs w:val="18"/>
                <w:lang w:val="en-US" w:eastAsia="en-US"/>
              </w:rPr>
              <w:t>4.7</w:t>
            </w:r>
          </w:p>
        </w:tc>
        <w:tc>
          <w:tcPr>
            <w:tcW w:w="2430" w:type="dxa"/>
            <w:tcBorders>
              <w:top w:val="nil"/>
              <w:left w:val="nil"/>
              <w:bottom w:val="single" w:sz="4" w:space="0" w:color="auto"/>
              <w:right w:val="single" w:sz="4" w:space="0" w:color="auto"/>
            </w:tcBorders>
            <w:shd w:val="clear" w:color="auto" w:fill="auto"/>
            <w:noWrap/>
            <w:vAlign w:val="bottom"/>
            <w:hideMark/>
          </w:tcPr>
          <w:p w:rsidR="0032753B" w:rsidRDefault="0032753B">
            <w:pPr>
              <w:jc w:val="right"/>
              <w:rPr>
                <w:rFonts w:ascii="Calibri" w:hAnsi="Calibri"/>
                <w:color w:val="000000"/>
                <w:sz w:val="22"/>
                <w:szCs w:val="22"/>
              </w:rPr>
            </w:pPr>
            <w:r>
              <w:rPr>
                <w:rFonts w:ascii="Calibri" w:hAnsi="Calibri"/>
                <w:color w:val="000000"/>
                <w:sz w:val="22"/>
                <w:szCs w:val="22"/>
              </w:rPr>
              <w:t>32</w:t>
            </w:r>
          </w:p>
        </w:tc>
        <w:tc>
          <w:tcPr>
            <w:tcW w:w="1800" w:type="dxa"/>
            <w:tcBorders>
              <w:top w:val="nil"/>
              <w:left w:val="nil"/>
              <w:bottom w:val="single" w:sz="4" w:space="0" w:color="auto"/>
              <w:right w:val="single" w:sz="4" w:space="0" w:color="auto"/>
            </w:tcBorders>
            <w:shd w:val="clear" w:color="auto" w:fill="auto"/>
            <w:noWrap/>
            <w:vAlign w:val="bottom"/>
            <w:hideMark/>
          </w:tcPr>
          <w:p w:rsidR="0032753B" w:rsidRPr="006A7EB4" w:rsidRDefault="0032753B" w:rsidP="006A7EB4">
            <w:pPr>
              <w:jc w:val="right"/>
              <w:rPr>
                <w:rFonts w:ascii="Arial" w:hAnsi="Arial" w:cs="Arial"/>
                <w:color w:val="000000"/>
                <w:sz w:val="18"/>
                <w:szCs w:val="18"/>
                <w:lang w:val="en-US" w:eastAsia="en-US"/>
              </w:rPr>
            </w:pPr>
            <w:r w:rsidRPr="006A7EB4">
              <w:rPr>
                <w:rFonts w:ascii="Arial" w:hAnsi="Arial" w:cs="Arial"/>
                <w:color w:val="000000"/>
                <w:sz w:val="18"/>
                <w:szCs w:val="18"/>
                <w:lang w:val="en-US" w:eastAsia="en-US"/>
              </w:rPr>
              <w:t>4.5</w:t>
            </w:r>
          </w:p>
        </w:tc>
      </w:tr>
      <w:tr w:rsidR="0032753B" w:rsidRPr="006A7EB4" w:rsidTr="0032753B">
        <w:trPr>
          <w:trHeight w:val="300"/>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32753B" w:rsidRPr="006A7EB4" w:rsidRDefault="0032753B" w:rsidP="006A7EB4">
            <w:pPr>
              <w:jc w:val="right"/>
              <w:rPr>
                <w:rFonts w:ascii="Arial" w:hAnsi="Arial" w:cs="Arial"/>
                <w:color w:val="000000"/>
                <w:sz w:val="18"/>
                <w:szCs w:val="18"/>
                <w:lang w:val="en-US" w:eastAsia="en-US"/>
              </w:rPr>
            </w:pPr>
            <w:r w:rsidRPr="006A7EB4">
              <w:rPr>
                <w:rFonts w:ascii="Arial" w:hAnsi="Arial" w:cs="Arial"/>
                <w:color w:val="000000"/>
                <w:sz w:val="18"/>
                <w:szCs w:val="18"/>
                <w:lang w:val="en-US" w:eastAsia="en-US"/>
              </w:rPr>
              <w:t>2005</w:t>
            </w:r>
          </w:p>
        </w:tc>
        <w:tc>
          <w:tcPr>
            <w:tcW w:w="2340" w:type="dxa"/>
            <w:tcBorders>
              <w:top w:val="nil"/>
              <w:left w:val="nil"/>
              <w:bottom w:val="single" w:sz="4" w:space="0" w:color="auto"/>
              <w:right w:val="single" w:sz="4" w:space="0" w:color="auto"/>
            </w:tcBorders>
            <w:shd w:val="clear" w:color="auto" w:fill="auto"/>
            <w:noWrap/>
            <w:vAlign w:val="bottom"/>
            <w:hideMark/>
          </w:tcPr>
          <w:p w:rsidR="0032753B" w:rsidRDefault="0032753B">
            <w:pPr>
              <w:jc w:val="right"/>
              <w:rPr>
                <w:rFonts w:ascii="Calibri" w:hAnsi="Calibri"/>
                <w:color w:val="000000"/>
                <w:sz w:val="22"/>
                <w:szCs w:val="22"/>
              </w:rPr>
            </w:pPr>
            <w:r>
              <w:rPr>
                <w:rFonts w:ascii="Calibri" w:hAnsi="Calibri"/>
                <w:color w:val="000000"/>
                <w:sz w:val="22"/>
                <w:szCs w:val="22"/>
              </w:rPr>
              <w:t>140</w:t>
            </w:r>
          </w:p>
        </w:tc>
        <w:tc>
          <w:tcPr>
            <w:tcW w:w="1710" w:type="dxa"/>
            <w:tcBorders>
              <w:top w:val="nil"/>
              <w:left w:val="nil"/>
              <w:bottom w:val="single" w:sz="4" w:space="0" w:color="auto"/>
              <w:right w:val="single" w:sz="4" w:space="0" w:color="auto"/>
            </w:tcBorders>
            <w:shd w:val="clear" w:color="auto" w:fill="auto"/>
            <w:noWrap/>
            <w:vAlign w:val="bottom"/>
            <w:hideMark/>
          </w:tcPr>
          <w:p w:rsidR="0032753B" w:rsidRPr="006A7EB4" w:rsidRDefault="0032753B" w:rsidP="006A7EB4">
            <w:pPr>
              <w:jc w:val="right"/>
              <w:rPr>
                <w:rFonts w:ascii="Arial" w:hAnsi="Arial" w:cs="Arial"/>
                <w:color w:val="000000"/>
                <w:sz w:val="18"/>
                <w:szCs w:val="18"/>
                <w:lang w:val="en-US" w:eastAsia="en-US"/>
              </w:rPr>
            </w:pPr>
            <w:r w:rsidRPr="006A7EB4">
              <w:rPr>
                <w:rFonts w:ascii="Arial" w:hAnsi="Arial" w:cs="Arial"/>
                <w:color w:val="000000"/>
                <w:sz w:val="18"/>
                <w:szCs w:val="18"/>
                <w:lang w:val="en-US" w:eastAsia="en-US"/>
              </w:rPr>
              <w:t>5.1</w:t>
            </w:r>
          </w:p>
        </w:tc>
        <w:tc>
          <w:tcPr>
            <w:tcW w:w="2430" w:type="dxa"/>
            <w:tcBorders>
              <w:top w:val="nil"/>
              <w:left w:val="nil"/>
              <w:bottom w:val="single" w:sz="4" w:space="0" w:color="auto"/>
              <w:right w:val="single" w:sz="4" w:space="0" w:color="auto"/>
            </w:tcBorders>
            <w:shd w:val="clear" w:color="auto" w:fill="auto"/>
            <w:noWrap/>
            <w:vAlign w:val="bottom"/>
            <w:hideMark/>
          </w:tcPr>
          <w:p w:rsidR="0032753B" w:rsidRDefault="0032753B">
            <w:pPr>
              <w:jc w:val="right"/>
              <w:rPr>
                <w:rFonts w:ascii="Calibri" w:hAnsi="Calibri"/>
                <w:color w:val="000000"/>
                <w:sz w:val="22"/>
                <w:szCs w:val="22"/>
              </w:rPr>
            </w:pPr>
            <w:r>
              <w:rPr>
                <w:rFonts w:ascii="Calibri" w:hAnsi="Calibri"/>
                <w:color w:val="000000"/>
                <w:sz w:val="22"/>
                <w:szCs w:val="22"/>
              </w:rPr>
              <w:t>19</w:t>
            </w:r>
          </w:p>
        </w:tc>
        <w:tc>
          <w:tcPr>
            <w:tcW w:w="1800" w:type="dxa"/>
            <w:tcBorders>
              <w:top w:val="nil"/>
              <w:left w:val="nil"/>
              <w:bottom w:val="single" w:sz="4" w:space="0" w:color="auto"/>
              <w:right w:val="single" w:sz="4" w:space="0" w:color="auto"/>
            </w:tcBorders>
            <w:shd w:val="clear" w:color="auto" w:fill="auto"/>
            <w:noWrap/>
            <w:vAlign w:val="bottom"/>
            <w:hideMark/>
          </w:tcPr>
          <w:p w:rsidR="0032753B" w:rsidRPr="006A7EB4" w:rsidRDefault="0032753B" w:rsidP="006A7EB4">
            <w:pPr>
              <w:jc w:val="right"/>
              <w:rPr>
                <w:rFonts w:ascii="Arial" w:hAnsi="Arial" w:cs="Arial"/>
                <w:color w:val="000000"/>
                <w:sz w:val="18"/>
                <w:szCs w:val="18"/>
                <w:lang w:val="en-US" w:eastAsia="en-US"/>
              </w:rPr>
            </w:pPr>
            <w:r w:rsidRPr="006A7EB4">
              <w:rPr>
                <w:rFonts w:ascii="Arial" w:hAnsi="Arial" w:cs="Arial"/>
                <w:color w:val="000000"/>
                <w:sz w:val="18"/>
                <w:szCs w:val="18"/>
                <w:lang w:val="en-US" w:eastAsia="en-US"/>
              </w:rPr>
              <w:t>2.2</w:t>
            </w:r>
          </w:p>
        </w:tc>
      </w:tr>
      <w:tr w:rsidR="0032753B" w:rsidRPr="006A7EB4" w:rsidTr="0032753B">
        <w:trPr>
          <w:trHeight w:val="300"/>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32753B" w:rsidRPr="006A7EB4" w:rsidRDefault="0032753B" w:rsidP="006A7EB4">
            <w:pPr>
              <w:jc w:val="right"/>
              <w:rPr>
                <w:rFonts w:ascii="Arial" w:hAnsi="Arial" w:cs="Arial"/>
                <w:color w:val="000000"/>
                <w:sz w:val="18"/>
                <w:szCs w:val="18"/>
                <w:lang w:val="en-US" w:eastAsia="en-US"/>
              </w:rPr>
            </w:pPr>
            <w:r w:rsidRPr="006A7EB4">
              <w:rPr>
                <w:rFonts w:ascii="Arial" w:hAnsi="Arial" w:cs="Arial"/>
                <w:color w:val="000000"/>
                <w:sz w:val="18"/>
                <w:szCs w:val="18"/>
                <w:lang w:val="en-US" w:eastAsia="en-US"/>
              </w:rPr>
              <w:t>2006</w:t>
            </w:r>
          </w:p>
        </w:tc>
        <w:tc>
          <w:tcPr>
            <w:tcW w:w="2340" w:type="dxa"/>
            <w:tcBorders>
              <w:top w:val="nil"/>
              <w:left w:val="nil"/>
              <w:bottom w:val="single" w:sz="4" w:space="0" w:color="auto"/>
              <w:right w:val="single" w:sz="4" w:space="0" w:color="auto"/>
            </w:tcBorders>
            <w:shd w:val="clear" w:color="auto" w:fill="auto"/>
            <w:noWrap/>
            <w:vAlign w:val="bottom"/>
            <w:hideMark/>
          </w:tcPr>
          <w:p w:rsidR="0032753B" w:rsidRDefault="0032753B">
            <w:pPr>
              <w:jc w:val="right"/>
              <w:rPr>
                <w:rFonts w:ascii="Calibri" w:hAnsi="Calibri"/>
                <w:color w:val="000000"/>
                <w:sz w:val="22"/>
                <w:szCs w:val="22"/>
              </w:rPr>
            </w:pPr>
            <w:r>
              <w:rPr>
                <w:rFonts w:ascii="Calibri" w:hAnsi="Calibri"/>
                <w:color w:val="000000"/>
                <w:sz w:val="22"/>
                <w:szCs w:val="22"/>
              </w:rPr>
              <w:t>182</w:t>
            </w:r>
          </w:p>
        </w:tc>
        <w:tc>
          <w:tcPr>
            <w:tcW w:w="1710" w:type="dxa"/>
            <w:tcBorders>
              <w:top w:val="nil"/>
              <w:left w:val="nil"/>
              <w:bottom w:val="single" w:sz="4" w:space="0" w:color="auto"/>
              <w:right w:val="single" w:sz="4" w:space="0" w:color="auto"/>
            </w:tcBorders>
            <w:shd w:val="clear" w:color="auto" w:fill="auto"/>
            <w:noWrap/>
            <w:vAlign w:val="bottom"/>
            <w:hideMark/>
          </w:tcPr>
          <w:p w:rsidR="0032753B" w:rsidRPr="006A7EB4" w:rsidRDefault="0032753B" w:rsidP="006A7EB4">
            <w:pPr>
              <w:jc w:val="right"/>
              <w:rPr>
                <w:rFonts w:ascii="Arial" w:hAnsi="Arial" w:cs="Arial"/>
                <w:color w:val="000000"/>
                <w:sz w:val="18"/>
                <w:szCs w:val="18"/>
                <w:lang w:val="en-US" w:eastAsia="en-US"/>
              </w:rPr>
            </w:pPr>
            <w:r w:rsidRPr="006A7EB4">
              <w:rPr>
                <w:rFonts w:ascii="Arial" w:hAnsi="Arial" w:cs="Arial"/>
                <w:color w:val="000000"/>
                <w:sz w:val="18"/>
                <w:szCs w:val="18"/>
                <w:lang w:val="en-US" w:eastAsia="en-US"/>
              </w:rPr>
              <w:t>6.3</w:t>
            </w:r>
          </w:p>
        </w:tc>
        <w:tc>
          <w:tcPr>
            <w:tcW w:w="2430" w:type="dxa"/>
            <w:tcBorders>
              <w:top w:val="nil"/>
              <w:left w:val="nil"/>
              <w:bottom w:val="single" w:sz="4" w:space="0" w:color="auto"/>
              <w:right w:val="single" w:sz="4" w:space="0" w:color="auto"/>
            </w:tcBorders>
            <w:shd w:val="clear" w:color="auto" w:fill="auto"/>
            <w:noWrap/>
            <w:vAlign w:val="bottom"/>
            <w:hideMark/>
          </w:tcPr>
          <w:p w:rsidR="0032753B" w:rsidRDefault="0032753B">
            <w:pPr>
              <w:jc w:val="right"/>
              <w:rPr>
                <w:rFonts w:ascii="Calibri" w:hAnsi="Calibri"/>
                <w:color w:val="000000"/>
                <w:sz w:val="22"/>
                <w:szCs w:val="22"/>
              </w:rPr>
            </w:pPr>
            <w:r>
              <w:rPr>
                <w:rFonts w:ascii="Calibri" w:hAnsi="Calibri"/>
                <w:color w:val="000000"/>
                <w:sz w:val="22"/>
                <w:szCs w:val="22"/>
              </w:rPr>
              <w:t>14</w:t>
            </w:r>
          </w:p>
        </w:tc>
        <w:tc>
          <w:tcPr>
            <w:tcW w:w="1800" w:type="dxa"/>
            <w:tcBorders>
              <w:top w:val="nil"/>
              <w:left w:val="nil"/>
              <w:bottom w:val="single" w:sz="4" w:space="0" w:color="auto"/>
              <w:right w:val="single" w:sz="4" w:space="0" w:color="auto"/>
            </w:tcBorders>
            <w:shd w:val="clear" w:color="auto" w:fill="auto"/>
            <w:noWrap/>
            <w:vAlign w:val="bottom"/>
            <w:hideMark/>
          </w:tcPr>
          <w:p w:rsidR="0032753B" w:rsidRPr="006A7EB4" w:rsidRDefault="0032753B" w:rsidP="006A7EB4">
            <w:pPr>
              <w:jc w:val="right"/>
              <w:rPr>
                <w:rFonts w:ascii="Arial" w:hAnsi="Arial" w:cs="Arial"/>
                <w:color w:val="000000"/>
                <w:sz w:val="18"/>
                <w:szCs w:val="18"/>
                <w:lang w:val="en-US" w:eastAsia="en-US"/>
              </w:rPr>
            </w:pPr>
            <w:r w:rsidRPr="006A7EB4">
              <w:rPr>
                <w:rFonts w:ascii="Arial" w:hAnsi="Arial" w:cs="Arial"/>
                <w:color w:val="000000"/>
                <w:sz w:val="18"/>
                <w:szCs w:val="18"/>
                <w:lang w:val="en-US" w:eastAsia="en-US"/>
              </w:rPr>
              <w:t>1.5</w:t>
            </w:r>
          </w:p>
        </w:tc>
      </w:tr>
      <w:tr w:rsidR="0032753B" w:rsidRPr="006A7EB4" w:rsidTr="0032753B">
        <w:trPr>
          <w:trHeight w:val="300"/>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32753B" w:rsidRPr="006A7EB4" w:rsidRDefault="0032753B" w:rsidP="006A7EB4">
            <w:pPr>
              <w:jc w:val="right"/>
              <w:rPr>
                <w:rFonts w:ascii="Arial" w:hAnsi="Arial" w:cs="Arial"/>
                <w:color w:val="000000"/>
                <w:sz w:val="18"/>
                <w:szCs w:val="18"/>
                <w:lang w:val="en-US" w:eastAsia="en-US"/>
              </w:rPr>
            </w:pPr>
            <w:r w:rsidRPr="006A7EB4">
              <w:rPr>
                <w:rFonts w:ascii="Arial" w:hAnsi="Arial" w:cs="Arial"/>
                <w:color w:val="000000"/>
                <w:sz w:val="18"/>
                <w:szCs w:val="18"/>
                <w:lang w:val="en-US" w:eastAsia="en-US"/>
              </w:rPr>
              <w:t>2007</w:t>
            </w:r>
          </w:p>
        </w:tc>
        <w:tc>
          <w:tcPr>
            <w:tcW w:w="2340" w:type="dxa"/>
            <w:tcBorders>
              <w:top w:val="nil"/>
              <w:left w:val="nil"/>
              <w:bottom w:val="single" w:sz="4" w:space="0" w:color="auto"/>
              <w:right w:val="single" w:sz="4" w:space="0" w:color="auto"/>
            </w:tcBorders>
            <w:shd w:val="clear" w:color="auto" w:fill="auto"/>
            <w:noWrap/>
            <w:vAlign w:val="bottom"/>
            <w:hideMark/>
          </w:tcPr>
          <w:p w:rsidR="0032753B" w:rsidRDefault="0032753B">
            <w:pPr>
              <w:jc w:val="right"/>
              <w:rPr>
                <w:rFonts w:ascii="Calibri" w:hAnsi="Calibri"/>
                <w:color w:val="000000"/>
                <w:sz w:val="22"/>
                <w:szCs w:val="22"/>
              </w:rPr>
            </w:pPr>
            <w:r>
              <w:rPr>
                <w:rFonts w:ascii="Calibri" w:hAnsi="Calibri"/>
                <w:color w:val="000000"/>
                <w:sz w:val="22"/>
                <w:szCs w:val="22"/>
              </w:rPr>
              <w:t>248</w:t>
            </w:r>
          </w:p>
        </w:tc>
        <w:tc>
          <w:tcPr>
            <w:tcW w:w="1710" w:type="dxa"/>
            <w:tcBorders>
              <w:top w:val="nil"/>
              <w:left w:val="nil"/>
              <w:bottom w:val="single" w:sz="4" w:space="0" w:color="auto"/>
              <w:right w:val="single" w:sz="4" w:space="0" w:color="auto"/>
            </w:tcBorders>
            <w:shd w:val="clear" w:color="auto" w:fill="auto"/>
            <w:noWrap/>
            <w:vAlign w:val="bottom"/>
            <w:hideMark/>
          </w:tcPr>
          <w:p w:rsidR="0032753B" w:rsidRPr="006A7EB4" w:rsidRDefault="0032753B" w:rsidP="006A7EB4">
            <w:pPr>
              <w:jc w:val="right"/>
              <w:rPr>
                <w:rFonts w:ascii="Arial" w:hAnsi="Arial" w:cs="Arial"/>
                <w:color w:val="000000"/>
                <w:sz w:val="18"/>
                <w:szCs w:val="18"/>
                <w:lang w:val="en-US" w:eastAsia="en-US"/>
              </w:rPr>
            </w:pPr>
            <w:r w:rsidRPr="006A7EB4">
              <w:rPr>
                <w:rFonts w:ascii="Arial" w:hAnsi="Arial" w:cs="Arial"/>
                <w:color w:val="000000"/>
                <w:sz w:val="18"/>
                <w:szCs w:val="18"/>
                <w:lang w:val="en-US" w:eastAsia="en-US"/>
              </w:rPr>
              <w:t>7.5</w:t>
            </w:r>
          </w:p>
        </w:tc>
        <w:tc>
          <w:tcPr>
            <w:tcW w:w="2430" w:type="dxa"/>
            <w:tcBorders>
              <w:top w:val="nil"/>
              <w:left w:val="nil"/>
              <w:bottom w:val="single" w:sz="4" w:space="0" w:color="auto"/>
              <w:right w:val="single" w:sz="4" w:space="0" w:color="auto"/>
            </w:tcBorders>
            <w:shd w:val="clear" w:color="auto" w:fill="auto"/>
            <w:noWrap/>
            <w:vAlign w:val="bottom"/>
            <w:hideMark/>
          </w:tcPr>
          <w:p w:rsidR="0032753B" w:rsidRDefault="0032753B">
            <w:pPr>
              <w:jc w:val="right"/>
              <w:rPr>
                <w:rFonts w:ascii="Calibri" w:hAnsi="Calibri"/>
                <w:color w:val="000000"/>
                <w:sz w:val="22"/>
                <w:szCs w:val="22"/>
              </w:rPr>
            </w:pPr>
            <w:r>
              <w:rPr>
                <w:rFonts w:ascii="Calibri" w:hAnsi="Calibri"/>
                <w:color w:val="000000"/>
                <w:sz w:val="22"/>
                <w:szCs w:val="22"/>
              </w:rPr>
              <w:t>22</w:t>
            </w:r>
          </w:p>
        </w:tc>
        <w:tc>
          <w:tcPr>
            <w:tcW w:w="1800" w:type="dxa"/>
            <w:tcBorders>
              <w:top w:val="nil"/>
              <w:left w:val="nil"/>
              <w:bottom w:val="single" w:sz="4" w:space="0" w:color="auto"/>
              <w:right w:val="single" w:sz="4" w:space="0" w:color="auto"/>
            </w:tcBorders>
            <w:shd w:val="clear" w:color="auto" w:fill="auto"/>
            <w:noWrap/>
            <w:vAlign w:val="bottom"/>
            <w:hideMark/>
          </w:tcPr>
          <w:p w:rsidR="0032753B" w:rsidRPr="006A7EB4" w:rsidRDefault="0032753B" w:rsidP="006A7EB4">
            <w:pPr>
              <w:jc w:val="right"/>
              <w:rPr>
                <w:rFonts w:ascii="Arial" w:hAnsi="Arial" w:cs="Arial"/>
                <w:color w:val="000000"/>
                <w:sz w:val="18"/>
                <w:szCs w:val="18"/>
                <w:lang w:val="en-US" w:eastAsia="en-US"/>
              </w:rPr>
            </w:pPr>
            <w:r w:rsidRPr="006A7EB4">
              <w:rPr>
                <w:rFonts w:ascii="Arial" w:hAnsi="Arial" w:cs="Arial"/>
                <w:color w:val="000000"/>
                <w:sz w:val="18"/>
                <w:szCs w:val="18"/>
                <w:lang w:val="en-US" w:eastAsia="en-US"/>
              </w:rPr>
              <w:t>2.1</w:t>
            </w:r>
          </w:p>
        </w:tc>
      </w:tr>
      <w:tr w:rsidR="0032753B" w:rsidRPr="006A7EB4" w:rsidTr="0032753B">
        <w:trPr>
          <w:trHeight w:val="300"/>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32753B" w:rsidRPr="006A7EB4" w:rsidRDefault="0032753B" w:rsidP="006A7EB4">
            <w:pPr>
              <w:jc w:val="right"/>
              <w:rPr>
                <w:rFonts w:ascii="Arial" w:hAnsi="Arial" w:cs="Arial"/>
                <w:color w:val="000000"/>
                <w:sz w:val="18"/>
                <w:szCs w:val="18"/>
                <w:lang w:val="en-US" w:eastAsia="en-US"/>
              </w:rPr>
            </w:pPr>
            <w:r w:rsidRPr="006A7EB4">
              <w:rPr>
                <w:rFonts w:ascii="Arial" w:hAnsi="Arial" w:cs="Arial"/>
                <w:color w:val="000000"/>
                <w:sz w:val="18"/>
                <w:szCs w:val="18"/>
                <w:lang w:val="en-US" w:eastAsia="en-US"/>
              </w:rPr>
              <w:t>2008</w:t>
            </w:r>
          </w:p>
        </w:tc>
        <w:tc>
          <w:tcPr>
            <w:tcW w:w="2340" w:type="dxa"/>
            <w:tcBorders>
              <w:top w:val="nil"/>
              <w:left w:val="nil"/>
              <w:bottom w:val="single" w:sz="4" w:space="0" w:color="auto"/>
              <w:right w:val="single" w:sz="4" w:space="0" w:color="auto"/>
            </w:tcBorders>
            <w:shd w:val="clear" w:color="auto" w:fill="auto"/>
            <w:noWrap/>
            <w:vAlign w:val="bottom"/>
            <w:hideMark/>
          </w:tcPr>
          <w:p w:rsidR="0032753B" w:rsidRDefault="0032753B">
            <w:pPr>
              <w:jc w:val="right"/>
              <w:rPr>
                <w:rFonts w:ascii="Calibri" w:hAnsi="Calibri"/>
                <w:color w:val="000000"/>
                <w:sz w:val="22"/>
                <w:szCs w:val="22"/>
              </w:rPr>
            </w:pPr>
            <w:r>
              <w:rPr>
                <w:rFonts w:ascii="Calibri" w:hAnsi="Calibri"/>
                <w:color w:val="000000"/>
                <w:sz w:val="22"/>
                <w:szCs w:val="22"/>
              </w:rPr>
              <w:t>226</w:t>
            </w:r>
          </w:p>
        </w:tc>
        <w:tc>
          <w:tcPr>
            <w:tcW w:w="1710" w:type="dxa"/>
            <w:tcBorders>
              <w:top w:val="nil"/>
              <w:left w:val="nil"/>
              <w:bottom w:val="single" w:sz="4" w:space="0" w:color="auto"/>
              <w:right w:val="single" w:sz="4" w:space="0" w:color="auto"/>
            </w:tcBorders>
            <w:shd w:val="clear" w:color="auto" w:fill="auto"/>
            <w:noWrap/>
            <w:vAlign w:val="bottom"/>
            <w:hideMark/>
          </w:tcPr>
          <w:p w:rsidR="0032753B" w:rsidRPr="006A7EB4" w:rsidRDefault="0032753B" w:rsidP="006A7EB4">
            <w:pPr>
              <w:jc w:val="right"/>
              <w:rPr>
                <w:rFonts w:ascii="Arial" w:hAnsi="Arial" w:cs="Arial"/>
                <w:color w:val="000000"/>
                <w:sz w:val="18"/>
                <w:szCs w:val="18"/>
                <w:lang w:val="en-US" w:eastAsia="en-US"/>
              </w:rPr>
            </w:pPr>
            <w:r w:rsidRPr="006A7EB4">
              <w:rPr>
                <w:rFonts w:ascii="Arial" w:hAnsi="Arial" w:cs="Arial"/>
                <w:color w:val="000000"/>
                <w:sz w:val="18"/>
                <w:szCs w:val="18"/>
                <w:lang w:val="en-US" w:eastAsia="en-US"/>
              </w:rPr>
              <w:t>6.2</w:t>
            </w:r>
          </w:p>
        </w:tc>
        <w:tc>
          <w:tcPr>
            <w:tcW w:w="2430" w:type="dxa"/>
            <w:tcBorders>
              <w:top w:val="nil"/>
              <w:left w:val="nil"/>
              <w:bottom w:val="single" w:sz="4" w:space="0" w:color="auto"/>
              <w:right w:val="single" w:sz="4" w:space="0" w:color="auto"/>
            </w:tcBorders>
            <w:shd w:val="clear" w:color="auto" w:fill="auto"/>
            <w:noWrap/>
            <w:vAlign w:val="bottom"/>
            <w:hideMark/>
          </w:tcPr>
          <w:p w:rsidR="0032753B" w:rsidRDefault="0032753B">
            <w:pPr>
              <w:jc w:val="right"/>
              <w:rPr>
                <w:rFonts w:ascii="Calibri" w:hAnsi="Calibri"/>
                <w:color w:val="000000"/>
                <w:sz w:val="22"/>
                <w:szCs w:val="22"/>
              </w:rPr>
            </w:pPr>
            <w:r>
              <w:rPr>
                <w:rFonts w:ascii="Calibri" w:hAnsi="Calibri"/>
                <w:color w:val="000000"/>
                <w:sz w:val="22"/>
                <w:szCs w:val="22"/>
              </w:rPr>
              <w:t>3</w:t>
            </w:r>
          </w:p>
        </w:tc>
        <w:tc>
          <w:tcPr>
            <w:tcW w:w="1800" w:type="dxa"/>
            <w:tcBorders>
              <w:top w:val="nil"/>
              <w:left w:val="nil"/>
              <w:bottom w:val="single" w:sz="4" w:space="0" w:color="auto"/>
              <w:right w:val="single" w:sz="4" w:space="0" w:color="auto"/>
            </w:tcBorders>
            <w:shd w:val="clear" w:color="auto" w:fill="auto"/>
            <w:noWrap/>
            <w:vAlign w:val="bottom"/>
            <w:hideMark/>
          </w:tcPr>
          <w:p w:rsidR="0032753B" w:rsidRPr="006A7EB4" w:rsidRDefault="0032753B" w:rsidP="006A7EB4">
            <w:pPr>
              <w:jc w:val="right"/>
              <w:rPr>
                <w:rFonts w:ascii="Arial" w:hAnsi="Arial" w:cs="Arial"/>
                <w:color w:val="000000"/>
                <w:sz w:val="18"/>
                <w:szCs w:val="18"/>
                <w:lang w:val="en-US" w:eastAsia="en-US"/>
              </w:rPr>
            </w:pPr>
            <w:r w:rsidRPr="006A7EB4">
              <w:rPr>
                <w:rFonts w:ascii="Arial" w:hAnsi="Arial" w:cs="Arial"/>
                <w:color w:val="000000"/>
                <w:sz w:val="18"/>
                <w:szCs w:val="18"/>
                <w:lang w:val="en-US" w:eastAsia="en-US"/>
              </w:rPr>
              <w:t>0.3</w:t>
            </w:r>
          </w:p>
        </w:tc>
      </w:tr>
      <w:tr w:rsidR="0032753B" w:rsidRPr="006A7EB4" w:rsidTr="0032753B">
        <w:trPr>
          <w:trHeight w:val="300"/>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32753B" w:rsidRPr="006A7EB4" w:rsidRDefault="0032753B" w:rsidP="006A7EB4">
            <w:pPr>
              <w:jc w:val="right"/>
              <w:rPr>
                <w:rFonts w:ascii="Arial" w:hAnsi="Arial" w:cs="Arial"/>
                <w:color w:val="000000"/>
                <w:sz w:val="18"/>
                <w:szCs w:val="18"/>
                <w:lang w:val="en-US" w:eastAsia="en-US"/>
              </w:rPr>
            </w:pPr>
            <w:r w:rsidRPr="006A7EB4">
              <w:rPr>
                <w:rFonts w:ascii="Arial" w:hAnsi="Arial" w:cs="Arial"/>
                <w:color w:val="000000"/>
                <w:sz w:val="18"/>
                <w:szCs w:val="18"/>
                <w:lang w:val="en-US" w:eastAsia="en-US"/>
              </w:rPr>
              <w:t>2009</w:t>
            </w:r>
          </w:p>
        </w:tc>
        <w:tc>
          <w:tcPr>
            <w:tcW w:w="2340" w:type="dxa"/>
            <w:tcBorders>
              <w:top w:val="nil"/>
              <w:left w:val="nil"/>
              <w:bottom w:val="single" w:sz="4" w:space="0" w:color="auto"/>
              <w:right w:val="single" w:sz="4" w:space="0" w:color="auto"/>
            </w:tcBorders>
            <w:shd w:val="clear" w:color="auto" w:fill="auto"/>
            <w:noWrap/>
            <w:vAlign w:val="bottom"/>
            <w:hideMark/>
          </w:tcPr>
          <w:p w:rsidR="0032753B" w:rsidRDefault="0032753B">
            <w:pPr>
              <w:jc w:val="right"/>
              <w:rPr>
                <w:rFonts w:ascii="Calibri" w:hAnsi="Calibri"/>
                <w:color w:val="000000"/>
                <w:sz w:val="22"/>
                <w:szCs w:val="22"/>
              </w:rPr>
            </w:pPr>
            <w:r>
              <w:rPr>
                <w:rFonts w:ascii="Calibri" w:hAnsi="Calibri"/>
                <w:color w:val="000000"/>
                <w:sz w:val="22"/>
                <w:szCs w:val="22"/>
              </w:rPr>
              <w:t>197</w:t>
            </w:r>
          </w:p>
        </w:tc>
        <w:tc>
          <w:tcPr>
            <w:tcW w:w="1710" w:type="dxa"/>
            <w:tcBorders>
              <w:top w:val="nil"/>
              <w:left w:val="nil"/>
              <w:bottom w:val="single" w:sz="4" w:space="0" w:color="auto"/>
              <w:right w:val="single" w:sz="4" w:space="0" w:color="auto"/>
            </w:tcBorders>
            <w:shd w:val="clear" w:color="auto" w:fill="auto"/>
            <w:noWrap/>
            <w:vAlign w:val="bottom"/>
            <w:hideMark/>
          </w:tcPr>
          <w:p w:rsidR="0032753B" w:rsidRPr="006A7EB4" w:rsidRDefault="0032753B" w:rsidP="006A7EB4">
            <w:pPr>
              <w:jc w:val="right"/>
              <w:rPr>
                <w:rFonts w:ascii="Arial" w:hAnsi="Arial" w:cs="Arial"/>
                <w:color w:val="000000"/>
                <w:sz w:val="18"/>
                <w:szCs w:val="18"/>
                <w:lang w:val="en-US" w:eastAsia="en-US"/>
              </w:rPr>
            </w:pPr>
            <w:r w:rsidRPr="006A7EB4">
              <w:rPr>
                <w:rFonts w:ascii="Arial" w:hAnsi="Arial" w:cs="Arial"/>
                <w:color w:val="000000"/>
                <w:sz w:val="18"/>
                <w:szCs w:val="18"/>
                <w:lang w:val="en-US" w:eastAsia="en-US"/>
              </w:rPr>
              <w:t>6.0</w:t>
            </w:r>
          </w:p>
        </w:tc>
        <w:tc>
          <w:tcPr>
            <w:tcW w:w="2430" w:type="dxa"/>
            <w:tcBorders>
              <w:top w:val="nil"/>
              <w:left w:val="nil"/>
              <w:bottom w:val="single" w:sz="4" w:space="0" w:color="auto"/>
              <w:right w:val="single" w:sz="4" w:space="0" w:color="auto"/>
            </w:tcBorders>
            <w:shd w:val="clear" w:color="auto" w:fill="auto"/>
            <w:noWrap/>
            <w:vAlign w:val="bottom"/>
            <w:hideMark/>
          </w:tcPr>
          <w:p w:rsidR="0032753B" w:rsidRDefault="0032753B">
            <w:pPr>
              <w:jc w:val="right"/>
              <w:rPr>
                <w:rFonts w:ascii="Calibri" w:hAnsi="Calibri"/>
                <w:color w:val="000000"/>
                <w:sz w:val="22"/>
                <w:szCs w:val="22"/>
              </w:rPr>
            </w:pPr>
            <w:r>
              <w:rPr>
                <w:rFonts w:ascii="Calibri" w:hAnsi="Calibri"/>
                <w:color w:val="000000"/>
                <w:sz w:val="22"/>
                <w:szCs w:val="22"/>
              </w:rPr>
              <w:t>33</w:t>
            </w:r>
          </w:p>
        </w:tc>
        <w:tc>
          <w:tcPr>
            <w:tcW w:w="1800" w:type="dxa"/>
            <w:tcBorders>
              <w:top w:val="nil"/>
              <w:left w:val="nil"/>
              <w:bottom w:val="single" w:sz="4" w:space="0" w:color="auto"/>
              <w:right w:val="single" w:sz="4" w:space="0" w:color="auto"/>
            </w:tcBorders>
            <w:shd w:val="clear" w:color="auto" w:fill="auto"/>
            <w:noWrap/>
            <w:vAlign w:val="bottom"/>
            <w:hideMark/>
          </w:tcPr>
          <w:p w:rsidR="0032753B" w:rsidRPr="006A7EB4" w:rsidRDefault="0032753B" w:rsidP="006A7EB4">
            <w:pPr>
              <w:jc w:val="right"/>
              <w:rPr>
                <w:rFonts w:ascii="Arial" w:hAnsi="Arial" w:cs="Arial"/>
                <w:color w:val="000000"/>
                <w:sz w:val="18"/>
                <w:szCs w:val="18"/>
                <w:lang w:val="en-US" w:eastAsia="en-US"/>
              </w:rPr>
            </w:pPr>
            <w:r w:rsidRPr="006A7EB4">
              <w:rPr>
                <w:rFonts w:ascii="Arial" w:hAnsi="Arial" w:cs="Arial"/>
                <w:color w:val="000000"/>
                <w:sz w:val="18"/>
                <w:szCs w:val="18"/>
                <w:lang w:val="en-US" w:eastAsia="en-US"/>
              </w:rPr>
              <w:t>3.9</w:t>
            </w:r>
          </w:p>
        </w:tc>
      </w:tr>
      <w:tr w:rsidR="0032753B" w:rsidRPr="006A7EB4" w:rsidTr="0032753B">
        <w:trPr>
          <w:trHeight w:val="300"/>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32753B" w:rsidRPr="006A7EB4" w:rsidRDefault="0032753B" w:rsidP="006A7EB4">
            <w:pPr>
              <w:jc w:val="right"/>
              <w:rPr>
                <w:rFonts w:ascii="Arial" w:hAnsi="Arial" w:cs="Arial"/>
                <w:color w:val="000000"/>
                <w:sz w:val="18"/>
                <w:szCs w:val="18"/>
                <w:lang w:val="en-US" w:eastAsia="en-US"/>
              </w:rPr>
            </w:pPr>
            <w:r w:rsidRPr="006A7EB4">
              <w:rPr>
                <w:rFonts w:ascii="Arial" w:hAnsi="Arial" w:cs="Arial"/>
                <w:color w:val="000000"/>
                <w:sz w:val="18"/>
                <w:szCs w:val="18"/>
                <w:lang w:val="en-US" w:eastAsia="en-US"/>
              </w:rPr>
              <w:t>2010</w:t>
            </w:r>
          </w:p>
        </w:tc>
        <w:tc>
          <w:tcPr>
            <w:tcW w:w="2340" w:type="dxa"/>
            <w:tcBorders>
              <w:top w:val="nil"/>
              <w:left w:val="nil"/>
              <w:bottom w:val="single" w:sz="4" w:space="0" w:color="auto"/>
              <w:right w:val="single" w:sz="4" w:space="0" w:color="auto"/>
            </w:tcBorders>
            <w:shd w:val="clear" w:color="auto" w:fill="auto"/>
            <w:noWrap/>
            <w:vAlign w:val="bottom"/>
            <w:hideMark/>
          </w:tcPr>
          <w:p w:rsidR="0032753B" w:rsidRDefault="0032753B">
            <w:pPr>
              <w:jc w:val="right"/>
              <w:rPr>
                <w:rFonts w:ascii="Calibri" w:hAnsi="Calibri"/>
                <w:color w:val="000000"/>
                <w:sz w:val="22"/>
                <w:szCs w:val="22"/>
              </w:rPr>
            </w:pPr>
            <w:r>
              <w:rPr>
                <w:rFonts w:ascii="Calibri" w:hAnsi="Calibri"/>
                <w:color w:val="000000"/>
                <w:sz w:val="22"/>
                <w:szCs w:val="22"/>
              </w:rPr>
              <w:t>207</w:t>
            </w:r>
          </w:p>
        </w:tc>
        <w:tc>
          <w:tcPr>
            <w:tcW w:w="1710" w:type="dxa"/>
            <w:tcBorders>
              <w:top w:val="nil"/>
              <w:left w:val="nil"/>
              <w:bottom w:val="single" w:sz="4" w:space="0" w:color="auto"/>
              <w:right w:val="single" w:sz="4" w:space="0" w:color="auto"/>
            </w:tcBorders>
            <w:shd w:val="clear" w:color="auto" w:fill="auto"/>
            <w:noWrap/>
            <w:vAlign w:val="bottom"/>
            <w:hideMark/>
          </w:tcPr>
          <w:p w:rsidR="0032753B" w:rsidRPr="006A7EB4" w:rsidRDefault="0032753B" w:rsidP="006A7EB4">
            <w:pPr>
              <w:jc w:val="right"/>
              <w:rPr>
                <w:rFonts w:ascii="Arial" w:hAnsi="Arial" w:cs="Arial"/>
                <w:color w:val="000000"/>
                <w:sz w:val="18"/>
                <w:szCs w:val="18"/>
                <w:lang w:val="en-US" w:eastAsia="en-US"/>
              </w:rPr>
            </w:pPr>
            <w:r w:rsidRPr="006A7EB4">
              <w:rPr>
                <w:rFonts w:ascii="Arial" w:hAnsi="Arial" w:cs="Arial"/>
                <w:color w:val="000000"/>
                <w:sz w:val="18"/>
                <w:szCs w:val="18"/>
                <w:lang w:val="en-US" w:eastAsia="en-US"/>
              </w:rPr>
              <w:t>6.2</w:t>
            </w:r>
          </w:p>
        </w:tc>
        <w:tc>
          <w:tcPr>
            <w:tcW w:w="2430" w:type="dxa"/>
            <w:tcBorders>
              <w:top w:val="nil"/>
              <w:left w:val="nil"/>
              <w:bottom w:val="single" w:sz="4" w:space="0" w:color="auto"/>
              <w:right w:val="single" w:sz="4" w:space="0" w:color="auto"/>
            </w:tcBorders>
            <w:shd w:val="clear" w:color="auto" w:fill="auto"/>
            <w:noWrap/>
            <w:vAlign w:val="bottom"/>
            <w:hideMark/>
          </w:tcPr>
          <w:p w:rsidR="0032753B" w:rsidRDefault="0032753B">
            <w:pPr>
              <w:jc w:val="right"/>
              <w:rPr>
                <w:rFonts w:ascii="Calibri" w:hAnsi="Calibri"/>
                <w:color w:val="000000"/>
                <w:sz w:val="22"/>
                <w:szCs w:val="22"/>
              </w:rPr>
            </w:pPr>
            <w:r>
              <w:rPr>
                <w:rFonts w:ascii="Calibri" w:hAnsi="Calibri"/>
                <w:color w:val="000000"/>
                <w:sz w:val="22"/>
                <w:szCs w:val="22"/>
              </w:rPr>
              <w:t>29</w:t>
            </w:r>
          </w:p>
        </w:tc>
        <w:tc>
          <w:tcPr>
            <w:tcW w:w="1800" w:type="dxa"/>
            <w:tcBorders>
              <w:top w:val="nil"/>
              <w:left w:val="nil"/>
              <w:bottom w:val="single" w:sz="4" w:space="0" w:color="auto"/>
              <w:right w:val="single" w:sz="4" w:space="0" w:color="auto"/>
            </w:tcBorders>
            <w:shd w:val="clear" w:color="auto" w:fill="auto"/>
            <w:noWrap/>
            <w:vAlign w:val="bottom"/>
            <w:hideMark/>
          </w:tcPr>
          <w:p w:rsidR="0032753B" w:rsidRPr="006A7EB4" w:rsidRDefault="0032753B" w:rsidP="006A7EB4">
            <w:pPr>
              <w:jc w:val="right"/>
              <w:rPr>
                <w:rFonts w:ascii="Arial" w:hAnsi="Arial" w:cs="Arial"/>
                <w:color w:val="000000"/>
                <w:sz w:val="18"/>
                <w:szCs w:val="18"/>
                <w:lang w:val="en-US" w:eastAsia="en-US"/>
              </w:rPr>
            </w:pPr>
            <w:r w:rsidRPr="006A7EB4">
              <w:rPr>
                <w:rFonts w:ascii="Arial" w:hAnsi="Arial" w:cs="Arial"/>
                <w:color w:val="000000"/>
                <w:sz w:val="18"/>
                <w:szCs w:val="18"/>
                <w:lang w:val="en-US" w:eastAsia="en-US"/>
              </w:rPr>
              <w:t>2.9</w:t>
            </w:r>
          </w:p>
        </w:tc>
      </w:tr>
      <w:tr w:rsidR="0032753B" w:rsidRPr="006A7EB4" w:rsidTr="0032753B">
        <w:trPr>
          <w:trHeight w:val="300"/>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32753B" w:rsidRPr="006A7EB4" w:rsidRDefault="0032753B" w:rsidP="006A7EB4">
            <w:pPr>
              <w:jc w:val="right"/>
              <w:rPr>
                <w:rFonts w:ascii="Arial" w:hAnsi="Arial" w:cs="Arial"/>
                <w:color w:val="000000"/>
                <w:sz w:val="18"/>
                <w:szCs w:val="18"/>
                <w:lang w:val="en-US" w:eastAsia="en-US"/>
              </w:rPr>
            </w:pPr>
            <w:r w:rsidRPr="006A7EB4">
              <w:rPr>
                <w:rFonts w:ascii="Arial" w:hAnsi="Arial" w:cs="Arial"/>
                <w:color w:val="000000"/>
                <w:sz w:val="18"/>
                <w:szCs w:val="18"/>
                <w:lang w:val="en-US" w:eastAsia="en-US"/>
              </w:rPr>
              <w:t>2011</w:t>
            </w:r>
          </w:p>
        </w:tc>
        <w:tc>
          <w:tcPr>
            <w:tcW w:w="2340" w:type="dxa"/>
            <w:tcBorders>
              <w:top w:val="nil"/>
              <w:left w:val="nil"/>
              <w:bottom w:val="single" w:sz="4" w:space="0" w:color="auto"/>
              <w:right w:val="single" w:sz="4" w:space="0" w:color="auto"/>
            </w:tcBorders>
            <w:shd w:val="clear" w:color="auto" w:fill="auto"/>
            <w:noWrap/>
            <w:vAlign w:val="bottom"/>
            <w:hideMark/>
          </w:tcPr>
          <w:p w:rsidR="0032753B" w:rsidRDefault="0032753B">
            <w:pPr>
              <w:jc w:val="right"/>
              <w:rPr>
                <w:rFonts w:ascii="Calibri" w:hAnsi="Calibri"/>
                <w:color w:val="000000"/>
                <w:sz w:val="22"/>
                <w:szCs w:val="22"/>
              </w:rPr>
            </w:pPr>
            <w:r>
              <w:rPr>
                <w:rFonts w:ascii="Calibri" w:hAnsi="Calibri"/>
                <w:color w:val="000000"/>
                <w:sz w:val="22"/>
                <w:szCs w:val="22"/>
              </w:rPr>
              <w:t>224</w:t>
            </w:r>
          </w:p>
        </w:tc>
        <w:tc>
          <w:tcPr>
            <w:tcW w:w="1710" w:type="dxa"/>
            <w:tcBorders>
              <w:top w:val="nil"/>
              <w:left w:val="nil"/>
              <w:bottom w:val="single" w:sz="4" w:space="0" w:color="auto"/>
              <w:right w:val="single" w:sz="4" w:space="0" w:color="auto"/>
            </w:tcBorders>
            <w:shd w:val="clear" w:color="auto" w:fill="auto"/>
            <w:noWrap/>
            <w:vAlign w:val="bottom"/>
            <w:hideMark/>
          </w:tcPr>
          <w:p w:rsidR="0032753B" w:rsidRPr="006A7EB4" w:rsidRDefault="0032753B" w:rsidP="006A7EB4">
            <w:pPr>
              <w:jc w:val="right"/>
              <w:rPr>
                <w:rFonts w:ascii="Arial" w:hAnsi="Arial" w:cs="Arial"/>
                <w:color w:val="000000"/>
                <w:sz w:val="18"/>
                <w:szCs w:val="18"/>
                <w:lang w:val="en-US" w:eastAsia="en-US"/>
              </w:rPr>
            </w:pPr>
            <w:r w:rsidRPr="006A7EB4">
              <w:rPr>
                <w:rFonts w:ascii="Arial" w:hAnsi="Arial" w:cs="Arial"/>
                <w:color w:val="000000"/>
                <w:sz w:val="18"/>
                <w:szCs w:val="18"/>
                <w:lang w:val="en-US" w:eastAsia="en-US"/>
              </w:rPr>
              <w:t>6.2</w:t>
            </w:r>
          </w:p>
        </w:tc>
        <w:tc>
          <w:tcPr>
            <w:tcW w:w="2430" w:type="dxa"/>
            <w:tcBorders>
              <w:top w:val="nil"/>
              <w:left w:val="nil"/>
              <w:bottom w:val="single" w:sz="4" w:space="0" w:color="auto"/>
              <w:right w:val="single" w:sz="4" w:space="0" w:color="auto"/>
            </w:tcBorders>
            <w:shd w:val="clear" w:color="auto" w:fill="auto"/>
            <w:noWrap/>
            <w:vAlign w:val="bottom"/>
            <w:hideMark/>
          </w:tcPr>
          <w:p w:rsidR="0032753B" w:rsidRDefault="0032753B">
            <w:pPr>
              <w:jc w:val="right"/>
              <w:rPr>
                <w:rFonts w:ascii="Calibri" w:hAnsi="Calibri"/>
                <w:color w:val="000000"/>
                <w:sz w:val="22"/>
                <w:szCs w:val="22"/>
              </w:rPr>
            </w:pPr>
            <w:r>
              <w:rPr>
                <w:rFonts w:ascii="Calibri" w:hAnsi="Calibri"/>
                <w:color w:val="000000"/>
                <w:sz w:val="22"/>
                <w:szCs w:val="22"/>
              </w:rPr>
              <w:t>26</w:t>
            </w:r>
          </w:p>
        </w:tc>
        <w:tc>
          <w:tcPr>
            <w:tcW w:w="1800" w:type="dxa"/>
            <w:tcBorders>
              <w:top w:val="nil"/>
              <w:left w:val="nil"/>
              <w:bottom w:val="single" w:sz="4" w:space="0" w:color="auto"/>
              <w:right w:val="single" w:sz="4" w:space="0" w:color="auto"/>
            </w:tcBorders>
            <w:shd w:val="clear" w:color="auto" w:fill="auto"/>
            <w:noWrap/>
            <w:vAlign w:val="bottom"/>
            <w:hideMark/>
          </w:tcPr>
          <w:p w:rsidR="0032753B" w:rsidRPr="006A7EB4" w:rsidRDefault="0032753B" w:rsidP="006A7EB4">
            <w:pPr>
              <w:jc w:val="right"/>
              <w:rPr>
                <w:rFonts w:ascii="Arial" w:hAnsi="Arial" w:cs="Arial"/>
                <w:color w:val="000000"/>
                <w:sz w:val="18"/>
                <w:szCs w:val="18"/>
                <w:lang w:val="en-US" w:eastAsia="en-US"/>
              </w:rPr>
            </w:pPr>
            <w:r w:rsidRPr="006A7EB4">
              <w:rPr>
                <w:rFonts w:ascii="Arial" w:hAnsi="Arial" w:cs="Arial"/>
                <w:color w:val="000000"/>
                <w:sz w:val="18"/>
                <w:szCs w:val="18"/>
                <w:lang w:val="en-US" w:eastAsia="en-US"/>
              </w:rPr>
              <w:t>2.3</w:t>
            </w:r>
          </w:p>
        </w:tc>
      </w:tr>
      <w:tr w:rsidR="0032753B" w:rsidRPr="006A7EB4" w:rsidTr="0032753B">
        <w:trPr>
          <w:trHeight w:val="300"/>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32753B" w:rsidRPr="006A7EB4" w:rsidRDefault="0032753B" w:rsidP="006A7EB4">
            <w:pPr>
              <w:jc w:val="right"/>
              <w:rPr>
                <w:rFonts w:ascii="Arial" w:hAnsi="Arial" w:cs="Arial"/>
                <w:color w:val="000000"/>
                <w:sz w:val="18"/>
                <w:szCs w:val="18"/>
                <w:lang w:val="en-US" w:eastAsia="en-US"/>
              </w:rPr>
            </w:pPr>
            <w:r w:rsidRPr="006A7EB4">
              <w:rPr>
                <w:rFonts w:ascii="Arial" w:hAnsi="Arial" w:cs="Arial"/>
                <w:color w:val="000000"/>
                <w:sz w:val="18"/>
                <w:szCs w:val="18"/>
                <w:lang w:val="en-US" w:eastAsia="en-US"/>
              </w:rPr>
              <w:t>2012</w:t>
            </w:r>
          </w:p>
        </w:tc>
        <w:tc>
          <w:tcPr>
            <w:tcW w:w="2340" w:type="dxa"/>
            <w:tcBorders>
              <w:top w:val="nil"/>
              <w:left w:val="nil"/>
              <w:bottom w:val="single" w:sz="4" w:space="0" w:color="auto"/>
              <w:right w:val="single" w:sz="4" w:space="0" w:color="auto"/>
            </w:tcBorders>
            <w:shd w:val="clear" w:color="auto" w:fill="auto"/>
            <w:noWrap/>
            <w:vAlign w:val="bottom"/>
            <w:hideMark/>
          </w:tcPr>
          <w:p w:rsidR="0032753B" w:rsidRDefault="0032753B">
            <w:pPr>
              <w:jc w:val="right"/>
              <w:rPr>
                <w:rFonts w:ascii="Calibri" w:hAnsi="Calibri"/>
                <w:color w:val="000000"/>
                <w:sz w:val="22"/>
                <w:szCs w:val="22"/>
              </w:rPr>
            </w:pPr>
            <w:r>
              <w:rPr>
                <w:rFonts w:ascii="Calibri" w:hAnsi="Calibri"/>
                <w:color w:val="000000"/>
                <w:sz w:val="22"/>
                <w:szCs w:val="22"/>
              </w:rPr>
              <w:t>238</w:t>
            </w:r>
          </w:p>
        </w:tc>
        <w:tc>
          <w:tcPr>
            <w:tcW w:w="1710" w:type="dxa"/>
            <w:tcBorders>
              <w:top w:val="nil"/>
              <w:left w:val="nil"/>
              <w:bottom w:val="single" w:sz="4" w:space="0" w:color="auto"/>
              <w:right w:val="single" w:sz="4" w:space="0" w:color="auto"/>
            </w:tcBorders>
            <w:shd w:val="clear" w:color="auto" w:fill="auto"/>
            <w:noWrap/>
            <w:vAlign w:val="bottom"/>
            <w:hideMark/>
          </w:tcPr>
          <w:p w:rsidR="0032753B" w:rsidRPr="006A7EB4" w:rsidRDefault="0032753B" w:rsidP="006A7EB4">
            <w:pPr>
              <w:jc w:val="right"/>
              <w:rPr>
                <w:rFonts w:ascii="Arial" w:hAnsi="Arial" w:cs="Arial"/>
                <w:color w:val="000000"/>
                <w:sz w:val="18"/>
                <w:szCs w:val="18"/>
                <w:lang w:val="en-US" w:eastAsia="en-US"/>
              </w:rPr>
            </w:pPr>
            <w:r w:rsidRPr="006A7EB4">
              <w:rPr>
                <w:rFonts w:ascii="Arial" w:hAnsi="Arial" w:cs="Arial"/>
                <w:color w:val="000000"/>
                <w:sz w:val="18"/>
                <w:szCs w:val="18"/>
                <w:lang w:val="en-US" w:eastAsia="en-US"/>
              </w:rPr>
              <w:t>7.0</w:t>
            </w:r>
          </w:p>
        </w:tc>
        <w:tc>
          <w:tcPr>
            <w:tcW w:w="2430" w:type="dxa"/>
            <w:tcBorders>
              <w:top w:val="nil"/>
              <w:left w:val="nil"/>
              <w:bottom w:val="single" w:sz="4" w:space="0" w:color="auto"/>
              <w:right w:val="single" w:sz="4" w:space="0" w:color="auto"/>
            </w:tcBorders>
            <w:shd w:val="clear" w:color="auto" w:fill="auto"/>
            <w:noWrap/>
            <w:vAlign w:val="bottom"/>
            <w:hideMark/>
          </w:tcPr>
          <w:p w:rsidR="0032753B" w:rsidRDefault="0032753B">
            <w:pPr>
              <w:jc w:val="right"/>
              <w:rPr>
                <w:rFonts w:ascii="Calibri" w:hAnsi="Calibri"/>
                <w:color w:val="000000"/>
                <w:sz w:val="22"/>
                <w:szCs w:val="22"/>
              </w:rPr>
            </w:pPr>
            <w:r>
              <w:rPr>
                <w:rFonts w:ascii="Calibri" w:hAnsi="Calibri"/>
                <w:color w:val="000000"/>
                <w:sz w:val="22"/>
                <w:szCs w:val="22"/>
              </w:rPr>
              <w:t>43</w:t>
            </w:r>
          </w:p>
        </w:tc>
        <w:tc>
          <w:tcPr>
            <w:tcW w:w="1800" w:type="dxa"/>
            <w:tcBorders>
              <w:top w:val="nil"/>
              <w:left w:val="nil"/>
              <w:bottom w:val="single" w:sz="4" w:space="0" w:color="auto"/>
              <w:right w:val="single" w:sz="4" w:space="0" w:color="auto"/>
            </w:tcBorders>
            <w:shd w:val="clear" w:color="auto" w:fill="auto"/>
            <w:noWrap/>
            <w:vAlign w:val="bottom"/>
            <w:hideMark/>
          </w:tcPr>
          <w:p w:rsidR="0032753B" w:rsidRPr="006A7EB4" w:rsidRDefault="0032753B" w:rsidP="006A7EB4">
            <w:pPr>
              <w:jc w:val="right"/>
              <w:rPr>
                <w:rFonts w:ascii="Arial" w:hAnsi="Arial" w:cs="Arial"/>
                <w:color w:val="000000"/>
                <w:sz w:val="18"/>
                <w:szCs w:val="18"/>
                <w:lang w:val="en-US" w:eastAsia="en-US"/>
              </w:rPr>
            </w:pPr>
            <w:r w:rsidRPr="006A7EB4">
              <w:rPr>
                <w:rFonts w:ascii="Arial" w:hAnsi="Arial" w:cs="Arial"/>
                <w:color w:val="000000"/>
                <w:sz w:val="18"/>
                <w:szCs w:val="18"/>
                <w:lang w:val="en-US" w:eastAsia="en-US"/>
              </w:rPr>
              <w:t>3.7</w:t>
            </w:r>
            <w:r w:rsidR="00F33347">
              <w:rPr>
                <w:rFonts w:ascii="Arial" w:hAnsi="Arial" w:cs="Arial"/>
                <w:color w:val="000000"/>
                <w:sz w:val="18"/>
                <w:szCs w:val="18"/>
                <w:lang w:val="en-US" w:eastAsia="en-US"/>
              </w:rPr>
              <w:t>*</w:t>
            </w:r>
          </w:p>
        </w:tc>
      </w:tr>
    </w:tbl>
    <w:p w:rsidR="00F33347" w:rsidRDefault="002933C2" w:rsidP="00CD0E0A">
      <w:pPr>
        <w:spacing w:line="276" w:lineRule="auto"/>
        <w:rPr>
          <w:rFonts w:ascii="Arial" w:hAnsi="Arial" w:cs="Arial"/>
          <w:sz w:val="16"/>
          <w:szCs w:val="16"/>
        </w:rPr>
      </w:pPr>
      <w:r w:rsidRPr="002933C2">
        <w:rPr>
          <w:rFonts w:ascii="Arial" w:hAnsi="Arial" w:cs="Arial"/>
          <w:sz w:val="16"/>
          <w:szCs w:val="16"/>
        </w:rPr>
        <w:t>Kaynak: IMF, 2</w:t>
      </w:r>
      <w:r w:rsidR="00F33347">
        <w:rPr>
          <w:rFonts w:ascii="Arial" w:hAnsi="Arial" w:cs="Arial"/>
          <w:sz w:val="16"/>
          <w:szCs w:val="16"/>
        </w:rPr>
        <w:t xml:space="preserve">013 World Economic Outlook. </w:t>
      </w:r>
    </w:p>
    <w:p w:rsidR="000149C0" w:rsidRPr="002933C2" w:rsidRDefault="00F33347" w:rsidP="00CD0E0A">
      <w:pPr>
        <w:spacing w:line="276" w:lineRule="auto"/>
        <w:rPr>
          <w:rFonts w:ascii="Arial" w:hAnsi="Arial" w:cs="Arial"/>
          <w:sz w:val="16"/>
          <w:szCs w:val="16"/>
        </w:rPr>
      </w:pPr>
      <w:r>
        <w:rPr>
          <w:rFonts w:ascii="Arial" w:hAnsi="Arial" w:cs="Arial"/>
          <w:sz w:val="16"/>
          <w:szCs w:val="16"/>
        </w:rPr>
        <w:t>*Rakamlar IMF</w:t>
      </w:r>
      <w:r w:rsidR="002933C2" w:rsidRPr="002933C2">
        <w:rPr>
          <w:rFonts w:ascii="Arial" w:hAnsi="Arial" w:cs="Arial"/>
          <w:sz w:val="16"/>
          <w:szCs w:val="16"/>
        </w:rPr>
        <w:t xml:space="preserve"> tahminidir.</w:t>
      </w:r>
    </w:p>
    <w:sectPr w:rsidR="000149C0" w:rsidRPr="002933C2" w:rsidSect="00497F6D">
      <w:footerReference w:type="default" r:id="rId14"/>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0745" w:rsidRDefault="008E0745">
      <w:r>
        <w:separator/>
      </w:r>
    </w:p>
  </w:endnote>
  <w:endnote w:type="continuationSeparator" w:id="1">
    <w:p w:rsidR="008E0745" w:rsidRDefault="008E07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Narrow">
    <w:panose1 w:val="020B05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E01" w:rsidRDefault="00DC7E01" w:rsidP="00D71619">
    <w:pPr>
      <w:pStyle w:val="Footer"/>
      <w:ind w:right="360"/>
      <w:jc w:val="center"/>
      <w:rPr>
        <w:rFonts w:ascii="Arial Narrow" w:hAnsi="Arial Narrow" w:cs="Arial Narrow"/>
        <w:b/>
        <w:bCs/>
        <w:i/>
        <w:iCs/>
      </w:rPr>
    </w:pPr>
    <w:r>
      <w:rPr>
        <w:rFonts w:ascii="Arial Narrow" w:hAnsi="Arial Narrow" w:cs="Arial Narrow"/>
        <w:b/>
        <w:bCs/>
        <w:i/>
        <w:iCs/>
      </w:rPr>
      <w:t>www.betam.bahcesehir.edu.tr</w:t>
    </w:r>
  </w:p>
  <w:p w:rsidR="00DC7E01" w:rsidRDefault="00DC7E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0745" w:rsidRDefault="008E0745">
      <w:r>
        <w:separator/>
      </w:r>
    </w:p>
  </w:footnote>
  <w:footnote w:type="continuationSeparator" w:id="1">
    <w:p w:rsidR="008E0745" w:rsidRDefault="008E0745">
      <w:r>
        <w:continuationSeparator/>
      </w:r>
    </w:p>
  </w:footnote>
  <w:footnote w:id="2">
    <w:p w:rsidR="00DC7E01" w:rsidRDefault="00DC7E01" w:rsidP="00016575">
      <w:pPr>
        <w:pStyle w:val="FootnoteText"/>
      </w:pPr>
      <w:r w:rsidRPr="004543D7">
        <w:rPr>
          <w:rStyle w:val="FootnoteReference"/>
          <w:rFonts w:ascii="Arial" w:hAnsi="Arial" w:cs="Arial"/>
          <w:b/>
          <w:bCs/>
          <w:sz w:val="16"/>
          <w:szCs w:val="16"/>
        </w:rPr>
        <w:t>*</w:t>
      </w:r>
      <w:r w:rsidRPr="004543D7">
        <w:rPr>
          <w:rFonts w:ascii="Arial" w:hAnsi="Arial" w:cs="Arial"/>
          <w:b/>
          <w:bCs/>
          <w:sz w:val="16"/>
          <w:szCs w:val="16"/>
        </w:rPr>
        <w:t xml:space="preserve"> </w:t>
      </w:r>
      <w:r w:rsidRPr="004543D7">
        <w:rPr>
          <w:rFonts w:ascii="Arial" w:hAnsi="Arial" w:cs="Arial"/>
          <w:sz w:val="16"/>
          <w:szCs w:val="16"/>
        </w:rPr>
        <w:t xml:space="preserve">Prof. Dr. Seyfettin Gürsel, </w:t>
      </w:r>
      <w:r w:rsidRPr="00855C78">
        <w:rPr>
          <w:rFonts w:ascii="Arial" w:hAnsi="Arial" w:cs="Arial"/>
          <w:sz w:val="16"/>
          <w:szCs w:val="16"/>
        </w:rPr>
        <w:t>Betam</w:t>
      </w:r>
      <w:r>
        <w:rPr>
          <w:rFonts w:ascii="Arial" w:hAnsi="Arial" w:cs="Arial"/>
          <w:sz w:val="16"/>
          <w:szCs w:val="16"/>
        </w:rPr>
        <w:t xml:space="preserve">, Direktör.  </w:t>
      </w:r>
      <w:hyperlink r:id="rId1" w:history="1">
        <w:r w:rsidRPr="00791C54">
          <w:rPr>
            <w:rStyle w:val="Hyperlink"/>
            <w:rFonts w:ascii="Arial" w:hAnsi="Arial" w:cs="Arial"/>
            <w:sz w:val="16"/>
            <w:szCs w:val="16"/>
          </w:rPr>
          <w:t>seyfettin.gursel@bahcesehir.edu.tr</w:t>
        </w:r>
      </w:hyperlink>
      <w:r>
        <w:rPr>
          <w:rFonts w:ascii="Arial" w:hAnsi="Arial" w:cs="Arial"/>
          <w:sz w:val="16"/>
          <w:szCs w:val="16"/>
        </w:rPr>
        <w:t xml:space="preserve">   </w:t>
      </w:r>
    </w:p>
  </w:footnote>
  <w:footnote w:id="3">
    <w:p w:rsidR="00DC7E01" w:rsidRPr="00016575" w:rsidRDefault="00DC7E01" w:rsidP="00016575">
      <w:pPr>
        <w:pStyle w:val="FootnoteText"/>
        <w:rPr>
          <w:rFonts w:ascii="Arial" w:hAnsi="Arial" w:cs="Arial"/>
          <w:sz w:val="16"/>
          <w:szCs w:val="16"/>
        </w:rPr>
      </w:pPr>
      <w:r w:rsidRPr="00016575">
        <w:rPr>
          <w:rFonts w:ascii="Arial" w:hAnsi="Arial" w:cs="Arial"/>
          <w:sz w:val="16"/>
          <w:szCs w:val="16"/>
        </w:rPr>
        <w:t>* Dr. Zümrüt İmamoğ</w:t>
      </w:r>
      <w:r>
        <w:rPr>
          <w:rFonts w:ascii="Arial" w:hAnsi="Arial" w:cs="Arial"/>
          <w:sz w:val="16"/>
          <w:szCs w:val="16"/>
        </w:rPr>
        <w:t>lu, Betam, Uzman Araştırmacı.</w:t>
      </w:r>
      <w:r w:rsidRPr="00016575">
        <w:rPr>
          <w:rFonts w:ascii="Arial" w:hAnsi="Arial" w:cs="Arial"/>
          <w:sz w:val="16"/>
          <w:szCs w:val="16"/>
        </w:rPr>
        <w:t xml:space="preserve">   </w:t>
      </w:r>
      <w:hyperlink r:id="rId2" w:history="1">
        <w:r w:rsidRPr="00016575">
          <w:rPr>
            <w:rStyle w:val="Hyperlink"/>
            <w:rFonts w:ascii="Arial" w:hAnsi="Arial" w:cs="Arial"/>
            <w:sz w:val="16"/>
            <w:szCs w:val="16"/>
          </w:rPr>
          <w:t>zumrut.imamoglu@bahcesehir.edu.tr</w:t>
        </w:r>
      </w:hyperlink>
    </w:p>
    <w:p w:rsidR="00DC7E01" w:rsidRDefault="00DC7E01" w:rsidP="00016575">
      <w:pPr>
        <w:pStyle w:val="FootnoteText"/>
        <w:rPr>
          <w:rFonts w:ascii="Arial" w:hAnsi="Arial" w:cs="Arial"/>
          <w:sz w:val="16"/>
          <w:szCs w:val="16"/>
        </w:rPr>
      </w:pPr>
      <w:r w:rsidRPr="00016575">
        <w:rPr>
          <w:rFonts w:ascii="Arial" w:hAnsi="Arial" w:cs="Arial"/>
          <w:sz w:val="16"/>
          <w:szCs w:val="16"/>
          <w:vertAlign w:val="superscript"/>
        </w:rPr>
        <w:t xml:space="preserve">† </w:t>
      </w:r>
      <w:r w:rsidRPr="00016575">
        <w:rPr>
          <w:rFonts w:ascii="Arial" w:hAnsi="Arial" w:cs="Arial"/>
          <w:sz w:val="16"/>
          <w:szCs w:val="16"/>
        </w:rPr>
        <w:t>Barış Soybilg</w:t>
      </w:r>
      <w:r>
        <w:rPr>
          <w:rFonts w:ascii="Arial" w:hAnsi="Arial" w:cs="Arial"/>
          <w:sz w:val="16"/>
          <w:szCs w:val="16"/>
        </w:rPr>
        <w:t>en, Betam, Araştırma Görevlisi.</w:t>
      </w:r>
      <w:r w:rsidRPr="00016575">
        <w:rPr>
          <w:rFonts w:ascii="Arial" w:hAnsi="Arial" w:cs="Arial"/>
          <w:sz w:val="16"/>
          <w:szCs w:val="16"/>
        </w:rPr>
        <w:t xml:space="preserve">  </w:t>
      </w:r>
      <w:hyperlink r:id="rId3" w:history="1">
        <w:r w:rsidRPr="00016575">
          <w:rPr>
            <w:rStyle w:val="Hyperlink"/>
            <w:rFonts w:ascii="Arial" w:hAnsi="Arial" w:cs="Arial"/>
            <w:sz w:val="16"/>
            <w:szCs w:val="16"/>
          </w:rPr>
          <w:t>baris.soybilgen@bahcesehir.edu.tr</w:t>
        </w:r>
      </w:hyperlink>
    </w:p>
    <w:p w:rsidR="00DC7E01" w:rsidRPr="00016575" w:rsidRDefault="00DC7E01" w:rsidP="00016575">
      <w:pPr>
        <w:pStyle w:val="FootnoteText"/>
        <w:rPr>
          <w:rFonts w:ascii="Arial" w:hAnsi="Arial" w:cs="Arial"/>
          <w:sz w:val="16"/>
          <w:szCs w:val="16"/>
        </w:rPr>
      </w:pPr>
    </w:p>
    <w:p w:rsidR="00DC7E01" w:rsidRDefault="00DC7E01" w:rsidP="00016575">
      <w:pPr>
        <w:pStyle w:val="FootnoteText"/>
      </w:pPr>
      <w:r w:rsidRPr="00CD0E0A">
        <w:rPr>
          <w:rStyle w:val="FootnoteReference"/>
          <w:rFonts w:ascii="Arial" w:hAnsi="Arial" w:cs="Arial"/>
          <w:sz w:val="16"/>
          <w:szCs w:val="16"/>
        </w:rPr>
        <w:footnoteRef/>
      </w:r>
      <w:r w:rsidRPr="00CD0E0A">
        <w:rPr>
          <w:rFonts w:ascii="Arial" w:hAnsi="Arial" w:cs="Arial"/>
          <w:sz w:val="16"/>
          <w:szCs w:val="16"/>
        </w:rPr>
        <w:t xml:space="preserve"> 2011’de cari açık finansmanı ağırlıklı olarak </w:t>
      </w:r>
      <w:r>
        <w:rPr>
          <w:rFonts w:ascii="Arial" w:hAnsi="Arial" w:cs="Arial"/>
          <w:sz w:val="16"/>
          <w:szCs w:val="16"/>
        </w:rPr>
        <w:t xml:space="preserve">kısa vadeli sermaye girişleri ile finanse edildi. Ülkeye 65 milyar dolar sermaye girişi olurken Merkez Bankası rezervleri yaklaşık 2 milyar dolar azaldı. Bu dönemde net hata ve noksan 9,4 milyar doları buldu. Doğrudan yatırımların sermaye girişleri içerisindeki payı yüzde 20 iken, portfolyo yatırımları sermaye girişlerinin üçte birini oluşturdu. </w:t>
      </w:r>
    </w:p>
  </w:footnote>
  <w:footnote w:id="4">
    <w:p w:rsidR="00DC7E01" w:rsidRDefault="00DC7E01" w:rsidP="00134560">
      <w:pPr>
        <w:pStyle w:val="FootnoteText"/>
      </w:pPr>
      <w:r w:rsidRPr="00CD0E0A">
        <w:rPr>
          <w:rStyle w:val="FootnoteReference"/>
          <w:rFonts w:ascii="Arial" w:hAnsi="Arial" w:cs="Arial"/>
          <w:sz w:val="16"/>
          <w:szCs w:val="16"/>
        </w:rPr>
        <w:footnoteRef/>
      </w:r>
      <w:r w:rsidRPr="00CD0E0A">
        <w:rPr>
          <w:rFonts w:ascii="Arial" w:hAnsi="Arial" w:cs="Arial"/>
          <w:sz w:val="16"/>
          <w:szCs w:val="16"/>
        </w:rPr>
        <w:t xml:space="preserve"> Ekim 2012 Orta Vadeli Programının rakamları erken tahminlere dayanıyor. 2012 yılı nihai gerçekleşmeler farklı oldu. Cari açık 47,4 milyar dolara, cari açık oranı da yüzde 6’ya geriledi.</w:t>
      </w:r>
    </w:p>
  </w:footnote>
  <w:footnote w:id="5">
    <w:p w:rsidR="00DC7E01" w:rsidRDefault="00DC7E01">
      <w:pPr>
        <w:pStyle w:val="FootnoteText"/>
      </w:pPr>
      <w:r>
        <w:rPr>
          <w:rStyle w:val="FootnoteReference"/>
        </w:rPr>
        <w:footnoteRef/>
      </w:r>
      <w:r>
        <w:t xml:space="preserve"> Rakamlar GSYH ve net ihracatın GSYH’a oranı serileri Hodrick-Prescott filtresinden geçirilerek elde edilen trendden gösterilen sapmalar arasındaki korelasyon katsayısını göstermektedir.</w:t>
      </w:r>
    </w:p>
  </w:footnote>
  <w:footnote w:id="6">
    <w:p w:rsidR="00DC7E01" w:rsidRDefault="00DC7E01">
      <w:pPr>
        <w:pStyle w:val="FootnoteText"/>
      </w:pPr>
      <w:r>
        <w:rPr>
          <w:rStyle w:val="FootnoteReference"/>
        </w:rPr>
        <w:footnoteRef/>
      </w:r>
      <w:r>
        <w:t xml:space="preserve"> </w:t>
      </w:r>
      <w:r w:rsidRPr="005B6FA1">
        <w:t>Kaynak: Aguiar, M. And Gopinath, G. 2007, "Emerging Market Business Cycles: The Cycle is the Trend" Journal of Political Economy, Vol 115, No. 1.</w:t>
      </w:r>
    </w:p>
  </w:footnote>
  <w:footnote w:id="7">
    <w:p w:rsidR="00DC7E01" w:rsidRDefault="00DC7E01" w:rsidP="00CD0E0A">
      <w:pPr>
        <w:pStyle w:val="FootnoteText"/>
        <w:spacing w:line="276" w:lineRule="auto"/>
      </w:pPr>
      <w:r w:rsidRPr="00CD0E0A">
        <w:rPr>
          <w:rStyle w:val="FootnoteReference"/>
          <w:rFonts w:ascii="Arial" w:hAnsi="Arial" w:cs="Arial"/>
          <w:sz w:val="16"/>
          <w:szCs w:val="16"/>
        </w:rPr>
        <w:footnoteRef/>
      </w:r>
      <w:r w:rsidRPr="00CD0E0A">
        <w:rPr>
          <w:rFonts w:ascii="Arial" w:hAnsi="Arial" w:cs="Arial"/>
          <w:sz w:val="16"/>
          <w:szCs w:val="16"/>
        </w:rPr>
        <w:t xml:space="preserve"> Türkiye için sürdürülebilir cari açık oranı tartışmalı bir konu. Bu oranın düzeyi önemli ölçüde cari açığın finansman kaynaklarının niteliğine bağlı. </w:t>
      </w:r>
      <w:r>
        <w:rPr>
          <w:rFonts w:ascii="Arial" w:hAnsi="Arial" w:cs="Arial"/>
          <w:sz w:val="16"/>
          <w:szCs w:val="16"/>
        </w:rPr>
        <w:t>2012’de</w:t>
      </w:r>
      <w:r w:rsidRPr="00CD0E0A">
        <w:rPr>
          <w:rFonts w:ascii="Arial" w:hAnsi="Arial" w:cs="Arial"/>
          <w:sz w:val="16"/>
          <w:szCs w:val="16"/>
        </w:rPr>
        <w:t xml:space="preserve"> cari açığın ancak </w:t>
      </w:r>
      <w:r>
        <w:rPr>
          <w:rFonts w:ascii="Arial" w:hAnsi="Arial" w:cs="Arial"/>
          <w:sz w:val="16"/>
          <w:szCs w:val="16"/>
        </w:rPr>
        <w:t>yüzde 13</w:t>
      </w:r>
      <w:r w:rsidRPr="00CD0E0A">
        <w:rPr>
          <w:rFonts w:ascii="Arial" w:hAnsi="Arial" w:cs="Arial"/>
          <w:sz w:val="16"/>
          <w:szCs w:val="16"/>
        </w:rPr>
        <w:t>ü</w:t>
      </w:r>
      <w:r>
        <w:rPr>
          <w:rFonts w:ascii="Arial" w:hAnsi="Arial" w:cs="Arial"/>
          <w:sz w:val="16"/>
          <w:szCs w:val="16"/>
        </w:rPr>
        <w:t xml:space="preserve"> </w:t>
      </w:r>
      <w:r w:rsidRPr="00CD0E0A">
        <w:rPr>
          <w:rFonts w:ascii="Arial" w:hAnsi="Arial" w:cs="Arial"/>
          <w:sz w:val="16"/>
          <w:szCs w:val="16"/>
        </w:rPr>
        <w:t>doğrudan yabancı sermaye girişleri ile finanse edild</w:t>
      </w:r>
      <w:r>
        <w:rPr>
          <w:rFonts w:ascii="Arial" w:hAnsi="Arial" w:cs="Arial"/>
          <w:sz w:val="16"/>
          <w:szCs w:val="16"/>
        </w:rPr>
        <w:t>i</w:t>
      </w:r>
      <w:r w:rsidRPr="00CD0E0A">
        <w:rPr>
          <w:rFonts w:ascii="Arial" w:hAnsi="Arial" w:cs="Arial"/>
          <w:sz w:val="16"/>
          <w:szCs w:val="16"/>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E21133"/>
    <w:multiLevelType w:val="hybridMultilevel"/>
    <w:tmpl w:val="032E4BBC"/>
    <w:lvl w:ilvl="0" w:tplc="041F000F">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rsids>
    <w:rsidRoot w:val="0071593F"/>
    <w:rsid w:val="00000E6B"/>
    <w:rsid w:val="00002090"/>
    <w:rsid w:val="000034BB"/>
    <w:rsid w:val="00006FCD"/>
    <w:rsid w:val="000119EE"/>
    <w:rsid w:val="00013C6B"/>
    <w:rsid w:val="000149C0"/>
    <w:rsid w:val="00016575"/>
    <w:rsid w:val="00016E94"/>
    <w:rsid w:val="0002752D"/>
    <w:rsid w:val="00032556"/>
    <w:rsid w:val="00032B32"/>
    <w:rsid w:val="00041BBE"/>
    <w:rsid w:val="000522E9"/>
    <w:rsid w:val="00052417"/>
    <w:rsid w:val="00060787"/>
    <w:rsid w:val="00076215"/>
    <w:rsid w:val="00083666"/>
    <w:rsid w:val="00091E4B"/>
    <w:rsid w:val="0009680F"/>
    <w:rsid w:val="000A404B"/>
    <w:rsid w:val="000A52F2"/>
    <w:rsid w:val="000A6A44"/>
    <w:rsid w:val="000B4B30"/>
    <w:rsid w:val="000B689A"/>
    <w:rsid w:val="000C36BD"/>
    <w:rsid w:val="000C66C9"/>
    <w:rsid w:val="000D1FA2"/>
    <w:rsid w:val="000D597A"/>
    <w:rsid w:val="000D76C8"/>
    <w:rsid w:val="000E1005"/>
    <w:rsid w:val="000E417E"/>
    <w:rsid w:val="000F2DA0"/>
    <w:rsid w:val="000F503A"/>
    <w:rsid w:val="000F6CF3"/>
    <w:rsid w:val="000F772A"/>
    <w:rsid w:val="001021EF"/>
    <w:rsid w:val="00102B0E"/>
    <w:rsid w:val="00103F6C"/>
    <w:rsid w:val="00105AD3"/>
    <w:rsid w:val="00111087"/>
    <w:rsid w:val="00124DAA"/>
    <w:rsid w:val="00125AAE"/>
    <w:rsid w:val="001273B5"/>
    <w:rsid w:val="0013182E"/>
    <w:rsid w:val="0013365D"/>
    <w:rsid w:val="00134560"/>
    <w:rsid w:val="00134C51"/>
    <w:rsid w:val="001359AE"/>
    <w:rsid w:val="00135C1E"/>
    <w:rsid w:val="00136FF2"/>
    <w:rsid w:val="001370BF"/>
    <w:rsid w:val="001439FA"/>
    <w:rsid w:val="00144582"/>
    <w:rsid w:val="001548B8"/>
    <w:rsid w:val="0015611D"/>
    <w:rsid w:val="00162186"/>
    <w:rsid w:val="001755F5"/>
    <w:rsid w:val="001763DE"/>
    <w:rsid w:val="00176986"/>
    <w:rsid w:val="00177D25"/>
    <w:rsid w:val="00182AB8"/>
    <w:rsid w:val="001847A7"/>
    <w:rsid w:val="001870A7"/>
    <w:rsid w:val="001873F2"/>
    <w:rsid w:val="00191C92"/>
    <w:rsid w:val="001957FF"/>
    <w:rsid w:val="00196536"/>
    <w:rsid w:val="001975E8"/>
    <w:rsid w:val="001A1811"/>
    <w:rsid w:val="001A207F"/>
    <w:rsid w:val="001B07E5"/>
    <w:rsid w:val="001B0985"/>
    <w:rsid w:val="001C4247"/>
    <w:rsid w:val="001C4468"/>
    <w:rsid w:val="001C63AD"/>
    <w:rsid w:val="001D05E0"/>
    <w:rsid w:val="001D2944"/>
    <w:rsid w:val="001D2F26"/>
    <w:rsid w:val="001D5A62"/>
    <w:rsid w:val="001E0D9E"/>
    <w:rsid w:val="001E6122"/>
    <w:rsid w:val="001E61A2"/>
    <w:rsid w:val="001E61E7"/>
    <w:rsid w:val="001E7016"/>
    <w:rsid w:val="001F029F"/>
    <w:rsid w:val="001F0EC6"/>
    <w:rsid w:val="001F29EF"/>
    <w:rsid w:val="001F35FA"/>
    <w:rsid w:val="001F605B"/>
    <w:rsid w:val="001F6566"/>
    <w:rsid w:val="00202BE6"/>
    <w:rsid w:val="00221BAF"/>
    <w:rsid w:val="002236E9"/>
    <w:rsid w:val="00225CDC"/>
    <w:rsid w:val="0023403E"/>
    <w:rsid w:val="002426AD"/>
    <w:rsid w:val="00252D43"/>
    <w:rsid w:val="00253B8A"/>
    <w:rsid w:val="00257289"/>
    <w:rsid w:val="00257A9B"/>
    <w:rsid w:val="002644D0"/>
    <w:rsid w:val="0026673A"/>
    <w:rsid w:val="0026735C"/>
    <w:rsid w:val="00267703"/>
    <w:rsid w:val="002933C2"/>
    <w:rsid w:val="00294600"/>
    <w:rsid w:val="002A393B"/>
    <w:rsid w:val="002A6925"/>
    <w:rsid w:val="002B1CE5"/>
    <w:rsid w:val="002B616A"/>
    <w:rsid w:val="002B6B79"/>
    <w:rsid w:val="002C2C5C"/>
    <w:rsid w:val="002C5C48"/>
    <w:rsid w:val="002D4587"/>
    <w:rsid w:val="002D6FA8"/>
    <w:rsid w:val="002D7D8C"/>
    <w:rsid w:val="002F0EF1"/>
    <w:rsid w:val="002F575D"/>
    <w:rsid w:val="0030122C"/>
    <w:rsid w:val="003014F1"/>
    <w:rsid w:val="003041BE"/>
    <w:rsid w:val="003053E9"/>
    <w:rsid w:val="00306810"/>
    <w:rsid w:val="0030699B"/>
    <w:rsid w:val="003117FE"/>
    <w:rsid w:val="003139E9"/>
    <w:rsid w:val="00315528"/>
    <w:rsid w:val="00315CF3"/>
    <w:rsid w:val="00322870"/>
    <w:rsid w:val="00323648"/>
    <w:rsid w:val="003241C4"/>
    <w:rsid w:val="0032753B"/>
    <w:rsid w:val="00332317"/>
    <w:rsid w:val="00334624"/>
    <w:rsid w:val="00335F0E"/>
    <w:rsid w:val="0034487F"/>
    <w:rsid w:val="0034505D"/>
    <w:rsid w:val="00354232"/>
    <w:rsid w:val="0035657E"/>
    <w:rsid w:val="003567F8"/>
    <w:rsid w:val="00357775"/>
    <w:rsid w:val="00357949"/>
    <w:rsid w:val="00371945"/>
    <w:rsid w:val="003749F5"/>
    <w:rsid w:val="00375BC9"/>
    <w:rsid w:val="00377BED"/>
    <w:rsid w:val="003835E0"/>
    <w:rsid w:val="00385651"/>
    <w:rsid w:val="00387CD0"/>
    <w:rsid w:val="0039194E"/>
    <w:rsid w:val="003957CD"/>
    <w:rsid w:val="003A0534"/>
    <w:rsid w:val="003A18F1"/>
    <w:rsid w:val="003A18F3"/>
    <w:rsid w:val="003A3176"/>
    <w:rsid w:val="003A7EFD"/>
    <w:rsid w:val="003B255B"/>
    <w:rsid w:val="003B25A8"/>
    <w:rsid w:val="003B6687"/>
    <w:rsid w:val="003B74F5"/>
    <w:rsid w:val="003C4365"/>
    <w:rsid w:val="003C50F7"/>
    <w:rsid w:val="003E0F9A"/>
    <w:rsid w:val="003E36E7"/>
    <w:rsid w:val="003E6422"/>
    <w:rsid w:val="003F239A"/>
    <w:rsid w:val="003F45B6"/>
    <w:rsid w:val="0040032E"/>
    <w:rsid w:val="00403359"/>
    <w:rsid w:val="00403F27"/>
    <w:rsid w:val="004045FA"/>
    <w:rsid w:val="00405883"/>
    <w:rsid w:val="00410D61"/>
    <w:rsid w:val="00421DFE"/>
    <w:rsid w:val="004224EA"/>
    <w:rsid w:val="0042384D"/>
    <w:rsid w:val="00424519"/>
    <w:rsid w:val="0043158A"/>
    <w:rsid w:val="004370F5"/>
    <w:rsid w:val="00442B5D"/>
    <w:rsid w:val="00442F00"/>
    <w:rsid w:val="00443CB4"/>
    <w:rsid w:val="00447891"/>
    <w:rsid w:val="004543D7"/>
    <w:rsid w:val="00454A89"/>
    <w:rsid w:val="00457716"/>
    <w:rsid w:val="00461497"/>
    <w:rsid w:val="004620F8"/>
    <w:rsid w:val="004637C4"/>
    <w:rsid w:val="00467F14"/>
    <w:rsid w:val="00470E7F"/>
    <w:rsid w:val="004724FA"/>
    <w:rsid w:val="004734E3"/>
    <w:rsid w:val="004870BF"/>
    <w:rsid w:val="004902E4"/>
    <w:rsid w:val="004925F4"/>
    <w:rsid w:val="00497F6D"/>
    <w:rsid w:val="004A2788"/>
    <w:rsid w:val="004A4193"/>
    <w:rsid w:val="004A6638"/>
    <w:rsid w:val="004B0430"/>
    <w:rsid w:val="004B3712"/>
    <w:rsid w:val="004B6AEF"/>
    <w:rsid w:val="004B6E43"/>
    <w:rsid w:val="004D402F"/>
    <w:rsid w:val="004E4A3F"/>
    <w:rsid w:val="004F0AC2"/>
    <w:rsid w:val="004F3118"/>
    <w:rsid w:val="004F6E1B"/>
    <w:rsid w:val="004F7379"/>
    <w:rsid w:val="00507395"/>
    <w:rsid w:val="005120FF"/>
    <w:rsid w:val="00514215"/>
    <w:rsid w:val="005204A1"/>
    <w:rsid w:val="005255C3"/>
    <w:rsid w:val="0052737D"/>
    <w:rsid w:val="00532935"/>
    <w:rsid w:val="00532A1D"/>
    <w:rsid w:val="00544EB6"/>
    <w:rsid w:val="0054660C"/>
    <w:rsid w:val="0054798A"/>
    <w:rsid w:val="00557017"/>
    <w:rsid w:val="00560820"/>
    <w:rsid w:val="00564A3D"/>
    <w:rsid w:val="0056520E"/>
    <w:rsid w:val="00570AC8"/>
    <w:rsid w:val="00575966"/>
    <w:rsid w:val="00582938"/>
    <w:rsid w:val="005913CF"/>
    <w:rsid w:val="005951A0"/>
    <w:rsid w:val="005A09B2"/>
    <w:rsid w:val="005A6242"/>
    <w:rsid w:val="005B0BCC"/>
    <w:rsid w:val="005B1BDB"/>
    <w:rsid w:val="005B2936"/>
    <w:rsid w:val="005B6E2C"/>
    <w:rsid w:val="005B6FA1"/>
    <w:rsid w:val="005C2315"/>
    <w:rsid w:val="005C2A0E"/>
    <w:rsid w:val="005C65CF"/>
    <w:rsid w:val="005D0F10"/>
    <w:rsid w:val="005D2661"/>
    <w:rsid w:val="005E297E"/>
    <w:rsid w:val="005E2D04"/>
    <w:rsid w:val="005E52BE"/>
    <w:rsid w:val="00611409"/>
    <w:rsid w:val="00615BDA"/>
    <w:rsid w:val="00624200"/>
    <w:rsid w:val="0062653E"/>
    <w:rsid w:val="00632112"/>
    <w:rsid w:val="006325D9"/>
    <w:rsid w:val="006333AC"/>
    <w:rsid w:val="00634E1E"/>
    <w:rsid w:val="00635738"/>
    <w:rsid w:val="00635DB7"/>
    <w:rsid w:val="00636631"/>
    <w:rsid w:val="006374C2"/>
    <w:rsid w:val="00637A58"/>
    <w:rsid w:val="0064011D"/>
    <w:rsid w:val="00650C7A"/>
    <w:rsid w:val="006625C6"/>
    <w:rsid w:val="0066464B"/>
    <w:rsid w:val="00670E7C"/>
    <w:rsid w:val="006760B6"/>
    <w:rsid w:val="006765B5"/>
    <w:rsid w:val="00690118"/>
    <w:rsid w:val="006930A6"/>
    <w:rsid w:val="006957A7"/>
    <w:rsid w:val="00697FE7"/>
    <w:rsid w:val="006A0611"/>
    <w:rsid w:val="006A2586"/>
    <w:rsid w:val="006A7EB4"/>
    <w:rsid w:val="006B3DB8"/>
    <w:rsid w:val="006B73B5"/>
    <w:rsid w:val="006C1854"/>
    <w:rsid w:val="006C3F5A"/>
    <w:rsid w:val="006C625F"/>
    <w:rsid w:val="006D4413"/>
    <w:rsid w:val="006F5398"/>
    <w:rsid w:val="00713A29"/>
    <w:rsid w:val="00715509"/>
    <w:rsid w:val="0071593F"/>
    <w:rsid w:val="00725222"/>
    <w:rsid w:val="007348C9"/>
    <w:rsid w:val="007354B2"/>
    <w:rsid w:val="007370A4"/>
    <w:rsid w:val="00740816"/>
    <w:rsid w:val="00744D55"/>
    <w:rsid w:val="00746649"/>
    <w:rsid w:val="00746A2D"/>
    <w:rsid w:val="007527FF"/>
    <w:rsid w:val="00753295"/>
    <w:rsid w:val="00761E72"/>
    <w:rsid w:val="007634AE"/>
    <w:rsid w:val="007717E5"/>
    <w:rsid w:val="00773D4F"/>
    <w:rsid w:val="00774037"/>
    <w:rsid w:val="00774188"/>
    <w:rsid w:val="00774851"/>
    <w:rsid w:val="00777EBA"/>
    <w:rsid w:val="00791C54"/>
    <w:rsid w:val="00791D5D"/>
    <w:rsid w:val="00794E21"/>
    <w:rsid w:val="007A07E4"/>
    <w:rsid w:val="007A0CED"/>
    <w:rsid w:val="007A2DB9"/>
    <w:rsid w:val="007A2EBC"/>
    <w:rsid w:val="007A5337"/>
    <w:rsid w:val="007A5C22"/>
    <w:rsid w:val="007C44FE"/>
    <w:rsid w:val="007C6516"/>
    <w:rsid w:val="007C6EC3"/>
    <w:rsid w:val="007D0853"/>
    <w:rsid w:val="007D11B7"/>
    <w:rsid w:val="007D50D6"/>
    <w:rsid w:val="007D53A3"/>
    <w:rsid w:val="007D6496"/>
    <w:rsid w:val="007D7390"/>
    <w:rsid w:val="007E55DD"/>
    <w:rsid w:val="007F0864"/>
    <w:rsid w:val="008036C6"/>
    <w:rsid w:val="00805170"/>
    <w:rsid w:val="008075B4"/>
    <w:rsid w:val="008221E0"/>
    <w:rsid w:val="0082547A"/>
    <w:rsid w:val="00830BD9"/>
    <w:rsid w:val="00831BB5"/>
    <w:rsid w:val="0083403B"/>
    <w:rsid w:val="00837896"/>
    <w:rsid w:val="00843483"/>
    <w:rsid w:val="008436D0"/>
    <w:rsid w:val="008452B3"/>
    <w:rsid w:val="00845C8F"/>
    <w:rsid w:val="00847DD4"/>
    <w:rsid w:val="00855C78"/>
    <w:rsid w:val="00856E08"/>
    <w:rsid w:val="00861D7B"/>
    <w:rsid w:val="00861F4A"/>
    <w:rsid w:val="00862624"/>
    <w:rsid w:val="00866223"/>
    <w:rsid w:val="00873D6A"/>
    <w:rsid w:val="008745E7"/>
    <w:rsid w:val="00874695"/>
    <w:rsid w:val="00882430"/>
    <w:rsid w:val="008875FA"/>
    <w:rsid w:val="00890376"/>
    <w:rsid w:val="0089265E"/>
    <w:rsid w:val="008944EC"/>
    <w:rsid w:val="00894EB1"/>
    <w:rsid w:val="00896F7A"/>
    <w:rsid w:val="0089780A"/>
    <w:rsid w:val="008A07C6"/>
    <w:rsid w:val="008A1E30"/>
    <w:rsid w:val="008A1EE0"/>
    <w:rsid w:val="008A569F"/>
    <w:rsid w:val="008B3943"/>
    <w:rsid w:val="008B5270"/>
    <w:rsid w:val="008B7543"/>
    <w:rsid w:val="008C5F0A"/>
    <w:rsid w:val="008C625D"/>
    <w:rsid w:val="008D5660"/>
    <w:rsid w:val="008E0745"/>
    <w:rsid w:val="008E560F"/>
    <w:rsid w:val="008F34EF"/>
    <w:rsid w:val="008F5348"/>
    <w:rsid w:val="0090139D"/>
    <w:rsid w:val="00916641"/>
    <w:rsid w:val="00921F60"/>
    <w:rsid w:val="00923221"/>
    <w:rsid w:val="0092401E"/>
    <w:rsid w:val="00930F9B"/>
    <w:rsid w:val="009358BB"/>
    <w:rsid w:val="00940E56"/>
    <w:rsid w:val="00945B67"/>
    <w:rsid w:val="009505E9"/>
    <w:rsid w:val="00953D4A"/>
    <w:rsid w:val="009744F2"/>
    <w:rsid w:val="0097696D"/>
    <w:rsid w:val="00980C16"/>
    <w:rsid w:val="00981054"/>
    <w:rsid w:val="0098152A"/>
    <w:rsid w:val="009816AE"/>
    <w:rsid w:val="009857F0"/>
    <w:rsid w:val="00993CD7"/>
    <w:rsid w:val="009A27E1"/>
    <w:rsid w:val="009A78BF"/>
    <w:rsid w:val="009A7EF5"/>
    <w:rsid w:val="009B3B29"/>
    <w:rsid w:val="009B4E48"/>
    <w:rsid w:val="009B7029"/>
    <w:rsid w:val="009C2685"/>
    <w:rsid w:val="009C26C6"/>
    <w:rsid w:val="009C2CBE"/>
    <w:rsid w:val="009C7C93"/>
    <w:rsid w:val="009D489C"/>
    <w:rsid w:val="009D56F6"/>
    <w:rsid w:val="009D6B5E"/>
    <w:rsid w:val="009E0150"/>
    <w:rsid w:val="009E2FD9"/>
    <w:rsid w:val="009E39A6"/>
    <w:rsid w:val="009E75E5"/>
    <w:rsid w:val="009F2A0D"/>
    <w:rsid w:val="009F4206"/>
    <w:rsid w:val="00A077CE"/>
    <w:rsid w:val="00A119D4"/>
    <w:rsid w:val="00A13B53"/>
    <w:rsid w:val="00A22CE0"/>
    <w:rsid w:val="00A31490"/>
    <w:rsid w:val="00A319FE"/>
    <w:rsid w:val="00A32D17"/>
    <w:rsid w:val="00A331AA"/>
    <w:rsid w:val="00A379F9"/>
    <w:rsid w:val="00A4427F"/>
    <w:rsid w:val="00A452F8"/>
    <w:rsid w:val="00A46257"/>
    <w:rsid w:val="00A46E9C"/>
    <w:rsid w:val="00A521C2"/>
    <w:rsid w:val="00A52E2B"/>
    <w:rsid w:val="00A60392"/>
    <w:rsid w:val="00A61246"/>
    <w:rsid w:val="00A64FA7"/>
    <w:rsid w:val="00A72000"/>
    <w:rsid w:val="00A746CE"/>
    <w:rsid w:val="00A75A8F"/>
    <w:rsid w:val="00A75B4F"/>
    <w:rsid w:val="00A76FFB"/>
    <w:rsid w:val="00A857D6"/>
    <w:rsid w:val="00A86D19"/>
    <w:rsid w:val="00A9100A"/>
    <w:rsid w:val="00A929CD"/>
    <w:rsid w:val="00A93357"/>
    <w:rsid w:val="00A94579"/>
    <w:rsid w:val="00AB3AC2"/>
    <w:rsid w:val="00AC027E"/>
    <w:rsid w:val="00AC324B"/>
    <w:rsid w:val="00AC711B"/>
    <w:rsid w:val="00AC72D4"/>
    <w:rsid w:val="00AD0EE5"/>
    <w:rsid w:val="00AD1DA7"/>
    <w:rsid w:val="00AE01B4"/>
    <w:rsid w:val="00AF204D"/>
    <w:rsid w:val="00AF4924"/>
    <w:rsid w:val="00AF7F9B"/>
    <w:rsid w:val="00B13CB1"/>
    <w:rsid w:val="00B14712"/>
    <w:rsid w:val="00B16CCC"/>
    <w:rsid w:val="00B22C71"/>
    <w:rsid w:val="00B27814"/>
    <w:rsid w:val="00B33CEE"/>
    <w:rsid w:val="00B34491"/>
    <w:rsid w:val="00B40910"/>
    <w:rsid w:val="00B4531B"/>
    <w:rsid w:val="00B5231A"/>
    <w:rsid w:val="00B53064"/>
    <w:rsid w:val="00B75467"/>
    <w:rsid w:val="00B80A94"/>
    <w:rsid w:val="00B811DE"/>
    <w:rsid w:val="00B83D65"/>
    <w:rsid w:val="00B9414E"/>
    <w:rsid w:val="00BA2A4B"/>
    <w:rsid w:val="00BB3CFA"/>
    <w:rsid w:val="00BB5CDC"/>
    <w:rsid w:val="00BB7AB4"/>
    <w:rsid w:val="00BD2826"/>
    <w:rsid w:val="00BD562C"/>
    <w:rsid w:val="00BD6886"/>
    <w:rsid w:val="00BE39A4"/>
    <w:rsid w:val="00BF0C7E"/>
    <w:rsid w:val="00BF6BD3"/>
    <w:rsid w:val="00C02B55"/>
    <w:rsid w:val="00C07469"/>
    <w:rsid w:val="00C07C2C"/>
    <w:rsid w:val="00C13260"/>
    <w:rsid w:val="00C16623"/>
    <w:rsid w:val="00C167EA"/>
    <w:rsid w:val="00C170A3"/>
    <w:rsid w:val="00C220BA"/>
    <w:rsid w:val="00C26AE3"/>
    <w:rsid w:val="00C3386D"/>
    <w:rsid w:val="00C41887"/>
    <w:rsid w:val="00C41DBD"/>
    <w:rsid w:val="00C428B1"/>
    <w:rsid w:val="00C43619"/>
    <w:rsid w:val="00C458E3"/>
    <w:rsid w:val="00C47F2E"/>
    <w:rsid w:val="00C56960"/>
    <w:rsid w:val="00C62E15"/>
    <w:rsid w:val="00C70D37"/>
    <w:rsid w:val="00C75A88"/>
    <w:rsid w:val="00C80B75"/>
    <w:rsid w:val="00C8325D"/>
    <w:rsid w:val="00C8703F"/>
    <w:rsid w:val="00CA04F7"/>
    <w:rsid w:val="00CA4CE9"/>
    <w:rsid w:val="00CA68A6"/>
    <w:rsid w:val="00CB042A"/>
    <w:rsid w:val="00CB2B54"/>
    <w:rsid w:val="00CB4228"/>
    <w:rsid w:val="00CB5628"/>
    <w:rsid w:val="00CC45BA"/>
    <w:rsid w:val="00CC4A23"/>
    <w:rsid w:val="00CD0E0A"/>
    <w:rsid w:val="00CD12FD"/>
    <w:rsid w:val="00CD1FA5"/>
    <w:rsid w:val="00CD5CE7"/>
    <w:rsid w:val="00CE14D3"/>
    <w:rsid w:val="00CE6172"/>
    <w:rsid w:val="00CE7B6D"/>
    <w:rsid w:val="00CF649E"/>
    <w:rsid w:val="00CF7BC3"/>
    <w:rsid w:val="00D03E1A"/>
    <w:rsid w:val="00D05C57"/>
    <w:rsid w:val="00D110E8"/>
    <w:rsid w:val="00D21456"/>
    <w:rsid w:val="00D230EF"/>
    <w:rsid w:val="00D45292"/>
    <w:rsid w:val="00D5352B"/>
    <w:rsid w:val="00D55CF4"/>
    <w:rsid w:val="00D57160"/>
    <w:rsid w:val="00D612B9"/>
    <w:rsid w:val="00D65F77"/>
    <w:rsid w:val="00D66A48"/>
    <w:rsid w:val="00D70BE2"/>
    <w:rsid w:val="00D7159F"/>
    <w:rsid w:val="00D71619"/>
    <w:rsid w:val="00D72910"/>
    <w:rsid w:val="00D73636"/>
    <w:rsid w:val="00D73798"/>
    <w:rsid w:val="00D819B0"/>
    <w:rsid w:val="00D91397"/>
    <w:rsid w:val="00D97269"/>
    <w:rsid w:val="00DA2565"/>
    <w:rsid w:val="00DA6B98"/>
    <w:rsid w:val="00DA7754"/>
    <w:rsid w:val="00DA7C6C"/>
    <w:rsid w:val="00DB34F7"/>
    <w:rsid w:val="00DC1CE3"/>
    <w:rsid w:val="00DC57A3"/>
    <w:rsid w:val="00DC772F"/>
    <w:rsid w:val="00DC7E01"/>
    <w:rsid w:val="00DE02B6"/>
    <w:rsid w:val="00DE6555"/>
    <w:rsid w:val="00DF0911"/>
    <w:rsid w:val="00DF7E71"/>
    <w:rsid w:val="00E00D21"/>
    <w:rsid w:val="00E01BDC"/>
    <w:rsid w:val="00E023B1"/>
    <w:rsid w:val="00E029EF"/>
    <w:rsid w:val="00E1018E"/>
    <w:rsid w:val="00E136D6"/>
    <w:rsid w:val="00E13765"/>
    <w:rsid w:val="00E13B96"/>
    <w:rsid w:val="00E14B1F"/>
    <w:rsid w:val="00E16A91"/>
    <w:rsid w:val="00E20489"/>
    <w:rsid w:val="00E258F8"/>
    <w:rsid w:val="00E31159"/>
    <w:rsid w:val="00E325BF"/>
    <w:rsid w:val="00E4533D"/>
    <w:rsid w:val="00E5438A"/>
    <w:rsid w:val="00E61EF5"/>
    <w:rsid w:val="00E6451C"/>
    <w:rsid w:val="00E70551"/>
    <w:rsid w:val="00E72FCF"/>
    <w:rsid w:val="00E7600B"/>
    <w:rsid w:val="00E7691A"/>
    <w:rsid w:val="00E94E98"/>
    <w:rsid w:val="00EA0A4D"/>
    <w:rsid w:val="00EA1FE4"/>
    <w:rsid w:val="00EA4CDF"/>
    <w:rsid w:val="00EB09C5"/>
    <w:rsid w:val="00EB3573"/>
    <w:rsid w:val="00EB565A"/>
    <w:rsid w:val="00EC4AFB"/>
    <w:rsid w:val="00ED12E9"/>
    <w:rsid w:val="00ED130E"/>
    <w:rsid w:val="00ED1363"/>
    <w:rsid w:val="00ED63D5"/>
    <w:rsid w:val="00ED722D"/>
    <w:rsid w:val="00ED79AA"/>
    <w:rsid w:val="00EE5C18"/>
    <w:rsid w:val="00EF10EA"/>
    <w:rsid w:val="00F021B9"/>
    <w:rsid w:val="00F0429F"/>
    <w:rsid w:val="00F0495C"/>
    <w:rsid w:val="00F250C0"/>
    <w:rsid w:val="00F25844"/>
    <w:rsid w:val="00F261AB"/>
    <w:rsid w:val="00F30B8B"/>
    <w:rsid w:val="00F31381"/>
    <w:rsid w:val="00F315DC"/>
    <w:rsid w:val="00F329D1"/>
    <w:rsid w:val="00F33347"/>
    <w:rsid w:val="00F41665"/>
    <w:rsid w:val="00F42052"/>
    <w:rsid w:val="00F47198"/>
    <w:rsid w:val="00F544E9"/>
    <w:rsid w:val="00F579CA"/>
    <w:rsid w:val="00F65F04"/>
    <w:rsid w:val="00F67A95"/>
    <w:rsid w:val="00F77E14"/>
    <w:rsid w:val="00F83CAC"/>
    <w:rsid w:val="00F846BC"/>
    <w:rsid w:val="00F87863"/>
    <w:rsid w:val="00F94B63"/>
    <w:rsid w:val="00F9676D"/>
    <w:rsid w:val="00FA4026"/>
    <w:rsid w:val="00FB0B39"/>
    <w:rsid w:val="00FB4062"/>
    <w:rsid w:val="00FC12F6"/>
    <w:rsid w:val="00FC391E"/>
    <w:rsid w:val="00FC3C6B"/>
    <w:rsid w:val="00FC4D25"/>
    <w:rsid w:val="00FC7B3F"/>
    <w:rsid w:val="00FD3A04"/>
    <w:rsid w:val="00FE0AD4"/>
    <w:rsid w:val="00FE3ECD"/>
    <w:rsid w:val="00FE53CA"/>
    <w:rsid w:val="00FE6801"/>
    <w:rsid w:val="00FF3361"/>
    <w:rsid w:val="00FF63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798"/>
    <w:rPr>
      <w:sz w:val="24"/>
      <w:szCs w:val="24"/>
      <w:lang w:val="tr-TR" w:eastAsia="tr-TR"/>
    </w:rPr>
  </w:style>
  <w:style w:type="paragraph" w:styleId="Heading1">
    <w:name w:val="heading 1"/>
    <w:basedOn w:val="Normal"/>
    <w:next w:val="Normal"/>
    <w:link w:val="Heading1Char"/>
    <w:uiPriority w:val="99"/>
    <w:qFormat/>
    <w:rsid w:val="00497F6D"/>
    <w:pPr>
      <w:keepNext/>
      <w:outlineLvl w:val="0"/>
    </w:pPr>
    <w:rPr>
      <w:sz w:val="48"/>
      <w:szCs w:val="48"/>
      <w:lang w:eastAsia="en-US"/>
    </w:rPr>
  </w:style>
  <w:style w:type="paragraph" w:styleId="Heading2">
    <w:name w:val="heading 2"/>
    <w:basedOn w:val="Normal"/>
    <w:next w:val="Normal"/>
    <w:link w:val="Heading2Char"/>
    <w:uiPriority w:val="99"/>
    <w:qFormat/>
    <w:rsid w:val="00497F6D"/>
    <w:pPr>
      <w:keepNext/>
      <w:outlineLvl w:val="1"/>
    </w:pPr>
    <w:rPr>
      <w:color w:val="FFFFFF"/>
      <w:sz w:val="32"/>
      <w:szCs w:val="32"/>
      <w:lang w:val="en-US" w:eastAsia="en-US"/>
    </w:rPr>
  </w:style>
  <w:style w:type="paragraph" w:styleId="Heading3">
    <w:name w:val="heading 3"/>
    <w:basedOn w:val="Normal"/>
    <w:next w:val="Normal"/>
    <w:link w:val="Heading3Char"/>
    <w:uiPriority w:val="99"/>
    <w:qFormat/>
    <w:rsid w:val="00D71619"/>
    <w:pPr>
      <w:keepNext/>
      <w:outlineLvl w:val="2"/>
    </w:pPr>
    <w:rPr>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3182E"/>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13182E"/>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13182E"/>
    <w:rPr>
      <w:rFonts w:ascii="Cambria" w:hAnsi="Cambria" w:cs="Cambria"/>
      <w:b/>
      <w:bCs/>
      <w:sz w:val="26"/>
      <w:szCs w:val="26"/>
    </w:rPr>
  </w:style>
  <w:style w:type="table" w:styleId="TableContemporary">
    <w:name w:val="Table Contemporary"/>
    <w:basedOn w:val="TableNormal"/>
    <w:uiPriority w:val="99"/>
    <w:rsid w:val="00CD12FD"/>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FootnoteText">
    <w:name w:val="footnote text"/>
    <w:basedOn w:val="Normal"/>
    <w:link w:val="FootnoteTextChar"/>
    <w:uiPriority w:val="99"/>
    <w:semiHidden/>
    <w:rsid w:val="00052417"/>
    <w:rPr>
      <w:sz w:val="20"/>
      <w:szCs w:val="20"/>
    </w:rPr>
  </w:style>
  <w:style w:type="character" w:customStyle="1" w:styleId="FootnoteTextChar">
    <w:name w:val="Footnote Text Char"/>
    <w:basedOn w:val="DefaultParagraphFont"/>
    <w:link w:val="FootnoteText"/>
    <w:uiPriority w:val="99"/>
    <w:semiHidden/>
    <w:locked/>
    <w:rsid w:val="00134560"/>
  </w:style>
  <w:style w:type="character" w:styleId="FootnoteReference">
    <w:name w:val="footnote reference"/>
    <w:basedOn w:val="DefaultParagraphFont"/>
    <w:uiPriority w:val="99"/>
    <w:semiHidden/>
    <w:rsid w:val="00052417"/>
    <w:rPr>
      <w:vertAlign w:val="superscript"/>
    </w:rPr>
  </w:style>
  <w:style w:type="paragraph" w:styleId="Caption">
    <w:name w:val="caption"/>
    <w:basedOn w:val="Normal"/>
    <w:next w:val="Normal"/>
    <w:uiPriority w:val="99"/>
    <w:qFormat/>
    <w:rsid w:val="0056520E"/>
    <w:rPr>
      <w:b/>
      <w:bCs/>
      <w:sz w:val="20"/>
      <w:szCs w:val="20"/>
    </w:rPr>
  </w:style>
  <w:style w:type="paragraph" w:styleId="BalloonText">
    <w:name w:val="Balloon Text"/>
    <w:basedOn w:val="Normal"/>
    <w:link w:val="BalloonTextChar"/>
    <w:uiPriority w:val="99"/>
    <w:semiHidden/>
    <w:rsid w:val="0056520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3182E"/>
    <w:rPr>
      <w:sz w:val="2"/>
      <w:szCs w:val="2"/>
    </w:rPr>
  </w:style>
  <w:style w:type="paragraph" w:styleId="Header">
    <w:name w:val="header"/>
    <w:basedOn w:val="Normal"/>
    <w:link w:val="HeaderChar"/>
    <w:uiPriority w:val="99"/>
    <w:rsid w:val="00D71619"/>
    <w:pPr>
      <w:tabs>
        <w:tab w:val="center" w:pos="4536"/>
        <w:tab w:val="right" w:pos="9072"/>
      </w:tabs>
    </w:pPr>
  </w:style>
  <w:style w:type="character" w:customStyle="1" w:styleId="HeaderChar">
    <w:name w:val="Header Char"/>
    <w:basedOn w:val="DefaultParagraphFont"/>
    <w:link w:val="Header"/>
    <w:uiPriority w:val="99"/>
    <w:semiHidden/>
    <w:locked/>
    <w:rsid w:val="0013182E"/>
    <w:rPr>
      <w:sz w:val="24"/>
      <w:szCs w:val="24"/>
    </w:rPr>
  </w:style>
  <w:style w:type="paragraph" w:styleId="Footer">
    <w:name w:val="footer"/>
    <w:basedOn w:val="Normal"/>
    <w:link w:val="FooterChar"/>
    <w:uiPriority w:val="99"/>
    <w:rsid w:val="00D71619"/>
    <w:pPr>
      <w:tabs>
        <w:tab w:val="center" w:pos="4536"/>
        <w:tab w:val="right" w:pos="9072"/>
      </w:tabs>
    </w:pPr>
  </w:style>
  <w:style w:type="character" w:customStyle="1" w:styleId="FooterChar">
    <w:name w:val="Footer Char"/>
    <w:basedOn w:val="DefaultParagraphFont"/>
    <w:link w:val="Footer"/>
    <w:uiPriority w:val="99"/>
    <w:locked/>
    <w:rsid w:val="0013182E"/>
    <w:rPr>
      <w:sz w:val="24"/>
      <w:szCs w:val="24"/>
    </w:rPr>
  </w:style>
  <w:style w:type="character" w:styleId="Hyperlink">
    <w:name w:val="Hyperlink"/>
    <w:basedOn w:val="DefaultParagraphFont"/>
    <w:uiPriority w:val="99"/>
    <w:rsid w:val="00016575"/>
    <w:rPr>
      <w:color w:val="0000FF"/>
      <w:u w:val="single"/>
    </w:rPr>
  </w:style>
</w:styles>
</file>

<file path=word/webSettings.xml><?xml version="1.0" encoding="utf-8"?>
<w:webSettings xmlns:r="http://schemas.openxmlformats.org/officeDocument/2006/relationships" xmlns:w="http://schemas.openxmlformats.org/wordprocessingml/2006/main">
  <w:divs>
    <w:div w:id="317922442">
      <w:bodyDiv w:val="1"/>
      <w:marLeft w:val="0"/>
      <w:marRight w:val="0"/>
      <w:marTop w:val="0"/>
      <w:marBottom w:val="0"/>
      <w:divBdr>
        <w:top w:val="none" w:sz="0" w:space="0" w:color="auto"/>
        <w:left w:val="none" w:sz="0" w:space="0" w:color="auto"/>
        <w:bottom w:val="none" w:sz="0" w:space="0" w:color="auto"/>
        <w:right w:val="none" w:sz="0" w:space="0" w:color="auto"/>
      </w:divBdr>
    </w:div>
    <w:div w:id="140556734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mailto:baris.soybilgen@bahcesehir.edu.tr" TargetMode="External"/><Relationship Id="rId2" Type="http://schemas.openxmlformats.org/officeDocument/2006/relationships/hyperlink" Target="mailto:zumrut.imamoglu@bahcesehir.edu.tr" TargetMode="External"/><Relationship Id="rId1" Type="http://schemas.openxmlformats.org/officeDocument/2006/relationships/hyperlink" Target="mailto:seyfettin.gursel@bahcesehir.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2130</Words>
  <Characters>12146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GİRİŞ</vt:lpstr>
    </vt:vector>
  </TitlesOfParts>
  <Company>unv</Company>
  <LinksUpToDate>false</LinksUpToDate>
  <CharactersWithSpaces>14248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GİRİŞ</dc:title>
  <dc:subject/>
  <dc:creator>nazan.sak</dc:creator>
  <cp:keywords/>
  <dc:description/>
  <cp:lastModifiedBy>baris.soybilgen</cp:lastModifiedBy>
  <cp:revision>2</cp:revision>
  <cp:lastPrinted>2010-03-10T07:15:00Z</cp:lastPrinted>
  <dcterms:created xsi:type="dcterms:W3CDTF">2013-04-29T07:03:00Z</dcterms:created>
  <dcterms:modified xsi:type="dcterms:W3CDTF">2013-04-29T07:03:00Z</dcterms:modified>
</cp:coreProperties>
</file>