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16" w:rsidRDefault="00DD1F50" w:rsidP="001E4BF5">
      <w:pPr>
        <w:spacing w:line="360" w:lineRule="auto"/>
        <w:ind w:right="-319"/>
        <w:jc w:val="center"/>
        <w:outlineLvl w:val="0"/>
        <w:rPr>
          <w:rFonts w:ascii="Arial" w:hAnsi="Arial" w:cs="Arial"/>
          <w:b/>
          <w:bCs/>
          <w:sz w:val="32"/>
          <w:szCs w:val="32"/>
        </w:rPr>
      </w:pPr>
      <w:r w:rsidRPr="00DD1F50">
        <w:rPr>
          <w:noProof/>
        </w:rPr>
        <w:pict>
          <v:shapetype id="_x0000_t202" coordsize="21600,21600" o:spt="202" path="m,l,21600r21600,l21600,xe">
            <v:stroke joinstyle="miter"/>
            <v:path gradientshapeok="t" o:connecttype="rect"/>
          </v:shapetype>
          <v:shape id="_x0000_s1026" type="#_x0000_t202" style="position:absolute;left:0;text-align:left;margin-left:108pt;margin-top:-36pt;width:306pt;height:36pt;z-index:251657728;mso-wrap-distance-left:9.05pt;mso-wrap-distance-right:9.05pt" stroked="f">
            <v:fill opacity="0" color2="black"/>
            <v:textbox style="mso-next-textbox:#_x0000_s1026" inset="0,0,0,0">
              <w:txbxContent>
                <w:p w:rsidR="00EE4861" w:rsidRPr="00526178" w:rsidRDefault="00EE4861" w:rsidP="000A234F">
                  <w:pPr>
                    <w:pStyle w:val="Heading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Pr>
                      <w:rFonts w:ascii="Times New Roman" w:hAnsi="Times New Roman" w:cs="Times New Roman"/>
                      <w:sz w:val="52"/>
                      <w:szCs w:val="52"/>
                    </w:rPr>
                    <w:t>13/145</w:t>
                  </w:r>
                </w:p>
                <w:p w:rsidR="00EE4861" w:rsidRPr="00BD3D6F" w:rsidRDefault="00EE4861" w:rsidP="000A234F">
                  <w:pPr>
                    <w:pStyle w:val="Heading2"/>
                    <w:rPr>
                      <w:b w:val="0"/>
                      <w:bCs w:val="0"/>
                      <w:i w:val="0"/>
                      <w:iCs w:val="0"/>
                      <w:lang w:val="nl-NL"/>
                    </w:rPr>
                  </w:pPr>
                </w:p>
              </w:txbxContent>
            </v:textbox>
          </v:shape>
        </w:pict>
      </w:r>
      <w:r w:rsidR="00BC4180">
        <w:rPr>
          <w:noProof/>
          <w:lang w:val="en-US" w:eastAsia="en-US"/>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6858000" cy="1261745"/>
                    </a:xfrm>
                    <a:prstGeom prst="rect">
                      <a:avLst/>
                    </a:prstGeom>
                    <a:noFill/>
                  </pic:spPr>
                </pic:pic>
              </a:graphicData>
            </a:graphic>
          </wp:anchor>
        </w:drawing>
      </w:r>
    </w:p>
    <w:p w:rsidR="00954216" w:rsidRDefault="00DD1F50" w:rsidP="001E4BF5">
      <w:pPr>
        <w:spacing w:line="360" w:lineRule="auto"/>
        <w:ind w:right="-319"/>
        <w:jc w:val="center"/>
        <w:outlineLvl w:val="0"/>
        <w:rPr>
          <w:rFonts w:ascii="Arial" w:hAnsi="Arial" w:cs="Arial"/>
          <w:b/>
          <w:bCs/>
          <w:sz w:val="32"/>
          <w:szCs w:val="32"/>
        </w:rPr>
      </w:pPr>
      <w:r w:rsidRPr="00DD1F50">
        <w:rPr>
          <w:noProof/>
        </w:rPr>
        <w:lastRenderedPageBreak/>
        <w:pict>
          <v:shape id="_x0000_s1028" type="#_x0000_t202" style="position:absolute;left:0;text-align:left;margin-left:191.95pt;margin-top:18pt;width:68pt;height:27.45pt;z-index:251656704;mso-wrap-distance-left:9.05pt;mso-wrap-distance-right:9.05pt" stroked="f">
            <v:fill opacity="0" color2="black"/>
            <v:textbox style="mso-next-textbox:#_x0000_s1028" inset="0,0,0,0">
              <w:txbxContent>
                <w:p w:rsidR="00EE4861" w:rsidRPr="0015586B" w:rsidRDefault="00EE4861" w:rsidP="00024559">
                  <w:pPr>
                    <w:pStyle w:val="Heading3"/>
                    <w:rPr>
                      <w:color w:val="FFFFFF"/>
                      <w:sz w:val="22"/>
                      <w:szCs w:val="22"/>
                      <w:lang w:val="tr-TR"/>
                    </w:rPr>
                  </w:pPr>
                  <w:r>
                    <w:rPr>
                      <w:color w:val="FFFFFF"/>
                      <w:sz w:val="22"/>
                      <w:szCs w:val="22"/>
                      <w:lang w:val="tr-TR"/>
                    </w:rPr>
                    <w:t>28.03.2013</w:t>
                  </w:r>
                </w:p>
                <w:p w:rsidR="00EE4861" w:rsidRDefault="00EE4861" w:rsidP="00024559"/>
              </w:txbxContent>
            </v:textbox>
          </v:shape>
        </w:pict>
      </w:r>
    </w:p>
    <w:p w:rsidR="00954216" w:rsidRDefault="00954216" w:rsidP="001E4BF5">
      <w:pPr>
        <w:spacing w:line="360" w:lineRule="auto"/>
        <w:ind w:right="-319"/>
        <w:jc w:val="center"/>
        <w:outlineLvl w:val="0"/>
        <w:rPr>
          <w:rFonts w:ascii="Arial" w:hAnsi="Arial" w:cs="Arial"/>
          <w:b/>
          <w:bCs/>
          <w:sz w:val="32"/>
          <w:szCs w:val="32"/>
        </w:rPr>
        <w:sectPr w:rsidR="00954216" w:rsidSect="00357ECC">
          <w:footerReference w:type="default" r:id="rId9"/>
          <w:pgSz w:w="11906" w:h="16838"/>
          <w:pgMar w:top="1417" w:right="1417" w:bottom="1417" w:left="1417" w:header="708" w:footer="708" w:gutter="0"/>
          <w:cols w:num="2" w:space="708" w:equalWidth="0">
            <w:col w:w="4182" w:space="708"/>
            <w:col w:w="4182"/>
          </w:cols>
          <w:docGrid w:linePitch="360"/>
        </w:sectPr>
      </w:pPr>
    </w:p>
    <w:p w:rsidR="00954216" w:rsidRDefault="00954216" w:rsidP="001E4BF5">
      <w:pPr>
        <w:spacing w:line="360" w:lineRule="auto"/>
        <w:ind w:right="-319"/>
        <w:outlineLvl w:val="0"/>
        <w:rPr>
          <w:rFonts w:ascii="Arial" w:hAnsi="Arial" w:cs="Arial"/>
          <w:b/>
          <w:bCs/>
          <w:sz w:val="32"/>
          <w:szCs w:val="32"/>
        </w:rPr>
      </w:pPr>
    </w:p>
    <w:p w:rsidR="00954216" w:rsidRPr="00403B2F" w:rsidRDefault="00954216" w:rsidP="000A234F">
      <w:pPr>
        <w:spacing w:line="288" w:lineRule="auto"/>
        <w:ind w:right="-319"/>
        <w:jc w:val="center"/>
        <w:outlineLvl w:val="0"/>
        <w:rPr>
          <w:rFonts w:ascii="Arial" w:hAnsi="Arial" w:cs="Arial"/>
          <w:b/>
          <w:bCs/>
          <w:sz w:val="20"/>
          <w:szCs w:val="20"/>
        </w:rPr>
      </w:pPr>
    </w:p>
    <w:p w:rsidR="00954216" w:rsidRPr="000A234F" w:rsidRDefault="00954216" w:rsidP="000A234F">
      <w:pPr>
        <w:spacing w:line="288" w:lineRule="auto"/>
        <w:ind w:right="-319"/>
        <w:jc w:val="center"/>
        <w:outlineLvl w:val="0"/>
        <w:rPr>
          <w:rFonts w:ascii="Arial" w:hAnsi="Arial" w:cs="Arial"/>
          <w:b/>
          <w:bCs/>
          <w:sz w:val="32"/>
          <w:szCs w:val="32"/>
        </w:rPr>
      </w:pPr>
      <w:r>
        <w:rPr>
          <w:rFonts w:ascii="Arial" w:hAnsi="Arial" w:cs="Arial"/>
          <w:b/>
          <w:bCs/>
          <w:sz w:val="32"/>
          <w:szCs w:val="32"/>
        </w:rPr>
        <w:t xml:space="preserve">2012’de İhracatı Altın Sırtladı </w:t>
      </w:r>
    </w:p>
    <w:p w:rsidR="00954216" w:rsidRPr="00E702BA" w:rsidRDefault="00954216" w:rsidP="00D837A8">
      <w:pPr>
        <w:spacing w:line="360" w:lineRule="auto"/>
        <w:ind w:right="-319"/>
        <w:jc w:val="center"/>
        <w:outlineLvl w:val="0"/>
        <w:rPr>
          <w:rFonts w:ascii="Arial" w:hAnsi="Arial" w:cs="Arial"/>
          <w:b/>
          <w:bCs/>
          <w:caps/>
        </w:rPr>
      </w:pPr>
    </w:p>
    <w:p w:rsidR="00954216" w:rsidRDefault="00954216" w:rsidP="00D837A8">
      <w:pPr>
        <w:spacing w:line="360" w:lineRule="auto"/>
        <w:ind w:right="-319"/>
        <w:jc w:val="center"/>
        <w:outlineLvl w:val="0"/>
        <w:rPr>
          <w:rFonts w:ascii="Arial" w:hAnsi="Arial" w:cs="Arial"/>
          <w:b/>
          <w:bCs/>
          <w:sz w:val="22"/>
          <w:szCs w:val="22"/>
        </w:rPr>
      </w:pPr>
      <w:r>
        <w:rPr>
          <w:rFonts w:ascii="Arial" w:hAnsi="Arial" w:cs="Arial"/>
          <w:b/>
          <w:bCs/>
          <w:sz w:val="22"/>
          <w:szCs w:val="22"/>
        </w:rPr>
        <w:t>Barış Soybilgen*</w:t>
      </w:r>
    </w:p>
    <w:p w:rsidR="00954216" w:rsidRDefault="00954216" w:rsidP="00BB5688">
      <w:pPr>
        <w:spacing w:line="360" w:lineRule="auto"/>
        <w:ind w:right="-319"/>
        <w:outlineLvl w:val="0"/>
        <w:rPr>
          <w:rFonts w:ascii="Arial" w:hAnsi="Arial" w:cs="Arial"/>
          <w:sz w:val="22"/>
          <w:szCs w:val="22"/>
          <w:vertAlign w:val="superscript"/>
        </w:rPr>
      </w:pPr>
    </w:p>
    <w:p w:rsidR="00954216" w:rsidRPr="004A7FE6" w:rsidRDefault="00954216" w:rsidP="00D837A8">
      <w:pPr>
        <w:spacing w:line="360" w:lineRule="auto"/>
        <w:ind w:right="-319"/>
        <w:jc w:val="center"/>
        <w:outlineLvl w:val="0"/>
        <w:rPr>
          <w:rFonts w:ascii="Arial" w:hAnsi="Arial" w:cs="Arial"/>
          <w:sz w:val="22"/>
          <w:szCs w:val="22"/>
          <w:vertAlign w:val="superscript"/>
        </w:rPr>
        <w:sectPr w:rsidR="00954216" w:rsidRPr="004A7FE6" w:rsidSect="008651A8">
          <w:type w:val="continuous"/>
          <w:pgSz w:w="11906" w:h="16838"/>
          <w:pgMar w:top="1417" w:right="1417" w:bottom="1417" w:left="1417" w:header="708" w:footer="708" w:gutter="0"/>
          <w:cols w:space="708"/>
          <w:docGrid w:linePitch="360"/>
        </w:sectPr>
      </w:pPr>
    </w:p>
    <w:p w:rsidR="00954216" w:rsidRDefault="00954216" w:rsidP="00807D3E">
      <w:pPr>
        <w:spacing w:line="360" w:lineRule="auto"/>
        <w:ind w:left="-360" w:right="42" w:firstLine="360"/>
        <w:jc w:val="center"/>
        <w:rPr>
          <w:b/>
          <w:bCs/>
          <w:sz w:val="22"/>
          <w:szCs w:val="22"/>
        </w:rPr>
      </w:pPr>
      <w:r w:rsidRPr="004A7FE6">
        <w:rPr>
          <w:b/>
          <w:bCs/>
          <w:sz w:val="22"/>
          <w:szCs w:val="22"/>
        </w:rPr>
        <w:lastRenderedPageBreak/>
        <w:t>Yönetici Özeti</w:t>
      </w:r>
    </w:p>
    <w:p w:rsidR="00954216" w:rsidRDefault="00954216" w:rsidP="00807D3E">
      <w:pPr>
        <w:spacing w:line="360" w:lineRule="auto"/>
        <w:ind w:left="-360" w:right="42" w:firstLine="360"/>
        <w:jc w:val="center"/>
        <w:rPr>
          <w:b/>
          <w:bCs/>
          <w:sz w:val="22"/>
          <w:szCs w:val="22"/>
        </w:rPr>
      </w:pPr>
    </w:p>
    <w:p w:rsidR="00A714BB" w:rsidRDefault="00954216" w:rsidP="004E5238">
      <w:pPr>
        <w:spacing w:line="360" w:lineRule="auto"/>
        <w:ind w:left="-360" w:right="40"/>
        <w:jc w:val="both"/>
        <w:rPr>
          <w:sz w:val="22"/>
          <w:szCs w:val="22"/>
        </w:rPr>
      </w:pPr>
      <w:r w:rsidRPr="00C47CE4">
        <w:rPr>
          <w:sz w:val="22"/>
          <w:szCs w:val="22"/>
        </w:rPr>
        <w:t>2012 yılında Türkiye’nin ihracatı 2011 yılına göre yüzde 13,1 artarak 134,9 milyar dolardan 152,5 milyar dolara ulaştı. Geçen yılın dış ticaret açısından en önemli olayı, İran’ın Türkiye’ye ihraç ettiği doğal gaz ve petrol karşılığında Türkiye’den</w:t>
      </w:r>
      <w:r>
        <w:rPr>
          <w:sz w:val="22"/>
          <w:szCs w:val="22"/>
        </w:rPr>
        <w:t xml:space="preserve"> </w:t>
      </w:r>
      <w:r w:rsidRPr="00C47CE4">
        <w:rPr>
          <w:sz w:val="22"/>
          <w:szCs w:val="22"/>
        </w:rPr>
        <w:t>ya d</w:t>
      </w:r>
      <w:r w:rsidR="003F40AF">
        <w:rPr>
          <w:sz w:val="22"/>
          <w:szCs w:val="22"/>
        </w:rPr>
        <w:t>oğrudan</w:t>
      </w:r>
      <w:r w:rsidRPr="00C47CE4">
        <w:rPr>
          <w:sz w:val="22"/>
          <w:szCs w:val="22"/>
        </w:rPr>
        <w:t xml:space="preserve"> ya da Birleşik Arap Emirlikleri (BAE) üzerinden altın ithal etmesiydi. 2012 yılında Türkiye’nin toplam altın ihracatı 2011 yılına göre yüzde 804,8 artarak 13,3 milyar dolar olurken, bu ihracatın 6,5 milyar doları İran’a, 4,6 milyar doları Birleşik Arap Emirlikleri’ne (BAE) yapıldı. Bu altın ihracatı Türkiye’nin toplam ihracatını</w:t>
      </w:r>
      <w:r w:rsidR="004E5238">
        <w:rPr>
          <w:sz w:val="22"/>
          <w:szCs w:val="22"/>
        </w:rPr>
        <w:t xml:space="preserve"> ve cari açığını</w:t>
      </w:r>
      <w:r w:rsidRPr="00C47CE4">
        <w:rPr>
          <w:sz w:val="22"/>
          <w:szCs w:val="22"/>
        </w:rPr>
        <w:t xml:space="preserve"> olduğundan daha iyi bir noktadaymış gibi gösterdi. 2011 yılında altın hariç ihracat 133,4 milyar dolarken, yüzde 4,3 artışla 2012 yılında 139,2 milyar dolara ulaştı.</w:t>
      </w:r>
      <w:r w:rsidR="004E5238">
        <w:rPr>
          <w:sz w:val="22"/>
          <w:szCs w:val="22"/>
        </w:rPr>
        <w:t xml:space="preserve"> Ayrıca altın ihracatı olmasaydı 2012’de cari açık GSYH’ın yüzde 7’si olacaktı.</w:t>
      </w:r>
      <w:r w:rsidRPr="00C47CE4">
        <w:rPr>
          <w:sz w:val="22"/>
          <w:szCs w:val="22"/>
        </w:rPr>
        <w:t xml:space="preserve"> Bunun yanında Avrupa Birliği’nin (AB) düşük büyüme oranı Türkiye’nin ihracatına büyük zarar verdi. Türkiye’nin AB’ye yaptığı ihracat</w:t>
      </w:r>
      <w:r>
        <w:rPr>
          <w:sz w:val="22"/>
          <w:szCs w:val="22"/>
        </w:rPr>
        <w:t xml:space="preserve"> </w:t>
      </w:r>
      <w:r w:rsidRPr="00C47CE4">
        <w:rPr>
          <w:sz w:val="22"/>
          <w:szCs w:val="22"/>
        </w:rPr>
        <w:t>2011 yılından 2012 yılına yüzde 5 azalarak 62,4 milyar dolardan 59,2 milyar dolara geriledi. Bu nedenle Kuzey Afrika, Yakın ve Orta Doğu’nun Türkiye’nin ihracatındaki önemi daha da arttı.</w:t>
      </w:r>
    </w:p>
    <w:p w:rsidR="00954216" w:rsidRDefault="00DD1F50" w:rsidP="000A234F">
      <w:pPr>
        <w:spacing w:line="288" w:lineRule="auto"/>
        <w:ind w:left="-360" w:right="-318"/>
        <w:jc w:val="both"/>
        <w:rPr>
          <w:rFonts w:ascii="Arial" w:hAnsi="Arial" w:cs="Arial"/>
          <w:sz w:val="16"/>
          <w:szCs w:val="16"/>
        </w:rPr>
      </w:pPr>
      <w:r w:rsidRPr="00DD1F50">
        <w:rPr>
          <w:noProof/>
        </w:rPr>
        <w:pict>
          <v:line id="_x0000_s1029" style="position:absolute;left:0;text-align:left;z-index:251658752" from="-17.25pt,5.4pt" to="180.75pt,5.45pt"/>
        </w:pict>
      </w:r>
      <w:r w:rsidRPr="00DD1F50">
        <w:rPr>
          <w:rFonts w:ascii="Arial" w:hAnsi="Arial" w:cs="Arial"/>
          <w:sz w:val="16"/>
          <w:szCs w:val="16"/>
        </w:rPr>
      </w:r>
      <w:r>
        <w:rPr>
          <w:rFonts w:ascii="Arial" w:hAnsi="Arial" w:cs="Arial"/>
          <w:sz w:val="16"/>
          <w:szCs w:val="16"/>
        </w:rPr>
        <w:pict>
          <v:group id="_x0000_s1030"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39;top:332;width:6887;height:133" o:preferrelative="f">
              <v:fill o:detectmouseclick="t"/>
              <v:path o:extrusionok="t" o:connecttype="none"/>
              <o:lock v:ext="edit" text="t"/>
            </v:shape>
            <w10:wrap type="none"/>
            <w10:anchorlock/>
          </v:group>
        </w:pict>
      </w:r>
    </w:p>
    <w:p w:rsidR="00954216" w:rsidRPr="002B7CF6" w:rsidRDefault="00954216" w:rsidP="000A234F">
      <w:pPr>
        <w:spacing w:line="288" w:lineRule="auto"/>
        <w:ind w:left="-360" w:right="-318"/>
        <w:jc w:val="both"/>
        <w:rPr>
          <w:sz w:val="18"/>
          <w:szCs w:val="18"/>
        </w:rPr>
      </w:pPr>
      <w:r w:rsidRPr="002B7CF6">
        <w:rPr>
          <w:sz w:val="18"/>
          <w:szCs w:val="18"/>
        </w:rPr>
        <w:t>*Barış Soybilgen, Betam, Araştırma Görevlisi</w:t>
      </w:r>
    </w:p>
    <w:p w:rsidR="00954216" w:rsidRPr="00813968" w:rsidRDefault="00954216" w:rsidP="00813968">
      <w:pPr>
        <w:spacing w:line="288" w:lineRule="auto"/>
        <w:ind w:left="-360" w:right="-318"/>
        <w:jc w:val="both"/>
        <w:rPr>
          <w:sz w:val="18"/>
          <w:szCs w:val="18"/>
        </w:rPr>
      </w:pPr>
      <w:r w:rsidRPr="002B7CF6">
        <w:rPr>
          <w:sz w:val="18"/>
          <w:szCs w:val="18"/>
        </w:rPr>
        <w:t xml:space="preserve"> baris.soybilgen@bahcesehir.edu.tr</w:t>
      </w:r>
    </w:p>
    <w:p w:rsidR="00954216" w:rsidRDefault="00954216" w:rsidP="000A234F">
      <w:pPr>
        <w:spacing w:line="360" w:lineRule="auto"/>
        <w:ind w:left="-360" w:right="40"/>
        <w:jc w:val="center"/>
        <w:rPr>
          <w:b/>
          <w:bCs/>
          <w:sz w:val="22"/>
          <w:szCs w:val="22"/>
        </w:rPr>
      </w:pPr>
      <w:r>
        <w:rPr>
          <w:b/>
          <w:bCs/>
          <w:sz w:val="22"/>
          <w:szCs w:val="22"/>
        </w:rPr>
        <w:lastRenderedPageBreak/>
        <w:t>İran’ın beklenmedik altın sevdası</w:t>
      </w:r>
    </w:p>
    <w:p w:rsidR="00954216" w:rsidRDefault="00954216" w:rsidP="00363CFC">
      <w:pPr>
        <w:spacing w:line="360" w:lineRule="auto"/>
        <w:jc w:val="both"/>
        <w:rPr>
          <w:sz w:val="22"/>
          <w:szCs w:val="22"/>
        </w:rPr>
      </w:pPr>
    </w:p>
    <w:p w:rsidR="00954216" w:rsidRPr="00C47CE4" w:rsidRDefault="00954216" w:rsidP="000A234F">
      <w:pPr>
        <w:spacing w:line="360" w:lineRule="auto"/>
        <w:ind w:left="-360"/>
        <w:jc w:val="both"/>
        <w:rPr>
          <w:sz w:val="22"/>
          <w:szCs w:val="22"/>
        </w:rPr>
      </w:pPr>
      <w:r w:rsidRPr="00C47CE4">
        <w:rPr>
          <w:sz w:val="22"/>
          <w:szCs w:val="22"/>
        </w:rPr>
        <w:t>2012 yılı dış ticaret için çok ilginç bir yıl oldu. Amerika Birleşik Devletleri (ABD) ve AB İran’ın uranyum zenginleştirme programını sekteye uğratmak için 2012 Mart ayı itibariyle SWIFT sistemine ulaşmasını engelledi ve uluslararası mali işlem yapma kabiliyetini ortadan kaldırdı.</w:t>
      </w:r>
      <w:r w:rsidR="003D4B75">
        <w:rPr>
          <w:rStyle w:val="FootnoteReference"/>
          <w:sz w:val="22"/>
          <w:szCs w:val="22"/>
        </w:rPr>
        <w:footnoteReference w:id="2"/>
      </w:r>
      <w:r w:rsidRPr="00C47CE4">
        <w:rPr>
          <w:sz w:val="22"/>
          <w:szCs w:val="22"/>
        </w:rPr>
        <w:t xml:space="preserve"> Bu </w:t>
      </w:r>
      <w:r w:rsidRPr="003D4B75">
        <w:rPr>
          <w:sz w:val="22"/>
          <w:szCs w:val="22"/>
        </w:rPr>
        <w:t>nedenle</w:t>
      </w:r>
      <w:r w:rsidR="003D4B75" w:rsidRPr="003D4B75">
        <w:rPr>
          <w:sz w:val="22"/>
          <w:szCs w:val="22"/>
        </w:rPr>
        <w:t xml:space="preserve"> İran</w:t>
      </w:r>
      <w:r w:rsidRPr="003D4B75">
        <w:rPr>
          <w:sz w:val="22"/>
          <w:szCs w:val="22"/>
        </w:rPr>
        <w:t xml:space="preserve"> Türkiye</w:t>
      </w:r>
      <w:r w:rsidR="003D4B75" w:rsidRPr="003D4B75">
        <w:rPr>
          <w:sz w:val="22"/>
          <w:szCs w:val="22"/>
        </w:rPr>
        <w:t>’ye ihraç ettiği</w:t>
      </w:r>
      <w:r w:rsidRPr="003D4B75">
        <w:rPr>
          <w:sz w:val="22"/>
          <w:szCs w:val="22"/>
        </w:rPr>
        <w:t xml:space="preserve"> doğal gaz ve petrol</w:t>
      </w:r>
      <w:r w:rsidR="003D4B75" w:rsidRPr="003D4B75">
        <w:rPr>
          <w:sz w:val="22"/>
          <w:szCs w:val="22"/>
        </w:rPr>
        <w:t xml:space="preserve"> karşılığında aldığı Türk lirasıyla</w:t>
      </w:r>
      <w:r w:rsidRPr="003D4B75">
        <w:rPr>
          <w:sz w:val="22"/>
          <w:szCs w:val="22"/>
        </w:rPr>
        <w:t xml:space="preserve"> Türkiye’den altın alıp bunu ya doğrudan </w:t>
      </w:r>
      <w:r w:rsidR="003F40AF">
        <w:rPr>
          <w:sz w:val="22"/>
          <w:szCs w:val="22"/>
        </w:rPr>
        <w:t xml:space="preserve">ya da aracı bir ülke üzerinden </w:t>
      </w:r>
      <w:r w:rsidR="005075B3">
        <w:rPr>
          <w:sz w:val="22"/>
          <w:szCs w:val="22"/>
        </w:rPr>
        <w:t>(BAE)</w:t>
      </w:r>
      <w:r w:rsidRPr="003D4B75">
        <w:rPr>
          <w:sz w:val="22"/>
          <w:szCs w:val="22"/>
        </w:rPr>
        <w:t xml:space="preserve"> ithal et</w:t>
      </w:r>
      <w:r w:rsidR="00403B2F" w:rsidRPr="003D4B75">
        <w:rPr>
          <w:sz w:val="22"/>
          <w:szCs w:val="22"/>
        </w:rPr>
        <w:t>meye başladı</w:t>
      </w:r>
      <w:r w:rsidRPr="003D4B75">
        <w:rPr>
          <w:sz w:val="22"/>
          <w:szCs w:val="22"/>
        </w:rPr>
        <w:t>.</w:t>
      </w:r>
      <w:r w:rsidR="003D4B75">
        <w:rPr>
          <w:rStyle w:val="FootnoteReference"/>
          <w:sz w:val="22"/>
          <w:szCs w:val="22"/>
        </w:rPr>
        <w:footnoteReference w:id="3"/>
      </w:r>
    </w:p>
    <w:p w:rsidR="00954216" w:rsidRPr="00C47CE4" w:rsidRDefault="00954216" w:rsidP="000A234F">
      <w:pPr>
        <w:spacing w:line="360" w:lineRule="auto"/>
        <w:ind w:left="-360"/>
        <w:jc w:val="both"/>
        <w:rPr>
          <w:sz w:val="22"/>
          <w:szCs w:val="22"/>
        </w:rPr>
      </w:pPr>
    </w:p>
    <w:p w:rsidR="00954216" w:rsidRDefault="00954216" w:rsidP="00727AB7">
      <w:pPr>
        <w:spacing w:line="360" w:lineRule="auto"/>
        <w:ind w:left="-360"/>
        <w:jc w:val="both"/>
        <w:rPr>
          <w:sz w:val="22"/>
          <w:szCs w:val="22"/>
        </w:rPr>
      </w:pPr>
      <w:r w:rsidRPr="00C47CE4">
        <w:rPr>
          <w:sz w:val="22"/>
          <w:szCs w:val="22"/>
        </w:rPr>
        <w:t xml:space="preserve">Şekil 1 açık bir şekilde İran’ın Swift sisteminden çıkarılmasının ardından İran’a yapılan altın ihracatının arttığını gösteriyor. İran’a </w:t>
      </w:r>
      <w:r w:rsidR="003F40AF">
        <w:rPr>
          <w:sz w:val="22"/>
          <w:szCs w:val="22"/>
        </w:rPr>
        <w:t>doğrudan</w:t>
      </w:r>
      <w:r w:rsidRPr="00C47CE4">
        <w:rPr>
          <w:sz w:val="22"/>
          <w:szCs w:val="22"/>
        </w:rPr>
        <w:t xml:space="preserve"> altın ihracatı Ağustos’a kadar sürüyor, büyük ihtimalle</w:t>
      </w:r>
      <w:r>
        <w:rPr>
          <w:sz w:val="22"/>
          <w:szCs w:val="22"/>
        </w:rPr>
        <w:t xml:space="preserve"> </w:t>
      </w:r>
      <w:r w:rsidRPr="00C47CE4">
        <w:rPr>
          <w:sz w:val="22"/>
          <w:szCs w:val="22"/>
        </w:rPr>
        <w:t xml:space="preserve">ABD’nin baskılarının ardından Şekil 1’de de görüleceği üzere, İran altını Ağustos ayından itibaren BAE üzerinden almaya başlıyor. Özellikle </w:t>
      </w:r>
      <w:r w:rsidRPr="00C47CE4">
        <w:rPr>
          <w:sz w:val="22"/>
          <w:szCs w:val="22"/>
        </w:rPr>
        <w:lastRenderedPageBreak/>
        <w:t xml:space="preserve">ABD’nin </w:t>
      </w:r>
      <w:r w:rsidR="00717C27">
        <w:rPr>
          <w:sz w:val="22"/>
          <w:szCs w:val="22"/>
        </w:rPr>
        <w:t>6 Şubat itibariyle yürülüğe giren yeni yaptırımlarıyla birlikte</w:t>
      </w:r>
      <w:r w:rsidRPr="00C47CE4">
        <w:rPr>
          <w:sz w:val="22"/>
          <w:szCs w:val="22"/>
        </w:rPr>
        <w:t xml:space="preserve"> 2013 yılında İran’a </w:t>
      </w:r>
      <w:r w:rsidRPr="00BB307F">
        <w:rPr>
          <w:sz w:val="22"/>
          <w:szCs w:val="22"/>
        </w:rPr>
        <w:t>ne doğrudan</w:t>
      </w:r>
      <w:r w:rsidRPr="00C47CE4">
        <w:rPr>
          <w:sz w:val="22"/>
          <w:szCs w:val="22"/>
        </w:rPr>
        <w:t xml:space="preserve"> ne de BAE üzerinden çok büyük bir altın ihracatı beklenmiyor.</w:t>
      </w:r>
      <w:r w:rsidR="00717C27">
        <w:rPr>
          <w:rStyle w:val="FootnoteReference"/>
          <w:sz w:val="22"/>
          <w:szCs w:val="22"/>
        </w:rPr>
        <w:footnoteReference w:id="4"/>
      </w:r>
      <w:r w:rsidR="00403B2F">
        <w:rPr>
          <w:sz w:val="22"/>
          <w:szCs w:val="22"/>
        </w:rPr>
        <w:t xml:space="preserve"> Ayrıca bu durumda</w:t>
      </w:r>
      <w:r w:rsidRPr="00C47CE4">
        <w:rPr>
          <w:sz w:val="22"/>
          <w:szCs w:val="22"/>
        </w:rPr>
        <w:t xml:space="preserve"> </w:t>
      </w:r>
      <w:r>
        <w:rPr>
          <w:sz w:val="22"/>
          <w:szCs w:val="22"/>
        </w:rPr>
        <w:t xml:space="preserve">İran’dan ithal edilecek petrol ve doğal gazın nasıl ödeneceği belirsiz. </w:t>
      </w:r>
      <w:r w:rsidRPr="00C47CE4">
        <w:rPr>
          <w:sz w:val="22"/>
          <w:szCs w:val="22"/>
        </w:rPr>
        <w:t>Bu yüzden 2012 yılındaki yüksek altın ihracatını geçici bir şok olarak düşünebiliriz. İhracattaki genel trendleri anlamak için</w:t>
      </w:r>
      <w:r w:rsidR="00710531">
        <w:rPr>
          <w:sz w:val="22"/>
          <w:szCs w:val="22"/>
        </w:rPr>
        <w:t>,</w:t>
      </w:r>
      <w:r w:rsidRPr="00C47CE4">
        <w:rPr>
          <w:sz w:val="22"/>
          <w:szCs w:val="22"/>
        </w:rPr>
        <w:t xml:space="preserve"> ihracat rakamlarını genel olarak altından arındırıp sunacağız.</w:t>
      </w:r>
    </w:p>
    <w:p w:rsidR="00813968" w:rsidRDefault="00813968" w:rsidP="00727AB7">
      <w:pPr>
        <w:spacing w:line="360" w:lineRule="auto"/>
        <w:ind w:left="-360"/>
        <w:jc w:val="both"/>
        <w:rPr>
          <w:sz w:val="22"/>
          <w:szCs w:val="22"/>
        </w:rPr>
      </w:pPr>
    </w:p>
    <w:p w:rsidR="00813968" w:rsidRPr="00813968" w:rsidRDefault="00813968" w:rsidP="00813968">
      <w:pPr>
        <w:ind w:left="-360" w:right="42"/>
        <w:jc w:val="both"/>
        <w:rPr>
          <w:b/>
          <w:bCs/>
          <w:sz w:val="22"/>
          <w:szCs w:val="22"/>
        </w:rPr>
      </w:pPr>
      <w:r>
        <w:rPr>
          <w:b/>
          <w:bCs/>
          <w:sz w:val="22"/>
          <w:szCs w:val="22"/>
        </w:rPr>
        <w:t xml:space="preserve">Tablo 1. </w:t>
      </w:r>
      <w:r w:rsidRPr="00664183">
        <w:rPr>
          <w:bCs/>
          <w:sz w:val="22"/>
          <w:szCs w:val="22"/>
        </w:rPr>
        <w:t>Ülkelere yapılan</w:t>
      </w:r>
      <w:r>
        <w:rPr>
          <w:b/>
          <w:bCs/>
          <w:sz w:val="22"/>
          <w:szCs w:val="22"/>
        </w:rPr>
        <w:t xml:space="preserve"> </w:t>
      </w:r>
      <w:r>
        <w:rPr>
          <w:bCs/>
          <w:sz w:val="22"/>
          <w:szCs w:val="22"/>
        </w:rPr>
        <w:t>altın hariç ihracatın yıllık artış oranları ve toplam içindeki yüzdesi</w:t>
      </w:r>
      <w:r w:rsidR="007944A4">
        <w:rPr>
          <w:bCs/>
          <w:sz w:val="22"/>
          <w:szCs w:val="22"/>
        </w:rPr>
        <w:t>*</w:t>
      </w:r>
      <w:r>
        <w:rPr>
          <w:b/>
          <w:bCs/>
          <w:sz w:val="22"/>
          <w:szCs w:val="22"/>
        </w:rPr>
        <w:t xml:space="preserve"> </w:t>
      </w:r>
    </w:p>
    <w:tbl>
      <w:tblPr>
        <w:tblpPr w:leftFromText="141" w:rightFromText="141" w:vertAnchor="text" w:horzAnchor="margin" w:tblpX="-332" w:tblpY="7"/>
        <w:tblW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939"/>
        <w:gridCol w:w="939"/>
        <w:gridCol w:w="940"/>
      </w:tblGrid>
      <w:tr w:rsidR="00813968" w:rsidRPr="003118F7" w:rsidTr="00813968">
        <w:trPr>
          <w:trHeight w:val="443"/>
        </w:trPr>
        <w:tc>
          <w:tcPr>
            <w:tcW w:w="1710" w:type="dxa"/>
            <w:tcMar>
              <w:left w:w="28" w:type="dxa"/>
              <w:right w:w="28" w:type="dxa"/>
            </w:tcMar>
            <w:vAlign w:val="center"/>
          </w:tcPr>
          <w:p w:rsidR="00813968" w:rsidRPr="003118F7" w:rsidRDefault="00813968" w:rsidP="00813968">
            <w:pPr>
              <w:ind w:right="42"/>
              <w:jc w:val="center"/>
              <w:rPr>
                <w:sz w:val="20"/>
                <w:szCs w:val="20"/>
              </w:rPr>
            </w:pPr>
          </w:p>
        </w:tc>
        <w:tc>
          <w:tcPr>
            <w:tcW w:w="939" w:type="dxa"/>
            <w:vAlign w:val="center"/>
          </w:tcPr>
          <w:p w:rsidR="00813968" w:rsidRDefault="00813968" w:rsidP="00813968">
            <w:pPr>
              <w:ind w:right="40"/>
              <w:jc w:val="center"/>
              <w:rPr>
                <w:b/>
                <w:bCs/>
                <w:sz w:val="20"/>
                <w:szCs w:val="20"/>
              </w:rPr>
            </w:pPr>
            <w:r>
              <w:rPr>
                <w:b/>
                <w:bCs/>
                <w:sz w:val="20"/>
                <w:szCs w:val="20"/>
              </w:rPr>
              <w:t>2010</w:t>
            </w:r>
          </w:p>
        </w:tc>
        <w:tc>
          <w:tcPr>
            <w:tcW w:w="939" w:type="dxa"/>
            <w:tcMar>
              <w:left w:w="0" w:type="dxa"/>
              <w:right w:w="0" w:type="dxa"/>
            </w:tcMar>
            <w:vAlign w:val="center"/>
          </w:tcPr>
          <w:p w:rsidR="00813968" w:rsidRPr="003118F7" w:rsidRDefault="00813968" w:rsidP="00813968">
            <w:pPr>
              <w:ind w:right="40"/>
              <w:jc w:val="center"/>
              <w:rPr>
                <w:b/>
                <w:bCs/>
                <w:sz w:val="20"/>
                <w:szCs w:val="20"/>
              </w:rPr>
            </w:pPr>
            <w:r>
              <w:rPr>
                <w:b/>
                <w:bCs/>
                <w:sz w:val="20"/>
                <w:szCs w:val="20"/>
              </w:rPr>
              <w:t>2011</w:t>
            </w:r>
          </w:p>
        </w:tc>
        <w:tc>
          <w:tcPr>
            <w:tcW w:w="940" w:type="dxa"/>
            <w:vAlign w:val="center"/>
          </w:tcPr>
          <w:p w:rsidR="00813968" w:rsidRPr="003118F7" w:rsidRDefault="00813968" w:rsidP="00813968">
            <w:pPr>
              <w:ind w:right="40"/>
              <w:jc w:val="center"/>
              <w:rPr>
                <w:b/>
                <w:bCs/>
                <w:sz w:val="20"/>
                <w:szCs w:val="20"/>
              </w:rPr>
            </w:pPr>
            <w:r>
              <w:rPr>
                <w:b/>
                <w:bCs/>
                <w:sz w:val="20"/>
                <w:szCs w:val="20"/>
              </w:rPr>
              <w:t>2012</w:t>
            </w:r>
          </w:p>
        </w:tc>
      </w:tr>
      <w:tr w:rsidR="00813968" w:rsidRPr="003118F7" w:rsidTr="00813968">
        <w:trPr>
          <w:trHeight w:val="703"/>
        </w:trPr>
        <w:tc>
          <w:tcPr>
            <w:tcW w:w="1710" w:type="dxa"/>
            <w:tcMar>
              <w:left w:w="28" w:type="dxa"/>
              <w:right w:w="28" w:type="dxa"/>
            </w:tcMar>
            <w:vAlign w:val="center"/>
          </w:tcPr>
          <w:p w:rsidR="00813968" w:rsidRPr="003118F7" w:rsidRDefault="00813968" w:rsidP="00813968">
            <w:pPr>
              <w:ind w:right="42"/>
              <w:rPr>
                <w:sz w:val="20"/>
                <w:szCs w:val="20"/>
              </w:rPr>
            </w:pPr>
            <w:r>
              <w:rPr>
                <w:sz w:val="20"/>
                <w:szCs w:val="20"/>
              </w:rPr>
              <w:t>Avrupa Birliği</w:t>
            </w:r>
          </w:p>
        </w:tc>
        <w:tc>
          <w:tcPr>
            <w:tcW w:w="939" w:type="dxa"/>
            <w:vAlign w:val="center"/>
          </w:tcPr>
          <w:p w:rsidR="00813968" w:rsidRPr="003118F7" w:rsidRDefault="00813968" w:rsidP="00813968">
            <w:pPr>
              <w:ind w:right="42"/>
              <w:jc w:val="center"/>
              <w:rPr>
                <w:sz w:val="20"/>
                <w:szCs w:val="20"/>
              </w:rPr>
            </w:pPr>
            <w:r>
              <w:rPr>
                <w:sz w:val="20"/>
                <w:szCs w:val="20"/>
              </w:rPr>
              <w:t>11,8 (47,0)</w:t>
            </w:r>
          </w:p>
        </w:tc>
        <w:tc>
          <w:tcPr>
            <w:tcW w:w="939" w:type="dxa"/>
            <w:vAlign w:val="center"/>
          </w:tcPr>
          <w:p w:rsidR="00813968" w:rsidRPr="003118F7" w:rsidRDefault="00813968" w:rsidP="00813968">
            <w:pPr>
              <w:ind w:right="42"/>
              <w:jc w:val="center"/>
              <w:rPr>
                <w:sz w:val="20"/>
                <w:szCs w:val="20"/>
              </w:rPr>
            </w:pPr>
            <w:r>
              <w:rPr>
                <w:sz w:val="20"/>
                <w:szCs w:val="20"/>
              </w:rPr>
              <w:t>18,2 (46,5)</w:t>
            </w:r>
          </w:p>
        </w:tc>
        <w:tc>
          <w:tcPr>
            <w:tcW w:w="940" w:type="dxa"/>
            <w:vAlign w:val="center"/>
          </w:tcPr>
          <w:p w:rsidR="00813968" w:rsidRPr="003118F7" w:rsidRDefault="00813968" w:rsidP="00813968">
            <w:pPr>
              <w:ind w:right="42"/>
              <w:jc w:val="center"/>
              <w:rPr>
                <w:sz w:val="20"/>
                <w:szCs w:val="20"/>
              </w:rPr>
            </w:pPr>
            <w:r>
              <w:rPr>
                <w:sz w:val="20"/>
                <w:szCs w:val="20"/>
              </w:rPr>
              <w:t>-5,5 (42,1)</w:t>
            </w:r>
          </w:p>
        </w:tc>
      </w:tr>
      <w:tr w:rsidR="00813968" w:rsidRPr="003118F7" w:rsidTr="00813968">
        <w:trPr>
          <w:trHeight w:val="703"/>
        </w:trPr>
        <w:tc>
          <w:tcPr>
            <w:tcW w:w="1710" w:type="dxa"/>
            <w:tcMar>
              <w:left w:w="28" w:type="dxa"/>
              <w:right w:w="28" w:type="dxa"/>
            </w:tcMar>
            <w:vAlign w:val="center"/>
          </w:tcPr>
          <w:p w:rsidR="00813968" w:rsidRPr="003118F7" w:rsidRDefault="00813968" w:rsidP="00813968">
            <w:pPr>
              <w:ind w:right="42"/>
              <w:rPr>
                <w:sz w:val="20"/>
                <w:szCs w:val="20"/>
              </w:rPr>
            </w:pPr>
            <w:r>
              <w:rPr>
                <w:sz w:val="20"/>
                <w:szCs w:val="20"/>
              </w:rPr>
              <w:t>Kuzey Afrika, Yakın ve Orta Doğu</w:t>
            </w:r>
          </w:p>
        </w:tc>
        <w:tc>
          <w:tcPr>
            <w:tcW w:w="939" w:type="dxa"/>
            <w:vAlign w:val="center"/>
          </w:tcPr>
          <w:p w:rsidR="00813968" w:rsidRPr="003118F7" w:rsidRDefault="00813968" w:rsidP="00813968">
            <w:pPr>
              <w:ind w:right="42"/>
              <w:jc w:val="center"/>
              <w:rPr>
                <w:sz w:val="20"/>
                <w:szCs w:val="20"/>
              </w:rPr>
            </w:pPr>
            <w:r>
              <w:rPr>
                <w:sz w:val="20"/>
                <w:szCs w:val="20"/>
              </w:rPr>
              <w:t>15,0 (26,7)</w:t>
            </w:r>
          </w:p>
        </w:tc>
        <w:tc>
          <w:tcPr>
            <w:tcW w:w="939" w:type="dxa"/>
            <w:vAlign w:val="center"/>
          </w:tcPr>
          <w:p w:rsidR="00813968" w:rsidRPr="003118F7" w:rsidRDefault="00813968" w:rsidP="00813968">
            <w:pPr>
              <w:ind w:right="42"/>
              <w:jc w:val="center"/>
              <w:rPr>
                <w:sz w:val="20"/>
                <w:szCs w:val="20"/>
              </w:rPr>
            </w:pPr>
            <w:r>
              <w:rPr>
                <w:sz w:val="20"/>
                <w:szCs w:val="20"/>
              </w:rPr>
              <w:t>14,9 (25,7)</w:t>
            </w:r>
          </w:p>
        </w:tc>
        <w:tc>
          <w:tcPr>
            <w:tcW w:w="940" w:type="dxa"/>
            <w:vAlign w:val="center"/>
          </w:tcPr>
          <w:p w:rsidR="00813968" w:rsidRPr="003118F7" w:rsidRDefault="00813968" w:rsidP="00813968">
            <w:pPr>
              <w:ind w:right="42"/>
              <w:jc w:val="center"/>
              <w:rPr>
                <w:sz w:val="20"/>
                <w:szCs w:val="20"/>
              </w:rPr>
            </w:pPr>
            <w:r>
              <w:rPr>
                <w:sz w:val="20"/>
                <w:szCs w:val="20"/>
              </w:rPr>
              <w:t>18,9 (29,3)</w:t>
            </w:r>
          </w:p>
        </w:tc>
      </w:tr>
      <w:tr w:rsidR="00813968" w:rsidRPr="003118F7" w:rsidTr="00813968">
        <w:trPr>
          <w:trHeight w:val="703"/>
        </w:trPr>
        <w:tc>
          <w:tcPr>
            <w:tcW w:w="1710" w:type="dxa"/>
            <w:tcMar>
              <w:left w:w="28" w:type="dxa"/>
              <w:right w:w="28" w:type="dxa"/>
            </w:tcMar>
            <w:vAlign w:val="center"/>
          </w:tcPr>
          <w:p w:rsidR="00813968" w:rsidRPr="003118F7" w:rsidRDefault="00813968" w:rsidP="00813968">
            <w:pPr>
              <w:ind w:right="40"/>
              <w:rPr>
                <w:sz w:val="20"/>
                <w:szCs w:val="20"/>
              </w:rPr>
            </w:pPr>
            <w:r>
              <w:rPr>
                <w:sz w:val="20"/>
                <w:szCs w:val="20"/>
              </w:rPr>
              <w:t>Diğer Ülkeler</w:t>
            </w:r>
          </w:p>
        </w:tc>
        <w:tc>
          <w:tcPr>
            <w:tcW w:w="939" w:type="dxa"/>
            <w:vAlign w:val="center"/>
          </w:tcPr>
          <w:p w:rsidR="00813968" w:rsidRPr="003118F7" w:rsidRDefault="00813968" w:rsidP="00813968">
            <w:pPr>
              <w:ind w:right="40"/>
              <w:jc w:val="center"/>
              <w:rPr>
                <w:sz w:val="20"/>
                <w:szCs w:val="20"/>
              </w:rPr>
            </w:pPr>
            <w:r>
              <w:rPr>
                <w:sz w:val="20"/>
                <w:szCs w:val="20"/>
              </w:rPr>
              <w:t>19,8 (26,3)</w:t>
            </w:r>
          </w:p>
        </w:tc>
        <w:tc>
          <w:tcPr>
            <w:tcW w:w="939" w:type="dxa"/>
            <w:vAlign w:val="center"/>
          </w:tcPr>
          <w:p w:rsidR="00813968" w:rsidRPr="003118F7" w:rsidRDefault="00813968" w:rsidP="00813968">
            <w:pPr>
              <w:ind w:right="40"/>
              <w:jc w:val="center"/>
              <w:rPr>
                <w:sz w:val="20"/>
                <w:szCs w:val="20"/>
              </w:rPr>
            </w:pPr>
            <w:r>
              <w:rPr>
                <w:sz w:val="20"/>
                <w:szCs w:val="20"/>
              </w:rPr>
              <w:t>25,9 (27,8)</w:t>
            </w:r>
          </w:p>
        </w:tc>
        <w:tc>
          <w:tcPr>
            <w:tcW w:w="940" w:type="dxa"/>
            <w:vAlign w:val="center"/>
          </w:tcPr>
          <w:p w:rsidR="00813968" w:rsidRPr="003118F7" w:rsidRDefault="00813968" w:rsidP="00813968">
            <w:pPr>
              <w:ind w:right="40"/>
              <w:jc w:val="center"/>
              <w:rPr>
                <w:sz w:val="20"/>
                <w:szCs w:val="20"/>
              </w:rPr>
            </w:pPr>
            <w:r>
              <w:rPr>
                <w:sz w:val="20"/>
                <w:szCs w:val="20"/>
              </w:rPr>
              <w:t xml:space="preserve">7,3 </w:t>
            </w:r>
            <w:r>
              <w:rPr>
                <w:sz w:val="20"/>
                <w:szCs w:val="20"/>
              </w:rPr>
              <w:br/>
              <w:t>(28,6)</w:t>
            </w:r>
          </w:p>
        </w:tc>
      </w:tr>
      <w:tr w:rsidR="007944A4" w:rsidRPr="003118F7" w:rsidTr="00813968">
        <w:trPr>
          <w:trHeight w:val="703"/>
        </w:trPr>
        <w:tc>
          <w:tcPr>
            <w:tcW w:w="1710" w:type="dxa"/>
            <w:tcMar>
              <w:left w:w="28" w:type="dxa"/>
              <w:right w:w="28" w:type="dxa"/>
            </w:tcMar>
            <w:vAlign w:val="center"/>
          </w:tcPr>
          <w:p w:rsidR="007944A4" w:rsidRDefault="007944A4" w:rsidP="00813968">
            <w:pPr>
              <w:ind w:right="40"/>
              <w:rPr>
                <w:sz w:val="20"/>
                <w:szCs w:val="20"/>
              </w:rPr>
            </w:pPr>
            <w:r>
              <w:rPr>
                <w:sz w:val="20"/>
                <w:szCs w:val="20"/>
              </w:rPr>
              <w:t>Toplam</w:t>
            </w:r>
          </w:p>
        </w:tc>
        <w:tc>
          <w:tcPr>
            <w:tcW w:w="939" w:type="dxa"/>
            <w:vAlign w:val="center"/>
          </w:tcPr>
          <w:p w:rsidR="007944A4" w:rsidRDefault="007944A4" w:rsidP="007944A4">
            <w:pPr>
              <w:ind w:right="40"/>
              <w:jc w:val="center"/>
              <w:rPr>
                <w:sz w:val="20"/>
                <w:szCs w:val="20"/>
              </w:rPr>
            </w:pPr>
            <w:r>
              <w:rPr>
                <w:sz w:val="20"/>
                <w:szCs w:val="20"/>
              </w:rPr>
              <w:t>14,7</w:t>
            </w:r>
          </w:p>
        </w:tc>
        <w:tc>
          <w:tcPr>
            <w:tcW w:w="939" w:type="dxa"/>
            <w:vAlign w:val="center"/>
          </w:tcPr>
          <w:p w:rsidR="007944A4" w:rsidRDefault="007944A4" w:rsidP="00813968">
            <w:pPr>
              <w:ind w:right="40"/>
              <w:jc w:val="center"/>
              <w:rPr>
                <w:sz w:val="20"/>
                <w:szCs w:val="20"/>
              </w:rPr>
            </w:pPr>
            <w:r>
              <w:rPr>
                <w:sz w:val="20"/>
                <w:szCs w:val="20"/>
              </w:rPr>
              <w:t>19,3</w:t>
            </w:r>
          </w:p>
        </w:tc>
        <w:tc>
          <w:tcPr>
            <w:tcW w:w="940" w:type="dxa"/>
            <w:vAlign w:val="center"/>
          </w:tcPr>
          <w:p w:rsidR="007944A4" w:rsidRDefault="007944A4" w:rsidP="00813968">
            <w:pPr>
              <w:ind w:right="40"/>
              <w:jc w:val="center"/>
              <w:rPr>
                <w:sz w:val="20"/>
                <w:szCs w:val="20"/>
              </w:rPr>
            </w:pPr>
            <w:r>
              <w:rPr>
                <w:sz w:val="20"/>
                <w:szCs w:val="20"/>
              </w:rPr>
              <w:t>4,3</w:t>
            </w:r>
          </w:p>
        </w:tc>
      </w:tr>
    </w:tbl>
    <w:p w:rsidR="00813968" w:rsidRDefault="00813968" w:rsidP="007944A4">
      <w:pPr>
        <w:ind w:left="-360" w:right="42"/>
        <w:rPr>
          <w:bCs/>
          <w:sz w:val="18"/>
          <w:szCs w:val="18"/>
        </w:rPr>
      </w:pPr>
      <w:r w:rsidRPr="007B2247">
        <w:rPr>
          <w:bCs/>
          <w:sz w:val="18"/>
          <w:szCs w:val="18"/>
        </w:rPr>
        <w:t>Kaynak: Tüik, BETAM</w:t>
      </w:r>
    </w:p>
    <w:p w:rsidR="007944A4" w:rsidRPr="007B2247" w:rsidRDefault="007944A4" w:rsidP="007944A4">
      <w:pPr>
        <w:ind w:left="-360" w:right="42"/>
        <w:rPr>
          <w:bCs/>
          <w:sz w:val="18"/>
          <w:szCs w:val="18"/>
        </w:rPr>
      </w:pPr>
      <w:r>
        <w:rPr>
          <w:bCs/>
          <w:sz w:val="18"/>
          <w:szCs w:val="18"/>
        </w:rPr>
        <w:t>*Parantez içindekiler payları gösteriyor</w:t>
      </w:r>
    </w:p>
    <w:p w:rsidR="00954216" w:rsidRDefault="00954216" w:rsidP="00813968">
      <w:pPr>
        <w:spacing w:line="360" w:lineRule="auto"/>
        <w:rPr>
          <w:b/>
          <w:bCs/>
          <w:sz w:val="22"/>
          <w:szCs w:val="22"/>
        </w:rPr>
      </w:pPr>
    </w:p>
    <w:p w:rsidR="00954216" w:rsidRPr="00EC7B59" w:rsidRDefault="00143454" w:rsidP="00EC7B59">
      <w:pPr>
        <w:spacing w:line="360" w:lineRule="auto"/>
        <w:ind w:left="-360"/>
        <w:jc w:val="center"/>
        <w:rPr>
          <w:b/>
          <w:bCs/>
          <w:sz w:val="22"/>
          <w:szCs w:val="22"/>
        </w:rPr>
      </w:pPr>
      <w:r>
        <w:rPr>
          <w:b/>
          <w:bCs/>
          <w:sz w:val="22"/>
          <w:szCs w:val="22"/>
        </w:rPr>
        <w:t>İran’a altın ihracatı olmasaydı, Cari Açık GSYH’ın yüzde 7’si olacaktı</w:t>
      </w:r>
    </w:p>
    <w:p w:rsidR="00954216" w:rsidRDefault="00954216" w:rsidP="000A234F">
      <w:pPr>
        <w:spacing w:line="360" w:lineRule="auto"/>
        <w:ind w:left="-360"/>
        <w:jc w:val="both"/>
        <w:rPr>
          <w:sz w:val="22"/>
          <w:szCs w:val="22"/>
        </w:rPr>
      </w:pPr>
    </w:p>
    <w:p w:rsidR="007944A4" w:rsidRDefault="00954216" w:rsidP="007944A4">
      <w:pPr>
        <w:spacing w:line="360" w:lineRule="auto"/>
        <w:ind w:left="-360"/>
        <w:jc w:val="both"/>
        <w:rPr>
          <w:sz w:val="22"/>
          <w:szCs w:val="22"/>
        </w:rPr>
      </w:pPr>
      <w:r w:rsidRPr="00C47CE4">
        <w:rPr>
          <w:sz w:val="22"/>
          <w:szCs w:val="22"/>
        </w:rPr>
        <w:t>2012 yılında Türkiye’nin ihracatı 2011 yılına göre yüzde 13,1 artarak 134,9 milyar dolardan 152,5 milyar dolara ulaştı. Altın ihracatını toplam ihracattan çıkardığımızda ise 2012 yılı için daha muhafazakar bir ihracat artışı buluyoruz. 2011 yılında altın hariç ihracat 133,4 milyar dolarken</w:t>
      </w:r>
      <w:r w:rsidR="00A714BB">
        <w:rPr>
          <w:sz w:val="22"/>
          <w:szCs w:val="22"/>
        </w:rPr>
        <w:t>,</w:t>
      </w:r>
      <w:r w:rsidRPr="00C47CE4">
        <w:rPr>
          <w:sz w:val="22"/>
          <w:szCs w:val="22"/>
        </w:rPr>
        <w:t xml:space="preserve"> yüzde 4,3 artışla 2012 yılında 139,2 milyar dolara ulaştı.</w:t>
      </w:r>
      <w:r w:rsidR="00A714BB">
        <w:rPr>
          <w:sz w:val="22"/>
          <w:szCs w:val="22"/>
        </w:rPr>
        <w:t xml:space="preserve"> </w:t>
      </w:r>
    </w:p>
    <w:p w:rsidR="00954216" w:rsidRDefault="00710531" w:rsidP="007944A4">
      <w:pPr>
        <w:spacing w:line="360" w:lineRule="auto"/>
        <w:ind w:left="-360"/>
        <w:jc w:val="both"/>
        <w:rPr>
          <w:sz w:val="22"/>
          <w:szCs w:val="22"/>
        </w:rPr>
      </w:pPr>
      <w:r>
        <w:rPr>
          <w:sz w:val="22"/>
          <w:szCs w:val="22"/>
        </w:rPr>
        <w:lastRenderedPageBreak/>
        <w:t xml:space="preserve">Cari açık rakamları da yüksek altın ihracatından etkilendi. 1984’ten başlayan ödemeler dengesi verilerine göre 2009 kriz yılı hariç diğer bütün yıllarda Türkiye net parasal olmayan altın ithalatçısı konumunda, 2012’de  ise Türkiye net 5,7 milyar dolar parasal olmayan altın ihraç ettiği görülüyor. </w:t>
      </w:r>
      <w:r w:rsidR="00163D52">
        <w:rPr>
          <w:sz w:val="22"/>
          <w:szCs w:val="22"/>
        </w:rPr>
        <w:t>Betam tahminlerine</w:t>
      </w:r>
      <w:r w:rsidR="00143454">
        <w:rPr>
          <w:sz w:val="22"/>
          <w:szCs w:val="22"/>
        </w:rPr>
        <w:t xml:space="preserve"> göre</w:t>
      </w:r>
      <w:r w:rsidR="00163D52">
        <w:rPr>
          <w:sz w:val="22"/>
          <w:szCs w:val="22"/>
        </w:rPr>
        <w:t xml:space="preserve"> 2012 yılı cari açığı GSYH’ın yüzde 5,9’u olarak gerçekleşecek. Eğer 2012 yılında net altın ihracatı sıfır olsaydı, Türkiye’nin cari açığı da GSYH’ın yüzde 6,6’sı olarak gerçekleşecekti.</w:t>
      </w:r>
      <w:r w:rsidR="00543706">
        <w:rPr>
          <w:sz w:val="22"/>
          <w:szCs w:val="22"/>
        </w:rPr>
        <w:t xml:space="preserve"> Bu noktada karşıolgusal (counterfactual) bir analiz yararlı olacak. İran’a altın ihracatı olmasaydı, Türkiye’nin 2012’de hem altın ihracatı hem de ithalatı daha düşük olacaktı. Türkiye’nin uzun vadeli parasal olmayan altın ithalatı trendine baktığımızda, ortalama olarak</w:t>
      </w:r>
      <w:r w:rsidR="00813968">
        <w:rPr>
          <w:sz w:val="22"/>
          <w:szCs w:val="22"/>
        </w:rPr>
        <w:t xml:space="preserve"> yıllık</w:t>
      </w:r>
      <w:r w:rsidR="00543706">
        <w:rPr>
          <w:sz w:val="22"/>
          <w:szCs w:val="22"/>
        </w:rPr>
        <w:t xml:space="preserve"> GSYH’ın yüzde 0,6’sı kadar altın ithal ettiği görülüyor. Ayrıca Türkiye’nin 2012’de </w:t>
      </w:r>
      <w:r w:rsidR="00143454">
        <w:rPr>
          <w:sz w:val="22"/>
          <w:szCs w:val="22"/>
        </w:rPr>
        <w:t xml:space="preserve">İran ve BAE haricindeki diğer ülkelere </w:t>
      </w:r>
      <w:r w:rsidR="00543706">
        <w:rPr>
          <w:sz w:val="22"/>
          <w:szCs w:val="22"/>
        </w:rPr>
        <w:t>2,2 milyar dolarlık altın ihraç ettiğini biliyoruz</w:t>
      </w:r>
      <w:r w:rsidR="00143454">
        <w:rPr>
          <w:sz w:val="22"/>
          <w:szCs w:val="22"/>
        </w:rPr>
        <w:t xml:space="preserve">. </w:t>
      </w:r>
      <w:r w:rsidR="00543706">
        <w:rPr>
          <w:sz w:val="22"/>
          <w:szCs w:val="22"/>
        </w:rPr>
        <w:t xml:space="preserve">İran’a ambargo uygulanmadığı bir </w:t>
      </w:r>
      <w:r w:rsidR="00EE4861">
        <w:rPr>
          <w:sz w:val="22"/>
          <w:szCs w:val="22"/>
        </w:rPr>
        <w:t>gerçeklikte</w:t>
      </w:r>
      <w:r w:rsidR="00543706">
        <w:rPr>
          <w:sz w:val="22"/>
          <w:szCs w:val="22"/>
        </w:rPr>
        <w:t>, Türkiye</w:t>
      </w:r>
      <w:r w:rsidR="00813968">
        <w:rPr>
          <w:sz w:val="22"/>
          <w:szCs w:val="22"/>
        </w:rPr>
        <w:t>’nin</w:t>
      </w:r>
      <w:r w:rsidR="00543706">
        <w:rPr>
          <w:sz w:val="22"/>
          <w:szCs w:val="22"/>
        </w:rPr>
        <w:t xml:space="preserve"> 2012 yılında 2,2 milyar dolar altın ihraç edip, 4,8 milyar dolar altın ithal edeceğini düşünebiliriz. </w:t>
      </w:r>
      <w:r w:rsidR="00AF439D">
        <w:rPr>
          <w:sz w:val="22"/>
          <w:szCs w:val="22"/>
        </w:rPr>
        <w:t>Bu durumda cari açık GSYH’ın yüzde 7’si olacaktı.</w:t>
      </w:r>
    </w:p>
    <w:p w:rsidR="00143454" w:rsidRDefault="00143454" w:rsidP="000A234F">
      <w:pPr>
        <w:spacing w:line="360" w:lineRule="auto"/>
        <w:ind w:left="-360"/>
        <w:jc w:val="both"/>
        <w:rPr>
          <w:sz w:val="22"/>
          <w:szCs w:val="22"/>
        </w:rPr>
      </w:pPr>
    </w:p>
    <w:p w:rsidR="00143454" w:rsidRPr="00143454" w:rsidRDefault="00143454" w:rsidP="00143454">
      <w:pPr>
        <w:spacing w:line="360" w:lineRule="auto"/>
        <w:ind w:left="-360"/>
        <w:jc w:val="center"/>
        <w:rPr>
          <w:b/>
          <w:bCs/>
          <w:sz w:val="22"/>
          <w:szCs w:val="22"/>
        </w:rPr>
      </w:pPr>
      <w:r w:rsidRPr="00EC7B59">
        <w:rPr>
          <w:b/>
          <w:bCs/>
          <w:sz w:val="22"/>
          <w:szCs w:val="22"/>
        </w:rPr>
        <w:t>Orta Doğu ve Kuzey Afrika’nın önemi artmaya devam ediyor</w:t>
      </w:r>
      <w:r>
        <w:rPr>
          <w:b/>
          <w:bCs/>
          <w:sz w:val="22"/>
          <w:szCs w:val="22"/>
        </w:rPr>
        <w:t xml:space="preserve"> </w:t>
      </w:r>
    </w:p>
    <w:p w:rsidR="00954216" w:rsidRPr="00C47CE4" w:rsidRDefault="00954216" w:rsidP="000A234F">
      <w:pPr>
        <w:spacing w:line="360" w:lineRule="auto"/>
        <w:ind w:left="-360"/>
        <w:jc w:val="both"/>
        <w:rPr>
          <w:sz w:val="22"/>
          <w:szCs w:val="22"/>
        </w:rPr>
      </w:pPr>
    </w:p>
    <w:p w:rsidR="00954216" w:rsidRDefault="00A714BB" w:rsidP="000A234F">
      <w:pPr>
        <w:spacing w:line="360" w:lineRule="auto"/>
        <w:ind w:left="-360"/>
        <w:jc w:val="both"/>
        <w:rPr>
          <w:sz w:val="22"/>
          <w:szCs w:val="22"/>
        </w:rPr>
      </w:pPr>
      <w:r>
        <w:rPr>
          <w:sz w:val="22"/>
          <w:szCs w:val="22"/>
        </w:rPr>
        <w:t>112 nolu Betam araştırma</w:t>
      </w:r>
      <w:r w:rsidR="00954216" w:rsidRPr="00C47CE4">
        <w:rPr>
          <w:sz w:val="22"/>
          <w:szCs w:val="22"/>
        </w:rPr>
        <w:t xml:space="preserve"> notun</w:t>
      </w:r>
      <w:r>
        <w:rPr>
          <w:sz w:val="22"/>
          <w:szCs w:val="22"/>
        </w:rPr>
        <w:t>da</w:t>
      </w:r>
      <w:r w:rsidR="00954216" w:rsidRPr="00C47CE4">
        <w:rPr>
          <w:rStyle w:val="FootnoteReference"/>
          <w:sz w:val="22"/>
          <w:szCs w:val="22"/>
        </w:rPr>
        <w:footnoteReference w:id="5"/>
      </w:r>
      <w:r w:rsidR="00954216" w:rsidRPr="00C47CE4">
        <w:rPr>
          <w:sz w:val="22"/>
          <w:szCs w:val="22"/>
        </w:rPr>
        <w:t xml:space="preserve"> 2008 yılında Türkiye’nin ihracat yaptığı ülke gruplarında yapısal bir değişiklik olduğunu ve Avrupa Birliği’nin Türkiye’nin toplam ihracatındaki payı düşerken, Kuzey Afrika, Yakın ve Orta Doğu’ya (KA+YOD) yapılan ihracatın artmaya başladığını </w:t>
      </w:r>
      <w:r w:rsidR="00954216" w:rsidRPr="00C47CE4">
        <w:rPr>
          <w:sz w:val="22"/>
          <w:szCs w:val="22"/>
        </w:rPr>
        <w:lastRenderedPageBreak/>
        <w:t>göstermiştik. 2012 yılında özellikle AB’nin içinde bulunduğu kriz nedeniyle bu trendin güçlenerek devam ettiğini görüyoruz.</w:t>
      </w:r>
      <w:r w:rsidR="00954216">
        <w:rPr>
          <w:sz w:val="22"/>
          <w:szCs w:val="22"/>
        </w:rPr>
        <w:t xml:space="preserve"> Şekil 2</w:t>
      </w:r>
      <w:r w:rsidR="00954216" w:rsidRPr="00C47CE4">
        <w:rPr>
          <w:sz w:val="22"/>
          <w:szCs w:val="22"/>
        </w:rPr>
        <w:t>’de Türkiye’nin AB, KA+YOD</w:t>
      </w:r>
      <w:r w:rsidR="005075B3">
        <w:rPr>
          <w:sz w:val="22"/>
          <w:szCs w:val="22"/>
        </w:rPr>
        <w:t xml:space="preserve"> ve diğer ülkelere yaptığı altın hariç</w:t>
      </w:r>
      <w:r w:rsidR="005075B3" w:rsidRPr="0028676D">
        <w:rPr>
          <w:sz w:val="22"/>
          <w:szCs w:val="22"/>
        </w:rPr>
        <w:t xml:space="preserve"> ihracatın toplam</w:t>
      </w:r>
      <w:r w:rsidR="005075B3">
        <w:rPr>
          <w:sz w:val="22"/>
          <w:szCs w:val="22"/>
        </w:rPr>
        <w:t xml:space="preserve"> </w:t>
      </w:r>
      <w:r w:rsidR="005075B3" w:rsidRPr="0028676D">
        <w:rPr>
          <w:sz w:val="22"/>
          <w:szCs w:val="22"/>
        </w:rPr>
        <w:t>içindeki yüzdesi ve nominal olarak büyüme oranları</w:t>
      </w:r>
      <w:r w:rsidR="00954216" w:rsidRPr="00C47CE4">
        <w:rPr>
          <w:sz w:val="22"/>
          <w:szCs w:val="22"/>
        </w:rPr>
        <w:t xml:space="preserve"> gösteriliyor. AB’nin Türkiye’nin altın hariç ihracatındaki payı 2007 yılından önce yüzde 56 civarında iken, 2012 yılına kadar geçen sürede payı 14 puan düşerek yüzde 42,1’e kadar geriledi. Buna karşın </w:t>
      </w:r>
      <w:r w:rsidR="005075B3">
        <w:rPr>
          <w:sz w:val="22"/>
          <w:szCs w:val="22"/>
        </w:rPr>
        <w:t xml:space="preserve">KA+YOD’un </w:t>
      </w:r>
      <w:r w:rsidR="00954216" w:rsidRPr="00C47CE4">
        <w:rPr>
          <w:sz w:val="22"/>
          <w:szCs w:val="22"/>
        </w:rPr>
        <w:t xml:space="preserve">  </w:t>
      </w:r>
      <w:r w:rsidR="005075B3">
        <w:rPr>
          <w:sz w:val="22"/>
          <w:szCs w:val="22"/>
        </w:rPr>
        <w:t xml:space="preserve">Türkiye’nin altın hariç ihracatındaki </w:t>
      </w:r>
      <w:r w:rsidR="00954216" w:rsidRPr="000B52D7">
        <w:rPr>
          <w:sz w:val="22"/>
          <w:szCs w:val="22"/>
        </w:rPr>
        <w:t>payı</w:t>
      </w:r>
      <w:r w:rsidR="005075B3">
        <w:rPr>
          <w:sz w:val="22"/>
          <w:szCs w:val="22"/>
        </w:rPr>
        <w:t xml:space="preserve"> 2007’de</w:t>
      </w:r>
      <w:r w:rsidR="00954216" w:rsidRPr="000B52D7">
        <w:rPr>
          <w:sz w:val="22"/>
          <w:szCs w:val="22"/>
        </w:rPr>
        <w:t xml:space="preserve"> yüzde</w:t>
      </w:r>
      <w:r w:rsidR="00954216" w:rsidRPr="00C47CE4">
        <w:rPr>
          <w:sz w:val="22"/>
          <w:szCs w:val="22"/>
        </w:rPr>
        <w:t xml:space="preserve"> 17,6 iken, 2012 yılın</w:t>
      </w:r>
      <w:r w:rsidR="00954216">
        <w:rPr>
          <w:sz w:val="22"/>
          <w:szCs w:val="22"/>
        </w:rPr>
        <w:t>d</w:t>
      </w:r>
      <w:r w:rsidR="00954216" w:rsidRPr="00C47CE4">
        <w:rPr>
          <w:sz w:val="22"/>
          <w:szCs w:val="22"/>
        </w:rPr>
        <w:t>a yüzde 29,3’e kadar yükseldi</w:t>
      </w:r>
      <w:r w:rsidR="005075B3">
        <w:rPr>
          <w:sz w:val="22"/>
          <w:szCs w:val="22"/>
        </w:rPr>
        <w:t>ği</w:t>
      </w:r>
      <w:r w:rsidR="00954216">
        <w:rPr>
          <w:sz w:val="22"/>
          <w:szCs w:val="22"/>
        </w:rPr>
        <w:t>ni gözlemliyoruz</w:t>
      </w:r>
      <w:r w:rsidR="00954216" w:rsidRPr="00C47CE4">
        <w:rPr>
          <w:sz w:val="22"/>
          <w:szCs w:val="22"/>
        </w:rPr>
        <w:t>. Altın dahil toplam ihracat rakamlarına bakarsak daha çarpıcı bir tabloyla karşılaşıyoruz. KA+YOD’un 2012’de toplam ihracattaki payının yüzde 34,0</w:t>
      </w:r>
      <w:r w:rsidR="007944A4">
        <w:rPr>
          <w:sz w:val="22"/>
          <w:szCs w:val="22"/>
        </w:rPr>
        <w:t>’e</w:t>
      </w:r>
      <w:r w:rsidR="00954216" w:rsidRPr="00C47CE4">
        <w:rPr>
          <w:sz w:val="22"/>
          <w:szCs w:val="22"/>
        </w:rPr>
        <w:t xml:space="preserve"> yükseldiğini ve AB’nin payının ise yüzde 38,8’e düştüğünü görüyoruz.</w:t>
      </w:r>
    </w:p>
    <w:p w:rsidR="00954216" w:rsidRDefault="00954216" w:rsidP="00C2680C">
      <w:pPr>
        <w:spacing w:line="360" w:lineRule="auto"/>
        <w:jc w:val="both"/>
        <w:rPr>
          <w:sz w:val="22"/>
          <w:szCs w:val="22"/>
        </w:rPr>
      </w:pPr>
    </w:p>
    <w:p w:rsidR="00954216" w:rsidRDefault="00954216" w:rsidP="000F4BE6">
      <w:pPr>
        <w:spacing w:line="360" w:lineRule="auto"/>
        <w:ind w:left="-360" w:right="40"/>
        <w:jc w:val="center"/>
        <w:rPr>
          <w:b/>
          <w:bCs/>
          <w:sz w:val="22"/>
          <w:szCs w:val="22"/>
        </w:rPr>
      </w:pPr>
      <w:r w:rsidRPr="000F4BE6">
        <w:rPr>
          <w:b/>
          <w:bCs/>
          <w:sz w:val="22"/>
          <w:szCs w:val="22"/>
        </w:rPr>
        <w:t>Arap Baharı sonrası Kuzey Afrika’da durum iyileşiyor</w:t>
      </w:r>
    </w:p>
    <w:p w:rsidR="00954216" w:rsidRDefault="00954216" w:rsidP="000F4BE6">
      <w:pPr>
        <w:spacing w:line="360" w:lineRule="auto"/>
        <w:ind w:left="-360" w:right="40"/>
        <w:jc w:val="center"/>
        <w:rPr>
          <w:b/>
          <w:bCs/>
          <w:sz w:val="22"/>
          <w:szCs w:val="22"/>
        </w:rPr>
      </w:pPr>
    </w:p>
    <w:p w:rsidR="00954216" w:rsidRDefault="00A714BB" w:rsidP="00514904">
      <w:pPr>
        <w:spacing w:line="360" w:lineRule="auto"/>
        <w:ind w:left="-360" w:right="40"/>
        <w:jc w:val="both"/>
        <w:rPr>
          <w:sz w:val="22"/>
          <w:szCs w:val="22"/>
        </w:rPr>
      </w:pPr>
      <w:r>
        <w:rPr>
          <w:sz w:val="22"/>
          <w:szCs w:val="22"/>
        </w:rPr>
        <w:t>126 nolu Betam araştırma notunda</w:t>
      </w:r>
      <w:r w:rsidR="00954216" w:rsidRPr="00437C25">
        <w:rPr>
          <w:rStyle w:val="FootnoteReference"/>
          <w:sz w:val="22"/>
          <w:szCs w:val="22"/>
        </w:rPr>
        <w:footnoteReference w:id="6"/>
      </w:r>
      <w:r w:rsidR="00954216" w:rsidRPr="00437C25">
        <w:rPr>
          <w:sz w:val="22"/>
          <w:szCs w:val="22"/>
        </w:rPr>
        <w:t xml:space="preserve"> Arap Baharı</w:t>
      </w:r>
      <w:r w:rsidR="001C6E04">
        <w:rPr>
          <w:sz w:val="22"/>
          <w:szCs w:val="22"/>
        </w:rPr>
        <w:t>’</w:t>
      </w:r>
      <w:r w:rsidR="00954216" w:rsidRPr="00437C25">
        <w:rPr>
          <w:sz w:val="22"/>
          <w:szCs w:val="22"/>
        </w:rPr>
        <w:t xml:space="preserve">nın Kuzey Afrika’ya özellikle Libya’ya yapılan ihracata zarar verdiğini göstermiştik. </w:t>
      </w:r>
      <w:r w:rsidR="007944A4">
        <w:rPr>
          <w:sz w:val="22"/>
          <w:szCs w:val="22"/>
        </w:rPr>
        <w:t>Tablo 2</w:t>
      </w:r>
      <w:r w:rsidR="00954216">
        <w:rPr>
          <w:sz w:val="22"/>
          <w:szCs w:val="22"/>
        </w:rPr>
        <w:t xml:space="preserve">’de görüldüğü üzere </w:t>
      </w:r>
      <w:r w:rsidR="00954216" w:rsidRPr="00437C25">
        <w:rPr>
          <w:sz w:val="22"/>
          <w:szCs w:val="22"/>
        </w:rPr>
        <w:t xml:space="preserve">Libya’ya 2010 yılında Türkiye 1,9 milyar dolarlık ihracat yaparken Arap Baharı nedeniyle bu rakam 2011 yılında yüzde 61,3 azalmış ve 748 milyon dolara gerilemişti. Bu nedenle Kuzey Afrika’ya yapılan ihracatta 7 milyar dolardan 6,7 milyar dolara düşmüştü. Kaddafi’nin devrilmesinin ardından Libya’nın yeniden yapılanma sürecinde, bu ülkeye Türkiye’nin yaptığı ihracat 2012 yılında yüzde 186 </w:t>
      </w:r>
      <w:r w:rsidR="00954216" w:rsidRPr="00437C25">
        <w:rPr>
          <w:sz w:val="22"/>
          <w:szCs w:val="22"/>
        </w:rPr>
        <w:lastRenderedPageBreak/>
        <w:t>artarak Arap Baharı öncesindeki seviyenin üstüne çıktı ve 2,1 milyar dolara ulaştı. Libya’nın yanında Türkiye’nin Mısır’a yaptığı ihracatta da güçlü artışlar görülüyor. 2012 yılında Mısır’a yapılan ihracat yüzde 33,4 artarak 3,7 milyar dolara ulaştı. Son bir kaç yıldır Türkiye Mısır’a giderek artan bir oranda petrol ve petrolden elde edilen ürünler satıyor. Petrol ve petrolden elde edilen ürünler 2010 yılında Türkiye’nin Mısır’a yaptığı ihracatın yüzde 11,3’ünü oluşturu</w:t>
      </w:r>
      <w:r w:rsidR="00954216">
        <w:rPr>
          <w:sz w:val="22"/>
          <w:szCs w:val="22"/>
        </w:rPr>
        <w:t>r</w:t>
      </w:r>
      <w:r w:rsidR="00954216" w:rsidRPr="00437C25">
        <w:rPr>
          <w:sz w:val="22"/>
          <w:szCs w:val="22"/>
        </w:rPr>
        <w:t xml:space="preserve">ken 2012’de Mısır’a yapılan ihracatın yüzde 41,5’ini oluşturdu. Hem Mısır’a hem Libya’ya yapılan ihracat artışına paralel olarak Kuzey Afrika’ya yapılan toplam ihracat </w:t>
      </w:r>
      <w:r w:rsidR="00954216">
        <w:rPr>
          <w:sz w:val="22"/>
          <w:szCs w:val="22"/>
        </w:rPr>
        <w:t>2011’den 2012’ye yüzde</w:t>
      </w:r>
      <w:r w:rsidR="00954216" w:rsidRPr="00437C25">
        <w:rPr>
          <w:sz w:val="22"/>
          <w:szCs w:val="22"/>
        </w:rPr>
        <w:t xml:space="preserve"> 41 artarak 9,</w:t>
      </w:r>
      <w:r w:rsidR="00656144">
        <w:rPr>
          <w:sz w:val="22"/>
          <w:szCs w:val="22"/>
        </w:rPr>
        <w:t>4</w:t>
      </w:r>
      <w:r w:rsidR="00954216" w:rsidRPr="00437C25">
        <w:rPr>
          <w:sz w:val="22"/>
          <w:szCs w:val="22"/>
        </w:rPr>
        <w:t xml:space="preserve"> milyar dolara ulaştı.</w:t>
      </w:r>
    </w:p>
    <w:p w:rsidR="00954216" w:rsidRDefault="00954216" w:rsidP="00832C22">
      <w:pPr>
        <w:spacing w:line="360" w:lineRule="auto"/>
        <w:ind w:right="40"/>
        <w:jc w:val="both"/>
        <w:rPr>
          <w:b/>
          <w:bCs/>
          <w:sz w:val="22"/>
          <w:szCs w:val="22"/>
        </w:rPr>
      </w:pPr>
    </w:p>
    <w:p w:rsidR="00954216" w:rsidRDefault="00954216" w:rsidP="00143454">
      <w:pPr>
        <w:spacing w:line="360" w:lineRule="auto"/>
        <w:ind w:right="40"/>
        <w:jc w:val="center"/>
        <w:rPr>
          <w:b/>
          <w:bCs/>
          <w:sz w:val="22"/>
          <w:szCs w:val="22"/>
        </w:rPr>
      </w:pPr>
      <w:r w:rsidRPr="00124C84">
        <w:rPr>
          <w:b/>
          <w:bCs/>
          <w:sz w:val="22"/>
          <w:szCs w:val="22"/>
        </w:rPr>
        <w:t>Irak Almanya’nın yerini almak üzere</w:t>
      </w:r>
    </w:p>
    <w:p w:rsidR="00954216" w:rsidRPr="00124C84" w:rsidRDefault="00954216" w:rsidP="00832C22">
      <w:pPr>
        <w:spacing w:line="360" w:lineRule="auto"/>
        <w:ind w:right="40"/>
        <w:jc w:val="both"/>
        <w:rPr>
          <w:b/>
          <w:bCs/>
          <w:sz w:val="22"/>
          <w:szCs w:val="22"/>
        </w:rPr>
      </w:pPr>
    </w:p>
    <w:p w:rsidR="00954216" w:rsidRDefault="00954216" w:rsidP="00514904">
      <w:pPr>
        <w:spacing w:line="360" w:lineRule="auto"/>
        <w:ind w:left="-360" w:right="40"/>
        <w:jc w:val="both"/>
        <w:rPr>
          <w:sz w:val="22"/>
          <w:szCs w:val="22"/>
        </w:rPr>
      </w:pPr>
      <w:r w:rsidRPr="00422AED">
        <w:rPr>
          <w:sz w:val="22"/>
          <w:szCs w:val="22"/>
        </w:rPr>
        <w:t>Altın dahil rakamlara bakarsak 2012 yılında Türkiye’nin Yakın ve Orta Doğu’ya olan ihracatını yüzde 52 arttırdığını görüyoruz.</w:t>
      </w:r>
      <w:r>
        <w:rPr>
          <w:sz w:val="22"/>
          <w:szCs w:val="22"/>
        </w:rPr>
        <w:t xml:space="preserve"> </w:t>
      </w:r>
      <w:r w:rsidRPr="00422AED">
        <w:rPr>
          <w:sz w:val="22"/>
          <w:szCs w:val="22"/>
        </w:rPr>
        <w:t>Bu yüksek artışın büyük bir kısmı altın ihracatından kaynaklanıyor.</w:t>
      </w:r>
      <w:r>
        <w:rPr>
          <w:sz w:val="22"/>
          <w:szCs w:val="22"/>
        </w:rPr>
        <w:t xml:space="preserve"> </w:t>
      </w:r>
      <w:r w:rsidRPr="00422AED">
        <w:rPr>
          <w:sz w:val="22"/>
          <w:szCs w:val="22"/>
        </w:rPr>
        <w:t xml:space="preserve">Bu nedenle </w:t>
      </w:r>
      <w:r>
        <w:rPr>
          <w:sz w:val="22"/>
          <w:szCs w:val="22"/>
        </w:rPr>
        <w:t>altın hariç rakamlar</w:t>
      </w:r>
      <w:r w:rsidR="001C6E04">
        <w:rPr>
          <w:sz w:val="22"/>
          <w:szCs w:val="22"/>
        </w:rPr>
        <w:t>,</w:t>
      </w:r>
      <w:r>
        <w:rPr>
          <w:sz w:val="22"/>
          <w:szCs w:val="22"/>
        </w:rPr>
        <w:t xml:space="preserve"> </w:t>
      </w:r>
      <w:r w:rsidRPr="004041E6">
        <w:rPr>
          <w:sz w:val="22"/>
          <w:szCs w:val="22"/>
        </w:rPr>
        <w:t>ihracat trendleri konusunda bize</w:t>
      </w:r>
      <w:r w:rsidR="007944A4">
        <w:rPr>
          <w:sz w:val="22"/>
          <w:szCs w:val="22"/>
        </w:rPr>
        <w:t xml:space="preserve"> daha iyi fikir veriyor (Tablo 3</w:t>
      </w:r>
      <w:r w:rsidRPr="004041E6">
        <w:rPr>
          <w:sz w:val="22"/>
          <w:szCs w:val="22"/>
        </w:rPr>
        <w:t>).</w:t>
      </w:r>
      <w:r w:rsidR="008637BD">
        <w:rPr>
          <w:sz w:val="22"/>
          <w:szCs w:val="22"/>
        </w:rPr>
        <w:t xml:space="preserve"> 2011’den 2012</w:t>
      </w:r>
      <w:r w:rsidRPr="00422AED">
        <w:rPr>
          <w:sz w:val="22"/>
          <w:szCs w:val="22"/>
        </w:rPr>
        <w:t>’</w:t>
      </w:r>
      <w:r w:rsidR="008637BD">
        <w:rPr>
          <w:sz w:val="22"/>
          <w:szCs w:val="22"/>
        </w:rPr>
        <w:t>y</w:t>
      </w:r>
      <w:r w:rsidRPr="00422AED">
        <w:rPr>
          <w:sz w:val="22"/>
          <w:szCs w:val="22"/>
        </w:rPr>
        <w:t xml:space="preserve">e Türkiye’nin Yakın ve Orta Doğu’ya altın hariç </w:t>
      </w:r>
      <w:r w:rsidR="00656144">
        <w:rPr>
          <w:sz w:val="22"/>
          <w:szCs w:val="22"/>
        </w:rPr>
        <w:t>ihracatı yüzde 13,5 artarak 31,3</w:t>
      </w:r>
      <w:r w:rsidRPr="00422AED">
        <w:rPr>
          <w:sz w:val="22"/>
          <w:szCs w:val="22"/>
        </w:rPr>
        <w:t xml:space="preserve"> milyar dolara ulaştı. Bu ihracat artışına en büyük katkıyı Irak’a ve Suudi Arabistan’a yapılan ihracattaki artışlar sağladı. Irak’a yapılan ihracat bu hızda artmaya devam ederse Irak üç yıl içerisinde Türkiye’nin en büyük ihracat pazarı olacak gibi görünüyor. Buna karşılık Suriye’de süregelen iç savaş nedeniyle Türkiye’nin bu ülkeye olan ihracatı 2012 yılında yüzde 68,9 azalarak 1,6 milyar dolardan 501 milyon dolara düştü.</w:t>
      </w:r>
    </w:p>
    <w:p w:rsidR="001C6E04" w:rsidRDefault="001C6E04" w:rsidP="001C6E04">
      <w:pPr>
        <w:spacing w:line="360" w:lineRule="auto"/>
        <w:ind w:right="40"/>
        <w:rPr>
          <w:b/>
          <w:bCs/>
          <w:sz w:val="22"/>
          <w:szCs w:val="22"/>
        </w:rPr>
      </w:pPr>
    </w:p>
    <w:p w:rsidR="00954216" w:rsidRPr="007C5E36" w:rsidRDefault="00954216" w:rsidP="007C5E36">
      <w:pPr>
        <w:spacing w:line="360" w:lineRule="auto"/>
        <w:ind w:left="-360" w:right="40"/>
        <w:jc w:val="center"/>
        <w:rPr>
          <w:b/>
          <w:bCs/>
          <w:sz w:val="22"/>
          <w:szCs w:val="22"/>
        </w:rPr>
      </w:pPr>
      <w:r w:rsidRPr="007C5E36">
        <w:rPr>
          <w:b/>
          <w:bCs/>
          <w:sz w:val="22"/>
          <w:szCs w:val="22"/>
        </w:rPr>
        <w:lastRenderedPageBreak/>
        <w:t>AB Borç krizi 2012’de Türkiye’nin ihracatını vurdu</w:t>
      </w:r>
    </w:p>
    <w:p w:rsidR="00954216" w:rsidRDefault="00954216" w:rsidP="00F54396">
      <w:pPr>
        <w:spacing w:line="360" w:lineRule="auto"/>
        <w:ind w:right="40"/>
        <w:jc w:val="both"/>
        <w:rPr>
          <w:sz w:val="22"/>
          <w:szCs w:val="22"/>
        </w:rPr>
      </w:pPr>
    </w:p>
    <w:p w:rsidR="00954216" w:rsidRDefault="00954216" w:rsidP="00514904">
      <w:pPr>
        <w:spacing w:line="360" w:lineRule="auto"/>
        <w:ind w:left="-360" w:right="40"/>
        <w:jc w:val="both"/>
        <w:rPr>
          <w:sz w:val="22"/>
          <w:szCs w:val="22"/>
        </w:rPr>
      </w:pPr>
      <w:r>
        <w:rPr>
          <w:sz w:val="22"/>
          <w:szCs w:val="22"/>
        </w:rPr>
        <w:t>Avupa Birliği 2011 yılında borç krizine rağmen yüzde 1,5 büyüdü ve Türkiye’nin AB’ye olan ihracatı 2011’de 201</w:t>
      </w:r>
      <w:r w:rsidR="00656144">
        <w:rPr>
          <w:sz w:val="22"/>
          <w:szCs w:val="22"/>
        </w:rPr>
        <w:t>0’a göre yüzde 18,3 artarak 62,3</w:t>
      </w:r>
      <w:r>
        <w:rPr>
          <w:sz w:val="22"/>
          <w:szCs w:val="22"/>
        </w:rPr>
        <w:t xml:space="preserve"> milyar dolara yükseldi. 2012 yılında borç krizi derinleşmeye devam etti ve Eurostat verilerine göre AB yüzde 0,3 küçüldü. AB’deki daralma Türkiye’nin ihracatına da büyük bir darbe vurdu. İngiltere hariç AB’nin en büyük ekonomilerine (Almanya, Fransa ve İtalya)</w:t>
      </w:r>
      <w:r w:rsidRPr="00762349">
        <w:rPr>
          <w:sz w:val="22"/>
          <w:szCs w:val="22"/>
        </w:rPr>
        <w:t xml:space="preserve"> </w:t>
      </w:r>
      <w:r>
        <w:rPr>
          <w:sz w:val="22"/>
          <w:szCs w:val="22"/>
        </w:rPr>
        <w:t xml:space="preserve">Türkiye’nin yaptığı ihracat </w:t>
      </w:r>
      <w:r w:rsidR="001C6E04">
        <w:rPr>
          <w:sz w:val="22"/>
          <w:szCs w:val="22"/>
        </w:rPr>
        <w:t>azaldı</w:t>
      </w:r>
      <w:r>
        <w:rPr>
          <w:sz w:val="22"/>
          <w:szCs w:val="22"/>
        </w:rPr>
        <w:t xml:space="preserve">. Buna paralel olarak Türkiye’nin AB’ye olan ihracatı yüzde 5 </w:t>
      </w:r>
      <w:r w:rsidRPr="00403B2F">
        <w:rPr>
          <w:sz w:val="22"/>
          <w:szCs w:val="22"/>
        </w:rPr>
        <w:t xml:space="preserve">azalarak </w:t>
      </w:r>
      <w:r w:rsidR="00656144">
        <w:rPr>
          <w:sz w:val="22"/>
          <w:szCs w:val="22"/>
        </w:rPr>
        <w:t>62,3</w:t>
      </w:r>
      <w:r w:rsidR="00403B2F" w:rsidRPr="00403B2F">
        <w:rPr>
          <w:sz w:val="22"/>
          <w:szCs w:val="22"/>
        </w:rPr>
        <w:t xml:space="preserve"> milyar dolardan 59,2 milyar dolara</w:t>
      </w:r>
      <w:r w:rsidRPr="00403B2F">
        <w:rPr>
          <w:sz w:val="22"/>
          <w:szCs w:val="22"/>
        </w:rPr>
        <w:t xml:space="preserve"> geriledi.</w:t>
      </w:r>
    </w:p>
    <w:p w:rsidR="00954216" w:rsidRDefault="00954216" w:rsidP="00514904">
      <w:pPr>
        <w:spacing w:line="360" w:lineRule="auto"/>
        <w:ind w:left="-360" w:right="40"/>
        <w:jc w:val="both"/>
        <w:rPr>
          <w:sz w:val="22"/>
          <w:szCs w:val="22"/>
        </w:rPr>
      </w:pPr>
    </w:p>
    <w:p w:rsidR="00954216" w:rsidRDefault="00954216" w:rsidP="00514904">
      <w:pPr>
        <w:spacing w:line="360" w:lineRule="auto"/>
        <w:ind w:left="-360" w:right="40"/>
        <w:jc w:val="both"/>
        <w:rPr>
          <w:sz w:val="22"/>
          <w:szCs w:val="22"/>
        </w:rPr>
      </w:pPr>
      <w:r>
        <w:rPr>
          <w:sz w:val="22"/>
          <w:szCs w:val="22"/>
        </w:rPr>
        <w:t>Şekil 3’de AB ülkelerin</w:t>
      </w:r>
      <w:r w:rsidR="002804B4">
        <w:rPr>
          <w:sz w:val="22"/>
          <w:szCs w:val="22"/>
        </w:rPr>
        <w:t>in 2011-2012</w:t>
      </w:r>
      <w:r>
        <w:rPr>
          <w:sz w:val="22"/>
          <w:szCs w:val="22"/>
        </w:rPr>
        <w:t xml:space="preserve"> büyüme oranlarıyla, aynı dönemde Türkiye’nin AB ülkelerine yaptığı ihracat artış oranları arasındaki ilişki yer alıyor. Çok güçlü olmasa da pozitif bir ilişki olduğu rahatça gözüküyor. Romanya, Almanya ve Avustuya gibi ülkelerin 2011-2012 GSYH büyümesi pozitif olmasına rağmen Türkiye’nin bu ülkelere yaptığı ihracatın güçlü bir biçimde azalması da ilginç bir ayrıntı. Bunun yanında Danimarka ve Macaristan ise ekonomileri küçüldüğü halde ihracatın arttığı ülkeler.</w:t>
      </w:r>
    </w:p>
    <w:p w:rsidR="00954216" w:rsidRDefault="00954216" w:rsidP="00514904">
      <w:pPr>
        <w:spacing w:line="360" w:lineRule="auto"/>
        <w:ind w:left="-360" w:right="40"/>
        <w:jc w:val="both"/>
        <w:rPr>
          <w:sz w:val="22"/>
          <w:szCs w:val="22"/>
        </w:rPr>
      </w:pPr>
    </w:p>
    <w:p w:rsidR="00954216" w:rsidRPr="00C91D5B" w:rsidRDefault="00954216" w:rsidP="00C91D5B">
      <w:pPr>
        <w:spacing w:line="360" w:lineRule="auto"/>
        <w:ind w:left="-360" w:right="40"/>
        <w:jc w:val="center"/>
        <w:rPr>
          <w:b/>
          <w:bCs/>
          <w:sz w:val="22"/>
          <w:szCs w:val="22"/>
        </w:rPr>
      </w:pPr>
      <w:r w:rsidRPr="00C91D5B">
        <w:rPr>
          <w:b/>
          <w:bCs/>
          <w:sz w:val="22"/>
          <w:szCs w:val="22"/>
        </w:rPr>
        <w:t>2013 Beklentileri</w:t>
      </w:r>
    </w:p>
    <w:p w:rsidR="00954216" w:rsidRDefault="00954216" w:rsidP="00902047">
      <w:pPr>
        <w:spacing w:line="360" w:lineRule="auto"/>
        <w:ind w:left="-360" w:right="40"/>
        <w:jc w:val="both"/>
        <w:rPr>
          <w:sz w:val="22"/>
          <w:szCs w:val="22"/>
        </w:rPr>
      </w:pPr>
    </w:p>
    <w:p w:rsidR="00954216" w:rsidRDefault="001C6E04" w:rsidP="00902047">
      <w:pPr>
        <w:spacing w:line="360" w:lineRule="auto"/>
        <w:ind w:left="-360" w:right="40"/>
        <w:jc w:val="both"/>
        <w:rPr>
          <w:sz w:val="22"/>
          <w:szCs w:val="22"/>
        </w:rPr>
      </w:pPr>
      <w:r>
        <w:rPr>
          <w:sz w:val="22"/>
          <w:szCs w:val="22"/>
        </w:rPr>
        <w:t>2013 yılı i</w:t>
      </w:r>
      <w:r w:rsidR="00954216">
        <w:rPr>
          <w:sz w:val="22"/>
          <w:szCs w:val="22"/>
        </w:rPr>
        <w:t xml:space="preserve">hracatçılar için zor bir yıl olacak gibi görünüyor. </w:t>
      </w:r>
      <w:r w:rsidR="002804B4">
        <w:rPr>
          <w:sz w:val="22"/>
          <w:szCs w:val="22"/>
        </w:rPr>
        <w:t>Eurostat tahminlerine göre AB</w:t>
      </w:r>
      <w:r w:rsidR="00954216">
        <w:rPr>
          <w:sz w:val="22"/>
          <w:szCs w:val="22"/>
        </w:rPr>
        <w:t xml:space="preserve"> 2013 yılında yalnızca yüzde 0,1 büyüyecek. Bu düşük büyüme 2013 yılında AB’ye yapılan ihracatın çok sınırlı artacağını bize söylüyor. Orta Doğu ve Kuze</w:t>
      </w:r>
      <w:r w:rsidR="002804B4">
        <w:rPr>
          <w:sz w:val="22"/>
          <w:szCs w:val="22"/>
        </w:rPr>
        <w:t>y Afrika’ya güçlü ihracat artış</w:t>
      </w:r>
      <w:r w:rsidR="00954216">
        <w:rPr>
          <w:sz w:val="22"/>
          <w:szCs w:val="22"/>
        </w:rPr>
        <w:t xml:space="preserve"> trendinin </w:t>
      </w:r>
      <w:r w:rsidR="00954216">
        <w:rPr>
          <w:sz w:val="22"/>
          <w:szCs w:val="22"/>
        </w:rPr>
        <w:lastRenderedPageBreak/>
        <w:t>devam etmesi olası. AB’nin düşük büyüme oranını da hesaba kattığımızda 2013 yılında KA+YOD ülkelerinin toplam ihracattaki payı artmaya devam edecek. Buna karşılık Suriye’de yaşanan iç savaş ve İran’a uygulanan ambargolar nedeniyle bu iki ülkeye yapılan ihracat sert bir biçimde düşmesi beklene</w:t>
      </w:r>
      <w:r w:rsidR="002804B4">
        <w:rPr>
          <w:sz w:val="22"/>
          <w:szCs w:val="22"/>
        </w:rPr>
        <w:t>bilir. Hem AB’nin düşük büyüme</w:t>
      </w:r>
      <w:r w:rsidR="00954216">
        <w:rPr>
          <w:sz w:val="22"/>
          <w:szCs w:val="22"/>
        </w:rPr>
        <w:t xml:space="preserve"> performansı hem de İran’a yapılan</w:t>
      </w:r>
      <w:bookmarkStart w:id="0" w:name="_GoBack"/>
      <w:bookmarkEnd w:id="0"/>
      <w:r w:rsidR="00954216">
        <w:rPr>
          <w:sz w:val="22"/>
          <w:szCs w:val="22"/>
        </w:rPr>
        <w:t xml:space="preserve"> altın ihracatının azalmasıyla nedeniyle 2013 yılında Türkiye’nin ihracat performansı</w:t>
      </w:r>
      <w:r w:rsidR="002804B4">
        <w:rPr>
          <w:sz w:val="22"/>
          <w:szCs w:val="22"/>
        </w:rPr>
        <w:t xml:space="preserve"> pek</w:t>
      </w:r>
      <w:r w:rsidR="00954216">
        <w:rPr>
          <w:sz w:val="22"/>
          <w:szCs w:val="22"/>
        </w:rPr>
        <w:t xml:space="preserve"> parlak olmayacak gibi gözüküyor. </w:t>
      </w:r>
    </w:p>
    <w:p w:rsidR="00954216" w:rsidRDefault="00954216" w:rsidP="0028676D">
      <w:pPr>
        <w:spacing w:line="360" w:lineRule="auto"/>
        <w:ind w:right="40"/>
        <w:jc w:val="both"/>
        <w:rPr>
          <w:sz w:val="22"/>
          <w:szCs w:val="22"/>
        </w:rPr>
        <w:sectPr w:rsidR="00954216" w:rsidSect="000A234F">
          <w:type w:val="continuous"/>
          <w:pgSz w:w="11906" w:h="16838"/>
          <w:pgMar w:top="1417" w:right="1417" w:bottom="1417" w:left="1417" w:header="708" w:footer="708" w:gutter="0"/>
          <w:cols w:num="2" w:space="708" w:equalWidth="0">
            <w:col w:w="4182" w:space="708"/>
            <w:col w:w="4182"/>
          </w:cols>
          <w:docGrid w:linePitch="360"/>
        </w:sectPr>
      </w:pPr>
    </w:p>
    <w:p w:rsidR="00954216" w:rsidRDefault="00954216" w:rsidP="00310FD8">
      <w:pPr>
        <w:spacing w:line="360" w:lineRule="auto"/>
        <w:ind w:right="40"/>
        <w:jc w:val="both"/>
        <w:rPr>
          <w:sz w:val="22"/>
          <w:szCs w:val="22"/>
        </w:rPr>
      </w:pPr>
      <w:r w:rsidRPr="0028676D">
        <w:rPr>
          <w:b/>
          <w:bCs/>
          <w:sz w:val="22"/>
          <w:szCs w:val="22"/>
        </w:rPr>
        <w:lastRenderedPageBreak/>
        <w:t>Şekil 1.</w:t>
      </w:r>
      <w:r>
        <w:rPr>
          <w:sz w:val="22"/>
          <w:szCs w:val="22"/>
        </w:rPr>
        <w:t xml:space="preserve"> Ocak 2012-Ocak 2013 arasında Türkiye’nin İran’a ve Birleşik Arap Emirliklerine</w:t>
      </w:r>
      <w:r w:rsidR="002804B4">
        <w:rPr>
          <w:sz w:val="22"/>
          <w:szCs w:val="22"/>
        </w:rPr>
        <w:t xml:space="preserve"> (BAE)</w:t>
      </w:r>
      <w:r>
        <w:rPr>
          <w:sz w:val="22"/>
          <w:szCs w:val="22"/>
        </w:rPr>
        <w:t xml:space="preserve"> yaptığı altın ihracatı. (Milyon $)</w:t>
      </w:r>
    </w:p>
    <w:p w:rsidR="00954216" w:rsidRDefault="00BC4180" w:rsidP="0028676D">
      <w:pPr>
        <w:ind w:right="40"/>
        <w:jc w:val="both"/>
        <w:rPr>
          <w:sz w:val="22"/>
          <w:szCs w:val="22"/>
        </w:rPr>
      </w:pPr>
      <w:r>
        <w:rPr>
          <w:noProof/>
          <w:lang w:val="en-US" w:eastAsia="en-US"/>
        </w:rPr>
        <w:drawing>
          <wp:inline distT="0" distB="0" distL="0" distR="0">
            <wp:extent cx="8531225" cy="427037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531225" cy="4270375"/>
                    </a:xfrm>
                    <a:prstGeom prst="rect">
                      <a:avLst/>
                    </a:prstGeom>
                    <a:noFill/>
                    <a:ln w="9525">
                      <a:noFill/>
                      <a:miter lim="800000"/>
                      <a:headEnd/>
                      <a:tailEnd/>
                    </a:ln>
                  </pic:spPr>
                </pic:pic>
              </a:graphicData>
            </a:graphic>
          </wp:inline>
        </w:drawing>
      </w:r>
    </w:p>
    <w:p w:rsidR="00954216" w:rsidRPr="0028676D" w:rsidRDefault="00954216" w:rsidP="0028676D">
      <w:pPr>
        <w:ind w:right="40"/>
        <w:jc w:val="both"/>
        <w:rPr>
          <w:sz w:val="18"/>
          <w:szCs w:val="18"/>
        </w:rPr>
      </w:pPr>
      <w:r w:rsidRPr="0028676D">
        <w:rPr>
          <w:sz w:val="18"/>
          <w:szCs w:val="18"/>
        </w:rPr>
        <w:t>Kaynak: TÜİK, Betam.</w:t>
      </w:r>
    </w:p>
    <w:p w:rsidR="00954216" w:rsidRDefault="00954216" w:rsidP="00310FD8">
      <w:pPr>
        <w:spacing w:line="360" w:lineRule="auto"/>
        <w:ind w:right="40"/>
        <w:jc w:val="both"/>
        <w:rPr>
          <w:sz w:val="22"/>
          <w:szCs w:val="22"/>
        </w:rPr>
      </w:pPr>
    </w:p>
    <w:p w:rsidR="00954216" w:rsidRDefault="00954216" w:rsidP="00310FD8">
      <w:pPr>
        <w:spacing w:line="360" w:lineRule="auto"/>
        <w:ind w:right="40"/>
        <w:jc w:val="both"/>
        <w:rPr>
          <w:sz w:val="22"/>
          <w:szCs w:val="22"/>
        </w:rPr>
      </w:pPr>
    </w:p>
    <w:p w:rsidR="00954216" w:rsidRDefault="00954216" w:rsidP="00310FD8">
      <w:pPr>
        <w:spacing w:line="360" w:lineRule="auto"/>
        <w:ind w:right="40"/>
        <w:jc w:val="both"/>
        <w:rPr>
          <w:sz w:val="22"/>
          <w:szCs w:val="22"/>
        </w:rPr>
      </w:pPr>
    </w:p>
    <w:p w:rsidR="00954216" w:rsidRDefault="00954216" w:rsidP="00310FD8">
      <w:pPr>
        <w:spacing w:line="360" w:lineRule="auto"/>
        <w:ind w:right="40"/>
        <w:jc w:val="both"/>
        <w:rPr>
          <w:sz w:val="22"/>
          <w:szCs w:val="22"/>
        </w:rPr>
      </w:pPr>
    </w:p>
    <w:p w:rsidR="00954216" w:rsidRPr="0028676D" w:rsidRDefault="00954216" w:rsidP="0028676D">
      <w:pPr>
        <w:spacing w:line="360" w:lineRule="auto"/>
        <w:ind w:right="40"/>
        <w:rPr>
          <w:sz w:val="22"/>
          <w:szCs w:val="22"/>
        </w:rPr>
      </w:pPr>
      <w:r w:rsidRPr="00403B2F">
        <w:rPr>
          <w:b/>
          <w:bCs/>
          <w:sz w:val="22"/>
          <w:szCs w:val="22"/>
        </w:rPr>
        <w:lastRenderedPageBreak/>
        <w:t>Şekil 2.</w:t>
      </w:r>
      <w:r w:rsidRPr="0028676D">
        <w:rPr>
          <w:sz w:val="22"/>
          <w:szCs w:val="22"/>
        </w:rPr>
        <w:t xml:space="preserve"> 1999 – 2011 yılları arasında ülke gruplarına yapılan</w:t>
      </w:r>
      <w:r>
        <w:rPr>
          <w:sz w:val="22"/>
          <w:szCs w:val="22"/>
        </w:rPr>
        <w:t xml:space="preserve"> altın hariç</w:t>
      </w:r>
      <w:r w:rsidRPr="0028676D">
        <w:rPr>
          <w:sz w:val="22"/>
          <w:szCs w:val="22"/>
        </w:rPr>
        <w:t xml:space="preserve"> ihracatın toplam</w:t>
      </w:r>
      <w:r>
        <w:rPr>
          <w:sz w:val="22"/>
          <w:szCs w:val="22"/>
        </w:rPr>
        <w:t xml:space="preserve"> </w:t>
      </w:r>
      <w:r w:rsidRPr="0028676D">
        <w:rPr>
          <w:sz w:val="22"/>
          <w:szCs w:val="22"/>
        </w:rPr>
        <w:t>içindeki yüzdesi ve nominal olarak büyüme oranları. (Çizgi grafikler ülke gruplarının ihracat içindeki yüzde</w:t>
      </w:r>
      <w:r>
        <w:rPr>
          <w:sz w:val="22"/>
          <w:szCs w:val="22"/>
        </w:rPr>
        <w:t>lerini</w:t>
      </w:r>
      <w:r w:rsidRPr="0028676D">
        <w:rPr>
          <w:sz w:val="22"/>
          <w:szCs w:val="22"/>
        </w:rPr>
        <w:t xml:space="preserve"> gösterirken, bar grafikler yıllık büyüme oranlarını göstermektedir.)  </w:t>
      </w:r>
    </w:p>
    <w:p w:rsidR="00954216" w:rsidRDefault="00B370FC" w:rsidP="0028676D">
      <w:pPr>
        <w:ind w:right="40"/>
        <w:jc w:val="both"/>
        <w:rPr>
          <w:sz w:val="22"/>
          <w:szCs w:val="22"/>
        </w:rPr>
      </w:pPr>
      <w:r w:rsidRPr="00B370FC">
        <w:rPr>
          <w:noProof/>
          <w:szCs w:val="22"/>
          <w:lang w:val="en-US" w:eastAsia="en-US"/>
        </w:rPr>
        <w:drawing>
          <wp:inline distT="0" distB="0" distL="0" distR="0">
            <wp:extent cx="8574405" cy="477901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574405" cy="4779010"/>
                    </a:xfrm>
                    <a:prstGeom prst="rect">
                      <a:avLst/>
                    </a:prstGeom>
                    <a:noFill/>
                    <a:ln w="9525">
                      <a:noFill/>
                      <a:miter lim="800000"/>
                      <a:headEnd/>
                      <a:tailEnd/>
                    </a:ln>
                  </pic:spPr>
                </pic:pic>
              </a:graphicData>
            </a:graphic>
          </wp:inline>
        </w:drawing>
      </w:r>
    </w:p>
    <w:p w:rsidR="00954216" w:rsidRPr="0028676D" w:rsidRDefault="00954216" w:rsidP="0028676D">
      <w:pPr>
        <w:ind w:right="40"/>
        <w:jc w:val="both"/>
        <w:rPr>
          <w:sz w:val="18"/>
          <w:szCs w:val="18"/>
        </w:rPr>
      </w:pPr>
      <w:r w:rsidRPr="0028676D">
        <w:rPr>
          <w:sz w:val="18"/>
          <w:szCs w:val="18"/>
        </w:rPr>
        <w:t xml:space="preserve">Kaynak: TÜİK, Betam. </w:t>
      </w:r>
    </w:p>
    <w:p w:rsidR="00954216" w:rsidRDefault="00954216" w:rsidP="00310FD8">
      <w:pPr>
        <w:spacing w:line="360" w:lineRule="auto"/>
        <w:ind w:right="40"/>
        <w:jc w:val="both"/>
        <w:rPr>
          <w:b/>
          <w:bCs/>
          <w:sz w:val="22"/>
          <w:szCs w:val="22"/>
        </w:rPr>
      </w:pPr>
    </w:p>
    <w:p w:rsidR="00954216" w:rsidRDefault="007944A4" w:rsidP="00310FD8">
      <w:pPr>
        <w:spacing w:line="360" w:lineRule="auto"/>
        <w:ind w:right="40"/>
        <w:jc w:val="both"/>
        <w:rPr>
          <w:sz w:val="22"/>
          <w:szCs w:val="22"/>
        </w:rPr>
      </w:pPr>
      <w:r>
        <w:rPr>
          <w:b/>
          <w:bCs/>
          <w:sz w:val="22"/>
          <w:szCs w:val="22"/>
        </w:rPr>
        <w:lastRenderedPageBreak/>
        <w:t>Tablo 2</w:t>
      </w:r>
      <w:r w:rsidR="00954216" w:rsidRPr="00553380">
        <w:rPr>
          <w:b/>
          <w:bCs/>
          <w:sz w:val="22"/>
          <w:szCs w:val="22"/>
        </w:rPr>
        <w:t>.</w:t>
      </w:r>
      <w:r w:rsidR="00954216">
        <w:rPr>
          <w:sz w:val="22"/>
          <w:szCs w:val="22"/>
        </w:rPr>
        <w:t xml:space="preserve"> AB-27, Kuzey Afrika ve Ya</w:t>
      </w:r>
      <w:r w:rsidR="00B370FC">
        <w:rPr>
          <w:sz w:val="22"/>
          <w:szCs w:val="22"/>
        </w:rPr>
        <w:t>kın ve Orta Doğu ülkelerine 2010-2012</w:t>
      </w:r>
      <w:r w:rsidR="00954216">
        <w:rPr>
          <w:sz w:val="22"/>
          <w:szCs w:val="22"/>
        </w:rPr>
        <w:t xml:space="preserve"> yıllarında yapılan </w:t>
      </w:r>
      <w:r w:rsidR="00954216" w:rsidRPr="00A714BB">
        <w:rPr>
          <w:b/>
          <w:sz w:val="22"/>
          <w:szCs w:val="22"/>
          <w:u w:val="single"/>
        </w:rPr>
        <w:t>nominal ihracat</w:t>
      </w:r>
      <w:r w:rsidR="00954216">
        <w:rPr>
          <w:sz w:val="22"/>
          <w:szCs w:val="22"/>
        </w:rPr>
        <w:t xml:space="preserve"> (milyon $) ve toplam </w:t>
      </w:r>
      <w:r w:rsidR="00403B2F">
        <w:rPr>
          <w:sz w:val="22"/>
          <w:szCs w:val="22"/>
        </w:rPr>
        <w:t>içindeki</w:t>
      </w:r>
      <w:r w:rsidR="00954216">
        <w:rPr>
          <w:sz w:val="22"/>
          <w:szCs w:val="22"/>
        </w:rPr>
        <w:t xml:space="preserve"> payları.</w:t>
      </w:r>
    </w:p>
    <w:tbl>
      <w:tblPr>
        <w:tblW w:w="13200" w:type="dxa"/>
        <w:tblInd w:w="-106" w:type="dxa"/>
        <w:tblLook w:val="00A0"/>
      </w:tblPr>
      <w:tblGrid>
        <w:gridCol w:w="1891"/>
        <w:gridCol w:w="771"/>
        <w:gridCol w:w="771"/>
        <w:gridCol w:w="771"/>
        <w:gridCol w:w="617"/>
        <w:gridCol w:w="617"/>
        <w:gridCol w:w="617"/>
        <w:gridCol w:w="400"/>
        <w:gridCol w:w="2665"/>
        <w:gridCol w:w="851"/>
        <w:gridCol w:w="851"/>
        <w:gridCol w:w="851"/>
        <w:gridCol w:w="617"/>
        <w:gridCol w:w="617"/>
        <w:gridCol w:w="617"/>
      </w:tblGrid>
      <w:tr w:rsidR="00954216" w:rsidRPr="00F23C2F">
        <w:trPr>
          <w:trHeight w:val="255"/>
        </w:trPr>
        <w:tc>
          <w:tcPr>
            <w:tcW w:w="592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AB -27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bookmarkStart w:id="1" w:name="RANGE_J2_P27"/>
            <w:r w:rsidRPr="000E138F">
              <w:rPr>
                <w:rFonts w:ascii="Arial" w:hAnsi="Arial" w:cs="Arial"/>
                <w:b/>
                <w:bCs/>
                <w:sz w:val="18"/>
                <w:szCs w:val="18"/>
                <w:lang w:val="en-US" w:eastAsia="en-US"/>
              </w:rPr>
              <w:t xml:space="preserve">Kuzey Afrika </w:t>
            </w:r>
            <w:bookmarkEnd w:id="1"/>
          </w:p>
        </w:tc>
      </w:tr>
      <w:tr w:rsidR="00954216" w:rsidRPr="00F23C2F">
        <w:trPr>
          <w:trHeight w:val="255"/>
        </w:trPr>
        <w:tc>
          <w:tcPr>
            <w:tcW w:w="1891" w:type="dxa"/>
            <w:tcBorders>
              <w:top w:val="nil"/>
              <w:left w:val="single" w:sz="4" w:space="0" w:color="auto"/>
              <w:bottom w:val="single" w:sz="4" w:space="0" w:color="auto"/>
              <w:right w:val="single" w:sz="4" w:space="0" w:color="auto"/>
            </w:tcBorders>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 </w:t>
            </w:r>
          </w:p>
        </w:tc>
        <w:tc>
          <w:tcPr>
            <w:tcW w:w="2313"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Nominal</w:t>
            </w:r>
          </w:p>
        </w:tc>
        <w:tc>
          <w:tcPr>
            <w:tcW w:w="1716" w:type="dxa"/>
            <w:gridSpan w:val="3"/>
            <w:tcBorders>
              <w:top w:val="single" w:sz="4" w:space="0" w:color="auto"/>
              <w:left w:val="nil"/>
              <w:bottom w:val="single" w:sz="4" w:space="0" w:color="auto"/>
              <w:right w:val="single" w:sz="4" w:space="0" w:color="000000"/>
            </w:tcBorders>
            <w:noWrap/>
            <w:vAlign w:val="center"/>
          </w:tcPr>
          <w:p w:rsidR="00954216" w:rsidRPr="00363689" w:rsidRDefault="00954216" w:rsidP="00F23C2F">
            <w:pPr>
              <w:jc w:val="center"/>
              <w:rPr>
                <w:rFonts w:ascii="Arial" w:hAnsi="Arial" w:cs="Arial"/>
                <w:b/>
                <w:bCs/>
                <w:sz w:val="18"/>
                <w:szCs w:val="18"/>
                <w:lang w:eastAsia="en-US"/>
              </w:rPr>
            </w:pPr>
            <w:r w:rsidRPr="00363689">
              <w:rPr>
                <w:rFonts w:ascii="Arial" w:hAnsi="Arial" w:cs="Arial"/>
                <w:b/>
                <w:bCs/>
                <w:sz w:val="18"/>
                <w:szCs w:val="18"/>
                <w:lang w:eastAsia="en-US"/>
              </w:rPr>
              <w:t>Paylar</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 </w:t>
            </w:r>
          </w:p>
        </w:tc>
        <w:tc>
          <w:tcPr>
            <w:tcW w:w="2553"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Nominal</w:t>
            </w:r>
          </w:p>
        </w:tc>
        <w:tc>
          <w:tcPr>
            <w:tcW w:w="1662"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Paylar</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 </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 </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Almanya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11,479</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13,951</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13,132</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Mısır</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2,251</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2,759</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3,680</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İngiltere</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7,236</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8,151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8,701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Libya</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1,932</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748</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2,140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İtalya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6,505</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7,851</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6,376</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5.7</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5.8</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Cezayir</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1,505</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1,471</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1,813</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Fransa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6,054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6,806</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6,202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Fas</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624</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921</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1,015</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İspanya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3,536</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3,918</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3,721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Tunus</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714</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802</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797</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Hollanda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2,461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3,243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3,248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Kuzey Afrika Toplam</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7,025</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6,701</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9,445</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6.2</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5.0</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6.2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Romanya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2,599</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2,879</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2,497</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Yakın ve Orta Doğu</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Belçika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1,960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2,451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2,360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Irak</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6,036</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8,310</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10,828</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5.3</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7.1</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Polonya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1,504</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1,758</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1,854</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İran</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3,044</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3,590</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9,923</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6.5</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Bulgaristan</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1,497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1,623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1,682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BAE</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3,333</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3,707</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8,176</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Yunanistan</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1,456</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1,553</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1,402</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0.9</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Suudi Arabistan</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2,218</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2,763</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3,678</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İsveç</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947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1,183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1,187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0.9</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Azerbaycan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1,550</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2,064</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2,587</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Avusturya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835</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1,053</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1,001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İsrail</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2,080</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2,391</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2,330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Danimarka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765</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881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985</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Gürcistan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769</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1,092</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1,254</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Malta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410</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900</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919</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Lübnan</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618</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718</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846</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Çek Cumhuriyeti</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694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888</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786</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Ürdün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571</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507</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771</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Slovenya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357</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617</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548</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Suriye</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1,845</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1,610</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501</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Macaristan</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509</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518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Yemen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330</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273</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486</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Portekiz</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465</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446</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Kuveyt</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395</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297</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291</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Slovakya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455</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402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Umman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129</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215</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269</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İrlanda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339</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354</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348</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Katar</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163</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188</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257</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Finlandiya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302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Bahreyn</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172</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160</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color w:val="000000"/>
                <w:sz w:val="18"/>
                <w:szCs w:val="18"/>
                <w:lang w:val="en-US" w:eastAsia="en-US"/>
              </w:rPr>
            </w:pPr>
            <w:r w:rsidRPr="00F23C2F">
              <w:rPr>
                <w:rFonts w:ascii="Arial" w:hAnsi="Arial" w:cs="Arial"/>
                <w:color w:val="000000"/>
                <w:sz w:val="18"/>
                <w:szCs w:val="18"/>
                <w:lang w:val="en-US" w:eastAsia="en-US"/>
              </w:rPr>
              <w:t>209</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Litvanya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208</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274</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276</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Filistin</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40</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49</w:t>
            </w:r>
          </w:p>
        </w:tc>
        <w:tc>
          <w:tcPr>
            <w:tcW w:w="85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63</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5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Estonya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169</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vAlign w:val="center"/>
          </w:tcPr>
          <w:p w:rsidR="00954216" w:rsidRPr="0095562B" w:rsidRDefault="00954216" w:rsidP="000E138F">
            <w:pPr>
              <w:rPr>
                <w:rFonts w:ascii="Arial" w:hAnsi="Arial" w:cs="Arial"/>
                <w:b/>
                <w:bCs/>
                <w:color w:val="000000"/>
                <w:sz w:val="18"/>
                <w:szCs w:val="18"/>
                <w:lang w:val="es-ES" w:eastAsia="en-US"/>
              </w:rPr>
            </w:pPr>
            <w:r w:rsidRPr="0095562B">
              <w:rPr>
                <w:rFonts w:ascii="Arial" w:hAnsi="Arial" w:cs="Arial"/>
                <w:b/>
                <w:bCs/>
                <w:color w:val="000000"/>
                <w:sz w:val="18"/>
                <w:szCs w:val="18"/>
                <w:lang w:val="es-ES" w:eastAsia="en-US"/>
              </w:rPr>
              <w:t>Yakın ve Orta Doğu Toplam</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b/>
                <w:bCs/>
                <w:color w:val="000000"/>
                <w:sz w:val="18"/>
                <w:szCs w:val="18"/>
                <w:lang w:val="en-US" w:eastAsia="en-US"/>
              </w:rPr>
            </w:pPr>
            <w:r w:rsidRPr="00F23C2F">
              <w:rPr>
                <w:rFonts w:ascii="Arial" w:hAnsi="Arial" w:cs="Arial"/>
                <w:b/>
                <w:bCs/>
                <w:color w:val="000000"/>
                <w:sz w:val="18"/>
                <w:szCs w:val="18"/>
                <w:lang w:val="en-US" w:eastAsia="en-US"/>
              </w:rPr>
              <w:t>23,295</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b/>
                <w:bCs/>
                <w:color w:val="000000"/>
                <w:sz w:val="18"/>
                <w:szCs w:val="18"/>
                <w:lang w:val="en-US" w:eastAsia="en-US"/>
              </w:rPr>
            </w:pPr>
            <w:r w:rsidRPr="00F23C2F">
              <w:rPr>
                <w:rFonts w:ascii="Arial" w:hAnsi="Arial" w:cs="Arial"/>
                <w:b/>
                <w:bCs/>
                <w:color w:val="000000"/>
                <w:sz w:val="18"/>
                <w:szCs w:val="18"/>
                <w:lang w:val="en-US" w:eastAsia="en-US"/>
              </w:rPr>
              <w:t>27,935</w:t>
            </w:r>
          </w:p>
        </w:tc>
        <w:tc>
          <w:tcPr>
            <w:tcW w:w="851" w:type="dxa"/>
            <w:tcBorders>
              <w:top w:val="nil"/>
              <w:left w:val="nil"/>
              <w:bottom w:val="single" w:sz="4" w:space="0" w:color="auto"/>
              <w:right w:val="single" w:sz="4" w:space="0" w:color="auto"/>
            </w:tcBorders>
            <w:vAlign w:val="center"/>
          </w:tcPr>
          <w:p w:rsidR="00954216" w:rsidRPr="00F23C2F" w:rsidRDefault="00954216" w:rsidP="000E138F">
            <w:pPr>
              <w:jc w:val="right"/>
              <w:rPr>
                <w:rFonts w:ascii="Arial" w:hAnsi="Arial" w:cs="Arial"/>
                <w:b/>
                <w:bCs/>
                <w:color w:val="000000"/>
                <w:sz w:val="18"/>
                <w:szCs w:val="18"/>
                <w:lang w:val="en-US" w:eastAsia="en-US"/>
              </w:rPr>
            </w:pPr>
            <w:r w:rsidRPr="00F23C2F">
              <w:rPr>
                <w:rFonts w:ascii="Arial" w:hAnsi="Arial" w:cs="Arial"/>
                <w:b/>
                <w:bCs/>
                <w:color w:val="000000"/>
                <w:sz w:val="18"/>
                <w:szCs w:val="18"/>
                <w:lang w:val="en-US" w:eastAsia="en-US"/>
              </w:rPr>
              <w:t>42,468</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20.5</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20.7</w:t>
            </w:r>
          </w:p>
        </w:tc>
        <w:tc>
          <w:tcPr>
            <w:tcW w:w="55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27.8</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Letonya</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66</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116</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127</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95562B" w:rsidRDefault="00954216" w:rsidP="00F23C2F">
            <w:pPr>
              <w:jc w:val="center"/>
              <w:rPr>
                <w:rFonts w:ascii="Arial" w:hAnsi="Arial" w:cs="Arial"/>
                <w:b/>
                <w:bCs/>
                <w:sz w:val="18"/>
                <w:szCs w:val="18"/>
                <w:lang w:val="es-ES" w:eastAsia="en-US"/>
              </w:rPr>
            </w:pPr>
            <w:r w:rsidRPr="0095562B">
              <w:rPr>
                <w:rFonts w:ascii="Arial" w:hAnsi="Arial" w:cs="Arial"/>
                <w:b/>
                <w:bCs/>
                <w:sz w:val="18"/>
                <w:szCs w:val="18"/>
                <w:lang w:val="es-ES" w:eastAsia="en-US"/>
              </w:rPr>
              <w:t>Kuzey Afrika + Yakın ve Orta Doğu</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Lüksemburg</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single" w:sz="4" w:space="0" w:color="auto"/>
              <w:bottom w:val="single" w:sz="4" w:space="0" w:color="auto"/>
              <w:right w:val="single" w:sz="4" w:space="0" w:color="auto"/>
            </w:tcBorders>
            <w:shd w:val="clear" w:color="000000" w:fill="C0C0C0"/>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KA+YOD Toplam</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30,320</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34,636</w:t>
            </w:r>
          </w:p>
        </w:tc>
        <w:tc>
          <w:tcPr>
            <w:tcW w:w="85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51,913</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26.6</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25.7</w:t>
            </w:r>
          </w:p>
        </w:tc>
        <w:tc>
          <w:tcPr>
            <w:tcW w:w="554"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34.0</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EEECE1"/>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Güney Kıbrıs</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w:t>
            </w:r>
          </w:p>
        </w:tc>
        <w:tc>
          <w:tcPr>
            <w:tcW w:w="771"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EEECE1"/>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0E138F" w:rsidRDefault="00954216" w:rsidP="000E138F">
            <w:pPr>
              <w:rPr>
                <w:rFonts w:ascii="Arial" w:hAnsi="Arial" w:cs="Arial"/>
                <w:b/>
                <w:bCs/>
                <w:sz w:val="18"/>
                <w:szCs w:val="18"/>
                <w:lang w:val="en-US" w:eastAsia="en-US"/>
              </w:rPr>
            </w:pPr>
            <w:r w:rsidRPr="000E138F">
              <w:rPr>
                <w:rFonts w:ascii="Arial" w:hAnsi="Arial" w:cs="Arial"/>
                <w:b/>
                <w:bCs/>
                <w:sz w:val="18"/>
                <w:szCs w:val="18"/>
                <w:lang w:val="en-US" w:eastAsia="en-US"/>
              </w:rPr>
              <w:t>AB-27 Toplam</w:t>
            </w:r>
          </w:p>
        </w:tc>
        <w:tc>
          <w:tcPr>
            <w:tcW w:w="77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52,685</w:t>
            </w:r>
          </w:p>
        </w:tc>
        <w:tc>
          <w:tcPr>
            <w:tcW w:w="77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62,347</w:t>
            </w:r>
          </w:p>
        </w:tc>
        <w:tc>
          <w:tcPr>
            <w:tcW w:w="771"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59,232</w:t>
            </w:r>
          </w:p>
        </w:tc>
        <w:tc>
          <w:tcPr>
            <w:tcW w:w="572"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46.3</w:t>
            </w:r>
          </w:p>
        </w:tc>
        <w:tc>
          <w:tcPr>
            <w:tcW w:w="572"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46.2</w:t>
            </w:r>
          </w:p>
        </w:tc>
        <w:tc>
          <w:tcPr>
            <w:tcW w:w="572" w:type="dxa"/>
            <w:tcBorders>
              <w:top w:val="nil"/>
              <w:left w:val="nil"/>
              <w:bottom w:val="single" w:sz="4" w:space="0" w:color="auto"/>
              <w:right w:val="single" w:sz="4" w:space="0" w:color="auto"/>
            </w:tcBorders>
            <w:shd w:val="clear" w:color="000000" w:fill="C0C0C0"/>
            <w:noWrap/>
            <w:vAlign w:val="center"/>
          </w:tcPr>
          <w:p w:rsidR="00954216" w:rsidRPr="000E138F" w:rsidRDefault="00954216" w:rsidP="000E138F">
            <w:pPr>
              <w:jc w:val="right"/>
              <w:rPr>
                <w:rFonts w:ascii="Arial" w:hAnsi="Arial" w:cs="Arial"/>
                <w:b/>
                <w:bCs/>
                <w:sz w:val="18"/>
                <w:szCs w:val="18"/>
                <w:lang w:val="en-US" w:eastAsia="en-US"/>
              </w:rPr>
            </w:pPr>
            <w:r w:rsidRPr="000E138F">
              <w:rPr>
                <w:rFonts w:ascii="Arial" w:hAnsi="Arial" w:cs="Arial"/>
                <w:b/>
                <w:bCs/>
                <w:sz w:val="18"/>
                <w:szCs w:val="18"/>
                <w:lang w:val="en-US" w:eastAsia="en-US"/>
              </w:rPr>
              <w:t>38.8</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665"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851"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5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r>
    </w:tbl>
    <w:p w:rsidR="00954216" w:rsidRPr="00403B2F" w:rsidRDefault="00954216" w:rsidP="00403B2F">
      <w:pPr>
        <w:spacing w:before="40"/>
        <w:ind w:right="43"/>
        <w:jc w:val="both"/>
        <w:rPr>
          <w:sz w:val="18"/>
          <w:szCs w:val="18"/>
        </w:rPr>
      </w:pPr>
      <w:r w:rsidRPr="002B7CF6">
        <w:rPr>
          <w:sz w:val="18"/>
          <w:szCs w:val="18"/>
        </w:rPr>
        <w:t>Kaynak: TUIK, BETAM</w:t>
      </w:r>
    </w:p>
    <w:p w:rsidR="00954216" w:rsidRDefault="007944A4" w:rsidP="00F23C2F">
      <w:pPr>
        <w:spacing w:line="276" w:lineRule="auto"/>
        <w:ind w:right="40"/>
        <w:jc w:val="both"/>
        <w:rPr>
          <w:sz w:val="22"/>
          <w:szCs w:val="22"/>
        </w:rPr>
      </w:pPr>
      <w:r>
        <w:rPr>
          <w:b/>
          <w:bCs/>
          <w:sz w:val="22"/>
          <w:szCs w:val="22"/>
        </w:rPr>
        <w:lastRenderedPageBreak/>
        <w:t>Tablo 3</w:t>
      </w:r>
      <w:r w:rsidR="00954216" w:rsidRPr="00553380">
        <w:rPr>
          <w:b/>
          <w:bCs/>
          <w:sz w:val="22"/>
          <w:szCs w:val="22"/>
        </w:rPr>
        <w:t>.</w:t>
      </w:r>
      <w:r w:rsidR="00954216">
        <w:rPr>
          <w:sz w:val="22"/>
          <w:szCs w:val="22"/>
        </w:rPr>
        <w:t xml:space="preserve"> AB-27, Kuzey Afrika ve Ya</w:t>
      </w:r>
      <w:r w:rsidR="00B370FC">
        <w:rPr>
          <w:sz w:val="22"/>
          <w:szCs w:val="22"/>
        </w:rPr>
        <w:t>kın ve Orta Doğu ülkelerine 2010-2012</w:t>
      </w:r>
      <w:r w:rsidR="00954216">
        <w:rPr>
          <w:sz w:val="22"/>
          <w:szCs w:val="22"/>
        </w:rPr>
        <w:t xml:space="preserve"> yıllarında yapılan </w:t>
      </w:r>
      <w:r w:rsidR="00954216" w:rsidRPr="00A714BB">
        <w:rPr>
          <w:b/>
          <w:sz w:val="22"/>
          <w:szCs w:val="22"/>
          <w:u w:val="single"/>
        </w:rPr>
        <w:t>altın hariç nominal ihracat</w:t>
      </w:r>
      <w:r w:rsidR="00954216">
        <w:rPr>
          <w:sz w:val="22"/>
          <w:szCs w:val="22"/>
        </w:rPr>
        <w:t xml:space="preserve"> (milyon $) ve toplam </w:t>
      </w:r>
      <w:r w:rsidR="00403B2F">
        <w:rPr>
          <w:sz w:val="22"/>
          <w:szCs w:val="22"/>
        </w:rPr>
        <w:t>içindeki</w:t>
      </w:r>
      <w:r w:rsidR="00954216">
        <w:rPr>
          <w:sz w:val="22"/>
          <w:szCs w:val="22"/>
        </w:rPr>
        <w:t xml:space="preserve"> payları.</w:t>
      </w:r>
    </w:p>
    <w:tbl>
      <w:tblPr>
        <w:tblW w:w="13200" w:type="dxa"/>
        <w:tblInd w:w="-106" w:type="dxa"/>
        <w:tblLook w:val="00A0"/>
      </w:tblPr>
      <w:tblGrid>
        <w:gridCol w:w="1891"/>
        <w:gridCol w:w="771"/>
        <w:gridCol w:w="771"/>
        <w:gridCol w:w="771"/>
        <w:gridCol w:w="617"/>
        <w:gridCol w:w="617"/>
        <w:gridCol w:w="617"/>
        <w:gridCol w:w="400"/>
        <w:gridCol w:w="2839"/>
        <w:gridCol w:w="774"/>
        <w:gridCol w:w="774"/>
        <w:gridCol w:w="774"/>
        <w:gridCol w:w="617"/>
        <w:gridCol w:w="617"/>
        <w:gridCol w:w="617"/>
      </w:tblGrid>
      <w:tr w:rsidR="00954216" w:rsidRPr="00F23C2F">
        <w:trPr>
          <w:trHeight w:val="255"/>
        </w:trPr>
        <w:tc>
          <w:tcPr>
            <w:tcW w:w="592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AB -27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 xml:space="preserve">Kuzey Afrika </w:t>
            </w:r>
          </w:p>
        </w:tc>
      </w:tr>
      <w:tr w:rsidR="00954216" w:rsidRPr="00F23C2F">
        <w:trPr>
          <w:trHeight w:val="255"/>
        </w:trPr>
        <w:tc>
          <w:tcPr>
            <w:tcW w:w="1891" w:type="dxa"/>
            <w:tcBorders>
              <w:top w:val="nil"/>
              <w:left w:val="single" w:sz="4" w:space="0" w:color="auto"/>
              <w:bottom w:val="single" w:sz="4" w:space="0" w:color="auto"/>
              <w:right w:val="single" w:sz="4" w:space="0" w:color="auto"/>
            </w:tcBorders>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 </w:t>
            </w:r>
          </w:p>
        </w:tc>
        <w:tc>
          <w:tcPr>
            <w:tcW w:w="2313"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Nominal</w:t>
            </w:r>
          </w:p>
        </w:tc>
        <w:tc>
          <w:tcPr>
            <w:tcW w:w="1716"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Paylar</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noWrap/>
            <w:vAlign w:val="center"/>
          </w:tcPr>
          <w:p w:rsidR="00954216" w:rsidRPr="000E138F" w:rsidRDefault="00954216" w:rsidP="00F23C2F">
            <w:pPr>
              <w:rPr>
                <w:rFonts w:ascii="Arial" w:hAnsi="Arial" w:cs="Arial"/>
                <w:b/>
                <w:bCs/>
                <w:sz w:val="18"/>
                <w:szCs w:val="18"/>
                <w:lang w:val="en-US" w:eastAsia="en-US"/>
              </w:rPr>
            </w:pPr>
            <w:r w:rsidRPr="000E138F">
              <w:rPr>
                <w:rFonts w:ascii="Arial" w:hAnsi="Arial" w:cs="Arial"/>
                <w:b/>
                <w:bCs/>
                <w:sz w:val="18"/>
                <w:szCs w:val="18"/>
                <w:lang w:val="en-US" w:eastAsia="en-US"/>
              </w:rPr>
              <w:t> </w:t>
            </w:r>
          </w:p>
        </w:tc>
        <w:tc>
          <w:tcPr>
            <w:tcW w:w="2322"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Nominal</w:t>
            </w:r>
          </w:p>
        </w:tc>
        <w:tc>
          <w:tcPr>
            <w:tcW w:w="1719" w:type="dxa"/>
            <w:gridSpan w:val="3"/>
            <w:tcBorders>
              <w:top w:val="single" w:sz="4" w:space="0" w:color="auto"/>
              <w:left w:val="nil"/>
              <w:bottom w:val="single" w:sz="4" w:space="0" w:color="auto"/>
              <w:right w:val="single" w:sz="4" w:space="0" w:color="000000"/>
            </w:tcBorders>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Paylar</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 </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 </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2011</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F23C2F">
            <w:pPr>
              <w:jc w:val="center"/>
              <w:rPr>
                <w:rFonts w:ascii="Arial" w:hAnsi="Arial" w:cs="Arial"/>
                <w:sz w:val="18"/>
                <w:szCs w:val="18"/>
                <w:lang w:val="en-US" w:eastAsia="en-US"/>
              </w:rPr>
            </w:pPr>
            <w:r w:rsidRPr="00F23C2F">
              <w:rPr>
                <w:rFonts w:ascii="Arial" w:hAnsi="Arial" w:cs="Arial"/>
                <w:sz w:val="18"/>
                <w:szCs w:val="18"/>
                <w:lang w:val="en-US" w:eastAsia="en-US"/>
              </w:rPr>
              <w:t>2012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FFFFFF"/>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Almanya</w:t>
            </w:r>
          </w:p>
        </w:tc>
        <w:tc>
          <w:tcPr>
            <w:tcW w:w="771" w:type="dxa"/>
            <w:tcBorders>
              <w:top w:val="nil"/>
              <w:left w:val="nil"/>
              <w:bottom w:val="single" w:sz="4" w:space="0" w:color="auto"/>
              <w:right w:val="single" w:sz="4" w:space="0" w:color="auto"/>
            </w:tcBorders>
            <w:shd w:val="clear" w:color="000000" w:fill="FFFFFF"/>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11,454</w:t>
            </w:r>
          </w:p>
        </w:tc>
        <w:tc>
          <w:tcPr>
            <w:tcW w:w="771" w:type="dxa"/>
            <w:tcBorders>
              <w:top w:val="nil"/>
              <w:left w:val="nil"/>
              <w:bottom w:val="single" w:sz="4" w:space="0" w:color="auto"/>
              <w:right w:val="single" w:sz="4" w:space="0" w:color="auto"/>
            </w:tcBorders>
            <w:shd w:val="clear" w:color="000000" w:fill="FFFFFF"/>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13,927</w:t>
            </w:r>
          </w:p>
        </w:tc>
        <w:tc>
          <w:tcPr>
            <w:tcW w:w="771" w:type="dxa"/>
            <w:tcBorders>
              <w:top w:val="nil"/>
              <w:left w:val="nil"/>
              <w:bottom w:val="single" w:sz="4" w:space="0" w:color="auto"/>
              <w:right w:val="single" w:sz="4" w:space="0" w:color="auto"/>
            </w:tcBorders>
            <w:shd w:val="clear" w:color="000000" w:fill="FFFFFF"/>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13,113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10.4</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9.4</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Mısır</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2,251</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2,759</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3,680</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İngiltere</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7,094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7,892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8,115</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5.9</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5.8</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Libya</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1,932</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748</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2,137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İtalya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6,501</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7,847</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6,371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5.8</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5.9</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Cezayir</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1,505</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1,471</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1,813</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Fransa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6,054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6,806</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6,202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4.5</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Fas</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624</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921</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1,015</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İspanya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3,536</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3,918</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3,721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Tunus</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714</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802</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797</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Hollanda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2,461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3,243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3,248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b/>
                <w:bCs/>
                <w:sz w:val="18"/>
                <w:szCs w:val="18"/>
                <w:lang w:val="en-US" w:eastAsia="en-US"/>
              </w:rPr>
            </w:pPr>
            <w:r w:rsidRPr="00F23C2F">
              <w:rPr>
                <w:rFonts w:ascii="Arial" w:hAnsi="Arial" w:cs="Arial"/>
                <w:b/>
                <w:bCs/>
                <w:sz w:val="18"/>
                <w:szCs w:val="18"/>
                <w:lang w:val="en-US" w:eastAsia="en-US"/>
              </w:rPr>
              <w:t>Kuzey Afrika Toplam</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7,025</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6,701</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9,442</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6.3</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5.0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6.8</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Romanya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2,599</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2,879</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2,497</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0E138F" w:rsidRDefault="00954216" w:rsidP="00F23C2F">
            <w:pPr>
              <w:jc w:val="center"/>
              <w:rPr>
                <w:rFonts w:ascii="Arial" w:hAnsi="Arial" w:cs="Arial"/>
                <w:b/>
                <w:bCs/>
                <w:sz w:val="18"/>
                <w:szCs w:val="18"/>
                <w:lang w:val="en-US" w:eastAsia="en-US"/>
              </w:rPr>
            </w:pPr>
            <w:r w:rsidRPr="000E138F">
              <w:rPr>
                <w:rFonts w:ascii="Arial" w:hAnsi="Arial" w:cs="Arial"/>
                <w:b/>
                <w:bCs/>
                <w:sz w:val="18"/>
                <w:szCs w:val="18"/>
                <w:lang w:val="en-US" w:eastAsia="en-US"/>
              </w:rPr>
              <w:t>Yakın ve Orta Doğu</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Belçika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1,960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2,451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2,360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Irak</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6,036</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8,310</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10,826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6.2</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Polonya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1,504</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1,758</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1,854</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İran</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2,962</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3,536</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3,395</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Bulgaristan</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1,497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1,623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1,681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BAE</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2,954</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3,427</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3,575</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Yunanistan</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1,456</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1,553</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1,402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Suudi Arabistan</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2,218</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2,763</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3,678</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İsveç</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947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1,183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1,187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0.9</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0.9</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Azerbaycan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1,550</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2,064</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2,587</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1.4</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1.5</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Avusturya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835</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1,053</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1,001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İsrail</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2,080</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2,391</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2,330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1.9</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Danimarka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765</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881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985</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Gürcistan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769</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1,092</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1,254</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0.8</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0.9</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Malta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410</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900</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919</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Lübnan</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618</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718</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846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Çek Cumhuriyeti</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694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888</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783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Ürdün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571</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507</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771</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0.6</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Slovenya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354</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617</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548</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0.5</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Suriye</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1,845</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1,610</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501</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Macaristan</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441</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509</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518</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Yemen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330</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273</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486</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Portekiz</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465</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446</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441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Kuveyt</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395</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295</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Slovakya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455</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402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392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0.4</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Umman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129</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215</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269</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İrlanda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339</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354</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348</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Katar</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163</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188</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257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Finlandiya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297</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353</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302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0.3</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F23C2F" w:rsidRDefault="00954216" w:rsidP="000E138F">
            <w:pPr>
              <w:rPr>
                <w:rFonts w:ascii="Arial" w:hAnsi="Arial" w:cs="Arial"/>
                <w:color w:val="000000"/>
                <w:sz w:val="18"/>
                <w:szCs w:val="18"/>
                <w:lang w:val="en-US" w:eastAsia="en-US"/>
              </w:rPr>
            </w:pPr>
            <w:r w:rsidRPr="00F23C2F">
              <w:rPr>
                <w:rFonts w:ascii="Arial" w:hAnsi="Arial" w:cs="Arial"/>
                <w:color w:val="000000"/>
                <w:sz w:val="18"/>
                <w:szCs w:val="18"/>
                <w:lang w:val="en-US" w:eastAsia="en-US"/>
              </w:rPr>
              <w:t>Bahreyn</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172</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160</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209</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Litvanya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208</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274</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276</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0.2</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0E138F">
            <w:pPr>
              <w:rPr>
                <w:rFonts w:ascii="Arial" w:hAnsi="Arial" w:cs="Arial"/>
                <w:sz w:val="18"/>
                <w:szCs w:val="18"/>
                <w:lang w:val="en-US" w:eastAsia="en-US"/>
              </w:rPr>
            </w:pPr>
            <w:r w:rsidRPr="00F23C2F">
              <w:rPr>
                <w:rFonts w:ascii="Arial" w:hAnsi="Arial" w:cs="Arial"/>
                <w:sz w:val="18"/>
                <w:szCs w:val="18"/>
                <w:lang w:val="en-US" w:eastAsia="en-US"/>
              </w:rPr>
              <w:t>Filistin</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40</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49</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63</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Estonya</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90</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132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169</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vAlign w:val="center"/>
          </w:tcPr>
          <w:p w:rsidR="00954216" w:rsidRPr="0095562B" w:rsidRDefault="00954216" w:rsidP="000E138F">
            <w:pPr>
              <w:rPr>
                <w:rFonts w:ascii="Arial" w:hAnsi="Arial" w:cs="Arial"/>
                <w:b/>
                <w:bCs/>
                <w:color w:val="000000"/>
                <w:sz w:val="18"/>
                <w:szCs w:val="18"/>
                <w:lang w:val="es-ES" w:eastAsia="en-US"/>
              </w:rPr>
            </w:pPr>
            <w:r w:rsidRPr="0095562B">
              <w:rPr>
                <w:rFonts w:ascii="Arial" w:hAnsi="Arial" w:cs="Arial"/>
                <w:b/>
                <w:bCs/>
                <w:color w:val="000000"/>
                <w:sz w:val="18"/>
                <w:szCs w:val="18"/>
                <w:lang w:val="es-ES" w:eastAsia="en-US"/>
              </w:rPr>
              <w:t>Yakın ve Orta Doğu Toplam</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22,834</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27,600</w:t>
            </w:r>
          </w:p>
        </w:tc>
        <w:tc>
          <w:tcPr>
            <w:tcW w:w="774"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31,337</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20.4</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20.7</w:t>
            </w:r>
          </w:p>
        </w:tc>
        <w:tc>
          <w:tcPr>
            <w:tcW w:w="573"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22.5</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Letonya</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66</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116</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127</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6880" w:type="dxa"/>
            <w:gridSpan w:val="7"/>
            <w:tcBorders>
              <w:top w:val="single" w:sz="4" w:space="0" w:color="auto"/>
              <w:left w:val="single" w:sz="4" w:space="0" w:color="auto"/>
              <w:bottom w:val="single" w:sz="4" w:space="0" w:color="auto"/>
              <w:right w:val="single" w:sz="4" w:space="0" w:color="auto"/>
            </w:tcBorders>
            <w:shd w:val="clear" w:color="000000" w:fill="CCFFCC"/>
            <w:noWrap/>
            <w:vAlign w:val="center"/>
          </w:tcPr>
          <w:p w:rsidR="00954216" w:rsidRPr="0095562B" w:rsidRDefault="00954216" w:rsidP="00F23C2F">
            <w:pPr>
              <w:jc w:val="center"/>
              <w:rPr>
                <w:rFonts w:ascii="Arial" w:hAnsi="Arial" w:cs="Arial"/>
                <w:b/>
                <w:bCs/>
                <w:sz w:val="18"/>
                <w:szCs w:val="18"/>
                <w:lang w:val="es-ES" w:eastAsia="en-US"/>
              </w:rPr>
            </w:pPr>
            <w:r w:rsidRPr="0095562B">
              <w:rPr>
                <w:rFonts w:ascii="Arial" w:hAnsi="Arial" w:cs="Arial"/>
                <w:b/>
                <w:bCs/>
                <w:sz w:val="18"/>
                <w:szCs w:val="18"/>
                <w:lang w:val="es-ES" w:eastAsia="en-US"/>
              </w:rPr>
              <w:t>Kuzey Afrika + Yakın ve Orta Doğu</w:t>
            </w: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sz w:val="18"/>
                <w:szCs w:val="18"/>
                <w:lang w:val="en-US" w:eastAsia="en-US"/>
              </w:rPr>
            </w:pPr>
            <w:r w:rsidRPr="00F23C2F">
              <w:rPr>
                <w:rFonts w:ascii="Arial" w:hAnsi="Arial" w:cs="Arial"/>
                <w:sz w:val="18"/>
                <w:szCs w:val="18"/>
                <w:lang w:val="en-US" w:eastAsia="en-US"/>
              </w:rPr>
              <w:t>Lüksemburg</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26</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54</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52</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b/>
                <w:bCs/>
                <w:sz w:val="18"/>
                <w:szCs w:val="18"/>
                <w:lang w:val="en-US" w:eastAsia="en-US"/>
              </w:rPr>
            </w:pPr>
            <w:r w:rsidRPr="00F23C2F">
              <w:rPr>
                <w:rFonts w:ascii="Arial" w:hAnsi="Arial" w:cs="Arial"/>
                <w:b/>
                <w:bCs/>
                <w:sz w:val="18"/>
                <w:szCs w:val="18"/>
                <w:lang w:val="en-US" w:eastAsia="en-US"/>
              </w:rPr>
              <w:t>Toplam</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29,859</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34,300</w:t>
            </w:r>
          </w:p>
        </w:tc>
        <w:tc>
          <w:tcPr>
            <w:tcW w:w="774"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40,779</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26.7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25.7</w:t>
            </w:r>
          </w:p>
        </w:tc>
        <w:tc>
          <w:tcPr>
            <w:tcW w:w="573"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29.3</w:t>
            </w:r>
          </w:p>
        </w:tc>
      </w:tr>
      <w:tr w:rsidR="00954216" w:rsidRPr="00F23C2F">
        <w:trPr>
          <w:trHeight w:val="255"/>
        </w:trPr>
        <w:tc>
          <w:tcPr>
            <w:tcW w:w="1891" w:type="dxa"/>
            <w:tcBorders>
              <w:top w:val="nil"/>
              <w:left w:val="single" w:sz="4" w:space="0" w:color="auto"/>
              <w:bottom w:val="single" w:sz="4" w:space="0" w:color="auto"/>
              <w:right w:val="single" w:sz="4" w:space="0" w:color="auto"/>
            </w:tcBorders>
            <w:vAlign w:val="center"/>
          </w:tcPr>
          <w:p w:rsidR="00954216" w:rsidRPr="00F23C2F" w:rsidRDefault="00954216" w:rsidP="00F23C2F">
            <w:pPr>
              <w:rPr>
                <w:rFonts w:ascii="Arial" w:hAnsi="Arial" w:cs="Arial"/>
                <w:color w:val="000000"/>
                <w:sz w:val="18"/>
                <w:szCs w:val="18"/>
                <w:lang w:val="en-US" w:eastAsia="en-US"/>
              </w:rPr>
            </w:pPr>
            <w:r w:rsidRPr="00F23C2F">
              <w:rPr>
                <w:rFonts w:ascii="Arial" w:hAnsi="Arial" w:cs="Arial"/>
                <w:color w:val="000000"/>
                <w:sz w:val="18"/>
                <w:szCs w:val="18"/>
                <w:lang w:val="en-US" w:eastAsia="en-US"/>
              </w:rPr>
              <w:t>Güney Kıbrıs</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1</w:t>
            </w:r>
          </w:p>
        </w:tc>
        <w:tc>
          <w:tcPr>
            <w:tcW w:w="771"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4</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572" w:type="dxa"/>
            <w:tcBorders>
              <w:top w:val="nil"/>
              <w:left w:val="nil"/>
              <w:bottom w:val="single" w:sz="4" w:space="0" w:color="auto"/>
              <w:right w:val="single" w:sz="4" w:space="0" w:color="auto"/>
            </w:tcBorders>
            <w:noWrap/>
            <w:vAlign w:val="center"/>
          </w:tcPr>
          <w:p w:rsidR="00954216" w:rsidRPr="00F23C2F" w:rsidRDefault="00954216" w:rsidP="000E138F">
            <w:pPr>
              <w:jc w:val="right"/>
              <w:rPr>
                <w:rFonts w:ascii="Arial" w:hAnsi="Arial" w:cs="Arial"/>
                <w:sz w:val="18"/>
                <w:szCs w:val="18"/>
                <w:lang w:val="en-US" w:eastAsia="en-US"/>
              </w:rPr>
            </w:pPr>
            <w:r w:rsidRPr="00F23C2F">
              <w:rPr>
                <w:rFonts w:ascii="Arial" w:hAnsi="Arial" w:cs="Arial"/>
                <w:sz w:val="18"/>
                <w:szCs w:val="18"/>
                <w:lang w:val="en-US" w:eastAsia="en-US"/>
              </w:rPr>
              <w:t>0.0</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r>
      <w:tr w:rsidR="00954216" w:rsidRPr="00F23C2F">
        <w:trPr>
          <w:trHeight w:val="255"/>
        </w:trPr>
        <w:tc>
          <w:tcPr>
            <w:tcW w:w="1891" w:type="dxa"/>
            <w:tcBorders>
              <w:top w:val="nil"/>
              <w:left w:val="single" w:sz="4" w:space="0" w:color="auto"/>
              <w:bottom w:val="single" w:sz="4" w:space="0" w:color="auto"/>
              <w:right w:val="single" w:sz="4" w:space="0" w:color="auto"/>
            </w:tcBorders>
            <w:shd w:val="clear" w:color="000000" w:fill="C0C0C0"/>
            <w:noWrap/>
            <w:vAlign w:val="center"/>
          </w:tcPr>
          <w:p w:rsidR="00954216" w:rsidRPr="00F23C2F" w:rsidRDefault="00954216" w:rsidP="00F23C2F">
            <w:pPr>
              <w:rPr>
                <w:rFonts w:ascii="Arial" w:hAnsi="Arial" w:cs="Arial"/>
                <w:b/>
                <w:bCs/>
                <w:sz w:val="18"/>
                <w:szCs w:val="18"/>
                <w:lang w:val="en-US" w:eastAsia="en-US"/>
              </w:rPr>
            </w:pPr>
            <w:r w:rsidRPr="00F23C2F">
              <w:rPr>
                <w:rFonts w:ascii="Arial" w:hAnsi="Arial" w:cs="Arial"/>
                <w:b/>
                <w:bCs/>
                <w:sz w:val="18"/>
                <w:szCs w:val="18"/>
                <w:lang w:val="en-US" w:eastAsia="en-US"/>
              </w:rPr>
              <w:t>AB-27 Toplam</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52,512</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62,059</w:t>
            </w:r>
          </w:p>
        </w:tc>
        <w:tc>
          <w:tcPr>
            <w:tcW w:w="771"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58,617</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47.0</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46.5</w:t>
            </w:r>
          </w:p>
        </w:tc>
        <w:tc>
          <w:tcPr>
            <w:tcW w:w="572" w:type="dxa"/>
            <w:tcBorders>
              <w:top w:val="nil"/>
              <w:left w:val="nil"/>
              <w:bottom w:val="single" w:sz="4" w:space="0" w:color="auto"/>
              <w:right w:val="single" w:sz="4" w:space="0" w:color="auto"/>
            </w:tcBorders>
            <w:shd w:val="clear" w:color="000000" w:fill="C0C0C0"/>
            <w:noWrap/>
            <w:vAlign w:val="center"/>
          </w:tcPr>
          <w:p w:rsidR="00954216" w:rsidRPr="00F23C2F" w:rsidRDefault="00954216" w:rsidP="000E138F">
            <w:pPr>
              <w:jc w:val="right"/>
              <w:rPr>
                <w:rFonts w:ascii="Arial" w:hAnsi="Arial" w:cs="Arial"/>
                <w:b/>
                <w:bCs/>
                <w:sz w:val="18"/>
                <w:szCs w:val="18"/>
                <w:lang w:val="en-US" w:eastAsia="en-US"/>
              </w:rPr>
            </w:pPr>
            <w:r w:rsidRPr="00F23C2F">
              <w:rPr>
                <w:rFonts w:ascii="Arial" w:hAnsi="Arial" w:cs="Arial"/>
                <w:b/>
                <w:bCs/>
                <w:sz w:val="18"/>
                <w:szCs w:val="18"/>
                <w:lang w:val="en-US" w:eastAsia="en-US"/>
              </w:rPr>
              <w:t>42.1</w:t>
            </w:r>
          </w:p>
        </w:tc>
        <w:tc>
          <w:tcPr>
            <w:tcW w:w="400"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2839"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774"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c>
          <w:tcPr>
            <w:tcW w:w="573" w:type="dxa"/>
            <w:tcBorders>
              <w:top w:val="nil"/>
              <w:left w:val="nil"/>
              <w:bottom w:val="nil"/>
              <w:right w:val="nil"/>
            </w:tcBorders>
            <w:noWrap/>
            <w:vAlign w:val="bottom"/>
          </w:tcPr>
          <w:p w:rsidR="00954216" w:rsidRPr="00F23C2F" w:rsidRDefault="00954216" w:rsidP="00F23C2F">
            <w:pPr>
              <w:rPr>
                <w:rFonts w:ascii="Arial" w:hAnsi="Arial" w:cs="Arial"/>
                <w:sz w:val="18"/>
                <w:szCs w:val="18"/>
                <w:lang w:val="en-US" w:eastAsia="en-US"/>
              </w:rPr>
            </w:pPr>
          </w:p>
        </w:tc>
      </w:tr>
    </w:tbl>
    <w:p w:rsidR="00954216" w:rsidRPr="002B7CF6" w:rsidRDefault="00954216" w:rsidP="00F23C2F">
      <w:pPr>
        <w:spacing w:before="40"/>
        <w:ind w:right="43"/>
        <w:jc w:val="both"/>
        <w:rPr>
          <w:sz w:val="18"/>
          <w:szCs w:val="18"/>
        </w:rPr>
      </w:pPr>
      <w:r w:rsidRPr="002B7CF6">
        <w:rPr>
          <w:sz w:val="18"/>
          <w:szCs w:val="18"/>
        </w:rPr>
        <w:t>Kaynak: TUIK, BETAM</w:t>
      </w:r>
    </w:p>
    <w:p w:rsidR="00954216" w:rsidRDefault="00954216" w:rsidP="002B458E">
      <w:pPr>
        <w:spacing w:before="40"/>
        <w:ind w:right="43"/>
        <w:jc w:val="both"/>
        <w:rPr>
          <w:b/>
          <w:bCs/>
          <w:sz w:val="22"/>
          <w:szCs w:val="22"/>
        </w:rPr>
      </w:pPr>
    </w:p>
    <w:p w:rsidR="00954216" w:rsidRPr="00553380" w:rsidRDefault="00954216" w:rsidP="002B458E">
      <w:pPr>
        <w:spacing w:before="40"/>
        <w:ind w:right="43"/>
        <w:jc w:val="both"/>
        <w:rPr>
          <w:sz w:val="22"/>
          <w:szCs w:val="22"/>
        </w:rPr>
      </w:pPr>
      <w:r w:rsidRPr="00553380">
        <w:rPr>
          <w:b/>
          <w:bCs/>
          <w:sz w:val="22"/>
          <w:szCs w:val="22"/>
        </w:rPr>
        <w:t xml:space="preserve">Şekil 3. </w:t>
      </w:r>
      <w:r w:rsidRPr="00553380">
        <w:rPr>
          <w:sz w:val="22"/>
          <w:szCs w:val="22"/>
        </w:rPr>
        <w:t xml:space="preserve">AB ülkelerinin 2011-2012 </w:t>
      </w:r>
      <w:r w:rsidRPr="00BF685B">
        <w:rPr>
          <w:sz w:val="22"/>
          <w:szCs w:val="22"/>
        </w:rPr>
        <w:t>GSYH büyümesi</w:t>
      </w:r>
      <w:r w:rsidR="00403B2F">
        <w:rPr>
          <w:sz w:val="22"/>
          <w:szCs w:val="22"/>
        </w:rPr>
        <w:t xml:space="preserve"> (X ekseni)</w:t>
      </w:r>
      <w:r w:rsidRPr="00553380">
        <w:rPr>
          <w:sz w:val="22"/>
          <w:szCs w:val="22"/>
        </w:rPr>
        <w:t xml:space="preserve"> ile</w:t>
      </w:r>
      <w:r>
        <w:rPr>
          <w:sz w:val="22"/>
          <w:szCs w:val="22"/>
        </w:rPr>
        <w:t xml:space="preserve"> bu ülkelere yapılan ihracatın</w:t>
      </w:r>
      <w:r w:rsidRPr="00553380">
        <w:rPr>
          <w:sz w:val="22"/>
          <w:szCs w:val="22"/>
        </w:rPr>
        <w:t xml:space="preserve"> 2011-2012</w:t>
      </w:r>
      <w:r>
        <w:rPr>
          <w:sz w:val="22"/>
          <w:szCs w:val="22"/>
        </w:rPr>
        <w:t>’deki</w:t>
      </w:r>
      <w:r w:rsidRPr="00553380">
        <w:rPr>
          <w:sz w:val="22"/>
          <w:szCs w:val="22"/>
        </w:rPr>
        <w:t xml:space="preserve"> </w:t>
      </w:r>
      <w:r>
        <w:rPr>
          <w:sz w:val="22"/>
          <w:szCs w:val="22"/>
        </w:rPr>
        <w:t>a</w:t>
      </w:r>
      <w:r w:rsidRPr="00553380">
        <w:rPr>
          <w:sz w:val="22"/>
          <w:szCs w:val="22"/>
        </w:rPr>
        <w:t>rtışı</w:t>
      </w:r>
      <w:r w:rsidR="00403B2F">
        <w:rPr>
          <w:sz w:val="22"/>
          <w:szCs w:val="22"/>
        </w:rPr>
        <w:t xml:space="preserve"> (Y ekseni)</w:t>
      </w:r>
      <w:r>
        <w:rPr>
          <w:sz w:val="22"/>
          <w:szCs w:val="22"/>
        </w:rPr>
        <w:t xml:space="preserve"> arasındaki </w:t>
      </w:r>
      <w:r w:rsidRPr="008B5557">
        <w:rPr>
          <w:sz w:val="22"/>
          <w:szCs w:val="22"/>
        </w:rPr>
        <w:t>ilişki.</w:t>
      </w:r>
      <w:r w:rsidRPr="00553380">
        <w:rPr>
          <w:sz w:val="22"/>
          <w:szCs w:val="22"/>
        </w:rPr>
        <w:t>*</w:t>
      </w:r>
    </w:p>
    <w:p w:rsidR="00954216" w:rsidRDefault="00403B2F" w:rsidP="002B458E">
      <w:pPr>
        <w:spacing w:before="40"/>
        <w:ind w:right="43"/>
        <w:jc w:val="both"/>
        <w:rPr>
          <w:sz w:val="22"/>
          <w:szCs w:val="22"/>
        </w:rPr>
      </w:pPr>
      <w:r w:rsidRPr="00403B2F">
        <w:rPr>
          <w:noProof/>
          <w:szCs w:val="22"/>
          <w:lang w:val="en-US" w:eastAsia="en-US"/>
        </w:rPr>
        <w:drawing>
          <wp:inline distT="0" distB="0" distL="0" distR="0">
            <wp:extent cx="7375525" cy="43821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375525" cy="4382135"/>
                    </a:xfrm>
                    <a:prstGeom prst="rect">
                      <a:avLst/>
                    </a:prstGeom>
                    <a:noFill/>
                    <a:ln w="9525">
                      <a:noFill/>
                      <a:miter lim="800000"/>
                      <a:headEnd/>
                      <a:tailEnd/>
                    </a:ln>
                  </pic:spPr>
                </pic:pic>
              </a:graphicData>
            </a:graphic>
          </wp:inline>
        </w:drawing>
      </w:r>
    </w:p>
    <w:p w:rsidR="00954216" w:rsidRDefault="00954216" w:rsidP="002B458E">
      <w:pPr>
        <w:spacing w:before="40"/>
        <w:ind w:right="43"/>
        <w:jc w:val="both"/>
        <w:rPr>
          <w:sz w:val="18"/>
          <w:szCs w:val="18"/>
        </w:rPr>
      </w:pPr>
      <w:r w:rsidRPr="00553380">
        <w:rPr>
          <w:sz w:val="18"/>
          <w:szCs w:val="18"/>
        </w:rPr>
        <w:t>Kaynak</w:t>
      </w:r>
      <w:r>
        <w:rPr>
          <w:sz w:val="18"/>
          <w:szCs w:val="18"/>
        </w:rPr>
        <w:t>: TÜİK, BETAM</w:t>
      </w:r>
      <w:r w:rsidRPr="00553380">
        <w:rPr>
          <w:sz w:val="18"/>
          <w:szCs w:val="18"/>
        </w:rPr>
        <w:t>.</w:t>
      </w:r>
    </w:p>
    <w:p w:rsidR="00954216" w:rsidRPr="00553380" w:rsidRDefault="00954216" w:rsidP="002B458E">
      <w:pPr>
        <w:spacing w:before="40"/>
        <w:ind w:right="43"/>
        <w:jc w:val="both"/>
        <w:rPr>
          <w:sz w:val="18"/>
          <w:szCs w:val="18"/>
        </w:rPr>
      </w:pPr>
      <w:r w:rsidRPr="00403B2F">
        <w:rPr>
          <w:sz w:val="18"/>
          <w:szCs w:val="18"/>
        </w:rPr>
        <w:t>* Estonya ve Güney Kıbrıs hem küçük ülkeler hem de şekili bozacak kadar yüksek gözlem içerdiği için şekle dahil edilmemiştir.</w:t>
      </w:r>
    </w:p>
    <w:sectPr w:rsidR="00954216" w:rsidRPr="00553380" w:rsidSect="005744C0">
      <w:type w:val="continuous"/>
      <w:pgSz w:w="16838" w:h="11906" w:orient="landscape"/>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83" w:rsidRDefault="00826583">
      <w:r>
        <w:separator/>
      </w:r>
    </w:p>
  </w:endnote>
  <w:endnote w:type="continuationSeparator" w:id="1">
    <w:p w:rsidR="00826583" w:rsidRDefault="00826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61" w:rsidRDefault="00EE4861" w:rsidP="00D830C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144">
      <w:rPr>
        <w:rStyle w:val="PageNumber"/>
        <w:noProof/>
      </w:rPr>
      <w:t>1</w:t>
    </w:r>
    <w:r>
      <w:rPr>
        <w:rStyle w:val="PageNumber"/>
      </w:rPr>
      <w:fldChar w:fldCharType="end"/>
    </w:r>
  </w:p>
  <w:p w:rsidR="00EE4861" w:rsidRPr="007B51E3" w:rsidRDefault="00EE4861" w:rsidP="007B51E3">
    <w:pPr>
      <w:pStyle w:val="Footer"/>
      <w:ind w:right="360"/>
      <w:jc w:val="center"/>
      <w:rPr>
        <w:b/>
        <w:bCs/>
        <w:i/>
        <w:iCs/>
      </w:rPr>
    </w:pPr>
    <w:r w:rsidRPr="007B51E3">
      <w:rPr>
        <w:b/>
        <w:bCs/>
        <w:i/>
        <w:iCs/>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83" w:rsidRDefault="00826583">
      <w:r>
        <w:separator/>
      </w:r>
    </w:p>
  </w:footnote>
  <w:footnote w:type="continuationSeparator" w:id="1">
    <w:p w:rsidR="00826583" w:rsidRDefault="00826583">
      <w:r>
        <w:continuationSeparator/>
      </w:r>
    </w:p>
  </w:footnote>
  <w:footnote w:id="2">
    <w:p w:rsidR="00EE4861" w:rsidRDefault="00EE4861" w:rsidP="00656144">
      <w:pPr>
        <w:pStyle w:val="FootnoteText"/>
        <w:ind w:left="-360"/>
      </w:pPr>
      <w:r>
        <w:rPr>
          <w:rStyle w:val="FootnoteReference"/>
        </w:rPr>
        <w:footnoteRef/>
      </w:r>
      <w:r>
        <w:t xml:space="preserve"> </w:t>
      </w:r>
      <w:r w:rsidRPr="003D4B75">
        <w:rPr>
          <w:sz w:val="18"/>
          <w:szCs w:val="18"/>
        </w:rPr>
        <w:t>Humay Guliyeva</w:t>
      </w:r>
      <w:r>
        <w:rPr>
          <w:sz w:val="18"/>
          <w:szCs w:val="18"/>
        </w:rPr>
        <w:t xml:space="preserve"> ve </w:t>
      </w:r>
      <w:r w:rsidRPr="003D4B75">
        <w:rPr>
          <w:sz w:val="18"/>
          <w:szCs w:val="18"/>
        </w:rPr>
        <w:t>Pan Kwan Yuk</w:t>
      </w:r>
      <w:r>
        <w:rPr>
          <w:sz w:val="18"/>
          <w:szCs w:val="18"/>
        </w:rPr>
        <w:t xml:space="preserve">, 2012. “What’s Iran doing with Turkish gold?,” Financial Times, 9 Temmuz. </w:t>
      </w:r>
      <w:hyperlink r:id="rId1" w:history="1">
        <w:r w:rsidRPr="003D4B75">
          <w:rPr>
            <w:rStyle w:val="Hyperlink"/>
            <w:sz w:val="18"/>
            <w:szCs w:val="18"/>
          </w:rPr>
          <w:t>http://blogs.ft.com/beyond-brics/2012/07/09/whats-iran-doing-with-all-that-turkish-gold/#axzz2OeQWEpJc</w:t>
        </w:r>
      </w:hyperlink>
      <w:r>
        <w:rPr>
          <w:sz w:val="18"/>
          <w:szCs w:val="18"/>
        </w:rPr>
        <w:t xml:space="preserve">. </w:t>
      </w:r>
    </w:p>
  </w:footnote>
  <w:footnote w:id="3">
    <w:p w:rsidR="00EE4861" w:rsidRDefault="00EE4861" w:rsidP="00813968">
      <w:pPr>
        <w:pStyle w:val="FootnoteText"/>
        <w:ind w:left="-360"/>
      </w:pPr>
      <w:r>
        <w:rPr>
          <w:rStyle w:val="FootnoteReference"/>
        </w:rPr>
        <w:footnoteRef/>
      </w:r>
      <w:r>
        <w:t xml:space="preserve"> </w:t>
      </w:r>
      <w:r w:rsidRPr="00897F07">
        <w:rPr>
          <w:sz w:val="18"/>
          <w:szCs w:val="18"/>
        </w:rPr>
        <w:t>Türk lirasının</w:t>
      </w:r>
      <w:r>
        <w:rPr>
          <w:sz w:val="18"/>
          <w:szCs w:val="18"/>
        </w:rPr>
        <w:t xml:space="preserve"> uluslararası piyasada alım gücü olmadığı ve Türk lirasını Dolar veya Euro’ya ambargolar nedeniyle çeviremediği için İran Mart ayından sonra TL’yi altına çevirmeye başladı. Joe Parkinson ve Jay Solomon, 2012. “</w:t>
      </w:r>
      <w:r w:rsidRPr="00897F07">
        <w:rPr>
          <w:sz w:val="18"/>
          <w:szCs w:val="18"/>
        </w:rPr>
        <w:t>U.S. Bears Down on Turkey's Gold Link to Iran</w:t>
      </w:r>
      <w:r>
        <w:rPr>
          <w:sz w:val="18"/>
          <w:szCs w:val="18"/>
        </w:rPr>
        <w:t xml:space="preserve">,” The Wall Street Journal, 30 Kasım. </w:t>
      </w:r>
      <w:hyperlink r:id="rId2" w:history="1">
        <w:r w:rsidRPr="00897F07">
          <w:rPr>
            <w:rStyle w:val="Hyperlink"/>
            <w:sz w:val="18"/>
            <w:szCs w:val="18"/>
          </w:rPr>
          <w:t>http://online.wsj.com/article/SB10001424127887323751104578150803540506358.html</w:t>
        </w:r>
      </w:hyperlink>
      <w:r>
        <w:rPr>
          <w:sz w:val="18"/>
          <w:szCs w:val="18"/>
        </w:rPr>
        <w:t>.</w:t>
      </w:r>
    </w:p>
  </w:footnote>
  <w:footnote w:id="4">
    <w:p w:rsidR="00EE4861" w:rsidRPr="00717C27" w:rsidRDefault="00EE4861" w:rsidP="00717C27">
      <w:pPr>
        <w:pStyle w:val="FootnoteText"/>
        <w:ind w:left="-360"/>
        <w:rPr>
          <w:sz w:val="18"/>
          <w:szCs w:val="18"/>
        </w:rPr>
      </w:pPr>
      <w:r w:rsidRPr="00717C27">
        <w:rPr>
          <w:rStyle w:val="FootnoteReference"/>
          <w:sz w:val="18"/>
          <w:szCs w:val="18"/>
        </w:rPr>
        <w:footnoteRef/>
      </w:r>
      <w:r w:rsidRPr="00717C27">
        <w:rPr>
          <w:sz w:val="18"/>
          <w:szCs w:val="18"/>
        </w:rPr>
        <w:t xml:space="preserve"> Asli Kandemir, 2013. “Exclusive: Turkey-Iran gold trade wiped out by new U.S. sanctions,” Reuters, 16 Şubat.</w:t>
      </w:r>
      <w:r>
        <w:rPr>
          <w:sz w:val="18"/>
          <w:szCs w:val="18"/>
        </w:rPr>
        <w:t xml:space="preserve"> </w:t>
      </w:r>
      <w:hyperlink r:id="rId3" w:history="1">
        <w:r w:rsidRPr="00717C27">
          <w:rPr>
            <w:rStyle w:val="Hyperlink"/>
            <w:sz w:val="18"/>
            <w:szCs w:val="18"/>
          </w:rPr>
          <w:t>http://www.reuters.com/article/2013/02/16/us-iran-turkey-sanctions-idUSBRE91F01F20130216</w:t>
        </w:r>
      </w:hyperlink>
      <w:r>
        <w:rPr>
          <w:sz w:val="18"/>
          <w:szCs w:val="18"/>
        </w:rPr>
        <w:t>.</w:t>
      </w:r>
    </w:p>
  </w:footnote>
  <w:footnote w:id="5">
    <w:p w:rsidR="00EE4861" w:rsidRDefault="00EE4861" w:rsidP="00943140">
      <w:pPr>
        <w:pStyle w:val="FootnoteText"/>
        <w:ind w:left="-360"/>
      </w:pPr>
      <w:r w:rsidRPr="002B7CF6">
        <w:rPr>
          <w:rStyle w:val="FootnoteReference"/>
          <w:sz w:val="18"/>
          <w:szCs w:val="18"/>
        </w:rPr>
        <w:footnoteRef/>
      </w:r>
      <w:r w:rsidRPr="002B7CF6">
        <w:rPr>
          <w:sz w:val="18"/>
          <w:szCs w:val="18"/>
        </w:rPr>
        <w:t xml:space="preserve"> Betam Araştırma Notu 11/112: İhracat Yön Değiştiriyor, </w:t>
      </w:r>
      <w:hyperlink r:id="rId4" w:history="1">
        <w:r w:rsidRPr="002B7CF6">
          <w:rPr>
            <w:rStyle w:val="Hyperlink"/>
            <w:sz w:val="18"/>
            <w:szCs w:val="18"/>
          </w:rPr>
          <w:t>http://betam.bahcesehir.edu.tr/tr/wp-content/uploads/2011/04/ArastirmaNotu112.pdf</w:t>
        </w:r>
      </w:hyperlink>
      <w:r>
        <w:rPr>
          <w:rStyle w:val="Hyperlink"/>
          <w:sz w:val="18"/>
          <w:szCs w:val="18"/>
        </w:rPr>
        <w:t>.</w:t>
      </w:r>
    </w:p>
  </w:footnote>
  <w:footnote w:id="6">
    <w:p w:rsidR="00EE4861" w:rsidRDefault="00EE4861" w:rsidP="00EF3579">
      <w:pPr>
        <w:pStyle w:val="FootnoteText"/>
        <w:ind w:left="-360"/>
      </w:pPr>
      <w:r w:rsidRPr="00EF3579">
        <w:rPr>
          <w:rStyle w:val="FootnoteReference"/>
          <w:sz w:val="18"/>
          <w:szCs w:val="18"/>
        </w:rPr>
        <w:footnoteRef/>
      </w:r>
      <w:r w:rsidRPr="00EF3579">
        <w:rPr>
          <w:sz w:val="18"/>
          <w:szCs w:val="18"/>
        </w:rPr>
        <w:t>Betam Araştırma Notu 11/126: Arap Baharı ve Avrupa Borç Krizi İhracatı Teğet Geçti</w:t>
      </w:r>
      <w:r>
        <w:rPr>
          <w:sz w:val="18"/>
          <w:szCs w:val="18"/>
        </w:rPr>
        <w:t xml:space="preserve">, </w:t>
      </w:r>
      <w:hyperlink r:id="rId5" w:history="1">
        <w:r w:rsidRPr="00EF3579">
          <w:rPr>
            <w:rStyle w:val="Hyperlink"/>
            <w:sz w:val="18"/>
            <w:szCs w:val="18"/>
          </w:rPr>
          <w:t>http://betam.bahcesehir.edu.tr/tr/wp-content/uploads/2012/02/ArastirmaNotu126.pdf</w:t>
        </w:r>
      </w:hyperlink>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0E76383"/>
    <w:multiLevelType w:val="hybridMultilevel"/>
    <w:tmpl w:val="53323ECC"/>
    <w:lvl w:ilvl="0" w:tplc="980C8448">
      <w:start w:val="2011"/>
      <w:numFmt w:val="bullet"/>
      <w:lvlText w:val=""/>
      <w:lvlJc w:val="left"/>
      <w:pPr>
        <w:tabs>
          <w:tab w:val="num" w:pos="0"/>
        </w:tabs>
        <w:ind w:hanging="360"/>
      </w:pPr>
      <w:rPr>
        <w:rFonts w:ascii="Symbol" w:eastAsia="Times New Roman" w:hAnsi="Symbol"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cs="Wingdings" w:hint="default"/>
      </w:rPr>
    </w:lvl>
    <w:lvl w:ilvl="3" w:tplc="041F0001">
      <w:start w:val="1"/>
      <w:numFmt w:val="bullet"/>
      <w:lvlText w:val=""/>
      <w:lvlJc w:val="left"/>
      <w:pPr>
        <w:tabs>
          <w:tab w:val="num" w:pos="2160"/>
        </w:tabs>
        <w:ind w:left="2160" w:hanging="360"/>
      </w:pPr>
      <w:rPr>
        <w:rFonts w:ascii="Symbol" w:hAnsi="Symbol" w:cs="Symbol" w:hint="default"/>
      </w:rPr>
    </w:lvl>
    <w:lvl w:ilvl="4" w:tplc="041F0003">
      <w:start w:val="1"/>
      <w:numFmt w:val="bullet"/>
      <w:lvlText w:val="o"/>
      <w:lvlJc w:val="left"/>
      <w:pPr>
        <w:tabs>
          <w:tab w:val="num" w:pos="2880"/>
        </w:tabs>
        <w:ind w:left="2880" w:hanging="360"/>
      </w:pPr>
      <w:rPr>
        <w:rFonts w:ascii="Courier New" w:hAnsi="Courier New" w:cs="Courier New" w:hint="default"/>
      </w:rPr>
    </w:lvl>
    <w:lvl w:ilvl="5" w:tplc="041F0005">
      <w:start w:val="1"/>
      <w:numFmt w:val="bullet"/>
      <w:lvlText w:val=""/>
      <w:lvlJc w:val="left"/>
      <w:pPr>
        <w:tabs>
          <w:tab w:val="num" w:pos="3600"/>
        </w:tabs>
        <w:ind w:left="3600" w:hanging="360"/>
      </w:pPr>
      <w:rPr>
        <w:rFonts w:ascii="Wingdings" w:hAnsi="Wingdings" w:cs="Wingdings" w:hint="default"/>
      </w:rPr>
    </w:lvl>
    <w:lvl w:ilvl="6" w:tplc="041F0001">
      <w:start w:val="1"/>
      <w:numFmt w:val="bullet"/>
      <w:lvlText w:val=""/>
      <w:lvlJc w:val="left"/>
      <w:pPr>
        <w:tabs>
          <w:tab w:val="num" w:pos="4320"/>
        </w:tabs>
        <w:ind w:left="4320" w:hanging="360"/>
      </w:pPr>
      <w:rPr>
        <w:rFonts w:ascii="Symbol" w:hAnsi="Symbol" w:cs="Symbol" w:hint="default"/>
      </w:rPr>
    </w:lvl>
    <w:lvl w:ilvl="7" w:tplc="041F0003">
      <w:start w:val="1"/>
      <w:numFmt w:val="bullet"/>
      <w:lvlText w:val="o"/>
      <w:lvlJc w:val="left"/>
      <w:pPr>
        <w:tabs>
          <w:tab w:val="num" w:pos="5040"/>
        </w:tabs>
        <w:ind w:left="5040" w:hanging="360"/>
      </w:pPr>
      <w:rPr>
        <w:rFonts w:ascii="Courier New" w:hAnsi="Courier New" w:cs="Courier New" w:hint="default"/>
      </w:rPr>
    </w:lvl>
    <w:lvl w:ilvl="8" w:tplc="041F0005">
      <w:start w:val="1"/>
      <w:numFmt w:val="bullet"/>
      <w:lvlText w:val=""/>
      <w:lvlJc w:val="left"/>
      <w:pPr>
        <w:tabs>
          <w:tab w:val="num" w:pos="5760"/>
        </w:tabs>
        <w:ind w:left="57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357ECC"/>
    <w:rsid w:val="0000014A"/>
    <w:rsid w:val="0000132A"/>
    <w:rsid w:val="00004860"/>
    <w:rsid w:val="00004B78"/>
    <w:rsid w:val="000117B7"/>
    <w:rsid w:val="000132EC"/>
    <w:rsid w:val="000212AC"/>
    <w:rsid w:val="000224B9"/>
    <w:rsid w:val="00024559"/>
    <w:rsid w:val="00027BF9"/>
    <w:rsid w:val="00034090"/>
    <w:rsid w:val="00047B99"/>
    <w:rsid w:val="00047E9F"/>
    <w:rsid w:val="00050453"/>
    <w:rsid w:val="00052D7A"/>
    <w:rsid w:val="00056118"/>
    <w:rsid w:val="00056B3E"/>
    <w:rsid w:val="00065B3C"/>
    <w:rsid w:val="000716CA"/>
    <w:rsid w:val="00074648"/>
    <w:rsid w:val="00077A9D"/>
    <w:rsid w:val="00077FF4"/>
    <w:rsid w:val="0008075E"/>
    <w:rsid w:val="00082FE4"/>
    <w:rsid w:val="000A234F"/>
    <w:rsid w:val="000A292B"/>
    <w:rsid w:val="000A687F"/>
    <w:rsid w:val="000A701D"/>
    <w:rsid w:val="000B2BF9"/>
    <w:rsid w:val="000B2E92"/>
    <w:rsid w:val="000B41F3"/>
    <w:rsid w:val="000B50DE"/>
    <w:rsid w:val="000B52D7"/>
    <w:rsid w:val="000C5B7E"/>
    <w:rsid w:val="000D0C5A"/>
    <w:rsid w:val="000D17A2"/>
    <w:rsid w:val="000D1F14"/>
    <w:rsid w:val="000D3ACB"/>
    <w:rsid w:val="000D5927"/>
    <w:rsid w:val="000E10A3"/>
    <w:rsid w:val="000E138F"/>
    <w:rsid w:val="000E1F75"/>
    <w:rsid w:val="000E3FD3"/>
    <w:rsid w:val="000E4E83"/>
    <w:rsid w:val="000E5365"/>
    <w:rsid w:val="000E74B5"/>
    <w:rsid w:val="000E7CBB"/>
    <w:rsid w:val="000F09D7"/>
    <w:rsid w:val="000F360E"/>
    <w:rsid w:val="000F396D"/>
    <w:rsid w:val="000F4941"/>
    <w:rsid w:val="000F4BE6"/>
    <w:rsid w:val="001105B2"/>
    <w:rsid w:val="00114BC7"/>
    <w:rsid w:val="00115903"/>
    <w:rsid w:val="001165FC"/>
    <w:rsid w:val="0012262F"/>
    <w:rsid w:val="00124C84"/>
    <w:rsid w:val="00124D79"/>
    <w:rsid w:val="001260D7"/>
    <w:rsid w:val="00132E7B"/>
    <w:rsid w:val="001331CB"/>
    <w:rsid w:val="001364C8"/>
    <w:rsid w:val="00141B93"/>
    <w:rsid w:val="00143024"/>
    <w:rsid w:val="00143454"/>
    <w:rsid w:val="00143828"/>
    <w:rsid w:val="00151BCF"/>
    <w:rsid w:val="001553F2"/>
    <w:rsid w:val="0015586B"/>
    <w:rsid w:val="0015676E"/>
    <w:rsid w:val="00157A00"/>
    <w:rsid w:val="00157DC2"/>
    <w:rsid w:val="001609FA"/>
    <w:rsid w:val="00161689"/>
    <w:rsid w:val="00162629"/>
    <w:rsid w:val="001632B0"/>
    <w:rsid w:val="00163D52"/>
    <w:rsid w:val="00165C59"/>
    <w:rsid w:val="00165CB0"/>
    <w:rsid w:val="00166FE5"/>
    <w:rsid w:val="00167D69"/>
    <w:rsid w:val="00170CA9"/>
    <w:rsid w:val="00172263"/>
    <w:rsid w:val="00177FE3"/>
    <w:rsid w:val="00183507"/>
    <w:rsid w:val="0019538C"/>
    <w:rsid w:val="00197ACB"/>
    <w:rsid w:val="001A2051"/>
    <w:rsid w:val="001A2B3D"/>
    <w:rsid w:val="001A528A"/>
    <w:rsid w:val="001B0063"/>
    <w:rsid w:val="001B0683"/>
    <w:rsid w:val="001B30E0"/>
    <w:rsid w:val="001B34B5"/>
    <w:rsid w:val="001B3B49"/>
    <w:rsid w:val="001B6AFA"/>
    <w:rsid w:val="001C6E04"/>
    <w:rsid w:val="001D09B1"/>
    <w:rsid w:val="001D1F1B"/>
    <w:rsid w:val="001E0274"/>
    <w:rsid w:val="001E3FE8"/>
    <w:rsid w:val="001E4BF5"/>
    <w:rsid w:val="001E7720"/>
    <w:rsid w:val="001F2761"/>
    <w:rsid w:val="001F4CFB"/>
    <w:rsid w:val="001F7144"/>
    <w:rsid w:val="001F71A5"/>
    <w:rsid w:val="001F7216"/>
    <w:rsid w:val="001F775A"/>
    <w:rsid w:val="0020167B"/>
    <w:rsid w:val="00204364"/>
    <w:rsid w:val="00206291"/>
    <w:rsid w:val="00207185"/>
    <w:rsid w:val="00216C99"/>
    <w:rsid w:val="002176C5"/>
    <w:rsid w:val="00217D35"/>
    <w:rsid w:val="00223A5B"/>
    <w:rsid w:val="002242A1"/>
    <w:rsid w:val="00224908"/>
    <w:rsid w:val="00231E92"/>
    <w:rsid w:val="0023312F"/>
    <w:rsid w:val="00251E82"/>
    <w:rsid w:val="00260770"/>
    <w:rsid w:val="00262020"/>
    <w:rsid w:val="00267EB4"/>
    <w:rsid w:val="00273E62"/>
    <w:rsid w:val="002804B4"/>
    <w:rsid w:val="002816C6"/>
    <w:rsid w:val="0028676D"/>
    <w:rsid w:val="00291C79"/>
    <w:rsid w:val="00297712"/>
    <w:rsid w:val="002A66ED"/>
    <w:rsid w:val="002B3644"/>
    <w:rsid w:val="002B458E"/>
    <w:rsid w:val="002B7CF6"/>
    <w:rsid w:val="002C2DA3"/>
    <w:rsid w:val="002C4200"/>
    <w:rsid w:val="002C49EC"/>
    <w:rsid w:val="002C5F2D"/>
    <w:rsid w:val="002D2F1A"/>
    <w:rsid w:val="002D3CD1"/>
    <w:rsid w:val="002E1EA4"/>
    <w:rsid w:val="002E49EC"/>
    <w:rsid w:val="002E6E82"/>
    <w:rsid w:val="002E7860"/>
    <w:rsid w:val="002F5134"/>
    <w:rsid w:val="002F5C24"/>
    <w:rsid w:val="003037C8"/>
    <w:rsid w:val="00303A3C"/>
    <w:rsid w:val="003051E6"/>
    <w:rsid w:val="0031043B"/>
    <w:rsid w:val="00310FD8"/>
    <w:rsid w:val="003118F7"/>
    <w:rsid w:val="003142BA"/>
    <w:rsid w:val="00316CE9"/>
    <w:rsid w:val="00316DB4"/>
    <w:rsid w:val="003223B0"/>
    <w:rsid w:val="0032368D"/>
    <w:rsid w:val="00323CA6"/>
    <w:rsid w:val="00324A91"/>
    <w:rsid w:val="003269F7"/>
    <w:rsid w:val="0033200E"/>
    <w:rsid w:val="00332DBD"/>
    <w:rsid w:val="00333B98"/>
    <w:rsid w:val="00337AE5"/>
    <w:rsid w:val="00341195"/>
    <w:rsid w:val="003425EC"/>
    <w:rsid w:val="0034543C"/>
    <w:rsid w:val="0035343B"/>
    <w:rsid w:val="003545A8"/>
    <w:rsid w:val="003552A4"/>
    <w:rsid w:val="00356020"/>
    <w:rsid w:val="00357ECC"/>
    <w:rsid w:val="00362436"/>
    <w:rsid w:val="00363689"/>
    <w:rsid w:val="00363CFC"/>
    <w:rsid w:val="00365409"/>
    <w:rsid w:val="00366C05"/>
    <w:rsid w:val="00366D20"/>
    <w:rsid w:val="00375196"/>
    <w:rsid w:val="00376AC1"/>
    <w:rsid w:val="0038488E"/>
    <w:rsid w:val="00385F45"/>
    <w:rsid w:val="00386513"/>
    <w:rsid w:val="00390136"/>
    <w:rsid w:val="00393159"/>
    <w:rsid w:val="00395F95"/>
    <w:rsid w:val="00396CE9"/>
    <w:rsid w:val="00397518"/>
    <w:rsid w:val="003A1BDD"/>
    <w:rsid w:val="003A2B60"/>
    <w:rsid w:val="003A2C52"/>
    <w:rsid w:val="003A31B2"/>
    <w:rsid w:val="003A3575"/>
    <w:rsid w:val="003B00C3"/>
    <w:rsid w:val="003B0F7E"/>
    <w:rsid w:val="003B199A"/>
    <w:rsid w:val="003B1BE8"/>
    <w:rsid w:val="003B472B"/>
    <w:rsid w:val="003B5209"/>
    <w:rsid w:val="003C3188"/>
    <w:rsid w:val="003C640D"/>
    <w:rsid w:val="003C6C41"/>
    <w:rsid w:val="003D4B75"/>
    <w:rsid w:val="003D6E0A"/>
    <w:rsid w:val="003D7D0B"/>
    <w:rsid w:val="003D7E7F"/>
    <w:rsid w:val="003F1E42"/>
    <w:rsid w:val="003F40AF"/>
    <w:rsid w:val="003F503B"/>
    <w:rsid w:val="00402158"/>
    <w:rsid w:val="00403B2F"/>
    <w:rsid w:val="004041E6"/>
    <w:rsid w:val="004074E5"/>
    <w:rsid w:val="004074ED"/>
    <w:rsid w:val="00414443"/>
    <w:rsid w:val="00421D0B"/>
    <w:rsid w:val="004229DE"/>
    <w:rsid w:val="00422AED"/>
    <w:rsid w:val="004239AE"/>
    <w:rsid w:val="00423E8F"/>
    <w:rsid w:val="004251B6"/>
    <w:rsid w:val="00432F82"/>
    <w:rsid w:val="00433422"/>
    <w:rsid w:val="0043530F"/>
    <w:rsid w:val="00435FF5"/>
    <w:rsid w:val="00437C25"/>
    <w:rsid w:val="004466EA"/>
    <w:rsid w:val="00454965"/>
    <w:rsid w:val="00461612"/>
    <w:rsid w:val="00462314"/>
    <w:rsid w:val="0046347A"/>
    <w:rsid w:val="0046362C"/>
    <w:rsid w:val="00463BBF"/>
    <w:rsid w:val="00466EF8"/>
    <w:rsid w:val="00475DC8"/>
    <w:rsid w:val="004814F0"/>
    <w:rsid w:val="00482771"/>
    <w:rsid w:val="00484222"/>
    <w:rsid w:val="00492E77"/>
    <w:rsid w:val="004A4E4F"/>
    <w:rsid w:val="004A7FE6"/>
    <w:rsid w:val="004B3F80"/>
    <w:rsid w:val="004C25F6"/>
    <w:rsid w:val="004C4521"/>
    <w:rsid w:val="004D100D"/>
    <w:rsid w:val="004D373D"/>
    <w:rsid w:val="004D3F5D"/>
    <w:rsid w:val="004D67C5"/>
    <w:rsid w:val="004D7E65"/>
    <w:rsid w:val="004E00D0"/>
    <w:rsid w:val="004E07DC"/>
    <w:rsid w:val="004E0851"/>
    <w:rsid w:val="004E5238"/>
    <w:rsid w:val="004E591F"/>
    <w:rsid w:val="00505141"/>
    <w:rsid w:val="005066A2"/>
    <w:rsid w:val="005075B3"/>
    <w:rsid w:val="00511EF3"/>
    <w:rsid w:val="00512AE9"/>
    <w:rsid w:val="00513FBF"/>
    <w:rsid w:val="00514904"/>
    <w:rsid w:val="0051750C"/>
    <w:rsid w:val="0051777C"/>
    <w:rsid w:val="00522ED0"/>
    <w:rsid w:val="00523C58"/>
    <w:rsid w:val="0052557E"/>
    <w:rsid w:val="00526178"/>
    <w:rsid w:val="00526CC9"/>
    <w:rsid w:val="005310F8"/>
    <w:rsid w:val="00535BAD"/>
    <w:rsid w:val="00536B3B"/>
    <w:rsid w:val="005435C8"/>
    <w:rsid w:val="00543706"/>
    <w:rsid w:val="00543E56"/>
    <w:rsid w:val="005470EC"/>
    <w:rsid w:val="00553380"/>
    <w:rsid w:val="00556328"/>
    <w:rsid w:val="00563399"/>
    <w:rsid w:val="00571282"/>
    <w:rsid w:val="00573C3B"/>
    <w:rsid w:val="005744C0"/>
    <w:rsid w:val="005803D5"/>
    <w:rsid w:val="0058722C"/>
    <w:rsid w:val="0058799A"/>
    <w:rsid w:val="00587F62"/>
    <w:rsid w:val="00593B80"/>
    <w:rsid w:val="005A06D3"/>
    <w:rsid w:val="005A0AF8"/>
    <w:rsid w:val="005A2B2E"/>
    <w:rsid w:val="005B00FB"/>
    <w:rsid w:val="005B5D93"/>
    <w:rsid w:val="005C0249"/>
    <w:rsid w:val="005C28BC"/>
    <w:rsid w:val="005C4EA4"/>
    <w:rsid w:val="005D0287"/>
    <w:rsid w:val="005D39F3"/>
    <w:rsid w:val="005D7E62"/>
    <w:rsid w:val="005E13DF"/>
    <w:rsid w:val="005E2983"/>
    <w:rsid w:val="005F2279"/>
    <w:rsid w:val="005F2A5B"/>
    <w:rsid w:val="005F31BE"/>
    <w:rsid w:val="005F3BAB"/>
    <w:rsid w:val="005F700B"/>
    <w:rsid w:val="006015A3"/>
    <w:rsid w:val="00602EB0"/>
    <w:rsid w:val="00603C6D"/>
    <w:rsid w:val="00613A11"/>
    <w:rsid w:val="00613B72"/>
    <w:rsid w:val="0062291A"/>
    <w:rsid w:val="00623B31"/>
    <w:rsid w:val="0062575D"/>
    <w:rsid w:val="0063164E"/>
    <w:rsid w:val="006329D6"/>
    <w:rsid w:val="00640EE7"/>
    <w:rsid w:val="00643C4C"/>
    <w:rsid w:val="006502E3"/>
    <w:rsid w:val="00656144"/>
    <w:rsid w:val="00657297"/>
    <w:rsid w:val="0066126A"/>
    <w:rsid w:val="00661425"/>
    <w:rsid w:val="00661FA5"/>
    <w:rsid w:val="0066619C"/>
    <w:rsid w:val="00670851"/>
    <w:rsid w:val="006713C0"/>
    <w:rsid w:val="00671558"/>
    <w:rsid w:val="00676D51"/>
    <w:rsid w:val="006836A7"/>
    <w:rsid w:val="00683A24"/>
    <w:rsid w:val="00691D96"/>
    <w:rsid w:val="00693B96"/>
    <w:rsid w:val="0069776E"/>
    <w:rsid w:val="006A507F"/>
    <w:rsid w:val="006A53AA"/>
    <w:rsid w:val="006A7193"/>
    <w:rsid w:val="006B08B4"/>
    <w:rsid w:val="006B12C5"/>
    <w:rsid w:val="006B2978"/>
    <w:rsid w:val="006B7988"/>
    <w:rsid w:val="006C6C6F"/>
    <w:rsid w:val="006C74FB"/>
    <w:rsid w:val="006E0C79"/>
    <w:rsid w:val="006E3384"/>
    <w:rsid w:val="006E4342"/>
    <w:rsid w:val="006E480B"/>
    <w:rsid w:val="006F1A82"/>
    <w:rsid w:val="006F2049"/>
    <w:rsid w:val="006F33D4"/>
    <w:rsid w:val="006F7FE6"/>
    <w:rsid w:val="007067F4"/>
    <w:rsid w:val="007103A2"/>
    <w:rsid w:val="00710531"/>
    <w:rsid w:val="00710D3B"/>
    <w:rsid w:val="007169B6"/>
    <w:rsid w:val="00717C27"/>
    <w:rsid w:val="00720170"/>
    <w:rsid w:val="0072310E"/>
    <w:rsid w:val="0072768C"/>
    <w:rsid w:val="00727AB7"/>
    <w:rsid w:val="00745E22"/>
    <w:rsid w:val="0075074A"/>
    <w:rsid w:val="007522D9"/>
    <w:rsid w:val="00752330"/>
    <w:rsid w:val="00753469"/>
    <w:rsid w:val="0075405B"/>
    <w:rsid w:val="0075696F"/>
    <w:rsid w:val="00762349"/>
    <w:rsid w:val="00767D6E"/>
    <w:rsid w:val="00783C9A"/>
    <w:rsid w:val="007944A4"/>
    <w:rsid w:val="00795395"/>
    <w:rsid w:val="00797B31"/>
    <w:rsid w:val="007A311A"/>
    <w:rsid w:val="007A3271"/>
    <w:rsid w:val="007A35F3"/>
    <w:rsid w:val="007A36DD"/>
    <w:rsid w:val="007A69DC"/>
    <w:rsid w:val="007B50E1"/>
    <w:rsid w:val="007B51E3"/>
    <w:rsid w:val="007C3C2B"/>
    <w:rsid w:val="007C5E36"/>
    <w:rsid w:val="007C731E"/>
    <w:rsid w:val="007D02A6"/>
    <w:rsid w:val="007D3176"/>
    <w:rsid w:val="007D5551"/>
    <w:rsid w:val="007E10C4"/>
    <w:rsid w:val="007E182F"/>
    <w:rsid w:val="007E5E9A"/>
    <w:rsid w:val="007E6A0D"/>
    <w:rsid w:val="007E739E"/>
    <w:rsid w:val="007F1E8F"/>
    <w:rsid w:val="007F50E5"/>
    <w:rsid w:val="00807D3E"/>
    <w:rsid w:val="00813968"/>
    <w:rsid w:val="00814F58"/>
    <w:rsid w:val="00817438"/>
    <w:rsid w:val="00820F9B"/>
    <w:rsid w:val="00822C11"/>
    <w:rsid w:val="00825F84"/>
    <w:rsid w:val="00826583"/>
    <w:rsid w:val="0082670B"/>
    <w:rsid w:val="00826C7D"/>
    <w:rsid w:val="00826E1D"/>
    <w:rsid w:val="00830339"/>
    <w:rsid w:val="00832C22"/>
    <w:rsid w:val="008332DD"/>
    <w:rsid w:val="0084320B"/>
    <w:rsid w:val="008432FC"/>
    <w:rsid w:val="008446FE"/>
    <w:rsid w:val="00856509"/>
    <w:rsid w:val="00857739"/>
    <w:rsid w:val="00860D72"/>
    <w:rsid w:val="00860E25"/>
    <w:rsid w:val="00862B92"/>
    <w:rsid w:val="008637BD"/>
    <w:rsid w:val="00864323"/>
    <w:rsid w:val="008651A8"/>
    <w:rsid w:val="008735A4"/>
    <w:rsid w:val="00885634"/>
    <w:rsid w:val="00885D0C"/>
    <w:rsid w:val="00892423"/>
    <w:rsid w:val="00895A57"/>
    <w:rsid w:val="00897F07"/>
    <w:rsid w:val="008A0F64"/>
    <w:rsid w:val="008A34AA"/>
    <w:rsid w:val="008A38AB"/>
    <w:rsid w:val="008B0C8D"/>
    <w:rsid w:val="008B20AA"/>
    <w:rsid w:val="008B372B"/>
    <w:rsid w:val="008B5557"/>
    <w:rsid w:val="008C17F4"/>
    <w:rsid w:val="008C2D77"/>
    <w:rsid w:val="008C6252"/>
    <w:rsid w:val="008C6E50"/>
    <w:rsid w:val="008D01ED"/>
    <w:rsid w:val="008D3976"/>
    <w:rsid w:val="008E27B5"/>
    <w:rsid w:val="008E63CB"/>
    <w:rsid w:val="008F09EE"/>
    <w:rsid w:val="008F4166"/>
    <w:rsid w:val="008F6889"/>
    <w:rsid w:val="00902047"/>
    <w:rsid w:val="00903097"/>
    <w:rsid w:val="00905111"/>
    <w:rsid w:val="00906149"/>
    <w:rsid w:val="00910940"/>
    <w:rsid w:val="009125B5"/>
    <w:rsid w:val="00914DE2"/>
    <w:rsid w:val="009158BC"/>
    <w:rsid w:val="00916619"/>
    <w:rsid w:val="00922C21"/>
    <w:rsid w:val="00923AE7"/>
    <w:rsid w:val="0092546B"/>
    <w:rsid w:val="00934BE6"/>
    <w:rsid w:val="00943140"/>
    <w:rsid w:val="00947DB1"/>
    <w:rsid w:val="00954216"/>
    <w:rsid w:val="0095562B"/>
    <w:rsid w:val="00966E7C"/>
    <w:rsid w:val="00971D26"/>
    <w:rsid w:val="00972970"/>
    <w:rsid w:val="00973503"/>
    <w:rsid w:val="009740B9"/>
    <w:rsid w:val="0097445D"/>
    <w:rsid w:val="00974C1B"/>
    <w:rsid w:val="00985C16"/>
    <w:rsid w:val="00987648"/>
    <w:rsid w:val="00990455"/>
    <w:rsid w:val="00995F40"/>
    <w:rsid w:val="009A1DF2"/>
    <w:rsid w:val="009A6149"/>
    <w:rsid w:val="009B2429"/>
    <w:rsid w:val="009B2569"/>
    <w:rsid w:val="009B3130"/>
    <w:rsid w:val="009B43D6"/>
    <w:rsid w:val="009C1700"/>
    <w:rsid w:val="009C5B58"/>
    <w:rsid w:val="009D1323"/>
    <w:rsid w:val="009D24A5"/>
    <w:rsid w:val="009D3B55"/>
    <w:rsid w:val="009D42E8"/>
    <w:rsid w:val="009E2A57"/>
    <w:rsid w:val="009F0111"/>
    <w:rsid w:val="009F44C0"/>
    <w:rsid w:val="009F48FB"/>
    <w:rsid w:val="009F4C24"/>
    <w:rsid w:val="00A005E9"/>
    <w:rsid w:val="00A0089E"/>
    <w:rsid w:val="00A0243A"/>
    <w:rsid w:val="00A043A6"/>
    <w:rsid w:val="00A05AB1"/>
    <w:rsid w:val="00A05DEF"/>
    <w:rsid w:val="00A06C55"/>
    <w:rsid w:val="00A0768E"/>
    <w:rsid w:val="00A10015"/>
    <w:rsid w:val="00A11474"/>
    <w:rsid w:val="00A127F7"/>
    <w:rsid w:val="00A15634"/>
    <w:rsid w:val="00A158E0"/>
    <w:rsid w:val="00A16B41"/>
    <w:rsid w:val="00A17B41"/>
    <w:rsid w:val="00A208D0"/>
    <w:rsid w:val="00A24957"/>
    <w:rsid w:val="00A35FDD"/>
    <w:rsid w:val="00A42300"/>
    <w:rsid w:val="00A43507"/>
    <w:rsid w:val="00A52995"/>
    <w:rsid w:val="00A52B1D"/>
    <w:rsid w:val="00A5424F"/>
    <w:rsid w:val="00A55317"/>
    <w:rsid w:val="00A5681C"/>
    <w:rsid w:val="00A61240"/>
    <w:rsid w:val="00A61A84"/>
    <w:rsid w:val="00A648F9"/>
    <w:rsid w:val="00A656AC"/>
    <w:rsid w:val="00A662DE"/>
    <w:rsid w:val="00A67A86"/>
    <w:rsid w:val="00A67D34"/>
    <w:rsid w:val="00A714BB"/>
    <w:rsid w:val="00A71B18"/>
    <w:rsid w:val="00A722FD"/>
    <w:rsid w:val="00A73F6B"/>
    <w:rsid w:val="00A759A9"/>
    <w:rsid w:val="00A75A46"/>
    <w:rsid w:val="00A82A89"/>
    <w:rsid w:val="00A84CEC"/>
    <w:rsid w:val="00A85028"/>
    <w:rsid w:val="00A86049"/>
    <w:rsid w:val="00A94505"/>
    <w:rsid w:val="00A946B4"/>
    <w:rsid w:val="00A94A4A"/>
    <w:rsid w:val="00A95141"/>
    <w:rsid w:val="00A9533A"/>
    <w:rsid w:val="00A95966"/>
    <w:rsid w:val="00A9596F"/>
    <w:rsid w:val="00AA2CBB"/>
    <w:rsid w:val="00AB039C"/>
    <w:rsid w:val="00AB1830"/>
    <w:rsid w:val="00AB3495"/>
    <w:rsid w:val="00AC042A"/>
    <w:rsid w:val="00AC1F06"/>
    <w:rsid w:val="00AC35DA"/>
    <w:rsid w:val="00AC6123"/>
    <w:rsid w:val="00AD261F"/>
    <w:rsid w:val="00AD2E19"/>
    <w:rsid w:val="00AD3B9A"/>
    <w:rsid w:val="00AE11C4"/>
    <w:rsid w:val="00AF2D7A"/>
    <w:rsid w:val="00AF34E9"/>
    <w:rsid w:val="00AF439D"/>
    <w:rsid w:val="00AF501D"/>
    <w:rsid w:val="00B14F53"/>
    <w:rsid w:val="00B169C6"/>
    <w:rsid w:val="00B17F4D"/>
    <w:rsid w:val="00B241CA"/>
    <w:rsid w:val="00B370FC"/>
    <w:rsid w:val="00B377EE"/>
    <w:rsid w:val="00B41700"/>
    <w:rsid w:val="00B45BDC"/>
    <w:rsid w:val="00B503A1"/>
    <w:rsid w:val="00B546A7"/>
    <w:rsid w:val="00B57B63"/>
    <w:rsid w:val="00B63DCD"/>
    <w:rsid w:val="00B734A4"/>
    <w:rsid w:val="00B7373D"/>
    <w:rsid w:val="00B73CB5"/>
    <w:rsid w:val="00B7481B"/>
    <w:rsid w:val="00B7575B"/>
    <w:rsid w:val="00B76583"/>
    <w:rsid w:val="00B818D8"/>
    <w:rsid w:val="00B8531E"/>
    <w:rsid w:val="00B85CE5"/>
    <w:rsid w:val="00B90BA8"/>
    <w:rsid w:val="00B95352"/>
    <w:rsid w:val="00BA05C3"/>
    <w:rsid w:val="00BA3190"/>
    <w:rsid w:val="00BA5D76"/>
    <w:rsid w:val="00BA7AE8"/>
    <w:rsid w:val="00BB307F"/>
    <w:rsid w:val="00BB5688"/>
    <w:rsid w:val="00BC30A4"/>
    <w:rsid w:val="00BC4180"/>
    <w:rsid w:val="00BD3D6F"/>
    <w:rsid w:val="00BD56EA"/>
    <w:rsid w:val="00BD571A"/>
    <w:rsid w:val="00BD63F8"/>
    <w:rsid w:val="00BD6CAF"/>
    <w:rsid w:val="00BE153E"/>
    <w:rsid w:val="00BE15F2"/>
    <w:rsid w:val="00BE1B2D"/>
    <w:rsid w:val="00BE505A"/>
    <w:rsid w:val="00BE693F"/>
    <w:rsid w:val="00BF07F7"/>
    <w:rsid w:val="00BF1AF8"/>
    <w:rsid w:val="00BF236B"/>
    <w:rsid w:val="00BF3950"/>
    <w:rsid w:val="00BF446B"/>
    <w:rsid w:val="00BF4FCC"/>
    <w:rsid w:val="00BF685B"/>
    <w:rsid w:val="00BF79CD"/>
    <w:rsid w:val="00C01643"/>
    <w:rsid w:val="00C12930"/>
    <w:rsid w:val="00C133B5"/>
    <w:rsid w:val="00C144C8"/>
    <w:rsid w:val="00C15A9A"/>
    <w:rsid w:val="00C16CFB"/>
    <w:rsid w:val="00C2680C"/>
    <w:rsid w:val="00C34369"/>
    <w:rsid w:val="00C37220"/>
    <w:rsid w:val="00C37AB3"/>
    <w:rsid w:val="00C41CA4"/>
    <w:rsid w:val="00C45FC0"/>
    <w:rsid w:val="00C47CE4"/>
    <w:rsid w:val="00C54FB9"/>
    <w:rsid w:val="00C602D7"/>
    <w:rsid w:val="00C61305"/>
    <w:rsid w:val="00C62404"/>
    <w:rsid w:val="00C64881"/>
    <w:rsid w:val="00C656AE"/>
    <w:rsid w:val="00C66780"/>
    <w:rsid w:val="00C674EC"/>
    <w:rsid w:val="00C7136A"/>
    <w:rsid w:val="00C71602"/>
    <w:rsid w:val="00C71A7C"/>
    <w:rsid w:val="00C72130"/>
    <w:rsid w:val="00C73598"/>
    <w:rsid w:val="00C74078"/>
    <w:rsid w:val="00C76273"/>
    <w:rsid w:val="00C85AFF"/>
    <w:rsid w:val="00C86DB6"/>
    <w:rsid w:val="00C9025C"/>
    <w:rsid w:val="00C91D5B"/>
    <w:rsid w:val="00C91E59"/>
    <w:rsid w:val="00CA1407"/>
    <w:rsid w:val="00CA6DDE"/>
    <w:rsid w:val="00CB630B"/>
    <w:rsid w:val="00CB6878"/>
    <w:rsid w:val="00CC26C6"/>
    <w:rsid w:val="00CC41EB"/>
    <w:rsid w:val="00CC706E"/>
    <w:rsid w:val="00CD11E2"/>
    <w:rsid w:val="00CD2999"/>
    <w:rsid w:val="00CD3014"/>
    <w:rsid w:val="00CD3056"/>
    <w:rsid w:val="00CD7FBD"/>
    <w:rsid w:val="00CE14FE"/>
    <w:rsid w:val="00CE4C78"/>
    <w:rsid w:val="00CF5055"/>
    <w:rsid w:val="00CF715C"/>
    <w:rsid w:val="00CF7322"/>
    <w:rsid w:val="00D00F45"/>
    <w:rsid w:val="00D00FC4"/>
    <w:rsid w:val="00D04A8E"/>
    <w:rsid w:val="00D0799D"/>
    <w:rsid w:val="00D126AA"/>
    <w:rsid w:val="00D13D16"/>
    <w:rsid w:val="00D15819"/>
    <w:rsid w:val="00D26305"/>
    <w:rsid w:val="00D312D4"/>
    <w:rsid w:val="00D31AD0"/>
    <w:rsid w:val="00D32D41"/>
    <w:rsid w:val="00D33A36"/>
    <w:rsid w:val="00D4227C"/>
    <w:rsid w:val="00D43E2F"/>
    <w:rsid w:val="00D535DB"/>
    <w:rsid w:val="00D55853"/>
    <w:rsid w:val="00D570F9"/>
    <w:rsid w:val="00D674E0"/>
    <w:rsid w:val="00D67D51"/>
    <w:rsid w:val="00D70B42"/>
    <w:rsid w:val="00D7792C"/>
    <w:rsid w:val="00D830C4"/>
    <w:rsid w:val="00D836CC"/>
    <w:rsid w:val="00D837A8"/>
    <w:rsid w:val="00D9006D"/>
    <w:rsid w:val="00D91A6A"/>
    <w:rsid w:val="00D93383"/>
    <w:rsid w:val="00D9715E"/>
    <w:rsid w:val="00DB00CB"/>
    <w:rsid w:val="00DB0A66"/>
    <w:rsid w:val="00DB1E70"/>
    <w:rsid w:val="00DB3357"/>
    <w:rsid w:val="00DC0405"/>
    <w:rsid w:val="00DC091F"/>
    <w:rsid w:val="00DC1D93"/>
    <w:rsid w:val="00DC549D"/>
    <w:rsid w:val="00DC6BEE"/>
    <w:rsid w:val="00DD1F50"/>
    <w:rsid w:val="00DD473D"/>
    <w:rsid w:val="00DD531F"/>
    <w:rsid w:val="00DE24A1"/>
    <w:rsid w:val="00DF2D82"/>
    <w:rsid w:val="00DF3B71"/>
    <w:rsid w:val="00DF4B59"/>
    <w:rsid w:val="00DF5714"/>
    <w:rsid w:val="00E027F3"/>
    <w:rsid w:val="00E02B1F"/>
    <w:rsid w:val="00E032DD"/>
    <w:rsid w:val="00E03533"/>
    <w:rsid w:val="00E0362D"/>
    <w:rsid w:val="00E10712"/>
    <w:rsid w:val="00E16383"/>
    <w:rsid w:val="00E22F5B"/>
    <w:rsid w:val="00E24026"/>
    <w:rsid w:val="00E25DAF"/>
    <w:rsid w:val="00E33043"/>
    <w:rsid w:val="00E47905"/>
    <w:rsid w:val="00E52D74"/>
    <w:rsid w:val="00E5304A"/>
    <w:rsid w:val="00E5462B"/>
    <w:rsid w:val="00E55275"/>
    <w:rsid w:val="00E60FC8"/>
    <w:rsid w:val="00E651A3"/>
    <w:rsid w:val="00E651DE"/>
    <w:rsid w:val="00E702BA"/>
    <w:rsid w:val="00E70A5E"/>
    <w:rsid w:val="00E72307"/>
    <w:rsid w:val="00E743BC"/>
    <w:rsid w:val="00E74B0A"/>
    <w:rsid w:val="00E7627C"/>
    <w:rsid w:val="00E817A2"/>
    <w:rsid w:val="00E82B03"/>
    <w:rsid w:val="00E84728"/>
    <w:rsid w:val="00E8610D"/>
    <w:rsid w:val="00E861A1"/>
    <w:rsid w:val="00E9147A"/>
    <w:rsid w:val="00E9440E"/>
    <w:rsid w:val="00E94945"/>
    <w:rsid w:val="00E96583"/>
    <w:rsid w:val="00EA0219"/>
    <w:rsid w:val="00EB4482"/>
    <w:rsid w:val="00EB49A5"/>
    <w:rsid w:val="00EB5496"/>
    <w:rsid w:val="00EB5C55"/>
    <w:rsid w:val="00EB5E9B"/>
    <w:rsid w:val="00EB7CE3"/>
    <w:rsid w:val="00EC4648"/>
    <w:rsid w:val="00EC7B59"/>
    <w:rsid w:val="00ED17DF"/>
    <w:rsid w:val="00ED2B78"/>
    <w:rsid w:val="00ED64F0"/>
    <w:rsid w:val="00ED7A5F"/>
    <w:rsid w:val="00EE435F"/>
    <w:rsid w:val="00EE4861"/>
    <w:rsid w:val="00EF1FB2"/>
    <w:rsid w:val="00EF3579"/>
    <w:rsid w:val="00EF5035"/>
    <w:rsid w:val="00F062AF"/>
    <w:rsid w:val="00F06960"/>
    <w:rsid w:val="00F077EB"/>
    <w:rsid w:val="00F104FE"/>
    <w:rsid w:val="00F12CB3"/>
    <w:rsid w:val="00F12FF6"/>
    <w:rsid w:val="00F13F90"/>
    <w:rsid w:val="00F23C2F"/>
    <w:rsid w:val="00F312EE"/>
    <w:rsid w:val="00F342D5"/>
    <w:rsid w:val="00F437F0"/>
    <w:rsid w:val="00F50D7A"/>
    <w:rsid w:val="00F51B1B"/>
    <w:rsid w:val="00F54396"/>
    <w:rsid w:val="00F65107"/>
    <w:rsid w:val="00F651A0"/>
    <w:rsid w:val="00F6592D"/>
    <w:rsid w:val="00F75BFF"/>
    <w:rsid w:val="00F760B8"/>
    <w:rsid w:val="00F837BB"/>
    <w:rsid w:val="00F83E3C"/>
    <w:rsid w:val="00F853BF"/>
    <w:rsid w:val="00F86020"/>
    <w:rsid w:val="00F97DA6"/>
    <w:rsid w:val="00FA01C6"/>
    <w:rsid w:val="00FA1735"/>
    <w:rsid w:val="00FB4B87"/>
    <w:rsid w:val="00FC0700"/>
    <w:rsid w:val="00FC2F6E"/>
    <w:rsid w:val="00FC36DC"/>
    <w:rsid w:val="00FC4DB4"/>
    <w:rsid w:val="00FC611D"/>
    <w:rsid w:val="00FC7EAB"/>
    <w:rsid w:val="00FD02FB"/>
    <w:rsid w:val="00FD213A"/>
    <w:rsid w:val="00FD37B4"/>
    <w:rsid w:val="00FD3AB3"/>
    <w:rsid w:val="00FD5A04"/>
    <w:rsid w:val="00FE0177"/>
    <w:rsid w:val="00FE0BEA"/>
    <w:rsid w:val="00FF5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01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01F6"/>
    <w:rPr>
      <w:rFonts w:asciiTheme="majorHAnsi" w:eastAsiaTheme="majorEastAsia" w:hAnsiTheme="majorHAnsi" w:cstheme="majorBidi"/>
      <w:b/>
      <w:bCs/>
      <w:sz w:val="26"/>
      <w:szCs w:val="26"/>
    </w:rPr>
  </w:style>
  <w:style w:type="table" w:styleId="TableGrid">
    <w:name w:val="Table Grid"/>
    <w:basedOn w:val="TableNormal"/>
    <w:uiPriority w:val="99"/>
    <w:rsid w:val="00197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basedOn w:val="DefaultParagraphFont"/>
    <w:link w:val="FootnoteText"/>
    <w:uiPriority w:val="99"/>
    <w:semiHidden/>
    <w:rsid w:val="007D01F6"/>
    <w:rPr>
      <w:sz w:val="20"/>
      <w:szCs w:val="20"/>
    </w:rPr>
  </w:style>
  <w:style w:type="character" w:styleId="FootnoteReference">
    <w:name w:val="footnote reference"/>
    <w:basedOn w:val="DefaultParagraphFont"/>
    <w:uiPriority w:val="99"/>
    <w:semiHidden/>
    <w:rsid w:val="00D0799D"/>
    <w:rPr>
      <w:vertAlign w:val="superscript"/>
    </w:rPr>
  </w:style>
  <w:style w:type="character" w:styleId="Hyperlink">
    <w:name w:val="Hyperlink"/>
    <w:basedOn w:val="DefaultParagraphFont"/>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basedOn w:val="DefaultParagraphFont"/>
    <w:link w:val="Footer"/>
    <w:uiPriority w:val="99"/>
    <w:semiHidden/>
    <w:rsid w:val="007D01F6"/>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basedOn w:val="DefaultParagraphFont"/>
    <w:link w:val="Header"/>
    <w:uiPriority w:val="99"/>
    <w:semiHidden/>
    <w:rsid w:val="007D01F6"/>
    <w:rPr>
      <w:sz w:val="24"/>
      <w:szCs w:val="24"/>
    </w:rPr>
  </w:style>
  <w:style w:type="paragraph" w:styleId="BalloonText">
    <w:name w:val="Balloon Text"/>
    <w:basedOn w:val="Normal"/>
    <w:link w:val="BalloonTextChar"/>
    <w:uiPriority w:val="99"/>
    <w:semiHidden/>
    <w:rsid w:val="00526CC9"/>
    <w:rPr>
      <w:rFonts w:ascii="Tahoma" w:hAnsi="Tahoma" w:cs="Tahoma"/>
      <w:sz w:val="16"/>
      <w:szCs w:val="16"/>
    </w:rPr>
  </w:style>
  <w:style w:type="character" w:customStyle="1" w:styleId="BalloonTextChar">
    <w:name w:val="Balloon Text Char"/>
    <w:basedOn w:val="DefaultParagraphFont"/>
    <w:link w:val="BalloonText"/>
    <w:uiPriority w:val="99"/>
    <w:semiHidden/>
    <w:rsid w:val="007D01F6"/>
    <w:rPr>
      <w:sz w:val="0"/>
      <w:szCs w:val="0"/>
    </w:rPr>
  </w:style>
</w:styles>
</file>

<file path=word/webSettings.xml><?xml version="1.0" encoding="utf-8"?>
<w:webSettings xmlns:r="http://schemas.openxmlformats.org/officeDocument/2006/relationships" xmlns:w="http://schemas.openxmlformats.org/wordprocessingml/2006/main">
  <w:divs>
    <w:div w:id="613295786">
      <w:bodyDiv w:val="1"/>
      <w:marLeft w:val="0"/>
      <w:marRight w:val="0"/>
      <w:marTop w:val="0"/>
      <w:marBottom w:val="0"/>
      <w:divBdr>
        <w:top w:val="none" w:sz="0" w:space="0" w:color="auto"/>
        <w:left w:val="none" w:sz="0" w:space="0" w:color="auto"/>
        <w:bottom w:val="none" w:sz="0" w:space="0" w:color="auto"/>
        <w:right w:val="none" w:sz="0" w:space="0" w:color="auto"/>
      </w:divBdr>
    </w:div>
    <w:div w:id="954870084">
      <w:bodyDiv w:val="1"/>
      <w:marLeft w:val="0"/>
      <w:marRight w:val="0"/>
      <w:marTop w:val="0"/>
      <w:marBottom w:val="0"/>
      <w:divBdr>
        <w:top w:val="none" w:sz="0" w:space="0" w:color="auto"/>
        <w:left w:val="none" w:sz="0" w:space="0" w:color="auto"/>
        <w:bottom w:val="none" w:sz="0" w:space="0" w:color="auto"/>
        <w:right w:val="none" w:sz="0" w:space="0" w:color="auto"/>
      </w:divBdr>
    </w:div>
    <w:div w:id="1784492361">
      <w:marLeft w:val="0"/>
      <w:marRight w:val="0"/>
      <w:marTop w:val="0"/>
      <w:marBottom w:val="0"/>
      <w:divBdr>
        <w:top w:val="none" w:sz="0" w:space="0" w:color="auto"/>
        <w:left w:val="none" w:sz="0" w:space="0" w:color="auto"/>
        <w:bottom w:val="none" w:sz="0" w:space="0" w:color="auto"/>
        <w:right w:val="none" w:sz="0" w:space="0" w:color="auto"/>
      </w:divBdr>
    </w:div>
    <w:div w:id="1784492362">
      <w:marLeft w:val="0"/>
      <w:marRight w:val="0"/>
      <w:marTop w:val="0"/>
      <w:marBottom w:val="0"/>
      <w:divBdr>
        <w:top w:val="none" w:sz="0" w:space="0" w:color="auto"/>
        <w:left w:val="none" w:sz="0" w:space="0" w:color="auto"/>
        <w:bottom w:val="none" w:sz="0" w:space="0" w:color="auto"/>
        <w:right w:val="none" w:sz="0" w:space="0" w:color="auto"/>
      </w:divBdr>
    </w:div>
    <w:div w:id="1784492363">
      <w:marLeft w:val="0"/>
      <w:marRight w:val="0"/>
      <w:marTop w:val="0"/>
      <w:marBottom w:val="0"/>
      <w:divBdr>
        <w:top w:val="none" w:sz="0" w:space="0" w:color="auto"/>
        <w:left w:val="none" w:sz="0" w:space="0" w:color="auto"/>
        <w:bottom w:val="none" w:sz="0" w:space="0" w:color="auto"/>
        <w:right w:val="none" w:sz="0" w:space="0" w:color="auto"/>
      </w:divBdr>
    </w:div>
    <w:div w:id="1784492364">
      <w:marLeft w:val="0"/>
      <w:marRight w:val="0"/>
      <w:marTop w:val="0"/>
      <w:marBottom w:val="0"/>
      <w:divBdr>
        <w:top w:val="none" w:sz="0" w:space="0" w:color="auto"/>
        <w:left w:val="none" w:sz="0" w:space="0" w:color="auto"/>
        <w:bottom w:val="none" w:sz="0" w:space="0" w:color="auto"/>
        <w:right w:val="none" w:sz="0" w:space="0" w:color="auto"/>
      </w:divBdr>
    </w:div>
    <w:div w:id="1784492365">
      <w:marLeft w:val="0"/>
      <w:marRight w:val="0"/>
      <w:marTop w:val="0"/>
      <w:marBottom w:val="0"/>
      <w:divBdr>
        <w:top w:val="none" w:sz="0" w:space="0" w:color="auto"/>
        <w:left w:val="none" w:sz="0" w:space="0" w:color="auto"/>
        <w:bottom w:val="none" w:sz="0" w:space="0" w:color="auto"/>
        <w:right w:val="none" w:sz="0" w:space="0" w:color="auto"/>
      </w:divBdr>
    </w:div>
    <w:div w:id="1784492366">
      <w:marLeft w:val="0"/>
      <w:marRight w:val="0"/>
      <w:marTop w:val="0"/>
      <w:marBottom w:val="0"/>
      <w:divBdr>
        <w:top w:val="none" w:sz="0" w:space="0" w:color="auto"/>
        <w:left w:val="none" w:sz="0" w:space="0" w:color="auto"/>
        <w:bottom w:val="none" w:sz="0" w:space="0" w:color="auto"/>
        <w:right w:val="none" w:sz="0" w:space="0" w:color="auto"/>
      </w:divBdr>
    </w:div>
    <w:div w:id="1784492367">
      <w:marLeft w:val="0"/>
      <w:marRight w:val="0"/>
      <w:marTop w:val="0"/>
      <w:marBottom w:val="0"/>
      <w:divBdr>
        <w:top w:val="none" w:sz="0" w:space="0" w:color="auto"/>
        <w:left w:val="none" w:sz="0" w:space="0" w:color="auto"/>
        <w:bottom w:val="none" w:sz="0" w:space="0" w:color="auto"/>
        <w:right w:val="none" w:sz="0" w:space="0" w:color="auto"/>
      </w:divBdr>
    </w:div>
    <w:div w:id="1784492368">
      <w:marLeft w:val="0"/>
      <w:marRight w:val="0"/>
      <w:marTop w:val="0"/>
      <w:marBottom w:val="0"/>
      <w:divBdr>
        <w:top w:val="none" w:sz="0" w:space="0" w:color="auto"/>
        <w:left w:val="none" w:sz="0" w:space="0" w:color="auto"/>
        <w:bottom w:val="none" w:sz="0" w:space="0" w:color="auto"/>
        <w:right w:val="none" w:sz="0" w:space="0" w:color="auto"/>
      </w:divBdr>
    </w:div>
    <w:div w:id="1784492369">
      <w:marLeft w:val="0"/>
      <w:marRight w:val="0"/>
      <w:marTop w:val="0"/>
      <w:marBottom w:val="0"/>
      <w:divBdr>
        <w:top w:val="none" w:sz="0" w:space="0" w:color="auto"/>
        <w:left w:val="none" w:sz="0" w:space="0" w:color="auto"/>
        <w:bottom w:val="none" w:sz="0" w:space="0" w:color="auto"/>
        <w:right w:val="none" w:sz="0" w:space="0" w:color="auto"/>
      </w:divBdr>
    </w:div>
    <w:div w:id="1784492370">
      <w:marLeft w:val="0"/>
      <w:marRight w:val="0"/>
      <w:marTop w:val="0"/>
      <w:marBottom w:val="0"/>
      <w:divBdr>
        <w:top w:val="none" w:sz="0" w:space="0" w:color="auto"/>
        <w:left w:val="none" w:sz="0" w:space="0" w:color="auto"/>
        <w:bottom w:val="none" w:sz="0" w:space="0" w:color="auto"/>
        <w:right w:val="none" w:sz="0" w:space="0" w:color="auto"/>
      </w:divBdr>
    </w:div>
    <w:div w:id="1784492371">
      <w:marLeft w:val="0"/>
      <w:marRight w:val="0"/>
      <w:marTop w:val="0"/>
      <w:marBottom w:val="0"/>
      <w:divBdr>
        <w:top w:val="none" w:sz="0" w:space="0" w:color="auto"/>
        <w:left w:val="none" w:sz="0" w:space="0" w:color="auto"/>
        <w:bottom w:val="none" w:sz="0" w:space="0" w:color="auto"/>
        <w:right w:val="none" w:sz="0" w:space="0" w:color="auto"/>
      </w:divBdr>
    </w:div>
    <w:div w:id="1784492372">
      <w:marLeft w:val="0"/>
      <w:marRight w:val="0"/>
      <w:marTop w:val="0"/>
      <w:marBottom w:val="0"/>
      <w:divBdr>
        <w:top w:val="none" w:sz="0" w:space="0" w:color="auto"/>
        <w:left w:val="none" w:sz="0" w:space="0" w:color="auto"/>
        <w:bottom w:val="none" w:sz="0" w:space="0" w:color="auto"/>
        <w:right w:val="none" w:sz="0" w:space="0" w:color="auto"/>
      </w:divBdr>
    </w:div>
    <w:div w:id="1784492373">
      <w:marLeft w:val="0"/>
      <w:marRight w:val="0"/>
      <w:marTop w:val="0"/>
      <w:marBottom w:val="0"/>
      <w:divBdr>
        <w:top w:val="none" w:sz="0" w:space="0" w:color="auto"/>
        <w:left w:val="none" w:sz="0" w:space="0" w:color="auto"/>
        <w:bottom w:val="none" w:sz="0" w:space="0" w:color="auto"/>
        <w:right w:val="none" w:sz="0" w:space="0" w:color="auto"/>
      </w:divBdr>
    </w:div>
    <w:div w:id="1784492374">
      <w:marLeft w:val="0"/>
      <w:marRight w:val="0"/>
      <w:marTop w:val="0"/>
      <w:marBottom w:val="0"/>
      <w:divBdr>
        <w:top w:val="none" w:sz="0" w:space="0" w:color="auto"/>
        <w:left w:val="none" w:sz="0" w:space="0" w:color="auto"/>
        <w:bottom w:val="none" w:sz="0" w:space="0" w:color="auto"/>
        <w:right w:val="none" w:sz="0" w:space="0" w:color="auto"/>
      </w:divBdr>
    </w:div>
    <w:div w:id="1784492375">
      <w:marLeft w:val="0"/>
      <w:marRight w:val="0"/>
      <w:marTop w:val="0"/>
      <w:marBottom w:val="0"/>
      <w:divBdr>
        <w:top w:val="none" w:sz="0" w:space="0" w:color="auto"/>
        <w:left w:val="none" w:sz="0" w:space="0" w:color="auto"/>
        <w:bottom w:val="none" w:sz="0" w:space="0" w:color="auto"/>
        <w:right w:val="none" w:sz="0" w:space="0" w:color="auto"/>
      </w:divBdr>
    </w:div>
    <w:div w:id="1784492376">
      <w:marLeft w:val="0"/>
      <w:marRight w:val="0"/>
      <w:marTop w:val="0"/>
      <w:marBottom w:val="0"/>
      <w:divBdr>
        <w:top w:val="none" w:sz="0" w:space="0" w:color="auto"/>
        <w:left w:val="none" w:sz="0" w:space="0" w:color="auto"/>
        <w:bottom w:val="none" w:sz="0" w:space="0" w:color="auto"/>
        <w:right w:val="none" w:sz="0" w:space="0" w:color="auto"/>
      </w:divBdr>
    </w:div>
    <w:div w:id="1784492377">
      <w:marLeft w:val="0"/>
      <w:marRight w:val="0"/>
      <w:marTop w:val="0"/>
      <w:marBottom w:val="0"/>
      <w:divBdr>
        <w:top w:val="none" w:sz="0" w:space="0" w:color="auto"/>
        <w:left w:val="none" w:sz="0" w:space="0" w:color="auto"/>
        <w:bottom w:val="none" w:sz="0" w:space="0" w:color="auto"/>
        <w:right w:val="none" w:sz="0" w:space="0" w:color="auto"/>
      </w:divBdr>
    </w:div>
    <w:div w:id="1784492378">
      <w:marLeft w:val="0"/>
      <w:marRight w:val="0"/>
      <w:marTop w:val="0"/>
      <w:marBottom w:val="0"/>
      <w:divBdr>
        <w:top w:val="none" w:sz="0" w:space="0" w:color="auto"/>
        <w:left w:val="none" w:sz="0" w:space="0" w:color="auto"/>
        <w:bottom w:val="none" w:sz="0" w:space="0" w:color="auto"/>
        <w:right w:val="none" w:sz="0" w:space="0" w:color="auto"/>
      </w:divBdr>
    </w:div>
    <w:div w:id="1784492379">
      <w:marLeft w:val="0"/>
      <w:marRight w:val="0"/>
      <w:marTop w:val="0"/>
      <w:marBottom w:val="0"/>
      <w:divBdr>
        <w:top w:val="none" w:sz="0" w:space="0" w:color="auto"/>
        <w:left w:val="none" w:sz="0" w:space="0" w:color="auto"/>
        <w:bottom w:val="none" w:sz="0" w:space="0" w:color="auto"/>
        <w:right w:val="none" w:sz="0" w:space="0" w:color="auto"/>
      </w:divBdr>
    </w:div>
    <w:div w:id="1784492380">
      <w:marLeft w:val="0"/>
      <w:marRight w:val="0"/>
      <w:marTop w:val="0"/>
      <w:marBottom w:val="0"/>
      <w:divBdr>
        <w:top w:val="none" w:sz="0" w:space="0" w:color="auto"/>
        <w:left w:val="none" w:sz="0" w:space="0" w:color="auto"/>
        <w:bottom w:val="none" w:sz="0" w:space="0" w:color="auto"/>
        <w:right w:val="none" w:sz="0" w:space="0" w:color="auto"/>
      </w:divBdr>
    </w:div>
    <w:div w:id="1784492381">
      <w:marLeft w:val="0"/>
      <w:marRight w:val="0"/>
      <w:marTop w:val="0"/>
      <w:marBottom w:val="0"/>
      <w:divBdr>
        <w:top w:val="none" w:sz="0" w:space="0" w:color="auto"/>
        <w:left w:val="none" w:sz="0" w:space="0" w:color="auto"/>
        <w:bottom w:val="none" w:sz="0" w:space="0" w:color="auto"/>
        <w:right w:val="none" w:sz="0" w:space="0" w:color="auto"/>
      </w:divBdr>
    </w:div>
    <w:div w:id="1784492382">
      <w:marLeft w:val="0"/>
      <w:marRight w:val="0"/>
      <w:marTop w:val="0"/>
      <w:marBottom w:val="0"/>
      <w:divBdr>
        <w:top w:val="none" w:sz="0" w:space="0" w:color="auto"/>
        <w:left w:val="none" w:sz="0" w:space="0" w:color="auto"/>
        <w:bottom w:val="none" w:sz="0" w:space="0" w:color="auto"/>
        <w:right w:val="none" w:sz="0" w:space="0" w:color="auto"/>
      </w:divBdr>
    </w:div>
    <w:div w:id="1784492383">
      <w:marLeft w:val="0"/>
      <w:marRight w:val="0"/>
      <w:marTop w:val="0"/>
      <w:marBottom w:val="0"/>
      <w:divBdr>
        <w:top w:val="none" w:sz="0" w:space="0" w:color="auto"/>
        <w:left w:val="none" w:sz="0" w:space="0" w:color="auto"/>
        <w:bottom w:val="none" w:sz="0" w:space="0" w:color="auto"/>
        <w:right w:val="none" w:sz="0" w:space="0" w:color="auto"/>
      </w:divBdr>
    </w:div>
    <w:div w:id="1784492384">
      <w:marLeft w:val="0"/>
      <w:marRight w:val="0"/>
      <w:marTop w:val="0"/>
      <w:marBottom w:val="0"/>
      <w:divBdr>
        <w:top w:val="none" w:sz="0" w:space="0" w:color="auto"/>
        <w:left w:val="none" w:sz="0" w:space="0" w:color="auto"/>
        <w:bottom w:val="none" w:sz="0" w:space="0" w:color="auto"/>
        <w:right w:val="none" w:sz="0" w:space="0" w:color="auto"/>
      </w:divBdr>
    </w:div>
    <w:div w:id="1784492385">
      <w:marLeft w:val="0"/>
      <w:marRight w:val="0"/>
      <w:marTop w:val="0"/>
      <w:marBottom w:val="0"/>
      <w:divBdr>
        <w:top w:val="none" w:sz="0" w:space="0" w:color="auto"/>
        <w:left w:val="none" w:sz="0" w:space="0" w:color="auto"/>
        <w:bottom w:val="none" w:sz="0" w:space="0" w:color="auto"/>
        <w:right w:val="none" w:sz="0" w:space="0" w:color="auto"/>
      </w:divBdr>
    </w:div>
    <w:div w:id="1784492386">
      <w:marLeft w:val="0"/>
      <w:marRight w:val="0"/>
      <w:marTop w:val="0"/>
      <w:marBottom w:val="0"/>
      <w:divBdr>
        <w:top w:val="none" w:sz="0" w:space="0" w:color="auto"/>
        <w:left w:val="none" w:sz="0" w:space="0" w:color="auto"/>
        <w:bottom w:val="none" w:sz="0" w:space="0" w:color="auto"/>
        <w:right w:val="none" w:sz="0" w:space="0" w:color="auto"/>
      </w:divBdr>
    </w:div>
    <w:div w:id="1784492387">
      <w:marLeft w:val="0"/>
      <w:marRight w:val="0"/>
      <w:marTop w:val="0"/>
      <w:marBottom w:val="0"/>
      <w:divBdr>
        <w:top w:val="none" w:sz="0" w:space="0" w:color="auto"/>
        <w:left w:val="none" w:sz="0" w:space="0" w:color="auto"/>
        <w:bottom w:val="none" w:sz="0" w:space="0" w:color="auto"/>
        <w:right w:val="none" w:sz="0" w:space="0" w:color="auto"/>
      </w:divBdr>
    </w:div>
    <w:div w:id="178449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uters.com/article/2013/02/16/us-iran-turkey-sanctions-idUSBRE91F01F20130216" TargetMode="External"/><Relationship Id="rId2" Type="http://schemas.openxmlformats.org/officeDocument/2006/relationships/hyperlink" Target="http://online.wsj.com/article/SB10001424127887323751104578150803540506358.html" TargetMode="External"/><Relationship Id="rId1" Type="http://schemas.openxmlformats.org/officeDocument/2006/relationships/hyperlink" Target="http://blogs.ft.com/beyond-brics/2012/07/09/whats-iran-doing-with-all-that-turkish-gold/%23axzz2OeQWEpJc" TargetMode="External"/><Relationship Id="rId5" Type="http://schemas.openxmlformats.org/officeDocument/2006/relationships/hyperlink" Target="http://betam.bahcesehir.edu.tr/tr/wp-content/uploads/2012/02/ArastirmaNotu126.pdf" TargetMode="External"/><Relationship Id="rId4" Type="http://schemas.openxmlformats.org/officeDocument/2006/relationships/hyperlink" Target="http://betam.bahcesehir.edu.tr/tr/wp-content/uploads/2011/04/ArastirmaNotu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793F-C4C6-4ADF-BC7B-02BFA302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oş</vt:lpstr>
    </vt:vector>
  </TitlesOfParts>
  <Company>unv</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subject/>
  <dc:creator>baris.soybilgen</dc:creator>
  <cp:keywords/>
  <dc:description/>
  <cp:lastModifiedBy>baris.soybilgen</cp:lastModifiedBy>
  <cp:revision>12</cp:revision>
  <cp:lastPrinted>2013-03-27T17:50:00Z</cp:lastPrinted>
  <dcterms:created xsi:type="dcterms:W3CDTF">2013-03-26T09:50:00Z</dcterms:created>
  <dcterms:modified xsi:type="dcterms:W3CDTF">2013-03-28T07:16:00Z</dcterms:modified>
</cp:coreProperties>
</file>